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3D167" w14:textId="630F8136" w:rsidR="00E94030" w:rsidRPr="00CE6AB4" w:rsidRDefault="008D3CF4">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CE6AB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800FC" w:rsidRPr="00CE6AB4">
        <w:rPr>
          <w:rFonts w:ascii="Palatino Linotype" w:eastAsia="Palatino Linotype" w:hAnsi="Palatino Linotype" w:cs="Palatino Linotype"/>
          <w:sz w:val="22"/>
          <w:szCs w:val="22"/>
        </w:rPr>
        <w:t xml:space="preserve">en Metepec, Estado de México, a </w:t>
      </w:r>
      <w:r w:rsidR="00A77CFB" w:rsidRPr="00CE6AB4">
        <w:rPr>
          <w:rFonts w:ascii="Palatino Linotype" w:eastAsia="Palatino Linotype" w:hAnsi="Palatino Linotype" w:cs="Palatino Linotype"/>
          <w:sz w:val="22"/>
          <w:szCs w:val="22"/>
        </w:rPr>
        <w:t xml:space="preserve">veinticinco </w:t>
      </w:r>
      <w:r w:rsidR="00491075" w:rsidRPr="00CE6AB4">
        <w:rPr>
          <w:rFonts w:ascii="Palatino Linotype" w:eastAsia="Palatino Linotype" w:hAnsi="Palatino Linotype" w:cs="Palatino Linotype"/>
          <w:sz w:val="22"/>
          <w:szCs w:val="22"/>
        </w:rPr>
        <w:t>de noviembre</w:t>
      </w:r>
      <w:r w:rsidR="00512739" w:rsidRPr="00CE6AB4">
        <w:rPr>
          <w:rFonts w:ascii="Palatino Linotype" w:eastAsia="Palatino Linotype" w:hAnsi="Palatino Linotype" w:cs="Palatino Linotype"/>
          <w:sz w:val="22"/>
          <w:szCs w:val="22"/>
        </w:rPr>
        <w:t xml:space="preserve"> </w:t>
      </w:r>
      <w:r w:rsidR="007E3906" w:rsidRPr="00CE6AB4">
        <w:rPr>
          <w:rFonts w:ascii="Palatino Linotype" w:eastAsia="Palatino Linotype" w:hAnsi="Palatino Linotype" w:cs="Palatino Linotype"/>
          <w:sz w:val="22"/>
          <w:szCs w:val="22"/>
        </w:rPr>
        <w:t>de dos mil veinticinco</w:t>
      </w:r>
      <w:r w:rsidRPr="00CE6AB4">
        <w:rPr>
          <w:rFonts w:ascii="Palatino Linotype" w:eastAsia="Palatino Linotype" w:hAnsi="Palatino Linotype" w:cs="Palatino Linotype"/>
          <w:sz w:val="22"/>
          <w:szCs w:val="22"/>
        </w:rPr>
        <w:t xml:space="preserve">. </w:t>
      </w:r>
    </w:p>
    <w:p w14:paraId="74DD56EA" w14:textId="28FA908B" w:rsidR="00512739" w:rsidRPr="00CE6AB4" w:rsidRDefault="008D3CF4" w:rsidP="00512739">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b/>
          <w:sz w:val="22"/>
          <w:szCs w:val="22"/>
        </w:rPr>
        <w:t>Visto</w:t>
      </w:r>
      <w:r w:rsidRPr="00CE6AB4">
        <w:rPr>
          <w:rFonts w:ascii="Palatino Linotype" w:eastAsia="Palatino Linotype" w:hAnsi="Palatino Linotype" w:cs="Palatino Linotype"/>
          <w:sz w:val="22"/>
          <w:szCs w:val="22"/>
        </w:rPr>
        <w:t xml:space="preserve"> el expediente formado con motivo del recurso de revisión </w:t>
      </w:r>
      <w:r w:rsidR="00A77CFB" w:rsidRPr="00CE6AB4">
        <w:rPr>
          <w:rFonts w:ascii="Palatino Linotype" w:eastAsia="Palatino Linotype" w:hAnsi="Palatino Linotype" w:cs="Palatino Linotype"/>
          <w:b/>
          <w:sz w:val="22"/>
          <w:szCs w:val="22"/>
        </w:rPr>
        <w:t>12604</w:t>
      </w:r>
      <w:r w:rsidR="00512739" w:rsidRPr="00CE6AB4">
        <w:rPr>
          <w:rFonts w:ascii="Palatino Linotype" w:eastAsia="Palatino Linotype" w:hAnsi="Palatino Linotype" w:cs="Palatino Linotype"/>
          <w:b/>
          <w:sz w:val="22"/>
          <w:szCs w:val="22"/>
        </w:rPr>
        <w:t>/INFOEM/IP/RR/2025</w:t>
      </w:r>
      <w:r w:rsidRPr="00CE6AB4">
        <w:rPr>
          <w:rFonts w:ascii="Palatino Linotype" w:eastAsia="Palatino Linotype" w:hAnsi="Palatino Linotype" w:cs="Palatino Linotype"/>
          <w:sz w:val="22"/>
          <w:szCs w:val="22"/>
        </w:rPr>
        <w:t>, interpuesto por</w:t>
      </w:r>
      <w:r w:rsidR="004800FC" w:rsidRPr="00CE6AB4">
        <w:rPr>
          <w:rFonts w:ascii="Palatino Linotype" w:eastAsia="Palatino Linotype" w:hAnsi="Palatino Linotype" w:cs="Palatino Linotype"/>
          <w:b/>
          <w:sz w:val="22"/>
          <w:szCs w:val="22"/>
        </w:rPr>
        <w:t xml:space="preserve"> </w:t>
      </w:r>
      <w:r w:rsidR="00222509" w:rsidRPr="00222509">
        <w:rPr>
          <w:rFonts w:ascii="Palatino Linotype" w:eastAsia="Palatino Linotype" w:hAnsi="Palatino Linotype" w:cs="Palatino Linotype"/>
          <w:b/>
          <w:sz w:val="22"/>
          <w:szCs w:val="22"/>
        </w:rPr>
        <w:t>XXXXX XXXX XXX XXXXX</w:t>
      </w:r>
      <w:r w:rsidRPr="00222509">
        <w:rPr>
          <w:rFonts w:ascii="Palatino Linotype" w:eastAsia="Palatino Linotype" w:hAnsi="Palatino Linotype" w:cs="Palatino Linotype"/>
          <w:b/>
          <w:sz w:val="22"/>
          <w:szCs w:val="22"/>
        </w:rPr>
        <w:t>,</w:t>
      </w:r>
      <w:r w:rsidRPr="00CE6AB4">
        <w:rPr>
          <w:rFonts w:ascii="Palatino Linotype" w:eastAsia="Palatino Linotype" w:hAnsi="Palatino Linotype" w:cs="Palatino Linotype"/>
          <w:sz w:val="22"/>
          <w:szCs w:val="22"/>
        </w:rPr>
        <w:t xml:space="preserve"> en lo sucesivo</w:t>
      </w:r>
      <w:r w:rsidRPr="00CE6AB4">
        <w:rPr>
          <w:rFonts w:ascii="Palatino Linotype" w:eastAsia="Palatino Linotype" w:hAnsi="Palatino Linotype" w:cs="Palatino Linotype"/>
          <w:b/>
          <w:sz w:val="22"/>
          <w:szCs w:val="22"/>
        </w:rPr>
        <w:t xml:space="preserve"> </w:t>
      </w:r>
      <w:r w:rsidRPr="00CE6AB4">
        <w:rPr>
          <w:rFonts w:ascii="Palatino Linotype" w:eastAsia="Palatino Linotype" w:hAnsi="Palatino Linotype" w:cs="Palatino Linotype"/>
          <w:sz w:val="22"/>
          <w:szCs w:val="22"/>
        </w:rPr>
        <w:t xml:space="preserve">la parte </w:t>
      </w:r>
      <w:r w:rsidRPr="00CE6AB4">
        <w:rPr>
          <w:rFonts w:ascii="Palatino Linotype" w:eastAsia="Palatino Linotype" w:hAnsi="Palatino Linotype" w:cs="Palatino Linotype"/>
          <w:b/>
          <w:sz w:val="22"/>
          <w:szCs w:val="22"/>
        </w:rPr>
        <w:t>Recurrente,</w:t>
      </w:r>
      <w:r w:rsidRPr="00CE6AB4">
        <w:rPr>
          <w:rFonts w:ascii="Palatino Linotype" w:eastAsia="Palatino Linotype" w:hAnsi="Palatino Linotype" w:cs="Palatino Linotype"/>
          <w:sz w:val="22"/>
          <w:szCs w:val="22"/>
        </w:rPr>
        <w:t xml:space="preserve"> </w:t>
      </w:r>
      <w:r w:rsidR="00512739" w:rsidRPr="00CE6AB4">
        <w:rPr>
          <w:rFonts w:ascii="Palatino Linotype" w:eastAsia="Palatino Linotype" w:hAnsi="Palatino Linotype" w:cs="Palatino Linotype"/>
          <w:sz w:val="22"/>
          <w:szCs w:val="22"/>
        </w:rPr>
        <w:t xml:space="preserve">en contra de la respuesta a la solicitud de información con número de folio </w:t>
      </w:r>
      <w:r w:rsidR="00A77CFB" w:rsidRPr="00CE6AB4">
        <w:rPr>
          <w:rFonts w:ascii="Palatino Linotype" w:eastAsia="Palatino Linotype" w:hAnsi="Palatino Linotype" w:cs="Palatino Linotype"/>
          <w:b/>
          <w:sz w:val="22"/>
          <w:szCs w:val="22"/>
        </w:rPr>
        <w:t>00101/OASTOL/IP/2025</w:t>
      </w:r>
      <w:r w:rsidR="00512739" w:rsidRPr="00CE6AB4">
        <w:rPr>
          <w:rFonts w:ascii="Palatino Linotype" w:eastAsia="Palatino Linotype" w:hAnsi="Palatino Linotype" w:cs="Palatino Linotype"/>
          <w:b/>
          <w:sz w:val="22"/>
          <w:szCs w:val="22"/>
        </w:rPr>
        <w:t xml:space="preserve">, </w:t>
      </w:r>
      <w:r w:rsidR="00512739" w:rsidRPr="00CE6AB4">
        <w:rPr>
          <w:rFonts w:ascii="Palatino Linotype" w:eastAsia="Palatino Linotype" w:hAnsi="Palatino Linotype" w:cs="Palatino Linotype"/>
          <w:sz w:val="22"/>
          <w:szCs w:val="22"/>
        </w:rPr>
        <w:t xml:space="preserve">por parte del </w:t>
      </w:r>
      <w:r w:rsidR="00A77CFB" w:rsidRPr="00CE6AB4">
        <w:rPr>
          <w:rFonts w:ascii="Palatino Linotype" w:eastAsia="Palatino Linotype" w:hAnsi="Palatino Linotype" w:cs="Palatino Linotype"/>
          <w:b/>
          <w:sz w:val="22"/>
          <w:szCs w:val="22"/>
        </w:rPr>
        <w:t>Organismo Agua y Saneamiento de Toluca</w:t>
      </w:r>
      <w:r w:rsidR="00512739" w:rsidRPr="00CE6AB4">
        <w:rPr>
          <w:rFonts w:ascii="Palatino Linotype" w:eastAsia="Palatino Linotype" w:hAnsi="Palatino Linotype" w:cs="Palatino Linotype"/>
          <w:b/>
          <w:sz w:val="22"/>
          <w:szCs w:val="22"/>
        </w:rPr>
        <w:t xml:space="preserve">, </w:t>
      </w:r>
      <w:r w:rsidR="00512739" w:rsidRPr="00CE6AB4">
        <w:rPr>
          <w:rFonts w:ascii="Palatino Linotype" w:eastAsia="Palatino Linotype" w:hAnsi="Palatino Linotype" w:cs="Palatino Linotype"/>
          <w:sz w:val="22"/>
          <w:szCs w:val="22"/>
        </w:rPr>
        <w:t xml:space="preserve">en lo sucesivo el </w:t>
      </w:r>
      <w:r w:rsidR="00512739" w:rsidRPr="00CE6AB4">
        <w:rPr>
          <w:rFonts w:ascii="Palatino Linotype" w:eastAsia="Palatino Linotype" w:hAnsi="Palatino Linotype" w:cs="Palatino Linotype"/>
          <w:b/>
          <w:sz w:val="22"/>
          <w:szCs w:val="22"/>
        </w:rPr>
        <w:t xml:space="preserve">Sujeto Obligado, </w:t>
      </w:r>
      <w:r w:rsidR="00512739" w:rsidRPr="00CE6AB4">
        <w:rPr>
          <w:rFonts w:ascii="Palatino Linotype" w:eastAsia="Palatino Linotype" w:hAnsi="Palatino Linotype" w:cs="Palatino Linotype"/>
          <w:sz w:val="22"/>
          <w:szCs w:val="22"/>
        </w:rPr>
        <w:t xml:space="preserve">se procede a dictar la presente resolución con base en los siguientes: </w:t>
      </w:r>
    </w:p>
    <w:p w14:paraId="0CFF39CB" w14:textId="77777777" w:rsidR="00E94030" w:rsidRPr="00CE6AB4" w:rsidRDefault="008D3CF4">
      <w:pPr>
        <w:spacing w:before="240" w:after="240" w:line="360" w:lineRule="auto"/>
        <w:jc w:val="center"/>
        <w:rPr>
          <w:rFonts w:ascii="Palatino Linotype" w:eastAsia="Palatino Linotype" w:hAnsi="Palatino Linotype" w:cs="Palatino Linotype"/>
          <w:b/>
          <w:sz w:val="22"/>
          <w:szCs w:val="22"/>
        </w:rPr>
      </w:pPr>
      <w:r w:rsidRPr="00CE6AB4">
        <w:rPr>
          <w:rFonts w:ascii="Palatino Linotype" w:eastAsia="Palatino Linotype" w:hAnsi="Palatino Linotype" w:cs="Palatino Linotype"/>
          <w:b/>
          <w:sz w:val="22"/>
          <w:szCs w:val="22"/>
        </w:rPr>
        <w:t>I. A N T E C E D E N T E S</w:t>
      </w:r>
    </w:p>
    <w:p w14:paraId="3658E768" w14:textId="3AC4501C" w:rsidR="00E94030" w:rsidRPr="00CE6AB4" w:rsidRDefault="008D3CF4">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b/>
          <w:sz w:val="22"/>
          <w:szCs w:val="22"/>
        </w:rPr>
        <w:t>1. Solicitud de acceso a la información.</w:t>
      </w:r>
      <w:r w:rsidRPr="00CE6AB4">
        <w:rPr>
          <w:rFonts w:ascii="Palatino Linotype" w:eastAsia="Palatino Linotype" w:hAnsi="Palatino Linotype" w:cs="Palatino Linotype"/>
          <w:sz w:val="22"/>
          <w:szCs w:val="22"/>
        </w:rPr>
        <w:t xml:space="preserve"> El </w:t>
      </w:r>
      <w:r w:rsidR="00A77CFB" w:rsidRPr="00CE6AB4">
        <w:rPr>
          <w:rFonts w:ascii="Palatino Linotype" w:eastAsia="Palatino Linotype" w:hAnsi="Palatino Linotype" w:cs="Palatino Linotype"/>
          <w:b/>
          <w:sz w:val="22"/>
          <w:szCs w:val="22"/>
        </w:rPr>
        <w:t>trece de octubre</w:t>
      </w:r>
      <w:r w:rsidRPr="00CE6AB4">
        <w:rPr>
          <w:rFonts w:ascii="Palatino Linotype" w:eastAsia="Palatino Linotype" w:hAnsi="Palatino Linotype" w:cs="Palatino Linotype"/>
          <w:b/>
          <w:sz w:val="22"/>
          <w:szCs w:val="22"/>
        </w:rPr>
        <w:t xml:space="preserve"> de</w:t>
      </w:r>
      <w:r w:rsidRPr="00CE6AB4">
        <w:rPr>
          <w:rFonts w:ascii="Palatino Linotype" w:eastAsia="Palatino Linotype" w:hAnsi="Palatino Linotype" w:cs="Palatino Linotype"/>
          <w:sz w:val="22"/>
          <w:szCs w:val="22"/>
        </w:rPr>
        <w:t xml:space="preserve"> </w:t>
      </w:r>
      <w:r w:rsidR="006C3C07" w:rsidRPr="00CE6AB4">
        <w:rPr>
          <w:rFonts w:ascii="Palatino Linotype" w:eastAsia="Palatino Linotype" w:hAnsi="Palatino Linotype" w:cs="Palatino Linotype"/>
          <w:b/>
          <w:sz w:val="22"/>
          <w:szCs w:val="22"/>
        </w:rPr>
        <w:t>dos mil veinticinco</w:t>
      </w:r>
      <w:r w:rsidRPr="00CE6AB4">
        <w:rPr>
          <w:rFonts w:ascii="Palatino Linotype" w:eastAsia="Palatino Linotype" w:hAnsi="Palatino Linotype" w:cs="Palatino Linotype"/>
          <w:b/>
          <w:sz w:val="22"/>
          <w:szCs w:val="22"/>
        </w:rPr>
        <w:t>,</w:t>
      </w:r>
      <w:r w:rsidRPr="00CE6AB4">
        <w:rPr>
          <w:rFonts w:ascii="Palatino Linotype" w:eastAsia="Palatino Linotype" w:hAnsi="Palatino Linotype" w:cs="Palatino Linotype"/>
          <w:sz w:val="22"/>
          <w:szCs w:val="22"/>
        </w:rPr>
        <w:t xml:space="preserve"> la parte </w:t>
      </w:r>
      <w:r w:rsidRPr="00CE6AB4">
        <w:rPr>
          <w:rFonts w:ascii="Palatino Linotype" w:eastAsia="Palatino Linotype" w:hAnsi="Palatino Linotype" w:cs="Palatino Linotype"/>
          <w:b/>
          <w:sz w:val="22"/>
          <w:szCs w:val="22"/>
        </w:rPr>
        <w:t xml:space="preserve">Recurrente </w:t>
      </w:r>
      <w:r w:rsidRPr="00CE6AB4">
        <w:rPr>
          <w:rFonts w:ascii="Palatino Linotype" w:eastAsia="Palatino Linotype" w:hAnsi="Palatino Linotype" w:cs="Palatino Linotype"/>
          <w:sz w:val="22"/>
          <w:szCs w:val="22"/>
        </w:rPr>
        <w:t xml:space="preserve">presentó, </w:t>
      </w:r>
      <w:r w:rsidR="00512739" w:rsidRPr="00CE6AB4">
        <w:rPr>
          <w:rFonts w:ascii="Palatino Linotype" w:eastAsia="Palatino Linotype" w:hAnsi="Palatino Linotype" w:cs="Palatino Linotype"/>
          <w:sz w:val="22"/>
          <w:szCs w:val="22"/>
        </w:rPr>
        <w:t xml:space="preserve">la solicitud de acceso a la información pública ante el </w:t>
      </w:r>
      <w:r w:rsidR="00512739" w:rsidRPr="00CE6AB4">
        <w:rPr>
          <w:rFonts w:ascii="Palatino Linotype" w:eastAsia="Palatino Linotype" w:hAnsi="Palatino Linotype" w:cs="Palatino Linotype"/>
          <w:b/>
          <w:sz w:val="22"/>
          <w:szCs w:val="22"/>
        </w:rPr>
        <w:t>Sujeto Obligado</w:t>
      </w:r>
      <w:r w:rsidR="00512739" w:rsidRPr="00CE6AB4">
        <w:rPr>
          <w:rFonts w:ascii="Palatino Linotype" w:eastAsia="Palatino Linotype" w:hAnsi="Palatino Linotype" w:cs="Palatino Linotype"/>
          <w:sz w:val="22"/>
          <w:szCs w:val="22"/>
        </w:rPr>
        <w:t xml:space="preserve">, través del Sistema de Acceso a la Información Mexiquense, en lo subsecuente el </w:t>
      </w:r>
      <w:r w:rsidR="00512739" w:rsidRPr="00CE6AB4">
        <w:rPr>
          <w:rFonts w:ascii="Palatino Linotype" w:eastAsia="Palatino Linotype" w:hAnsi="Palatino Linotype" w:cs="Palatino Linotype"/>
          <w:b/>
          <w:sz w:val="22"/>
          <w:szCs w:val="22"/>
        </w:rPr>
        <w:t>SAIMEX;</w:t>
      </w:r>
      <w:r w:rsidR="00512739" w:rsidRPr="00CE6AB4">
        <w:rPr>
          <w:rFonts w:ascii="Palatino Linotype" w:eastAsia="Palatino Linotype" w:hAnsi="Palatino Linotype" w:cs="Palatino Linotype"/>
          <w:sz w:val="22"/>
          <w:szCs w:val="22"/>
        </w:rPr>
        <w:t xml:space="preserve"> mediante la cual requirió lo siguiente:</w:t>
      </w:r>
      <w:r w:rsidRPr="00CE6AB4">
        <w:rPr>
          <w:rFonts w:ascii="Palatino Linotype" w:eastAsia="Palatino Linotype" w:hAnsi="Palatino Linotype" w:cs="Palatino Linotype"/>
          <w:sz w:val="22"/>
          <w:szCs w:val="22"/>
        </w:rPr>
        <w:t xml:space="preserve"> </w:t>
      </w:r>
    </w:p>
    <w:p w14:paraId="0BB23F46" w14:textId="28AA1644" w:rsidR="00E94030" w:rsidRPr="00CE6AB4" w:rsidRDefault="008D3CF4" w:rsidP="00512739">
      <w:pPr>
        <w:spacing w:before="240" w:after="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CE6AB4">
        <w:rPr>
          <w:rFonts w:ascii="Palatino Linotype" w:eastAsia="Palatino Linotype" w:hAnsi="Palatino Linotype" w:cs="Palatino Linotype"/>
          <w:i/>
          <w:sz w:val="22"/>
          <w:szCs w:val="22"/>
        </w:rPr>
        <w:t>“</w:t>
      </w:r>
      <w:r w:rsidR="00A77CFB" w:rsidRPr="00CE6AB4">
        <w:rPr>
          <w:rFonts w:ascii="Palatino Linotype" w:eastAsia="Palatino Linotype" w:hAnsi="Palatino Linotype" w:cs="Palatino Linotype"/>
          <w:i/>
          <w:sz w:val="22"/>
          <w:szCs w:val="22"/>
        </w:rPr>
        <w:t>CAUSA POR LA CUAL NO SE HAN REALIZADO LAS REPARACIONES DE LAS CALLES GUILLERMO PRIETO Y CAMINO REAL A TOLUCA, SECCION 3 SAN ANDRES CUEXCONTITLAN, DERIVADO DE LOS TRABAJOS DE IMPLEMENTACIÓN DE RED DE AGUA POTABLE, tambien requiero el expediente personal del Director General de este Organismo</w:t>
      </w:r>
      <w:r w:rsidRPr="00CE6AB4">
        <w:rPr>
          <w:rFonts w:ascii="Palatino Linotype" w:eastAsia="Palatino Linotype" w:hAnsi="Palatino Linotype" w:cs="Palatino Linotype"/>
          <w:i/>
          <w:sz w:val="22"/>
          <w:szCs w:val="22"/>
        </w:rPr>
        <w:t xml:space="preserve">” (Sic) </w:t>
      </w:r>
    </w:p>
    <w:p w14:paraId="2F011C9F" w14:textId="77777777" w:rsidR="00E94030" w:rsidRPr="00CE6AB4" w:rsidRDefault="008D3CF4">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b/>
          <w:sz w:val="22"/>
          <w:szCs w:val="22"/>
        </w:rPr>
        <w:t>Modalidad de Entrega:</w:t>
      </w:r>
      <w:r w:rsidRPr="00CE6AB4">
        <w:rPr>
          <w:rFonts w:ascii="Palatino Linotype" w:eastAsia="Palatino Linotype" w:hAnsi="Palatino Linotype" w:cs="Palatino Linotype"/>
          <w:sz w:val="22"/>
          <w:szCs w:val="22"/>
        </w:rPr>
        <w:t xml:space="preserve"> A través del </w:t>
      </w:r>
      <w:r w:rsidRPr="00CE6AB4">
        <w:rPr>
          <w:rFonts w:ascii="Palatino Linotype" w:eastAsia="Palatino Linotype" w:hAnsi="Palatino Linotype" w:cs="Palatino Linotype"/>
          <w:b/>
          <w:sz w:val="22"/>
          <w:szCs w:val="22"/>
        </w:rPr>
        <w:t>SAIMEX</w:t>
      </w:r>
    </w:p>
    <w:p w14:paraId="58B3DEB2" w14:textId="0224949E" w:rsidR="00E94030" w:rsidRPr="00CE6AB4" w:rsidRDefault="008D3CF4" w:rsidP="00D17C43">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CE6AB4">
        <w:rPr>
          <w:rFonts w:ascii="Palatino Linotype" w:eastAsia="Palatino Linotype" w:hAnsi="Palatino Linotype" w:cs="Palatino Linotype"/>
          <w:b/>
          <w:sz w:val="22"/>
          <w:szCs w:val="22"/>
        </w:rPr>
        <w:lastRenderedPageBreak/>
        <w:t xml:space="preserve">2. Respuesta. </w:t>
      </w:r>
      <w:r w:rsidRPr="00CE6AB4">
        <w:rPr>
          <w:rFonts w:ascii="Palatino Linotype" w:eastAsia="Palatino Linotype" w:hAnsi="Palatino Linotype" w:cs="Palatino Linotype"/>
          <w:sz w:val="22"/>
          <w:szCs w:val="22"/>
        </w:rPr>
        <w:t xml:space="preserve">El </w:t>
      </w:r>
      <w:r w:rsidR="00A77CFB" w:rsidRPr="00CE6AB4">
        <w:rPr>
          <w:rFonts w:ascii="Palatino Linotype" w:eastAsia="Palatino Linotype" w:hAnsi="Palatino Linotype" w:cs="Palatino Linotype"/>
          <w:b/>
          <w:sz w:val="22"/>
          <w:szCs w:val="22"/>
        </w:rPr>
        <w:t xml:space="preserve">treinta y uno de octubre </w:t>
      </w:r>
      <w:r w:rsidR="006C3C07" w:rsidRPr="00CE6AB4">
        <w:rPr>
          <w:rFonts w:ascii="Palatino Linotype" w:eastAsia="Palatino Linotype" w:hAnsi="Palatino Linotype" w:cs="Palatino Linotype"/>
          <w:b/>
          <w:sz w:val="22"/>
          <w:szCs w:val="22"/>
        </w:rPr>
        <w:t>de dos mil veinticinco</w:t>
      </w:r>
      <w:r w:rsidRPr="00CE6AB4">
        <w:rPr>
          <w:rFonts w:ascii="Palatino Linotype" w:eastAsia="Palatino Linotype" w:hAnsi="Palatino Linotype" w:cs="Palatino Linotype"/>
          <w:sz w:val="22"/>
          <w:szCs w:val="22"/>
        </w:rPr>
        <w:t xml:space="preserve">, el </w:t>
      </w:r>
      <w:r w:rsidRPr="00CE6AB4">
        <w:rPr>
          <w:rFonts w:ascii="Palatino Linotype" w:eastAsia="Palatino Linotype" w:hAnsi="Palatino Linotype" w:cs="Palatino Linotype"/>
          <w:b/>
          <w:sz w:val="22"/>
          <w:szCs w:val="22"/>
        </w:rPr>
        <w:t xml:space="preserve">Sujeto Obligado </w:t>
      </w:r>
      <w:r w:rsidRPr="00CE6AB4">
        <w:rPr>
          <w:rFonts w:ascii="Palatino Linotype" w:eastAsia="Palatino Linotype" w:hAnsi="Palatino Linotype" w:cs="Palatino Linotype"/>
          <w:sz w:val="22"/>
          <w:szCs w:val="22"/>
        </w:rPr>
        <w:t>envió su respuesta a la solicitud de acceso a la información a través de</w:t>
      </w:r>
      <w:r w:rsidR="001C4EC5" w:rsidRPr="00CE6AB4">
        <w:rPr>
          <w:rFonts w:ascii="Palatino Linotype" w:eastAsia="Palatino Linotype" w:hAnsi="Palatino Linotype" w:cs="Palatino Linotype"/>
          <w:sz w:val="22"/>
          <w:szCs w:val="22"/>
        </w:rPr>
        <w:t>l</w:t>
      </w:r>
      <w:r w:rsidRPr="00CE6AB4">
        <w:rPr>
          <w:rFonts w:ascii="Palatino Linotype" w:eastAsia="Palatino Linotype" w:hAnsi="Palatino Linotype" w:cs="Palatino Linotype"/>
          <w:sz w:val="22"/>
          <w:szCs w:val="22"/>
        </w:rPr>
        <w:t xml:space="preserve"> SAIMEX, sustancialmente en los términos siguientes:   </w:t>
      </w:r>
    </w:p>
    <w:p w14:paraId="505DB5F9" w14:textId="08767B96" w:rsidR="006C3C07" w:rsidRPr="00CE6AB4" w:rsidRDefault="006C3C07" w:rsidP="006C3C07">
      <w:pPr>
        <w:spacing w:before="240" w:after="240"/>
        <w:ind w:left="567" w:right="902"/>
        <w:jc w:val="both"/>
        <w:rPr>
          <w:rFonts w:ascii="Palatino Linotype" w:eastAsia="Palatino Linotype" w:hAnsi="Palatino Linotype" w:cs="Palatino Linotype"/>
          <w:i/>
          <w:sz w:val="22"/>
          <w:szCs w:val="22"/>
        </w:rPr>
      </w:pPr>
      <w:r w:rsidRPr="00CE6AB4">
        <w:rPr>
          <w:rFonts w:ascii="Palatino Linotype" w:eastAsia="Palatino Linotype" w:hAnsi="Palatino Linotype" w:cs="Palatino Linotype"/>
          <w:i/>
          <w:sz w:val="22"/>
          <w:szCs w:val="22"/>
        </w:rPr>
        <w:t>“</w:t>
      </w:r>
      <w:r w:rsidR="00252335" w:rsidRPr="00CE6AB4">
        <w:rPr>
          <w:rFonts w:ascii="Palatino Linotype" w:eastAsia="Palatino Linotype" w:hAnsi="Palatino Linotype" w:cs="Palatino Linotype"/>
          <w:i/>
          <w:sz w:val="22"/>
          <w:szCs w:val="22"/>
        </w:rPr>
        <w:t>RESPUESTA A SOLICITUD 00101/OASTOL/IP/2025, REITERANDO NUESTRA INSTITUCIONALIDAD</w:t>
      </w:r>
      <w:r w:rsidR="0073109C" w:rsidRPr="00CE6AB4">
        <w:rPr>
          <w:rFonts w:ascii="Palatino Linotype" w:eastAsia="Palatino Linotype" w:hAnsi="Palatino Linotype" w:cs="Palatino Linotype"/>
          <w:i/>
          <w:sz w:val="22"/>
          <w:szCs w:val="22"/>
        </w:rPr>
        <w:t>” (sic)</w:t>
      </w:r>
    </w:p>
    <w:p w14:paraId="4D6ADE3C" w14:textId="68684AB5" w:rsidR="0073109C" w:rsidRPr="00CE6AB4" w:rsidRDefault="0073109C" w:rsidP="001C4EC5">
      <w:pPr>
        <w:spacing w:before="240" w:after="240" w:line="360" w:lineRule="auto"/>
        <w:ind w:right="51"/>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El </w:t>
      </w:r>
      <w:r w:rsidRPr="00CE6AB4">
        <w:rPr>
          <w:rFonts w:ascii="Palatino Linotype" w:eastAsia="Palatino Linotype" w:hAnsi="Palatino Linotype" w:cs="Palatino Linotype"/>
          <w:b/>
          <w:sz w:val="22"/>
          <w:szCs w:val="22"/>
        </w:rPr>
        <w:t xml:space="preserve">Sujeto Obligado </w:t>
      </w:r>
      <w:r w:rsidRPr="00CE6AB4">
        <w:rPr>
          <w:rFonts w:ascii="Palatino Linotype" w:eastAsia="Palatino Linotype" w:hAnsi="Palatino Linotype" w:cs="Palatino Linotype"/>
          <w:sz w:val="22"/>
          <w:szCs w:val="22"/>
        </w:rPr>
        <w:t>adjuntó lo siguiente:</w:t>
      </w:r>
    </w:p>
    <w:p w14:paraId="4C0B68BE" w14:textId="5ABE5EE4" w:rsidR="00A77CFB" w:rsidRPr="00CE6AB4" w:rsidRDefault="0073109C" w:rsidP="00D17C43">
      <w:pPr>
        <w:spacing w:before="240" w:after="240" w:line="360" w:lineRule="auto"/>
        <w:ind w:right="51"/>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Oficio número</w:t>
      </w:r>
      <w:r w:rsidR="00D17C43" w:rsidRPr="00CE6AB4">
        <w:rPr>
          <w:rFonts w:ascii="Palatino Linotype" w:eastAsia="Palatino Linotype" w:hAnsi="Palatino Linotype" w:cs="Palatino Linotype"/>
          <w:sz w:val="22"/>
          <w:szCs w:val="22"/>
        </w:rPr>
        <w:t xml:space="preserve"> </w:t>
      </w:r>
      <w:r w:rsidR="00A77CFB" w:rsidRPr="00CE6AB4">
        <w:rPr>
          <w:rFonts w:ascii="Palatino Linotype" w:eastAsia="Palatino Linotype" w:hAnsi="Palatino Linotype" w:cs="Palatino Linotype"/>
          <w:sz w:val="22"/>
          <w:szCs w:val="22"/>
        </w:rPr>
        <w:t>200C16201/164/2025</w:t>
      </w:r>
      <w:r w:rsidRPr="00CE6AB4">
        <w:rPr>
          <w:rFonts w:ascii="Palatino Linotype" w:eastAsia="Palatino Linotype" w:hAnsi="Palatino Linotype" w:cs="Palatino Linotype"/>
          <w:sz w:val="22"/>
          <w:szCs w:val="22"/>
        </w:rPr>
        <w:t xml:space="preserve">, mediante el cual el </w:t>
      </w:r>
      <w:r w:rsidR="00A77CFB" w:rsidRPr="00CE6AB4">
        <w:rPr>
          <w:rFonts w:ascii="Palatino Linotype" w:eastAsia="Palatino Linotype" w:hAnsi="Palatino Linotype" w:cs="Palatino Linotype"/>
          <w:sz w:val="22"/>
          <w:szCs w:val="22"/>
        </w:rPr>
        <w:t>Jefe de Departamento de Transparencia, Oficialía de Partes y Atención Ciudadana notificó a la persona solicitante la respuesta proporcionada por el Director de Planeación, Construcción y</w:t>
      </w:r>
      <w:r w:rsidR="00E45D68" w:rsidRPr="00CE6AB4">
        <w:rPr>
          <w:rFonts w:ascii="Palatino Linotype" w:eastAsia="Palatino Linotype" w:hAnsi="Palatino Linotype" w:cs="Palatino Linotype"/>
          <w:sz w:val="22"/>
          <w:szCs w:val="22"/>
        </w:rPr>
        <w:t xml:space="preserve"> Operación, y</w:t>
      </w:r>
      <w:r w:rsidR="00A77CFB" w:rsidRPr="00CE6AB4">
        <w:rPr>
          <w:rFonts w:ascii="Palatino Linotype" w:eastAsia="Palatino Linotype" w:hAnsi="Palatino Linotype" w:cs="Palatino Linotype"/>
          <w:sz w:val="22"/>
          <w:szCs w:val="22"/>
        </w:rPr>
        <w:t xml:space="preserve"> </w:t>
      </w:r>
      <w:r w:rsidR="00A77CFB" w:rsidRPr="00CE6AB4">
        <w:rPr>
          <w:rFonts w:ascii="Palatino Linotype" w:hAnsi="Palatino Linotype"/>
          <w:sz w:val="22"/>
          <w:szCs w:val="22"/>
        </w:rPr>
        <w:t>la Subdirectora de Recursos Humanos.</w:t>
      </w:r>
    </w:p>
    <w:p w14:paraId="540822BB" w14:textId="413B2884" w:rsidR="00A77CFB" w:rsidRPr="00CE6AB4" w:rsidRDefault="00A77CFB" w:rsidP="00D17C43">
      <w:pPr>
        <w:spacing w:before="240" w:after="240" w:line="360" w:lineRule="auto"/>
        <w:ind w:right="51"/>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 Oficio número </w:t>
      </w:r>
      <w:r w:rsidRPr="00CE6AB4">
        <w:rPr>
          <w:rFonts w:ascii="Palatino Linotype" w:hAnsi="Palatino Linotype"/>
          <w:sz w:val="22"/>
          <w:szCs w:val="22"/>
        </w:rPr>
        <w:t xml:space="preserve">200C11000/2852/2025, mediante el cual el </w:t>
      </w:r>
      <w:r w:rsidR="00750532" w:rsidRPr="00CE6AB4">
        <w:rPr>
          <w:rFonts w:ascii="Palatino Linotype" w:eastAsia="Palatino Linotype" w:hAnsi="Palatino Linotype" w:cs="Palatino Linotype"/>
          <w:sz w:val="22"/>
          <w:szCs w:val="22"/>
        </w:rPr>
        <w:t>Director de Planeación, Construcción</w:t>
      </w:r>
      <w:r w:rsidR="00030F96" w:rsidRPr="00CE6AB4">
        <w:rPr>
          <w:rFonts w:ascii="Palatino Linotype" w:eastAsia="Palatino Linotype" w:hAnsi="Palatino Linotype" w:cs="Palatino Linotype"/>
          <w:sz w:val="22"/>
          <w:szCs w:val="22"/>
        </w:rPr>
        <w:t xml:space="preserve"> y Operación</w:t>
      </w:r>
      <w:r w:rsidR="00750532" w:rsidRPr="00CE6AB4">
        <w:rPr>
          <w:rFonts w:ascii="Palatino Linotype" w:eastAsia="Palatino Linotype" w:hAnsi="Palatino Linotype" w:cs="Palatino Linotype"/>
          <w:sz w:val="22"/>
          <w:szCs w:val="22"/>
        </w:rPr>
        <w:t xml:space="preserve"> refirió lo siguiente:</w:t>
      </w:r>
    </w:p>
    <w:p w14:paraId="2ECCA39D" w14:textId="77777777" w:rsidR="00750532" w:rsidRPr="00CE6AB4" w:rsidRDefault="00750532" w:rsidP="00750532">
      <w:pPr>
        <w:spacing w:before="120" w:after="120"/>
        <w:ind w:left="851" w:right="902"/>
        <w:jc w:val="both"/>
        <w:rPr>
          <w:rFonts w:ascii="Palatino Linotype" w:hAnsi="Palatino Linotype"/>
          <w:i/>
          <w:sz w:val="22"/>
          <w:szCs w:val="22"/>
        </w:rPr>
      </w:pPr>
      <w:r w:rsidRPr="00CE6AB4">
        <w:rPr>
          <w:rFonts w:ascii="Palatino Linotype" w:eastAsia="Palatino Linotype" w:hAnsi="Palatino Linotype" w:cs="Palatino Linotype"/>
          <w:i/>
          <w:sz w:val="22"/>
          <w:szCs w:val="22"/>
        </w:rPr>
        <w:t>“</w:t>
      </w:r>
      <w:r w:rsidRPr="00CE6AB4">
        <w:rPr>
          <w:rFonts w:ascii="Palatino Linotype" w:hAnsi="Palatino Linotype"/>
          <w:i/>
          <w:sz w:val="22"/>
          <w:szCs w:val="22"/>
        </w:rPr>
        <w:t xml:space="preserve">Primeramente, es necesario apuntar que los trabajos para la ampliación de red de agua potable devinieron de un convenio de colaboración suscrito entre los vecinos de la zona y este Organismo el día 21 de febrero del2025, dichos trabajos se retomaron por parte de esta administración el día 02 de abril del año en curso llevándose a cabo las siguientes acciones: </w:t>
      </w:r>
    </w:p>
    <w:p w14:paraId="563567E0" w14:textId="12D78E83" w:rsidR="00750532" w:rsidRPr="00CE6AB4" w:rsidRDefault="00750532" w:rsidP="00750532">
      <w:pPr>
        <w:spacing w:before="120" w:after="120"/>
        <w:ind w:left="851" w:right="902"/>
        <w:jc w:val="both"/>
        <w:rPr>
          <w:rFonts w:ascii="Palatino Linotype" w:hAnsi="Palatino Linotype"/>
          <w:i/>
          <w:sz w:val="22"/>
          <w:szCs w:val="22"/>
        </w:rPr>
      </w:pPr>
      <w:r w:rsidRPr="00CE6AB4">
        <w:rPr>
          <w:rFonts w:ascii="Palatino Linotype" w:hAnsi="Palatino Linotype"/>
          <w:i/>
          <w:sz w:val="22"/>
          <w:szCs w:val="22"/>
        </w:rPr>
        <w:t xml:space="preserve">- Instalación de 114 metros de tubería de agua potable de 3" de diámetro en la calle Sebastián Lerdo de Tejada. </w:t>
      </w:r>
    </w:p>
    <w:p w14:paraId="4C29EF3F" w14:textId="50A0B85E" w:rsidR="00750532" w:rsidRPr="00CE6AB4" w:rsidRDefault="00750532" w:rsidP="00750532">
      <w:pPr>
        <w:spacing w:before="120" w:after="120"/>
        <w:ind w:left="851" w:right="902"/>
        <w:jc w:val="both"/>
        <w:rPr>
          <w:rFonts w:ascii="Palatino Linotype" w:hAnsi="Palatino Linotype"/>
          <w:i/>
          <w:sz w:val="22"/>
          <w:szCs w:val="22"/>
        </w:rPr>
      </w:pPr>
      <w:r w:rsidRPr="00CE6AB4">
        <w:rPr>
          <w:rFonts w:ascii="Palatino Linotype" w:hAnsi="Palatino Linotype"/>
          <w:i/>
          <w:sz w:val="22"/>
          <w:szCs w:val="22"/>
        </w:rPr>
        <w:t xml:space="preserve">- Durante el periodo comprendido entre los días del 03 al 07 de abril, se realizó la interconexión de la tubería de la calle Sebastián Lerdo de Tejada a la calle Fray Servando Teresa de Mier, con un diámetro de tres pulgadas, así mismo, se efectuó la construcción de una caja de operación de válvulas. </w:t>
      </w:r>
    </w:p>
    <w:p w14:paraId="59059D06" w14:textId="31082BE3" w:rsidR="00750532" w:rsidRPr="00CE6AB4" w:rsidRDefault="00750532" w:rsidP="00750532">
      <w:pPr>
        <w:spacing w:before="120" w:after="120"/>
        <w:ind w:left="851" w:right="902"/>
        <w:jc w:val="both"/>
        <w:rPr>
          <w:rFonts w:ascii="Palatino Linotype" w:hAnsi="Palatino Linotype"/>
          <w:i/>
          <w:sz w:val="22"/>
          <w:szCs w:val="22"/>
        </w:rPr>
      </w:pPr>
      <w:r w:rsidRPr="00CE6AB4">
        <w:rPr>
          <w:rFonts w:ascii="Palatino Linotype" w:hAnsi="Palatino Linotype"/>
          <w:i/>
          <w:sz w:val="22"/>
          <w:szCs w:val="22"/>
        </w:rPr>
        <w:t xml:space="preserve">- Los días 08 y 09 de abril se realizó la interconexión de la tubería de Guillermo Prieto de 3" a 2 1/2", y se construyó una caja de operación de válvulas. </w:t>
      </w:r>
    </w:p>
    <w:p w14:paraId="2A4D2EEB" w14:textId="08BDF33B" w:rsidR="00750532" w:rsidRPr="00CE6AB4" w:rsidRDefault="00750532" w:rsidP="00750532">
      <w:pPr>
        <w:spacing w:before="120" w:after="120"/>
        <w:ind w:left="851" w:right="902"/>
        <w:jc w:val="both"/>
        <w:rPr>
          <w:rFonts w:ascii="Palatino Linotype" w:hAnsi="Palatino Linotype"/>
          <w:i/>
          <w:sz w:val="22"/>
          <w:szCs w:val="22"/>
        </w:rPr>
      </w:pPr>
      <w:r w:rsidRPr="00CE6AB4">
        <w:rPr>
          <w:rFonts w:ascii="Palatino Linotype" w:hAnsi="Palatino Linotype"/>
          <w:i/>
          <w:sz w:val="22"/>
          <w:szCs w:val="22"/>
        </w:rPr>
        <w:t>- Durante los días del 19 al 21 de abril, se llevó a cabo la instalación de 114 metros de tubería de 3" PVC, en la calle Camino Real a Toluc</w:t>
      </w:r>
      <w:bookmarkStart w:id="3" w:name="_GoBack"/>
      <w:bookmarkEnd w:id="3"/>
      <w:r w:rsidRPr="00CE6AB4">
        <w:rPr>
          <w:rFonts w:ascii="Palatino Linotype" w:hAnsi="Palatino Linotype"/>
          <w:i/>
          <w:sz w:val="22"/>
          <w:szCs w:val="22"/>
        </w:rPr>
        <w:t xml:space="preserve">a. </w:t>
      </w:r>
    </w:p>
    <w:p w14:paraId="1C8CEEBF" w14:textId="0D512F11" w:rsidR="00750532" w:rsidRPr="00CE6AB4" w:rsidRDefault="00750532" w:rsidP="00750532">
      <w:pPr>
        <w:spacing w:before="120" w:after="120"/>
        <w:ind w:left="851" w:right="902"/>
        <w:jc w:val="both"/>
        <w:rPr>
          <w:rFonts w:ascii="Palatino Linotype" w:hAnsi="Palatino Linotype"/>
          <w:i/>
          <w:sz w:val="22"/>
          <w:szCs w:val="22"/>
        </w:rPr>
      </w:pPr>
      <w:r w:rsidRPr="00CE6AB4">
        <w:rPr>
          <w:rFonts w:ascii="Palatino Linotype" w:hAnsi="Palatino Linotype"/>
          <w:i/>
          <w:sz w:val="22"/>
          <w:szCs w:val="22"/>
        </w:rPr>
        <w:t xml:space="preserve">- Entre los días del 21 al 30 de abril, se realizaron las interconexiones en: </w:t>
      </w:r>
    </w:p>
    <w:p w14:paraId="26DE73BF" w14:textId="77777777" w:rsidR="00750532" w:rsidRPr="00CE6AB4" w:rsidRDefault="00750532" w:rsidP="00750532">
      <w:pPr>
        <w:spacing w:before="120" w:after="120"/>
        <w:ind w:left="851" w:right="902"/>
        <w:jc w:val="both"/>
        <w:rPr>
          <w:rFonts w:ascii="Palatino Linotype" w:hAnsi="Palatino Linotype"/>
          <w:i/>
          <w:sz w:val="22"/>
          <w:szCs w:val="22"/>
        </w:rPr>
      </w:pPr>
      <w:r w:rsidRPr="00CE6AB4">
        <w:rPr>
          <w:rFonts w:ascii="Palatino Linotype" w:hAnsi="Palatino Linotype"/>
          <w:i/>
          <w:sz w:val="22"/>
          <w:szCs w:val="22"/>
        </w:rPr>
        <w:lastRenderedPageBreak/>
        <w:t xml:space="preserve">1. Guillermo Prieto esquina Camino Real a Toluca de 4" a 3", así como la construcción de la caja de operación de válvulas. </w:t>
      </w:r>
    </w:p>
    <w:p w14:paraId="4A1EC5F3" w14:textId="3F0B3CC8" w:rsidR="00750532" w:rsidRPr="00CE6AB4" w:rsidRDefault="00750532" w:rsidP="00750532">
      <w:pPr>
        <w:spacing w:before="120" w:after="120"/>
        <w:ind w:left="851" w:right="902"/>
        <w:jc w:val="both"/>
        <w:rPr>
          <w:rFonts w:ascii="Palatino Linotype" w:hAnsi="Palatino Linotype"/>
          <w:i/>
          <w:sz w:val="22"/>
          <w:szCs w:val="22"/>
        </w:rPr>
      </w:pPr>
      <w:r w:rsidRPr="00CE6AB4">
        <w:rPr>
          <w:rFonts w:ascii="Palatino Linotype" w:hAnsi="Palatino Linotype"/>
          <w:i/>
          <w:sz w:val="22"/>
          <w:szCs w:val="22"/>
        </w:rPr>
        <w:t>2. Guillermo Prieto esquina 20 de noviembre de 6" a 4", así mismo la construcción de cajas de operación de válvulas.</w:t>
      </w:r>
    </w:p>
    <w:p w14:paraId="75D11994" w14:textId="77777777" w:rsidR="00750532" w:rsidRPr="00CE6AB4" w:rsidRDefault="00750532" w:rsidP="00750532">
      <w:pPr>
        <w:spacing w:before="120" w:after="120"/>
        <w:ind w:left="851" w:right="902"/>
        <w:jc w:val="both"/>
        <w:rPr>
          <w:rFonts w:ascii="Palatino Linotype" w:hAnsi="Palatino Linotype"/>
          <w:i/>
          <w:sz w:val="22"/>
          <w:szCs w:val="22"/>
        </w:rPr>
      </w:pPr>
      <w:r w:rsidRPr="00CE6AB4">
        <w:rPr>
          <w:rFonts w:ascii="Palatino Linotype" w:hAnsi="Palatino Linotype"/>
          <w:i/>
          <w:sz w:val="22"/>
          <w:szCs w:val="22"/>
        </w:rPr>
        <w:t>Finalmente, durante los días comprendidos entre el 09 de mayo al 28 de julio del año en curso, se llevaron a cabo las conexiones de tomas domesticas en las calles: Fray Servando Teresa de Mier, Sebastián Lerdo de Tejada, Camino Real a Toluca, Guillermo Prieto y 1er privada de Guillermo Prieto.</w:t>
      </w:r>
    </w:p>
    <w:p w14:paraId="7BB62C2B" w14:textId="34D37217" w:rsidR="00750532" w:rsidRPr="00CE6AB4" w:rsidRDefault="00750532" w:rsidP="00750532">
      <w:pPr>
        <w:spacing w:before="120" w:after="120"/>
        <w:ind w:left="851" w:right="902"/>
        <w:jc w:val="both"/>
        <w:rPr>
          <w:rFonts w:ascii="Palatino Linotype" w:eastAsia="Palatino Linotype" w:hAnsi="Palatino Linotype" w:cs="Palatino Linotype"/>
          <w:i/>
          <w:sz w:val="22"/>
          <w:szCs w:val="22"/>
        </w:rPr>
      </w:pPr>
      <w:r w:rsidRPr="00CE6AB4">
        <w:rPr>
          <w:rFonts w:ascii="Palatino Linotype" w:hAnsi="Palatino Linotype"/>
          <w:i/>
          <w:sz w:val="22"/>
          <w:szCs w:val="22"/>
        </w:rPr>
        <w:t>En ese orden de ideas, es necesario apuntar que, para obtener certeza de una correcta y oportuna ejecución de las labores en comento, es necesario que se obtenga un conceso por parte de los vecinos involucrados y se garantice el abastecimiento de los materiales a emplear.”</w:t>
      </w:r>
    </w:p>
    <w:p w14:paraId="7E8759B1" w14:textId="1D129626" w:rsidR="00750532" w:rsidRPr="00CE6AB4" w:rsidRDefault="00750532" w:rsidP="001C4EC5">
      <w:pPr>
        <w:spacing w:before="240" w:after="240" w:line="360" w:lineRule="auto"/>
        <w:ind w:right="51"/>
        <w:jc w:val="both"/>
        <w:rPr>
          <w:rFonts w:ascii="Palatino Linotype" w:hAnsi="Palatino Linotype"/>
          <w:sz w:val="22"/>
          <w:szCs w:val="22"/>
        </w:rPr>
      </w:pPr>
      <w:r w:rsidRPr="00CE6AB4">
        <w:rPr>
          <w:rFonts w:ascii="Palatino Linotype" w:eastAsia="Palatino Linotype" w:hAnsi="Palatino Linotype" w:cs="Palatino Linotype"/>
          <w:sz w:val="22"/>
          <w:szCs w:val="22"/>
        </w:rPr>
        <w:t xml:space="preserve">- Oficio número </w:t>
      </w:r>
      <w:r w:rsidRPr="00CE6AB4">
        <w:rPr>
          <w:rFonts w:ascii="Palatino Linotype" w:hAnsi="Palatino Linotype"/>
          <w:sz w:val="22"/>
          <w:szCs w:val="22"/>
        </w:rPr>
        <w:t xml:space="preserve">200C13200/700/2025, mediante la Subdirectora de Recursos Humanos, </w:t>
      </w:r>
      <w:r w:rsidR="00373271" w:rsidRPr="00CE6AB4">
        <w:rPr>
          <w:rFonts w:ascii="Palatino Linotype" w:hAnsi="Palatino Linotype"/>
          <w:sz w:val="22"/>
          <w:szCs w:val="22"/>
        </w:rPr>
        <w:t>refirió adjuntar en medio electrónico la información con la que se cuenta en la Subdirección a su cargo del servidor público referido en la solicitud.</w:t>
      </w:r>
    </w:p>
    <w:p w14:paraId="48F721A5" w14:textId="132B6DA2" w:rsidR="00750532" w:rsidRPr="00CE6AB4" w:rsidRDefault="00252335" w:rsidP="001C4EC5">
      <w:pPr>
        <w:spacing w:before="240" w:after="240" w:line="360" w:lineRule="auto"/>
        <w:ind w:right="51"/>
        <w:jc w:val="both"/>
        <w:rPr>
          <w:rFonts w:ascii="Palatino Linotype" w:hAnsi="Palatino Linotype"/>
          <w:sz w:val="22"/>
          <w:szCs w:val="22"/>
        </w:rPr>
      </w:pPr>
      <w:r w:rsidRPr="00CE6AB4">
        <w:rPr>
          <w:rFonts w:ascii="Palatino Linotype" w:hAnsi="Palatino Linotype"/>
          <w:sz w:val="22"/>
          <w:szCs w:val="22"/>
        </w:rPr>
        <w:t>- Expediente de personal del servidor público referido en la solicitud.</w:t>
      </w:r>
    </w:p>
    <w:p w14:paraId="57238E9F" w14:textId="48F96FCA" w:rsidR="001C4EC5" w:rsidRPr="00CE6AB4" w:rsidRDefault="00D17C43" w:rsidP="001C4EC5">
      <w:pPr>
        <w:spacing w:before="240" w:after="240" w:line="360" w:lineRule="auto"/>
        <w:ind w:right="51"/>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b/>
          <w:sz w:val="22"/>
          <w:szCs w:val="22"/>
        </w:rPr>
        <w:t>3</w:t>
      </w:r>
      <w:r w:rsidR="008D3CF4" w:rsidRPr="00CE6AB4">
        <w:rPr>
          <w:rFonts w:ascii="Palatino Linotype" w:eastAsia="Palatino Linotype" w:hAnsi="Palatino Linotype" w:cs="Palatino Linotype"/>
          <w:b/>
          <w:sz w:val="22"/>
          <w:szCs w:val="22"/>
        </w:rPr>
        <w:t xml:space="preserve">. </w:t>
      </w:r>
      <w:r w:rsidR="001C4EC5" w:rsidRPr="00CE6AB4">
        <w:rPr>
          <w:rFonts w:ascii="Palatino Linotype" w:eastAsia="Palatino Linotype" w:hAnsi="Palatino Linotype" w:cs="Palatino Linotype"/>
          <w:b/>
          <w:sz w:val="22"/>
          <w:szCs w:val="22"/>
        </w:rPr>
        <w:t xml:space="preserve">Interposición del recurso de revisión. </w:t>
      </w:r>
      <w:r w:rsidR="001C4EC5" w:rsidRPr="00CE6AB4">
        <w:rPr>
          <w:rFonts w:ascii="Palatino Linotype" w:eastAsia="Palatino Linotype" w:hAnsi="Palatino Linotype" w:cs="Palatino Linotype"/>
          <w:sz w:val="22"/>
          <w:szCs w:val="22"/>
        </w:rPr>
        <w:t xml:space="preserve">Inconforme con los términos de la respuesta emitida por parte del </w:t>
      </w:r>
      <w:r w:rsidR="001C4EC5" w:rsidRPr="00CE6AB4">
        <w:rPr>
          <w:rFonts w:ascii="Palatino Linotype" w:eastAsia="Palatino Linotype" w:hAnsi="Palatino Linotype" w:cs="Palatino Linotype"/>
          <w:b/>
          <w:sz w:val="22"/>
          <w:szCs w:val="22"/>
        </w:rPr>
        <w:t>Sujeto Obligado</w:t>
      </w:r>
      <w:r w:rsidR="001C4EC5" w:rsidRPr="00CE6AB4">
        <w:rPr>
          <w:rFonts w:ascii="Palatino Linotype" w:eastAsia="Palatino Linotype" w:hAnsi="Palatino Linotype" w:cs="Palatino Linotype"/>
          <w:sz w:val="22"/>
          <w:szCs w:val="22"/>
        </w:rPr>
        <w:t xml:space="preserve">, el </w:t>
      </w:r>
      <w:r w:rsidR="00ED0396" w:rsidRPr="00CE6AB4">
        <w:rPr>
          <w:rFonts w:ascii="Palatino Linotype" w:eastAsia="Palatino Linotype" w:hAnsi="Palatino Linotype" w:cs="Palatino Linotype"/>
          <w:b/>
          <w:sz w:val="22"/>
          <w:szCs w:val="22"/>
        </w:rPr>
        <w:t>tres de noviembre</w:t>
      </w:r>
      <w:r w:rsidR="001E0A01" w:rsidRPr="00CE6AB4">
        <w:rPr>
          <w:rFonts w:ascii="Palatino Linotype" w:eastAsia="Palatino Linotype" w:hAnsi="Palatino Linotype" w:cs="Palatino Linotype"/>
          <w:b/>
          <w:sz w:val="22"/>
          <w:szCs w:val="22"/>
        </w:rPr>
        <w:t xml:space="preserve"> de d</w:t>
      </w:r>
      <w:r w:rsidR="001C4EC5" w:rsidRPr="00CE6AB4">
        <w:rPr>
          <w:rFonts w:ascii="Palatino Linotype" w:eastAsia="Palatino Linotype" w:hAnsi="Palatino Linotype" w:cs="Palatino Linotype"/>
          <w:b/>
          <w:sz w:val="22"/>
          <w:szCs w:val="22"/>
        </w:rPr>
        <w:t>os mil veinticinco,</w:t>
      </w:r>
      <w:r w:rsidR="001C4EC5" w:rsidRPr="00CE6AB4">
        <w:rPr>
          <w:rFonts w:ascii="Palatino Linotype" w:eastAsia="Palatino Linotype" w:hAnsi="Palatino Linotype" w:cs="Palatino Linotype"/>
          <w:sz w:val="22"/>
          <w:szCs w:val="22"/>
        </w:rPr>
        <w:t xml:space="preserve"> la parte </w:t>
      </w:r>
      <w:r w:rsidR="001C4EC5" w:rsidRPr="00CE6AB4">
        <w:rPr>
          <w:rFonts w:ascii="Palatino Linotype" w:eastAsia="Palatino Linotype" w:hAnsi="Palatino Linotype" w:cs="Palatino Linotype"/>
          <w:b/>
          <w:sz w:val="22"/>
          <w:szCs w:val="22"/>
        </w:rPr>
        <w:t>Recurrente</w:t>
      </w:r>
      <w:r w:rsidR="001C4EC5" w:rsidRPr="00CE6AB4">
        <w:rPr>
          <w:rFonts w:ascii="Palatino Linotype" w:eastAsia="Palatino Linotype" w:hAnsi="Palatino Linotype" w:cs="Palatino Linotype"/>
          <w:sz w:val="22"/>
          <w:szCs w:val="22"/>
        </w:rPr>
        <w:t xml:space="preserve"> interpuso el recurso de revisión a través de </w:t>
      </w:r>
      <w:r w:rsidR="001C4EC5" w:rsidRPr="00CE6AB4">
        <w:rPr>
          <w:rFonts w:ascii="Palatino Linotype" w:eastAsia="Palatino Linotype" w:hAnsi="Palatino Linotype" w:cs="Palatino Linotype"/>
          <w:b/>
          <w:sz w:val="22"/>
          <w:szCs w:val="22"/>
        </w:rPr>
        <w:t xml:space="preserve">SAIMEX, </w:t>
      </w:r>
      <w:r w:rsidR="00E046E4" w:rsidRPr="00CE6AB4">
        <w:rPr>
          <w:rFonts w:ascii="Palatino Linotype" w:eastAsia="Palatino Linotype" w:hAnsi="Palatino Linotype" w:cs="Palatino Linotype"/>
          <w:sz w:val="22"/>
          <w:szCs w:val="22"/>
        </w:rPr>
        <w:t xml:space="preserve">sin embargo, al corresponder a un día inhábil se tuvo por presentado el día </w:t>
      </w:r>
      <w:r w:rsidR="00E046E4" w:rsidRPr="00CE6AB4">
        <w:rPr>
          <w:rFonts w:ascii="Palatino Linotype" w:eastAsia="Palatino Linotype" w:hAnsi="Palatino Linotype" w:cs="Palatino Linotype"/>
          <w:b/>
          <w:sz w:val="22"/>
          <w:szCs w:val="22"/>
        </w:rPr>
        <w:t xml:space="preserve">veinticinco de agosto de dos mil veinticinco, </w:t>
      </w:r>
      <w:r w:rsidR="001C4EC5" w:rsidRPr="00CE6AB4">
        <w:rPr>
          <w:rFonts w:ascii="Palatino Linotype" w:eastAsia="Palatino Linotype" w:hAnsi="Palatino Linotype" w:cs="Palatino Linotype"/>
          <w:sz w:val="22"/>
          <w:szCs w:val="22"/>
        </w:rPr>
        <w:t>en donde se manifestó de la siguiente manera:</w:t>
      </w:r>
    </w:p>
    <w:p w14:paraId="0A23469A" w14:textId="77777777" w:rsidR="001C4EC5" w:rsidRPr="00CE6AB4" w:rsidRDefault="001C4EC5" w:rsidP="001C4EC5">
      <w:pPr>
        <w:tabs>
          <w:tab w:val="left" w:pos="2400"/>
        </w:tabs>
        <w:spacing w:before="240" w:after="240" w:line="360" w:lineRule="auto"/>
        <w:jc w:val="both"/>
        <w:rPr>
          <w:rFonts w:ascii="Palatino Linotype" w:eastAsia="Palatino Linotype" w:hAnsi="Palatino Linotype" w:cs="Palatino Linotype"/>
          <w:b/>
          <w:sz w:val="22"/>
          <w:szCs w:val="22"/>
        </w:rPr>
      </w:pPr>
      <w:r w:rsidRPr="00CE6AB4">
        <w:rPr>
          <w:rFonts w:ascii="Palatino Linotype" w:eastAsia="Palatino Linotype" w:hAnsi="Palatino Linotype" w:cs="Palatino Linotype"/>
          <w:b/>
          <w:sz w:val="22"/>
          <w:szCs w:val="22"/>
        </w:rPr>
        <w:t xml:space="preserve">Acto impugnado: </w:t>
      </w:r>
      <w:r w:rsidRPr="00CE6AB4">
        <w:rPr>
          <w:rFonts w:ascii="Palatino Linotype" w:eastAsia="Palatino Linotype" w:hAnsi="Palatino Linotype" w:cs="Palatino Linotype"/>
          <w:b/>
          <w:sz w:val="22"/>
          <w:szCs w:val="22"/>
        </w:rPr>
        <w:tab/>
      </w:r>
    </w:p>
    <w:p w14:paraId="06583773" w14:textId="169866B5" w:rsidR="001C4EC5" w:rsidRPr="00CE6AB4" w:rsidRDefault="001C4EC5" w:rsidP="001C4EC5">
      <w:pPr>
        <w:tabs>
          <w:tab w:val="left" w:pos="2745"/>
        </w:tabs>
        <w:spacing w:before="240" w:after="240"/>
        <w:ind w:left="851" w:right="900"/>
        <w:jc w:val="both"/>
        <w:rPr>
          <w:rFonts w:ascii="Palatino Linotype" w:eastAsia="Palatino Linotype" w:hAnsi="Palatino Linotype" w:cs="Palatino Linotype"/>
          <w:i/>
          <w:sz w:val="22"/>
          <w:szCs w:val="22"/>
        </w:rPr>
      </w:pPr>
      <w:r w:rsidRPr="00CE6AB4">
        <w:rPr>
          <w:rFonts w:ascii="Palatino Linotype" w:eastAsia="Palatino Linotype" w:hAnsi="Palatino Linotype" w:cs="Palatino Linotype"/>
          <w:i/>
          <w:sz w:val="22"/>
          <w:szCs w:val="22"/>
        </w:rPr>
        <w:t>“</w:t>
      </w:r>
      <w:r w:rsidR="00252335" w:rsidRPr="00CE6AB4">
        <w:rPr>
          <w:rFonts w:ascii="Palatino Linotype" w:eastAsia="Palatino Linotype" w:hAnsi="Palatino Linotype" w:cs="Palatino Linotype"/>
          <w:i/>
          <w:sz w:val="22"/>
          <w:szCs w:val="22"/>
        </w:rPr>
        <w:t xml:space="preserve">la respuesta, no responde a lo preguntado , </w:t>
      </w:r>
      <w:r w:rsidR="00252335" w:rsidRPr="00CE6AB4">
        <w:rPr>
          <w:rFonts w:ascii="Palatino Linotype" w:eastAsia="Palatino Linotype" w:hAnsi="Palatino Linotype" w:cs="Palatino Linotype"/>
          <w:b/>
          <w:i/>
          <w:sz w:val="22"/>
          <w:szCs w:val="22"/>
          <w:u w:val="single"/>
        </w:rPr>
        <w:t>no dice cuando se van a arreglar las calles mencionados</w:t>
      </w:r>
      <w:r w:rsidRPr="00CE6AB4">
        <w:rPr>
          <w:rFonts w:ascii="Palatino Linotype" w:eastAsia="Palatino Linotype" w:hAnsi="Palatino Linotype" w:cs="Palatino Linotype"/>
          <w:i/>
          <w:sz w:val="22"/>
          <w:szCs w:val="22"/>
        </w:rPr>
        <w:t>” (sic)</w:t>
      </w:r>
    </w:p>
    <w:p w14:paraId="0153DE6B" w14:textId="77777777" w:rsidR="001C4EC5" w:rsidRPr="00CE6AB4" w:rsidRDefault="001C4EC5" w:rsidP="001C4EC5">
      <w:pPr>
        <w:spacing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b/>
          <w:sz w:val="22"/>
          <w:szCs w:val="22"/>
        </w:rPr>
        <w:t>Y, Razones o motivos de inconformidad</w:t>
      </w:r>
      <w:r w:rsidRPr="00CE6AB4">
        <w:rPr>
          <w:rFonts w:ascii="Palatino Linotype" w:eastAsia="Palatino Linotype" w:hAnsi="Palatino Linotype" w:cs="Palatino Linotype"/>
          <w:sz w:val="22"/>
          <w:szCs w:val="22"/>
        </w:rPr>
        <w:t>:</w:t>
      </w:r>
    </w:p>
    <w:p w14:paraId="098865B9" w14:textId="5CDDB244" w:rsidR="001C4EC5" w:rsidRPr="00CE6AB4" w:rsidRDefault="001C4EC5" w:rsidP="001C4EC5">
      <w:pPr>
        <w:tabs>
          <w:tab w:val="left" w:pos="2745"/>
        </w:tabs>
        <w:spacing w:before="240" w:after="240"/>
        <w:ind w:left="851" w:right="900"/>
        <w:jc w:val="both"/>
        <w:rPr>
          <w:rFonts w:ascii="Palatino Linotype" w:eastAsia="Palatino Linotype" w:hAnsi="Palatino Linotype" w:cs="Palatino Linotype"/>
          <w:i/>
          <w:sz w:val="22"/>
          <w:szCs w:val="22"/>
        </w:rPr>
      </w:pPr>
      <w:r w:rsidRPr="00CE6AB4">
        <w:rPr>
          <w:rFonts w:ascii="Palatino Linotype" w:eastAsia="Palatino Linotype" w:hAnsi="Palatino Linotype" w:cs="Palatino Linotype"/>
          <w:i/>
          <w:sz w:val="22"/>
          <w:szCs w:val="22"/>
        </w:rPr>
        <w:t>“</w:t>
      </w:r>
      <w:r w:rsidR="00252335" w:rsidRPr="00CE6AB4">
        <w:rPr>
          <w:rFonts w:ascii="Palatino Linotype" w:eastAsia="Palatino Linotype" w:hAnsi="Palatino Linotype" w:cs="Palatino Linotype"/>
          <w:i/>
          <w:sz w:val="22"/>
          <w:szCs w:val="22"/>
        </w:rPr>
        <w:t>alargan el procedimiento de acceso a la información no responden lo solicitado</w:t>
      </w:r>
      <w:r w:rsidRPr="00CE6AB4">
        <w:rPr>
          <w:rFonts w:ascii="Palatino Linotype" w:eastAsia="Palatino Linotype" w:hAnsi="Palatino Linotype" w:cs="Palatino Linotype"/>
          <w:i/>
          <w:sz w:val="22"/>
          <w:szCs w:val="22"/>
        </w:rPr>
        <w:t>” (sic)</w:t>
      </w:r>
    </w:p>
    <w:p w14:paraId="5A92632A" w14:textId="45C5FC61" w:rsidR="00E94030" w:rsidRPr="00CE6AB4" w:rsidRDefault="00D17C43">
      <w:pPr>
        <w:spacing w:before="240" w:after="240" w:line="360" w:lineRule="auto"/>
        <w:ind w:right="51"/>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b/>
          <w:sz w:val="22"/>
          <w:szCs w:val="22"/>
        </w:rPr>
        <w:t>4</w:t>
      </w:r>
      <w:r w:rsidR="008D3CF4" w:rsidRPr="00CE6AB4">
        <w:rPr>
          <w:rFonts w:ascii="Palatino Linotype" w:eastAsia="Palatino Linotype" w:hAnsi="Palatino Linotype" w:cs="Palatino Linotype"/>
          <w:b/>
          <w:sz w:val="22"/>
          <w:szCs w:val="22"/>
        </w:rPr>
        <w:t xml:space="preserve">. Turno. </w:t>
      </w:r>
      <w:r w:rsidR="008D3CF4" w:rsidRPr="00CE6AB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8D3CF4" w:rsidRPr="00CE6AB4">
        <w:rPr>
          <w:rFonts w:ascii="Palatino Linotype" w:eastAsia="Palatino Linotype" w:hAnsi="Palatino Linotype" w:cs="Palatino Linotype"/>
          <w:b/>
          <w:sz w:val="22"/>
          <w:szCs w:val="22"/>
        </w:rPr>
        <w:t xml:space="preserve">Guadalupe Ramírez Peña, </w:t>
      </w:r>
      <w:r w:rsidR="008D3CF4" w:rsidRPr="00CE6AB4">
        <w:rPr>
          <w:rFonts w:ascii="Palatino Linotype" w:eastAsia="Palatino Linotype" w:hAnsi="Palatino Linotype" w:cs="Palatino Linotype"/>
          <w:sz w:val="22"/>
          <w:szCs w:val="22"/>
        </w:rPr>
        <w:t>a efecto de que analizara sobre su admisión o su desechamiento.</w:t>
      </w:r>
    </w:p>
    <w:p w14:paraId="3CF31CD9" w14:textId="205E6C6C" w:rsidR="00E94030" w:rsidRPr="00CE6AB4" w:rsidRDefault="00D17C43">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b/>
          <w:sz w:val="22"/>
          <w:szCs w:val="22"/>
        </w:rPr>
        <w:t>5</w:t>
      </w:r>
      <w:r w:rsidR="008D3CF4" w:rsidRPr="00CE6AB4">
        <w:rPr>
          <w:rFonts w:ascii="Palatino Linotype" w:eastAsia="Palatino Linotype" w:hAnsi="Palatino Linotype" w:cs="Palatino Linotype"/>
          <w:b/>
          <w:sz w:val="22"/>
          <w:szCs w:val="22"/>
        </w:rPr>
        <w:t>. Admisión del Recurso de revisión.</w:t>
      </w:r>
      <w:r w:rsidR="008D3CF4" w:rsidRPr="00CE6AB4">
        <w:rPr>
          <w:rFonts w:ascii="Palatino Linotype" w:eastAsia="Palatino Linotype" w:hAnsi="Palatino Linotype" w:cs="Palatino Linotype"/>
          <w:sz w:val="22"/>
          <w:szCs w:val="22"/>
        </w:rPr>
        <w:t xml:space="preserve"> El</w:t>
      </w:r>
      <w:r w:rsidR="008D3CF4" w:rsidRPr="00CE6AB4">
        <w:rPr>
          <w:rFonts w:ascii="Palatino Linotype" w:eastAsia="Palatino Linotype" w:hAnsi="Palatino Linotype" w:cs="Palatino Linotype"/>
          <w:b/>
          <w:sz w:val="22"/>
          <w:szCs w:val="22"/>
        </w:rPr>
        <w:t xml:space="preserve"> </w:t>
      </w:r>
      <w:r w:rsidR="00F12A80" w:rsidRPr="00CE6AB4">
        <w:rPr>
          <w:rFonts w:ascii="Palatino Linotype" w:eastAsia="Palatino Linotype" w:hAnsi="Palatino Linotype" w:cs="Palatino Linotype"/>
          <w:b/>
          <w:sz w:val="22"/>
          <w:szCs w:val="22"/>
        </w:rPr>
        <w:t>seis de noviembre</w:t>
      </w:r>
      <w:r w:rsidR="00451097" w:rsidRPr="00CE6AB4">
        <w:rPr>
          <w:rFonts w:ascii="Palatino Linotype" w:eastAsia="Palatino Linotype" w:hAnsi="Palatino Linotype" w:cs="Palatino Linotype"/>
          <w:b/>
          <w:sz w:val="22"/>
          <w:szCs w:val="22"/>
        </w:rPr>
        <w:t xml:space="preserve"> de dos mil veinticinc</w:t>
      </w:r>
      <w:r w:rsidR="008D3CF4" w:rsidRPr="00CE6AB4">
        <w:rPr>
          <w:rFonts w:ascii="Palatino Linotype" w:eastAsia="Palatino Linotype" w:hAnsi="Palatino Linotype" w:cs="Palatino Linotype"/>
          <w:b/>
          <w:sz w:val="22"/>
          <w:szCs w:val="22"/>
        </w:rPr>
        <w:t xml:space="preserve">o, </w:t>
      </w:r>
      <w:r w:rsidR="008D3CF4" w:rsidRPr="00CE6AB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8D3CF4" w:rsidRPr="00CE6AB4">
        <w:rPr>
          <w:rFonts w:ascii="Palatino Linotype" w:eastAsia="Palatino Linotype" w:hAnsi="Palatino Linotype" w:cs="Palatino Linotype"/>
          <w:b/>
          <w:sz w:val="22"/>
          <w:szCs w:val="22"/>
        </w:rPr>
        <w:t xml:space="preserve">Sujeto Obligado </w:t>
      </w:r>
      <w:r w:rsidR="008D3CF4" w:rsidRPr="00CE6AB4">
        <w:rPr>
          <w:rFonts w:ascii="Palatino Linotype" w:eastAsia="Palatino Linotype" w:hAnsi="Palatino Linotype" w:cs="Palatino Linotype"/>
          <w:sz w:val="22"/>
          <w:szCs w:val="22"/>
        </w:rPr>
        <w:t>presentara su informe justificado.</w:t>
      </w:r>
    </w:p>
    <w:p w14:paraId="38BB2910" w14:textId="77777777" w:rsidR="00D17C43" w:rsidRPr="00CE6AB4" w:rsidRDefault="00D17C43" w:rsidP="00D17C43">
      <w:pPr>
        <w:spacing w:before="240" w:after="240" w:line="360" w:lineRule="auto"/>
        <w:jc w:val="both"/>
        <w:rPr>
          <w:rFonts w:ascii="Palatino Linotype" w:eastAsia="Palatino Linotype" w:hAnsi="Palatino Linotype" w:cs="Palatino Linotype"/>
          <w:sz w:val="22"/>
          <w:szCs w:val="22"/>
        </w:rPr>
      </w:pPr>
      <w:bookmarkStart w:id="4" w:name="_heading=h.2s8eyo1" w:colFirst="0" w:colLast="0"/>
      <w:bookmarkEnd w:id="4"/>
      <w:r w:rsidRPr="00CE6AB4">
        <w:rPr>
          <w:rFonts w:ascii="Palatino Linotype" w:eastAsia="Palatino Linotype" w:hAnsi="Palatino Linotype" w:cs="Palatino Linotype"/>
          <w:b/>
          <w:sz w:val="22"/>
          <w:szCs w:val="22"/>
        </w:rPr>
        <w:t>6</w:t>
      </w:r>
      <w:r w:rsidR="00AA32E8" w:rsidRPr="00CE6AB4">
        <w:rPr>
          <w:rFonts w:ascii="Palatino Linotype" w:eastAsia="Palatino Linotype" w:hAnsi="Palatino Linotype" w:cs="Palatino Linotype"/>
          <w:b/>
          <w:sz w:val="22"/>
          <w:szCs w:val="22"/>
        </w:rPr>
        <w:t xml:space="preserve">. Manifestaciones. </w:t>
      </w:r>
      <w:r w:rsidRPr="00CE6AB4">
        <w:rPr>
          <w:rFonts w:ascii="Palatino Linotype" w:eastAsia="Palatino Linotype" w:hAnsi="Palatino Linotype" w:cs="Palatino Linotype"/>
          <w:sz w:val="22"/>
          <w:szCs w:val="22"/>
        </w:rPr>
        <w:t xml:space="preserve">De las constancias que obran en el expediente electrónico del SAIMEX se desprende que el </w:t>
      </w:r>
      <w:r w:rsidRPr="00CE6AB4">
        <w:rPr>
          <w:rFonts w:ascii="Palatino Linotype" w:eastAsia="Palatino Linotype" w:hAnsi="Palatino Linotype" w:cs="Palatino Linotype"/>
          <w:b/>
          <w:sz w:val="22"/>
          <w:szCs w:val="22"/>
        </w:rPr>
        <w:t>Sujeto Obligado</w:t>
      </w:r>
      <w:r w:rsidRPr="00CE6AB4">
        <w:rPr>
          <w:rFonts w:ascii="Palatino Linotype" w:eastAsia="Palatino Linotype" w:hAnsi="Palatino Linotype" w:cs="Palatino Linotype"/>
          <w:sz w:val="22"/>
          <w:szCs w:val="22"/>
        </w:rPr>
        <w:t xml:space="preserve"> no rindió su informe justificado, del mismo modo la parte </w:t>
      </w:r>
      <w:r w:rsidRPr="00CE6AB4">
        <w:rPr>
          <w:rFonts w:ascii="Palatino Linotype" w:eastAsia="Palatino Linotype" w:hAnsi="Palatino Linotype" w:cs="Palatino Linotype"/>
          <w:b/>
          <w:sz w:val="22"/>
          <w:szCs w:val="22"/>
        </w:rPr>
        <w:t>Recurrente</w:t>
      </w:r>
      <w:r w:rsidRPr="00CE6AB4">
        <w:rPr>
          <w:rFonts w:ascii="Palatino Linotype" w:eastAsia="Palatino Linotype" w:hAnsi="Palatino Linotype" w:cs="Palatino Linotype"/>
          <w:sz w:val="22"/>
          <w:szCs w:val="22"/>
        </w:rPr>
        <w:t xml:space="preserve"> omitió realizar manifestaciones, como se observa a continuación:</w:t>
      </w:r>
    </w:p>
    <w:p w14:paraId="1E71B37A" w14:textId="57D06DF4" w:rsidR="00E046E4" w:rsidRPr="00CE6AB4" w:rsidRDefault="00ED0396" w:rsidP="00D17C43">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noProof/>
          <w:sz w:val="22"/>
          <w:szCs w:val="22"/>
        </w:rPr>
        <w:drawing>
          <wp:inline distT="0" distB="0" distL="0" distR="0" wp14:anchorId="721720C6" wp14:editId="4A56DE27">
            <wp:extent cx="5612130" cy="16503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50365"/>
                    </a:xfrm>
                    <a:prstGeom prst="rect">
                      <a:avLst/>
                    </a:prstGeom>
                  </pic:spPr>
                </pic:pic>
              </a:graphicData>
            </a:graphic>
          </wp:inline>
        </w:drawing>
      </w:r>
    </w:p>
    <w:p w14:paraId="6BDD394F" w14:textId="3D7A8FB5" w:rsidR="00E046E4" w:rsidRPr="00CE6AB4" w:rsidRDefault="00D17C43" w:rsidP="00E046E4">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b/>
          <w:sz w:val="22"/>
          <w:szCs w:val="22"/>
        </w:rPr>
        <w:t>7</w:t>
      </w:r>
      <w:r w:rsidR="00582C2C" w:rsidRPr="00CE6AB4">
        <w:rPr>
          <w:rFonts w:ascii="Palatino Linotype" w:eastAsia="Palatino Linotype" w:hAnsi="Palatino Linotype" w:cs="Palatino Linotype"/>
          <w:b/>
          <w:sz w:val="22"/>
          <w:szCs w:val="22"/>
        </w:rPr>
        <w:t xml:space="preserve">. </w:t>
      </w:r>
      <w:r w:rsidR="00E046E4" w:rsidRPr="00CE6AB4">
        <w:rPr>
          <w:rFonts w:ascii="Palatino Linotype" w:eastAsia="Palatino Linotype" w:hAnsi="Palatino Linotype" w:cs="Palatino Linotype"/>
          <w:b/>
          <w:sz w:val="22"/>
          <w:szCs w:val="22"/>
        </w:rPr>
        <w:t xml:space="preserve">Cierre de instrucción. </w:t>
      </w:r>
      <w:r w:rsidR="00E046E4" w:rsidRPr="00CE6AB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ED0396" w:rsidRPr="00CE6AB4">
        <w:rPr>
          <w:rFonts w:ascii="Palatino Linotype" w:eastAsia="Palatino Linotype" w:hAnsi="Palatino Linotype" w:cs="Palatino Linotype"/>
          <w:b/>
          <w:sz w:val="22"/>
          <w:szCs w:val="22"/>
        </w:rPr>
        <w:t xml:space="preserve">diecinueve de noviembre </w:t>
      </w:r>
      <w:r w:rsidR="00E046E4" w:rsidRPr="00CE6AB4">
        <w:rPr>
          <w:rFonts w:ascii="Palatino Linotype" w:eastAsia="Palatino Linotype" w:hAnsi="Palatino Linotype" w:cs="Palatino Linotype"/>
          <w:b/>
          <w:sz w:val="22"/>
          <w:szCs w:val="22"/>
        </w:rPr>
        <w:t>de dos mil veinticinco,</w:t>
      </w:r>
      <w:r w:rsidR="00E046E4" w:rsidRPr="00CE6AB4">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D0FF7B1" w14:textId="39A386A8" w:rsidR="006C3C07" w:rsidRPr="00CE6AB4" w:rsidRDefault="008D3CF4">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6BE6C03" w14:textId="77777777" w:rsidR="00E94030" w:rsidRPr="00CE6AB4" w:rsidRDefault="008D3CF4">
      <w:pPr>
        <w:widowControl w:val="0"/>
        <w:spacing w:before="240" w:after="240" w:line="360" w:lineRule="auto"/>
        <w:jc w:val="center"/>
        <w:rPr>
          <w:rFonts w:ascii="Palatino Linotype" w:eastAsia="Palatino Linotype" w:hAnsi="Palatino Linotype" w:cs="Palatino Linotype"/>
          <w:b/>
          <w:sz w:val="22"/>
          <w:szCs w:val="22"/>
        </w:rPr>
      </w:pPr>
      <w:r w:rsidRPr="00CE6AB4">
        <w:rPr>
          <w:rFonts w:ascii="Palatino Linotype" w:eastAsia="Palatino Linotype" w:hAnsi="Palatino Linotype" w:cs="Palatino Linotype"/>
          <w:b/>
          <w:sz w:val="22"/>
          <w:szCs w:val="22"/>
        </w:rPr>
        <w:t>II. C O N S I D E R A N D O S</w:t>
      </w:r>
    </w:p>
    <w:p w14:paraId="62429417" w14:textId="1B35A458" w:rsidR="00E94030" w:rsidRPr="00CE6AB4" w:rsidRDefault="008D3CF4">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b/>
          <w:sz w:val="22"/>
          <w:szCs w:val="22"/>
        </w:rPr>
        <w:t>Primero. Competencia.</w:t>
      </w:r>
      <w:r w:rsidRPr="00CE6AB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6C3C07" w:rsidRPr="00CE6AB4">
        <w:rPr>
          <w:rFonts w:ascii="Palatino Linotype" w:eastAsia="Palatino Linotype" w:hAnsi="Palatino Linotype" w:cs="Palatino Linotype"/>
          <w:sz w:val="22"/>
          <w:szCs w:val="22"/>
        </w:rPr>
        <w:t>5 párrafos cuadragésimo</w:t>
      </w:r>
      <w:r w:rsidRPr="00CE6AB4">
        <w:rPr>
          <w:rFonts w:ascii="Palatino Linotype" w:eastAsia="Palatino Linotype" w:hAnsi="Palatino Linotype" w:cs="Palatino Linotype"/>
          <w:sz w:val="22"/>
          <w:szCs w:val="22"/>
        </w:rPr>
        <w:t xml:space="preserve"> </w:t>
      </w:r>
      <w:r w:rsidR="0092233E" w:rsidRPr="00CE6AB4">
        <w:rPr>
          <w:rFonts w:ascii="Palatino Linotype" w:eastAsia="Palatino Linotype" w:hAnsi="Palatino Linotype" w:cs="Palatino Linotype"/>
          <w:sz w:val="22"/>
          <w:szCs w:val="22"/>
        </w:rPr>
        <w:t xml:space="preserve">cuarto, cuadragésimo quinto, </w:t>
      </w:r>
      <w:r w:rsidR="006C3C07" w:rsidRPr="00CE6AB4">
        <w:rPr>
          <w:rFonts w:ascii="Palatino Linotype" w:eastAsia="Palatino Linotype" w:hAnsi="Palatino Linotype" w:cs="Palatino Linotype"/>
          <w:sz w:val="22"/>
          <w:szCs w:val="22"/>
        </w:rPr>
        <w:t>cuadragésimo</w:t>
      </w:r>
      <w:r w:rsidR="0092233E" w:rsidRPr="00CE6AB4">
        <w:rPr>
          <w:rFonts w:ascii="Palatino Linotype" w:eastAsia="Palatino Linotype" w:hAnsi="Palatino Linotype" w:cs="Palatino Linotype"/>
          <w:sz w:val="22"/>
          <w:szCs w:val="22"/>
        </w:rPr>
        <w:t xml:space="preserve"> sexto, </w:t>
      </w:r>
      <w:r w:rsidRPr="00CE6AB4">
        <w:rPr>
          <w:rFonts w:ascii="Palatino Linotype" w:eastAsia="Palatino Linotype" w:hAnsi="Palatino Linotype" w:cs="Palatino Linotype"/>
          <w:sz w:val="22"/>
          <w:szCs w:val="22"/>
        </w:rPr>
        <w:t xml:space="preserve">fracciones IV y V de la Constitución Política del Estado Libre y Soberano de México; </w:t>
      </w:r>
      <w:r w:rsidR="0023691C" w:rsidRPr="00CE6AB4">
        <w:rPr>
          <w:rFonts w:ascii="Palatino Linotype" w:hAnsi="Palatino Linotype"/>
          <w:sz w:val="22"/>
          <w:szCs w:val="22"/>
        </w:rPr>
        <w:t>Transitorio Cuarto, párrafo segundo del Decreto número 198 de la “LXII” Legislatura del Estado de México</w:t>
      </w:r>
      <w:r w:rsidR="0023691C" w:rsidRPr="00CE6AB4">
        <w:rPr>
          <w:rFonts w:ascii="Palatino Linotype" w:eastAsia="Palatino Linotype" w:hAnsi="Palatino Linotype" w:cs="Palatino Linotype"/>
          <w:sz w:val="22"/>
          <w:szCs w:val="22"/>
        </w:rPr>
        <w:t xml:space="preserve">; </w:t>
      </w:r>
      <w:r w:rsidRPr="00CE6AB4">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F3830DD" w14:textId="77777777" w:rsidR="00E94030" w:rsidRPr="00CE6AB4" w:rsidRDefault="008D3CF4">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CE6AB4">
        <w:rPr>
          <w:rFonts w:ascii="Palatino Linotype" w:eastAsia="Palatino Linotype" w:hAnsi="Palatino Linotype" w:cs="Palatino Linotype"/>
          <w:b/>
          <w:sz w:val="22"/>
          <w:szCs w:val="22"/>
        </w:rPr>
        <w:t>Segundo. Oportunidad y Procedibilidad del Recurso de Revisión</w:t>
      </w:r>
      <w:r w:rsidRPr="00CE6AB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9B76774" w14:textId="1AC1656B" w:rsidR="00E94030" w:rsidRPr="00CE6AB4" w:rsidRDefault="008D3CF4">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E6AB4">
        <w:rPr>
          <w:rFonts w:ascii="Palatino Linotype" w:eastAsia="Palatino Linotype" w:hAnsi="Palatino Linotype" w:cs="Palatino Linotype"/>
          <w:b/>
          <w:sz w:val="22"/>
          <w:szCs w:val="22"/>
        </w:rPr>
        <w:t xml:space="preserve">Sujeto Obligado </w:t>
      </w:r>
      <w:r w:rsidRPr="00CE6AB4">
        <w:rPr>
          <w:rFonts w:ascii="Palatino Linotype" w:eastAsia="Palatino Linotype" w:hAnsi="Palatino Linotype" w:cs="Palatino Linotype"/>
          <w:sz w:val="22"/>
          <w:szCs w:val="22"/>
        </w:rPr>
        <w:t xml:space="preserve">remitió la respuesta a la solicitud de información el </w:t>
      </w:r>
      <w:r w:rsidR="00ED0396" w:rsidRPr="00CE6AB4">
        <w:rPr>
          <w:rFonts w:ascii="Palatino Linotype" w:eastAsia="Palatino Linotype" w:hAnsi="Palatino Linotype" w:cs="Palatino Linotype"/>
          <w:b/>
          <w:sz w:val="22"/>
          <w:szCs w:val="22"/>
        </w:rPr>
        <w:t>treinta y uno de octubre</w:t>
      </w:r>
      <w:r w:rsidRPr="00CE6AB4">
        <w:rPr>
          <w:rFonts w:ascii="Palatino Linotype" w:eastAsia="Palatino Linotype" w:hAnsi="Palatino Linotype" w:cs="Palatino Linotype"/>
          <w:sz w:val="22"/>
          <w:szCs w:val="22"/>
        </w:rPr>
        <w:t xml:space="preserve"> </w:t>
      </w:r>
      <w:r w:rsidR="006C3C07" w:rsidRPr="00CE6AB4">
        <w:rPr>
          <w:rFonts w:ascii="Palatino Linotype" w:eastAsia="Palatino Linotype" w:hAnsi="Palatino Linotype" w:cs="Palatino Linotype"/>
          <w:b/>
          <w:sz w:val="22"/>
          <w:szCs w:val="22"/>
        </w:rPr>
        <w:t>de dos mil veinticinco</w:t>
      </w:r>
      <w:r w:rsidRPr="00CE6AB4">
        <w:rPr>
          <w:rFonts w:ascii="Palatino Linotype" w:eastAsia="Palatino Linotype" w:hAnsi="Palatino Linotype" w:cs="Palatino Linotype"/>
          <w:b/>
          <w:sz w:val="22"/>
          <w:szCs w:val="22"/>
        </w:rPr>
        <w:t xml:space="preserve">, </w:t>
      </w:r>
      <w:r w:rsidRPr="00CE6AB4">
        <w:rPr>
          <w:rFonts w:ascii="Palatino Linotype" w:eastAsia="Palatino Linotype" w:hAnsi="Palatino Linotype" w:cs="Palatino Linotype"/>
          <w:sz w:val="22"/>
          <w:szCs w:val="22"/>
        </w:rPr>
        <w:t>mientras que el recurso de revisión interpuesto por la parte</w:t>
      </w:r>
      <w:r w:rsidRPr="00CE6AB4">
        <w:rPr>
          <w:rFonts w:ascii="Palatino Linotype" w:eastAsia="Palatino Linotype" w:hAnsi="Palatino Linotype" w:cs="Palatino Linotype"/>
          <w:b/>
          <w:sz w:val="22"/>
          <w:szCs w:val="22"/>
        </w:rPr>
        <w:t xml:space="preserve"> Recurrente</w:t>
      </w:r>
      <w:r w:rsidRPr="00CE6AB4">
        <w:rPr>
          <w:rFonts w:ascii="Palatino Linotype" w:eastAsia="Palatino Linotype" w:hAnsi="Palatino Linotype" w:cs="Palatino Linotype"/>
          <w:sz w:val="22"/>
          <w:szCs w:val="22"/>
        </w:rPr>
        <w:t>, se tuvo por presentado el día</w:t>
      </w:r>
      <w:r w:rsidR="00A56C8C" w:rsidRPr="00CE6AB4">
        <w:rPr>
          <w:rFonts w:ascii="Palatino Linotype" w:eastAsia="Palatino Linotype" w:hAnsi="Palatino Linotype" w:cs="Palatino Linotype"/>
          <w:b/>
          <w:sz w:val="22"/>
          <w:szCs w:val="22"/>
        </w:rPr>
        <w:t xml:space="preserve"> </w:t>
      </w:r>
      <w:r w:rsidR="00ED0396" w:rsidRPr="00CE6AB4">
        <w:rPr>
          <w:rFonts w:ascii="Palatino Linotype" w:eastAsia="Palatino Linotype" w:hAnsi="Palatino Linotype" w:cs="Palatino Linotype"/>
          <w:b/>
          <w:sz w:val="22"/>
          <w:szCs w:val="22"/>
        </w:rPr>
        <w:t xml:space="preserve">tres noviembre </w:t>
      </w:r>
      <w:r w:rsidR="006C3C07" w:rsidRPr="00CE6AB4">
        <w:rPr>
          <w:rFonts w:ascii="Palatino Linotype" w:eastAsia="Palatino Linotype" w:hAnsi="Palatino Linotype" w:cs="Palatino Linotype"/>
          <w:b/>
          <w:sz w:val="22"/>
          <w:szCs w:val="22"/>
        </w:rPr>
        <w:t>de dos mil veinticinco</w:t>
      </w:r>
      <w:r w:rsidRPr="00CE6AB4">
        <w:rPr>
          <w:rFonts w:ascii="Palatino Linotype" w:eastAsia="Palatino Linotype" w:hAnsi="Palatino Linotype" w:cs="Palatino Linotype"/>
          <w:b/>
          <w:sz w:val="22"/>
          <w:szCs w:val="22"/>
        </w:rPr>
        <w:t xml:space="preserve">, </w:t>
      </w:r>
      <w:r w:rsidRPr="00CE6AB4">
        <w:rPr>
          <w:rFonts w:ascii="Palatino Linotype" w:eastAsia="Palatino Linotype" w:hAnsi="Palatino Linotype" w:cs="Palatino Linotype"/>
          <w:sz w:val="22"/>
          <w:szCs w:val="22"/>
        </w:rPr>
        <w:t xml:space="preserve">esto es, al </w:t>
      </w:r>
      <w:r w:rsidR="00951F5F" w:rsidRPr="00CE6AB4">
        <w:rPr>
          <w:rFonts w:ascii="Palatino Linotype" w:eastAsia="Palatino Linotype" w:hAnsi="Palatino Linotype" w:cs="Palatino Linotype"/>
          <w:sz w:val="22"/>
          <w:szCs w:val="22"/>
        </w:rPr>
        <w:t>siguiente</w:t>
      </w:r>
      <w:r w:rsidR="0023691C" w:rsidRPr="00CE6AB4">
        <w:rPr>
          <w:rFonts w:ascii="Palatino Linotype" w:eastAsia="Palatino Linotype" w:hAnsi="Palatino Linotype" w:cs="Palatino Linotype"/>
          <w:sz w:val="22"/>
          <w:szCs w:val="22"/>
        </w:rPr>
        <w:t xml:space="preserve"> </w:t>
      </w:r>
      <w:r w:rsidRPr="00CE6AB4">
        <w:rPr>
          <w:rFonts w:ascii="Palatino Linotype" w:eastAsia="Palatino Linotype" w:hAnsi="Palatino Linotype" w:cs="Palatino Linotype"/>
          <w:sz w:val="22"/>
          <w:szCs w:val="22"/>
        </w:rPr>
        <w:t>día hábil siguiente</w:t>
      </w:r>
      <w:r w:rsidR="00032B26" w:rsidRPr="00CE6AB4">
        <w:rPr>
          <w:rFonts w:ascii="Palatino Linotype" w:eastAsia="Palatino Linotype" w:hAnsi="Palatino Linotype" w:cs="Palatino Linotype"/>
          <w:sz w:val="22"/>
          <w:szCs w:val="22"/>
        </w:rPr>
        <w:t xml:space="preserve"> a aquel en el </w:t>
      </w:r>
      <w:r w:rsidRPr="00CE6AB4">
        <w:rPr>
          <w:rFonts w:ascii="Palatino Linotype" w:eastAsia="Palatino Linotype" w:hAnsi="Palatino Linotype" w:cs="Palatino Linotype"/>
          <w:sz w:val="22"/>
          <w:szCs w:val="22"/>
        </w:rPr>
        <w:t>que tuvo conocimiento de la respuesta impugnada. En este sentido, se concluye que el presente recurso de revisión se encuentra dentro de los márgenes temporales previstos en las disposiciones legales referidas.</w:t>
      </w:r>
    </w:p>
    <w:p w14:paraId="6A0CC045" w14:textId="77777777" w:rsidR="00951F5F" w:rsidRPr="00CE6AB4" w:rsidRDefault="00951F5F" w:rsidP="00951F5F">
      <w:pPr>
        <w:tabs>
          <w:tab w:val="left" w:pos="7938"/>
        </w:tabs>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CE6AB4">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627356E" w14:textId="77777777" w:rsidR="00951F5F" w:rsidRPr="00CE6AB4" w:rsidRDefault="00951F5F" w:rsidP="00951F5F">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CE6AB4">
        <w:rPr>
          <w:rFonts w:ascii="Palatino Linotype" w:eastAsia="Palatino Linotype" w:hAnsi="Palatino Linotype" w:cs="Palatino Linotype"/>
          <w:b/>
          <w:sz w:val="22"/>
          <w:szCs w:val="22"/>
        </w:rPr>
        <w:t>Recurrente</w:t>
      </w:r>
      <w:r w:rsidRPr="00CE6AB4">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29396918" w14:textId="77777777" w:rsidR="00951F5F" w:rsidRPr="00CE6AB4" w:rsidRDefault="00951F5F" w:rsidP="00951F5F">
      <w:pPr>
        <w:tabs>
          <w:tab w:val="left" w:pos="7938"/>
        </w:tabs>
        <w:spacing w:before="120" w:after="120"/>
        <w:ind w:left="851" w:right="902"/>
        <w:jc w:val="both"/>
        <w:rPr>
          <w:rFonts w:ascii="Palatino Linotype" w:eastAsia="Palatino Linotype" w:hAnsi="Palatino Linotype" w:cs="Palatino Linotype"/>
          <w:i/>
          <w:sz w:val="22"/>
          <w:szCs w:val="22"/>
        </w:rPr>
      </w:pPr>
      <w:r w:rsidRPr="00CE6AB4">
        <w:rPr>
          <w:rFonts w:ascii="Palatino Linotype" w:eastAsia="Palatino Linotype" w:hAnsi="Palatino Linotype" w:cs="Palatino Linotype"/>
          <w:i/>
          <w:sz w:val="22"/>
          <w:szCs w:val="22"/>
        </w:rPr>
        <w:t>“</w:t>
      </w:r>
      <w:r w:rsidRPr="00CE6AB4">
        <w:rPr>
          <w:rFonts w:ascii="Palatino Linotype" w:eastAsia="Palatino Linotype" w:hAnsi="Palatino Linotype" w:cs="Palatino Linotype"/>
          <w:b/>
          <w:i/>
          <w:sz w:val="22"/>
          <w:szCs w:val="22"/>
        </w:rPr>
        <w:t>Artículo 179.</w:t>
      </w:r>
      <w:r w:rsidRPr="00CE6AB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A819709" w14:textId="77777777" w:rsidR="00951F5F" w:rsidRPr="00CE6AB4" w:rsidRDefault="00951F5F" w:rsidP="00951F5F">
      <w:pPr>
        <w:tabs>
          <w:tab w:val="left" w:pos="7938"/>
        </w:tabs>
        <w:spacing w:before="120" w:after="120"/>
        <w:ind w:left="851" w:right="902"/>
        <w:jc w:val="both"/>
        <w:rPr>
          <w:rFonts w:ascii="Palatino Linotype" w:eastAsia="Palatino Linotype" w:hAnsi="Palatino Linotype" w:cs="Palatino Linotype"/>
          <w:b/>
          <w:i/>
          <w:sz w:val="22"/>
          <w:szCs w:val="22"/>
        </w:rPr>
      </w:pPr>
      <w:r w:rsidRPr="00CE6AB4">
        <w:rPr>
          <w:rFonts w:ascii="Palatino Linotype" w:eastAsia="Palatino Linotype" w:hAnsi="Palatino Linotype" w:cs="Palatino Linotype"/>
          <w:b/>
          <w:i/>
          <w:sz w:val="22"/>
          <w:szCs w:val="22"/>
        </w:rPr>
        <w:t>...</w:t>
      </w:r>
    </w:p>
    <w:p w14:paraId="788BFB86" w14:textId="77777777" w:rsidR="00951F5F" w:rsidRPr="00CE6AB4" w:rsidRDefault="00951F5F" w:rsidP="00951F5F">
      <w:pPr>
        <w:tabs>
          <w:tab w:val="left" w:pos="7938"/>
        </w:tabs>
        <w:spacing w:before="120" w:after="120"/>
        <w:ind w:left="851" w:right="902"/>
        <w:jc w:val="both"/>
        <w:rPr>
          <w:rFonts w:ascii="Palatino Linotype" w:eastAsia="Palatino Linotype" w:hAnsi="Palatino Linotype" w:cs="Palatino Linotype"/>
          <w:i/>
          <w:sz w:val="22"/>
          <w:szCs w:val="22"/>
        </w:rPr>
      </w:pPr>
      <w:r w:rsidRPr="00CE6AB4">
        <w:rPr>
          <w:rFonts w:ascii="Palatino Linotype" w:eastAsia="Palatino Linotype" w:hAnsi="Palatino Linotype" w:cs="Palatino Linotype"/>
          <w:b/>
          <w:i/>
          <w:sz w:val="22"/>
          <w:szCs w:val="22"/>
        </w:rPr>
        <w:t>V.</w:t>
      </w:r>
      <w:r w:rsidRPr="00CE6AB4">
        <w:rPr>
          <w:rFonts w:ascii="Palatino Linotype" w:hAnsi="Palatino Linotype"/>
          <w:sz w:val="22"/>
          <w:szCs w:val="22"/>
        </w:rPr>
        <w:t xml:space="preserve"> </w:t>
      </w:r>
      <w:r w:rsidRPr="00CE6AB4">
        <w:rPr>
          <w:rFonts w:ascii="Palatino Linotype" w:eastAsia="Palatino Linotype" w:hAnsi="Palatino Linotype" w:cs="Palatino Linotype"/>
          <w:i/>
          <w:sz w:val="22"/>
          <w:szCs w:val="22"/>
        </w:rPr>
        <w:t>La entrega de información incompleta;”</w:t>
      </w:r>
    </w:p>
    <w:p w14:paraId="33124F60" w14:textId="77777777" w:rsidR="00951F5F" w:rsidRPr="00CE6AB4" w:rsidRDefault="00951F5F" w:rsidP="00951F5F">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b/>
          <w:sz w:val="22"/>
          <w:szCs w:val="22"/>
        </w:rPr>
        <w:t>Tercero. Análisis de las causales de sobreseimiento de los recursos de revisión.</w:t>
      </w:r>
      <w:r w:rsidRPr="00CE6AB4">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07BE49F" w14:textId="77777777" w:rsidR="00951F5F" w:rsidRPr="00CE6AB4" w:rsidRDefault="00951F5F" w:rsidP="00951F5F">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0BFEA44C" w14:textId="77777777" w:rsidR="00951F5F" w:rsidRPr="00CE6AB4" w:rsidRDefault="00951F5F" w:rsidP="00951F5F">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42F1A6BD" w14:textId="77777777" w:rsidR="00951F5F" w:rsidRPr="00CE6AB4" w:rsidRDefault="00951F5F" w:rsidP="00951F5F">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En tal contexto, del análisis de la solicitud de información motivo del recurso de revisión que ahora se resuelve, se advierte que la parte </w:t>
      </w:r>
      <w:r w:rsidRPr="00CE6AB4">
        <w:rPr>
          <w:rFonts w:ascii="Palatino Linotype" w:eastAsia="Palatino Linotype" w:hAnsi="Palatino Linotype" w:cs="Palatino Linotype"/>
          <w:b/>
          <w:sz w:val="22"/>
          <w:szCs w:val="22"/>
        </w:rPr>
        <w:t>Recurrente</w:t>
      </w:r>
      <w:r w:rsidRPr="00CE6AB4">
        <w:rPr>
          <w:rFonts w:ascii="Palatino Linotype" w:eastAsia="Palatino Linotype" w:hAnsi="Palatino Linotype" w:cs="Palatino Linotype"/>
          <w:sz w:val="22"/>
          <w:szCs w:val="22"/>
        </w:rPr>
        <w:t xml:space="preserve"> requirió al </w:t>
      </w:r>
      <w:r w:rsidRPr="00CE6AB4">
        <w:rPr>
          <w:rFonts w:ascii="Palatino Linotype" w:eastAsia="Palatino Linotype" w:hAnsi="Palatino Linotype" w:cs="Palatino Linotype"/>
          <w:b/>
          <w:sz w:val="22"/>
          <w:szCs w:val="22"/>
        </w:rPr>
        <w:t>Sujeto Obligado</w:t>
      </w:r>
      <w:r w:rsidRPr="00CE6AB4">
        <w:rPr>
          <w:rFonts w:ascii="Palatino Linotype" w:eastAsia="Palatino Linotype" w:hAnsi="Palatino Linotype" w:cs="Palatino Linotype"/>
          <w:sz w:val="22"/>
          <w:szCs w:val="22"/>
        </w:rPr>
        <w:t xml:space="preserve"> le proporcione información que consiste en lo siguiente:</w:t>
      </w:r>
    </w:p>
    <w:p w14:paraId="600DED7B" w14:textId="22CDC40F" w:rsidR="00951F5F" w:rsidRPr="00CE6AB4" w:rsidRDefault="00951F5F" w:rsidP="00951F5F">
      <w:pPr>
        <w:pStyle w:val="Prrafodelista"/>
        <w:numPr>
          <w:ilvl w:val="0"/>
          <w:numId w:val="10"/>
        </w:numPr>
        <w:spacing w:before="240" w:after="240" w:line="360" w:lineRule="auto"/>
        <w:ind w:left="641" w:right="49" w:hanging="357"/>
        <w:contextualSpacing w:val="0"/>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b/>
          <w:bCs/>
          <w:sz w:val="22"/>
          <w:szCs w:val="22"/>
          <w:u w:val="single"/>
        </w:rPr>
        <w:t>Causa por la cual no se han realizado las reparaciones</w:t>
      </w:r>
      <w:r w:rsidRPr="00CE6AB4">
        <w:rPr>
          <w:rFonts w:ascii="Palatino Linotype" w:eastAsia="Palatino Linotype" w:hAnsi="Palatino Linotype" w:cs="Palatino Linotype"/>
          <w:sz w:val="22"/>
          <w:szCs w:val="22"/>
        </w:rPr>
        <w:t xml:space="preserve"> de las calles Guillermo Prieto y Camino Real a Toluca, Sección 3, San Andrés Cuexcontitlán, derivado de los trabajos de implementación de red de agua potable.</w:t>
      </w:r>
    </w:p>
    <w:p w14:paraId="6859217D" w14:textId="72E4B650" w:rsidR="00951F5F" w:rsidRPr="00CE6AB4" w:rsidRDefault="00951F5F" w:rsidP="00951F5F">
      <w:pPr>
        <w:pStyle w:val="Prrafodelista"/>
        <w:numPr>
          <w:ilvl w:val="0"/>
          <w:numId w:val="10"/>
        </w:numPr>
        <w:spacing w:before="240" w:after="240" w:line="360" w:lineRule="auto"/>
        <w:ind w:left="641" w:right="902" w:hanging="357"/>
        <w:contextualSpacing w:val="0"/>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El expediente personal del Director General del Organismo.</w:t>
      </w:r>
    </w:p>
    <w:p w14:paraId="35BD1240" w14:textId="6A8CF208" w:rsidR="00951F5F" w:rsidRPr="00CE6AB4" w:rsidRDefault="00951F5F" w:rsidP="001A5BDA">
      <w:pPr>
        <w:spacing w:before="240" w:after="240" w:line="360" w:lineRule="auto"/>
        <w:ind w:right="51"/>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E</w:t>
      </w:r>
      <w:r w:rsidR="000774C5" w:rsidRPr="00CE6AB4">
        <w:rPr>
          <w:rFonts w:ascii="Palatino Linotype" w:eastAsia="Palatino Linotype" w:hAnsi="Palatino Linotype" w:cs="Palatino Linotype"/>
          <w:sz w:val="22"/>
          <w:szCs w:val="22"/>
        </w:rPr>
        <w:t xml:space="preserve">l </w:t>
      </w:r>
      <w:r w:rsidR="000774C5" w:rsidRPr="00CE6AB4">
        <w:rPr>
          <w:rFonts w:ascii="Palatino Linotype" w:eastAsia="Palatino Linotype" w:hAnsi="Palatino Linotype" w:cs="Palatino Linotype"/>
          <w:b/>
          <w:sz w:val="22"/>
          <w:szCs w:val="22"/>
        </w:rPr>
        <w:t>Sujeto Obligado</w:t>
      </w:r>
      <w:r w:rsidR="007F1EF6" w:rsidRPr="00CE6AB4">
        <w:rPr>
          <w:rFonts w:ascii="Palatino Linotype" w:eastAsia="Palatino Linotype" w:hAnsi="Palatino Linotype" w:cs="Palatino Linotype"/>
          <w:b/>
          <w:sz w:val="22"/>
          <w:szCs w:val="22"/>
        </w:rPr>
        <w:t>,</w:t>
      </w:r>
      <w:r w:rsidRPr="00CE6AB4">
        <w:rPr>
          <w:rFonts w:ascii="Palatino Linotype" w:eastAsia="Palatino Linotype" w:hAnsi="Palatino Linotype" w:cs="Palatino Linotype"/>
          <w:b/>
          <w:sz w:val="22"/>
          <w:szCs w:val="22"/>
        </w:rPr>
        <w:t xml:space="preserve"> </w:t>
      </w:r>
      <w:r w:rsidRPr="00CE6AB4">
        <w:rPr>
          <w:rFonts w:ascii="Palatino Linotype" w:eastAsia="Palatino Linotype" w:hAnsi="Palatino Linotype" w:cs="Palatino Linotype"/>
          <w:sz w:val="22"/>
          <w:szCs w:val="22"/>
        </w:rPr>
        <w:t xml:space="preserve">dio respuesta </w:t>
      </w:r>
      <w:r w:rsidR="00E45D68" w:rsidRPr="00CE6AB4">
        <w:rPr>
          <w:rFonts w:ascii="Palatino Linotype" w:eastAsia="Palatino Linotype" w:hAnsi="Palatino Linotype" w:cs="Palatino Linotype"/>
          <w:sz w:val="22"/>
          <w:szCs w:val="22"/>
        </w:rPr>
        <w:t xml:space="preserve">a la solicitud por conducto del Director de Planeación, Construcción y Operación, y </w:t>
      </w:r>
      <w:r w:rsidR="00E45D68" w:rsidRPr="00CE6AB4">
        <w:rPr>
          <w:rFonts w:ascii="Palatino Linotype" w:hAnsi="Palatino Linotype"/>
          <w:sz w:val="22"/>
          <w:szCs w:val="22"/>
        </w:rPr>
        <w:t>la Subdirectora de Recursos Humanos, en</w:t>
      </w:r>
      <w:r w:rsidRPr="00CE6AB4">
        <w:rPr>
          <w:rFonts w:ascii="Palatino Linotype" w:eastAsia="Palatino Linotype" w:hAnsi="Palatino Linotype" w:cs="Palatino Linotype"/>
          <w:sz w:val="22"/>
          <w:szCs w:val="22"/>
        </w:rPr>
        <w:t xml:space="preserve"> los siguientes términos:</w:t>
      </w:r>
    </w:p>
    <w:p w14:paraId="341EF388" w14:textId="44167248" w:rsidR="00E45D68" w:rsidRPr="00CE6AB4" w:rsidRDefault="00E45D68" w:rsidP="00E45D68">
      <w:pPr>
        <w:spacing w:before="240" w:after="240" w:line="360" w:lineRule="auto"/>
        <w:ind w:right="51"/>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b/>
          <w:sz w:val="22"/>
          <w:szCs w:val="22"/>
        </w:rPr>
        <w:t>Director de Planeación, Construcción y Operación</w:t>
      </w:r>
      <w:r w:rsidRPr="00CE6AB4">
        <w:rPr>
          <w:rFonts w:ascii="Palatino Linotype" w:eastAsia="Palatino Linotype" w:hAnsi="Palatino Linotype" w:cs="Palatino Linotype"/>
          <w:sz w:val="22"/>
          <w:szCs w:val="22"/>
        </w:rPr>
        <w:t>.</w:t>
      </w:r>
      <w:r w:rsidR="000150A6" w:rsidRPr="00CE6AB4">
        <w:rPr>
          <w:rFonts w:ascii="Palatino Linotype" w:eastAsia="Palatino Linotype" w:hAnsi="Palatino Linotype" w:cs="Palatino Linotype"/>
          <w:sz w:val="22"/>
          <w:szCs w:val="22"/>
        </w:rPr>
        <w:t xml:space="preserve"> </w:t>
      </w:r>
      <w:r w:rsidR="009B5F22" w:rsidRPr="00CE6AB4">
        <w:rPr>
          <w:rFonts w:ascii="Palatino Linotype" w:eastAsia="Palatino Linotype" w:hAnsi="Palatino Linotype" w:cs="Palatino Linotype"/>
          <w:sz w:val="22"/>
          <w:szCs w:val="22"/>
        </w:rPr>
        <w:t>Indicó que los trabajos para la ampliación de red de agua potable devinieron de un convenio de colaboración suscrito entre los vecinos de la zona y el Organismo el día 21 de febrero de 2025, dichos trabajos se retomaron por parte de la administración el día 02 de abril de 2025, y precisó las acciones que se llevaron a cabo, entre las que se encuentran las siguientes:</w:t>
      </w:r>
    </w:p>
    <w:p w14:paraId="284DE7B3" w14:textId="77777777" w:rsidR="009B5F22" w:rsidRPr="00CE6AB4" w:rsidRDefault="009B5F22" w:rsidP="009B5F22">
      <w:pPr>
        <w:spacing w:before="120" w:after="120" w:line="360" w:lineRule="auto"/>
        <w:ind w:left="284" w:right="49"/>
        <w:jc w:val="both"/>
        <w:rPr>
          <w:rFonts w:ascii="Palatino Linotype" w:hAnsi="Palatino Linotype"/>
          <w:sz w:val="22"/>
          <w:szCs w:val="22"/>
        </w:rPr>
      </w:pPr>
      <w:r w:rsidRPr="00CE6AB4">
        <w:rPr>
          <w:rFonts w:ascii="Palatino Linotype" w:hAnsi="Palatino Linotype"/>
          <w:sz w:val="22"/>
          <w:szCs w:val="22"/>
        </w:rPr>
        <w:t xml:space="preserve">- Los días 08 y 09 de abril se realizó la interconexión de la tubería de </w:t>
      </w:r>
      <w:r w:rsidRPr="00CE6AB4">
        <w:rPr>
          <w:rFonts w:ascii="Palatino Linotype" w:hAnsi="Palatino Linotype"/>
          <w:b/>
          <w:sz w:val="22"/>
          <w:szCs w:val="22"/>
          <w:u w:val="single"/>
        </w:rPr>
        <w:t>Guillermo Prieto</w:t>
      </w:r>
      <w:r w:rsidRPr="00CE6AB4">
        <w:rPr>
          <w:rFonts w:ascii="Palatino Linotype" w:hAnsi="Palatino Linotype"/>
          <w:sz w:val="22"/>
          <w:szCs w:val="22"/>
        </w:rPr>
        <w:t xml:space="preserve"> de 3" a 2 1/2", y se construyó una caja de operación de válvulas. </w:t>
      </w:r>
    </w:p>
    <w:p w14:paraId="4FBE7673" w14:textId="77777777" w:rsidR="009B5F22" w:rsidRPr="00CE6AB4" w:rsidRDefault="009B5F22" w:rsidP="009B5F22">
      <w:pPr>
        <w:spacing w:before="120" w:after="120" w:line="360" w:lineRule="auto"/>
        <w:ind w:left="284" w:right="49"/>
        <w:jc w:val="both"/>
        <w:rPr>
          <w:rFonts w:ascii="Palatino Linotype" w:hAnsi="Palatino Linotype"/>
          <w:sz w:val="22"/>
          <w:szCs w:val="22"/>
        </w:rPr>
      </w:pPr>
      <w:r w:rsidRPr="00CE6AB4">
        <w:rPr>
          <w:rFonts w:ascii="Palatino Linotype" w:hAnsi="Palatino Linotype"/>
          <w:sz w:val="22"/>
          <w:szCs w:val="22"/>
        </w:rPr>
        <w:t xml:space="preserve">- Durante los días del 19 al 21 de abril, se llevó a cabo la instalación de 114 metros de tubería de 3" PVC, en la calle </w:t>
      </w:r>
      <w:r w:rsidRPr="00CE6AB4">
        <w:rPr>
          <w:rFonts w:ascii="Palatino Linotype" w:hAnsi="Palatino Linotype"/>
          <w:b/>
          <w:sz w:val="22"/>
          <w:szCs w:val="22"/>
          <w:u w:val="single"/>
        </w:rPr>
        <w:t>Camino Real a Toluca</w:t>
      </w:r>
      <w:r w:rsidRPr="00CE6AB4">
        <w:rPr>
          <w:rFonts w:ascii="Palatino Linotype" w:hAnsi="Palatino Linotype"/>
          <w:sz w:val="22"/>
          <w:szCs w:val="22"/>
        </w:rPr>
        <w:t xml:space="preserve">. </w:t>
      </w:r>
    </w:p>
    <w:p w14:paraId="1D4C1299" w14:textId="77777777" w:rsidR="009B5F22" w:rsidRPr="00CE6AB4" w:rsidRDefault="009B5F22" w:rsidP="009B5F22">
      <w:pPr>
        <w:spacing w:before="120" w:after="120" w:line="360" w:lineRule="auto"/>
        <w:ind w:left="284" w:right="902"/>
        <w:jc w:val="both"/>
        <w:rPr>
          <w:rFonts w:ascii="Palatino Linotype" w:hAnsi="Palatino Linotype"/>
          <w:sz w:val="22"/>
          <w:szCs w:val="22"/>
        </w:rPr>
      </w:pPr>
      <w:r w:rsidRPr="00CE6AB4">
        <w:rPr>
          <w:rFonts w:ascii="Palatino Linotype" w:hAnsi="Palatino Linotype"/>
          <w:sz w:val="22"/>
          <w:szCs w:val="22"/>
        </w:rPr>
        <w:t xml:space="preserve">- Entre los días del 21 al 30 de abril, se realizaron las interconexiones en: </w:t>
      </w:r>
    </w:p>
    <w:p w14:paraId="0A724463" w14:textId="77777777" w:rsidR="009B5F22" w:rsidRPr="00CE6AB4" w:rsidRDefault="009B5F22" w:rsidP="009B5F22">
      <w:pPr>
        <w:spacing w:before="120" w:after="120" w:line="360" w:lineRule="auto"/>
        <w:ind w:left="284" w:right="902"/>
        <w:jc w:val="both"/>
        <w:rPr>
          <w:rFonts w:ascii="Palatino Linotype" w:hAnsi="Palatino Linotype"/>
          <w:sz w:val="22"/>
          <w:szCs w:val="22"/>
        </w:rPr>
      </w:pPr>
      <w:r w:rsidRPr="00CE6AB4">
        <w:rPr>
          <w:rFonts w:ascii="Palatino Linotype" w:hAnsi="Palatino Linotype"/>
          <w:sz w:val="22"/>
          <w:szCs w:val="22"/>
        </w:rPr>
        <w:t xml:space="preserve">1. </w:t>
      </w:r>
      <w:r w:rsidRPr="00CE6AB4">
        <w:rPr>
          <w:rFonts w:ascii="Palatino Linotype" w:hAnsi="Palatino Linotype"/>
          <w:b/>
          <w:sz w:val="22"/>
          <w:szCs w:val="22"/>
          <w:u w:val="single"/>
        </w:rPr>
        <w:t>Guillermo Prieto esquina Camino Real a Toluca</w:t>
      </w:r>
      <w:r w:rsidRPr="00CE6AB4">
        <w:rPr>
          <w:rFonts w:ascii="Palatino Linotype" w:hAnsi="Palatino Linotype"/>
          <w:sz w:val="22"/>
          <w:szCs w:val="22"/>
        </w:rPr>
        <w:t xml:space="preserve"> de 4" a 3", así como la construcción de la caja de operación de válvulas. </w:t>
      </w:r>
    </w:p>
    <w:p w14:paraId="5CB64468" w14:textId="77777777" w:rsidR="009B5F22" w:rsidRPr="00CE6AB4" w:rsidRDefault="009B5F22" w:rsidP="009B5F22">
      <w:pPr>
        <w:spacing w:before="120" w:after="120" w:line="360" w:lineRule="auto"/>
        <w:ind w:left="284" w:right="902"/>
        <w:jc w:val="both"/>
        <w:rPr>
          <w:rFonts w:ascii="Palatino Linotype" w:hAnsi="Palatino Linotype"/>
          <w:sz w:val="22"/>
          <w:szCs w:val="22"/>
        </w:rPr>
      </w:pPr>
      <w:r w:rsidRPr="00CE6AB4">
        <w:rPr>
          <w:rFonts w:ascii="Palatino Linotype" w:hAnsi="Palatino Linotype"/>
          <w:sz w:val="22"/>
          <w:szCs w:val="22"/>
        </w:rPr>
        <w:t xml:space="preserve">2. </w:t>
      </w:r>
      <w:r w:rsidRPr="00CE6AB4">
        <w:rPr>
          <w:rFonts w:ascii="Palatino Linotype" w:hAnsi="Palatino Linotype"/>
          <w:b/>
          <w:sz w:val="22"/>
          <w:szCs w:val="22"/>
          <w:u w:val="single"/>
        </w:rPr>
        <w:t>Guillermo Prieto</w:t>
      </w:r>
      <w:r w:rsidRPr="00CE6AB4">
        <w:rPr>
          <w:rFonts w:ascii="Palatino Linotype" w:hAnsi="Palatino Linotype"/>
          <w:sz w:val="22"/>
          <w:szCs w:val="22"/>
        </w:rPr>
        <w:t xml:space="preserve"> esquina 20 de noviembre de 6" a 4", así mismo la construcción de cajas de operación de válvulas.</w:t>
      </w:r>
    </w:p>
    <w:p w14:paraId="576B3DB2" w14:textId="0BA020BB" w:rsidR="009B5F22" w:rsidRPr="00CE6AB4" w:rsidRDefault="009B5F22" w:rsidP="009B5F22">
      <w:pPr>
        <w:spacing w:before="120" w:after="120" w:line="360" w:lineRule="auto"/>
        <w:ind w:left="284" w:right="902"/>
        <w:jc w:val="both"/>
        <w:rPr>
          <w:rFonts w:ascii="Palatino Linotype" w:hAnsi="Palatino Linotype"/>
          <w:b/>
          <w:sz w:val="22"/>
          <w:szCs w:val="22"/>
          <w:u w:val="single"/>
        </w:rPr>
      </w:pPr>
      <w:r w:rsidRPr="00CE6AB4">
        <w:rPr>
          <w:rFonts w:ascii="Palatino Linotype" w:hAnsi="Palatino Linotype"/>
          <w:sz w:val="22"/>
          <w:szCs w:val="22"/>
        </w:rPr>
        <w:t xml:space="preserve">- Durante los días comprendidos entre el 09 de mayo al 28 de julio del año en curso, se llevaron a cabo las conexiones de tomas domesticas en las calles: Fray Servando Teresa de Mier, Sebastián Lerdo de Tejada, </w:t>
      </w:r>
      <w:r w:rsidRPr="00CE6AB4">
        <w:rPr>
          <w:rFonts w:ascii="Palatino Linotype" w:hAnsi="Palatino Linotype"/>
          <w:b/>
          <w:sz w:val="22"/>
          <w:szCs w:val="22"/>
          <w:u w:val="single"/>
        </w:rPr>
        <w:t>Camino Real a Toluca, Guillermo Prieto y 1er privada de Guillermo Prieto.</w:t>
      </w:r>
    </w:p>
    <w:p w14:paraId="482AAF6E" w14:textId="5FAD4601" w:rsidR="009B5F22" w:rsidRPr="00CE6AB4" w:rsidRDefault="009B5F22" w:rsidP="009B5F22">
      <w:pPr>
        <w:spacing w:before="240" w:after="240" w:line="360" w:lineRule="auto"/>
        <w:ind w:right="49"/>
        <w:jc w:val="both"/>
        <w:rPr>
          <w:rFonts w:ascii="Palatino Linotype" w:eastAsia="Palatino Linotype" w:hAnsi="Palatino Linotype" w:cs="Palatino Linotype"/>
          <w:sz w:val="22"/>
          <w:szCs w:val="22"/>
        </w:rPr>
      </w:pPr>
      <w:r w:rsidRPr="00CE6AB4">
        <w:rPr>
          <w:rFonts w:ascii="Palatino Linotype" w:hAnsi="Palatino Linotype"/>
          <w:sz w:val="22"/>
          <w:szCs w:val="22"/>
        </w:rPr>
        <w:t>Finalmente, indicó que para obtener certeza de una correcta y oportuna ejecución de las labores en comento, es necesario que se obtenga un conceso por parte de los vecinos involucrados y se garantice el abastecimiento de los materiales a emplear.</w:t>
      </w:r>
    </w:p>
    <w:p w14:paraId="4CE88D47" w14:textId="1AF050AA" w:rsidR="00E45D68" w:rsidRPr="00CE6AB4" w:rsidRDefault="00E45D68" w:rsidP="001A5BDA">
      <w:pPr>
        <w:spacing w:before="240" w:after="240" w:line="360" w:lineRule="auto"/>
        <w:ind w:right="51"/>
        <w:jc w:val="both"/>
        <w:rPr>
          <w:rFonts w:ascii="Palatino Linotype" w:eastAsia="Palatino Linotype" w:hAnsi="Palatino Linotype" w:cs="Palatino Linotype"/>
          <w:sz w:val="22"/>
          <w:szCs w:val="22"/>
        </w:rPr>
      </w:pPr>
      <w:r w:rsidRPr="00CE6AB4">
        <w:rPr>
          <w:rFonts w:ascii="Palatino Linotype" w:hAnsi="Palatino Linotype"/>
          <w:b/>
          <w:sz w:val="22"/>
          <w:szCs w:val="22"/>
        </w:rPr>
        <w:t>Subdirectora de Recursos Humanos</w:t>
      </w:r>
      <w:r w:rsidR="00F33558" w:rsidRPr="00CE6AB4">
        <w:rPr>
          <w:rFonts w:ascii="Palatino Linotype" w:hAnsi="Palatino Linotype"/>
          <w:sz w:val="22"/>
          <w:szCs w:val="22"/>
        </w:rPr>
        <w:t xml:space="preserve">. Proporcionó el expediente de personal del titular del Organismo Público de Agua y Saneamiento de Toluca, </w:t>
      </w:r>
      <w:r w:rsidR="0015079C" w:rsidRPr="00CE6AB4">
        <w:rPr>
          <w:rFonts w:ascii="Palatino Linotype" w:hAnsi="Palatino Linotype"/>
          <w:sz w:val="22"/>
          <w:szCs w:val="22"/>
        </w:rPr>
        <w:t>integrado por: Constancia de estudios, Testimonio de desempeño en el Examen General para el egreso de la Licenciatura en Ingeniería Civil, Nombramiento, Curriculum vitae, Certificado de Competencia Laboral en el Estándar de Competencia Administración de los servicios públicos municipales, Informe de no Antecedentes Penales</w:t>
      </w:r>
      <w:r w:rsidR="000C4B1F" w:rsidRPr="00CE6AB4">
        <w:rPr>
          <w:rFonts w:ascii="Palatino Linotype" w:hAnsi="Palatino Linotype"/>
          <w:sz w:val="22"/>
          <w:szCs w:val="22"/>
        </w:rPr>
        <w:t>.</w:t>
      </w:r>
    </w:p>
    <w:p w14:paraId="6336DE47" w14:textId="0F824EEE" w:rsidR="001A5BDA" w:rsidRPr="00CE6AB4" w:rsidRDefault="001A5BDA" w:rsidP="001A5BD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No obstante, </w:t>
      </w:r>
      <w:r w:rsidR="00CE6D9A" w:rsidRPr="00CE6AB4">
        <w:rPr>
          <w:rFonts w:ascii="Palatino Linotype" w:eastAsia="Palatino Linotype" w:hAnsi="Palatino Linotype" w:cs="Palatino Linotype"/>
          <w:sz w:val="22"/>
          <w:szCs w:val="22"/>
        </w:rPr>
        <w:t xml:space="preserve">una vez conocida la respuesta emitida por el </w:t>
      </w:r>
      <w:r w:rsidR="00CE6D9A" w:rsidRPr="00CE6AB4">
        <w:rPr>
          <w:rFonts w:ascii="Palatino Linotype" w:eastAsia="Palatino Linotype" w:hAnsi="Palatino Linotype" w:cs="Palatino Linotype"/>
          <w:b/>
          <w:sz w:val="22"/>
          <w:szCs w:val="22"/>
        </w:rPr>
        <w:t>Sujeto Obligado</w:t>
      </w:r>
      <w:r w:rsidR="00CE6D9A" w:rsidRPr="00CE6AB4">
        <w:rPr>
          <w:rFonts w:ascii="Palatino Linotype" w:eastAsia="Palatino Linotype" w:hAnsi="Palatino Linotype" w:cs="Palatino Linotype"/>
          <w:sz w:val="22"/>
          <w:szCs w:val="22"/>
        </w:rPr>
        <w:t>, la parte</w:t>
      </w:r>
      <w:r w:rsidR="00CE6D9A" w:rsidRPr="00CE6AB4">
        <w:rPr>
          <w:rFonts w:ascii="Palatino Linotype" w:eastAsia="Palatino Linotype" w:hAnsi="Palatino Linotype" w:cs="Palatino Linotype"/>
          <w:b/>
          <w:sz w:val="22"/>
          <w:szCs w:val="22"/>
        </w:rPr>
        <w:t xml:space="preserve"> Recurrente</w:t>
      </w:r>
      <w:r w:rsidR="00CE6D9A" w:rsidRPr="00CE6AB4">
        <w:rPr>
          <w:rFonts w:ascii="Palatino Linotype" w:eastAsia="Palatino Linotype" w:hAnsi="Palatino Linotype" w:cs="Palatino Linotype"/>
          <w:sz w:val="22"/>
          <w:szCs w:val="22"/>
        </w:rPr>
        <w:t>, al no estar conforme con los términos de la misma, interpuso el recurso de revisión que nos ocupa,</w:t>
      </w:r>
      <w:r w:rsidRPr="00CE6AB4">
        <w:rPr>
          <w:rFonts w:ascii="Palatino Linotype" w:eastAsia="Palatino Linotype" w:hAnsi="Palatino Linotype" w:cs="Palatino Linotype"/>
          <w:sz w:val="22"/>
          <w:szCs w:val="22"/>
        </w:rPr>
        <w:t xml:space="preserve"> mediante el cual seña</w:t>
      </w:r>
      <w:r w:rsidR="00880B8B" w:rsidRPr="00CE6AB4">
        <w:rPr>
          <w:rFonts w:ascii="Palatino Linotype" w:eastAsia="Palatino Linotype" w:hAnsi="Palatino Linotype" w:cs="Palatino Linotype"/>
          <w:sz w:val="22"/>
          <w:szCs w:val="22"/>
        </w:rPr>
        <w:t xml:space="preserve">ló como motivo de inconformidad que </w:t>
      </w:r>
      <w:r w:rsidRPr="00CE6AB4">
        <w:rPr>
          <w:rFonts w:ascii="Palatino Linotype" w:eastAsia="Palatino Linotype" w:hAnsi="Palatino Linotype" w:cs="Palatino Linotype"/>
          <w:sz w:val="22"/>
          <w:szCs w:val="22"/>
        </w:rPr>
        <w:t>“</w:t>
      </w:r>
      <w:r w:rsidR="00880B8B" w:rsidRPr="00CE6AB4">
        <w:rPr>
          <w:rFonts w:ascii="Palatino Linotype" w:eastAsia="Palatino Linotype" w:hAnsi="Palatino Linotype" w:cs="Palatino Linotype"/>
          <w:i/>
          <w:sz w:val="22"/>
          <w:szCs w:val="22"/>
        </w:rPr>
        <w:t xml:space="preserve">la respuesta, no responde a lo preguntado, </w:t>
      </w:r>
      <w:r w:rsidR="00880B8B" w:rsidRPr="00CE6AB4">
        <w:rPr>
          <w:rFonts w:ascii="Palatino Linotype" w:eastAsia="Palatino Linotype" w:hAnsi="Palatino Linotype" w:cs="Palatino Linotype"/>
          <w:b/>
          <w:i/>
          <w:sz w:val="22"/>
          <w:szCs w:val="22"/>
          <w:u w:val="single"/>
        </w:rPr>
        <w:t>no dice cuando se van a arreglar las calles mencionados</w:t>
      </w:r>
      <w:r w:rsidR="00880B8B" w:rsidRPr="00CE6AB4">
        <w:rPr>
          <w:rFonts w:ascii="Palatino Linotype" w:eastAsia="Palatino Linotype" w:hAnsi="Palatino Linotype" w:cs="Palatino Linotype"/>
          <w:i/>
          <w:sz w:val="22"/>
          <w:szCs w:val="22"/>
        </w:rPr>
        <w:t>”</w:t>
      </w:r>
      <w:r w:rsidRPr="00CE6AB4">
        <w:rPr>
          <w:rFonts w:ascii="Palatino Linotype" w:eastAsia="Palatino Linotype" w:hAnsi="Palatino Linotype" w:cs="Palatino Linotype"/>
          <w:sz w:val="22"/>
          <w:szCs w:val="22"/>
        </w:rPr>
        <w:t xml:space="preserve"> (sic)</w:t>
      </w:r>
    </w:p>
    <w:p w14:paraId="2EF0EE73" w14:textId="73B43687" w:rsidR="0034430A" w:rsidRPr="00CE6AB4" w:rsidRDefault="00F12A80" w:rsidP="0034430A">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En este sentido, es</w:t>
      </w:r>
      <w:r w:rsidR="0034430A" w:rsidRPr="00CE6AB4">
        <w:rPr>
          <w:rFonts w:ascii="Palatino Linotype" w:eastAsia="Palatino Linotype" w:hAnsi="Palatino Linotype" w:cs="Palatino Linotype"/>
          <w:sz w:val="22"/>
          <w:szCs w:val="22"/>
        </w:rPr>
        <w:t xml:space="preserve"> de señalar que de la lectura del motivo de inconformidad de la parte </w:t>
      </w:r>
      <w:r w:rsidR="0034430A" w:rsidRPr="00CE6AB4">
        <w:rPr>
          <w:rFonts w:ascii="Palatino Linotype" w:eastAsia="Palatino Linotype" w:hAnsi="Palatino Linotype" w:cs="Palatino Linotype"/>
          <w:b/>
          <w:sz w:val="22"/>
          <w:szCs w:val="22"/>
        </w:rPr>
        <w:t xml:space="preserve">Recurrente, </w:t>
      </w:r>
      <w:r w:rsidR="0034430A" w:rsidRPr="00CE6AB4">
        <w:rPr>
          <w:rFonts w:ascii="Palatino Linotype" w:eastAsia="Palatino Linotype" w:hAnsi="Palatino Linotype" w:cs="Palatino Linotype"/>
          <w:sz w:val="22"/>
          <w:szCs w:val="22"/>
        </w:rPr>
        <w:t xml:space="preserve">se advierte que este no versa sobre la información proporcionada por el </w:t>
      </w:r>
      <w:r w:rsidR="0034430A" w:rsidRPr="00CE6AB4">
        <w:rPr>
          <w:rFonts w:ascii="Palatino Linotype" w:eastAsia="Palatino Linotype" w:hAnsi="Palatino Linotype" w:cs="Palatino Linotype"/>
          <w:b/>
          <w:sz w:val="22"/>
          <w:szCs w:val="22"/>
        </w:rPr>
        <w:t>Sujeto Obligado</w:t>
      </w:r>
      <w:r w:rsidR="0034430A" w:rsidRPr="00CE6AB4">
        <w:rPr>
          <w:rFonts w:ascii="Palatino Linotype" w:eastAsia="Palatino Linotype" w:hAnsi="Palatino Linotype" w:cs="Palatino Linotype"/>
          <w:sz w:val="22"/>
          <w:szCs w:val="22"/>
        </w:rPr>
        <w:t>, por tanto,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6BF8718A" w14:textId="77777777" w:rsidR="0034430A" w:rsidRPr="00CE6AB4" w:rsidRDefault="0034430A" w:rsidP="0034430A">
      <w:pPr>
        <w:spacing w:before="240" w:after="36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Lo anterior es así, debido a que cuando la parte </w:t>
      </w:r>
      <w:r w:rsidRPr="00CE6AB4">
        <w:rPr>
          <w:rFonts w:ascii="Palatino Linotype" w:eastAsia="Palatino Linotype" w:hAnsi="Palatino Linotype" w:cs="Palatino Linotype"/>
          <w:b/>
          <w:sz w:val="22"/>
          <w:szCs w:val="22"/>
        </w:rPr>
        <w:t>Recurrente</w:t>
      </w:r>
      <w:r w:rsidRPr="00CE6AB4">
        <w:rPr>
          <w:rFonts w:ascii="Palatino Linotype" w:eastAsia="Palatino Linotype" w:hAnsi="Palatino Linotype" w:cs="Palatino Linotype"/>
          <w:sz w:val="22"/>
          <w:szCs w:val="22"/>
        </w:rPr>
        <w:t xml:space="preserve"> impugna la respuesta del </w:t>
      </w:r>
      <w:r w:rsidRPr="00CE6AB4">
        <w:rPr>
          <w:rFonts w:ascii="Palatino Linotype" w:eastAsia="Palatino Linotype" w:hAnsi="Palatino Linotype" w:cs="Palatino Linotype"/>
          <w:b/>
          <w:sz w:val="22"/>
          <w:szCs w:val="22"/>
        </w:rPr>
        <w:t>Sujeto Obligado</w:t>
      </w:r>
      <w:r w:rsidRPr="00CE6AB4">
        <w:rPr>
          <w:rFonts w:ascii="Palatino Linotype" w:eastAsia="Palatino Linotype" w:hAnsi="Palatino Linotype" w:cs="Palatino Linotype"/>
          <w:sz w:val="22"/>
          <w:szCs w:val="22"/>
        </w:rPr>
        <w:t xml:space="preserve">, y éste no expresa razón o motivo de inconformidad en contra de todos los rubros solicitados, dichos rubros deben declararse atendidos, pues se entiende que ésta conforme con la información entregada al no contravenir la misma. </w:t>
      </w:r>
    </w:p>
    <w:p w14:paraId="3528AB14" w14:textId="77777777" w:rsidR="0034430A" w:rsidRPr="00CE6AB4" w:rsidRDefault="0034430A" w:rsidP="0034430A">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7437E020" w14:textId="77777777" w:rsidR="0034430A" w:rsidRPr="00CE6AB4" w:rsidRDefault="0034430A" w:rsidP="0034430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E6AB4">
        <w:rPr>
          <w:rFonts w:ascii="Palatino Linotype" w:eastAsia="Palatino Linotype" w:hAnsi="Palatino Linotype" w:cs="Palatino Linotype"/>
          <w:i/>
          <w:sz w:val="22"/>
          <w:szCs w:val="22"/>
        </w:rPr>
        <w:t>“</w:t>
      </w:r>
      <w:r w:rsidRPr="00CE6AB4">
        <w:rPr>
          <w:rFonts w:ascii="Palatino Linotype" w:eastAsia="Palatino Linotype" w:hAnsi="Palatino Linotype" w:cs="Palatino Linotype"/>
          <w:b/>
          <w:i/>
          <w:sz w:val="22"/>
          <w:szCs w:val="22"/>
        </w:rPr>
        <w:t xml:space="preserve">Actos consentidos tácitamente. Improcedencia de su análisis. </w:t>
      </w:r>
      <w:r w:rsidRPr="00CE6AB4">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E9E1EDE" w14:textId="77777777" w:rsidR="0034430A" w:rsidRPr="00CE6AB4" w:rsidRDefault="0034430A" w:rsidP="0034430A">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3312EC36" w14:textId="77777777" w:rsidR="0034430A" w:rsidRPr="00CE6AB4" w:rsidRDefault="0034430A" w:rsidP="0034430A">
      <w:pPr>
        <w:ind w:left="851" w:right="900"/>
        <w:jc w:val="both"/>
        <w:rPr>
          <w:rFonts w:ascii="Palatino Linotype" w:eastAsia="Palatino Linotype" w:hAnsi="Palatino Linotype" w:cs="Palatino Linotype"/>
          <w:i/>
          <w:sz w:val="22"/>
          <w:szCs w:val="22"/>
        </w:rPr>
      </w:pPr>
      <w:r w:rsidRPr="00CE6AB4">
        <w:rPr>
          <w:rFonts w:ascii="Palatino Linotype" w:eastAsia="Palatino Linotype" w:hAnsi="Palatino Linotype" w:cs="Palatino Linotype"/>
          <w:b/>
          <w:i/>
          <w:smallCaps/>
          <w:sz w:val="22"/>
          <w:szCs w:val="22"/>
        </w:rPr>
        <w:t xml:space="preserve">“ACTOS CONSENTIDOS. SON LOS QUE NO SE IMPUGNAN MEDIANTE EL RECURSO IDÓNEO. </w:t>
      </w:r>
      <w:r w:rsidRPr="00CE6AB4">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3385772" w14:textId="77777777" w:rsidR="0034430A" w:rsidRPr="00CE6AB4" w:rsidRDefault="0034430A" w:rsidP="0034430A">
      <w:pPr>
        <w:spacing w:before="240" w:after="240" w:line="360" w:lineRule="auto"/>
        <w:jc w:val="both"/>
        <w:rPr>
          <w:rFonts w:ascii="Palatino Linotype" w:hAnsi="Palatino Linotype" w:cs="Arial"/>
          <w:sz w:val="22"/>
          <w:szCs w:val="22"/>
        </w:rPr>
      </w:pPr>
      <w:r w:rsidRPr="00CE6AB4">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w:t>
      </w:r>
      <w:r w:rsidRPr="00CE6AB4">
        <w:rPr>
          <w:rFonts w:ascii="Palatino Linotype" w:hAnsi="Palatino Linotype" w:cs="Arial"/>
          <w:sz w:val="22"/>
          <w:szCs w:val="22"/>
        </w:rPr>
        <w:t>or consiguiente, no es procedente el análisis de fondo en la resolución.</w:t>
      </w:r>
    </w:p>
    <w:p w14:paraId="2D8A876C" w14:textId="0DB46F38" w:rsidR="0034430A" w:rsidRPr="00CE6AB4" w:rsidRDefault="0034430A" w:rsidP="0034430A">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Ahora bien, por lo que se refiere a la inconformidad planteada, es de precisar que del análisis a lo vertido en el escrito de recurso de revisión se advierte que la expresión “</w:t>
      </w:r>
      <w:r w:rsidRPr="00CE6AB4">
        <w:rPr>
          <w:rFonts w:ascii="Palatino Linotype" w:eastAsia="Palatino Linotype" w:hAnsi="Palatino Linotype" w:cs="Palatino Linotype"/>
          <w:b/>
          <w:i/>
          <w:sz w:val="22"/>
          <w:szCs w:val="22"/>
          <w:u w:val="single"/>
        </w:rPr>
        <w:t>no dice cuando se van a arreglar las calles mencionados..</w:t>
      </w:r>
      <w:r w:rsidRPr="00CE6AB4">
        <w:rPr>
          <w:rFonts w:ascii="Palatino Linotype" w:eastAsia="Palatino Linotype" w:hAnsi="Palatino Linotype" w:cs="Palatino Linotype"/>
          <w:i/>
          <w:sz w:val="22"/>
          <w:szCs w:val="22"/>
        </w:rPr>
        <w:t xml:space="preserve">.” </w:t>
      </w:r>
      <w:r w:rsidRPr="00CE6AB4">
        <w:rPr>
          <w:rFonts w:ascii="Palatino Linotype" w:eastAsia="Palatino Linotype" w:hAnsi="Palatino Linotype" w:cs="Palatino Linotype"/>
          <w:sz w:val="22"/>
          <w:szCs w:val="22"/>
        </w:rPr>
        <w:t xml:space="preserve">constituye para este Organismo Garante un nuevo requerimiento de información, configurándose así lo que se conoce como </w:t>
      </w:r>
      <w:r w:rsidRPr="00CE6AB4">
        <w:rPr>
          <w:rFonts w:ascii="Palatino Linotype" w:eastAsia="Palatino Linotype" w:hAnsi="Palatino Linotype" w:cs="Palatino Linotype"/>
          <w:i/>
          <w:sz w:val="22"/>
          <w:szCs w:val="22"/>
        </w:rPr>
        <w:t>plus petitio</w:t>
      </w:r>
      <w:r w:rsidRPr="00CE6AB4">
        <w:rPr>
          <w:rFonts w:ascii="Palatino Linotype" w:eastAsia="Palatino Linotype" w:hAnsi="Palatino Linotype" w:cs="Palatino Linotype"/>
          <w:b/>
          <w:i/>
          <w:sz w:val="22"/>
          <w:szCs w:val="22"/>
        </w:rPr>
        <w:t xml:space="preserve">, </w:t>
      </w:r>
      <w:r w:rsidRPr="00CE6AB4">
        <w:rPr>
          <w:rFonts w:ascii="Palatino Linotype" w:eastAsia="Palatino Linotype" w:hAnsi="Palatino Linotype" w:cs="Palatino Linotype"/>
          <w:sz w:val="22"/>
          <w:szCs w:val="22"/>
        </w:rPr>
        <w:t>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la parte</w:t>
      </w:r>
      <w:r w:rsidRPr="00CE6AB4">
        <w:rPr>
          <w:rFonts w:ascii="Palatino Linotype" w:eastAsia="Palatino Linotype" w:hAnsi="Palatino Linotype" w:cs="Palatino Linotype"/>
          <w:b/>
          <w:sz w:val="22"/>
          <w:szCs w:val="22"/>
        </w:rPr>
        <w:t xml:space="preserve"> Recurrente</w:t>
      </w:r>
      <w:r w:rsidRPr="00CE6AB4">
        <w:rPr>
          <w:rFonts w:ascii="Palatino Linotype" w:eastAsia="Palatino Linotype" w:hAnsi="Palatino Linotype" w:cs="Palatino Linotype"/>
          <w:sz w:val="22"/>
          <w:szCs w:val="22"/>
        </w:rPr>
        <w:t xml:space="preserve"> amplíe su solicitud en el Recurso de Revisión, </w:t>
      </w:r>
      <w:r w:rsidRPr="00CE6AB4">
        <w:rPr>
          <w:rFonts w:ascii="Palatino Linotype" w:eastAsia="Palatino Linotype" w:hAnsi="Palatino Linotype" w:cs="Palatino Linotype"/>
          <w:b/>
          <w:sz w:val="22"/>
          <w:szCs w:val="22"/>
          <w:u w:val="single"/>
        </w:rPr>
        <w:t xml:space="preserve">únicamente respecto de los nuevos contenidos; </w:t>
      </w:r>
      <w:r w:rsidRPr="00CE6AB4">
        <w:rPr>
          <w:rFonts w:ascii="Palatino Linotype" w:eastAsia="Palatino Linotype" w:hAnsi="Palatino Linotype" w:cs="Palatino Linotype"/>
          <w:sz w:val="22"/>
          <w:szCs w:val="22"/>
        </w:rPr>
        <w:t xml:space="preserve">cuestión que tuvo lugar en el presente caso, pues la parte </w:t>
      </w:r>
      <w:r w:rsidRPr="00CE6AB4">
        <w:rPr>
          <w:rFonts w:ascii="Palatino Linotype" w:eastAsia="Palatino Linotype" w:hAnsi="Palatino Linotype" w:cs="Palatino Linotype"/>
          <w:b/>
          <w:sz w:val="22"/>
          <w:szCs w:val="22"/>
        </w:rPr>
        <w:t>Recurrente</w:t>
      </w:r>
      <w:r w:rsidRPr="00CE6AB4">
        <w:rPr>
          <w:rFonts w:ascii="Palatino Linotype" w:eastAsia="Palatino Linotype" w:hAnsi="Palatino Linotype" w:cs="Palatino Linotype"/>
          <w:sz w:val="22"/>
          <w:szCs w:val="22"/>
        </w:rPr>
        <w:t xml:space="preserve"> formuló un nuevo requerimiento, en los que solicitó información que no formó parte de su solicitud inicial y por lo tanto son inatendibles a través del recurso de revisión.</w:t>
      </w:r>
    </w:p>
    <w:p w14:paraId="0D883D85" w14:textId="77777777" w:rsidR="0034430A" w:rsidRPr="00CE6AB4" w:rsidRDefault="0034430A" w:rsidP="0034430A">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Para un mejor entendimiento, dicho análisis se realiza a través de la siguiente tabla:</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121439" w:rsidRPr="00CE6AB4" w14:paraId="04A35D0E" w14:textId="77777777" w:rsidTr="00030F96">
        <w:tc>
          <w:tcPr>
            <w:tcW w:w="4414" w:type="dxa"/>
            <w:shd w:val="clear" w:color="auto" w:fill="BFBFBF" w:themeFill="background1" w:themeFillShade="BF"/>
          </w:tcPr>
          <w:p w14:paraId="3EACDE20" w14:textId="77777777" w:rsidR="0034430A" w:rsidRPr="00CE6AB4" w:rsidRDefault="0034430A" w:rsidP="00030F96">
            <w:pPr>
              <w:spacing w:before="120" w:after="120"/>
              <w:jc w:val="center"/>
              <w:rPr>
                <w:rFonts w:ascii="Palatino Linotype" w:eastAsia="Palatino Linotype" w:hAnsi="Palatino Linotype" w:cs="Palatino Linotype"/>
                <w:b/>
                <w:sz w:val="20"/>
                <w:szCs w:val="20"/>
              </w:rPr>
            </w:pPr>
            <w:r w:rsidRPr="00CE6AB4">
              <w:rPr>
                <w:rFonts w:ascii="Palatino Linotype" w:eastAsia="Palatino Linotype" w:hAnsi="Palatino Linotype" w:cs="Palatino Linotype"/>
                <w:b/>
                <w:sz w:val="20"/>
                <w:szCs w:val="20"/>
              </w:rPr>
              <w:t>SOLICITUD DE INFORMACIÓN</w:t>
            </w:r>
          </w:p>
        </w:tc>
        <w:tc>
          <w:tcPr>
            <w:tcW w:w="4414" w:type="dxa"/>
            <w:shd w:val="clear" w:color="auto" w:fill="BFBFBF" w:themeFill="background1" w:themeFillShade="BF"/>
          </w:tcPr>
          <w:p w14:paraId="08D23E0E" w14:textId="77777777" w:rsidR="0034430A" w:rsidRPr="00CE6AB4" w:rsidRDefault="0034430A" w:rsidP="00030F96">
            <w:pPr>
              <w:spacing w:before="120" w:after="120"/>
              <w:jc w:val="center"/>
              <w:rPr>
                <w:rFonts w:ascii="Palatino Linotype" w:eastAsia="Palatino Linotype" w:hAnsi="Palatino Linotype" w:cs="Palatino Linotype"/>
                <w:b/>
                <w:sz w:val="20"/>
                <w:szCs w:val="20"/>
              </w:rPr>
            </w:pPr>
            <w:r w:rsidRPr="00CE6AB4">
              <w:rPr>
                <w:rFonts w:ascii="Palatino Linotype" w:eastAsia="Palatino Linotype" w:hAnsi="Palatino Linotype" w:cs="Palatino Linotype"/>
                <w:b/>
                <w:sz w:val="20"/>
                <w:szCs w:val="20"/>
              </w:rPr>
              <w:t>RECURSO DE REVISIÓN</w:t>
            </w:r>
          </w:p>
        </w:tc>
      </w:tr>
      <w:tr w:rsidR="00121439" w:rsidRPr="00CE6AB4" w14:paraId="47042DEF" w14:textId="77777777" w:rsidTr="00030F96">
        <w:tc>
          <w:tcPr>
            <w:tcW w:w="4414" w:type="dxa"/>
          </w:tcPr>
          <w:p w14:paraId="0A359DE2" w14:textId="3A28EDF2" w:rsidR="0034430A" w:rsidRPr="00CE6AB4" w:rsidRDefault="0034430A" w:rsidP="00030F96">
            <w:pPr>
              <w:spacing w:before="120" w:after="120"/>
              <w:jc w:val="both"/>
              <w:rPr>
                <w:rFonts w:ascii="Palatino Linotype" w:eastAsia="Palatino Linotype" w:hAnsi="Palatino Linotype" w:cs="Palatino Linotype"/>
                <w:i/>
                <w:sz w:val="20"/>
                <w:szCs w:val="20"/>
              </w:rPr>
            </w:pPr>
            <w:r w:rsidRPr="00CE6AB4">
              <w:rPr>
                <w:rFonts w:ascii="Palatino Linotype" w:eastAsia="Palatino Linotype" w:hAnsi="Palatino Linotype" w:cs="Palatino Linotype"/>
                <w:i/>
                <w:sz w:val="20"/>
                <w:szCs w:val="20"/>
              </w:rPr>
              <w:t>“</w:t>
            </w:r>
            <w:r w:rsidRPr="00CE6AB4">
              <w:rPr>
                <w:rFonts w:ascii="Palatino Linotype" w:eastAsia="Palatino Linotype" w:hAnsi="Palatino Linotype" w:cs="Palatino Linotype"/>
                <w:b/>
                <w:i/>
                <w:sz w:val="20"/>
                <w:szCs w:val="20"/>
                <w:u w:val="single"/>
              </w:rPr>
              <w:t>CAUSA POR LA CUAL NO SE HAN REALIZADO LAS REPARACIONES</w:t>
            </w:r>
            <w:r w:rsidRPr="00CE6AB4">
              <w:rPr>
                <w:rFonts w:ascii="Palatino Linotype" w:eastAsia="Palatino Linotype" w:hAnsi="Palatino Linotype" w:cs="Palatino Linotype"/>
                <w:i/>
                <w:sz w:val="20"/>
                <w:szCs w:val="20"/>
                <w:u w:val="single"/>
              </w:rPr>
              <w:t xml:space="preserve"> </w:t>
            </w:r>
            <w:r w:rsidRPr="00CE6AB4">
              <w:rPr>
                <w:rFonts w:ascii="Palatino Linotype" w:eastAsia="Palatino Linotype" w:hAnsi="Palatino Linotype" w:cs="Palatino Linotype"/>
                <w:i/>
                <w:sz w:val="20"/>
                <w:szCs w:val="20"/>
              </w:rPr>
              <w:t xml:space="preserve">DE LAS CALLES GUILLERMO PRIETO Y CAMINO REAL A TOLUCA, SECCION 3 SAN ANDRES CUEXCONTITLAN, DERIVADO DE LOS TRABAJOS DE IMPLEMENTACIÓN DE RED DE AGUA POTABLE, tambien </w:t>
            </w:r>
            <w:r w:rsidRPr="00CE6AB4">
              <w:rPr>
                <w:rFonts w:ascii="Palatino Linotype" w:eastAsia="Palatino Linotype" w:hAnsi="Palatino Linotype" w:cs="Palatino Linotype"/>
                <w:b/>
                <w:i/>
                <w:sz w:val="20"/>
                <w:szCs w:val="20"/>
                <w:u w:val="single"/>
              </w:rPr>
              <w:t>requiero el expediente personal</w:t>
            </w:r>
            <w:r w:rsidRPr="00CE6AB4">
              <w:rPr>
                <w:rFonts w:ascii="Palatino Linotype" w:eastAsia="Palatino Linotype" w:hAnsi="Palatino Linotype" w:cs="Palatino Linotype"/>
                <w:b/>
                <w:i/>
                <w:sz w:val="20"/>
                <w:szCs w:val="20"/>
              </w:rPr>
              <w:t xml:space="preserve"> </w:t>
            </w:r>
            <w:r w:rsidRPr="00CE6AB4">
              <w:rPr>
                <w:rFonts w:ascii="Palatino Linotype" w:eastAsia="Palatino Linotype" w:hAnsi="Palatino Linotype" w:cs="Palatino Linotype"/>
                <w:i/>
                <w:sz w:val="20"/>
                <w:szCs w:val="20"/>
              </w:rPr>
              <w:t>del Director General de este Organismo,” (Sic)</w:t>
            </w:r>
          </w:p>
        </w:tc>
        <w:tc>
          <w:tcPr>
            <w:tcW w:w="4414" w:type="dxa"/>
          </w:tcPr>
          <w:p w14:paraId="45F698A1" w14:textId="77777777" w:rsidR="0034430A" w:rsidRPr="00CE6AB4" w:rsidRDefault="0034430A" w:rsidP="00030F96">
            <w:pPr>
              <w:tabs>
                <w:tab w:val="left" w:pos="2745"/>
              </w:tabs>
              <w:spacing w:before="120" w:after="120"/>
              <w:ind w:left="11"/>
              <w:jc w:val="both"/>
              <w:rPr>
                <w:rFonts w:ascii="Palatino Linotype" w:eastAsia="Palatino Linotype" w:hAnsi="Palatino Linotype" w:cs="Palatino Linotype"/>
                <w:b/>
                <w:sz w:val="20"/>
                <w:szCs w:val="20"/>
              </w:rPr>
            </w:pPr>
            <w:r w:rsidRPr="00CE6AB4">
              <w:rPr>
                <w:rFonts w:ascii="Palatino Linotype" w:eastAsia="Palatino Linotype" w:hAnsi="Palatino Linotype" w:cs="Palatino Linotype"/>
                <w:b/>
                <w:sz w:val="20"/>
                <w:szCs w:val="20"/>
              </w:rPr>
              <w:t xml:space="preserve">Acto impugnado: </w:t>
            </w:r>
          </w:p>
          <w:p w14:paraId="204A34CD" w14:textId="76C324C6" w:rsidR="0034430A" w:rsidRPr="00CE6AB4" w:rsidRDefault="0034430A" w:rsidP="00030F96">
            <w:pPr>
              <w:tabs>
                <w:tab w:val="left" w:pos="2745"/>
              </w:tabs>
              <w:spacing w:before="120" w:after="120"/>
              <w:ind w:left="151" w:right="220"/>
              <w:jc w:val="both"/>
              <w:rPr>
                <w:rFonts w:ascii="Palatino Linotype" w:eastAsia="Palatino Linotype" w:hAnsi="Palatino Linotype" w:cs="Palatino Linotype"/>
                <w:i/>
                <w:sz w:val="20"/>
                <w:szCs w:val="20"/>
              </w:rPr>
            </w:pPr>
            <w:r w:rsidRPr="00CE6AB4">
              <w:rPr>
                <w:rFonts w:ascii="Palatino Linotype" w:eastAsia="Palatino Linotype" w:hAnsi="Palatino Linotype" w:cs="Palatino Linotype"/>
                <w:i/>
                <w:sz w:val="20"/>
                <w:szCs w:val="20"/>
              </w:rPr>
              <w:t xml:space="preserve">“la respuesta, no responde a lo preguntado, </w:t>
            </w:r>
            <w:r w:rsidRPr="00CE6AB4">
              <w:rPr>
                <w:rFonts w:ascii="Palatino Linotype" w:eastAsia="Palatino Linotype" w:hAnsi="Palatino Linotype" w:cs="Palatino Linotype"/>
                <w:b/>
                <w:i/>
                <w:sz w:val="20"/>
                <w:szCs w:val="20"/>
                <w:u w:val="single"/>
              </w:rPr>
              <w:t>no dice cuando se van a arreglar las calles mencionados</w:t>
            </w:r>
            <w:r w:rsidRPr="00CE6AB4">
              <w:rPr>
                <w:rFonts w:ascii="Palatino Linotype" w:eastAsia="Palatino Linotype" w:hAnsi="Palatino Linotype" w:cs="Palatino Linotype"/>
                <w:i/>
                <w:sz w:val="20"/>
                <w:szCs w:val="20"/>
              </w:rPr>
              <w:t>” (sic)</w:t>
            </w:r>
          </w:p>
          <w:p w14:paraId="59D86DEB" w14:textId="77777777" w:rsidR="0034430A" w:rsidRPr="00CE6AB4" w:rsidRDefault="0034430A" w:rsidP="00030F96">
            <w:pPr>
              <w:spacing w:before="120" w:after="120"/>
              <w:ind w:left="11"/>
              <w:jc w:val="both"/>
              <w:rPr>
                <w:rFonts w:ascii="Palatino Linotype" w:eastAsia="Palatino Linotype" w:hAnsi="Palatino Linotype" w:cs="Palatino Linotype"/>
                <w:sz w:val="20"/>
                <w:szCs w:val="20"/>
              </w:rPr>
            </w:pPr>
            <w:r w:rsidRPr="00CE6AB4">
              <w:rPr>
                <w:rFonts w:ascii="Palatino Linotype" w:eastAsia="Palatino Linotype" w:hAnsi="Palatino Linotype" w:cs="Palatino Linotype"/>
                <w:b/>
                <w:sz w:val="20"/>
                <w:szCs w:val="20"/>
              </w:rPr>
              <w:t>Y Razones o motivos de inconformidad</w:t>
            </w:r>
            <w:r w:rsidRPr="00CE6AB4">
              <w:rPr>
                <w:rFonts w:ascii="Palatino Linotype" w:eastAsia="Palatino Linotype" w:hAnsi="Palatino Linotype" w:cs="Palatino Linotype"/>
                <w:sz w:val="20"/>
                <w:szCs w:val="20"/>
              </w:rPr>
              <w:t xml:space="preserve">: </w:t>
            </w:r>
          </w:p>
          <w:p w14:paraId="5EFDBB38" w14:textId="6BDC781D" w:rsidR="0034430A" w:rsidRPr="00CE6AB4" w:rsidRDefault="0034430A" w:rsidP="00030F96">
            <w:pPr>
              <w:tabs>
                <w:tab w:val="left" w:pos="2745"/>
              </w:tabs>
              <w:spacing w:before="120" w:after="120"/>
              <w:ind w:left="151" w:right="220"/>
              <w:jc w:val="both"/>
              <w:rPr>
                <w:rFonts w:ascii="Palatino Linotype" w:eastAsia="Palatino Linotype" w:hAnsi="Palatino Linotype" w:cs="Palatino Linotype"/>
                <w:i/>
                <w:sz w:val="20"/>
                <w:szCs w:val="20"/>
              </w:rPr>
            </w:pPr>
            <w:r w:rsidRPr="00CE6AB4">
              <w:rPr>
                <w:rFonts w:ascii="Palatino Linotype" w:eastAsia="Palatino Linotype" w:hAnsi="Palatino Linotype" w:cs="Palatino Linotype"/>
                <w:i/>
                <w:sz w:val="20"/>
                <w:szCs w:val="20"/>
              </w:rPr>
              <w:t>“alargan el procedimiento de acceso a la información no responden lo solicitado” (sic)</w:t>
            </w:r>
          </w:p>
        </w:tc>
      </w:tr>
    </w:tbl>
    <w:p w14:paraId="00FD84B7" w14:textId="2E57B77A" w:rsidR="00060084" w:rsidRPr="00CE6AB4" w:rsidRDefault="00060084" w:rsidP="00030F9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Como se advierten en un primer momento la persona solicitante requirió</w:t>
      </w:r>
      <w:r w:rsidR="00030F96" w:rsidRPr="00CE6AB4">
        <w:rPr>
          <w:rFonts w:ascii="Palatino Linotype" w:eastAsia="Palatino Linotype" w:hAnsi="Palatino Linotype" w:cs="Palatino Linotype"/>
          <w:sz w:val="22"/>
          <w:szCs w:val="22"/>
        </w:rPr>
        <w:t>, además del expediente de personal del Director General, el cual fue proporcionado por la S</w:t>
      </w:r>
      <w:r w:rsidR="00642210" w:rsidRPr="00CE6AB4">
        <w:rPr>
          <w:rFonts w:ascii="Palatino Linotype" w:eastAsia="Palatino Linotype" w:hAnsi="Palatino Linotype" w:cs="Palatino Linotype"/>
          <w:sz w:val="22"/>
          <w:szCs w:val="22"/>
        </w:rPr>
        <w:t xml:space="preserve">ubdirectora de Recursos Humanos; </w:t>
      </w:r>
      <w:r w:rsidRPr="00CE6AB4">
        <w:rPr>
          <w:rFonts w:ascii="Palatino Linotype" w:eastAsia="Palatino Linotype" w:hAnsi="Palatino Linotype" w:cs="Palatino Linotype"/>
          <w:sz w:val="22"/>
          <w:szCs w:val="22"/>
        </w:rPr>
        <w:t>la causa o razón por la cual no se han realiza</w:t>
      </w:r>
      <w:r w:rsidR="00030F96" w:rsidRPr="00CE6AB4">
        <w:rPr>
          <w:rFonts w:ascii="Palatino Linotype" w:eastAsia="Palatino Linotype" w:hAnsi="Palatino Linotype" w:cs="Palatino Linotype"/>
          <w:sz w:val="22"/>
          <w:szCs w:val="22"/>
        </w:rPr>
        <w:t>do las reparaciones en dos calles, manifestación que si bien no se trata del ejercicio del Derecho de acceso, sino de un Derecho de Petición</w:t>
      </w:r>
      <w:r w:rsidR="00030F96" w:rsidRPr="00CE6AB4">
        <w:rPr>
          <w:rStyle w:val="Refdenotaalpie"/>
          <w:rFonts w:ascii="Palatino Linotype" w:eastAsia="Palatino Linotype" w:hAnsi="Palatino Linotype" w:cs="Palatino Linotype"/>
          <w:sz w:val="22"/>
          <w:szCs w:val="22"/>
        </w:rPr>
        <w:footnoteReference w:id="1"/>
      </w:r>
      <w:r w:rsidR="00030F96" w:rsidRPr="00CE6AB4">
        <w:rPr>
          <w:rFonts w:ascii="Palatino Linotype" w:eastAsia="Palatino Linotype" w:hAnsi="Palatino Linotype" w:cs="Palatino Linotype"/>
          <w:sz w:val="22"/>
          <w:szCs w:val="22"/>
        </w:rPr>
        <w:t xml:space="preserve">, el Director de Planeación, Construcción y Operación atendió, aún sin tener obligación de ello. </w:t>
      </w:r>
    </w:p>
    <w:p w14:paraId="1569FF14" w14:textId="76267ECF" w:rsidR="00030F96" w:rsidRPr="00CE6AB4" w:rsidRDefault="00030F96" w:rsidP="00030F9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No obstante, mediante el recurso de revisión, la parte </w:t>
      </w:r>
      <w:r w:rsidRPr="00CE6AB4">
        <w:rPr>
          <w:rFonts w:ascii="Palatino Linotype" w:eastAsia="Palatino Linotype" w:hAnsi="Palatino Linotype" w:cs="Palatino Linotype"/>
          <w:b/>
          <w:sz w:val="22"/>
          <w:szCs w:val="22"/>
        </w:rPr>
        <w:t>Recurrente</w:t>
      </w:r>
      <w:r w:rsidRPr="00CE6AB4">
        <w:rPr>
          <w:rFonts w:ascii="Palatino Linotype" w:eastAsia="Palatino Linotype" w:hAnsi="Palatino Linotype" w:cs="Palatino Linotype"/>
          <w:sz w:val="22"/>
          <w:szCs w:val="22"/>
        </w:rPr>
        <w:t xml:space="preserve"> pretendió se le informara sobre la fecha en la que se van a arreglar las calles referidas en la solicitud, información que si bien pudiera obrar en un documento</w:t>
      </w:r>
      <w:r w:rsidR="00642210" w:rsidRPr="00CE6AB4">
        <w:rPr>
          <w:rFonts w:ascii="Palatino Linotype" w:eastAsia="Palatino Linotype" w:hAnsi="Palatino Linotype" w:cs="Palatino Linotype"/>
          <w:sz w:val="22"/>
          <w:szCs w:val="22"/>
        </w:rPr>
        <w:t>,</w:t>
      </w:r>
      <w:r w:rsidRPr="00CE6AB4">
        <w:rPr>
          <w:rFonts w:ascii="Palatino Linotype" w:eastAsia="Palatino Linotype" w:hAnsi="Palatino Linotype" w:cs="Palatino Linotype"/>
          <w:sz w:val="22"/>
          <w:szCs w:val="22"/>
        </w:rPr>
        <w:t xml:space="preserve"> en caso de haberse generado a la fecha de presentación de la solicitud, </w:t>
      </w:r>
      <w:r w:rsidR="00291BD1" w:rsidRPr="00CE6AB4">
        <w:rPr>
          <w:rFonts w:ascii="Palatino Linotype" w:eastAsia="Palatino Linotype" w:hAnsi="Palatino Linotype" w:cs="Palatino Linotype"/>
          <w:sz w:val="22"/>
          <w:szCs w:val="22"/>
        </w:rPr>
        <w:t>no fue  solicitada desde el primer momento como se advierte en la tabla anterio</w:t>
      </w:r>
      <w:r w:rsidRPr="00CE6AB4">
        <w:rPr>
          <w:rFonts w:ascii="Palatino Linotype" w:eastAsia="Palatino Linotype" w:hAnsi="Palatino Linotype" w:cs="Palatino Linotype"/>
          <w:sz w:val="22"/>
          <w:szCs w:val="22"/>
        </w:rPr>
        <w:t>r.</w:t>
      </w:r>
    </w:p>
    <w:p w14:paraId="2912962A" w14:textId="22CC43AB" w:rsidR="00291BD1" w:rsidRPr="00CE6AB4" w:rsidRDefault="00030F96" w:rsidP="00030F9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Por lo tanto, </w:t>
      </w:r>
      <w:r w:rsidR="00291BD1" w:rsidRPr="00CE6AB4">
        <w:rPr>
          <w:rFonts w:ascii="Palatino Linotype" w:eastAsia="Palatino Linotype" w:hAnsi="Palatino Linotype" w:cs="Palatino Linotype"/>
          <w:sz w:val="22"/>
          <w:szCs w:val="22"/>
        </w:rPr>
        <w:t>es posible determinar que el argumento formulado como motivos de inconformidad es una ampliación a la solicitud inicial y corresponde a un nuevo requerimiento de información, que no se encuentran relacionados con lo solicitado en un primer momento; por lo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33193671" w14:textId="77777777" w:rsidR="00030F96" w:rsidRPr="00CE6AB4" w:rsidRDefault="00030F96" w:rsidP="00030F96">
      <w:pPr>
        <w:pBdr>
          <w:top w:val="nil"/>
          <w:left w:val="nil"/>
          <w:bottom w:val="nil"/>
          <w:right w:val="nil"/>
          <w:between w:val="nil"/>
        </w:pBdr>
        <w:spacing w:after="240" w:line="360" w:lineRule="auto"/>
        <w:jc w:val="both"/>
        <w:rPr>
          <w:rFonts w:ascii="Palatino Linotype" w:hAnsi="Palatino Linotype"/>
          <w:sz w:val="22"/>
          <w:szCs w:val="22"/>
        </w:rPr>
      </w:pPr>
      <w:r w:rsidRPr="00CE6AB4">
        <w:rPr>
          <w:rFonts w:ascii="Palatino Linotype" w:eastAsia="Palatino Linotype" w:hAnsi="Palatino Linotype" w:cs="Palatino Linotype"/>
          <w:sz w:val="22"/>
          <w:szCs w:val="22"/>
        </w:rPr>
        <w:t>En este orden de ideas, una vez formulada su solicitud inicial,</w:t>
      </w:r>
      <w:r w:rsidRPr="00CE6AB4">
        <w:rPr>
          <w:rFonts w:ascii="Palatino Linotype" w:eastAsia="Palatino Linotype" w:hAnsi="Palatino Linotype" w:cs="Palatino Linotype"/>
          <w:i/>
          <w:sz w:val="22"/>
          <w:szCs w:val="22"/>
        </w:rPr>
        <w:t xml:space="preserve"> </w:t>
      </w:r>
      <w:r w:rsidRPr="00CE6AB4">
        <w:rPr>
          <w:rFonts w:ascii="Palatino Linotype" w:eastAsia="Palatino Linotype" w:hAnsi="Palatino Linotype" w:cs="Palatino Linotype"/>
          <w:sz w:val="22"/>
          <w:szCs w:val="22"/>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694A5B46" w14:textId="77777777" w:rsidR="00030F96" w:rsidRPr="00CE6AB4" w:rsidRDefault="00030F96" w:rsidP="00030F96">
      <w:pPr>
        <w:pBdr>
          <w:top w:val="nil"/>
          <w:left w:val="nil"/>
          <w:bottom w:val="nil"/>
          <w:right w:val="nil"/>
          <w:between w:val="nil"/>
        </w:pBdr>
        <w:spacing w:before="240" w:after="240" w:line="360" w:lineRule="auto"/>
        <w:jc w:val="both"/>
        <w:rPr>
          <w:rFonts w:ascii="Palatino Linotype" w:hAnsi="Palatino Linotype"/>
          <w:sz w:val="22"/>
          <w:szCs w:val="22"/>
        </w:rPr>
      </w:pPr>
      <w:r w:rsidRPr="00CE6AB4">
        <w:rPr>
          <w:rFonts w:ascii="Palatino Linotype" w:eastAsia="Palatino Linotype" w:hAnsi="Palatino Linotype" w:cs="Palatino Linotype"/>
          <w:sz w:val="22"/>
          <w:szCs w:val="22"/>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649C7E8B" w14:textId="77777777" w:rsidR="00030F96" w:rsidRPr="00CE6AB4" w:rsidRDefault="00030F96" w:rsidP="00030F96">
      <w:pPr>
        <w:pBdr>
          <w:top w:val="nil"/>
          <w:left w:val="nil"/>
          <w:bottom w:val="nil"/>
          <w:right w:val="nil"/>
          <w:between w:val="nil"/>
        </w:pBdr>
        <w:spacing w:before="240" w:after="240"/>
        <w:ind w:left="851" w:right="900"/>
        <w:jc w:val="both"/>
        <w:rPr>
          <w:rFonts w:ascii="Palatino Linotype" w:hAnsi="Palatino Linotype"/>
          <w:sz w:val="22"/>
          <w:szCs w:val="22"/>
        </w:rPr>
      </w:pPr>
      <w:r w:rsidRPr="00CE6AB4">
        <w:rPr>
          <w:rFonts w:ascii="Palatino Linotype" w:eastAsia="Palatino Linotype" w:hAnsi="Palatino Linotype" w:cs="Palatino Linotype"/>
          <w:i/>
          <w:sz w:val="22"/>
          <w:szCs w:val="22"/>
        </w:rPr>
        <w:t>“</w:t>
      </w:r>
      <w:r w:rsidRPr="00CE6AB4">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CE6AB4">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CE6AB4">
        <w:rPr>
          <w:rFonts w:ascii="Palatino Linotype" w:eastAsia="Palatino Linotype" w:hAnsi="Palatino Linotype" w:cs="Palatino Linotype"/>
          <w:b/>
          <w:i/>
          <w:sz w:val="22"/>
          <w:szCs w:val="22"/>
        </w:rPr>
        <w:t>.</w:t>
      </w:r>
      <w:r w:rsidRPr="00CE6AB4">
        <w:rPr>
          <w:rFonts w:ascii="Palatino Linotype" w:eastAsia="Palatino Linotype" w:hAnsi="Palatino Linotype" w:cs="Palatino Linotype"/>
          <w:i/>
          <w:sz w:val="22"/>
          <w:szCs w:val="22"/>
        </w:rPr>
        <w:t>”</w:t>
      </w:r>
    </w:p>
    <w:p w14:paraId="62AF8CD6" w14:textId="77777777" w:rsidR="00030F96" w:rsidRPr="00CE6AB4" w:rsidRDefault="00030F96" w:rsidP="00030F96">
      <w:pPr>
        <w:pBdr>
          <w:top w:val="nil"/>
          <w:left w:val="nil"/>
          <w:bottom w:val="nil"/>
          <w:right w:val="nil"/>
          <w:between w:val="nil"/>
        </w:pBdr>
        <w:spacing w:line="360" w:lineRule="auto"/>
        <w:ind w:right="49"/>
        <w:jc w:val="both"/>
        <w:rPr>
          <w:rFonts w:ascii="Palatino Linotype" w:hAnsi="Palatino Linotype"/>
          <w:sz w:val="22"/>
          <w:szCs w:val="22"/>
        </w:rPr>
      </w:pPr>
      <w:r w:rsidRPr="00CE6AB4">
        <w:rPr>
          <w:rFonts w:ascii="Palatino Linotype" w:eastAsia="Palatino Linotype" w:hAnsi="Palatino Linotype" w:cs="Palatino Linotype"/>
          <w:sz w:val="22"/>
          <w:szCs w:val="22"/>
        </w:rPr>
        <w:t>Conforme a todo lo anteriormente expuesto, se concluye que el presente caso actualiza lo dispuesto en el artículo 191 fracción VII de la Ley de Transparencia y Acceso a la Información Pública del Estado de México y Municipios, al haber ampliado su requerimiento primigenio a través del recurso de revisión y no actualizar algún supuesto de la ley de la Materia, las cuales disponen lo siguiente:</w:t>
      </w:r>
    </w:p>
    <w:p w14:paraId="3095A4A5" w14:textId="77777777" w:rsidR="00030F96" w:rsidRPr="00CE6AB4" w:rsidRDefault="00030F96" w:rsidP="00030F96">
      <w:pPr>
        <w:pBdr>
          <w:top w:val="nil"/>
          <w:left w:val="nil"/>
          <w:bottom w:val="nil"/>
          <w:right w:val="nil"/>
          <w:between w:val="nil"/>
        </w:pBdr>
        <w:ind w:left="851" w:right="822"/>
        <w:jc w:val="both"/>
        <w:rPr>
          <w:rFonts w:ascii="Palatino Linotype" w:eastAsia="Palatino Linotype" w:hAnsi="Palatino Linotype" w:cs="Palatino Linotype"/>
          <w:i/>
          <w:sz w:val="22"/>
          <w:szCs w:val="22"/>
        </w:rPr>
      </w:pPr>
      <w:r w:rsidRPr="00CE6AB4">
        <w:rPr>
          <w:rFonts w:ascii="Palatino Linotype" w:eastAsia="Palatino Linotype" w:hAnsi="Palatino Linotype" w:cs="Palatino Linotype"/>
          <w:i/>
          <w:sz w:val="22"/>
          <w:szCs w:val="22"/>
        </w:rPr>
        <w:t>“</w:t>
      </w:r>
      <w:r w:rsidRPr="00CE6AB4">
        <w:rPr>
          <w:rFonts w:ascii="Palatino Linotype" w:eastAsia="Palatino Linotype" w:hAnsi="Palatino Linotype" w:cs="Palatino Linotype"/>
          <w:b/>
          <w:i/>
          <w:sz w:val="22"/>
          <w:szCs w:val="22"/>
        </w:rPr>
        <w:t>Artículo 191.</w:t>
      </w:r>
      <w:r w:rsidRPr="00CE6AB4">
        <w:rPr>
          <w:rFonts w:ascii="Palatino Linotype" w:eastAsia="Palatino Linotype" w:hAnsi="Palatino Linotype" w:cs="Palatino Linotype"/>
          <w:i/>
          <w:sz w:val="22"/>
          <w:szCs w:val="22"/>
        </w:rPr>
        <w:t xml:space="preserve"> El recurso será desechado por improcedente cuando:</w:t>
      </w:r>
    </w:p>
    <w:p w14:paraId="0693FC93" w14:textId="45CDF83F" w:rsidR="00030F96" w:rsidRPr="00CE6AB4" w:rsidRDefault="00030F96" w:rsidP="00030F96">
      <w:pPr>
        <w:pBdr>
          <w:top w:val="nil"/>
          <w:left w:val="nil"/>
          <w:bottom w:val="nil"/>
          <w:right w:val="nil"/>
          <w:between w:val="nil"/>
        </w:pBdr>
        <w:ind w:left="851" w:right="822"/>
        <w:jc w:val="both"/>
        <w:rPr>
          <w:rFonts w:ascii="Palatino Linotype" w:eastAsia="Palatino Linotype" w:hAnsi="Palatino Linotype" w:cs="Palatino Linotype"/>
          <w:i/>
          <w:sz w:val="22"/>
          <w:szCs w:val="22"/>
        </w:rPr>
      </w:pPr>
      <w:r w:rsidRPr="00CE6AB4">
        <w:rPr>
          <w:rFonts w:ascii="Palatino Linotype" w:eastAsia="Palatino Linotype" w:hAnsi="Palatino Linotype" w:cs="Palatino Linotype"/>
          <w:i/>
          <w:sz w:val="22"/>
          <w:szCs w:val="22"/>
        </w:rPr>
        <w:t>...</w:t>
      </w:r>
    </w:p>
    <w:p w14:paraId="289FE4A6" w14:textId="77777777" w:rsidR="00030F96" w:rsidRPr="00CE6AB4" w:rsidRDefault="00030F96" w:rsidP="00030F96">
      <w:pPr>
        <w:pBdr>
          <w:top w:val="nil"/>
          <w:left w:val="nil"/>
          <w:bottom w:val="nil"/>
          <w:right w:val="nil"/>
          <w:between w:val="nil"/>
        </w:pBdr>
        <w:ind w:left="851" w:right="822"/>
        <w:jc w:val="both"/>
        <w:rPr>
          <w:rFonts w:ascii="Palatino Linotype" w:hAnsi="Palatino Linotype"/>
          <w:sz w:val="22"/>
          <w:szCs w:val="22"/>
        </w:rPr>
      </w:pPr>
      <w:r w:rsidRPr="00CE6AB4">
        <w:rPr>
          <w:rFonts w:ascii="Palatino Linotype" w:eastAsia="Palatino Linotype" w:hAnsi="Palatino Linotype" w:cs="Palatino Linotype"/>
          <w:b/>
          <w:i/>
          <w:sz w:val="22"/>
          <w:szCs w:val="22"/>
        </w:rPr>
        <w:t xml:space="preserve">VII. El recurrente amplíe su solicitud en el recurso de revisión, únicamente respecto de los nuevos contenidos.” </w:t>
      </w:r>
    </w:p>
    <w:p w14:paraId="4348476E" w14:textId="77777777" w:rsidR="00030F96" w:rsidRPr="00CE6AB4" w:rsidRDefault="00030F96" w:rsidP="00030F9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La fracción VII del citado precepto legal, contempla la improcedencia del recurso cuando se amplíe la solicitud en el recurso de revisión.</w:t>
      </w:r>
    </w:p>
    <w:p w14:paraId="46E91449" w14:textId="77777777" w:rsidR="00030F96" w:rsidRPr="00CE6AB4" w:rsidRDefault="00030F96" w:rsidP="00030F96">
      <w:pPr>
        <w:pBdr>
          <w:top w:val="nil"/>
          <w:left w:val="nil"/>
          <w:bottom w:val="nil"/>
          <w:right w:val="nil"/>
          <w:between w:val="nil"/>
        </w:pBdr>
        <w:spacing w:before="240" w:after="240" w:line="360" w:lineRule="auto"/>
        <w:jc w:val="both"/>
        <w:rPr>
          <w:rFonts w:ascii="Palatino Linotype" w:hAnsi="Palatino Linotype"/>
          <w:sz w:val="22"/>
          <w:szCs w:val="22"/>
        </w:rPr>
      </w:pPr>
      <w:r w:rsidRPr="00CE6AB4">
        <w:rPr>
          <w:rFonts w:ascii="Palatino Linotype" w:eastAsia="Palatino Linotype" w:hAnsi="Palatino Linotype" w:cs="Palatino Linotype"/>
          <w:sz w:val="22"/>
          <w:szCs w:val="22"/>
        </w:rPr>
        <w:t>Sin embargo, al haber sido admitido el recurso de revisión, aún y cuando actualiza una causal de improcedencia, es necesario traer a contexto el artículo 192 fracción IV, de la multicitada Ley de Transparencia:</w:t>
      </w:r>
    </w:p>
    <w:p w14:paraId="76BC1FBD" w14:textId="77777777" w:rsidR="00030F96" w:rsidRPr="00CE6AB4" w:rsidRDefault="00030F96" w:rsidP="00030F96">
      <w:pPr>
        <w:pBdr>
          <w:top w:val="nil"/>
          <w:left w:val="nil"/>
          <w:bottom w:val="nil"/>
          <w:right w:val="nil"/>
          <w:between w:val="nil"/>
        </w:pBdr>
        <w:ind w:left="851" w:right="822"/>
        <w:jc w:val="both"/>
        <w:rPr>
          <w:rFonts w:ascii="Palatino Linotype" w:hAnsi="Palatino Linotype"/>
          <w:sz w:val="22"/>
          <w:szCs w:val="22"/>
        </w:rPr>
      </w:pPr>
      <w:r w:rsidRPr="00CE6AB4">
        <w:rPr>
          <w:rFonts w:ascii="Palatino Linotype" w:eastAsia="Palatino Linotype" w:hAnsi="Palatino Linotype" w:cs="Palatino Linotype"/>
          <w:i/>
          <w:sz w:val="22"/>
          <w:szCs w:val="22"/>
        </w:rPr>
        <w:t>“</w:t>
      </w:r>
      <w:r w:rsidRPr="00CE6AB4">
        <w:rPr>
          <w:rFonts w:ascii="Palatino Linotype" w:eastAsia="Palatino Linotype" w:hAnsi="Palatino Linotype" w:cs="Palatino Linotype"/>
          <w:b/>
          <w:i/>
          <w:sz w:val="22"/>
          <w:szCs w:val="22"/>
        </w:rPr>
        <w:t>Artículo 192</w:t>
      </w:r>
      <w:r w:rsidRPr="00CE6AB4">
        <w:rPr>
          <w:rFonts w:ascii="Palatino Linotype" w:eastAsia="Palatino Linotype" w:hAnsi="Palatino Linotype" w:cs="Palatino Linotype"/>
          <w:i/>
          <w:sz w:val="22"/>
          <w:szCs w:val="22"/>
        </w:rPr>
        <w:t>. El recurso será sobreseído, en todo o en parte, cuando una vez admitido, se actualicen alguno de los siguientes supuestos:</w:t>
      </w:r>
    </w:p>
    <w:p w14:paraId="09B9668D" w14:textId="31730D32" w:rsidR="00030F96" w:rsidRPr="00CE6AB4" w:rsidRDefault="00030F96" w:rsidP="00030F96">
      <w:pPr>
        <w:pBdr>
          <w:top w:val="nil"/>
          <w:left w:val="nil"/>
          <w:bottom w:val="nil"/>
          <w:right w:val="nil"/>
          <w:between w:val="nil"/>
        </w:pBdr>
        <w:ind w:left="851" w:right="822"/>
        <w:jc w:val="both"/>
        <w:rPr>
          <w:rFonts w:ascii="Palatino Linotype" w:hAnsi="Palatino Linotype"/>
          <w:sz w:val="22"/>
          <w:szCs w:val="22"/>
        </w:rPr>
      </w:pPr>
      <w:r w:rsidRPr="00CE6AB4">
        <w:rPr>
          <w:rFonts w:ascii="Palatino Linotype" w:hAnsi="Palatino Linotype"/>
          <w:sz w:val="22"/>
          <w:szCs w:val="22"/>
        </w:rPr>
        <w:t>...</w:t>
      </w:r>
    </w:p>
    <w:p w14:paraId="6DB701CD" w14:textId="77EDA559" w:rsidR="00030F96" w:rsidRPr="00CE6AB4" w:rsidRDefault="00030F96" w:rsidP="00030F96">
      <w:pPr>
        <w:pBdr>
          <w:top w:val="nil"/>
          <w:left w:val="nil"/>
          <w:bottom w:val="nil"/>
          <w:right w:val="nil"/>
          <w:between w:val="nil"/>
        </w:pBdr>
        <w:ind w:left="851" w:right="822"/>
        <w:jc w:val="both"/>
        <w:rPr>
          <w:rFonts w:ascii="Palatino Linotype" w:hAnsi="Palatino Linotype"/>
          <w:sz w:val="22"/>
          <w:szCs w:val="22"/>
        </w:rPr>
      </w:pPr>
      <w:r w:rsidRPr="00CE6AB4">
        <w:rPr>
          <w:rFonts w:ascii="Palatino Linotype" w:eastAsia="Palatino Linotype" w:hAnsi="Palatino Linotype" w:cs="Palatino Linotype"/>
          <w:b/>
          <w:i/>
          <w:sz w:val="22"/>
          <w:szCs w:val="22"/>
        </w:rPr>
        <w:t>IV. Admitido el recurso de revisión, aparezca alguna causal de improcedencia en los términos de la presente Ley; y”</w:t>
      </w:r>
    </w:p>
    <w:p w14:paraId="1CA6AD31" w14:textId="77777777" w:rsidR="00030F96" w:rsidRPr="00CE6AB4" w:rsidRDefault="00030F96" w:rsidP="00030F9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Es así que, el presente caso actualiza la causal de sobreseimiento prevista en la fracción IV del artículo 192 de la Ley de Transparencia y Acceso a la Información Pública del Estado de México y Municipios, en relación con la fracción VII del artículo 191 del mismo ordenamiento, citados con antelación.</w:t>
      </w:r>
    </w:p>
    <w:p w14:paraId="414F0240" w14:textId="77777777" w:rsidR="00030F96" w:rsidRPr="00CE6AB4" w:rsidRDefault="00030F96" w:rsidP="00030F96">
      <w:pPr>
        <w:spacing w:before="240" w:after="240" w:line="360" w:lineRule="auto"/>
        <w:ind w:right="49"/>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Cabe destacar que la Ley da la posibilidad de desechar el recurso de revisión en el momento procesal en que también se puede admitir, por alguno de los supuestos previstos en el artículo 191 de la Ley en la Materia, artículo que tiene un momento de aplicabilidad previo a la admisión del recurso de revisión por no reunir los requisitos de procedibilidad previstos en el artículo 179 de la misma Ley.</w:t>
      </w:r>
    </w:p>
    <w:p w14:paraId="0F1615BD" w14:textId="77777777" w:rsidR="00030F96" w:rsidRPr="00CE6AB4" w:rsidRDefault="00030F96" w:rsidP="00030F96">
      <w:pPr>
        <w:spacing w:before="240" w:after="240" w:line="360" w:lineRule="auto"/>
        <w:ind w:right="49"/>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Dentro de este orden de ideas, es evidente que no se puede invocar el precepto legal 191 de la Ley en cita ulteriormente a que ha sido admitido, determinando la actualización de un desechamiento</w:t>
      </w:r>
      <w:r w:rsidRPr="00CE6AB4">
        <w:rPr>
          <w:rFonts w:ascii="Palatino Linotype" w:eastAsia="Palatino Linotype" w:hAnsi="Palatino Linotype" w:cs="Palatino Linotype"/>
          <w:sz w:val="22"/>
          <w:szCs w:val="22"/>
          <w:vertAlign w:val="superscript"/>
        </w:rPr>
        <w:footnoteReference w:id="2"/>
      </w:r>
      <w:r w:rsidRPr="00CE6AB4">
        <w:rPr>
          <w:rFonts w:ascii="Palatino Linotype" w:eastAsia="Palatino Linotype" w:hAnsi="Palatino Linotype" w:cs="Palatino Linotype"/>
          <w:sz w:val="22"/>
          <w:szCs w:val="22"/>
        </w:rPr>
        <w:t>, porque está ya sería posterior a la etapa procedimental en la que debió desecharse.</w:t>
      </w:r>
    </w:p>
    <w:p w14:paraId="5D4CA7E2" w14:textId="77777777" w:rsidR="00030F96" w:rsidRPr="00CE6AB4" w:rsidRDefault="00030F96" w:rsidP="00030F96">
      <w:pPr>
        <w:spacing w:before="240" w:after="240" w:line="360" w:lineRule="auto"/>
        <w:ind w:right="49"/>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Por ende, cobra aplicación lo previsto en la fracción IV del artículo 192, en razón a que al haber sido admitido el recurso de revisión y al actualizarse una causal de improcedencia, en este caso la establecida en la fracción VII del artículo 191 de la misma Ley, éste debe ser </w:t>
      </w:r>
      <w:r w:rsidRPr="00CE6AB4">
        <w:rPr>
          <w:rFonts w:ascii="Palatino Linotype" w:eastAsia="Palatino Linotype" w:hAnsi="Palatino Linotype" w:cs="Palatino Linotype"/>
          <w:i/>
          <w:sz w:val="22"/>
          <w:szCs w:val="22"/>
        </w:rPr>
        <w:t>sobreseído</w:t>
      </w:r>
      <w:r w:rsidRPr="00CE6AB4">
        <w:rPr>
          <w:rFonts w:ascii="Palatino Linotype" w:eastAsia="Palatino Linotype" w:hAnsi="Palatino Linotype" w:cs="Palatino Linotype"/>
          <w:sz w:val="22"/>
          <w:szCs w:val="22"/>
        </w:rPr>
        <w:t>.</w:t>
      </w:r>
    </w:p>
    <w:p w14:paraId="60D17A17" w14:textId="77777777" w:rsidR="00030F96" w:rsidRPr="00CE6AB4" w:rsidRDefault="00030F96" w:rsidP="00030F96">
      <w:pPr>
        <w:spacing w:before="240" w:after="240" w:line="360" w:lineRule="auto"/>
        <w:jc w:val="both"/>
        <w:rPr>
          <w:rFonts w:ascii="Palatino Linotype" w:eastAsia="Palatino Linotype" w:hAnsi="Palatino Linotype" w:cs="Palatino Linotype"/>
          <w:b/>
          <w:sz w:val="22"/>
          <w:szCs w:val="22"/>
        </w:rPr>
      </w:pPr>
      <w:r w:rsidRPr="00CE6AB4">
        <w:rPr>
          <w:rFonts w:ascii="Palatino Linotype" w:eastAsia="Palatino Linotype" w:hAnsi="Palatino Linotype" w:cs="Palatino Linotype"/>
          <w:sz w:val="22"/>
          <w:szCs w:val="22"/>
        </w:rPr>
        <w:t xml:space="preserve">Atento a los razonamientos lógico jurídicos que han quedado precisados y toda vez que el  </w:t>
      </w:r>
      <w:r w:rsidRPr="00CE6AB4">
        <w:rPr>
          <w:rFonts w:ascii="Palatino Linotype" w:eastAsia="Palatino Linotype" w:hAnsi="Palatino Linotype" w:cs="Palatino Linotype"/>
          <w:i/>
          <w:sz w:val="22"/>
          <w:szCs w:val="22"/>
        </w:rPr>
        <w:t xml:space="preserve">sobreseimiento </w:t>
      </w:r>
      <w:r w:rsidRPr="00CE6AB4">
        <w:rPr>
          <w:rFonts w:ascii="Palatino Linotype" w:eastAsia="Palatino Linotype" w:hAnsi="Palatino Linotype" w:cs="Palatino Linotype"/>
          <w:sz w:val="22"/>
          <w:szCs w:val="22"/>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CE6AB4">
        <w:rPr>
          <w:rFonts w:ascii="Palatino Linotype" w:eastAsia="Palatino Linotype" w:hAnsi="Palatino Linotype" w:cs="Palatino Linotype"/>
          <w:b/>
          <w:sz w:val="22"/>
          <w:szCs w:val="22"/>
        </w:rPr>
        <w:t>SOBRESEIMIENTO, NO PERMITE ENTRAR AL ESTUDIO DE LAS CUESTIONES DE FONDO</w:t>
      </w:r>
      <w:r w:rsidRPr="00CE6AB4">
        <w:rPr>
          <w:rFonts w:ascii="Palatino Linotype" w:eastAsia="Palatino Linotype" w:hAnsi="Palatino Linotype" w:cs="Palatino Linotype"/>
          <w:sz w:val="22"/>
          <w:szCs w:val="22"/>
          <w:vertAlign w:val="superscript"/>
        </w:rPr>
        <w:footnoteReference w:id="3"/>
      </w:r>
      <w:r w:rsidRPr="00CE6AB4">
        <w:rPr>
          <w:rFonts w:ascii="Palatino Linotype" w:eastAsia="Palatino Linotype" w:hAnsi="Palatino Linotype" w:cs="Palatino Linotype"/>
          <w:b/>
          <w:sz w:val="22"/>
          <w:szCs w:val="22"/>
        </w:rPr>
        <w:t>.</w:t>
      </w:r>
    </w:p>
    <w:p w14:paraId="2D838B41" w14:textId="77777777" w:rsidR="00030F96" w:rsidRPr="00CE6AB4" w:rsidRDefault="00030F96" w:rsidP="00030F96">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La decisión de este Organismo Colegiado de sobreseer el recurso de revisión no implica una limitación o negación a la justicia, según lo ha establecido el Poder Judicial Federal, en el criterio que es aplicable por analogía, con rubro:</w:t>
      </w:r>
    </w:p>
    <w:p w14:paraId="2A8211A9" w14:textId="77777777" w:rsidR="00030F96" w:rsidRPr="00CE6AB4" w:rsidRDefault="00030F96" w:rsidP="00030F96">
      <w:pPr>
        <w:spacing w:before="120" w:after="120"/>
        <w:ind w:left="851" w:right="902"/>
        <w:jc w:val="both"/>
        <w:rPr>
          <w:rFonts w:ascii="Palatino Linotype" w:eastAsia="Palatino Linotype" w:hAnsi="Palatino Linotype" w:cs="Palatino Linotype"/>
          <w:b/>
          <w:i/>
          <w:sz w:val="22"/>
          <w:szCs w:val="22"/>
        </w:rPr>
      </w:pPr>
      <w:r w:rsidRPr="00CE6AB4">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p>
    <w:p w14:paraId="5AEC3A17" w14:textId="77777777" w:rsidR="00030F96" w:rsidRPr="00CE6AB4" w:rsidRDefault="00030F96" w:rsidP="00030F96">
      <w:pPr>
        <w:spacing w:before="120" w:after="120"/>
        <w:ind w:left="851" w:right="902"/>
        <w:jc w:val="both"/>
        <w:rPr>
          <w:rFonts w:ascii="Palatino Linotype" w:eastAsia="Palatino Linotype" w:hAnsi="Palatino Linotype" w:cs="Palatino Linotype"/>
          <w:i/>
          <w:sz w:val="22"/>
          <w:szCs w:val="22"/>
        </w:rPr>
      </w:pPr>
      <w:r w:rsidRPr="00CE6AB4">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337D58F3" w14:textId="77777777" w:rsidR="00030F96" w:rsidRPr="00CE6AB4" w:rsidRDefault="00030F96" w:rsidP="00030F96">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No obstante, de dejan a salvo los derechos de la persona solicitante, para que en caso de considerarlo oportuno a sus intereses pueda presentar una nueva solicitud ante el </w:t>
      </w:r>
      <w:r w:rsidRPr="00CE6AB4">
        <w:rPr>
          <w:rFonts w:ascii="Palatino Linotype" w:eastAsia="Palatino Linotype" w:hAnsi="Palatino Linotype" w:cs="Palatino Linotype"/>
          <w:b/>
          <w:sz w:val="22"/>
          <w:szCs w:val="22"/>
        </w:rPr>
        <w:t xml:space="preserve">Sujeto Obligado </w:t>
      </w:r>
      <w:r w:rsidRPr="00CE6AB4">
        <w:rPr>
          <w:rFonts w:ascii="Palatino Linotype" w:eastAsia="Palatino Linotype" w:hAnsi="Palatino Linotype" w:cs="Palatino Linotype"/>
          <w:sz w:val="22"/>
          <w:szCs w:val="22"/>
        </w:rPr>
        <w:t>a fin de solicitar la información que ha sido precisada.</w:t>
      </w:r>
    </w:p>
    <w:p w14:paraId="73AF1C0F" w14:textId="4F5FD1E7" w:rsidR="00EF6E50" w:rsidRPr="00CE6AB4" w:rsidRDefault="00EF6E50" w:rsidP="00EF6E50">
      <w:pPr>
        <w:pStyle w:val="NormalWeb"/>
        <w:spacing w:before="240" w:beforeAutospacing="0" w:after="240" w:afterAutospacing="0" w:line="360" w:lineRule="auto"/>
        <w:jc w:val="both"/>
        <w:rPr>
          <w:rFonts w:ascii="Palatino Linotype" w:hAnsi="Palatino Linotype"/>
          <w:sz w:val="22"/>
          <w:szCs w:val="22"/>
        </w:rPr>
      </w:pPr>
      <w:r w:rsidRPr="00CE6AB4">
        <w:rPr>
          <w:rFonts w:ascii="Palatino Linotype" w:eastAsia="Palatino Linotype" w:hAnsi="Palatino Linotype" w:cs="Palatino Linotype"/>
          <w:sz w:val="22"/>
          <w:szCs w:val="22"/>
        </w:rPr>
        <w:t xml:space="preserve">Finalmente, </w:t>
      </w:r>
      <w:r w:rsidRPr="00CE6AB4">
        <w:rPr>
          <w:rFonts w:ascii="Palatino Linotype" w:hAnsi="Palatino Linotype"/>
          <w:sz w:val="22"/>
          <w:szCs w:val="22"/>
        </w:rPr>
        <w:t xml:space="preserve">no pasa desapercibido para este Instituto que de los documentos remitidos en respuesta, el </w:t>
      </w:r>
      <w:r w:rsidRPr="00CE6AB4">
        <w:rPr>
          <w:rFonts w:ascii="Palatino Linotype" w:hAnsi="Palatino Linotype"/>
          <w:b/>
          <w:bCs/>
          <w:sz w:val="22"/>
          <w:szCs w:val="22"/>
        </w:rPr>
        <w:t>Sujeto Obligado</w:t>
      </w:r>
      <w:r w:rsidRPr="00CE6AB4">
        <w:rPr>
          <w:rFonts w:ascii="Palatino Linotype" w:hAnsi="Palatino Linotype"/>
          <w:sz w:val="22"/>
          <w:szCs w:val="22"/>
        </w:rPr>
        <w:t xml:space="preserve"> dejo a la vista datos considerados como confidenciales, como lo son de manera enunciativa, más no limitativa, el número de folio y el código de verificación en el certificado de no antecedentes penales, así como la fecha de nacimiento y el estado civil en el curricumum vitae, información que es clasificada en términos del artículo 143 fracción I de la Ley de Transparencia, Acceso a la Información Pública y Protección de Datos Personales del Estado de México y Municipios; por lo que resulta procedente dar vista </w:t>
      </w:r>
      <w:r w:rsidRPr="00CE6AB4">
        <w:rPr>
          <w:rFonts w:ascii="Palatino Linotype" w:hAnsi="Palatino Linotype"/>
          <w:b/>
          <w:bCs/>
          <w:sz w:val="22"/>
          <w:szCs w:val="22"/>
        </w:rPr>
        <w:t>al Titular de la Dirección General de Protección de Datos Personales</w:t>
      </w:r>
      <w:r w:rsidRPr="00CE6AB4">
        <w:rPr>
          <w:rFonts w:ascii="Palatino Linotype" w:hAnsi="Palatino Linotype"/>
          <w:sz w:val="22"/>
          <w:szCs w:val="22"/>
        </w:rPr>
        <w:t xml:space="preserve"> de este Organismo, con fundamento en el artículo 82, fracción XXVII de la Ley de Protección de Datos Personales del Estado de México y Municipios, para que en ejercicio de sus atribuciones contenidas en el numeral 24, fracciones V, XI, XII y XIII del Reglamento Interior del Instituto de Transparencia, Acceso a la Información Pública y Protección de Datos Personales del Estado de México y Municipios, determine lo conducente.</w:t>
      </w:r>
    </w:p>
    <w:p w14:paraId="49C44618" w14:textId="77777777" w:rsidR="00EF6E50" w:rsidRPr="00CE6AB4" w:rsidRDefault="00EF6E50" w:rsidP="00EF6E50">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Con base en los argumentos expuestos, con fundamento en la segunda hipótesis de la fracción I del artículo 186, de la Ley de Transparencia y Acceso a la Información Pública del Estado de México y Municipios, se </w:t>
      </w:r>
      <w:r w:rsidRPr="00CE6AB4">
        <w:rPr>
          <w:rFonts w:ascii="Palatino Linotype" w:eastAsia="Palatino Linotype" w:hAnsi="Palatino Linotype" w:cs="Palatino Linotype"/>
          <w:i/>
          <w:sz w:val="22"/>
          <w:szCs w:val="22"/>
        </w:rPr>
        <w:t>Sobresee</w:t>
      </w:r>
      <w:r w:rsidRPr="00CE6AB4">
        <w:rPr>
          <w:rFonts w:ascii="Palatino Linotype" w:eastAsia="Palatino Linotype" w:hAnsi="Palatino Linotype" w:cs="Palatino Linotype"/>
          <w:b/>
          <w:sz w:val="22"/>
          <w:szCs w:val="22"/>
        </w:rPr>
        <w:t xml:space="preserve"> </w:t>
      </w:r>
      <w:r w:rsidRPr="00CE6AB4">
        <w:rPr>
          <w:rFonts w:ascii="Palatino Linotype" w:eastAsia="Palatino Linotype" w:hAnsi="Palatino Linotype" w:cs="Palatino Linotype"/>
          <w:sz w:val="22"/>
          <w:szCs w:val="22"/>
        </w:rPr>
        <w:t xml:space="preserve">el recurso de revisión </w:t>
      </w:r>
      <w:r w:rsidRPr="00CE6AB4">
        <w:rPr>
          <w:rFonts w:ascii="Palatino Linotype" w:eastAsia="Palatino Linotype" w:hAnsi="Palatino Linotype" w:cs="Palatino Linotype"/>
          <w:b/>
          <w:sz w:val="22"/>
          <w:szCs w:val="22"/>
        </w:rPr>
        <w:t>12604/INFOEM/IP/RR/2025</w:t>
      </w:r>
      <w:r w:rsidRPr="00CE6AB4">
        <w:rPr>
          <w:rFonts w:ascii="Palatino Linotype" w:eastAsia="Palatino Linotype" w:hAnsi="Palatino Linotype" w:cs="Palatino Linotype"/>
          <w:sz w:val="22"/>
          <w:szCs w:val="22"/>
        </w:rPr>
        <w:t>, que ha sido materia del presente fallo.</w:t>
      </w:r>
    </w:p>
    <w:p w14:paraId="5F02058A" w14:textId="730D03D9" w:rsidR="008E115A" w:rsidRPr="00CE6AB4" w:rsidRDefault="008E115A" w:rsidP="00225CE8">
      <w:pPr>
        <w:pBdr>
          <w:top w:val="nil"/>
          <w:left w:val="nil"/>
          <w:bottom w:val="nil"/>
          <w:right w:val="nil"/>
          <w:between w:val="nil"/>
        </w:pBdr>
        <w:spacing w:before="240" w:after="240" w:line="360" w:lineRule="auto"/>
        <w:ind w:right="96"/>
        <w:jc w:val="both"/>
        <w:rPr>
          <w:rFonts w:ascii="Palatino Linotype" w:hAnsi="Palatino Linotype"/>
          <w:sz w:val="22"/>
          <w:szCs w:val="22"/>
        </w:rPr>
      </w:pPr>
      <w:r w:rsidRPr="00CE6AB4">
        <w:rPr>
          <w:rFonts w:ascii="Palatino Linotype" w:eastAsia="Palatino Linotype" w:hAnsi="Palatino Linotype" w:cs="Palatino Linotype"/>
          <w:sz w:val="22"/>
          <w:szCs w:val="22"/>
        </w:rPr>
        <w:t xml:space="preserve">Así, con fundamento en lo prescrito en los artículos 5 párrafos </w:t>
      </w:r>
      <w:r w:rsidR="005A01FD" w:rsidRPr="00CE6AB4">
        <w:rPr>
          <w:rFonts w:ascii="Palatino Linotype" w:eastAsia="Palatino Linotype" w:hAnsi="Palatino Linotype" w:cs="Palatino Linotype"/>
          <w:sz w:val="22"/>
          <w:szCs w:val="22"/>
        </w:rPr>
        <w:t xml:space="preserve">cuadragésimo </w:t>
      </w:r>
      <w:r w:rsidR="0023691C" w:rsidRPr="00CE6AB4">
        <w:rPr>
          <w:rFonts w:ascii="Palatino Linotype" w:eastAsia="Palatino Linotype" w:hAnsi="Palatino Linotype" w:cs="Palatino Linotype"/>
          <w:sz w:val="22"/>
          <w:szCs w:val="22"/>
        </w:rPr>
        <w:t>cuarto, cuadragésimo quinto y cuadragésimo sexto</w:t>
      </w:r>
      <w:r w:rsidRPr="00CE6AB4">
        <w:rPr>
          <w:rFonts w:ascii="Palatino Linotype" w:eastAsia="Palatino Linotype" w:hAnsi="Palatino Linotype" w:cs="Palatino Linotype"/>
          <w:sz w:val="22"/>
          <w:szCs w:val="22"/>
        </w:rPr>
        <w:t xml:space="preserve"> de la Constitución Política del Estado Libre y Soberano de México;</w:t>
      </w:r>
      <w:r w:rsidR="0023691C" w:rsidRPr="00CE6AB4">
        <w:rPr>
          <w:rFonts w:ascii="Palatino Linotype" w:eastAsia="Palatino Linotype" w:hAnsi="Palatino Linotype" w:cs="Palatino Linotype"/>
          <w:sz w:val="22"/>
          <w:szCs w:val="22"/>
        </w:rPr>
        <w:t xml:space="preserve"> </w:t>
      </w:r>
      <w:r w:rsidR="0023691C" w:rsidRPr="00CE6AB4">
        <w:rPr>
          <w:rFonts w:ascii="Palatino Linotype" w:hAnsi="Palatino Linotype"/>
          <w:sz w:val="22"/>
          <w:szCs w:val="22"/>
        </w:rPr>
        <w:t>Transitorio Cuarto, párrafo segundo del Decreto número 198 de la “LXII” Legislatura del Estado de México</w:t>
      </w:r>
      <w:r w:rsidRPr="00CE6AB4">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464FF4F3" w14:textId="77777777" w:rsidR="008E115A" w:rsidRPr="00CE6AB4" w:rsidRDefault="008E115A" w:rsidP="00225CE8">
      <w:pPr>
        <w:pBdr>
          <w:top w:val="nil"/>
          <w:left w:val="nil"/>
          <w:bottom w:val="nil"/>
          <w:right w:val="nil"/>
          <w:between w:val="nil"/>
        </w:pBdr>
        <w:spacing w:before="240" w:after="240" w:line="360" w:lineRule="auto"/>
        <w:jc w:val="center"/>
        <w:rPr>
          <w:rFonts w:ascii="Palatino Linotype" w:hAnsi="Palatino Linotype"/>
          <w:sz w:val="22"/>
          <w:szCs w:val="22"/>
        </w:rPr>
      </w:pPr>
      <w:r w:rsidRPr="00CE6AB4">
        <w:rPr>
          <w:rFonts w:ascii="Palatino Linotype" w:eastAsia="Palatino Linotype" w:hAnsi="Palatino Linotype" w:cs="Palatino Linotype"/>
          <w:b/>
          <w:sz w:val="22"/>
          <w:szCs w:val="22"/>
        </w:rPr>
        <w:t>III. R E S U E L V E:</w:t>
      </w:r>
    </w:p>
    <w:p w14:paraId="1341A0DA" w14:textId="17D8B7A5" w:rsidR="008E115A" w:rsidRPr="00CE6AB4" w:rsidRDefault="008E115A" w:rsidP="00225CE8">
      <w:pPr>
        <w:pBdr>
          <w:top w:val="nil"/>
          <w:left w:val="nil"/>
          <w:bottom w:val="nil"/>
          <w:right w:val="nil"/>
          <w:between w:val="nil"/>
        </w:pBdr>
        <w:spacing w:before="240" w:after="240" w:line="360" w:lineRule="auto"/>
        <w:jc w:val="both"/>
        <w:rPr>
          <w:rFonts w:ascii="Palatino Linotype" w:hAnsi="Palatino Linotype"/>
          <w:sz w:val="22"/>
          <w:szCs w:val="22"/>
        </w:rPr>
      </w:pPr>
      <w:r w:rsidRPr="00CE6AB4">
        <w:rPr>
          <w:rFonts w:ascii="Palatino Linotype" w:eastAsia="Palatino Linotype" w:hAnsi="Palatino Linotype" w:cs="Palatino Linotype"/>
          <w:b/>
          <w:sz w:val="22"/>
          <w:szCs w:val="22"/>
        </w:rPr>
        <w:t xml:space="preserve">Primero. </w:t>
      </w:r>
      <w:r w:rsidRPr="00CE6AB4">
        <w:rPr>
          <w:rFonts w:ascii="Palatino Linotype" w:eastAsia="Palatino Linotype" w:hAnsi="Palatino Linotype" w:cs="Palatino Linotype"/>
          <w:sz w:val="22"/>
          <w:szCs w:val="22"/>
        </w:rPr>
        <w:t>Se</w:t>
      </w:r>
      <w:r w:rsidRPr="00CE6AB4">
        <w:rPr>
          <w:rFonts w:ascii="Palatino Linotype" w:eastAsia="Palatino Linotype" w:hAnsi="Palatino Linotype" w:cs="Palatino Linotype"/>
          <w:b/>
          <w:sz w:val="22"/>
          <w:szCs w:val="22"/>
        </w:rPr>
        <w:t xml:space="preserve"> Sobresee </w:t>
      </w:r>
      <w:r w:rsidRPr="00CE6AB4">
        <w:rPr>
          <w:rFonts w:ascii="Palatino Linotype" w:eastAsia="Palatino Linotype" w:hAnsi="Palatino Linotype" w:cs="Palatino Linotype"/>
          <w:sz w:val="22"/>
          <w:szCs w:val="22"/>
        </w:rPr>
        <w:t xml:space="preserve">el recurso de revisión número </w:t>
      </w:r>
      <w:r w:rsidR="00EF6E50" w:rsidRPr="00CE6AB4">
        <w:rPr>
          <w:rFonts w:ascii="Palatino Linotype" w:eastAsia="Palatino Linotype" w:hAnsi="Palatino Linotype" w:cs="Palatino Linotype"/>
          <w:b/>
          <w:sz w:val="22"/>
          <w:szCs w:val="22"/>
        </w:rPr>
        <w:t>12604</w:t>
      </w:r>
      <w:r w:rsidR="005A01FD" w:rsidRPr="00CE6AB4">
        <w:rPr>
          <w:rFonts w:ascii="Palatino Linotype" w:eastAsia="Palatino Linotype" w:hAnsi="Palatino Linotype" w:cs="Palatino Linotype"/>
          <w:b/>
          <w:sz w:val="22"/>
          <w:szCs w:val="22"/>
        </w:rPr>
        <w:t>/INFOEM/IP/RR/2025</w:t>
      </w:r>
      <w:r w:rsidRPr="00CE6AB4">
        <w:rPr>
          <w:rFonts w:ascii="Palatino Linotype" w:eastAsia="Palatino Linotype" w:hAnsi="Palatino Linotype" w:cs="Palatino Linotype"/>
          <w:sz w:val="22"/>
          <w:szCs w:val="22"/>
        </w:rPr>
        <w:t xml:space="preserve">, porque una vez admitido se actualizó la causal de improcedencia prevista en artículo 192 fracción IV, en relación con la fracción VII del artículo 191, de la Ley de Transparencia y Acceso a la Información Pública del Estado de México y Municipios, que lo dejó sin materia en términos del </w:t>
      </w:r>
      <w:r w:rsidRPr="00CE6AB4">
        <w:rPr>
          <w:rFonts w:ascii="Palatino Linotype" w:eastAsia="Palatino Linotype" w:hAnsi="Palatino Linotype" w:cs="Palatino Linotype"/>
          <w:b/>
          <w:sz w:val="22"/>
          <w:szCs w:val="22"/>
        </w:rPr>
        <w:t xml:space="preserve">Considerando Tercero </w:t>
      </w:r>
      <w:r w:rsidRPr="00CE6AB4">
        <w:rPr>
          <w:rFonts w:ascii="Palatino Linotype" w:eastAsia="Palatino Linotype" w:hAnsi="Palatino Linotype" w:cs="Palatino Linotype"/>
          <w:sz w:val="22"/>
          <w:szCs w:val="22"/>
        </w:rPr>
        <w:t>de la presente resolución.</w:t>
      </w:r>
    </w:p>
    <w:p w14:paraId="27732736" w14:textId="77777777" w:rsidR="008E115A" w:rsidRPr="00CE6AB4" w:rsidRDefault="008E115A" w:rsidP="00225CE8">
      <w:pPr>
        <w:pBdr>
          <w:top w:val="nil"/>
          <w:left w:val="nil"/>
          <w:bottom w:val="nil"/>
          <w:right w:val="nil"/>
          <w:between w:val="nil"/>
        </w:pBdr>
        <w:spacing w:before="240" w:after="240" w:line="360" w:lineRule="auto"/>
        <w:jc w:val="both"/>
        <w:rPr>
          <w:rFonts w:ascii="Palatino Linotype" w:hAnsi="Palatino Linotype"/>
          <w:sz w:val="22"/>
          <w:szCs w:val="22"/>
        </w:rPr>
      </w:pPr>
      <w:r w:rsidRPr="00CE6AB4">
        <w:rPr>
          <w:rFonts w:ascii="Palatino Linotype" w:eastAsia="Palatino Linotype" w:hAnsi="Palatino Linotype" w:cs="Palatino Linotype"/>
          <w:b/>
          <w:sz w:val="22"/>
          <w:szCs w:val="22"/>
        </w:rPr>
        <w:t xml:space="preserve">Segundo. Notifíquese, </w:t>
      </w:r>
      <w:r w:rsidRPr="00CE6AB4">
        <w:rPr>
          <w:rFonts w:ascii="Palatino Linotype" w:eastAsia="Palatino Linotype" w:hAnsi="Palatino Linotype" w:cs="Palatino Linotype"/>
          <w:sz w:val="22"/>
          <w:szCs w:val="22"/>
        </w:rPr>
        <w:t>vía</w:t>
      </w:r>
      <w:r w:rsidRPr="00CE6AB4">
        <w:rPr>
          <w:rFonts w:ascii="Palatino Linotype" w:eastAsia="Palatino Linotype" w:hAnsi="Palatino Linotype" w:cs="Palatino Linotype"/>
          <w:b/>
          <w:sz w:val="22"/>
          <w:szCs w:val="22"/>
        </w:rPr>
        <w:t xml:space="preserve"> SAIMEX,</w:t>
      </w:r>
      <w:r w:rsidRPr="00CE6AB4">
        <w:rPr>
          <w:rFonts w:ascii="Palatino Linotype" w:eastAsia="Palatino Linotype" w:hAnsi="Palatino Linotype" w:cs="Palatino Linotype"/>
          <w:sz w:val="22"/>
          <w:szCs w:val="22"/>
        </w:rPr>
        <w:t xml:space="preserve"> al Titular de la Unidad de Transparencia del </w:t>
      </w:r>
      <w:r w:rsidRPr="00CE6AB4">
        <w:rPr>
          <w:rFonts w:ascii="Palatino Linotype" w:eastAsia="Palatino Linotype" w:hAnsi="Palatino Linotype" w:cs="Palatino Linotype"/>
          <w:b/>
          <w:sz w:val="22"/>
          <w:szCs w:val="22"/>
        </w:rPr>
        <w:t>Sujeto Obligado</w:t>
      </w:r>
      <w:r w:rsidRPr="00CE6AB4">
        <w:rPr>
          <w:rFonts w:ascii="Palatino Linotype" w:eastAsia="Palatino Linotype" w:hAnsi="Palatino Linotype" w:cs="Palatino Linotype"/>
          <w:sz w:val="22"/>
          <w:szCs w:val="22"/>
        </w:rPr>
        <w:t xml:space="preserve"> la presente resolución, para su conocimiento.</w:t>
      </w:r>
    </w:p>
    <w:p w14:paraId="20E026C5" w14:textId="77777777" w:rsidR="008E115A" w:rsidRPr="00CE6AB4" w:rsidRDefault="008E115A" w:rsidP="00225CE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b/>
          <w:sz w:val="22"/>
          <w:szCs w:val="22"/>
        </w:rPr>
        <w:t xml:space="preserve">Tercero. Notifíquese, </w:t>
      </w:r>
      <w:r w:rsidRPr="00CE6AB4">
        <w:rPr>
          <w:rFonts w:ascii="Palatino Linotype" w:eastAsia="Palatino Linotype" w:hAnsi="Palatino Linotype" w:cs="Palatino Linotype"/>
          <w:sz w:val="22"/>
          <w:szCs w:val="22"/>
        </w:rPr>
        <w:t>vía</w:t>
      </w:r>
      <w:r w:rsidRPr="00CE6AB4">
        <w:rPr>
          <w:rFonts w:ascii="Palatino Linotype" w:eastAsia="Palatino Linotype" w:hAnsi="Palatino Linotype" w:cs="Palatino Linotype"/>
          <w:b/>
          <w:sz w:val="22"/>
          <w:szCs w:val="22"/>
        </w:rPr>
        <w:t xml:space="preserve"> SAIMEX</w:t>
      </w:r>
      <w:r w:rsidRPr="00CE6AB4">
        <w:rPr>
          <w:rFonts w:ascii="Palatino Linotype" w:eastAsia="Palatino Linotype" w:hAnsi="Palatino Linotype" w:cs="Palatino Linotype"/>
          <w:sz w:val="22"/>
          <w:szCs w:val="22"/>
        </w:rPr>
        <w:t>, a</w:t>
      </w:r>
      <w:r w:rsidRPr="00CE6AB4">
        <w:rPr>
          <w:rFonts w:ascii="Palatino Linotype" w:eastAsia="Palatino Linotype" w:hAnsi="Palatino Linotype" w:cs="Palatino Linotype"/>
          <w:b/>
          <w:sz w:val="22"/>
          <w:szCs w:val="22"/>
        </w:rPr>
        <w:t xml:space="preserve"> la parte</w:t>
      </w:r>
      <w:r w:rsidRPr="00CE6AB4">
        <w:rPr>
          <w:rFonts w:ascii="Palatino Linotype" w:eastAsia="Palatino Linotype" w:hAnsi="Palatino Linotype" w:cs="Palatino Linotype"/>
          <w:sz w:val="22"/>
          <w:szCs w:val="22"/>
        </w:rPr>
        <w:t xml:space="preserve"> </w:t>
      </w:r>
      <w:r w:rsidRPr="00CE6AB4">
        <w:rPr>
          <w:rFonts w:ascii="Palatino Linotype" w:eastAsia="Palatino Linotype" w:hAnsi="Palatino Linotype" w:cs="Palatino Linotype"/>
          <w:b/>
          <w:sz w:val="22"/>
          <w:szCs w:val="22"/>
        </w:rPr>
        <w:t>Recurrente</w:t>
      </w:r>
      <w:r w:rsidRPr="00CE6AB4">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68E3A13C" w14:textId="65989619" w:rsidR="00EF6E50" w:rsidRPr="00CE6AB4" w:rsidRDefault="00EF6E50" w:rsidP="00EF6E50">
      <w:pPr>
        <w:pStyle w:val="NormalWeb"/>
        <w:spacing w:before="240" w:beforeAutospacing="0" w:after="240" w:afterAutospacing="0" w:line="360" w:lineRule="auto"/>
        <w:ind w:right="49"/>
        <w:jc w:val="both"/>
      </w:pPr>
      <w:r w:rsidRPr="00CE6AB4">
        <w:rPr>
          <w:rFonts w:ascii="Palatino Linotype" w:hAnsi="Palatino Linotype"/>
          <w:b/>
          <w:bCs/>
          <w:sz w:val="22"/>
          <w:szCs w:val="22"/>
        </w:rPr>
        <w:t>Cuarto</w:t>
      </w:r>
      <w:r w:rsidRPr="00CE6AB4">
        <w:rPr>
          <w:rFonts w:ascii="Palatino Linotype" w:hAnsi="Palatino Linotype"/>
          <w:sz w:val="22"/>
          <w:szCs w:val="22"/>
        </w:rPr>
        <w:t xml:space="preserve">. </w:t>
      </w:r>
      <w:r w:rsidRPr="00CE6AB4">
        <w:rPr>
          <w:rFonts w:ascii="Palatino Linotype" w:hAnsi="Palatino Linotype"/>
          <w:b/>
          <w:bCs/>
          <w:sz w:val="22"/>
          <w:szCs w:val="22"/>
        </w:rPr>
        <w:t xml:space="preserve">Gírese </w:t>
      </w:r>
      <w:r w:rsidRPr="00CE6AB4">
        <w:rPr>
          <w:rFonts w:ascii="Palatino Linotype" w:hAnsi="Palatino Linotype"/>
          <w:sz w:val="22"/>
          <w:szCs w:val="22"/>
        </w:rPr>
        <w:t>oficio</w:t>
      </w:r>
      <w:r w:rsidRPr="00CE6AB4">
        <w:rPr>
          <w:rFonts w:ascii="Palatino Linotype" w:hAnsi="Palatino Linotype"/>
          <w:b/>
          <w:bCs/>
          <w:sz w:val="22"/>
          <w:szCs w:val="22"/>
        </w:rPr>
        <w:t xml:space="preserve"> </w:t>
      </w:r>
      <w:r w:rsidRPr="00CE6AB4">
        <w:rPr>
          <w:rFonts w:ascii="Palatino Linotype" w:hAnsi="Palatino Linotype"/>
          <w:sz w:val="22"/>
          <w:szCs w:val="22"/>
        </w:rPr>
        <w:t xml:space="preserve">a la </w:t>
      </w:r>
      <w:r w:rsidRPr="00CE6AB4">
        <w:rPr>
          <w:rFonts w:ascii="Palatino Linotype" w:hAnsi="Palatino Linotype"/>
          <w:b/>
          <w:bCs/>
          <w:sz w:val="22"/>
          <w:szCs w:val="22"/>
        </w:rPr>
        <w:t>Dirección General de Protección de Datos Personales</w:t>
      </w:r>
      <w:r w:rsidRPr="00CE6AB4">
        <w:rPr>
          <w:rFonts w:ascii="Palatino Linotype" w:hAnsi="Palatino Linotype"/>
          <w:sz w:val="22"/>
          <w:szCs w:val="22"/>
        </w:rPr>
        <w:t xml:space="preserve"> en atención al artículo 82, fracción XXVII de la Ley de Protección de Datos Personales del Estado de México y Municipios, a fin de que determine lo conducente en términos del </w:t>
      </w:r>
      <w:r w:rsidRPr="00CE6AB4">
        <w:rPr>
          <w:rFonts w:ascii="Palatino Linotype" w:hAnsi="Palatino Linotype"/>
          <w:bCs/>
          <w:sz w:val="22"/>
          <w:szCs w:val="22"/>
        </w:rPr>
        <w:t>Considerando</w:t>
      </w:r>
      <w:r w:rsidRPr="00CE6AB4">
        <w:rPr>
          <w:rFonts w:ascii="Palatino Linotype" w:hAnsi="Palatino Linotype"/>
          <w:sz w:val="22"/>
          <w:szCs w:val="22"/>
        </w:rPr>
        <w:t xml:space="preserve"> </w:t>
      </w:r>
      <w:r w:rsidRPr="00CE6AB4">
        <w:rPr>
          <w:rFonts w:ascii="Palatino Linotype" w:hAnsi="Palatino Linotype"/>
          <w:b/>
          <w:bCs/>
          <w:sz w:val="22"/>
          <w:szCs w:val="22"/>
        </w:rPr>
        <w:t xml:space="preserve">Tercero </w:t>
      </w:r>
      <w:r w:rsidRPr="00CE6AB4">
        <w:rPr>
          <w:rFonts w:ascii="Palatino Linotype" w:hAnsi="Palatino Linotype"/>
          <w:sz w:val="22"/>
          <w:szCs w:val="22"/>
        </w:rPr>
        <w:t>de la presente resolución.</w:t>
      </w:r>
    </w:p>
    <w:p w14:paraId="4123B711" w14:textId="1CA8B5B8" w:rsidR="00E94030" w:rsidRPr="00121439" w:rsidRDefault="008D3CF4" w:rsidP="00225CE8">
      <w:pPr>
        <w:spacing w:before="240" w:after="240" w:line="360" w:lineRule="auto"/>
        <w:jc w:val="both"/>
        <w:rPr>
          <w:rFonts w:ascii="Palatino Linotype" w:eastAsia="Palatino Linotype" w:hAnsi="Palatino Linotype" w:cs="Palatino Linotype"/>
          <w:sz w:val="22"/>
          <w:szCs w:val="22"/>
        </w:rPr>
      </w:pPr>
      <w:r w:rsidRPr="00CE6AB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91075" w:rsidRPr="00CE6AB4">
        <w:rPr>
          <w:rFonts w:ascii="Palatino Linotype" w:eastAsia="Palatino Linotype" w:hAnsi="Palatino Linotype" w:cs="Palatino Linotype"/>
          <w:sz w:val="22"/>
          <w:szCs w:val="22"/>
        </w:rPr>
        <w:t>CUADRAGÉSIMA</w:t>
      </w:r>
      <w:r w:rsidR="004800FC" w:rsidRPr="00CE6AB4">
        <w:rPr>
          <w:rFonts w:ascii="Palatino Linotype" w:eastAsia="Palatino Linotype" w:hAnsi="Palatino Linotype" w:cs="Palatino Linotype"/>
          <w:sz w:val="22"/>
          <w:szCs w:val="22"/>
        </w:rPr>
        <w:t xml:space="preserve"> </w:t>
      </w:r>
      <w:r w:rsidR="002056C7" w:rsidRPr="00CE6AB4">
        <w:rPr>
          <w:rFonts w:ascii="Palatino Linotype" w:eastAsia="Palatino Linotype" w:hAnsi="Palatino Linotype" w:cs="Palatino Linotype"/>
          <w:sz w:val="22"/>
          <w:szCs w:val="22"/>
        </w:rPr>
        <w:t>SEGUNDA</w:t>
      </w:r>
      <w:r w:rsidR="00CE6AB4">
        <w:rPr>
          <w:rFonts w:ascii="Palatino Linotype" w:eastAsia="Palatino Linotype" w:hAnsi="Palatino Linotype" w:cs="Palatino Linotype"/>
          <w:sz w:val="22"/>
          <w:szCs w:val="22"/>
        </w:rPr>
        <w:t xml:space="preserve"> </w:t>
      </w:r>
      <w:r w:rsidRPr="00CE6AB4">
        <w:rPr>
          <w:rFonts w:ascii="Palatino Linotype" w:eastAsia="Palatino Linotype" w:hAnsi="Palatino Linotype" w:cs="Palatino Linotype"/>
          <w:sz w:val="22"/>
          <w:szCs w:val="22"/>
        </w:rPr>
        <w:t xml:space="preserve">SESIÓN ORDINARIA, CELEBRADA EL </w:t>
      </w:r>
      <w:r w:rsidR="002056C7" w:rsidRPr="00CE6AB4">
        <w:rPr>
          <w:rFonts w:ascii="Palatino Linotype" w:eastAsia="Palatino Linotype" w:hAnsi="Palatino Linotype" w:cs="Palatino Linotype"/>
          <w:sz w:val="22"/>
          <w:szCs w:val="22"/>
        </w:rPr>
        <w:t>VEINTI</w:t>
      </w:r>
      <w:r w:rsidR="00491075" w:rsidRPr="00CE6AB4">
        <w:rPr>
          <w:rFonts w:ascii="Palatino Linotype" w:eastAsia="Palatino Linotype" w:hAnsi="Palatino Linotype" w:cs="Palatino Linotype"/>
          <w:sz w:val="22"/>
          <w:szCs w:val="22"/>
        </w:rPr>
        <w:t xml:space="preserve">CINCO DE NOVIEMBRE </w:t>
      </w:r>
      <w:r w:rsidRPr="00CE6AB4">
        <w:rPr>
          <w:rFonts w:ascii="Palatino Linotype" w:eastAsia="Palatino Linotype" w:hAnsi="Palatino Linotype" w:cs="Palatino Linotype"/>
          <w:sz w:val="22"/>
          <w:szCs w:val="22"/>
        </w:rPr>
        <w:t>DE DOS MIL VEINTIC</w:t>
      </w:r>
      <w:r w:rsidR="00491075" w:rsidRPr="00CE6AB4">
        <w:rPr>
          <w:rFonts w:ascii="Palatino Linotype" w:eastAsia="Palatino Linotype" w:hAnsi="Palatino Linotype" w:cs="Palatino Linotype"/>
          <w:sz w:val="22"/>
          <w:szCs w:val="22"/>
        </w:rPr>
        <w:t>INCO</w:t>
      </w:r>
      <w:r w:rsidRPr="00CE6AB4">
        <w:rPr>
          <w:rFonts w:ascii="Palatino Linotype" w:eastAsia="Palatino Linotype" w:hAnsi="Palatino Linotype" w:cs="Palatino Linotype"/>
          <w:sz w:val="22"/>
          <w:szCs w:val="22"/>
        </w:rPr>
        <w:t>, ANTE EL SECRETARIO TÉCNICO DEL PLENO ALEXIS TAPIA RAMÍREZ.</w:t>
      </w:r>
      <w:r w:rsidRPr="00121439">
        <w:rPr>
          <w:rFonts w:ascii="Palatino Linotype" w:eastAsia="Palatino Linotype" w:hAnsi="Palatino Linotype" w:cs="Palatino Linotype"/>
          <w:sz w:val="22"/>
          <w:szCs w:val="22"/>
        </w:rPr>
        <w:t xml:space="preserve"> </w:t>
      </w:r>
    </w:p>
    <w:p w14:paraId="1232DA93" w14:textId="77777777" w:rsidR="00E94030" w:rsidRPr="00121439" w:rsidRDefault="00E94030">
      <w:pPr>
        <w:rPr>
          <w:rFonts w:ascii="Palatino Linotype" w:eastAsia="Palatino Linotype" w:hAnsi="Palatino Linotype" w:cs="Palatino Linotype"/>
          <w:sz w:val="22"/>
          <w:szCs w:val="22"/>
        </w:rPr>
      </w:pPr>
    </w:p>
    <w:p w14:paraId="43F7F33F" w14:textId="77777777" w:rsidR="00E94030" w:rsidRPr="00121439" w:rsidRDefault="00E94030">
      <w:pPr>
        <w:rPr>
          <w:rFonts w:ascii="Palatino Linotype" w:eastAsia="Palatino Linotype" w:hAnsi="Palatino Linotype" w:cs="Palatino Linotype"/>
          <w:sz w:val="22"/>
          <w:szCs w:val="22"/>
        </w:rPr>
      </w:pPr>
    </w:p>
    <w:p w14:paraId="1A3B9A6C" w14:textId="77777777" w:rsidR="00E94030" w:rsidRPr="00121439" w:rsidRDefault="00E94030">
      <w:pPr>
        <w:spacing w:line="360" w:lineRule="auto"/>
        <w:jc w:val="both"/>
        <w:rPr>
          <w:rFonts w:ascii="Palatino Linotype" w:eastAsia="Palatino Linotype" w:hAnsi="Palatino Linotype" w:cs="Palatino Linotype"/>
          <w:sz w:val="22"/>
          <w:szCs w:val="22"/>
        </w:rPr>
      </w:pPr>
      <w:bookmarkStart w:id="7" w:name="_heading=h.3rdcrjn" w:colFirst="0" w:colLast="0"/>
      <w:bookmarkEnd w:id="7"/>
    </w:p>
    <w:p w14:paraId="7B9FCF3D"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3CDE453B"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3612BBD4" w14:textId="77777777" w:rsidR="00E94030" w:rsidRPr="00121439" w:rsidRDefault="00E94030">
      <w:pPr>
        <w:spacing w:line="360" w:lineRule="auto"/>
        <w:jc w:val="both"/>
        <w:rPr>
          <w:rFonts w:ascii="Palatino Linotype" w:eastAsia="Palatino Linotype" w:hAnsi="Palatino Linotype" w:cs="Palatino Linotype"/>
          <w:sz w:val="22"/>
          <w:szCs w:val="22"/>
        </w:rPr>
      </w:pPr>
      <w:bookmarkStart w:id="8" w:name="_heading=h.1t3h5sf" w:colFirst="0" w:colLast="0"/>
      <w:bookmarkEnd w:id="8"/>
    </w:p>
    <w:p w14:paraId="07BC943A"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688F313C"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5860C587"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1386BA1E"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329EBDDB"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0EE653CD"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35299FC3"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18E2CFD6"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504C0FF8"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110D8506"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4EB4E82F"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0D3C24F9"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57632C63"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12AABA31"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3AB5B6AE"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682DF29F"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45C1AD8E"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322BFABA"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5C3E78C0" w14:textId="77777777" w:rsidR="00E94030" w:rsidRPr="00121439" w:rsidRDefault="00E94030">
      <w:pPr>
        <w:spacing w:line="360" w:lineRule="auto"/>
        <w:jc w:val="both"/>
        <w:rPr>
          <w:rFonts w:ascii="Palatino Linotype" w:eastAsia="Palatino Linotype" w:hAnsi="Palatino Linotype" w:cs="Palatino Linotype"/>
          <w:sz w:val="22"/>
          <w:szCs w:val="22"/>
        </w:rPr>
      </w:pPr>
    </w:p>
    <w:p w14:paraId="6B6EADF4" w14:textId="77777777" w:rsidR="00D17C43" w:rsidRPr="00121439" w:rsidRDefault="00D17C43">
      <w:pPr>
        <w:spacing w:line="360" w:lineRule="auto"/>
        <w:jc w:val="both"/>
        <w:rPr>
          <w:rFonts w:ascii="Palatino Linotype" w:eastAsia="Palatino Linotype" w:hAnsi="Palatino Linotype" w:cs="Palatino Linotype"/>
          <w:sz w:val="22"/>
          <w:szCs w:val="22"/>
        </w:rPr>
      </w:pPr>
    </w:p>
    <w:p w14:paraId="151AB4C4" w14:textId="77777777" w:rsidR="001A12E4" w:rsidRPr="00121439" w:rsidRDefault="001A12E4">
      <w:pPr>
        <w:spacing w:line="360" w:lineRule="auto"/>
        <w:jc w:val="both"/>
        <w:rPr>
          <w:rFonts w:ascii="Palatino Linotype" w:eastAsia="Palatino Linotype" w:hAnsi="Palatino Linotype" w:cs="Palatino Linotype"/>
          <w:sz w:val="22"/>
          <w:szCs w:val="22"/>
        </w:rPr>
      </w:pPr>
    </w:p>
    <w:sectPr w:rsidR="001A12E4" w:rsidRPr="0012143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D4364" w14:textId="77777777" w:rsidR="00CE0E9A" w:rsidRDefault="00CE0E9A">
      <w:r>
        <w:separator/>
      </w:r>
    </w:p>
  </w:endnote>
  <w:endnote w:type="continuationSeparator" w:id="0">
    <w:p w14:paraId="5A44E8E9" w14:textId="77777777" w:rsidR="00CE0E9A" w:rsidRDefault="00CE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66F5" w14:textId="18CEBFA8" w:rsidR="00030F96" w:rsidRDefault="00030F9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22509">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22509">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32D7AA4F" w14:textId="77777777" w:rsidR="00030F96" w:rsidRDefault="00030F9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D0154" w14:textId="697A06FD" w:rsidR="00030F96" w:rsidRDefault="00030F9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2250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22509">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73489C59" w14:textId="77777777" w:rsidR="00030F96" w:rsidRDefault="00030F9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8BBD" w14:textId="77777777" w:rsidR="00CE0E9A" w:rsidRDefault="00CE0E9A">
      <w:r>
        <w:separator/>
      </w:r>
    </w:p>
  </w:footnote>
  <w:footnote w:type="continuationSeparator" w:id="0">
    <w:p w14:paraId="779114C4" w14:textId="77777777" w:rsidR="00CE0E9A" w:rsidRDefault="00CE0E9A">
      <w:r>
        <w:continuationSeparator/>
      </w:r>
    </w:p>
  </w:footnote>
  <w:footnote w:id="1">
    <w:p w14:paraId="7D74F4E7" w14:textId="46ACE801" w:rsidR="00030F96" w:rsidRPr="00EF6E50" w:rsidRDefault="00030F96" w:rsidP="00030F96">
      <w:pPr>
        <w:pStyle w:val="Textonotapie"/>
        <w:jc w:val="both"/>
        <w:rPr>
          <w:rFonts w:ascii="Palatino Linotype" w:hAnsi="Palatino Linotype"/>
          <w:sz w:val="16"/>
          <w:szCs w:val="16"/>
        </w:rPr>
      </w:pPr>
      <w:r w:rsidRPr="00EF6E50">
        <w:rPr>
          <w:rStyle w:val="Refdenotaalpie"/>
          <w:rFonts w:ascii="Palatino Linotype" w:hAnsi="Palatino Linotype"/>
          <w:sz w:val="16"/>
          <w:szCs w:val="16"/>
        </w:rPr>
        <w:footnoteRef/>
      </w:r>
      <w:r w:rsidRPr="00EF6E50">
        <w:rPr>
          <w:rFonts w:ascii="Palatino Linotype" w:hAnsi="Palatino Linotype"/>
          <w:sz w:val="16"/>
          <w:szCs w:val="16"/>
        </w:rPr>
        <w:t xml:space="preserve"> La distinción entre el </w:t>
      </w:r>
      <w:r w:rsidRPr="00EF6E50">
        <w:rPr>
          <w:rFonts w:ascii="Palatino Linotype" w:hAnsi="Palatino Linotype"/>
          <w:b/>
          <w:sz w:val="16"/>
          <w:szCs w:val="16"/>
        </w:rPr>
        <w:t>derecho de petición</w:t>
      </w:r>
      <w:r w:rsidRPr="00EF6E50">
        <w:rPr>
          <w:rFonts w:ascii="Palatino Linotype" w:hAnsi="Palatino Linotype"/>
          <w:sz w:val="16"/>
          <w:szCs w:val="16"/>
        </w:rPr>
        <w:t xml:space="preserve"> y el </w:t>
      </w:r>
      <w:r w:rsidRPr="00EF6E50">
        <w:rPr>
          <w:rFonts w:ascii="Palatino Linotype" w:hAnsi="Palatino Linotype"/>
          <w:b/>
          <w:sz w:val="16"/>
          <w:szCs w:val="16"/>
        </w:rPr>
        <w:t>derecho de acceso a la información</w:t>
      </w:r>
      <w:r w:rsidRPr="00EF6E50">
        <w:rPr>
          <w:rFonts w:ascii="Palatino Linotype" w:hAnsi="Palatino Linotype"/>
          <w:sz w:val="16"/>
          <w:szCs w:val="16"/>
        </w:rPr>
        <w:t xml:space="preserve">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footnote>
  <w:footnote w:id="2">
    <w:p w14:paraId="5F45C142" w14:textId="77777777" w:rsidR="00030F96" w:rsidRPr="00EF6E50" w:rsidRDefault="00030F96" w:rsidP="00030F96">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EF6E50">
        <w:rPr>
          <w:sz w:val="16"/>
          <w:szCs w:val="16"/>
          <w:vertAlign w:val="superscript"/>
        </w:rPr>
        <w:footnoteRef/>
      </w:r>
      <w:r w:rsidRPr="00EF6E50">
        <w:rPr>
          <w:rFonts w:ascii="Palatino Linotype" w:eastAsia="Palatino Linotype" w:hAnsi="Palatino Linotype" w:cs="Palatino Linotype"/>
          <w:color w:val="000000"/>
          <w:sz w:val="16"/>
          <w:szCs w:val="16"/>
        </w:rPr>
        <w:t xml:space="preserve"> “DESISTIMIENTO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footnote>
  <w:footnote w:id="3">
    <w:p w14:paraId="1213F951" w14:textId="77777777" w:rsidR="00030F96" w:rsidRPr="00EF6E50" w:rsidRDefault="00030F96" w:rsidP="00030F96">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EF6E50">
        <w:rPr>
          <w:sz w:val="16"/>
          <w:szCs w:val="16"/>
          <w:vertAlign w:val="superscript"/>
        </w:rPr>
        <w:footnoteRef/>
      </w:r>
      <w:r w:rsidRPr="00EF6E50">
        <w:rPr>
          <w:rFonts w:ascii="Palatino Linotype" w:eastAsia="Palatino Linotype" w:hAnsi="Palatino Linotype" w:cs="Palatino Linotype"/>
          <w:color w:val="000000"/>
          <w:sz w:val="16"/>
          <w:szCs w:val="16"/>
        </w:rPr>
        <w:t xml:space="preserve"> </w:t>
      </w:r>
      <w:r w:rsidRPr="00EF6E50">
        <w:rPr>
          <w:rFonts w:ascii="Palatino Linotype" w:eastAsia="Palatino Linotype" w:hAnsi="Palatino Linotype" w:cs="Palatino Linotype"/>
          <w:b/>
          <w:color w:val="000000"/>
          <w:sz w:val="16"/>
          <w:szCs w:val="16"/>
        </w:rPr>
        <w:t>Cuerpo de tesis:</w:t>
      </w:r>
      <w:r w:rsidRPr="00EF6E50">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35040F7" w14:textId="77777777" w:rsidR="00030F96" w:rsidRPr="00EF6E50" w:rsidRDefault="00030F96" w:rsidP="00030F96">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EF6E50">
        <w:rPr>
          <w:rFonts w:ascii="Palatino Linotype" w:eastAsia="Palatino Linotype" w:hAnsi="Palatino Linotype" w:cs="Palatino Linotype"/>
          <w:b/>
          <w:color w:val="000000"/>
          <w:sz w:val="16"/>
          <w:szCs w:val="16"/>
        </w:rPr>
        <w:t>Localización</w:t>
      </w:r>
      <w:r w:rsidRPr="00EF6E50">
        <w:rPr>
          <w:rFonts w:ascii="Palatino Linotype" w:eastAsia="Palatino Linotype" w:hAnsi="Palatino Linotype" w:cs="Palatino Linotype"/>
          <w:color w:val="000000"/>
          <w:sz w:val="16"/>
          <w:szCs w:val="16"/>
        </w:rPr>
        <w:t>: 2</w:t>
      </w:r>
      <w:r w:rsidRPr="00EF6E50">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E5BCC" w14:textId="77777777" w:rsidR="00030F96" w:rsidRDefault="00030F96">
    <w:pPr>
      <w:rPr>
        <w:rFonts w:ascii="Cambria" w:eastAsia="Cambria" w:hAnsi="Cambria" w:cs="Cambria"/>
        <w:color w:val="000000"/>
      </w:rPr>
    </w:pPr>
    <w:r>
      <w:rPr>
        <w:noProof/>
      </w:rPr>
      <w:drawing>
        <wp:anchor distT="0" distB="0" distL="0" distR="0" simplePos="0" relativeHeight="251658240" behindDoc="1" locked="0" layoutInCell="1" hidden="0" allowOverlap="1" wp14:anchorId="101471C6" wp14:editId="7B5D5FAA">
          <wp:simplePos x="0" y="0"/>
          <wp:positionH relativeFrom="column">
            <wp:posOffset>-1080114</wp:posOffset>
          </wp:positionH>
          <wp:positionV relativeFrom="paragraph">
            <wp:posOffset>-488290</wp:posOffset>
          </wp:positionV>
          <wp:extent cx="7809865" cy="10165715"/>
          <wp:effectExtent l="0" t="0" r="0" b="0"/>
          <wp:wrapNone/>
          <wp:docPr id="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6095" w:type="dxa"/>
      <w:tblInd w:w="3119" w:type="dxa"/>
      <w:tblLayout w:type="fixed"/>
      <w:tblLook w:val="0400" w:firstRow="0" w:lastRow="0" w:firstColumn="0" w:lastColumn="0" w:noHBand="0" w:noVBand="1"/>
    </w:tblPr>
    <w:tblGrid>
      <w:gridCol w:w="2410"/>
      <w:gridCol w:w="3685"/>
    </w:tblGrid>
    <w:tr w:rsidR="00030F96" w14:paraId="483DB4D0" w14:textId="77777777" w:rsidTr="004800FC">
      <w:tc>
        <w:tcPr>
          <w:tcW w:w="2410" w:type="dxa"/>
          <w:shd w:val="clear" w:color="auto" w:fill="auto"/>
        </w:tcPr>
        <w:p w14:paraId="3664AC1A" w14:textId="77777777" w:rsidR="00030F96" w:rsidRDefault="00030F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4F2B3930" w14:textId="14EB35DB" w:rsidR="00030F96" w:rsidRDefault="00030F96" w:rsidP="004800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12604</w:t>
          </w:r>
          <w:r w:rsidRPr="006C3C07">
            <w:rPr>
              <w:rFonts w:ascii="Palatino Linotype" w:eastAsia="Palatino Linotype" w:hAnsi="Palatino Linotype" w:cs="Palatino Linotype"/>
              <w:b/>
              <w:sz w:val="22"/>
              <w:szCs w:val="22"/>
            </w:rPr>
            <w:t>/INFOEM/IP/RR/2025</w:t>
          </w:r>
        </w:p>
      </w:tc>
    </w:tr>
    <w:tr w:rsidR="00030F96" w14:paraId="538285F7" w14:textId="77777777" w:rsidTr="004800FC">
      <w:trPr>
        <w:trHeight w:val="228"/>
      </w:trPr>
      <w:tc>
        <w:tcPr>
          <w:tcW w:w="2410" w:type="dxa"/>
          <w:shd w:val="clear" w:color="auto" w:fill="auto"/>
          <w:vAlign w:val="center"/>
        </w:tcPr>
        <w:p w14:paraId="024E6941" w14:textId="77777777" w:rsidR="00030F96" w:rsidRDefault="00030F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1528A65A" w14:textId="356B0828" w:rsidR="00030F96" w:rsidRDefault="00030F96" w:rsidP="004800FC">
          <w:pPr>
            <w:ind w:left="-45" w:right="-257"/>
            <w:jc w:val="both"/>
            <w:rPr>
              <w:rFonts w:ascii="Palatino Linotype" w:eastAsia="Palatino Linotype" w:hAnsi="Palatino Linotype" w:cs="Palatino Linotype"/>
              <w:b/>
              <w:sz w:val="22"/>
              <w:szCs w:val="22"/>
            </w:rPr>
          </w:pPr>
          <w:r w:rsidRPr="00A77CFB">
            <w:rPr>
              <w:rFonts w:ascii="Palatino Linotype" w:eastAsia="Palatino Linotype" w:hAnsi="Palatino Linotype" w:cs="Palatino Linotype"/>
              <w:b/>
              <w:sz w:val="22"/>
              <w:szCs w:val="22"/>
            </w:rPr>
            <w:t>Organismo Agua y Saneamiento de Toluca</w:t>
          </w:r>
        </w:p>
      </w:tc>
    </w:tr>
    <w:tr w:rsidR="00030F96" w14:paraId="0E01A3FC" w14:textId="77777777" w:rsidTr="004800FC">
      <w:tc>
        <w:tcPr>
          <w:tcW w:w="2410" w:type="dxa"/>
          <w:shd w:val="clear" w:color="auto" w:fill="auto"/>
          <w:vAlign w:val="center"/>
        </w:tcPr>
        <w:p w14:paraId="515A3935" w14:textId="24399A51" w:rsidR="00030F96" w:rsidRDefault="00030F9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14:paraId="0D51965A" w14:textId="77777777" w:rsidR="00030F96" w:rsidRDefault="00030F9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FCB13E" w14:textId="77777777" w:rsidR="00030F96" w:rsidRDefault="00030F9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05BE" w14:textId="77777777" w:rsidR="00030F96" w:rsidRDefault="00030F9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82BF970" wp14:editId="5A0D211E">
          <wp:simplePos x="0" y="0"/>
          <wp:positionH relativeFrom="column">
            <wp:posOffset>-1079492</wp:posOffset>
          </wp:positionH>
          <wp:positionV relativeFrom="paragraph">
            <wp:posOffset>-328922</wp:posOffset>
          </wp:positionV>
          <wp:extent cx="7809865" cy="10165715"/>
          <wp:effectExtent l="0" t="0" r="0" b="0"/>
          <wp:wrapNone/>
          <wp:docPr id="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520" w:type="dxa"/>
      <w:tblInd w:w="3119" w:type="dxa"/>
      <w:tblLayout w:type="fixed"/>
      <w:tblLook w:val="0400" w:firstRow="0" w:lastRow="0" w:firstColumn="0" w:lastColumn="0" w:noHBand="0" w:noVBand="1"/>
    </w:tblPr>
    <w:tblGrid>
      <w:gridCol w:w="2551"/>
      <w:gridCol w:w="3969"/>
    </w:tblGrid>
    <w:tr w:rsidR="00030F96" w14:paraId="5B8E9FA8" w14:textId="77777777" w:rsidTr="004800FC">
      <w:tc>
        <w:tcPr>
          <w:tcW w:w="2551" w:type="dxa"/>
          <w:shd w:val="clear" w:color="auto" w:fill="auto"/>
          <w:vAlign w:val="center"/>
        </w:tcPr>
        <w:p w14:paraId="4D2004D7" w14:textId="77777777" w:rsidR="00030F96" w:rsidRDefault="00030F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14:paraId="60669C7F" w14:textId="13C2982D" w:rsidR="00030F96" w:rsidRDefault="00030F96" w:rsidP="00A77CF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12604</w:t>
          </w:r>
          <w:r w:rsidRPr="006C3C07">
            <w:rPr>
              <w:rFonts w:ascii="Palatino Linotype" w:eastAsia="Palatino Linotype" w:hAnsi="Palatino Linotype" w:cs="Palatino Linotype"/>
              <w:b/>
              <w:sz w:val="22"/>
              <w:szCs w:val="22"/>
            </w:rPr>
            <w:t>/INFOEM/IP/RR/2025</w:t>
          </w:r>
        </w:p>
      </w:tc>
    </w:tr>
    <w:tr w:rsidR="00030F96" w14:paraId="46494156" w14:textId="77777777" w:rsidTr="004800FC">
      <w:trPr>
        <w:trHeight w:val="130"/>
      </w:trPr>
      <w:tc>
        <w:tcPr>
          <w:tcW w:w="2551" w:type="dxa"/>
          <w:shd w:val="clear" w:color="auto" w:fill="auto"/>
          <w:vAlign w:val="center"/>
        </w:tcPr>
        <w:p w14:paraId="098FE2FA" w14:textId="77777777" w:rsidR="00030F96" w:rsidRDefault="00030F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14:paraId="7003365B" w14:textId="1DB35972" w:rsidR="00030F96" w:rsidRDefault="00222509" w:rsidP="00222509">
          <w:pPr>
            <w:ind w:left="-45"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 XXX XXXXX </w:t>
          </w:r>
        </w:p>
      </w:tc>
    </w:tr>
    <w:tr w:rsidR="00030F96" w14:paraId="621D2A1C" w14:textId="77777777" w:rsidTr="004800FC">
      <w:trPr>
        <w:trHeight w:val="228"/>
      </w:trPr>
      <w:tc>
        <w:tcPr>
          <w:tcW w:w="2551" w:type="dxa"/>
          <w:shd w:val="clear" w:color="auto" w:fill="auto"/>
          <w:vAlign w:val="center"/>
        </w:tcPr>
        <w:p w14:paraId="035C58E3" w14:textId="77777777" w:rsidR="00030F96" w:rsidRDefault="00030F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14:paraId="08CAAB60" w14:textId="7451BFAD" w:rsidR="00030F96" w:rsidRDefault="00030F96" w:rsidP="006C3C07">
          <w:pPr>
            <w:ind w:left="-45" w:right="168"/>
            <w:jc w:val="both"/>
            <w:rPr>
              <w:rFonts w:ascii="Palatino Linotype" w:eastAsia="Palatino Linotype" w:hAnsi="Palatino Linotype" w:cs="Palatino Linotype"/>
              <w:b/>
              <w:sz w:val="22"/>
              <w:szCs w:val="22"/>
            </w:rPr>
          </w:pPr>
          <w:r w:rsidRPr="00A77CFB">
            <w:rPr>
              <w:rFonts w:ascii="Palatino Linotype" w:eastAsia="Palatino Linotype" w:hAnsi="Palatino Linotype" w:cs="Palatino Linotype"/>
              <w:b/>
              <w:sz w:val="22"/>
              <w:szCs w:val="22"/>
            </w:rPr>
            <w:t>Organismo Agua y Saneamiento de Toluca</w:t>
          </w:r>
        </w:p>
      </w:tc>
    </w:tr>
    <w:tr w:rsidR="00030F96" w14:paraId="54E497F1" w14:textId="77777777" w:rsidTr="004800FC">
      <w:tc>
        <w:tcPr>
          <w:tcW w:w="2551" w:type="dxa"/>
          <w:shd w:val="clear" w:color="auto" w:fill="auto"/>
          <w:vAlign w:val="center"/>
        </w:tcPr>
        <w:p w14:paraId="13E562C5" w14:textId="77777777" w:rsidR="00030F96" w:rsidRDefault="00030F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14:paraId="620AD6F0" w14:textId="77777777" w:rsidR="00030F96" w:rsidRDefault="00030F9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A5E1D3" w14:textId="77777777" w:rsidR="00030F96" w:rsidRDefault="00030F96">
    <w:pPr>
      <w:pBdr>
        <w:top w:val="nil"/>
        <w:left w:val="nil"/>
        <w:bottom w:val="nil"/>
        <w:right w:val="nil"/>
        <w:between w:val="nil"/>
      </w:pBdr>
      <w:tabs>
        <w:tab w:val="center" w:pos="4252"/>
        <w:tab w:val="right" w:pos="8504"/>
      </w:tabs>
      <w:rPr>
        <w:rFonts w:ascii="Cambria" w:eastAsia="Cambria" w:hAnsi="Cambria" w:cs="Cambria"/>
        <w:color w:val="000000"/>
      </w:rPr>
    </w:pPr>
  </w:p>
  <w:p w14:paraId="56D53D5C" w14:textId="77777777" w:rsidR="00030F96" w:rsidRDefault="00030F9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96F615C"/>
    <w:multiLevelType w:val="multilevel"/>
    <w:tmpl w:val="BC048C6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24157E64"/>
    <w:multiLevelType w:val="hybridMultilevel"/>
    <w:tmpl w:val="2312C3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D54F02"/>
    <w:multiLevelType w:val="multilevel"/>
    <w:tmpl w:val="6FC44CB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E8449C"/>
    <w:multiLevelType w:val="multilevel"/>
    <w:tmpl w:val="8BCEBE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9E5CBE"/>
    <w:multiLevelType w:val="multilevel"/>
    <w:tmpl w:val="6D0A99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AE620C1"/>
    <w:multiLevelType w:val="hybridMultilevel"/>
    <w:tmpl w:val="E9A62654"/>
    <w:lvl w:ilvl="0" w:tplc="72A0ECDA">
      <w:start w:val="1"/>
      <w:numFmt w:val="decimal"/>
      <w:lvlText w:val="%1."/>
      <w:lvlJc w:val="left"/>
      <w:pPr>
        <w:ind w:left="644" w:hanging="360"/>
      </w:pPr>
      <w:rPr>
        <w:rFonts w:hint="default"/>
        <w:i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52E25E59"/>
    <w:multiLevelType w:val="hybridMultilevel"/>
    <w:tmpl w:val="AE3E3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F74CC5"/>
    <w:multiLevelType w:val="hybridMultilevel"/>
    <w:tmpl w:val="26CE1B36"/>
    <w:lvl w:ilvl="0" w:tplc="2E6A2492">
      <w:start w:val="1"/>
      <w:numFmt w:val="decimal"/>
      <w:lvlText w:val="%1."/>
      <w:lvlJc w:val="left"/>
      <w:pPr>
        <w:ind w:left="927" w:hanging="360"/>
      </w:pPr>
      <w:rPr>
        <w:rFonts w:hint="default"/>
        <w:b w:val="0"/>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3D4575"/>
    <w:multiLevelType w:val="multilevel"/>
    <w:tmpl w:val="A8B475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4"/>
  </w:num>
  <w:num w:numId="3">
    <w:abstractNumId w:val="3"/>
  </w:num>
  <w:num w:numId="4">
    <w:abstractNumId w:val="8"/>
  </w:num>
  <w:num w:numId="5">
    <w:abstractNumId w:val="7"/>
  </w:num>
  <w:num w:numId="6">
    <w:abstractNumId w:val="5"/>
  </w:num>
  <w:num w:numId="7">
    <w:abstractNumId w:val="9"/>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30"/>
    <w:rsid w:val="000150A6"/>
    <w:rsid w:val="00023BEC"/>
    <w:rsid w:val="00030F96"/>
    <w:rsid w:val="00032B26"/>
    <w:rsid w:val="00033634"/>
    <w:rsid w:val="00060084"/>
    <w:rsid w:val="000774C5"/>
    <w:rsid w:val="000C4B1F"/>
    <w:rsid w:val="000F1297"/>
    <w:rsid w:val="00121439"/>
    <w:rsid w:val="0015079C"/>
    <w:rsid w:val="00150C00"/>
    <w:rsid w:val="00154616"/>
    <w:rsid w:val="0017405E"/>
    <w:rsid w:val="0019569D"/>
    <w:rsid w:val="001A12E4"/>
    <w:rsid w:val="001A5BDA"/>
    <w:rsid w:val="001C4EC5"/>
    <w:rsid w:val="001E0A01"/>
    <w:rsid w:val="001F2869"/>
    <w:rsid w:val="002056C7"/>
    <w:rsid w:val="00212D20"/>
    <w:rsid w:val="00216F69"/>
    <w:rsid w:val="0021771E"/>
    <w:rsid w:val="00222509"/>
    <w:rsid w:val="00225CE8"/>
    <w:rsid w:val="0023691C"/>
    <w:rsid w:val="00252335"/>
    <w:rsid w:val="00253096"/>
    <w:rsid w:val="00257BEA"/>
    <w:rsid w:val="002804B6"/>
    <w:rsid w:val="002846D6"/>
    <w:rsid w:val="00291BD1"/>
    <w:rsid w:val="002A10DF"/>
    <w:rsid w:val="002D06DC"/>
    <w:rsid w:val="002F7A8C"/>
    <w:rsid w:val="0030473F"/>
    <w:rsid w:val="0034430A"/>
    <w:rsid w:val="0037029D"/>
    <w:rsid w:val="00373271"/>
    <w:rsid w:val="003832F3"/>
    <w:rsid w:val="003D0FA9"/>
    <w:rsid w:val="003E7C78"/>
    <w:rsid w:val="00436A03"/>
    <w:rsid w:val="00451097"/>
    <w:rsid w:val="004713D5"/>
    <w:rsid w:val="004800FC"/>
    <w:rsid w:val="00491075"/>
    <w:rsid w:val="004E2675"/>
    <w:rsid w:val="00512739"/>
    <w:rsid w:val="005560AD"/>
    <w:rsid w:val="0057441E"/>
    <w:rsid w:val="00580E08"/>
    <w:rsid w:val="00582C2C"/>
    <w:rsid w:val="00592364"/>
    <w:rsid w:val="005A01FD"/>
    <w:rsid w:val="005A2BBD"/>
    <w:rsid w:val="005C2471"/>
    <w:rsid w:val="005D1B02"/>
    <w:rsid w:val="005D4D67"/>
    <w:rsid w:val="0060311B"/>
    <w:rsid w:val="0060631B"/>
    <w:rsid w:val="00637027"/>
    <w:rsid w:val="00642210"/>
    <w:rsid w:val="0065653F"/>
    <w:rsid w:val="0067422C"/>
    <w:rsid w:val="006924BD"/>
    <w:rsid w:val="006929A7"/>
    <w:rsid w:val="006A33B3"/>
    <w:rsid w:val="006C3C07"/>
    <w:rsid w:val="006E64F3"/>
    <w:rsid w:val="006F3272"/>
    <w:rsid w:val="006F3D9C"/>
    <w:rsid w:val="0071002C"/>
    <w:rsid w:val="007201E8"/>
    <w:rsid w:val="0073109C"/>
    <w:rsid w:val="00741EC3"/>
    <w:rsid w:val="007439B5"/>
    <w:rsid w:val="00750532"/>
    <w:rsid w:val="007617CC"/>
    <w:rsid w:val="00763B6C"/>
    <w:rsid w:val="0078324B"/>
    <w:rsid w:val="007A3B27"/>
    <w:rsid w:val="007A4BFB"/>
    <w:rsid w:val="007B312A"/>
    <w:rsid w:val="007B3CEC"/>
    <w:rsid w:val="007D4550"/>
    <w:rsid w:val="007E3906"/>
    <w:rsid w:val="007F0D41"/>
    <w:rsid w:val="007F1EF6"/>
    <w:rsid w:val="007F27F7"/>
    <w:rsid w:val="007F35BA"/>
    <w:rsid w:val="00804BEB"/>
    <w:rsid w:val="008260BD"/>
    <w:rsid w:val="00830462"/>
    <w:rsid w:val="008424AC"/>
    <w:rsid w:val="00853621"/>
    <w:rsid w:val="00863E3A"/>
    <w:rsid w:val="00880B8B"/>
    <w:rsid w:val="0089097B"/>
    <w:rsid w:val="008D009B"/>
    <w:rsid w:val="008D3CF4"/>
    <w:rsid w:val="008E115A"/>
    <w:rsid w:val="008E3265"/>
    <w:rsid w:val="0090675F"/>
    <w:rsid w:val="0092233E"/>
    <w:rsid w:val="00947AF9"/>
    <w:rsid w:val="00951F5F"/>
    <w:rsid w:val="00984CCC"/>
    <w:rsid w:val="009952B0"/>
    <w:rsid w:val="00995A81"/>
    <w:rsid w:val="0099714B"/>
    <w:rsid w:val="009B0EC4"/>
    <w:rsid w:val="009B2BB4"/>
    <w:rsid w:val="009B5F22"/>
    <w:rsid w:val="009C0D15"/>
    <w:rsid w:val="009F6F68"/>
    <w:rsid w:val="00A53827"/>
    <w:rsid w:val="00A56C8C"/>
    <w:rsid w:val="00A60BF5"/>
    <w:rsid w:val="00A742ED"/>
    <w:rsid w:val="00A77CFB"/>
    <w:rsid w:val="00AA32E8"/>
    <w:rsid w:val="00AA4972"/>
    <w:rsid w:val="00AC4745"/>
    <w:rsid w:val="00AE169C"/>
    <w:rsid w:val="00AF55AB"/>
    <w:rsid w:val="00B20AE3"/>
    <w:rsid w:val="00B311CC"/>
    <w:rsid w:val="00B33559"/>
    <w:rsid w:val="00B66BB1"/>
    <w:rsid w:val="00B82DFE"/>
    <w:rsid w:val="00B91A2B"/>
    <w:rsid w:val="00B93027"/>
    <w:rsid w:val="00BA27EA"/>
    <w:rsid w:val="00BB4764"/>
    <w:rsid w:val="00BD7FE3"/>
    <w:rsid w:val="00BE3330"/>
    <w:rsid w:val="00BF3D34"/>
    <w:rsid w:val="00BF3EDB"/>
    <w:rsid w:val="00C016F7"/>
    <w:rsid w:val="00C857A5"/>
    <w:rsid w:val="00CB4495"/>
    <w:rsid w:val="00CC5023"/>
    <w:rsid w:val="00CD39B1"/>
    <w:rsid w:val="00CE0E9A"/>
    <w:rsid w:val="00CE6AB4"/>
    <w:rsid w:val="00CE6D9A"/>
    <w:rsid w:val="00D11061"/>
    <w:rsid w:val="00D17C43"/>
    <w:rsid w:val="00D252A6"/>
    <w:rsid w:val="00D63143"/>
    <w:rsid w:val="00D64D5F"/>
    <w:rsid w:val="00D80DB1"/>
    <w:rsid w:val="00D92403"/>
    <w:rsid w:val="00D970F7"/>
    <w:rsid w:val="00DB0520"/>
    <w:rsid w:val="00DB6D18"/>
    <w:rsid w:val="00DF72A8"/>
    <w:rsid w:val="00E046E4"/>
    <w:rsid w:val="00E05539"/>
    <w:rsid w:val="00E22E3F"/>
    <w:rsid w:val="00E35682"/>
    <w:rsid w:val="00E44E2C"/>
    <w:rsid w:val="00E45D68"/>
    <w:rsid w:val="00E7164C"/>
    <w:rsid w:val="00E841DA"/>
    <w:rsid w:val="00E94030"/>
    <w:rsid w:val="00E96C14"/>
    <w:rsid w:val="00EB09C4"/>
    <w:rsid w:val="00EB451F"/>
    <w:rsid w:val="00EC1D8A"/>
    <w:rsid w:val="00EC60EC"/>
    <w:rsid w:val="00ED0396"/>
    <w:rsid w:val="00ED220E"/>
    <w:rsid w:val="00EE320A"/>
    <w:rsid w:val="00EF6E50"/>
    <w:rsid w:val="00F12A80"/>
    <w:rsid w:val="00F27C9E"/>
    <w:rsid w:val="00F32081"/>
    <w:rsid w:val="00F33558"/>
    <w:rsid w:val="00F80BCD"/>
    <w:rsid w:val="00F8271C"/>
    <w:rsid w:val="00F85D70"/>
    <w:rsid w:val="00FC65F5"/>
    <w:rsid w:val="00FE1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5502"/>
  <w15:docId w15:val="{FFB55FC2-F722-479A-8884-2E62F861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591"/>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215CF"/>
    <w:pPr>
      <w:tabs>
        <w:tab w:val="center" w:pos="4419"/>
        <w:tab w:val="right" w:pos="8838"/>
      </w:tabs>
    </w:pPr>
  </w:style>
  <w:style w:type="character" w:customStyle="1" w:styleId="EncabezadoCar">
    <w:name w:val="Encabezado Car"/>
    <w:basedOn w:val="Fuentedeprrafopredeter"/>
    <w:link w:val="Encabezado"/>
    <w:uiPriority w:val="99"/>
    <w:rsid w:val="00B215CF"/>
  </w:style>
  <w:style w:type="paragraph" w:styleId="Piedepgina">
    <w:name w:val="footer"/>
    <w:basedOn w:val="Normal"/>
    <w:link w:val="PiedepginaCar"/>
    <w:uiPriority w:val="99"/>
    <w:unhideWhenUsed/>
    <w:rsid w:val="00B215CF"/>
    <w:pPr>
      <w:tabs>
        <w:tab w:val="center" w:pos="4419"/>
        <w:tab w:val="right" w:pos="8838"/>
      </w:tabs>
    </w:pPr>
  </w:style>
  <w:style w:type="character" w:customStyle="1" w:styleId="PiedepginaCar">
    <w:name w:val="Pie de página Car"/>
    <w:basedOn w:val="Fuentedeprrafopredeter"/>
    <w:link w:val="Piedepgina"/>
    <w:uiPriority w:val="99"/>
    <w:rsid w:val="00B215CF"/>
  </w:style>
  <w:style w:type="paragraph" w:styleId="NormalWeb">
    <w:name w:val="Normal (Web)"/>
    <w:basedOn w:val="Normal"/>
    <w:uiPriority w:val="99"/>
    <w:unhideWhenUsed/>
    <w:rsid w:val="00DA0443"/>
    <w:pPr>
      <w:spacing w:before="100" w:beforeAutospacing="1" w:after="100" w:afterAutospacing="1"/>
    </w:pPr>
  </w:style>
  <w:style w:type="paragraph" w:styleId="Prrafodelista">
    <w:name w:val="List Paragraph"/>
    <w:basedOn w:val="Normal"/>
    <w:uiPriority w:val="34"/>
    <w:qFormat/>
    <w:rsid w:val="000038B1"/>
    <w:pPr>
      <w:ind w:left="720"/>
      <w:contextualSpacing/>
    </w:p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455091"/>
    <w:rPr>
      <w:color w:val="0000FF" w:themeColor="hyperlink"/>
      <w:u w:val="single"/>
    </w:rPr>
  </w:style>
  <w:style w:type="paragraph" w:styleId="Listaconvietas3">
    <w:name w:val="List Bullet 3"/>
    <w:basedOn w:val="Normal"/>
    <w:uiPriority w:val="99"/>
    <w:unhideWhenUsed/>
    <w:rsid w:val="00210E50"/>
    <w:pPr>
      <w:numPr>
        <w:numId w:val="3"/>
      </w:numPr>
      <w:contextualSpacing/>
    </w:pPr>
    <w:rPr>
      <w:lang w:val="es-ES"/>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Textonotapie">
    <w:name w:val="footnote text"/>
    <w:basedOn w:val="Normal"/>
    <w:link w:val="TextonotapieCar"/>
    <w:uiPriority w:val="99"/>
    <w:semiHidden/>
    <w:unhideWhenUsed/>
    <w:rsid w:val="00030F96"/>
    <w:rPr>
      <w:sz w:val="20"/>
      <w:szCs w:val="20"/>
    </w:rPr>
  </w:style>
  <w:style w:type="character" w:customStyle="1" w:styleId="TextonotapieCar">
    <w:name w:val="Texto nota pie Car"/>
    <w:basedOn w:val="Fuentedeprrafopredeter"/>
    <w:link w:val="Textonotapie"/>
    <w:uiPriority w:val="99"/>
    <w:semiHidden/>
    <w:rsid w:val="00030F96"/>
    <w:rPr>
      <w:sz w:val="20"/>
      <w:szCs w:val="20"/>
    </w:rPr>
  </w:style>
  <w:style w:type="character" w:styleId="Refdenotaalpie">
    <w:name w:val="footnote reference"/>
    <w:basedOn w:val="Fuentedeprrafopredeter"/>
    <w:uiPriority w:val="99"/>
    <w:semiHidden/>
    <w:unhideWhenUsed/>
    <w:rsid w:val="00030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31655">
      <w:bodyDiv w:val="1"/>
      <w:marLeft w:val="0"/>
      <w:marRight w:val="0"/>
      <w:marTop w:val="0"/>
      <w:marBottom w:val="0"/>
      <w:divBdr>
        <w:top w:val="none" w:sz="0" w:space="0" w:color="auto"/>
        <w:left w:val="none" w:sz="0" w:space="0" w:color="auto"/>
        <w:bottom w:val="none" w:sz="0" w:space="0" w:color="auto"/>
        <w:right w:val="none" w:sz="0" w:space="0" w:color="auto"/>
      </w:divBdr>
    </w:div>
    <w:div w:id="160974857">
      <w:bodyDiv w:val="1"/>
      <w:marLeft w:val="0"/>
      <w:marRight w:val="0"/>
      <w:marTop w:val="0"/>
      <w:marBottom w:val="0"/>
      <w:divBdr>
        <w:top w:val="none" w:sz="0" w:space="0" w:color="auto"/>
        <w:left w:val="none" w:sz="0" w:space="0" w:color="auto"/>
        <w:bottom w:val="none" w:sz="0" w:space="0" w:color="auto"/>
        <w:right w:val="none" w:sz="0" w:space="0" w:color="auto"/>
      </w:divBdr>
    </w:div>
    <w:div w:id="669715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5lQm2vR8dbEVroiG2OGt2irT7w==">CgMxLjAyCWguMWZvYjl0ZTIIaC5namRneHMyCWguM2R5NnZrbTIJaC4zMGowemxsMgloLjJzOGV5bzEyCGgudHlqY3d0MgloLjN6bnlzaDcyCWguMmV0OTJwMDIJaC4zNW5rdW4yMg5oLmlqdjk4cG50Y2Q1czIJaC4yNmluMXJnMgloLjE3ZHA4dnUyCWguM3JkY3JqbjIJaC4xdDNoNXNmOAByITFRLUVQcFo2bU9yWTd0TFB1QU1HbXFoQmJSR0FmRF9qVg==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B0E4FB-0A94-45C6-85AB-69D0F67D5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4630</Words>
  <Characters>25465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2025-11-27T18:49:00Z</cp:lastPrinted>
  <dcterms:created xsi:type="dcterms:W3CDTF">2025-12-15T03:12:00Z</dcterms:created>
  <dcterms:modified xsi:type="dcterms:W3CDTF">2025-12-15T03:12:00Z</dcterms:modified>
</cp:coreProperties>
</file>