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6BFB"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 dieciocho de junio de dos mil veinticinco.</w:t>
      </w:r>
    </w:p>
    <w:p w14:paraId="05064C36" w14:textId="29BA868A"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VISTO</w:t>
      </w:r>
      <w:r w:rsidRPr="00165F19">
        <w:rPr>
          <w:rFonts w:ascii="Palatino Linotype" w:eastAsia="Palatino Linotype" w:hAnsi="Palatino Linotype" w:cs="Palatino Linotype"/>
          <w:sz w:val="22"/>
          <w:szCs w:val="22"/>
        </w:rPr>
        <w:t xml:space="preserve"> el expediente formado con motivo del recurso de revisión </w:t>
      </w:r>
      <w:r w:rsidRPr="00165F19">
        <w:rPr>
          <w:rFonts w:ascii="Palatino Linotype" w:eastAsia="Palatino Linotype" w:hAnsi="Palatino Linotype" w:cs="Palatino Linotype"/>
          <w:b/>
          <w:sz w:val="22"/>
          <w:szCs w:val="22"/>
        </w:rPr>
        <w:t>03244/INFOEM/IP/RR/2025</w:t>
      </w:r>
      <w:r w:rsidRPr="00165F19">
        <w:rPr>
          <w:rFonts w:ascii="Palatino Linotype" w:eastAsia="Palatino Linotype" w:hAnsi="Palatino Linotype" w:cs="Palatino Linotype"/>
          <w:sz w:val="22"/>
          <w:szCs w:val="22"/>
        </w:rPr>
        <w:t>, por</w:t>
      </w:r>
      <w:r w:rsidRPr="00165F19">
        <w:rPr>
          <w:rFonts w:ascii="Palatino Linotype" w:eastAsia="Palatino Linotype" w:hAnsi="Palatino Linotype" w:cs="Palatino Linotype"/>
          <w:b/>
          <w:sz w:val="22"/>
          <w:szCs w:val="22"/>
        </w:rPr>
        <w:t xml:space="preserve"> </w:t>
      </w:r>
      <w:r w:rsidRPr="00165F19">
        <w:rPr>
          <w:rFonts w:ascii="Palatino Linotype" w:eastAsia="Palatino Linotype" w:hAnsi="Palatino Linotype" w:cs="Palatino Linotype"/>
          <w:sz w:val="22"/>
          <w:szCs w:val="22"/>
        </w:rPr>
        <w:t>interpuesto por</w:t>
      </w:r>
      <w:r w:rsidRPr="00165F19">
        <w:rPr>
          <w:rFonts w:ascii="Palatino Linotype" w:eastAsia="Palatino Linotype" w:hAnsi="Palatino Linotype" w:cs="Palatino Linotype"/>
          <w:b/>
          <w:sz w:val="22"/>
          <w:szCs w:val="22"/>
        </w:rPr>
        <w:t xml:space="preserve"> </w:t>
      </w:r>
      <w:r w:rsidR="00C50982" w:rsidRPr="00C50982">
        <w:rPr>
          <w:rFonts w:ascii="Palatino Linotype" w:eastAsia="Palatino Linotype" w:hAnsi="Palatino Linotype" w:cs="Palatino Linotype"/>
          <w:b/>
          <w:sz w:val="22"/>
          <w:szCs w:val="22"/>
        </w:rPr>
        <w:t>XXXXX XXXXXXX XXXXXXXX XXXXXXXXXX</w:t>
      </w:r>
      <w:r w:rsidRPr="00165F19">
        <w:rPr>
          <w:rFonts w:ascii="Palatino Linotype" w:eastAsia="Palatino Linotype" w:hAnsi="Palatino Linotype" w:cs="Palatino Linotype"/>
          <w:b/>
          <w:sz w:val="22"/>
          <w:szCs w:val="22"/>
        </w:rPr>
        <w:t>,</w:t>
      </w:r>
      <w:r w:rsidRPr="00165F19">
        <w:rPr>
          <w:rFonts w:ascii="Palatino Linotype" w:eastAsia="Palatino Linotype" w:hAnsi="Palatino Linotype" w:cs="Palatino Linotype"/>
          <w:sz w:val="22"/>
          <w:szCs w:val="22"/>
        </w:rPr>
        <w:t xml:space="preserve"> en lo sucesivo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xml:space="preserve"> en contra de la respuesta a su solicitud por parte del </w:t>
      </w:r>
      <w:r w:rsidRPr="00165F19">
        <w:rPr>
          <w:rFonts w:ascii="Palatino Linotype" w:eastAsia="Palatino Linotype" w:hAnsi="Palatino Linotype" w:cs="Palatino Linotype"/>
          <w:b/>
          <w:sz w:val="22"/>
          <w:szCs w:val="22"/>
        </w:rPr>
        <w:t xml:space="preserve">Secretaría de Educación, Ciencia, Tecnología e Innovación, </w:t>
      </w:r>
      <w:r w:rsidRPr="00165F19">
        <w:rPr>
          <w:rFonts w:ascii="Palatino Linotype" w:eastAsia="Palatino Linotype" w:hAnsi="Palatino Linotype" w:cs="Palatino Linotype"/>
          <w:sz w:val="22"/>
          <w:szCs w:val="22"/>
        </w:rPr>
        <w:t xml:space="preserve">en lo sucesivo el </w:t>
      </w:r>
      <w:r w:rsidRPr="00165F19">
        <w:rPr>
          <w:rFonts w:ascii="Palatino Linotype" w:eastAsia="Palatino Linotype" w:hAnsi="Palatino Linotype" w:cs="Palatino Linotype"/>
          <w:b/>
          <w:sz w:val="22"/>
          <w:szCs w:val="22"/>
        </w:rPr>
        <w:t xml:space="preserve">SUJETO OBLIGADO, </w:t>
      </w:r>
      <w:r w:rsidRPr="00165F19">
        <w:rPr>
          <w:rFonts w:ascii="Palatino Linotype" w:eastAsia="Palatino Linotype" w:hAnsi="Palatino Linotype" w:cs="Palatino Linotype"/>
          <w:sz w:val="22"/>
          <w:szCs w:val="22"/>
        </w:rPr>
        <w:t xml:space="preserve">se procede a dictar la presente resolución con base en los siguientes: </w:t>
      </w:r>
    </w:p>
    <w:p w14:paraId="5DA666CB" w14:textId="77777777" w:rsidR="00BA1757" w:rsidRPr="00165F19" w:rsidRDefault="00A323F2">
      <w:pPr>
        <w:spacing w:before="240" w:after="240" w:line="360" w:lineRule="auto"/>
        <w:jc w:val="center"/>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I. A N T E C E D E N T E S</w:t>
      </w:r>
    </w:p>
    <w:p w14:paraId="53C255E8" w14:textId="77777777" w:rsidR="00BA1757" w:rsidRPr="00165F19" w:rsidRDefault="00A323F2">
      <w:pPr>
        <w:spacing w:before="240" w:after="240"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1. Solicitud de acceso a la información.</w:t>
      </w:r>
      <w:r w:rsidRPr="00165F19">
        <w:rPr>
          <w:rFonts w:ascii="Palatino Linotype" w:eastAsia="Palatino Linotype" w:hAnsi="Palatino Linotype" w:cs="Palatino Linotype"/>
          <w:sz w:val="22"/>
          <w:szCs w:val="22"/>
        </w:rPr>
        <w:t xml:space="preserve"> Con fecha </w:t>
      </w:r>
      <w:r w:rsidRPr="00165F19">
        <w:rPr>
          <w:rFonts w:ascii="Palatino Linotype" w:eastAsia="Palatino Linotype" w:hAnsi="Palatino Linotype" w:cs="Palatino Linotype"/>
          <w:b/>
          <w:sz w:val="22"/>
          <w:szCs w:val="22"/>
        </w:rPr>
        <w:t>veintisiete de febrero de dos mil veinticinco</w:t>
      </w:r>
      <w:r w:rsidRPr="00165F19">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165F19">
        <w:rPr>
          <w:rFonts w:ascii="Palatino Linotype" w:eastAsia="Palatino Linotype" w:hAnsi="Palatino Linotype" w:cs="Palatino Linotype"/>
          <w:b/>
          <w:sz w:val="22"/>
          <w:szCs w:val="22"/>
        </w:rPr>
        <w:t>SAIMEX,</w:t>
      </w:r>
      <w:r w:rsidRPr="00165F19">
        <w:rPr>
          <w:rFonts w:ascii="Palatino Linotype" w:eastAsia="Palatino Linotype" w:hAnsi="Palatino Linotype" w:cs="Palatino Linotype"/>
          <w:sz w:val="22"/>
          <w:szCs w:val="22"/>
        </w:rPr>
        <w:t xml:space="preserve"> ante 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la solicitud de acceso a la información pública, a la que se le asignó el número</w:t>
      </w:r>
      <w:r w:rsidRPr="00165F19">
        <w:rPr>
          <w:rFonts w:ascii="Palatino Linotype" w:eastAsia="Palatino Linotype" w:hAnsi="Palatino Linotype" w:cs="Palatino Linotype"/>
          <w:b/>
          <w:sz w:val="22"/>
          <w:szCs w:val="22"/>
        </w:rPr>
        <w:t xml:space="preserve"> 00277/SECTI/IP/2025, </w:t>
      </w:r>
      <w:r w:rsidRPr="00165F19">
        <w:rPr>
          <w:rFonts w:ascii="Palatino Linotype" w:eastAsia="Palatino Linotype" w:hAnsi="Palatino Linotype" w:cs="Palatino Linotype"/>
          <w:sz w:val="22"/>
          <w:szCs w:val="22"/>
        </w:rPr>
        <w:t>mediante la cual requirió la información siguiente:</w:t>
      </w:r>
    </w:p>
    <w:p w14:paraId="61668F27" w14:textId="77777777" w:rsidR="00BA1757" w:rsidRPr="00165F19" w:rsidRDefault="00A323F2">
      <w:pPr>
        <w:spacing w:before="240" w:line="360" w:lineRule="auto"/>
        <w:ind w:left="567" w:right="616"/>
        <w:jc w:val="both"/>
        <w:rPr>
          <w:rFonts w:ascii="Palatino Linotype" w:eastAsia="Palatino Linotype" w:hAnsi="Palatino Linotype" w:cs="Palatino Linotype"/>
          <w:i/>
          <w:sz w:val="22"/>
          <w:szCs w:val="22"/>
        </w:rPr>
      </w:pPr>
      <w:bookmarkStart w:id="0" w:name="_heading=h.gjdgxs" w:colFirst="0" w:colLast="0"/>
      <w:bookmarkEnd w:id="0"/>
      <w:r w:rsidRPr="00165F19">
        <w:rPr>
          <w:rFonts w:ascii="Palatino Linotype" w:eastAsia="Palatino Linotype" w:hAnsi="Palatino Linotype" w:cs="Palatino Linotype"/>
          <w:i/>
          <w:sz w:val="22"/>
          <w:szCs w:val="22"/>
        </w:rPr>
        <w:t xml:space="preserve">“solicito en </w:t>
      </w:r>
      <w:proofErr w:type="spellStart"/>
      <w:r w:rsidRPr="00165F19">
        <w:rPr>
          <w:rFonts w:ascii="Palatino Linotype" w:eastAsia="Palatino Linotype" w:hAnsi="Palatino Linotype" w:cs="Palatino Linotype"/>
          <w:i/>
          <w:sz w:val="22"/>
          <w:szCs w:val="22"/>
        </w:rPr>
        <w:t>version</w:t>
      </w:r>
      <w:proofErr w:type="spellEnd"/>
      <w:r w:rsidRPr="00165F19">
        <w:rPr>
          <w:rFonts w:ascii="Palatino Linotype" w:eastAsia="Palatino Linotype" w:hAnsi="Palatino Linotype" w:cs="Palatino Linotype"/>
          <w:i/>
          <w:sz w:val="22"/>
          <w:szCs w:val="22"/>
        </w:rPr>
        <w:t xml:space="preserve"> </w:t>
      </w:r>
      <w:proofErr w:type="spellStart"/>
      <w:r w:rsidRPr="00165F19">
        <w:rPr>
          <w:rFonts w:ascii="Palatino Linotype" w:eastAsia="Palatino Linotype" w:hAnsi="Palatino Linotype" w:cs="Palatino Linotype"/>
          <w:i/>
          <w:sz w:val="22"/>
          <w:szCs w:val="22"/>
        </w:rPr>
        <w:t>piblica</w:t>
      </w:r>
      <w:proofErr w:type="spellEnd"/>
      <w:r w:rsidRPr="00165F19">
        <w:rPr>
          <w:rFonts w:ascii="Palatino Linotype" w:eastAsia="Palatino Linotype" w:hAnsi="Palatino Linotype" w:cs="Palatino Linotype"/>
          <w:i/>
          <w:sz w:val="22"/>
          <w:szCs w:val="22"/>
        </w:rPr>
        <w:t xml:space="preserve"> el titulo o </w:t>
      </w:r>
      <w:proofErr w:type="spellStart"/>
      <w:r w:rsidRPr="00165F19">
        <w:rPr>
          <w:rFonts w:ascii="Palatino Linotype" w:eastAsia="Palatino Linotype" w:hAnsi="Palatino Linotype" w:cs="Palatino Linotype"/>
          <w:i/>
          <w:sz w:val="22"/>
          <w:szCs w:val="22"/>
        </w:rPr>
        <w:t>certificdo</w:t>
      </w:r>
      <w:proofErr w:type="spellEnd"/>
      <w:r w:rsidRPr="00165F19">
        <w:rPr>
          <w:rFonts w:ascii="Palatino Linotype" w:eastAsia="Palatino Linotype" w:hAnsi="Palatino Linotype" w:cs="Palatino Linotype"/>
          <w:i/>
          <w:sz w:val="22"/>
          <w:szCs w:val="22"/>
        </w:rPr>
        <w:t xml:space="preserve"> de estudios, </w:t>
      </w:r>
      <w:proofErr w:type="spellStart"/>
      <w:r w:rsidRPr="00165F19">
        <w:rPr>
          <w:rFonts w:ascii="Palatino Linotype" w:eastAsia="Palatino Linotype" w:hAnsi="Palatino Linotype" w:cs="Palatino Linotype"/>
          <w:i/>
          <w:sz w:val="22"/>
          <w:szCs w:val="22"/>
        </w:rPr>
        <w:t>curriculum</w:t>
      </w:r>
      <w:proofErr w:type="spellEnd"/>
      <w:r w:rsidRPr="00165F19">
        <w:rPr>
          <w:rFonts w:ascii="Palatino Linotype" w:eastAsia="Palatino Linotype" w:hAnsi="Palatino Linotype" w:cs="Palatino Linotype"/>
          <w:i/>
          <w:sz w:val="22"/>
          <w:szCs w:val="22"/>
        </w:rPr>
        <w:t xml:space="preserve">, manifiesto de bien, </w:t>
      </w:r>
      <w:proofErr w:type="spellStart"/>
      <w:r w:rsidRPr="00165F19">
        <w:rPr>
          <w:rFonts w:ascii="Palatino Linotype" w:eastAsia="Palatino Linotype" w:hAnsi="Palatino Linotype" w:cs="Palatino Linotype"/>
          <w:i/>
          <w:sz w:val="22"/>
          <w:szCs w:val="22"/>
        </w:rPr>
        <w:t>cuanto</w:t>
      </w:r>
      <w:proofErr w:type="spellEnd"/>
      <w:r w:rsidRPr="00165F19">
        <w:rPr>
          <w:rFonts w:ascii="Palatino Linotype" w:eastAsia="Palatino Linotype" w:hAnsi="Palatino Linotype" w:cs="Palatino Linotype"/>
          <w:i/>
          <w:sz w:val="22"/>
          <w:szCs w:val="22"/>
        </w:rPr>
        <w:t xml:space="preserve"> gana, listas de asistencia, incapacidades desde que entro, </w:t>
      </w:r>
      <w:proofErr w:type="spellStart"/>
      <w:r w:rsidRPr="00165F19">
        <w:rPr>
          <w:rFonts w:ascii="Palatino Linotype" w:eastAsia="Palatino Linotype" w:hAnsi="Palatino Linotype" w:cs="Palatino Linotype"/>
          <w:i/>
          <w:sz w:val="22"/>
          <w:szCs w:val="22"/>
        </w:rPr>
        <w:t>cuanto</w:t>
      </w:r>
      <w:proofErr w:type="spellEnd"/>
      <w:r w:rsidRPr="00165F19">
        <w:rPr>
          <w:rFonts w:ascii="Palatino Linotype" w:eastAsia="Palatino Linotype" w:hAnsi="Palatino Linotype" w:cs="Palatino Linotype"/>
          <w:i/>
          <w:sz w:val="22"/>
          <w:szCs w:val="22"/>
        </w:rPr>
        <w:t xml:space="preserve"> gana a la quincena y mes, que examen tuvo que hacer para ser el delegado y estar en deporte de </w:t>
      </w:r>
      <w:proofErr w:type="spellStart"/>
      <w:r w:rsidRPr="00165F19">
        <w:rPr>
          <w:rFonts w:ascii="Palatino Linotype" w:eastAsia="Palatino Linotype" w:hAnsi="Palatino Linotype" w:cs="Palatino Linotype"/>
          <w:i/>
          <w:sz w:val="22"/>
          <w:szCs w:val="22"/>
        </w:rPr>
        <w:t>ruben</w:t>
      </w:r>
      <w:proofErr w:type="spellEnd"/>
      <w:r w:rsidRPr="00165F19">
        <w:rPr>
          <w:rFonts w:ascii="Palatino Linotype" w:eastAsia="Palatino Linotype" w:hAnsi="Palatino Linotype" w:cs="Palatino Linotype"/>
          <w:i/>
          <w:sz w:val="22"/>
          <w:szCs w:val="22"/>
        </w:rPr>
        <w:t xml:space="preserve"> campos” (Sic)</w:t>
      </w:r>
    </w:p>
    <w:p w14:paraId="368EBE42" w14:textId="77777777" w:rsidR="00BA1757" w:rsidRPr="00165F19" w:rsidRDefault="00BA1757">
      <w:pPr>
        <w:spacing w:line="360" w:lineRule="auto"/>
        <w:ind w:right="902"/>
        <w:jc w:val="both"/>
        <w:rPr>
          <w:rFonts w:ascii="Palatino Linotype" w:eastAsia="Palatino Linotype" w:hAnsi="Palatino Linotype" w:cs="Palatino Linotype"/>
          <w:i/>
          <w:sz w:val="22"/>
          <w:szCs w:val="22"/>
        </w:rPr>
      </w:pPr>
    </w:p>
    <w:p w14:paraId="1D25C3D1"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Modalidad de Entrega:</w:t>
      </w:r>
      <w:r w:rsidRPr="00165F19">
        <w:rPr>
          <w:rFonts w:ascii="Palatino Linotype" w:eastAsia="Palatino Linotype" w:hAnsi="Palatino Linotype" w:cs="Palatino Linotype"/>
          <w:sz w:val="22"/>
          <w:szCs w:val="22"/>
        </w:rPr>
        <w:t xml:space="preserve"> A través de SAIMEX. </w:t>
      </w:r>
    </w:p>
    <w:p w14:paraId="4CD5FA99"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47FB98F9" w14:textId="77777777" w:rsidR="00BA1757" w:rsidRPr="00165F19" w:rsidRDefault="00A323F2">
      <w:pPr>
        <w:spacing w:after="240"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lastRenderedPageBreak/>
        <w:t xml:space="preserve">2. Respuesta. </w:t>
      </w:r>
      <w:r w:rsidRPr="00165F19">
        <w:rPr>
          <w:rFonts w:ascii="Palatino Linotype" w:eastAsia="Palatino Linotype" w:hAnsi="Palatino Linotype" w:cs="Palatino Linotype"/>
          <w:sz w:val="22"/>
          <w:szCs w:val="22"/>
        </w:rPr>
        <w:t xml:space="preserve">Con fecha </w:t>
      </w:r>
      <w:r w:rsidRPr="00165F19">
        <w:rPr>
          <w:rFonts w:ascii="Palatino Linotype" w:eastAsia="Palatino Linotype" w:hAnsi="Palatino Linotype" w:cs="Palatino Linotype"/>
          <w:b/>
          <w:sz w:val="22"/>
          <w:szCs w:val="22"/>
        </w:rPr>
        <w:t>diecinueve de marzo de dos mil veinticinco</w:t>
      </w:r>
      <w:r w:rsidRPr="00165F19">
        <w:rPr>
          <w:rFonts w:ascii="Palatino Linotype" w:eastAsia="Palatino Linotype" w:hAnsi="Palatino Linotype" w:cs="Palatino Linotype"/>
          <w:sz w:val="22"/>
          <w:szCs w:val="22"/>
        </w:rPr>
        <w:t xml:space="preserve">, el </w:t>
      </w:r>
      <w:r w:rsidRPr="00165F19">
        <w:rPr>
          <w:rFonts w:ascii="Palatino Linotype" w:eastAsia="Palatino Linotype" w:hAnsi="Palatino Linotype" w:cs="Palatino Linotype"/>
          <w:b/>
          <w:sz w:val="22"/>
          <w:szCs w:val="22"/>
        </w:rPr>
        <w:t xml:space="preserve">SUJETO OBLIGADO </w:t>
      </w:r>
      <w:r w:rsidRPr="00165F19">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A2856AF" w14:textId="77777777" w:rsidR="00BA1757" w:rsidRPr="00165F19" w:rsidRDefault="00A323F2">
      <w:pPr>
        <w:spacing w:before="240" w:after="240" w:line="360" w:lineRule="auto"/>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924354" w14:textId="77777777" w:rsidR="00BA1757" w:rsidRPr="00165F19" w:rsidRDefault="00A323F2">
      <w:pPr>
        <w:spacing w:before="240" w:after="240" w:line="360" w:lineRule="auto"/>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Con fundamento en los artículos 53, fracciones II, V y VI; y 163 de la Ley de Transparencia y Acceso a la Información Pública del Estado de México y Municipios, en respuesta a su solicitud de información se adjunta el Acuerdo de respuesta de fecha 18 de marzo de dos mil veinticinco; asimismo, se anexa la respuesta remitida por el Servidor Público Habilitado responsable de generar la </w:t>
      </w:r>
      <w:proofErr w:type="gramStart"/>
      <w:r w:rsidRPr="00165F19">
        <w:rPr>
          <w:rFonts w:ascii="Palatino Linotype" w:eastAsia="Palatino Linotype" w:hAnsi="Palatino Linotype" w:cs="Palatino Linotype"/>
          <w:i/>
          <w:sz w:val="22"/>
          <w:szCs w:val="22"/>
        </w:rPr>
        <w:t>información..</w:t>
      </w:r>
      <w:proofErr w:type="gramEnd"/>
    </w:p>
    <w:p w14:paraId="3E2DB97E" w14:textId="77777777" w:rsidR="00BA1757" w:rsidRPr="00165F19" w:rsidRDefault="00A323F2">
      <w:pPr>
        <w:spacing w:before="240" w:after="240" w:line="360" w:lineRule="auto"/>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ATENTAMENTE</w:t>
      </w:r>
    </w:p>
    <w:p w14:paraId="7B31F7A7" w14:textId="77777777" w:rsidR="00BA1757" w:rsidRPr="00165F19" w:rsidRDefault="00A323F2">
      <w:pPr>
        <w:spacing w:before="240" w:after="240" w:line="360" w:lineRule="auto"/>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Lic. Rodrigo Ulises Rojas Muñoz” (Sic)</w:t>
      </w:r>
    </w:p>
    <w:p w14:paraId="46F6BC8D" w14:textId="77777777" w:rsidR="00BA1757" w:rsidRPr="00165F19" w:rsidRDefault="00A323F2">
      <w:pPr>
        <w:pBdr>
          <w:top w:val="nil"/>
          <w:left w:val="nil"/>
          <w:bottom w:val="nil"/>
          <w:right w:val="nil"/>
          <w:between w:val="nil"/>
        </w:pBdr>
        <w:spacing w:before="240" w:line="360" w:lineRule="auto"/>
        <w:ind w:right="4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sz w:val="22"/>
          <w:szCs w:val="22"/>
        </w:rPr>
        <w:t>El Sujeto Obligado adjuntó el documento electrónico siguiente:</w:t>
      </w:r>
    </w:p>
    <w:p w14:paraId="02AC42DF" w14:textId="77777777" w:rsidR="00BA1757" w:rsidRPr="00165F19" w:rsidRDefault="00BA1757">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14:paraId="258E09BB" w14:textId="77777777" w:rsidR="00BA1757" w:rsidRPr="00165F19" w:rsidRDefault="00A323F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Respuesta_UT_277.pdf:</w:t>
      </w:r>
      <w:r w:rsidRPr="00165F19">
        <w:rPr>
          <w:rFonts w:ascii="Palatino Linotype" w:eastAsia="Palatino Linotype" w:hAnsi="Palatino Linotype" w:cs="Palatino Linotype"/>
          <w:sz w:val="22"/>
          <w:szCs w:val="22"/>
        </w:rPr>
        <w:t xml:space="preserve"> Oficio 22800007010000S/816/UT/2025 suscrito por el Titular de la Unidad de Transparencia, mediante el cual refiere que se emite la respuesta de la Unidad Administrativa competente, siendo la Dirección General de Cultura Física y Deporte.</w:t>
      </w:r>
    </w:p>
    <w:p w14:paraId="5517FE90" w14:textId="77777777" w:rsidR="00BA1757" w:rsidRPr="00165F19" w:rsidRDefault="00A323F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Respuesta_SPH_277.pdf:</w:t>
      </w:r>
      <w:r w:rsidRPr="00165F19">
        <w:rPr>
          <w:rFonts w:ascii="Palatino Linotype" w:eastAsia="Palatino Linotype" w:hAnsi="Palatino Linotype" w:cs="Palatino Linotype"/>
          <w:sz w:val="22"/>
          <w:szCs w:val="22"/>
        </w:rPr>
        <w:t xml:space="preserve"> Oficio 22800010A/123/2025 suscrito por el Director General de Cultura Física y Deporte mediante el cual refiere que la información requerida se </w:t>
      </w:r>
      <w:r w:rsidRPr="00165F19">
        <w:rPr>
          <w:rFonts w:ascii="Palatino Linotype" w:eastAsia="Palatino Linotype" w:hAnsi="Palatino Linotype" w:cs="Palatino Linotype"/>
          <w:sz w:val="22"/>
          <w:szCs w:val="22"/>
        </w:rPr>
        <w:lastRenderedPageBreak/>
        <w:t>encuentra bajo resguardo de la Secretaría de Educación, Ciencia, Tecnología e Innovación del Estado de México.</w:t>
      </w:r>
    </w:p>
    <w:p w14:paraId="148DAA90"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19D51E65"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3. Interposición del recurso de revisión. </w:t>
      </w:r>
      <w:r w:rsidRPr="00165F19">
        <w:rPr>
          <w:rFonts w:ascii="Palatino Linotype" w:eastAsia="Palatino Linotype" w:hAnsi="Palatino Linotype" w:cs="Palatino Linotype"/>
          <w:sz w:val="22"/>
          <w:szCs w:val="22"/>
        </w:rPr>
        <w:t xml:space="preserve">Inconforme con los términos de la respuesta emitida por parte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el </w:t>
      </w:r>
      <w:r w:rsidRPr="00165F19">
        <w:rPr>
          <w:rFonts w:ascii="Palatino Linotype" w:eastAsia="Palatino Linotype" w:hAnsi="Palatino Linotype" w:cs="Palatino Linotype"/>
          <w:b/>
          <w:sz w:val="22"/>
          <w:szCs w:val="22"/>
        </w:rPr>
        <w:t>diecinueve de marzo del año dos mil veinticinco,</w:t>
      </w:r>
      <w:r w:rsidRPr="00165F19">
        <w:rPr>
          <w:rFonts w:ascii="Palatino Linotype" w:eastAsia="Palatino Linotype" w:hAnsi="Palatino Linotype" w:cs="Palatino Linotype"/>
          <w:sz w:val="22"/>
          <w:szCs w:val="22"/>
        </w:rPr>
        <w:t xml:space="preserv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xml:space="preserve"> interpuso el recurso de revisión a través de </w:t>
      </w:r>
      <w:r w:rsidRPr="00165F19">
        <w:rPr>
          <w:rFonts w:ascii="Palatino Linotype" w:eastAsia="Palatino Linotype" w:hAnsi="Palatino Linotype" w:cs="Palatino Linotype"/>
          <w:b/>
          <w:sz w:val="22"/>
          <w:szCs w:val="22"/>
        </w:rPr>
        <w:t xml:space="preserve">SAIMEX, </w:t>
      </w:r>
      <w:r w:rsidRPr="00165F19">
        <w:rPr>
          <w:rFonts w:ascii="Palatino Linotype" w:eastAsia="Palatino Linotype" w:hAnsi="Palatino Linotype" w:cs="Palatino Linotype"/>
          <w:sz w:val="22"/>
          <w:szCs w:val="22"/>
        </w:rPr>
        <w:t>en donde se manifestó de la siguiente manera:</w:t>
      </w:r>
    </w:p>
    <w:p w14:paraId="1FFBD87E" w14:textId="77777777" w:rsidR="00BA1757" w:rsidRPr="00165F19" w:rsidRDefault="00A323F2">
      <w:pPr>
        <w:numPr>
          <w:ilvl w:val="0"/>
          <w:numId w:val="1"/>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Acto impugnado: </w:t>
      </w:r>
    </w:p>
    <w:p w14:paraId="1BAD1E69" w14:textId="77777777" w:rsidR="00BA1757" w:rsidRPr="00165F19" w:rsidRDefault="00A323F2">
      <w:pPr>
        <w:pBdr>
          <w:top w:val="nil"/>
          <w:left w:val="nil"/>
          <w:bottom w:val="nil"/>
          <w:right w:val="nil"/>
          <w:between w:val="nil"/>
        </w:pBdr>
        <w:ind w:left="72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“solicite la </w:t>
      </w:r>
      <w:proofErr w:type="spellStart"/>
      <w:r w:rsidRPr="00165F19">
        <w:rPr>
          <w:rFonts w:ascii="Palatino Linotype" w:eastAsia="Palatino Linotype" w:hAnsi="Palatino Linotype" w:cs="Palatino Linotype"/>
          <w:i/>
          <w:sz w:val="22"/>
          <w:szCs w:val="22"/>
        </w:rPr>
        <w:t>documentacion</w:t>
      </w:r>
      <w:proofErr w:type="spellEnd"/>
      <w:r w:rsidRPr="00165F19">
        <w:rPr>
          <w:rFonts w:ascii="Palatino Linotype" w:eastAsia="Palatino Linotype" w:hAnsi="Palatino Linotype" w:cs="Palatino Linotype"/>
          <w:i/>
          <w:sz w:val="22"/>
          <w:szCs w:val="22"/>
        </w:rPr>
        <w:t xml:space="preserve"> de un servidor </w:t>
      </w:r>
      <w:proofErr w:type="spellStart"/>
      <w:r w:rsidRPr="00165F19">
        <w:rPr>
          <w:rFonts w:ascii="Palatino Linotype" w:eastAsia="Palatino Linotype" w:hAnsi="Palatino Linotype" w:cs="Palatino Linotype"/>
          <w:i/>
          <w:sz w:val="22"/>
          <w:szCs w:val="22"/>
        </w:rPr>
        <w:t>publicos</w:t>
      </w:r>
      <w:proofErr w:type="spellEnd"/>
      <w:r w:rsidRPr="00165F19">
        <w:rPr>
          <w:rFonts w:ascii="Palatino Linotype" w:eastAsia="Palatino Linotype" w:hAnsi="Palatino Linotype" w:cs="Palatino Linotype"/>
          <w:i/>
          <w:sz w:val="22"/>
          <w:szCs w:val="22"/>
        </w:rPr>
        <w:t xml:space="preserve"> y entre </w:t>
      </w:r>
      <w:proofErr w:type="spellStart"/>
      <w:r w:rsidRPr="00165F19">
        <w:rPr>
          <w:rFonts w:ascii="Palatino Linotype" w:eastAsia="Palatino Linotype" w:hAnsi="Palatino Linotype" w:cs="Palatino Linotype"/>
          <w:i/>
          <w:sz w:val="22"/>
          <w:szCs w:val="22"/>
        </w:rPr>
        <w:t>areas</w:t>
      </w:r>
      <w:proofErr w:type="spellEnd"/>
      <w:r w:rsidRPr="00165F19">
        <w:rPr>
          <w:rFonts w:ascii="Palatino Linotype" w:eastAsia="Palatino Linotype" w:hAnsi="Palatino Linotype" w:cs="Palatino Linotype"/>
          <w:i/>
          <w:sz w:val="22"/>
          <w:szCs w:val="22"/>
        </w:rPr>
        <w:t xml:space="preserve"> </w:t>
      </w:r>
      <w:proofErr w:type="spellStart"/>
      <w:r w:rsidRPr="00165F19">
        <w:rPr>
          <w:rFonts w:ascii="Palatino Linotype" w:eastAsia="Palatino Linotype" w:hAnsi="Palatino Linotype" w:cs="Palatino Linotype"/>
          <w:i/>
          <w:sz w:val="22"/>
          <w:szCs w:val="22"/>
        </w:rPr>
        <w:t>adminsitrativas</w:t>
      </w:r>
      <w:proofErr w:type="spellEnd"/>
      <w:r w:rsidRPr="00165F19">
        <w:rPr>
          <w:rFonts w:ascii="Palatino Linotype" w:eastAsia="Palatino Linotype" w:hAnsi="Palatino Linotype" w:cs="Palatino Linotype"/>
          <w:i/>
          <w:sz w:val="22"/>
          <w:szCs w:val="22"/>
        </w:rPr>
        <w:t xml:space="preserve"> comentan que uno u otro deben darme la </w:t>
      </w:r>
      <w:proofErr w:type="spellStart"/>
      <w:r w:rsidRPr="00165F19">
        <w:rPr>
          <w:rFonts w:ascii="Palatino Linotype" w:eastAsia="Palatino Linotype" w:hAnsi="Palatino Linotype" w:cs="Palatino Linotype"/>
          <w:i/>
          <w:sz w:val="22"/>
          <w:szCs w:val="22"/>
        </w:rPr>
        <w:t>informacion</w:t>
      </w:r>
      <w:proofErr w:type="spellEnd"/>
      <w:r w:rsidRPr="00165F19">
        <w:rPr>
          <w:rFonts w:ascii="Palatino Linotype" w:eastAsia="Palatino Linotype" w:hAnsi="Palatino Linotype" w:cs="Palatino Linotype"/>
          <w:i/>
          <w:sz w:val="22"/>
          <w:szCs w:val="22"/>
        </w:rPr>
        <w:t xml:space="preserve">, se supone que conforme a norma establece debe de existir un expediente personal con dichos documentos que no son de seguridad nacional, son </w:t>
      </w:r>
      <w:proofErr w:type="spellStart"/>
      <w:r w:rsidRPr="00165F19">
        <w:rPr>
          <w:rFonts w:ascii="Palatino Linotype" w:eastAsia="Palatino Linotype" w:hAnsi="Palatino Linotype" w:cs="Palatino Linotype"/>
          <w:i/>
          <w:sz w:val="22"/>
          <w:szCs w:val="22"/>
        </w:rPr>
        <w:t>documentso</w:t>
      </w:r>
      <w:proofErr w:type="spellEnd"/>
      <w:r w:rsidRPr="00165F19">
        <w:rPr>
          <w:rFonts w:ascii="Palatino Linotype" w:eastAsia="Palatino Linotype" w:hAnsi="Palatino Linotype" w:cs="Palatino Linotype"/>
          <w:i/>
          <w:sz w:val="22"/>
          <w:szCs w:val="22"/>
        </w:rPr>
        <w:t xml:space="preserve"> que se solicitan al ingresar a </w:t>
      </w:r>
      <w:proofErr w:type="spellStart"/>
      <w:r w:rsidRPr="00165F19">
        <w:rPr>
          <w:rFonts w:ascii="Palatino Linotype" w:eastAsia="Palatino Linotype" w:hAnsi="Palatino Linotype" w:cs="Palatino Linotype"/>
          <w:i/>
          <w:sz w:val="22"/>
          <w:szCs w:val="22"/>
        </w:rPr>
        <w:t>gobiersno</w:t>
      </w:r>
      <w:proofErr w:type="spellEnd"/>
      <w:r w:rsidRPr="00165F19">
        <w:rPr>
          <w:rFonts w:ascii="Palatino Linotype" w:eastAsia="Palatino Linotype" w:hAnsi="Palatino Linotype" w:cs="Palatino Linotype"/>
          <w:i/>
          <w:sz w:val="22"/>
          <w:szCs w:val="22"/>
        </w:rPr>
        <w:t xml:space="preserve"> o no </w:t>
      </w:r>
      <w:proofErr w:type="spellStart"/>
      <w:r w:rsidRPr="00165F19">
        <w:rPr>
          <w:rFonts w:ascii="Palatino Linotype" w:eastAsia="Palatino Linotype" w:hAnsi="Palatino Linotype" w:cs="Palatino Linotype"/>
          <w:i/>
          <w:sz w:val="22"/>
          <w:szCs w:val="22"/>
        </w:rPr>
        <w:t>estan</w:t>
      </w:r>
      <w:proofErr w:type="spellEnd"/>
      <w:r w:rsidRPr="00165F19">
        <w:rPr>
          <w:rFonts w:ascii="Palatino Linotype" w:eastAsia="Palatino Linotype" w:hAnsi="Palatino Linotype" w:cs="Palatino Linotype"/>
          <w:i/>
          <w:sz w:val="22"/>
          <w:szCs w:val="22"/>
        </w:rPr>
        <w:t xml:space="preserve"> siguiendo sus normas o que </w:t>
      </w:r>
      <w:proofErr w:type="spellStart"/>
      <w:r w:rsidRPr="00165F19">
        <w:rPr>
          <w:rFonts w:ascii="Palatino Linotype" w:eastAsia="Palatino Linotype" w:hAnsi="Palatino Linotype" w:cs="Palatino Linotype"/>
          <w:i/>
          <w:sz w:val="22"/>
          <w:szCs w:val="22"/>
        </w:rPr>
        <w:t>esta</w:t>
      </w:r>
      <w:proofErr w:type="spellEnd"/>
      <w:r w:rsidRPr="00165F19">
        <w:rPr>
          <w:rFonts w:ascii="Palatino Linotype" w:eastAsia="Palatino Linotype" w:hAnsi="Palatino Linotype" w:cs="Palatino Linotype"/>
          <w:i/>
          <w:sz w:val="22"/>
          <w:szCs w:val="22"/>
        </w:rPr>
        <w:t xml:space="preserve"> pasando que da la casualidad que nadie lo tiene, requiero la </w:t>
      </w:r>
      <w:proofErr w:type="spellStart"/>
      <w:r w:rsidRPr="00165F19">
        <w:rPr>
          <w:rFonts w:ascii="Palatino Linotype" w:eastAsia="Palatino Linotype" w:hAnsi="Palatino Linotype" w:cs="Palatino Linotype"/>
          <w:i/>
          <w:sz w:val="22"/>
          <w:szCs w:val="22"/>
        </w:rPr>
        <w:t>informacion</w:t>
      </w:r>
      <w:proofErr w:type="spellEnd"/>
      <w:r w:rsidRPr="00165F19">
        <w:rPr>
          <w:rFonts w:ascii="Palatino Linotype" w:eastAsia="Palatino Linotype" w:hAnsi="Palatino Linotype" w:cs="Palatino Linotype"/>
          <w:i/>
          <w:sz w:val="22"/>
          <w:szCs w:val="22"/>
        </w:rPr>
        <w:t xml:space="preserve">” (Sic) </w:t>
      </w:r>
    </w:p>
    <w:p w14:paraId="5B74644E" w14:textId="77777777" w:rsidR="00BA1757" w:rsidRPr="00165F19" w:rsidRDefault="00BA1757">
      <w:pPr>
        <w:spacing w:line="360" w:lineRule="auto"/>
        <w:ind w:left="851" w:right="902"/>
        <w:jc w:val="both"/>
        <w:rPr>
          <w:rFonts w:ascii="Palatino Linotype" w:eastAsia="Palatino Linotype" w:hAnsi="Palatino Linotype" w:cs="Palatino Linotype"/>
          <w:i/>
          <w:sz w:val="22"/>
          <w:szCs w:val="22"/>
        </w:rPr>
      </w:pPr>
    </w:p>
    <w:p w14:paraId="1B38ED17" w14:textId="77777777" w:rsidR="00BA1757" w:rsidRPr="00165F19" w:rsidRDefault="00A323F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Y Razones o motivos de inconformidad</w:t>
      </w:r>
      <w:r w:rsidRPr="00165F19">
        <w:rPr>
          <w:rFonts w:ascii="Palatino Linotype" w:eastAsia="Palatino Linotype" w:hAnsi="Palatino Linotype" w:cs="Palatino Linotype"/>
          <w:sz w:val="22"/>
          <w:szCs w:val="22"/>
        </w:rPr>
        <w:t>:</w:t>
      </w:r>
    </w:p>
    <w:p w14:paraId="71EC3C48" w14:textId="77777777" w:rsidR="00BA1757" w:rsidRPr="00165F19" w:rsidRDefault="00A323F2">
      <w:pPr>
        <w:pBdr>
          <w:top w:val="nil"/>
          <w:left w:val="nil"/>
          <w:bottom w:val="nil"/>
          <w:right w:val="nil"/>
          <w:between w:val="nil"/>
        </w:pBdr>
        <w:spacing w:line="360" w:lineRule="auto"/>
        <w:ind w:left="720"/>
        <w:jc w:val="both"/>
        <w:rPr>
          <w:rFonts w:ascii="Palatino Linotype" w:eastAsia="Palatino Linotype" w:hAnsi="Palatino Linotype" w:cs="Palatino Linotype"/>
          <w:i/>
          <w:sz w:val="22"/>
          <w:szCs w:val="22"/>
        </w:rPr>
      </w:pPr>
      <w:bookmarkStart w:id="1" w:name="_heading=h.30j0zll" w:colFirst="0" w:colLast="0"/>
      <w:bookmarkEnd w:id="1"/>
      <w:r w:rsidRPr="00165F19">
        <w:rPr>
          <w:rFonts w:ascii="Palatino Linotype" w:eastAsia="Palatino Linotype" w:hAnsi="Palatino Linotype" w:cs="Palatino Linotype"/>
          <w:i/>
          <w:sz w:val="22"/>
          <w:szCs w:val="22"/>
        </w:rPr>
        <w:t xml:space="preserve">“se niegan a proporcionarme la </w:t>
      </w:r>
      <w:proofErr w:type="spellStart"/>
      <w:r w:rsidRPr="00165F19">
        <w:rPr>
          <w:rFonts w:ascii="Palatino Linotype" w:eastAsia="Palatino Linotype" w:hAnsi="Palatino Linotype" w:cs="Palatino Linotype"/>
          <w:i/>
          <w:sz w:val="22"/>
          <w:szCs w:val="22"/>
        </w:rPr>
        <w:t>informacion</w:t>
      </w:r>
      <w:proofErr w:type="spellEnd"/>
      <w:r w:rsidRPr="00165F19">
        <w:rPr>
          <w:rFonts w:ascii="Palatino Linotype" w:eastAsia="Palatino Linotype" w:hAnsi="Palatino Linotype" w:cs="Palatino Linotype"/>
          <w:i/>
          <w:sz w:val="22"/>
          <w:szCs w:val="22"/>
        </w:rPr>
        <w:t xml:space="preserve"> que es esencial para ingreso a trabajar requiero se me proporcione la </w:t>
      </w:r>
      <w:proofErr w:type="spellStart"/>
      <w:r w:rsidRPr="00165F19">
        <w:rPr>
          <w:rFonts w:ascii="Palatino Linotype" w:eastAsia="Palatino Linotype" w:hAnsi="Palatino Linotype" w:cs="Palatino Linotype"/>
          <w:i/>
          <w:sz w:val="22"/>
          <w:szCs w:val="22"/>
        </w:rPr>
        <w:t>informacion</w:t>
      </w:r>
      <w:proofErr w:type="spellEnd"/>
      <w:r w:rsidRPr="00165F19">
        <w:rPr>
          <w:rFonts w:ascii="Palatino Linotype" w:eastAsia="Palatino Linotype" w:hAnsi="Palatino Linotype" w:cs="Palatino Linotype"/>
          <w:i/>
          <w:sz w:val="22"/>
          <w:szCs w:val="22"/>
        </w:rPr>
        <w:t xml:space="preserve"> solicitada sin restricciones” (Sic)</w:t>
      </w:r>
    </w:p>
    <w:p w14:paraId="0ED18773" w14:textId="77777777" w:rsidR="00BA1757" w:rsidRPr="00165F19" w:rsidRDefault="00BA1757">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14:paraId="174612D5"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4. Turno. </w:t>
      </w:r>
      <w:r w:rsidRPr="00165F1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65F19">
        <w:rPr>
          <w:rFonts w:ascii="Palatino Linotype" w:eastAsia="Palatino Linotype" w:hAnsi="Palatino Linotype" w:cs="Palatino Linotype"/>
          <w:b/>
          <w:sz w:val="22"/>
          <w:szCs w:val="22"/>
        </w:rPr>
        <w:t xml:space="preserve">Guadalupe Ramírez Peña, </w:t>
      </w:r>
      <w:r w:rsidRPr="00165F19">
        <w:rPr>
          <w:rFonts w:ascii="Palatino Linotype" w:eastAsia="Palatino Linotype" w:hAnsi="Palatino Linotype" w:cs="Palatino Linotype"/>
          <w:sz w:val="22"/>
          <w:szCs w:val="22"/>
        </w:rPr>
        <w:t xml:space="preserve">a efecto de que analizara sobre su admisión o su </w:t>
      </w:r>
      <w:proofErr w:type="spellStart"/>
      <w:r w:rsidRPr="00165F19">
        <w:rPr>
          <w:rFonts w:ascii="Palatino Linotype" w:eastAsia="Palatino Linotype" w:hAnsi="Palatino Linotype" w:cs="Palatino Linotype"/>
          <w:sz w:val="22"/>
          <w:szCs w:val="22"/>
        </w:rPr>
        <w:t>desechamiento</w:t>
      </w:r>
      <w:proofErr w:type="spellEnd"/>
      <w:r w:rsidRPr="00165F19">
        <w:rPr>
          <w:rFonts w:ascii="Palatino Linotype" w:eastAsia="Palatino Linotype" w:hAnsi="Palatino Linotype" w:cs="Palatino Linotype"/>
          <w:sz w:val="22"/>
          <w:szCs w:val="22"/>
        </w:rPr>
        <w:t>.</w:t>
      </w:r>
    </w:p>
    <w:p w14:paraId="764D36DD"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0B3EB30D" w14:textId="77777777" w:rsidR="00BA1757" w:rsidRPr="00165F19" w:rsidRDefault="00A323F2">
      <w:pPr>
        <w:spacing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5. Admisión del Recurso de revisión.</w:t>
      </w:r>
      <w:r w:rsidRPr="00165F19">
        <w:rPr>
          <w:rFonts w:ascii="Palatino Linotype" w:eastAsia="Palatino Linotype" w:hAnsi="Palatino Linotype" w:cs="Palatino Linotype"/>
          <w:sz w:val="22"/>
          <w:szCs w:val="22"/>
        </w:rPr>
        <w:t xml:space="preserve"> Con fecha</w:t>
      </w:r>
      <w:r w:rsidRPr="00165F19">
        <w:rPr>
          <w:rFonts w:ascii="Palatino Linotype" w:eastAsia="Palatino Linotype" w:hAnsi="Palatino Linotype" w:cs="Palatino Linotype"/>
          <w:b/>
          <w:sz w:val="22"/>
          <w:szCs w:val="22"/>
        </w:rPr>
        <w:t xml:space="preserve"> veinticuatro de marzo de dos mil veinticinco, </w:t>
      </w:r>
      <w:r w:rsidRPr="00165F19">
        <w:rPr>
          <w:rFonts w:ascii="Palatino Linotype" w:eastAsia="Palatino Linotype" w:hAnsi="Palatino Linotype" w:cs="Palatino Linotype"/>
          <w:sz w:val="22"/>
          <w:szCs w:val="22"/>
        </w:rPr>
        <w:t xml:space="preserve">este Instituto de Transparencia, Acceso a la Información Pública y Protección de </w:t>
      </w:r>
      <w:r w:rsidRPr="00165F19">
        <w:rPr>
          <w:rFonts w:ascii="Palatino Linotype" w:eastAsia="Palatino Linotype" w:hAnsi="Palatino Linotype" w:cs="Palatino Linotype"/>
          <w:sz w:val="22"/>
          <w:szCs w:val="22"/>
        </w:rPr>
        <w:lastRenderedPageBreak/>
        <w:t xml:space="preserve">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65F19">
        <w:rPr>
          <w:rFonts w:ascii="Palatino Linotype" w:eastAsia="Palatino Linotype" w:hAnsi="Palatino Linotype" w:cs="Palatino Linotype"/>
          <w:b/>
          <w:sz w:val="22"/>
          <w:szCs w:val="22"/>
        </w:rPr>
        <w:t xml:space="preserve">SUJETO OBLIGADO </w:t>
      </w:r>
      <w:r w:rsidRPr="00165F19">
        <w:rPr>
          <w:rFonts w:ascii="Palatino Linotype" w:eastAsia="Palatino Linotype" w:hAnsi="Palatino Linotype" w:cs="Palatino Linotype"/>
          <w:sz w:val="22"/>
          <w:szCs w:val="22"/>
        </w:rPr>
        <w:t>presentara su informe justificado.</w:t>
      </w:r>
    </w:p>
    <w:p w14:paraId="7F67A973" w14:textId="77777777" w:rsidR="00BA1757" w:rsidRPr="00165F19" w:rsidRDefault="00A323F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165F19">
        <w:rPr>
          <w:rFonts w:ascii="Palatino Linotype" w:eastAsia="Palatino Linotype" w:hAnsi="Palatino Linotype" w:cs="Palatino Linotype"/>
          <w:b/>
          <w:sz w:val="22"/>
          <w:szCs w:val="22"/>
        </w:rPr>
        <w:t>6. Manifestaciones</w:t>
      </w:r>
      <w:r w:rsidRPr="00165F1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165F19">
        <w:rPr>
          <w:rFonts w:ascii="Palatino Linotype" w:eastAsia="Palatino Linotype" w:hAnsi="Palatino Linotype" w:cs="Palatino Linotype"/>
          <w:b/>
          <w:sz w:val="22"/>
          <w:szCs w:val="22"/>
        </w:rPr>
        <w:t>dos de abril de dos mil veinticinco</w:t>
      </w:r>
      <w:r w:rsidRPr="00165F19">
        <w:rPr>
          <w:rFonts w:ascii="Palatino Linotype" w:eastAsia="Palatino Linotype" w:hAnsi="Palatino Linotype" w:cs="Palatino Linotype"/>
          <w:sz w:val="22"/>
          <w:szCs w:val="22"/>
        </w:rPr>
        <w:t xml:space="preserve">, cuyo contenido se puso a disposición del Recurrente el </w:t>
      </w:r>
      <w:r w:rsidRPr="00165F19">
        <w:rPr>
          <w:rFonts w:ascii="Palatino Linotype" w:eastAsia="Palatino Linotype" w:hAnsi="Palatino Linotype" w:cs="Palatino Linotype"/>
          <w:b/>
          <w:sz w:val="22"/>
          <w:szCs w:val="22"/>
        </w:rPr>
        <w:t>cinco de junio de dos mil veinticinco</w:t>
      </w:r>
      <w:r w:rsidRPr="00165F19">
        <w:rPr>
          <w:rFonts w:ascii="Palatino Linotype" w:eastAsia="Palatino Linotype" w:hAnsi="Palatino Linotype" w:cs="Palatino Linotype"/>
          <w:sz w:val="22"/>
          <w:szCs w:val="22"/>
        </w:rPr>
        <w:t>; sin embargo, se describe su contenido medular, siendo el siguiente;</w:t>
      </w:r>
    </w:p>
    <w:p w14:paraId="46DC95AA" w14:textId="77777777" w:rsidR="00BA1757" w:rsidRPr="00165F19" w:rsidRDefault="00A323F2">
      <w:pPr>
        <w:widowControl w:val="0"/>
        <w:numPr>
          <w:ilvl w:val="0"/>
          <w:numId w:val="3"/>
        </w:numPr>
        <w:pBdr>
          <w:top w:val="nil"/>
          <w:left w:val="nil"/>
          <w:bottom w:val="nil"/>
          <w:right w:val="nil"/>
          <w:between w:val="nil"/>
        </w:pBdr>
        <w:tabs>
          <w:tab w:val="left" w:pos="851"/>
        </w:tabs>
        <w:spacing w:before="120" w:line="360" w:lineRule="auto"/>
        <w:ind w:left="426"/>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Respuesta_SPH_RR3244_SI277.pdf: </w:t>
      </w:r>
      <w:r w:rsidRPr="00165F19">
        <w:rPr>
          <w:rFonts w:ascii="Palatino Linotype" w:eastAsia="Palatino Linotype" w:hAnsi="Palatino Linotype" w:cs="Palatino Linotype"/>
          <w:sz w:val="22"/>
          <w:szCs w:val="22"/>
        </w:rPr>
        <w:t>Oficio suscrito por el Director General de Cultura Física y Deporte, mediante el cual refiere que es necesario precisar el nombre completo del Servidor Público del cual requiere información.</w:t>
      </w:r>
    </w:p>
    <w:p w14:paraId="17668263" w14:textId="77777777" w:rsidR="00BA1757" w:rsidRPr="00165F19" w:rsidRDefault="00A323F2">
      <w:pPr>
        <w:widowControl w:val="0"/>
        <w:numPr>
          <w:ilvl w:val="0"/>
          <w:numId w:val="3"/>
        </w:numPr>
        <w:pBdr>
          <w:top w:val="nil"/>
          <w:left w:val="nil"/>
          <w:bottom w:val="nil"/>
          <w:right w:val="nil"/>
          <w:between w:val="nil"/>
        </w:pBdr>
        <w:tabs>
          <w:tab w:val="left" w:pos="851"/>
        </w:tabs>
        <w:spacing w:after="240" w:line="360" w:lineRule="auto"/>
        <w:ind w:left="426"/>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Informe Justificado RR3244 de la SI277.pdf: Documento suscrito por el Titular de la Unidad de Transparencia mediante el cual indica que la </w:t>
      </w:r>
      <w:r w:rsidRPr="00165F19">
        <w:rPr>
          <w:rFonts w:ascii="Palatino Linotype" w:eastAsia="Palatino Linotype" w:hAnsi="Palatino Linotype" w:cs="Palatino Linotype"/>
          <w:sz w:val="22"/>
          <w:szCs w:val="22"/>
        </w:rPr>
        <w:t>Director General de Cultura Física y Deporte proporcionó información que se localiza en el IPOMEX, fracciones VII y VIII respecto al directorio de servidores públicos donde se advierte información de la persona referida en la solicitud. Asimismo, se incluye una imagen del Registro Nacional de Profesiones con información del servidor público referido en la solicitud. Por último, solicita que el recurso de revisión sea sobreseído.</w:t>
      </w:r>
    </w:p>
    <w:p w14:paraId="52A4CB75"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7. Ampliación de plazo. </w:t>
      </w:r>
      <w:r w:rsidRPr="00165F19">
        <w:rPr>
          <w:rFonts w:ascii="Palatino Linotype" w:eastAsia="Palatino Linotype" w:hAnsi="Palatino Linotype" w:cs="Palatino Linotype"/>
          <w:sz w:val="22"/>
          <w:szCs w:val="22"/>
        </w:rPr>
        <w:t xml:space="preserve">El </w:t>
      </w:r>
      <w:r w:rsidRPr="00165F19">
        <w:rPr>
          <w:rFonts w:ascii="Palatino Linotype" w:eastAsia="Palatino Linotype" w:hAnsi="Palatino Linotype" w:cs="Palatino Linotype"/>
          <w:b/>
          <w:sz w:val="22"/>
          <w:szCs w:val="22"/>
        </w:rPr>
        <w:t>tres</w:t>
      </w:r>
      <w:r w:rsidRPr="00165F19">
        <w:rPr>
          <w:rFonts w:ascii="Palatino Linotype" w:eastAsia="Palatino Linotype" w:hAnsi="Palatino Linotype" w:cs="Palatino Linotype"/>
          <w:sz w:val="22"/>
          <w:szCs w:val="22"/>
        </w:rPr>
        <w:t xml:space="preserve"> </w:t>
      </w:r>
      <w:r w:rsidRPr="00165F19">
        <w:rPr>
          <w:rFonts w:ascii="Palatino Linotype" w:eastAsia="Palatino Linotype" w:hAnsi="Palatino Linotype" w:cs="Palatino Linotype"/>
          <w:b/>
          <w:sz w:val="22"/>
          <w:szCs w:val="22"/>
        </w:rPr>
        <w:t>de junio de dos mil veinticinco</w:t>
      </w:r>
      <w:r w:rsidRPr="00165F19">
        <w:rPr>
          <w:rFonts w:ascii="Palatino Linotype" w:eastAsia="Palatino Linotype" w:hAnsi="Palatino Linotype" w:cs="Palatino Linotype"/>
          <w:sz w:val="22"/>
          <w:szCs w:val="22"/>
        </w:rPr>
        <w:t xml:space="preserve">, se notificó el acuerdo mediante el cual se amplió el plazo para emitir resolución por un periodo de quince días hábiles. </w:t>
      </w:r>
    </w:p>
    <w:p w14:paraId="171E29E3"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Este organismo garante no pasa por alto justificar, que el plazo para emitir la resolución en el presente asunto encuentra justificación en el alto número de recursos de revisión recibidos </w:t>
      </w:r>
      <w:r w:rsidRPr="00165F19">
        <w:rPr>
          <w:rFonts w:ascii="Palatino Linotype" w:eastAsia="Palatino Linotype" w:hAnsi="Palatino Linotype" w:cs="Palatino Linotype"/>
          <w:sz w:val="22"/>
          <w:szCs w:val="22"/>
        </w:rPr>
        <w:lastRenderedPageBreak/>
        <w:t>circunstancia atípica que ha rebasado las capacidades técnicas y humanas del personal encargado de la proyección de las resoluciones a dichos medios de impugnación.</w:t>
      </w:r>
    </w:p>
    <w:p w14:paraId="7B39AFE5"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F1DDA80"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545982"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FAB78E"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2608892"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a)    Complejidad del asunto:</w:t>
      </w:r>
      <w:r w:rsidRPr="00165F19">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C64158B"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b)   Actividad Procesal del interesado</w:t>
      </w:r>
      <w:r w:rsidRPr="00165F19">
        <w:rPr>
          <w:rFonts w:ascii="Palatino Linotype" w:eastAsia="Palatino Linotype" w:hAnsi="Palatino Linotype" w:cs="Palatino Linotype"/>
          <w:sz w:val="22"/>
          <w:szCs w:val="22"/>
        </w:rPr>
        <w:t>: Acciones u omisiones del interesado.</w:t>
      </w:r>
    </w:p>
    <w:p w14:paraId="469B3A6E"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c)  Conducta de la Autoridad:</w:t>
      </w:r>
      <w:r w:rsidRPr="00165F19">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C1D6BFF"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lastRenderedPageBreak/>
        <w:t>d) La afectación generada en la situación jurídica de la persona involucrada en el proceso:</w:t>
      </w:r>
      <w:r w:rsidRPr="00165F19">
        <w:rPr>
          <w:rFonts w:ascii="Palatino Linotype" w:eastAsia="Palatino Linotype" w:hAnsi="Palatino Linotype" w:cs="Palatino Linotype"/>
          <w:sz w:val="22"/>
          <w:szCs w:val="22"/>
        </w:rPr>
        <w:t xml:space="preserve"> Violación a sus derechos humanos.</w:t>
      </w:r>
    </w:p>
    <w:p w14:paraId="1FC4EDE8"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E78FB5"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165F19">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165F19">
        <w:rPr>
          <w:rFonts w:ascii="Palatino Linotype" w:eastAsia="Palatino Linotype" w:hAnsi="Palatino Linotype" w:cs="Palatino Linotype"/>
          <w:sz w:val="22"/>
          <w:szCs w:val="22"/>
        </w:rPr>
        <w:t>, visible en la Gaceta del Seminario Judicial de la Federación con el registro digital 205635.</w:t>
      </w:r>
    </w:p>
    <w:p w14:paraId="2E80F5F6"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68A4BA"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5D843C8D"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165F19">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13C3EA" w14:textId="77777777" w:rsidR="00BA1757" w:rsidRPr="00165F19" w:rsidRDefault="00A323F2">
      <w:pPr>
        <w:spacing w:line="360" w:lineRule="auto"/>
        <w:ind w:left="560" w:right="56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165F19">
        <w:rPr>
          <w:rFonts w:ascii="Palatino Linotype" w:eastAsia="Palatino Linotype" w:hAnsi="Palatino Linotype" w:cs="Palatino Linotype"/>
          <w:sz w:val="22"/>
          <w:szCs w:val="22"/>
        </w:rPr>
        <w:t xml:space="preserve"> visible en el Seminario Judicial de la Federación y su gaceta, con el registro digital 2002350.</w:t>
      </w:r>
    </w:p>
    <w:p w14:paraId="524FC7EA" w14:textId="77777777" w:rsidR="00BA1757" w:rsidRPr="00165F19" w:rsidRDefault="00A323F2">
      <w:pPr>
        <w:spacing w:before="240" w:after="240" w:line="360" w:lineRule="auto"/>
        <w:ind w:right="4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9B54907"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8. Cierre de instrucción. </w:t>
      </w:r>
      <w:r w:rsidRPr="00165F19">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Pr="00165F19">
        <w:rPr>
          <w:rFonts w:ascii="Palatino Linotype" w:eastAsia="Palatino Linotype" w:hAnsi="Palatino Linotype" w:cs="Palatino Linotype"/>
          <w:b/>
          <w:sz w:val="22"/>
          <w:szCs w:val="22"/>
        </w:rPr>
        <w:t xml:space="preserve"> once de junio de dos mil veinticinco, </w:t>
      </w:r>
      <w:r w:rsidRPr="00165F19">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1ABF7666"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E2DED43" w14:textId="77777777" w:rsidR="00BA1757" w:rsidRPr="00165F19" w:rsidRDefault="00A323F2">
      <w:pPr>
        <w:widowControl w:val="0"/>
        <w:spacing w:line="360" w:lineRule="auto"/>
        <w:jc w:val="center"/>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II. C O N S I D E R A N D O S</w:t>
      </w:r>
    </w:p>
    <w:p w14:paraId="02F404C0"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lastRenderedPageBreak/>
        <w:t>Primero. Competencia.</w:t>
      </w:r>
      <w:r w:rsidRPr="00165F1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666F252"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165F19">
        <w:rPr>
          <w:rFonts w:ascii="Palatino Linotype" w:eastAsia="Palatino Linotype" w:hAnsi="Palatino Linotype" w:cs="Palatino Linotype"/>
          <w:b/>
          <w:sz w:val="22"/>
          <w:szCs w:val="22"/>
        </w:rPr>
        <w:t xml:space="preserve">Segundo. Oportunidad y Procedibilidad del Recurso de Revisión. </w:t>
      </w:r>
      <w:r w:rsidRPr="00165F1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66B12F4"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4C2D8FC" w14:textId="77777777" w:rsidR="00BA1757" w:rsidRPr="00165F19" w:rsidRDefault="00A323F2">
      <w:pPr>
        <w:ind w:left="851" w:right="90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 xml:space="preserve">“Artículo 178. </w:t>
      </w:r>
      <w:r w:rsidRPr="00165F1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0AF3D1" w14:textId="77777777" w:rsidR="00BA1757" w:rsidRPr="00165F19" w:rsidRDefault="00A323F2">
      <w:pPr>
        <w:spacing w:before="240" w:after="240"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remitió la </w:t>
      </w:r>
      <w:r w:rsidRPr="00165F19">
        <w:rPr>
          <w:rFonts w:ascii="Palatino Linotype" w:eastAsia="Palatino Linotype" w:hAnsi="Palatino Linotype" w:cs="Palatino Linotype"/>
          <w:sz w:val="22"/>
          <w:szCs w:val="22"/>
        </w:rPr>
        <w:lastRenderedPageBreak/>
        <w:t xml:space="preserve">respuesta a la solicitud de información el </w:t>
      </w:r>
      <w:r w:rsidRPr="00165F19">
        <w:rPr>
          <w:rFonts w:ascii="Palatino Linotype" w:eastAsia="Palatino Linotype" w:hAnsi="Palatino Linotype" w:cs="Palatino Linotype"/>
          <w:b/>
          <w:sz w:val="22"/>
          <w:szCs w:val="22"/>
        </w:rPr>
        <w:t>diecinueve</w:t>
      </w:r>
      <w:r w:rsidRPr="00165F19">
        <w:rPr>
          <w:rFonts w:ascii="Palatino Linotype" w:eastAsia="Palatino Linotype" w:hAnsi="Palatino Linotype" w:cs="Palatino Linotype"/>
          <w:sz w:val="22"/>
          <w:szCs w:val="22"/>
        </w:rPr>
        <w:t xml:space="preserve"> </w:t>
      </w:r>
      <w:r w:rsidRPr="00165F19">
        <w:rPr>
          <w:rFonts w:ascii="Palatino Linotype" w:eastAsia="Palatino Linotype" w:hAnsi="Palatino Linotype" w:cs="Palatino Linotype"/>
          <w:b/>
          <w:sz w:val="22"/>
          <w:szCs w:val="22"/>
        </w:rPr>
        <w:t xml:space="preserve">de marzo de dos mil veinticinco, </w:t>
      </w:r>
      <w:r w:rsidRPr="00165F19">
        <w:rPr>
          <w:rFonts w:ascii="Palatino Linotype" w:eastAsia="Palatino Linotype" w:hAnsi="Palatino Linotype" w:cs="Palatino Linotype"/>
          <w:sz w:val="22"/>
          <w:szCs w:val="22"/>
        </w:rPr>
        <w:t xml:space="preserve">mientras que el recurso de revisión interpuesto por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xml:space="preserve">, se tuvo por presentado el día </w:t>
      </w:r>
      <w:r w:rsidRPr="00165F19">
        <w:rPr>
          <w:rFonts w:ascii="Palatino Linotype" w:eastAsia="Palatino Linotype" w:hAnsi="Palatino Linotype" w:cs="Palatino Linotype"/>
          <w:b/>
          <w:sz w:val="22"/>
          <w:szCs w:val="22"/>
        </w:rPr>
        <w:t>diecinueve de marzo del año dos mil veinticinco</w:t>
      </w:r>
      <w:r w:rsidRPr="00165F19">
        <w:rPr>
          <w:rFonts w:ascii="Palatino Linotype" w:eastAsia="Palatino Linotype" w:hAnsi="Palatino Linotype" w:cs="Palatino Linotype"/>
          <w:sz w:val="22"/>
          <w:szCs w:val="22"/>
        </w:rPr>
        <w:t>; esto es, el mismo día que se tuvo conocimiento de la respuesta.</w:t>
      </w:r>
    </w:p>
    <w:p w14:paraId="59388293" w14:textId="77777777" w:rsidR="00BA1757" w:rsidRPr="00165F19" w:rsidRDefault="00A323F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7F61F96" w14:textId="77777777" w:rsidR="00BA1757" w:rsidRPr="00165F19" w:rsidRDefault="00A323F2">
      <w:pPr>
        <w:pBdr>
          <w:top w:val="nil"/>
          <w:left w:val="nil"/>
          <w:bottom w:val="nil"/>
          <w:right w:val="nil"/>
          <w:between w:val="nil"/>
        </w:pBdr>
        <w:spacing w:before="120" w:after="120"/>
        <w:ind w:left="860"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 xml:space="preserve">“RECURSO DE RECLAMACIÓN. SU INTERPOSICIÓN NO ES EXTEMPORÁNEA SI SE REALIZA ANTES DE QUE INICIE EL PLAZO PARA </w:t>
      </w:r>
      <w:proofErr w:type="spellStart"/>
      <w:proofErr w:type="gramStart"/>
      <w:r w:rsidRPr="00165F19">
        <w:rPr>
          <w:rFonts w:ascii="Palatino Linotype" w:eastAsia="Palatino Linotype" w:hAnsi="Palatino Linotype" w:cs="Palatino Linotype"/>
          <w:b/>
          <w:i/>
          <w:sz w:val="22"/>
          <w:szCs w:val="22"/>
        </w:rPr>
        <w:t>HACERLO</w:t>
      </w:r>
      <w:r w:rsidRPr="00165F19">
        <w:rPr>
          <w:rFonts w:ascii="Palatino Linotype" w:eastAsia="Palatino Linotype" w:hAnsi="Palatino Linotype" w:cs="Palatino Linotype"/>
          <w:i/>
          <w:sz w:val="22"/>
          <w:szCs w:val="22"/>
        </w:rPr>
        <w:t>.“</w:t>
      </w:r>
      <w:proofErr w:type="gramEnd"/>
      <w:r w:rsidRPr="00165F19">
        <w:rPr>
          <w:rFonts w:ascii="Palatino Linotype" w:eastAsia="Palatino Linotype" w:hAnsi="Palatino Linotype" w:cs="Palatino Linotype"/>
          <w:i/>
          <w:sz w:val="22"/>
          <w:szCs w:val="22"/>
        </w:rPr>
        <w:t>Conforme</w:t>
      </w:r>
      <w:proofErr w:type="spellEnd"/>
      <w:r w:rsidRPr="00165F19">
        <w:rPr>
          <w:rFonts w:ascii="Palatino Linotype" w:eastAsia="Palatino Linotype" w:hAnsi="Palatino Linotype" w:cs="Palatino Linotype"/>
          <w:i/>
          <w:sz w:val="22"/>
          <w:szCs w:val="22"/>
        </w:rPr>
        <w:t xml:space="preserv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826A3B1"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2D62B437" w14:textId="77777777" w:rsidR="00BA1757" w:rsidRPr="00165F19" w:rsidRDefault="00A323F2">
      <w:pPr>
        <w:ind w:left="851" w:right="104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w:t>
      </w:r>
      <w:r w:rsidRPr="00165F19">
        <w:rPr>
          <w:rFonts w:ascii="Palatino Linotype" w:eastAsia="Palatino Linotype" w:hAnsi="Palatino Linotype" w:cs="Palatino Linotype"/>
          <w:b/>
          <w:i/>
          <w:sz w:val="22"/>
          <w:szCs w:val="22"/>
        </w:rPr>
        <w:t xml:space="preserve">Artículo 179. </w:t>
      </w:r>
      <w:r w:rsidRPr="00165F1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EA85F92" w14:textId="77777777" w:rsidR="00BA1757" w:rsidRPr="00165F19" w:rsidRDefault="00A323F2">
      <w:pPr>
        <w:ind w:left="851" w:right="104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 La negativa de la información;  </w:t>
      </w:r>
    </w:p>
    <w:p w14:paraId="5C6749B7" w14:textId="77777777" w:rsidR="00BA1757" w:rsidRPr="00165F19" w:rsidRDefault="00A323F2">
      <w:pPr>
        <w:ind w:left="851" w:right="104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(Sic)</w:t>
      </w:r>
    </w:p>
    <w:p w14:paraId="0183DDFB" w14:textId="77777777" w:rsidR="00BA1757" w:rsidRPr="00165F19" w:rsidRDefault="00A323F2">
      <w:pPr>
        <w:spacing w:before="280" w:after="28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Tercero. Materia de Revisión</w:t>
      </w:r>
      <w:r w:rsidRPr="00165F19">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165F19">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165F19">
        <w:rPr>
          <w:rFonts w:ascii="Palatino Linotype" w:eastAsia="Palatino Linotype" w:hAnsi="Palatino Linotype" w:cs="Palatino Linotype"/>
          <w:sz w:val="22"/>
          <w:szCs w:val="22"/>
        </w:rPr>
        <w:t xml:space="preserve">del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o en su defecto, en caso de ser procedente, ordenar la entrega de información.</w:t>
      </w:r>
    </w:p>
    <w:p w14:paraId="3AE79A42"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Cuarto. Estudio de fondo del asunto. </w:t>
      </w:r>
      <w:r w:rsidRPr="00165F19">
        <w:rPr>
          <w:rFonts w:ascii="Palatino Linotype" w:eastAsia="Palatino Linotype" w:hAnsi="Palatino Linotype" w:cs="Palatino Linotype"/>
          <w:sz w:val="22"/>
          <w:szCs w:val="22"/>
        </w:rPr>
        <w:t xml:space="preserve">Es conveniente analizar si la respuesta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215B908" w14:textId="77777777" w:rsidR="00BA1757" w:rsidRPr="00165F19" w:rsidRDefault="00A323F2">
      <w:pPr>
        <w:spacing w:before="240"/>
        <w:ind w:left="709" w:right="76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Artículo 4</w:t>
      </w:r>
      <w:r w:rsidRPr="00165F1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685227" w14:textId="77777777" w:rsidR="00BA1757" w:rsidRPr="00165F19" w:rsidRDefault="00A323F2">
      <w:pPr>
        <w:ind w:left="709" w:right="76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65F19">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165F19">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1B2491BD" w14:textId="77777777" w:rsidR="00BA1757" w:rsidRPr="00165F19" w:rsidRDefault="00A323F2">
      <w:pPr>
        <w:ind w:left="709" w:right="76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65F19">
        <w:rPr>
          <w:rFonts w:ascii="Palatino Linotype" w:eastAsia="Palatino Linotype" w:hAnsi="Palatino Linotype" w:cs="Palatino Linotype"/>
          <w:i/>
          <w:sz w:val="22"/>
          <w:szCs w:val="22"/>
        </w:rPr>
        <w:t>.”</w:t>
      </w:r>
    </w:p>
    <w:p w14:paraId="64F7C4F8"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104C389C"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247C55"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2DC2A38B" w14:textId="77777777" w:rsidR="00BA1757" w:rsidRPr="00165F19" w:rsidRDefault="00A323F2">
      <w:pPr>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“Artículo 12.-</w:t>
      </w:r>
      <w:r w:rsidRPr="00165F1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08DD18" w14:textId="77777777" w:rsidR="00BA1757" w:rsidRPr="00165F19" w:rsidRDefault="00BA1757">
      <w:pPr>
        <w:ind w:left="567" w:right="758"/>
        <w:jc w:val="both"/>
        <w:rPr>
          <w:rFonts w:ascii="Palatino Linotype" w:eastAsia="Palatino Linotype" w:hAnsi="Palatino Linotype" w:cs="Palatino Linotype"/>
          <w:i/>
          <w:sz w:val="22"/>
          <w:szCs w:val="22"/>
        </w:rPr>
      </w:pPr>
    </w:p>
    <w:p w14:paraId="3216B424" w14:textId="77777777" w:rsidR="00BA1757" w:rsidRPr="00165F19" w:rsidRDefault="00A323F2">
      <w:pPr>
        <w:ind w:left="567" w:right="758"/>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C099B6D" w14:textId="77777777" w:rsidR="00BA1757" w:rsidRPr="00165F19" w:rsidRDefault="00BA1757">
      <w:pPr>
        <w:spacing w:line="360" w:lineRule="auto"/>
        <w:ind w:left="567" w:right="758"/>
        <w:jc w:val="both"/>
        <w:rPr>
          <w:rFonts w:ascii="Palatino Linotype" w:eastAsia="Palatino Linotype" w:hAnsi="Palatino Linotype" w:cs="Palatino Linotype"/>
          <w:i/>
          <w:sz w:val="22"/>
          <w:szCs w:val="22"/>
        </w:rPr>
      </w:pPr>
    </w:p>
    <w:p w14:paraId="079C6FFB" w14:textId="77777777" w:rsidR="00BA1757" w:rsidRPr="00165F19" w:rsidRDefault="00A323F2">
      <w:pPr>
        <w:spacing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7809952" w14:textId="77777777" w:rsidR="00BA1757" w:rsidRPr="00165F19" w:rsidRDefault="00BA1757">
      <w:pPr>
        <w:spacing w:line="360" w:lineRule="auto"/>
        <w:ind w:right="-93"/>
        <w:jc w:val="both"/>
        <w:rPr>
          <w:rFonts w:ascii="Palatino Linotype" w:eastAsia="Palatino Linotype" w:hAnsi="Palatino Linotype" w:cs="Palatino Linotype"/>
          <w:sz w:val="22"/>
          <w:szCs w:val="22"/>
        </w:rPr>
      </w:pPr>
    </w:p>
    <w:p w14:paraId="3B86ADEA" w14:textId="77777777" w:rsidR="00BA1757" w:rsidRPr="00165F19" w:rsidRDefault="00A323F2">
      <w:pP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sz w:val="22"/>
          <w:szCs w:val="22"/>
        </w:rPr>
        <w:lastRenderedPageBreak/>
        <w:t>Sirve de apoyo a lo anterior, el criterio 03-17, expuesto por el entonces Instituto Nacional de Transparencia, Acceso a la Información y Protección de Datos Personales, que dice:</w:t>
      </w:r>
      <w:r w:rsidRPr="00165F19">
        <w:rPr>
          <w:rFonts w:ascii="Palatino Linotype" w:eastAsia="Palatino Linotype" w:hAnsi="Palatino Linotype" w:cs="Palatino Linotype"/>
          <w:b/>
          <w:sz w:val="22"/>
          <w:szCs w:val="22"/>
        </w:rPr>
        <w:t xml:space="preserve"> </w:t>
      </w:r>
    </w:p>
    <w:p w14:paraId="38CABCA8" w14:textId="77777777" w:rsidR="00BA1757" w:rsidRPr="00165F19" w:rsidRDefault="00BA1757">
      <w:pPr>
        <w:spacing w:line="360" w:lineRule="auto"/>
        <w:ind w:left="851" w:right="850"/>
        <w:jc w:val="both"/>
        <w:rPr>
          <w:rFonts w:ascii="Palatino Linotype" w:eastAsia="Palatino Linotype" w:hAnsi="Palatino Linotype" w:cs="Palatino Linotype"/>
          <w:sz w:val="22"/>
          <w:szCs w:val="22"/>
        </w:rPr>
      </w:pPr>
    </w:p>
    <w:p w14:paraId="54B439EB" w14:textId="77777777" w:rsidR="00BA1757" w:rsidRPr="00165F19" w:rsidRDefault="00A323F2">
      <w:pPr>
        <w:ind w:left="851" w:right="90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No existe obligación de elaborar documentos ad hoc para atender las solicitudes de acceso a la información.</w:t>
      </w:r>
      <w:r w:rsidRPr="00165F1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1ED1C0" w14:textId="77777777" w:rsidR="00BA1757" w:rsidRPr="00165F19" w:rsidRDefault="00A323F2">
      <w:pPr>
        <w:ind w:left="851" w:right="90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Resoluciones: </w:t>
      </w:r>
    </w:p>
    <w:p w14:paraId="36618360" w14:textId="77777777" w:rsidR="00BA1757" w:rsidRPr="00165F19" w:rsidRDefault="00A323F2">
      <w:pPr>
        <w:ind w:left="851" w:right="90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55F9BE6F" w14:textId="77777777" w:rsidR="00BA1757" w:rsidRPr="00165F19" w:rsidRDefault="00A323F2">
      <w:pPr>
        <w:ind w:left="851" w:right="90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90B89E1" w14:textId="77777777" w:rsidR="00BA1757" w:rsidRPr="00165F19" w:rsidRDefault="00A323F2">
      <w:pPr>
        <w:ind w:left="851" w:right="90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7AB5699B" w14:textId="77777777" w:rsidR="00BA1757" w:rsidRPr="00165F19" w:rsidRDefault="00BA1757">
      <w:pPr>
        <w:spacing w:line="360" w:lineRule="auto"/>
        <w:ind w:right="-93"/>
        <w:jc w:val="both"/>
        <w:rPr>
          <w:rFonts w:ascii="Palatino Linotype" w:eastAsia="Palatino Linotype" w:hAnsi="Palatino Linotype" w:cs="Palatino Linotype"/>
          <w:sz w:val="22"/>
          <w:szCs w:val="22"/>
        </w:rPr>
      </w:pPr>
    </w:p>
    <w:p w14:paraId="1CA15C97"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569DB4D"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790F1FFE" w14:textId="77777777" w:rsidR="00BA1757" w:rsidRPr="00165F19" w:rsidRDefault="00A323F2">
      <w:pP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w:t>
      </w:r>
      <w:r w:rsidRPr="00165F19">
        <w:rPr>
          <w:rFonts w:ascii="Palatino Linotype" w:eastAsia="Palatino Linotype" w:hAnsi="Palatino Linotype" w:cs="Palatino Linotype"/>
          <w:sz w:val="22"/>
          <w:szCs w:val="22"/>
        </w:rPr>
        <w:lastRenderedPageBreak/>
        <w:t>comité de transparencia y la versión pública que emita el servidor público habilitado de cada Sujeto Obligado; como así se establece en la Ley de Transparencia y Acceso a la Información Pública del Estado de México y Municipios.</w:t>
      </w:r>
    </w:p>
    <w:p w14:paraId="544B3966" w14:textId="77777777" w:rsidR="00BA1757" w:rsidRPr="00165F19" w:rsidRDefault="00BA1757">
      <w:pPr>
        <w:spacing w:line="360" w:lineRule="auto"/>
        <w:ind w:right="49"/>
        <w:jc w:val="both"/>
        <w:rPr>
          <w:rFonts w:ascii="Palatino Linotype" w:eastAsia="Palatino Linotype" w:hAnsi="Palatino Linotype" w:cs="Palatino Linotype"/>
          <w:sz w:val="22"/>
          <w:szCs w:val="22"/>
        </w:rPr>
      </w:pPr>
    </w:p>
    <w:p w14:paraId="64E5EE12"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3EB1795" w14:textId="77777777" w:rsidR="00BA1757" w:rsidRPr="00165F19" w:rsidRDefault="00BA1757">
      <w:pPr>
        <w:ind w:left="851" w:right="899"/>
        <w:jc w:val="both"/>
        <w:rPr>
          <w:rFonts w:ascii="Palatino Linotype" w:eastAsia="Palatino Linotype" w:hAnsi="Palatino Linotype" w:cs="Palatino Linotype"/>
          <w:i/>
          <w:sz w:val="22"/>
          <w:szCs w:val="22"/>
        </w:rPr>
      </w:pPr>
    </w:p>
    <w:p w14:paraId="4CF4904F"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 xml:space="preserve">Artículo 3. </w:t>
      </w:r>
      <w:r w:rsidRPr="00165F19">
        <w:rPr>
          <w:rFonts w:ascii="Palatino Linotype" w:eastAsia="Palatino Linotype" w:hAnsi="Palatino Linotype" w:cs="Palatino Linotype"/>
          <w:i/>
          <w:sz w:val="22"/>
          <w:szCs w:val="22"/>
        </w:rPr>
        <w:t>Para los efectos de la presente Ley se entenderá por:</w:t>
      </w:r>
    </w:p>
    <w:p w14:paraId="5D511717"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0AEFB8E2"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XI. Documento:</w:t>
      </w:r>
      <w:r w:rsidRPr="00165F19">
        <w:rPr>
          <w:rFonts w:ascii="Palatino Linotype" w:eastAsia="Palatino Linotype" w:hAnsi="Palatino Linotype" w:cs="Palatino Linotype"/>
          <w:i/>
          <w:sz w:val="22"/>
          <w:szCs w:val="22"/>
        </w:rPr>
        <w:t xml:space="preserve"> Los expedientes, reportes, estudios, actas</w:t>
      </w:r>
      <w:r w:rsidRPr="00165F19">
        <w:rPr>
          <w:rFonts w:ascii="Palatino Linotype" w:eastAsia="Palatino Linotype" w:hAnsi="Palatino Linotype" w:cs="Palatino Linotype"/>
          <w:b/>
          <w:i/>
          <w:sz w:val="22"/>
          <w:szCs w:val="22"/>
        </w:rPr>
        <w:t>,</w:t>
      </w:r>
      <w:r w:rsidRPr="00165F1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945C51" w14:textId="77777777" w:rsidR="00BA1757" w:rsidRPr="00165F19" w:rsidRDefault="00BA1757">
      <w:pPr>
        <w:spacing w:line="360" w:lineRule="auto"/>
        <w:ind w:left="851" w:right="899"/>
        <w:jc w:val="both"/>
        <w:rPr>
          <w:rFonts w:ascii="Palatino Linotype" w:eastAsia="Palatino Linotype" w:hAnsi="Palatino Linotype" w:cs="Palatino Linotype"/>
          <w:sz w:val="22"/>
          <w:szCs w:val="22"/>
        </w:rPr>
      </w:pPr>
    </w:p>
    <w:p w14:paraId="3BA65B54"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0A7F6D" w14:textId="77777777" w:rsidR="00BA1757" w:rsidRPr="00165F19" w:rsidRDefault="00BA1757">
      <w:pPr>
        <w:spacing w:line="360" w:lineRule="auto"/>
        <w:ind w:left="851" w:right="899"/>
        <w:jc w:val="both"/>
        <w:rPr>
          <w:rFonts w:ascii="Palatino Linotype" w:eastAsia="Palatino Linotype" w:hAnsi="Palatino Linotype" w:cs="Palatino Linotype"/>
          <w:sz w:val="22"/>
          <w:szCs w:val="22"/>
        </w:rPr>
      </w:pPr>
    </w:p>
    <w:p w14:paraId="45C7779A" w14:textId="77777777" w:rsidR="00BA1757" w:rsidRPr="00165F19" w:rsidRDefault="00A323F2">
      <w:pPr>
        <w:ind w:left="851" w:right="899"/>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sz w:val="22"/>
          <w:szCs w:val="22"/>
        </w:rPr>
        <w:lastRenderedPageBreak/>
        <w:t>“</w:t>
      </w:r>
      <w:r w:rsidRPr="00165F19">
        <w:rPr>
          <w:rFonts w:ascii="Palatino Linotype" w:eastAsia="Palatino Linotype" w:hAnsi="Palatino Linotype" w:cs="Palatino Linotype"/>
          <w:b/>
          <w:i/>
          <w:sz w:val="22"/>
          <w:szCs w:val="22"/>
        </w:rPr>
        <w:t>CRITERIO 0002-11</w:t>
      </w:r>
    </w:p>
    <w:p w14:paraId="1044244B"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65F1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310074"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EB263F" w14:textId="77777777" w:rsidR="00BA1757" w:rsidRPr="00165F19" w:rsidRDefault="00A323F2">
      <w:pPr>
        <w:ind w:left="851" w:right="89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B27435D" w14:textId="77777777" w:rsidR="00BA1757" w:rsidRPr="00165F19" w:rsidRDefault="00A323F2">
      <w:pPr>
        <w:ind w:left="851" w:right="899"/>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C4FFFA9" w14:textId="77777777" w:rsidR="00BA1757" w:rsidRPr="00165F19" w:rsidRDefault="00A323F2">
      <w:pPr>
        <w:ind w:left="851" w:right="899"/>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440FA4B3"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272E4A9C" w14:textId="77777777" w:rsidR="00BA1757" w:rsidRPr="00165F19" w:rsidRDefault="00A323F2">
      <w:pPr>
        <w:spacing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Ahora bien, del análisis de la solicitud de información motivo del recurso de revisión que ahora se resuelve, es necesario referir que el Recurrente solicitó, de un servidor público, la siguiente información:</w:t>
      </w:r>
    </w:p>
    <w:p w14:paraId="35F10582"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Titulo o certificado de estudios;</w:t>
      </w:r>
    </w:p>
    <w:p w14:paraId="7A6D26F6"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proofErr w:type="spellStart"/>
      <w:r w:rsidRPr="00165F19">
        <w:rPr>
          <w:rFonts w:ascii="Palatino Linotype" w:eastAsia="Palatino Linotype" w:hAnsi="Palatino Linotype" w:cs="Palatino Linotype"/>
          <w:sz w:val="22"/>
          <w:szCs w:val="22"/>
        </w:rPr>
        <w:t>Curriculum</w:t>
      </w:r>
      <w:proofErr w:type="spellEnd"/>
      <w:r w:rsidRPr="00165F19">
        <w:rPr>
          <w:rFonts w:ascii="Palatino Linotype" w:eastAsia="Palatino Linotype" w:hAnsi="Palatino Linotype" w:cs="Palatino Linotype"/>
          <w:sz w:val="22"/>
          <w:szCs w:val="22"/>
        </w:rPr>
        <w:t xml:space="preserve">, </w:t>
      </w:r>
    </w:p>
    <w:p w14:paraId="487CAA4C"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Manifiesto de bien, </w:t>
      </w:r>
    </w:p>
    <w:p w14:paraId="719DF40E"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Listas de asistencia, </w:t>
      </w:r>
    </w:p>
    <w:p w14:paraId="53A8C41B"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Incapacidades desde que entro, </w:t>
      </w:r>
    </w:p>
    <w:p w14:paraId="0C7825F0"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Cuánto gana a la quincena y mes</w:t>
      </w:r>
    </w:p>
    <w:p w14:paraId="785431C4" w14:textId="77777777" w:rsidR="00BA1757" w:rsidRPr="00165F19" w:rsidRDefault="00A323F2">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Examen tuvo que hacer para ser el delegado y estar en deporte </w:t>
      </w:r>
    </w:p>
    <w:p w14:paraId="51061447" w14:textId="77777777" w:rsidR="00BA1757" w:rsidRPr="00165F19" w:rsidRDefault="00BA1757">
      <w:pPr>
        <w:jc w:val="both"/>
        <w:rPr>
          <w:rFonts w:ascii="Palatino Linotype" w:eastAsia="Palatino Linotype" w:hAnsi="Palatino Linotype" w:cs="Palatino Linotype"/>
          <w:i/>
          <w:sz w:val="22"/>
          <w:szCs w:val="22"/>
        </w:rPr>
      </w:pPr>
    </w:p>
    <w:p w14:paraId="7144CD2B"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Derivado de la naturaleza de la información, es necesario traer a contexto el artículo 47, de la Ley del Trabajo de los Servidores Públicos del Estado de México y Municipios, el cual establece, que para ingresar al servicio público se requiere, entre otros, presentar una solicitud </w:t>
      </w:r>
      <w:r w:rsidRPr="00165F19">
        <w:rPr>
          <w:rFonts w:ascii="Palatino Linotype" w:eastAsia="Palatino Linotype" w:hAnsi="Palatino Linotype" w:cs="Palatino Linotype"/>
          <w:sz w:val="22"/>
          <w:szCs w:val="22"/>
        </w:rPr>
        <w:lastRenderedPageBreak/>
        <w:t>utilizando la forma oficial que se autorice por la dependencia correspondiente tal como se observa a continuación: </w:t>
      </w:r>
    </w:p>
    <w:p w14:paraId="777FE19B" w14:textId="77777777" w:rsidR="00BA1757" w:rsidRPr="00165F19" w:rsidRDefault="00BA1757">
      <w:pPr>
        <w:spacing w:line="360" w:lineRule="auto"/>
        <w:rPr>
          <w:rFonts w:ascii="Palatino Linotype" w:eastAsia="Palatino Linotype" w:hAnsi="Palatino Linotype" w:cs="Palatino Linotype"/>
          <w:sz w:val="22"/>
          <w:szCs w:val="22"/>
        </w:rPr>
      </w:pPr>
    </w:p>
    <w:p w14:paraId="7FFEE23A"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47. Para ingresar al servicio público se requiere: </w:t>
      </w:r>
    </w:p>
    <w:p w14:paraId="7039D310"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 Presentar una solicitud utilizando la forma oficial que se autorice por la institución pública o dependencia correspondiente; </w:t>
      </w:r>
    </w:p>
    <w:p w14:paraId="756300B9"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 Ser de nacionalidad mexicana, con la excepción prevista en el artículo 17 de la presente ley; </w:t>
      </w:r>
    </w:p>
    <w:p w14:paraId="721FB968"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III. Estar en pleno ejercicio de sus derechos civiles y políticos, en su caso; </w:t>
      </w:r>
    </w:p>
    <w:p w14:paraId="4618C2E4"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IV. Acreditar, cuando proceda, el cumplimiento de la Ley del Servicio Militar Nacional; </w:t>
      </w:r>
    </w:p>
    <w:p w14:paraId="3EF98543"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 Derogada. </w:t>
      </w:r>
    </w:p>
    <w:p w14:paraId="057A2C6B"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VI. No haber sido separado anteriormente del servicio por las causas previstas en el artículo 93 de la presente ley; </w:t>
      </w:r>
    </w:p>
    <w:p w14:paraId="3B06A684"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VII. Tener buena salud, lo que se comprobará con los certificados médicos correspondientes, en la forma en que se establezca en cada institución pública; </w:t>
      </w:r>
    </w:p>
    <w:p w14:paraId="092EDEC9"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VIII. Cumplir con los requisitos que se establezcan para los diferentes puestos; </w:t>
      </w:r>
    </w:p>
    <w:p w14:paraId="66258DC6"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IX. Acreditar por medio de los exámenes correspondientes los conocimientos y aptitudes necesarios para el desempeño del puesto; y </w:t>
      </w:r>
    </w:p>
    <w:p w14:paraId="49BCCD14"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X. No estar inhabilitado para el ejercicio del servicio público. </w:t>
      </w:r>
    </w:p>
    <w:p w14:paraId="6B146489"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XI. Presentar certificado expedido por la Unidad del Registro de Deudores Alimentarios Morosos en el que conste, si se encuentra inscrito o no en el mismo. </w:t>
      </w:r>
    </w:p>
    <w:p w14:paraId="0861C7AC" w14:textId="77777777" w:rsidR="00BA1757" w:rsidRPr="00165F19" w:rsidRDefault="00BA1757">
      <w:pPr>
        <w:rPr>
          <w:rFonts w:ascii="Palatino Linotype" w:eastAsia="Palatino Linotype" w:hAnsi="Palatino Linotype" w:cs="Palatino Linotype"/>
          <w:sz w:val="22"/>
          <w:szCs w:val="22"/>
        </w:rPr>
      </w:pPr>
    </w:p>
    <w:p w14:paraId="2A35B42E" w14:textId="77777777" w:rsidR="00BA1757" w:rsidRPr="00165F19" w:rsidRDefault="00A323F2">
      <w:pPr>
        <w:pBdr>
          <w:top w:val="nil"/>
          <w:left w:val="nil"/>
          <w:bottom w:val="nil"/>
          <w:right w:val="nil"/>
          <w:between w:val="nil"/>
        </w:pBdr>
        <w:ind w:left="567" w:right="82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94E0001" w14:textId="77777777" w:rsidR="00BA1757" w:rsidRPr="00165F19" w:rsidRDefault="00BA1757">
      <w:pPr>
        <w:spacing w:line="360" w:lineRule="auto"/>
        <w:rPr>
          <w:rFonts w:ascii="Palatino Linotype" w:eastAsia="Palatino Linotype" w:hAnsi="Palatino Linotype" w:cs="Palatino Linotype"/>
          <w:sz w:val="22"/>
          <w:szCs w:val="22"/>
        </w:rPr>
      </w:pPr>
    </w:p>
    <w:p w14:paraId="70632883"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su parte, los artículos 48, 49 y 50,  refieren lo siguiente:</w:t>
      </w:r>
    </w:p>
    <w:p w14:paraId="271616FD" w14:textId="77777777" w:rsidR="00BA1757" w:rsidRPr="00165F19" w:rsidRDefault="00BA1757">
      <w:pPr>
        <w:spacing w:line="360" w:lineRule="auto"/>
        <w:rPr>
          <w:rFonts w:ascii="Palatino Linotype" w:eastAsia="Palatino Linotype" w:hAnsi="Palatino Linotype" w:cs="Palatino Linotype"/>
          <w:sz w:val="22"/>
          <w:szCs w:val="22"/>
        </w:rPr>
      </w:pPr>
    </w:p>
    <w:p w14:paraId="157CA2E2"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48. Para iniciar la prestación de los servicios se requiere: </w:t>
      </w:r>
    </w:p>
    <w:p w14:paraId="698169B4"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 Tener conferido el nombramiento, contrato respectivo o formato único de Movimientos de Personal; </w:t>
      </w:r>
    </w:p>
    <w:p w14:paraId="24C101AC"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 Rendir la protesta de ley en caso de nombramiento; y </w:t>
      </w:r>
    </w:p>
    <w:p w14:paraId="1B69F0D0"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III. Tomar posesión del cargo.</w:t>
      </w:r>
    </w:p>
    <w:p w14:paraId="4A48206C" w14:textId="77777777" w:rsidR="00BA1757" w:rsidRPr="00165F19" w:rsidRDefault="00A323F2">
      <w:pPr>
        <w:pBdr>
          <w:top w:val="nil"/>
          <w:left w:val="nil"/>
          <w:bottom w:val="nil"/>
          <w:right w:val="nil"/>
          <w:between w:val="nil"/>
        </w:pBdr>
        <w:ind w:left="567" w:right="900"/>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lastRenderedPageBreak/>
        <w:t>CAPITULO II</w:t>
      </w:r>
    </w:p>
    <w:p w14:paraId="4C10A64D" w14:textId="77777777" w:rsidR="00BA1757" w:rsidRPr="00165F19" w:rsidRDefault="00A323F2">
      <w:pPr>
        <w:pBdr>
          <w:top w:val="nil"/>
          <w:left w:val="nil"/>
          <w:bottom w:val="nil"/>
          <w:right w:val="nil"/>
          <w:between w:val="nil"/>
        </w:pBdr>
        <w:ind w:left="567" w:right="900"/>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De los Nombramientos</w:t>
      </w:r>
    </w:p>
    <w:p w14:paraId="35C8B45C"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ARTÍCULO 49.- Los nombramientos, contratos o formato único de Movimientos de Personal de los servidores públicos deberán contener:</w:t>
      </w:r>
    </w:p>
    <w:p w14:paraId="6FBC05D6"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 Nombre completo del servidor público; </w:t>
      </w:r>
    </w:p>
    <w:p w14:paraId="1B38C979"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 Cargo para el que es designado, fecha de inicio de sus servicios y lugar de adscripción; </w:t>
      </w:r>
    </w:p>
    <w:p w14:paraId="6C95DBA1"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III. Carácter del nombramiento, ya sea de servidores públicos generales o de confianza, así como la temporalidad del mismo; </w:t>
      </w:r>
    </w:p>
    <w:p w14:paraId="4C17A3ED"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IV. Remuneración correspondiente al puesto; </w:t>
      </w:r>
    </w:p>
    <w:p w14:paraId="41F89F6D"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 Jornada de trabajo; </w:t>
      </w:r>
    </w:p>
    <w:p w14:paraId="7A08FAC0"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VI. Derogada; </w:t>
      </w:r>
    </w:p>
    <w:p w14:paraId="45889601"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VII. Firma del servidor público autorizado para emitir el nombramiento, contrato o formato único de Movimientos de Personal, así como el fundamento legal de esa atribución. </w:t>
      </w:r>
    </w:p>
    <w:p w14:paraId="23EF80C0" w14:textId="77777777" w:rsidR="00BA1757" w:rsidRPr="00165F19" w:rsidRDefault="00BA1757">
      <w:pPr>
        <w:rPr>
          <w:rFonts w:ascii="Palatino Linotype" w:eastAsia="Palatino Linotype" w:hAnsi="Palatino Linotype" w:cs="Palatino Linotype"/>
          <w:sz w:val="22"/>
          <w:szCs w:val="22"/>
        </w:rPr>
      </w:pPr>
    </w:p>
    <w:p w14:paraId="362B1E2B"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 xml:space="preserve">ARTÍCULO 50.- El nombramiento, contrato o </w:t>
      </w:r>
      <w:r w:rsidRPr="00165F19">
        <w:rPr>
          <w:rFonts w:ascii="Palatino Linotype" w:eastAsia="Palatino Linotype" w:hAnsi="Palatino Linotype" w:cs="Palatino Linotype"/>
          <w:b/>
          <w:i/>
          <w:sz w:val="22"/>
          <w:szCs w:val="22"/>
        </w:rPr>
        <w:t>formato único de Movimientos de Personal aceptado obliga al servidor público a cumplir con los deberes inherentes al puesto especificado</w:t>
      </w:r>
      <w:r w:rsidRPr="00165F19">
        <w:rPr>
          <w:rFonts w:ascii="Palatino Linotype" w:eastAsia="Palatino Linotype" w:hAnsi="Palatino Linotype" w:cs="Palatino Linotype"/>
          <w:i/>
          <w:sz w:val="22"/>
          <w:szCs w:val="22"/>
        </w:rPr>
        <w:t xml:space="preserve"> en el mismo y a las consecuencias que sean conforme a la ley, al uso y a la buena fe. </w:t>
      </w:r>
    </w:p>
    <w:p w14:paraId="2F3117FC" w14:textId="77777777" w:rsidR="00BA1757" w:rsidRPr="00165F19" w:rsidRDefault="00BA1757">
      <w:pPr>
        <w:rPr>
          <w:rFonts w:ascii="Palatino Linotype" w:eastAsia="Palatino Linotype" w:hAnsi="Palatino Linotype" w:cs="Palatino Linotype"/>
          <w:sz w:val="22"/>
          <w:szCs w:val="22"/>
        </w:rPr>
      </w:pPr>
    </w:p>
    <w:p w14:paraId="0971F983" w14:textId="77777777" w:rsidR="00BA1757" w:rsidRPr="00165F19" w:rsidRDefault="00A323F2">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w:t>
      </w:r>
    </w:p>
    <w:p w14:paraId="747DDDB2" w14:textId="77777777" w:rsidR="00BA1757" w:rsidRPr="00165F19" w:rsidRDefault="00BA1757">
      <w:pPr>
        <w:spacing w:line="360" w:lineRule="auto"/>
        <w:rPr>
          <w:rFonts w:ascii="Palatino Linotype" w:eastAsia="Palatino Linotype" w:hAnsi="Palatino Linotype" w:cs="Palatino Linotype"/>
          <w:sz w:val="22"/>
          <w:szCs w:val="22"/>
        </w:rPr>
      </w:pPr>
    </w:p>
    <w:p w14:paraId="1BAEDDF7"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 así que, para que un servidor público entre en funciones debe tener un nombramiento, contrato </w:t>
      </w:r>
      <w:r w:rsidRPr="00165F19">
        <w:rPr>
          <w:rFonts w:ascii="Palatino Linotype" w:eastAsia="Palatino Linotype" w:hAnsi="Palatino Linotype" w:cs="Palatino Linotype"/>
          <w:b/>
          <w:sz w:val="22"/>
          <w:szCs w:val="22"/>
        </w:rPr>
        <w:t>o formato único de movimientos de personal</w:t>
      </w:r>
      <w:r w:rsidRPr="00165F19">
        <w:rPr>
          <w:rFonts w:ascii="Palatino Linotype" w:eastAsia="Palatino Linotype" w:hAnsi="Palatino Linotype" w:cs="Palatino Linotype"/>
          <w:sz w:val="22"/>
          <w:szCs w:val="22"/>
        </w:rPr>
        <w:t xml:space="preserve">, el cual debe obrar en el expediente correspondiente. Sobre el expediente del personal de los Sujetos Obligados, es que resulta oportuno traer a contexto el contenido del artículo 98 fracción XVII, de la Ley anteriormente mencionada refiere que son obligaciones de las instituciones públicas, el </w:t>
      </w:r>
      <w:r w:rsidRPr="00165F19">
        <w:rPr>
          <w:rFonts w:ascii="Palatino Linotype" w:eastAsia="Palatino Linotype" w:hAnsi="Palatino Linotype" w:cs="Palatino Linotype"/>
          <w:b/>
          <w:sz w:val="22"/>
          <w:szCs w:val="22"/>
          <w:u w:val="single"/>
        </w:rPr>
        <w:t>integrar los expedientes de los servidores públicos</w:t>
      </w:r>
      <w:r w:rsidRPr="00165F19">
        <w:rPr>
          <w:rFonts w:ascii="Palatino Linotype" w:eastAsia="Palatino Linotype" w:hAnsi="Palatino Linotype" w:cs="Palatino Linotype"/>
          <w:sz w:val="22"/>
          <w:szCs w:val="22"/>
        </w:rPr>
        <w:t xml:space="preserve"> y proporcionar las constancias que éstos soliciten para el trámite de los asuntos de su interés en los términos que señalen los ordenamientos respectivos, se inserta su contenido íntegro:</w:t>
      </w:r>
    </w:p>
    <w:p w14:paraId="1E862094" w14:textId="77777777" w:rsidR="00BA1757" w:rsidRPr="00165F19" w:rsidRDefault="00BA1757">
      <w:pPr>
        <w:spacing w:line="360" w:lineRule="auto"/>
        <w:rPr>
          <w:rFonts w:ascii="Palatino Linotype" w:eastAsia="Palatino Linotype" w:hAnsi="Palatino Linotype" w:cs="Palatino Linotype"/>
          <w:sz w:val="22"/>
          <w:szCs w:val="22"/>
        </w:rPr>
      </w:pPr>
    </w:p>
    <w:p w14:paraId="1A9C8B0F" w14:textId="77777777" w:rsidR="00BA1757" w:rsidRPr="00165F19" w:rsidRDefault="00A323F2">
      <w:pPr>
        <w:pBdr>
          <w:top w:val="nil"/>
          <w:left w:val="nil"/>
          <w:bottom w:val="nil"/>
          <w:right w:val="nil"/>
          <w:between w:val="nil"/>
        </w:pBdr>
        <w:ind w:left="567" w:right="616"/>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lastRenderedPageBreak/>
        <w:t>“TITULO CUARTO</w:t>
      </w:r>
    </w:p>
    <w:p w14:paraId="028F8842" w14:textId="77777777" w:rsidR="00BA1757" w:rsidRPr="00165F19" w:rsidRDefault="00A323F2">
      <w:pPr>
        <w:pBdr>
          <w:top w:val="nil"/>
          <w:left w:val="nil"/>
          <w:bottom w:val="nil"/>
          <w:right w:val="nil"/>
          <w:between w:val="nil"/>
        </w:pBdr>
        <w:ind w:left="567" w:right="616"/>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De las Obligaciones de las Instituciones Públicas</w:t>
      </w:r>
    </w:p>
    <w:p w14:paraId="576AFC3B" w14:textId="77777777" w:rsidR="00BA1757" w:rsidRPr="00165F19" w:rsidRDefault="00A323F2">
      <w:pPr>
        <w:pBdr>
          <w:top w:val="nil"/>
          <w:left w:val="nil"/>
          <w:bottom w:val="nil"/>
          <w:right w:val="nil"/>
          <w:between w:val="nil"/>
        </w:pBdr>
        <w:ind w:left="567" w:right="616"/>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CAPITULO I</w:t>
      </w:r>
    </w:p>
    <w:p w14:paraId="3E5B3C60" w14:textId="77777777" w:rsidR="00BA1757" w:rsidRPr="00165F19" w:rsidRDefault="00A323F2">
      <w:pPr>
        <w:pBdr>
          <w:top w:val="nil"/>
          <w:left w:val="nil"/>
          <w:bottom w:val="nil"/>
          <w:right w:val="nil"/>
          <w:between w:val="nil"/>
        </w:pBdr>
        <w:ind w:left="567" w:right="616"/>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De las Obligaciones en General</w:t>
      </w:r>
    </w:p>
    <w:p w14:paraId="4D2810A8"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98. Son obligaciones de las instituciones públicas:</w:t>
      </w:r>
    </w:p>
    <w:p w14:paraId="1513D872"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w:t>
      </w:r>
    </w:p>
    <w:p w14:paraId="356357F8"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 xml:space="preserve">XVII. Integrar los expedientes de los servidores públicos </w:t>
      </w:r>
      <w:r w:rsidRPr="00165F19">
        <w:rPr>
          <w:rFonts w:ascii="Palatino Linotype" w:eastAsia="Palatino Linotype" w:hAnsi="Palatino Linotype" w:cs="Palatino Linotype"/>
          <w:i/>
          <w:sz w:val="22"/>
          <w:szCs w:val="22"/>
        </w:rPr>
        <w:t>y proporcionar las constancias que éstos soliciten para el trámite de los asuntos de su interés en los términos que señalen los ordenamientos respectivos.</w:t>
      </w:r>
    </w:p>
    <w:p w14:paraId="3F3294AB"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127E3A38" w14:textId="77777777" w:rsidR="00BA1757" w:rsidRPr="00165F19" w:rsidRDefault="00BA1757">
      <w:pPr>
        <w:spacing w:line="360" w:lineRule="auto"/>
        <w:rPr>
          <w:rFonts w:ascii="Palatino Linotype" w:eastAsia="Palatino Linotype" w:hAnsi="Palatino Linotype" w:cs="Palatino Linotype"/>
          <w:sz w:val="22"/>
          <w:szCs w:val="22"/>
        </w:rPr>
      </w:pPr>
    </w:p>
    <w:p w14:paraId="0F8C1E82"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Con lo expuesto hasta este punto, se tiene la obligación de integrar el expediente de personal, donde obran todos aquellos documentos que se relacionan con cada uno de los servidores </w:t>
      </w:r>
      <w:r w:rsidRPr="00165F19">
        <w:rPr>
          <w:rFonts w:ascii="Palatino Linotype" w:eastAsia="Palatino Linotype" w:hAnsi="Palatino Linotype" w:cs="Palatino Linotype"/>
          <w:b/>
          <w:sz w:val="22"/>
          <w:szCs w:val="22"/>
        </w:rPr>
        <w:t>públicos, así como los documentos que amparen que se cumplieron los requisitos para ocupar el cargo, así como los que establece el artículo 47 de la Ley en Materia.</w:t>
      </w:r>
    </w:p>
    <w:p w14:paraId="0D7B227E"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E6F744"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Dicho lo anterior, es necesario precisar que el Reglamento Interior de la Secretaría de Educación, Ciencia, Tecnología e Innovación establece lo siguiente:</w:t>
      </w:r>
    </w:p>
    <w:p w14:paraId="02A8CE17"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F6E86D"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15. Corresponden a la Subsecretaría de Administración y Finanzas las atribuciones siguientes: </w:t>
      </w:r>
    </w:p>
    <w:p w14:paraId="3B3F6D8D"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I. Planear, programar, supervisar y vigilar la administración de los recursos humanos, financieros, materiales, presupuestales y tecnológicos de la Secretaría; </w:t>
      </w:r>
    </w:p>
    <w:p w14:paraId="0B5A7D70"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II. Supervisar el ejercicio de los ingresos y egresos de los recursos generados en las instituciones de educación normal, media superior y escuelas de bellas artes y del deporte del Subsistema Educativo Estatal; </w:t>
      </w:r>
    </w:p>
    <w:p w14:paraId="298AE28B"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 xml:space="preserve">III. Fungir como órgano de consulta, asesoría y apoyo sobre temas administrativos y presupuestales para las Unidades Administrativas y los organismos auxiliares de la Secretaría; </w:t>
      </w:r>
    </w:p>
    <w:p w14:paraId="5021B275"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IV. Autorizar las políticas, normas, lineamientos, procedimientos y demás disposiciones en materia de administración de recursos humanos y materiales de la Secretaría, con base en la normatividad aplicable; </w:t>
      </w:r>
    </w:p>
    <w:p w14:paraId="37C802AE"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0F1B8E54"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VI. Coordinar y vigilar la política de relaciones laborales de la Secretaría; </w:t>
      </w:r>
    </w:p>
    <w:p w14:paraId="2F2FDA13"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59CDCF29"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IX. Supervisar los procedimientos de adquisición de bienes y de contratación de servicios, ante la Oficialía Mayor del Gobierno del Estado, en términos de la legislación aplicable; </w:t>
      </w:r>
    </w:p>
    <w:p w14:paraId="479143F1"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X. Vigilar el cumplimiento de las normas y políticas que en materia de protección civil emita la Secretaría General de Gobierno; </w:t>
      </w:r>
    </w:p>
    <w:p w14:paraId="2AE84B8B"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XI. Vigilar el ejercicio presupuestal de las unidades administrativas que conforman a la Secretaría, con base en el presupuesto autorizado y la normatividad vigente; </w:t>
      </w:r>
    </w:p>
    <w:p w14:paraId="2CA6E8EA" w14:textId="77777777" w:rsidR="00BA1757" w:rsidRPr="00165F19" w:rsidRDefault="00BA1757">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p>
    <w:p w14:paraId="1A42358C"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16. Quedan adscritas a la Subsecretaría de Administración y Finanzas las Direcciones Generales siguientes: </w:t>
      </w:r>
    </w:p>
    <w:p w14:paraId="790CFBD8"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 Coordinación de Delegaciones Administrativas; </w:t>
      </w:r>
    </w:p>
    <w:p w14:paraId="02269252"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b) Dirección General de Administración; </w:t>
      </w:r>
    </w:p>
    <w:p w14:paraId="1CC80937"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 Dirección General de Finanzas, y </w:t>
      </w:r>
    </w:p>
    <w:p w14:paraId="41164A04"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d) Dirección General de Supervisión de Ingresos y Egresos de Instituciones Educativas.</w:t>
      </w:r>
    </w:p>
    <w:p w14:paraId="0F224D6E"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011D80"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 lo anterior, se advierte que el Sujeto Obligado a través de la Subsecretaría de Administración y Finanzas tiene atribuciones para conocer acerca de procedimientos y </w:t>
      </w:r>
      <w:r w:rsidRPr="00165F19">
        <w:rPr>
          <w:rFonts w:ascii="Palatino Linotype" w:eastAsia="Palatino Linotype" w:hAnsi="Palatino Linotype" w:cs="Palatino Linotype"/>
          <w:sz w:val="22"/>
          <w:szCs w:val="22"/>
        </w:rPr>
        <w:lastRenderedPageBreak/>
        <w:t>disposiciones en materia de administración de recursos humanos, así como de coordinar y vigilar la política de relaciones laborales y la contratación de servicios que requiera la Secretaría, por lo que resulta ser el área con atribuciones, funcione y competencias para conocer respecto a la información solicitada por el Recurrente.</w:t>
      </w:r>
    </w:p>
    <w:p w14:paraId="6FD5753D"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FF98C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Sin embargo, el Sujeto Obligado turnó la solicitud a la Dirección General de Cultura Física y Deporte, cuyas atribuciones son las siguientes:</w:t>
      </w:r>
    </w:p>
    <w:p w14:paraId="6A94C84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D36E35"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31. Corresponden a la Dirección General de Cultura Física y Deporte las siguientes atribuciones: </w:t>
      </w:r>
    </w:p>
    <w:p w14:paraId="1237C61E"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 Ejecutar en el ámbito de su competencia, las atribuciones que corresponden al Estado en materia de cultura física y deporte, de conformidad con las disposiciones jurídicas aplicables; </w:t>
      </w:r>
    </w:p>
    <w:p w14:paraId="00B81EBB"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II. Diseñar y aplicar los instrumentos y programas de política para la cultura física y deporte Estatal, en concordancia con la Política Nacional de Cultura Física y Deporte, conforme a las disposiciones jurídicas aplicables; </w:t>
      </w:r>
    </w:p>
    <w:p w14:paraId="327F9765"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III. Proponer el Programa Estatal de Cultura Física y Deporte, con base en los planes nacional y estatal de desarrollo y previa aprobación de la persona titular de la Secretaría, aplicar y evaluar las acciones que se establezcan en el mismo; </w:t>
      </w:r>
    </w:p>
    <w:p w14:paraId="63DFBEA7"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IV. Integrar, regular y operar el Sistema Estatal de Cultura Física y Deporte, de conformidad con las disposiciones jurídicas aplicables; </w:t>
      </w:r>
    </w:p>
    <w:p w14:paraId="19A20485"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 Establecer, operar y mantener actualizado el Registro Estatal de Cultura Física y Deporte en coordinación con el Registro Nacional de Cultura Física y Deporte; </w:t>
      </w:r>
    </w:p>
    <w:p w14:paraId="77941710"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VI. Promover la participación de los sectores social y privado para el desarrollo de la cultura física y el deporte; </w:t>
      </w:r>
    </w:p>
    <w:p w14:paraId="0745BC39"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 xml:space="preserve">VII. Dirigir la elaboración de los proyectos de programas de operación y de presupuesto en materia de cultura física y deporte, y presentarlos para su aprobación a la persona titular de la Secretaría; </w:t>
      </w:r>
    </w:p>
    <w:p w14:paraId="1952907B"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VIII. Coordinar con las asociaciones deportivas estatales, el establecimiento de programas específicos para el desarrollo del deporte, especialmente en materia de actualización y capacitación del recurso humano para el deporte, eventos selectivos y de representación estatal, desarrollo de talentos deportivos y atletas de alto rendimiento, convencional y adaptado; </w:t>
      </w:r>
    </w:p>
    <w:p w14:paraId="0F7D73E3"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IX. Colaborar con las organizaciones de los sectores público, social y privado en el establecimiento de programas específicos, estrategias y lineamientos para el fomento y desarrollo de la cultura física y el deporte; </w:t>
      </w:r>
    </w:p>
    <w:p w14:paraId="5AD37D97"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X. Asesorar a los municipios en la planeación y ejecución de programas de promoción e impulso de la cultura física y el deporte; </w:t>
      </w:r>
    </w:p>
    <w:p w14:paraId="7E85F78C"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XI. Proponer a la persona titular de la Secretaría la suscripción de convenios con instituciones públicas, sociales y privadas que tengan como finalidad de promover y fomentar la cultura física y el deporte en el Estado; </w:t>
      </w:r>
    </w:p>
    <w:p w14:paraId="7476B310"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XII. Establecer y operar en coordinación con las federaciones deportivas nacionales y las asociaciones deportivas estatales, centros para el deporte de alto rendimiento; </w:t>
      </w:r>
    </w:p>
    <w:p w14:paraId="08C05ABC"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XIII. Promover la creación de escuelas de enseñanza, desarrollo y práctica del deporte, en coordinación con los sectores público, social y privado, y</w:t>
      </w:r>
    </w:p>
    <w:p w14:paraId="5665A3C1"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XIV. Las demás que le confieran otras disposiciones jurídicas aplicables y aquellas que le encomiende la persona titular de la Secretaría.</w:t>
      </w:r>
    </w:p>
    <w:p w14:paraId="14480B91"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Tal y como se advierte, la Unidad Administrativa a la cual se turnó la solicitud carece de atribuciones de conocer información de las relaciones laborales de los servidores públicos y sus expedientes.</w:t>
      </w:r>
    </w:p>
    <w:p w14:paraId="2AF07518"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C8F521" w14:textId="77777777" w:rsidR="00BA1757" w:rsidRPr="00165F19" w:rsidRDefault="00A323F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 xml:space="preserve">Dicho lo anterior, se precisa que, quién dio respuesta a la solicitud es la Dirección General de Cultura Física y Deporte, por lo que; no siguió con ello el procedimiento para la atención a las solicitudes de acceso a la información, establecido en los artículos 151, 160, 162, 163, 164, 165 y 166, de la Ley de Transparencia y Acceso a la Información Pública del Estado de México y Municipios: </w:t>
      </w:r>
    </w:p>
    <w:p w14:paraId="6970E3E7" w14:textId="77777777" w:rsidR="00BA1757" w:rsidRPr="00165F19" w:rsidRDefault="00BA175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AE40ADB"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98149A8"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3FF35A31"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75D7F16C"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855C473"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w:t>
      </w:r>
      <w:r w:rsidRPr="00165F19">
        <w:rPr>
          <w:rFonts w:ascii="Palatino Linotype" w:eastAsia="Palatino Linotype" w:hAnsi="Palatino Linotype" w:cs="Palatino Linotype"/>
          <w:sz w:val="22"/>
          <w:szCs w:val="22"/>
        </w:rPr>
        <w:lastRenderedPageBreak/>
        <w:t xml:space="preserve">ofrecer otras; por lo cual, deberá fundar y motivar la necesidad de modificar el medio de entrega; y </w:t>
      </w:r>
    </w:p>
    <w:p w14:paraId="0D5E78AD" w14:textId="77777777" w:rsidR="00BA1757" w:rsidRPr="00165F19" w:rsidRDefault="00A323F2">
      <w:pPr>
        <w:spacing w:after="240" w:line="360" w:lineRule="auto"/>
        <w:ind w:left="284"/>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C4832ED"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En este orden de ideas, se reitera que la Dirección General de Cultura Física y Deporte  no es la unidad administrativa competente para generar, administrar y poseer la información, con lo que no se acredita la correcta búsqueda exhaustiva y razonable de la información, de conformidad con el Reglamento Interno del Sujeto Obligado. </w:t>
      </w:r>
    </w:p>
    <w:p w14:paraId="78D6A32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3D4510"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Dicho lo anterior, el Sujeto Obligado en su respuesta, a través de la Dirección General de Cultura Física y Deporte indicó que no es competente para atender los requerimientos; sin embargo, a través del informe justificado proporcionó la siguiente información: </w:t>
      </w:r>
    </w:p>
    <w:p w14:paraId="128F5E71"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26D08C"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lastRenderedPageBreak/>
        <w:drawing>
          <wp:inline distT="0" distB="0" distL="0" distR="0" wp14:anchorId="73D311DF" wp14:editId="0361875C">
            <wp:extent cx="5760720" cy="2813685"/>
            <wp:effectExtent l="0" t="0" r="0" b="0"/>
            <wp:docPr id="7702015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60720" cy="2813685"/>
                    </a:xfrm>
                    <a:prstGeom prst="rect">
                      <a:avLst/>
                    </a:prstGeom>
                    <a:ln/>
                  </pic:spPr>
                </pic:pic>
              </a:graphicData>
            </a:graphic>
          </wp:inline>
        </w:drawing>
      </w:r>
    </w:p>
    <w:p w14:paraId="691B46E0"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67AEC2B"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4" w:name="_heading=h.t6ppcxnx50rh" w:colFirst="0" w:colLast="0"/>
      <w:bookmarkEnd w:id="4"/>
      <w:r w:rsidRPr="00165F19">
        <w:rPr>
          <w:rFonts w:ascii="Palatino Linotype" w:eastAsia="Palatino Linotype" w:hAnsi="Palatino Linotype" w:cs="Palatino Linotype"/>
          <w:sz w:val="22"/>
          <w:szCs w:val="22"/>
        </w:rPr>
        <w:t xml:space="preserve">De la imagen de referencia podemos observar que el servidor público si es servidor público adscrito al Sujeto Obligado y causó alta el dos de mayo de dos mil veinticuatro y tiene cargo de Delegado Administrativo. </w:t>
      </w:r>
    </w:p>
    <w:p w14:paraId="44C323EF"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465A6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Título profesional.</w:t>
      </w:r>
    </w:p>
    <w:p w14:paraId="5F06B4F9"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599DF5"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Ahora bien, respecto al Título profesional, el Sujeto Obligado entregó una captura de pantalla donde se advierte lo siguiente:</w:t>
      </w:r>
    </w:p>
    <w:p w14:paraId="4C0D9040"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63D5B2" w14:textId="77777777" w:rsidR="00BA1757" w:rsidRPr="00165F19" w:rsidRDefault="00A323F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lastRenderedPageBreak/>
        <w:drawing>
          <wp:inline distT="0" distB="0" distL="0" distR="0" wp14:anchorId="4F9284E6" wp14:editId="43015966">
            <wp:extent cx="5262018" cy="2907682"/>
            <wp:effectExtent l="0" t="0" r="0" b="0"/>
            <wp:docPr id="7702015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62018" cy="2907682"/>
                    </a:xfrm>
                    <a:prstGeom prst="rect">
                      <a:avLst/>
                    </a:prstGeom>
                    <a:ln/>
                  </pic:spPr>
                </pic:pic>
              </a:graphicData>
            </a:graphic>
          </wp:inline>
        </w:drawing>
      </w:r>
    </w:p>
    <w:p w14:paraId="7409DD7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De la manifestación del Sujeto Obligado se puede advertir que el Servidor Público Tiene Licenciatura en Administración, información que se ratifica por la información que se tiene publicada en la página oficial del Sujeto Obligado en el apartado “directorio”, como se muestra a continuación:</w:t>
      </w:r>
    </w:p>
    <w:p w14:paraId="3981E2DE"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drawing>
          <wp:inline distT="0" distB="0" distL="0" distR="0" wp14:anchorId="25CF82D6" wp14:editId="24DB0AFC">
            <wp:extent cx="5760720" cy="3009900"/>
            <wp:effectExtent l="0" t="0" r="0" b="0"/>
            <wp:docPr id="7702015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60720" cy="3009900"/>
                    </a:xfrm>
                    <a:prstGeom prst="rect">
                      <a:avLst/>
                    </a:prstGeom>
                    <a:ln/>
                  </pic:spPr>
                </pic:pic>
              </a:graphicData>
            </a:graphic>
          </wp:inline>
        </w:drawing>
      </w:r>
    </w:p>
    <w:p w14:paraId="46E920CF"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 xml:space="preserve">De lo anterior, si bien se determina que el Servidor Público tiene el grado de licenciatura, también lo es que no se proporcionó el documento que dé cuenta de lo manifestado, como lo es el propio título profesional como lo requirió el Particular, de ser el caso en versión pública. </w:t>
      </w:r>
    </w:p>
    <w:p w14:paraId="789C8DF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FE7A92"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lo que se ORDENA al Sujeto Obligado realizar una correcta búsqueda exhaustiva y razonable a efecto de localizar y proporcionar el Título Profesional del Servidor Público referido en la solicitud en versión pública, para tal efecto, el Sujeto Obligado estará a lo dispuesto en el Considerando QUINTO de la presente resolución.</w:t>
      </w:r>
    </w:p>
    <w:p w14:paraId="45B0FE0B"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0EBF05" w14:textId="77777777" w:rsidR="00BA1757" w:rsidRPr="00165F19" w:rsidRDefault="00A323F2">
      <w:pPr>
        <w:spacing w:line="360" w:lineRule="auto"/>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sz w:val="22"/>
          <w:szCs w:val="22"/>
        </w:rPr>
        <w:t xml:space="preserve">De ser el caso de que no se localice el Título profesional, por no ser un requisito indispensable para ocupar el cargo, bastará con que así lo haga del conocimiento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7AC2E02E"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1F3BD9"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Ficha curricular o currículum vitae.</w:t>
      </w:r>
    </w:p>
    <w:p w14:paraId="4647C67A"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961D92"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lo que corresponde al currículum, el Sujeto Obligado fue omiso en pronunciarse al respecto, por lo que es necesario precisar que la ficha curricular o </w:t>
      </w:r>
      <w:proofErr w:type="spellStart"/>
      <w:r w:rsidRPr="00165F19">
        <w:rPr>
          <w:rFonts w:ascii="Palatino Linotype" w:eastAsia="Palatino Linotype" w:hAnsi="Palatino Linotype" w:cs="Palatino Linotype"/>
          <w:sz w:val="22"/>
          <w:szCs w:val="22"/>
        </w:rPr>
        <w:t>curriculum</w:t>
      </w:r>
      <w:proofErr w:type="spellEnd"/>
      <w:r w:rsidRPr="00165F19">
        <w:rPr>
          <w:rFonts w:ascii="Palatino Linotype" w:eastAsia="Palatino Linotype" w:hAnsi="Palatino Linotype" w:cs="Palatino Linotype"/>
          <w:sz w:val="22"/>
          <w:szCs w:val="22"/>
        </w:rPr>
        <w:t xml:space="preserve"> vitae contienen entre otra información, </w:t>
      </w:r>
      <w:r w:rsidRPr="00165F19">
        <w:rPr>
          <w:rFonts w:ascii="Palatino Linotype" w:eastAsia="Palatino Linotype" w:hAnsi="Palatino Linotype" w:cs="Palatino Linotype"/>
          <w:b/>
          <w:sz w:val="22"/>
          <w:szCs w:val="22"/>
        </w:rPr>
        <w:t>la preparación académica, laboral y méritos con los que cuentan los servidores públicos</w:t>
      </w:r>
      <w:r w:rsidRPr="00165F19">
        <w:rPr>
          <w:rFonts w:ascii="Palatino Linotype" w:eastAsia="Palatino Linotype" w:hAnsi="Palatino Linotype" w:cs="Palatino Linotype"/>
          <w:sz w:val="22"/>
          <w:szCs w:val="22"/>
        </w:rPr>
        <w:t xml:space="preserve"> para ocupar un cargo público. Se cita lo que dispone la  Real Academia de la Lengua Española define como currículum vitae: </w:t>
      </w:r>
    </w:p>
    <w:p w14:paraId="7BF94F6A" w14:textId="77777777" w:rsidR="00BA1757" w:rsidRPr="00165F19" w:rsidRDefault="00BA175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6688C7F" w14:textId="77777777" w:rsidR="00BA1757" w:rsidRPr="00165F19" w:rsidRDefault="00A323F2">
      <w:pPr>
        <w:tabs>
          <w:tab w:val="left" w:pos="426"/>
        </w:tabs>
        <w:spacing w:line="360"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w:t>
      </w:r>
      <w:r w:rsidRPr="00165F19">
        <w:rPr>
          <w:rFonts w:ascii="Palatino Linotype" w:eastAsia="Palatino Linotype" w:hAnsi="Palatino Linotype" w:cs="Palatino Linotype"/>
          <w:b/>
          <w:i/>
          <w:sz w:val="22"/>
          <w:szCs w:val="22"/>
        </w:rPr>
        <w:t>currículum vítae</w:t>
      </w:r>
      <w:r w:rsidRPr="00165F19">
        <w:rPr>
          <w:rFonts w:ascii="Palatino Linotype" w:eastAsia="Palatino Linotype" w:hAnsi="Palatino Linotype" w:cs="Palatino Linotype"/>
          <w:i/>
          <w:sz w:val="22"/>
          <w:szCs w:val="22"/>
        </w:rPr>
        <w:t>. </w:t>
      </w:r>
      <w:r w:rsidRPr="00165F19">
        <w:rPr>
          <w:rFonts w:ascii="Palatino Linotype" w:eastAsia="Palatino Linotype" w:hAnsi="Palatino Linotype" w:cs="Palatino Linotype"/>
          <w:b/>
          <w:i/>
          <w:sz w:val="22"/>
          <w:szCs w:val="22"/>
        </w:rPr>
        <w:t>1.</w:t>
      </w:r>
      <w:r w:rsidRPr="00165F19">
        <w:rPr>
          <w:rFonts w:ascii="Palatino Linotype" w:eastAsia="Palatino Linotype" w:hAnsi="Palatino Linotype" w:cs="Palatino Linotype"/>
          <w:i/>
          <w:sz w:val="22"/>
          <w:szCs w:val="22"/>
        </w:rPr>
        <w:t xml:space="preserve"> Loc. lat. que significa literalmente ‘carrera de la vida’. Se usa como locución nominal masculina para designar la relación de los datos personales, </w:t>
      </w:r>
      <w:r w:rsidRPr="00165F19">
        <w:rPr>
          <w:rFonts w:ascii="Palatino Linotype" w:eastAsia="Palatino Linotype" w:hAnsi="Palatino Linotype" w:cs="Palatino Linotype"/>
          <w:b/>
          <w:i/>
          <w:sz w:val="22"/>
          <w:szCs w:val="22"/>
        </w:rPr>
        <w:t>formación académica</w:t>
      </w:r>
      <w:r w:rsidRPr="00165F19">
        <w:rPr>
          <w:rFonts w:ascii="Palatino Linotype" w:eastAsia="Palatino Linotype" w:hAnsi="Palatino Linotype" w:cs="Palatino Linotype"/>
          <w:i/>
          <w:sz w:val="22"/>
          <w:szCs w:val="22"/>
        </w:rPr>
        <w:t>, actividad laboral y méritos de una persona.</w:t>
      </w:r>
      <w:r w:rsidRPr="00165F19">
        <w:rPr>
          <w:rFonts w:ascii="Palatino Linotype" w:eastAsia="Palatino Linotype" w:hAnsi="Palatino Linotype" w:cs="Palatino Linotype"/>
          <w:sz w:val="22"/>
          <w:szCs w:val="22"/>
        </w:rPr>
        <w:t>”</w:t>
      </w:r>
    </w:p>
    <w:p w14:paraId="13E2A8B3" w14:textId="77777777" w:rsidR="00BA1757" w:rsidRPr="00165F19" w:rsidRDefault="00BA175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96E9638" w14:textId="77777777" w:rsidR="00BA1757" w:rsidRPr="00165F19" w:rsidRDefault="00A323F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 la interpretación a esta definición se desprende que tanto la ficha curricular como el </w:t>
      </w:r>
      <w:proofErr w:type="spellStart"/>
      <w:r w:rsidRPr="00165F19">
        <w:rPr>
          <w:rFonts w:ascii="Palatino Linotype" w:eastAsia="Palatino Linotype" w:hAnsi="Palatino Linotype" w:cs="Palatino Linotype"/>
          <w:sz w:val="22"/>
          <w:szCs w:val="22"/>
        </w:rPr>
        <w:t>curriculum</w:t>
      </w:r>
      <w:proofErr w:type="spellEnd"/>
      <w:r w:rsidRPr="00165F19">
        <w:rPr>
          <w:rFonts w:ascii="Palatino Linotype" w:eastAsia="Palatino Linotype" w:hAnsi="Palatino Linotype" w:cs="Palatino Linotype"/>
          <w:sz w:val="22"/>
          <w:szCs w:val="22"/>
        </w:rPr>
        <w:t xml:space="preserve"> vitae están relacionados con la hoja de vida, carrera de vida o </w:t>
      </w:r>
      <w:proofErr w:type="spellStart"/>
      <w:r w:rsidRPr="00165F19">
        <w:rPr>
          <w:rFonts w:ascii="Palatino Linotype" w:eastAsia="Palatino Linotype" w:hAnsi="Palatino Linotype" w:cs="Palatino Linotype"/>
          <w:sz w:val="22"/>
          <w:szCs w:val="22"/>
        </w:rPr>
        <w:t>currícula</w:t>
      </w:r>
      <w:proofErr w:type="spellEnd"/>
      <w:r w:rsidRPr="00165F19">
        <w:rPr>
          <w:rFonts w:ascii="Palatino Linotype" w:eastAsia="Palatino Linotype" w:hAnsi="Palatino Linotype" w:cs="Palatino Linotype"/>
          <w:sz w:val="22"/>
          <w:szCs w:val="22"/>
        </w:rPr>
        <w:t xml:space="preserve"> de una persona, donde se podría apreciar la preparación académica y laboral que tiene, además de los méritos como bien lo podrían ser cursos o certificaciones.</w:t>
      </w:r>
    </w:p>
    <w:p w14:paraId="2285CF37" w14:textId="77777777" w:rsidR="00BA1757" w:rsidRPr="00165F19" w:rsidRDefault="00BA175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026B47FA" w14:textId="77777777" w:rsidR="00BA1757" w:rsidRPr="00165F19" w:rsidRDefault="00A323F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ende, la ficha curricular o currículum vítae puede existir información más detallada y relacionada con la </w:t>
      </w:r>
      <w:r w:rsidRPr="00165F19">
        <w:rPr>
          <w:rFonts w:ascii="Palatino Linotype" w:eastAsia="Palatino Linotype" w:hAnsi="Palatino Linotype" w:cs="Palatino Linotype"/>
          <w:b/>
          <w:sz w:val="22"/>
          <w:szCs w:val="22"/>
        </w:rPr>
        <w:t xml:space="preserve">trayectoria académica o profesional, </w:t>
      </w:r>
      <w:r w:rsidRPr="00165F19">
        <w:rPr>
          <w:rFonts w:ascii="Palatino Linotype" w:eastAsia="Palatino Linotype" w:hAnsi="Palatino Linotype" w:cs="Palatino Linotype"/>
          <w:sz w:val="22"/>
          <w:szCs w:val="22"/>
        </w:rPr>
        <w:t xml:space="preserve">debiendo conservar los documentos soporte como puede ser </w:t>
      </w:r>
      <w:r w:rsidRPr="00165F19">
        <w:rPr>
          <w:rFonts w:ascii="Palatino Linotype" w:eastAsia="Palatino Linotype" w:hAnsi="Palatino Linotype" w:cs="Palatino Linotype"/>
          <w:b/>
          <w:sz w:val="22"/>
          <w:szCs w:val="22"/>
        </w:rPr>
        <w:t>el título profesional o cédula profesional</w:t>
      </w:r>
      <w:r w:rsidRPr="00165F19">
        <w:rPr>
          <w:rFonts w:ascii="Palatino Linotype" w:eastAsia="Palatino Linotype" w:hAnsi="Palatino Linotype" w:cs="Palatino Linotype"/>
          <w:sz w:val="22"/>
          <w:szCs w:val="22"/>
        </w:rPr>
        <w:t xml:space="preserve"> o el documento que avale el grado académico de los servidores públicos, los cuales son susceptibles de proporcionarse en versión pública.</w:t>
      </w:r>
    </w:p>
    <w:p w14:paraId="68B4F0E0" w14:textId="77777777" w:rsidR="00BA1757" w:rsidRPr="00165F19" w:rsidRDefault="00BA1757">
      <w:pPr>
        <w:pBdr>
          <w:top w:val="nil"/>
          <w:left w:val="nil"/>
          <w:bottom w:val="nil"/>
          <w:right w:val="nil"/>
          <w:between w:val="nil"/>
        </w:pBdr>
        <w:spacing w:line="360" w:lineRule="auto"/>
        <w:ind w:left="708"/>
        <w:rPr>
          <w:rFonts w:ascii="Palatino Linotype" w:eastAsia="Palatino Linotype" w:hAnsi="Palatino Linotype" w:cs="Palatino Linotype"/>
          <w:sz w:val="22"/>
          <w:szCs w:val="22"/>
        </w:rPr>
      </w:pPr>
    </w:p>
    <w:p w14:paraId="00899DEB" w14:textId="77777777" w:rsidR="00BA1757" w:rsidRPr="00165F19" w:rsidRDefault="00A323F2">
      <w:pPr>
        <w:tabs>
          <w:tab w:val="left" w:pos="567"/>
        </w:tabs>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14:paraId="3A7BF100" w14:textId="77777777" w:rsidR="00BA1757" w:rsidRPr="00165F19" w:rsidRDefault="00BA1757">
      <w:pPr>
        <w:ind w:left="851" w:right="851"/>
        <w:jc w:val="center"/>
        <w:rPr>
          <w:rFonts w:ascii="Palatino Linotype" w:eastAsia="Palatino Linotype" w:hAnsi="Palatino Linotype" w:cs="Palatino Linotype"/>
          <w:b/>
          <w:i/>
          <w:sz w:val="22"/>
          <w:szCs w:val="22"/>
        </w:rPr>
      </w:pPr>
    </w:p>
    <w:p w14:paraId="3FD9626B" w14:textId="77777777" w:rsidR="00BA1757" w:rsidRPr="00165F19" w:rsidRDefault="00A323F2">
      <w:pPr>
        <w:spacing w:line="276" w:lineRule="auto"/>
        <w:ind w:left="567" w:right="851"/>
        <w:jc w:val="center"/>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Ley de Transparencia y Acceso a la Información Pública del Estado de México y Municipios</w:t>
      </w:r>
    </w:p>
    <w:p w14:paraId="11A18AE0" w14:textId="77777777" w:rsidR="00BA1757" w:rsidRPr="00165F19" w:rsidRDefault="00A323F2">
      <w:pPr>
        <w:spacing w:line="276" w:lineRule="auto"/>
        <w:ind w:left="567"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92</w:t>
      </w:r>
      <w:r w:rsidRPr="00165F1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D596B58" w14:textId="77777777" w:rsidR="00BA1757" w:rsidRPr="00165F19" w:rsidRDefault="00A323F2">
      <w:pPr>
        <w:spacing w:line="276" w:lineRule="auto"/>
        <w:ind w:left="567"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6A78031B" w14:textId="77777777" w:rsidR="00BA1757" w:rsidRPr="00165F19" w:rsidRDefault="00A323F2">
      <w:pPr>
        <w:spacing w:line="276" w:lineRule="auto"/>
        <w:ind w:left="567"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XXI.</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u w:val="single"/>
        </w:rPr>
        <w:t>La información curricular</w:t>
      </w:r>
      <w:r w:rsidRPr="00165F19">
        <w:rPr>
          <w:rFonts w:ascii="Palatino Linotype" w:eastAsia="Palatino Linotype" w:hAnsi="Palatino Linotype" w:cs="Palatino Linotype"/>
          <w:i/>
          <w:sz w:val="22"/>
          <w:szCs w:val="22"/>
        </w:rPr>
        <w:t>, desde el nivel de jefe de departamento o equivalente, hasta el titular del sujeto obligado, así como, en su caso, las sanciones administrativas de que haya sido objeto;</w:t>
      </w:r>
    </w:p>
    <w:p w14:paraId="191C11A1" w14:textId="77777777" w:rsidR="00BA1757" w:rsidRPr="00165F19" w:rsidRDefault="00A323F2">
      <w:pPr>
        <w:spacing w:line="276" w:lineRule="auto"/>
        <w:ind w:left="567" w:right="8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(Énfasis añadido)”</w:t>
      </w:r>
    </w:p>
    <w:p w14:paraId="64DD19C3" w14:textId="77777777" w:rsidR="00BA1757" w:rsidRPr="00165F19" w:rsidRDefault="00BA1757">
      <w:pPr>
        <w:tabs>
          <w:tab w:val="left" w:pos="426"/>
        </w:tabs>
        <w:spacing w:line="360" w:lineRule="auto"/>
        <w:ind w:right="567"/>
        <w:jc w:val="both"/>
        <w:rPr>
          <w:rFonts w:ascii="Palatino Linotype" w:eastAsia="Palatino Linotype" w:hAnsi="Palatino Linotype" w:cs="Palatino Linotype"/>
          <w:sz w:val="22"/>
          <w:szCs w:val="22"/>
        </w:rPr>
      </w:pPr>
    </w:p>
    <w:p w14:paraId="11324A99" w14:textId="77777777" w:rsidR="00BA1757" w:rsidRPr="00165F19" w:rsidRDefault="00A323F2">
      <w:pPr>
        <w:tabs>
          <w:tab w:val="left" w:pos="426"/>
        </w:tabs>
        <w:spacing w:line="360" w:lineRule="auto"/>
        <w:ind w:right="4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sz w:val="22"/>
          <w:szCs w:val="22"/>
        </w:rPr>
        <w:t xml:space="preserve">De lo anterior se coligue que, el Sujeto Obligado cuenta con fuente obligacional para generar, administrar y poseer la información requerida por el Particular, además, los </w:t>
      </w:r>
      <w:r w:rsidRPr="00165F19">
        <w:rPr>
          <w:rFonts w:ascii="Palatino Linotype" w:eastAsia="Palatino Linotype" w:hAnsi="Palatino Linotype" w:cs="Palatino Linotype"/>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5164939E"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XVII. La información curricular desde el nivel de jefe de departamento o equivalente    hasta el titular del sujeto obligado</w:t>
      </w:r>
      <w:r w:rsidRPr="00165F19">
        <w:rPr>
          <w:rFonts w:ascii="Palatino Linotype" w:eastAsia="Palatino Linotype" w:hAnsi="Palatino Linotype" w:cs="Palatino Linotype"/>
          <w:i/>
          <w:sz w:val="22"/>
          <w:szCs w:val="22"/>
        </w:rPr>
        <w:t xml:space="preserve">, así como, en su caso, las sanciones administrativas de que haya sido objeto  </w:t>
      </w:r>
    </w:p>
    <w:p w14:paraId="1A7FEB8B"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14:paraId="387BF07D" w14:textId="77777777" w:rsidR="00BA1757" w:rsidRPr="00165F19" w:rsidRDefault="00BA1757">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05C5BFB5"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Criterios sustantivos de contenido </w:t>
      </w:r>
    </w:p>
    <w:p w14:paraId="0E58437F"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1 Ejercicio </w:t>
      </w:r>
    </w:p>
    <w:p w14:paraId="6B221036"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2 Periodo que se informa (fecha de inicio y fecha de término con el formato día/mes/año) </w:t>
      </w:r>
    </w:p>
    <w:p w14:paraId="14D4E6D9"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3 Denominación del puesto (de acuerdo con el catálogo que en su caso regule la actividad del sujeto obligado) </w:t>
      </w:r>
    </w:p>
    <w:p w14:paraId="46A8D6CB"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4 Denominación del cargo (de conformidad con nombramiento otorgado) </w:t>
      </w:r>
    </w:p>
    <w:p w14:paraId="5644F9EB"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Criterio 5 Nombre del servidor(a) público(a), integrante y/o, miembro del sujeto obligado, y/o persona que desempeñe un empleo, cargo o comisión y/o ejerza actos de autoridad (nombre[s], primer apellido, segundo apellido) </w:t>
      </w:r>
    </w:p>
    <w:p w14:paraId="2F3493D9"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14:paraId="0F18BFC1"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lastRenderedPageBreak/>
        <w:t>Criterio 7 Escolaridad, nivel máximo de estudios concluido y comprobable (catálogo): Ninguno/Primaria/Secundaria/Bachillerato/Carrera</w:t>
      </w:r>
      <w:r w:rsidRPr="00165F19">
        <w:rPr>
          <w:rFonts w:ascii="Palatino Linotype" w:eastAsia="Palatino Linotype" w:hAnsi="Palatino Linotype" w:cs="Palatino Linotype"/>
          <w:i/>
          <w:sz w:val="22"/>
          <w:szCs w:val="22"/>
        </w:rPr>
        <w:t xml:space="preserve"> técnica/Licenciatura/Maestría/Doctorado/Posdoctorado/Especialización </w:t>
      </w:r>
    </w:p>
    <w:p w14:paraId="43811360"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Criterio 8 Carrera genérica, en su caso</w:t>
      </w:r>
    </w:p>
    <w:p w14:paraId="49D10F8F"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9 Carrera genérica, en su caso Respecto de la experiencia laboral especificar, al menos, los tres últimos empleos, en donde se indique: </w:t>
      </w:r>
    </w:p>
    <w:p w14:paraId="744EB7F0"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10 Periodo (mes/año de inicio y mes/año de conclusión) </w:t>
      </w:r>
    </w:p>
    <w:p w14:paraId="0AF36DF9"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11 Denominación de la institución o empresa </w:t>
      </w:r>
    </w:p>
    <w:p w14:paraId="37CE9FA2"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12 Cargo o puesto desempeñado </w:t>
      </w:r>
    </w:p>
    <w:p w14:paraId="0CCEC9D8"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Criterio 13 Campo de experiencia </w:t>
      </w:r>
    </w:p>
    <w:p w14:paraId="74221B96"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Criterio 14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14:paraId="5B894B91" w14:textId="77777777" w:rsidR="00BA1757" w:rsidRPr="00165F19" w:rsidRDefault="00A323F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3D24E01A" w14:textId="77777777" w:rsidR="00BA1757" w:rsidRPr="00165F19" w:rsidRDefault="00BA175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AB62AE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lo anteriormente señalado, se ordena realizar una correcta búsqueda exhaustiva y razonable de la información a efecto de localizar y poner a disposición del particular la ficha curricular o currículum vitae del servidor público referido en la solicitud.</w:t>
      </w:r>
    </w:p>
    <w:p w14:paraId="49989125"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051F3D"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Manifestación de bienes.</w:t>
      </w:r>
    </w:p>
    <w:p w14:paraId="488C6F74"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9C9E90"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Respecto al manifiesto de bien, no se advierte que exista un documento bajo ese nombre; sin embargo, se interpreta que el Recurrente requiere la manifestación de bienes o declaración patrimonial.</w:t>
      </w:r>
    </w:p>
    <w:p w14:paraId="697BE9F4" w14:textId="77777777" w:rsidR="00BA1757" w:rsidRPr="00165F19" w:rsidRDefault="00A323F2">
      <w:pPr>
        <w:spacing w:before="240" w:after="240" w:line="360" w:lineRule="auto"/>
        <w:ind w:right="-28"/>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 necesario traer a contexto 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w:t>
      </w:r>
      <w:r w:rsidRPr="00165F19">
        <w:rPr>
          <w:rFonts w:ascii="Palatino Linotype" w:eastAsia="Palatino Linotype" w:hAnsi="Palatino Linotype" w:cs="Palatino Linotype"/>
          <w:sz w:val="22"/>
          <w:szCs w:val="22"/>
        </w:rPr>
        <w:lastRenderedPageBreak/>
        <w:t>declaración de intereses y la presentación de la constancia de declaración fiscal de los servidores públicos.</w:t>
      </w:r>
    </w:p>
    <w:p w14:paraId="51CB2835"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Cabe señalar que de conformidad con los artículos 29 de la Ley General de Responsabilidades Administrativas y 30 de la Ley de Responsabilidades Administrativas del Estado de México y Municipios, las </w:t>
      </w:r>
      <w:r w:rsidRPr="00165F19">
        <w:rPr>
          <w:rFonts w:ascii="Palatino Linotype" w:eastAsia="Palatino Linotype" w:hAnsi="Palatino Linotype" w:cs="Palatino Linotype"/>
          <w:b/>
          <w:sz w:val="22"/>
          <w:szCs w:val="22"/>
        </w:rPr>
        <w:t>declaraciones patrimoniales serán públicas,</w:t>
      </w:r>
      <w:r w:rsidRPr="00165F19">
        <w:rPr>
          <w:rFonts w:ascii="Palatino Linotype" w:eastAsia="Palatino Linotype" w:hAnsi="Palatino Linotype" w:cs="Palatino Linotype"/>
          <w:sz w:val="22"/>
          <w:szCs w:val="22"/>
        </w:rPr>
        <w:t xml:space="preserve">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79D248AD" w14:textId="77777777" w:rsidR="00BA1757" w:rsidRPr="00165F19" w:rsidRDefault="00A323F2">
      <w:pPr>
        <w:spacing w:before="120" w:after="120"/>
        <w:ind w:left="851" w:right="90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29. Las declaraciones patrimoniales y de intereses serán públicas salvo los rubros cuya publicidad pueda afectar la vida privada o los datos personales protegidos por la Constitución.</w:t>
      </w:r>
      <w:r w:rsidRPr="00165F19">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133B035F" w14:textId="77777777" w:rsidR="00BA1757" w:rsidRPr="00165F19" w:rsidRDefault="00A323F2">
      <w:pPr>
        <w:spacing w:before="120" w:after="120"/>
        <w:ind w:left="851" w:right="90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59FD03FD" w14:textId="77777777" w:rsidR="00BA1757" w:rsidRPr="00165F19" w:rsidRDefault="00A323F2">
      <w:pPr>
        <w:spacing w:before="280" w:after="28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w:t>
      </w:r>
      <w:r w:rsidRPr="00165F19">
        <w:rPr>
          <w:rFonts w:ascii="Palatino Linotype" w:eastAsia="Palatino Linotype" w:hAnsi="Palatino Linotype" w:cs="Palatino Linotype"/>
          <w:sz w:val="22"/>
          <w:szCs w:val="22"/>
        </w:rPr>
        <w:lastRenderedPageBreak/>
        <w:t>respectivos, garantizando que los rubros que pudieran afectar los derechos aludidos queden en resguardo de las autoridades competentes.</w:t>
      </w:r>
    </w:p>
    <w:p w14:paraId="5A8EEEC1" w14:textId="77777777" w:rsidR="00BA1757" w:rsidRPr="00165F19" w:rsidRDefault="00A323F2">
      <w:pPr>
        <w:spacing w:before="240" w:after="240" w:line="360" w:lineRule="auto"/>
        <w:ind w:right="-28"/>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386A46E5" w14:textId="77777777" w:rsidR="00BA1757" w:rsidRPr="00165F19" w:rsidRDefault="00A323F2">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Inicial: </w:t>
      </w:r>
      <w:r w:rsidRPr="00165F19">
        <w:rPr>
          <w:rFonts w:ascii="Palatino Linotype" w:eastAsia="Palatino Linotype" w:hAnsi="Palatino Linotype" w:cs="Palatino Linotype"/>
          <w:sz w:val="22"/>
          <w:szCs w:val="22"/>
        </w:rPr>
        <w:t>Dentro de los sesenta días naturales siguientes al ingreso o reingreso al servicio público;</w:t>
      </w:r>
    </w:p>
    <w:p w14:paraId="602E7E6E" w14:textId="77777777" w:rsidR="00BA1757" w:rsidRPr="00165F19" w:rsidRDefault="00A323F2">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Modificación Patrimonial: </w:t>
      </w:r>
      <w:r w:rsidRPr="00165F19">
        <w:rPr>
          <w:rFonts w:ascii="Palatino Linotype" w:eastAsia="Palatino Linotype" w:hAnsi="Palatino Linotype" w:cs="Palatino Linotype"/>
          <w:sz w:val="22"/>
          <w:szCs w:val="22"/>
        </w:rPr>
        <w:t>Durante el mes de mayo de dos cada año, y</w:t>
      </w:r>
    </w:p>
    <w:p w14:paraId="72B5277C" w14:textId="77777777" w:rsidR="00BA1757" w:rsidRPr="00165F19" w:rsidRDefault="00A323F2">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Conclusión: </w:t>
      </w:r>
      <w:r w:rsidRPr="00165F19">
        <w:rPr>
          <w:rFonts w:ascii="Palatino Linotype" w:eastAsia="Palatino Linotype" w:hAnsi="Palatino Linotype" w:cs="Palatino Linotype"/>
          <w:sz w:val="22"/>
          <w:szCs w:val="22"/>
        </w:rPr>
        <w:t>Dentro de los sesenta días naturales siguientes a la conclusión del cargo.</w:t>
      </w:r>
      <w:r w:rsidRPr="00165F19">
        <w:rPr>
          <w:rFonts w:ascii="Palatino Linotype" w:eastAsia="Palatino Linotype" w:hAnsi="Palatino Linotype" w:cs="Palatino Linotype"/>
          <w:b/>
          <w:sz w:val="22"/>
          <w:szCs w:val="22"/>
        </w:rPr>
        <w:t xml:space="preserve"> </w:t>
      </w:r>
    </w:p>
    <w:p w14:paraId="2AB8C4F9" w14:textId="77777777" w:rsidR="00BA1757" w:rsidRPr="00165F19" w:rsidRDefault="00A323F2">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w:t>
      </w:r>
      <w:r w:rsidRPr="00165F19">
        <w:rPr>
          <w:rFonts w:ascii="Palatino Linotype" w:eastAsia="Palatino Linotype" w:hAnsi="Palatino Linotype" w:cs="Palatino Linotype"/>
          <w:b/>
          <w:sz w:val="22"/>
          <w:szCs w:val="22"/>
        </w:rPr>
        <w:t xml:space="preserve">la Secretaría de la Contraloría tendrá a su cargo el sistema de certificación de los medios de identificación electrónica que utilicen los servidores públicos y llevará el control de dicho medio, </w:t>
      </w:r>
      <w:r w:rsidRPr="00165F19">
        <w:rPr>
          <w:rFonts w:ascii="Palatino Linotype" w:eastAsia="Palatino Linotype" w:hAnsi="Palatino Linotype" w:cs="Palatino Linotype"/>
          <w:sz w:val="22"/>
          <w:szCs w:val="22"/>
        </w:rPr>
        <w:t>a saber:</w:t>
      </w:r>
    </w:p>
    <w:p w14:paraId="0D6940ED"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35</w:t>
      </w:r>
      <w:r w:rsidRPr="00165F19">
        <w:rPr>
          <w:rFonts w:ascii="Palatino Linotype" w:eastAsia="Palatino Linotype" w:hAnsi="Palatino Linotype" w:cs="Palatino Linotype"/>
          <w:i/>
          <w:sz w:val="22"/>
          <w:szCs w:val="22"/>
        </w:rPr>
        <w:t xml:space="preserve">. La declaración de situación patrimonial, deberá ser presentada a través de medios electrónicos, empleándose medios de identificación electrónica. </w:t>
      </w:r>
    </w:p>
    <w:p w14:paraId="19EC8DFB"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En el caso de municipios que no cuenten con las tecnologías de la información y comunicación necesarias para cumplir lo anterior, podrán emplearse formatos </w:t>
      </w:r>
      <w:r w:rsidRPr="00165F19">
        <w:rPr>
          <w:rFonts w:ascii="Palatino Linotype" w:eastAsia="Palatino Linotype" w:hAnsi="Palatino Linotype" w:cs="Palatino Linotype"/>
          <w:i/>
          <w:sz w:val="22"/>
          <w:szCs w:val="22"/>
        </w:rPr>
        <w:lastRenderedPageBreak/>
        <w:t xml:space="preserve">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230F8D68"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i/>
          <w:sz w:val="22"/>
          <w:szCs w:val="22"/>
        </w:rPr>
        <w:t xml:space="preserve">La </w:t>
      </w:r>
      <w:r w:rsidRPr="00165F19">
        <w:rPr>
          <w:rFonts w:ascii="Palatino Linotype" w:eastAsia="Palatino Linotype" w:hAnsi="Palatino Linotype" w:cs="Palatino Linotype"/>
          <w:b/>
          <w:i/>
          <w:sz w:val="22"/>
          <w:szCs w:val="22"/>
        </w:rPr>
        <w:t xml:space="preserve">Secretaría de la Contraloría tendrá a su cargo el sistema de certificación de los medios de identificación electrónica que utilicen los servidores públicos y llevará el control de dicho medio. </w:t>
      </w:r>
    </w:p>
    <w:p w14:paraId="26B0A39A"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61811619"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14:paraId="30399E0A" w14:textId="77777777" w:rsidR="00BA1757" w:rsidRPr="00165F19" w:rsidRDefault="00A323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2D70C11F" w14:textId="77777777" w:rsidR="00BA1757" w:rsidRPr="00165F19" w:rsidRDefault="00A323F2">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sz w:val="22"/>
          <w:szCs w:val="22"/>
        </w:rPr>
        <w:t xml:space="preserve">Por cuanto hace a las atribuciones de la Secretaría de la Contraloría, la fracción XVII del artículo 38 bis de la Ley Orgánica de la Administración Pública del Estado de México, </w:t>
      </w:r>
      <w:r w:rsidRPr="00165F19">
        <w:rPr>
          <w:rFonts w:ascii="Palatino Linotype" w:eastAsia="Palatino Linotype" w:hAnsi="Palatino Linotype" w:cs="Palatino Linotype"/>
          <w:b/>
          <w:sz w:val="22"/>
          <w:szCs w:val="22"/>
        </w:rPr>
        <w:t xml:space="preserve">le confiere la atribución de recibir y registrar la declaración de situación patrimonial de los servidores públicos de los municipios, como se lee enseguida: </w:t>
      </w:r>
    </w:p>
    <w:p w14:paraId="59AD93C8" w14:textId="77777777" w:rsidR="00BA1757" w:rsidRPr="00165F19" w:rsidRDefault="00A323F2">
      <w:pPr>
        <w:spacing w:before="120" w:after="120"/>
        <w:ind w:left="1134"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165F19">
        <w:rPr>
          <w:rFonts w:ascii="Palatino Linotype" w:eastAsia="Palatino Linotype" w:hAnsi="Palatino Linotype" w:cs="Palatino Linotype"/>
          <w:i/>
          <w:sz w:val="22"/>
          <w:szCs w:val="22"/>
        </w:rPr>
        <w:t xml:space="preserve">, de intereses y constancia de presentación de la declaración fiscal, así como de la responsabilidad </w:t>
      </w:r>
      <w:r w:rsidRPr="00165F19">
        <w:rPr>
          <w:rFonts w:ascii="Palatino Linotype" w:eastAsia="Palatino Linotype" w:hAnsi="Palatino Linotype" w:cs="Palatino Linotype"/>
          <w:b/>
          <w:i/>
          <w:sz w:val="22"/>
          <w:szCs w:val="22"/>
        </w:rPr>
        <w:t>de los servidores públicos</w:t>
      </w:r>
      <w:r w:rsidRPr="00165F19">
        <w:rPr>
          <w:rFonts w:ascii="Palatino Linotype" w:eastAsia="Palatino Linotype" w:hAnsi="Palatino Linotype" w:cs="Palatino Linotype"/>
          <w:i/>
          <w:sz w:val="22"/>
          <w:szCs w:val="22"/>
        </w:rPr>
        <w:t>, en términos de lo que disponga la normatividad aplicable en la materia.</w:t>
      </w:r>
    </w:p>
    <w:p w14:paraId="730B5178" w14:textId="77777777" w:rsidR="00BA1757" w:rsidRPr="00165F19" w:rsidRDefault="00A323F2">
      <w:pPr>
        <w:spacing w:before="120" w:after="120"/>
        <w:ind w:left="1134"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w:t>
      </w:r>
    </w:p>
    <w:p w14:paraId="1441656D" w14:textId="77777777" w:rsidR="00BA1757" w:rsidRPr="00165F19" w:rsidRDefault="00A323F2">
      <w:pPr>
        <w:spacing w:before="120" w:after="120"/>
        <w:ind w:left="1134"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 xml:space="preserve">XVII. </w:t>
      </w:r>
      <w:r w:rsidRPr="00165F19">
        <w:rPr>
          <w:rFonts w:ascii="Palatino Linotype" w:eastAsia="Palatino Linotype" w:hAnsi="Palatino Linotype" w:cs="Palatino Linotype"/>
          <w:b/>
          <w:i/>
          <w:sz w:val="22"/>
          <w:szCs w:val="22"/>
          <w:u w:val="single"/>
        </w:rPr>
        <w:t xml:space="preserve">Recibir y registrar la declaración de situación patrimonial, </w:t>
      </w:r>
      <w:r w:rsidRPr="00165F19">
        <w:rPr>
          <w:rFonts w:ascii="Palatino Linotype" w:eastAsia="Palatino Linotype" w:hAnsi="Palatino Linotype" w:cs="Palatino Linotype"/>
          <w:i/>
          <w:sz w:val="22"/>
          <w:szCs w:val="22"/>
        </w:rPr>
        <w:t xml:space="preserve">la declaración de intereses, la presentación de la constancia de declaración fiscal y determinar el Conflicto de Intereses </w:t>
      </w:r>
      <w:r w:rsidRPr="00165F19">
        <w:rPr>
          <w:rFonts w:ascii="Palatino Linotype" w:eastAsia="Palatino Linotype" w:hAnsi="Palatino Linotype" w:cs="Palatino Linotype"/>
          <w:b/>
          <w:i/>
          <w:sz w:val="22"/>
          <w:szCs w:val="22"/>
          <w:u w:val="single"/>
        </w:rPr>
        <w:t>de los servidores públicos del Estado y municipios</w:t>
      </w:r>
      <w:r w:rsidRPr="00165F19">
        <w:rPr>
          <w:rFonts w:ascii="Palatino Linotype" w:eastAsia="Palatino Linotype" w:hAnsi="Palatino Linotype" w:cs="Palatino Linotype"/>
          <w:b/>
          <w:i/>
          <w:sz w:val="22"/>
          <w:szCs w:val="22"/>
        </w:rPr>
        <w:t xml:space="preserve">, </w:t>
      </w:r>
      <w:r w:rsidRPr="00165F19">
        <w:rPr>
          <w:rFonts w:ascii="Palatino Linotype" w:eastAsia="Palatino Linotype" w:hAnsi="Palatino Linotype" w:cs="Palatino Linotype"/>
          <w:i/>
          <w:sz w:val="22"/>
          <w:szCs w:val="22"/>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2BDCD1C1" w14:textId="77777777" w:rsidR="00BA1757" w:rsidRPr="00165F19" w:rsidRDefault="00A323F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516793B5" w14:textId="77777777" w:rsidR="00BA1757" w:rsidRPr="00165F19" w:rsidRDefault="00A323F2">
      <w:pPr>
        <w:pBdr>
          <w:top w:val="nil"/>
          <w:left w:val="nil"/>
          <w:bottom w:val="nil"/>
          <w:right w:val="nil"/>
          <w:between w:val="nil"/>
        </w:pBd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24.</w:t>
      </w:r>
      <w:r w:rsidRPr="00165F19">
        <w:rPr>
          <w:rFonts w:ascii="Palatino Linotype" w:eastAsia="Palatino Linotype" w:hAnsi="Palatino Linotype" w:cs="Palatino Linotype"/>
          <w:i/>
          <w:sz w:val="22"/>
          <w:szCs w:val="22"/>
        </w:rPr>
        <w:t xml:space="preserve"> A la Dirección General de Responsabilidades Administrativas, corresponden las atribuciones siguientes: </w:t>
      </w:r>
    </w:p>
    <w:p w14:paraId="0D9A623F" w14:textId="77777777" w:rsidR="00BA1757" w:rsidRPr="00165F19" w:rsidRDefault="00A323F2">
      <w:pPr>
        <w:pBdr>
          <w:top w:val="nil"/>
          <w:left w:val="nil"/>
          <w:bottom w:val="nil"/>
          <w:right w:val="nil"/>
          <w:between w:val="nil"/>
        </w:pBd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 </w:t>
      </w:r>
    </w:p>
    <w:p w14:paraId="76B7B60B" w14:textId="77777777" w:rsidR="00BA1757" w:rsidRPr="00165F19" w:rsidRDefault="00A323F2">
      <w:pPr>
        <w:pBdr>
          <w:top w:val="nil"/>
          <w:left w:val="nil"/>
          <w:bottom w:val="nil"/>
          <w:right w:val="nil"/>
          <w:between w:val="nil"/>
        </w:pBd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VI.</w:t>
      </w:r>
      <w:r w:rsidRPr="00165F19">
        <w:rPr>
          <w:rFonts w:ascii="Palatino Linotype" w:eastAsia="Palatino Linotype" w:hAnsi="Palatino Linotype" w:cs="Palatino Linotype"/>
          <w:i/>
          <w:sz w:val="22"/>
          <w:szCs w:val="22"/>
        </w:rPr>
        <w:t xml:space="preserve"> Recibir las declaraciones de situación patrimonial, de intereses y el acuse de la presentación de la declaración fiscal de los servidores públicos de la Administración Pública Estatal y Municipal; </w:t>
      </w:r>
    </w:p>
    <w:p w14:paraId="00CFB5D1" w14:textId="77777777" w:rsidR="00BA1757" w:rsidRPr="00165F19" w:rsidRDefault="00A323F2">
      <w:pPr>
        <w:pBdr>
          <w:top w:val="nil"/>
          <w:left w:val="nil"/>
          <w:bottom w:val="nil"/>
          <w:right w:val="nil"/>
          <w:between w:val="nil"/>
        </w:pBd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VII.</w:t>
      </w:r>
      <w:r w:rsidRPr="00165F19">
        <w:rPr>
          <w:rFonts w:ascii="Palatino Linotype" w:eastAsia="Palatino Linotype" w:hAnsi="Palatino Linotype" w:cs="Palatino Linotype"/>
          <w:i/>
          <w:sz w:val="22"/>
          <w:szCs w:val="22"/>
        </w:rPr>
        <w:t xml:space="preserve"> Coordinar y llevar el registro y </w:t>
      </w:r>
      <w:r w:rsidRPr="00165F19">
        <w:rPr>
          <w:rFonts w:ascii="Palatino Linotype" w:eastAsia="Palatino Linotype" w:hAnsi="Palatino Linotype" w:cs="Palatino Linotype"/>
          <w:b/>
          <w:i/>
          <w:sz w:val="22"/>
          <w:szCs w:val="22"/>
        </w:rPr>
        <w:t>resguardo de las declaraciones de situación patrimonial, de intereses y el acuse de la presentación de la declaración fiscal de los servidores públicos de la Administración Pública Estatal y Municipal,</w:t>
      </w:r>
      <w:r w:rsidRPr="00165F19">
        <w:rPr>
          <w:rFonts w:ascii="Palatino Linotype" w:eastAsia="Palatino Linotype" w:hAnsi="Palatino Linotype" w:cs="Palatino Linotype"/>
          <w:i/>
          <w:sz w:val="22"/>
          <w:szCs w:val="22"/>
        </w:rPr>
        <w:t xml:space="preserve"> para su publicitación conforme a las disposiciones jurídicas aplicables, así como para suministrar la información correspondiente a la Plataforma Digital Nacional y Estatal del Sistema Nacional y Estatal Anticorrupción;”</w:t>
      </w:r>
    </w:p>
    <w:p w14:paraId="3B7EC31B" w14:textId="77777777" w:rsidR="00BA1757" w:rsidRPr="00165F19" w:rsidRDefault="00A323F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este sentido, se colige que la Secretaría de la Contraloría, a través de la</w:t>
      </w:r>
      <w:r w:rsidRPr="00165F19">
        <w:rPr>
          <w:rFonts w:ascii="Palatino Linotype" w:eastAsia="Palatino Linotype" w:hAnsi="Palatino Linotype" w:cs="Palatino Linotype"/>
          <w:b/>
          <w:sz w:val="22"/>
          <w:szCs w:val="22"/>
        </w:rPr>
        <w:t xml:space="preserve"> Dirección General de Responsabilidades Administrativas</w:t>
      </w:r>
      <w:r w:rsidRPr="00165F19">
        <w:rPr>
          <w:rFonts w:ascii="Palatino Linotype" w:eastAsia="Palatino Linotype" w:hAnsi="Palatino Linotype" w:cs="Palatino Linotype"/>
          <w:sz w:val="22"/>
          <w:szCs w:val="22"/>
        </w:rPr>
        <w:t xml:space="preserve">, es la entidad responsable de recibir, registrar y resguardar las declaraciones de situación patrimonial, de intereses, así como la presentación </w:t>
      </w:r>
      <w:r w:rsidRPr="00165F19">
        <w:rPr>
          <w:rFonts w:ascii="Palatino Linotype" w:eastAsia="Palatino Linotype" w:hAnsi="Palatino Linotype" w:cs="Palatino Linotype"/>
          <w:sz w:val="22"/>
          <w:szCs w:val="22"/>
        </w:rPr>
        <w:lastRenderedPageBreak/>
        <w:t>de la constancia de declaración fiscal de los servidores públicos de la Administración Pública Estatal y Municipal.</w:t>
      </w:r>
    </w:p>
    <w:p w14:paraId="090FB4C9"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En ese contexto, resulta importante señalar, respecto de la Declaración Patrimonial, que este Instituto advirtió que en la página oficial de la Secretaría de la Contraloría, en el apartado de Declaración Patrimonial y de Intereses, consultada en la liga electrónica, precisa que dicha dependencia ofrece el sistema </w:t>
      </w:r>
      <w:proofErr w:type="spellStart"/>
      <w:r w:rsidRPr="00165F19">
        <w:rPr>
          <w:rFonts w:ascii="Palatino Linotype" w:eastAsia="Palatino Linotype" w:hAnsi="Palatino Linotype" w:cs="Palatino Linotype"/>
          <w:sz w:val="22"/>
          <w:szCs w:val="22"/>
        </w:rPr>
        <w:t>Decl@raNET</w:t>
      </w:r>
      <w:proofErr w:type="spellEnd"/>
      <w:r w:rsidRPr="00165F19">
        <w:rPr>
          <w:rFonts w:ascii="Palatino Linotype" w:eastAsia="Palatino Linotype" w:hAnsi="Palatino Linotype" w:cs="Palatino Linotype"/>
          <w:sz w:val="22"/>
          <w:szCs w:val="22"/>
        </w:rPr>
        <w:t>, con la finalidad de facilitar a los servidores públicos del Estado de México, presenten su Declaración de Situación Patrimonial, Declaración de Intereses o Posible Conflicto de Intereses y presentación de Constancia de Declaración Fiscal.</w:t>
      </w:r>
    </w:p>
    <w:p w14:paraId="3A973705" w14:textId="77777777" w:rsidR="00BA1757" w:rsidRPr="00165F19" w:rsidRDefault="00A323F2">
      <w:pPr>
        <w:spacing w:before="240" w:after="240" w:line="360" w:lineRule="auto"/>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drawing>
          <wp:inline distT="0" distB="0" distL="0" distR="0" wp14:anchorId="024124B7" wp14:editId="182A38AE">
            <wp:extent cx="5612130" cy="2936875"/>
            <wp:effectExtent l="0" t="0" r="0" b="0"/>
            <wp:docPr id="7702015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2130" cy="2936875"/>
                    </a:xfrm>
                    <a:prstGeom prst="rect">
                      <a:avLst/>
                    </a:prstGeom>
                    <a:ln/>
                  </pic:spPr>
                </pic:pic>
              </a:graphicData>
            </a:graphic>
          </wp:inline>
        </w:drawing>
      </w:r>
    </w:p>
    <w:p w14:paraId="562696E7"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Además, que en dicho portal se precisa que el sistema </w:t>
      </w:r>
      <w:proofErr w:type="spellStart"/>
      <w:r w:rsidRPr="00165F19">
        <w:rPr>
          <w:rFonts w:ascii="Palatino Linotype" w:eastAsia="Palatino Linotype" w:hAnsi="Palatino Linotype" w:cs="Palatino Linotype"/>
          <w:sz w:val="22"/>
          <w:szCs w:val="22"/>
        </w:rPr>
        <w:t>Decl@raNET</w:t>
      </w:r>
      <w:proofErr w:type="spellEnd"/>
      <w:r w:rsidRPr="00165F19">
        <w:rPr>
          <w:rFonts w:ascii="Palatino Linotype" w:eastAsia="Palatino Linotype" w:hAnsi="Palatino Linotype" w:cs="Palatino Linotype"/>
          <w:sz w:val="22"/>
          <w:szCs w:val="22"/>
        </w:rPr>
        <w: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14:paraId="2177FED3"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 xml:space="preserve">En otras palabras, el Sistema </w:t>
      </w:r>
      <w:proofErr w:type="spellStart"/>
      <w:r w:rsidRPr="00165F19">
        <w:rPr>
          <w:rFonts w:ascii="Palatino Linotype" w:eastAsia="Palatino Linotype" w:hAnsi="Palatino Linotype" w:cs="Palatino Linotype"/>
          <w:sz w:val="22"/>
          <w:szCs w:val="22"/>
        </w:rPr>
        <w:t>Decl@raNET</w:t>
      </w:r>
      <w:proofErr w:type="spellEnd"/>
      <w:r w:rsidRPr="00165F19">
        <w:rPr>
          <w:rFonts w:ascii="Palatino Linotype" w:eastAsia="Palatino Linotype" w:hAnsi="Palatino Linotype" w:cs="Palatino Linotype"/>
          <w:sz w:val="22"/>
          <w:szCs w:val="22"/>
        </w:rPr>
        <w:t xml:space="preserve">,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el </w:t>
      </w:r>
      <w:r w:rsidRPr="00165F19">
        <w:rPr>
          <w:rFonts w:ascii="Palatino Linotype" w:eastAsia="Palatino Linotype" w:hAnsi="Palatino Linotype" w:cs="Palatino Linotype"/>
          <w:b/>
          <w:sz w:val="22"/>
          <w:szCs w:val="22"/>
        </w:rPr>
        <w:t>Departamento de Recepción y Análisis de Manifestación de Bienes y Declaración de Intereses</w:t>
      </w:r>
      <w:r w:rsidRPr="00165F19">
        <w:rPr>
          <w:rFonts w:ascii="Palatino Linotype" w:eastAsia="Palatino Linotype" w:hAnsi="Palatino Linotype" w:cs="Palatino Linotype"/>
          <w:sz w:val="22"/>
          <w:szCs w:val="22"/>
        </w:rPr>
        <w:t>, encargado de realizar la recepción, registro y resguardo de las declaraciones de situación patrimonial de los servidores públicos de las Administraciones Públicas Estatal y Municipal.</w:t>
      </w:r>
    </w:p>
    <w:p w14:paraId="1377B581" w14:textId="77777777" w:rsidR="00BA1757" w:rsidRPr="00165F19" w:rsidRDefault="00A323F2">
      <w:pPr>
        <w:spacing w:before="280" w:after="280"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sz w:val="22"/>
          <w:szCs w:val="22"/>
        </w:rPr>
        <w:t xml:space="preserve">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RPr="00165F19">
        <w:rPr>
          <w:rFonts w:ascii="Palatino Linotype" w:eastAsia="Palatino Linotype" w:hAnsi="Palatino Linotype" w:cs="Palatino Linotype"/>
          <w:b/>
          <w:sz w:val="22"/>
          <w:szCs w:val="22"/>
        </w:rPr>
        <w:t>al tenerse por acreditado que los Órganos Internos de Control únicamente verifican el cumplimiento de entrega de las declaraciones patrimoniales</w:t>
      </w:r>
      <w:r w:rsidRPr="00165F19">
        <w:rPr>
          <w:rFonts w:ascii="Palatino Linotype" w:eastAsia="Palatino Linotype" w:hAnsi="Palatino Linotype" w:cs="Palatino Linotype"/>
          <w:sz w:val="22"/>
          <w:szCs w:val="22"/>
        </w:rPr>
        <w:t xml:space="preserve">, sin que ellos funjan como intermediarios en la recepción y posterior entrega de las mismas ante la Secretaría de la Contraloría del Gobierno del Estado de México, </w:t>
      </w:r>
      <w:r w:rsidRPr="00165F19">
        <w:rPr>
          <w:rFonts w:ascii="Palatino Linotype" w:eastAsia="Palatino Linotype" w:hAnsi="Palatino Linotype" w:cs="Palatino Linotype"/>
          <w:b/>
          <w:sz w:val="22"/>
          <w:szCs w:val="22"/>
        </w:rPr>
        <w:t>es fácticamente imposible que el Sujeto Obligado, haga entrega de información que no genera, administra o posee al no tener  atribuciones</w:t>
      </w:r>
      <w:r w:rsidRPr="00165F19">
        <w:rPr>
          <w:rFonts w:ascii="Palatino Linotype" w:eastAsia="Palatino Linotype" w:hAnsi="Palatino Linotype" w:cs="Palatino Linotype"/>
          <w:sz w:val="22"/>
          <w:szCs w:val="22"/>
        </w:rPr>
        <w:t xml:space="preserve"> </w:t>
      </w:r>
      <w:r w:rsidRPr="00165F19">
        <w:rPr>
          <w:rFonts w:ascii="Palatino Linotype" w:eastAsia="Palatino Linotype" w:hAnsi="Palatino Linotype" w:cs="Palatino Linotype"/>
          <w:b/>
          <w:sz w:val="22"/>
          <w:szCs w:val="22"/>
        </w:rPr>
        <w:t>para ello.</w:t>
      </w:r>
    </w:p>
    <w:p w14:paraId="727AC8F6"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 efecto de robustecer lo anterior 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14:paraId="6B7C80EC" w14:textId="77777777" w:rsidR="00BA1757" w:rsidRPr="00165F19" w:rsidRDefault="00A323F2">
      <w:pP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sz w:val="22"/>
          <w:szCs w:val="22"/>
        </w:rPr>
        <w:lastRenderedPageBreak/>
        <w:t>“</w:t>
      </w:r>
      <w:r w:rsidRPr="00165F19">
        <w:rPr>
          <w:rFonts w:ascii="Palatino Linotype" w:eastAsia="Palatino Linotype" w:hAnsi="Palatino Linotype" w:cs="Palatino Linotype"/>
          <w:b/>
          <w:i/>
          <w:sz w:val="22"/>
          <w:szCs w:val="22"/>
        </w:rPr>
        <w:t>Artículo 92.</w:t>
      </w:r>
      <w:r w:rsidRPr="00165F1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6ACBCE" w14:textId="77777777" w:rsidR="00BA1757" w:rsidRPr="00165F19" w:rsidRDefault="00A323F2">
      <w:pPr>
        <w:spacing w:before="120" w:after="120"/>
        <w:ind w:left="1134"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7619713A" w14:textId="77777777" w:rsidR="00BA1757" w:rsidRPr="00165F19" w:rsidRDefault="00A323F2">
      <w:pPr>
        <w:spacing w:before="120" w:after="120"/>
        <w:ind w:left="1134" w:right="8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XIII. La información en versión pública de las declaraciones patrimoniales y de intereses de los servidores públicos que así lo determinen</w:t>
      </w:r>
      <w:r w:rsidRPr="00165F19">
        <w:rPr>
          <w:rFonts w:ascii="Palatino Linotype" w:eastAsia="Palatino Linotype" w:hAnsi="Palatino Linotype" w:cs="Palatino Linotype"/>
          <w:i/>
          <w:sz w:val="22"/>
          <w:szCs w:val="22"/>
        </w:rPr>
        <w:t>, en los sistemas habilitados para ello, de acuerdo a la normatividad aplicable;”</w:t>
      </w:r>
    </w:p>
    <w:p w14:paraId="4919C4A4" w14:textId="77777777" w:rsidR="00BA1757" w:rsidRPr="00165F19" w:rsidRDefault="00A323F2">
      <w:pPr>
        <w:spacing w:before="280" w:after="28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7C99AA1B" w14:textId="77777777" w:rsidR="00BA1757" w:rsidRPr="00165F19" w:rsidRDefault="00A323F2">
      <w:pPr>
        <w:spacing w:before="280" w:after="28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 de señalar que, en uso de sus atribuciones, este Organismo Garante procedió a consultar la tabla de aplicabilidad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en la que se advierte que </w:t>
      </w:r>
      <w:r w:rsidRPr="00165F19">
        <w:rPr>
          <w:rFonts w:ascii="Palatino Linotype" w:eastAsia="Palatino Linotype" w:hAnsi="Palatino Linotype" w:cs="Palatino Linotype"/>
          <w:b/>
          <w:sz w:val="22"/>
          <w:szCs w:val="22"/>
        </w:rPr>
        <w:t>no</w:t>
      </w:r>
      <w:r w:rsidRPr="00165F19">
        <w:rPr>
          <w:rFonts w:ascii="Palatino Linotype" w:eastAsia="Palatino Linotype" w:hAnsi="Palatino Linotype" w:cs="Palatino Linotype"/>
          <w:sz w:val="22"/>
          <w:szCs w:val="22"/>
        </w:rPr>
        <w:t xml:space="preserve"> le resulta aplicable la obligación de transparencia referida, como se observa en la siguiente ilustración: </w:t>
      </w:r>
    </w:p>
    <w:p w14:paraId="2E1FC88B"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lastRenderedPageBreak/>
        <w:drawing>
          <wp:inline distT="0" distB="0" distL="0" distR="0" wp14:anchorId="26CD2788" wp14:editId="27725F5B">
            <wp:extent cx="5760720" cy="2987675"/>
            <wp:effectExtent l="0" t="0" r="0" b="0"/>
            <wp:docPr id="7702015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0720" cy="2987675"/>
                    </a:xfrm>
                    <a:prstGeom prst="rect">
                      <a:avLst/>
                    </a:prstGeom>
                    <a:ln/>
                  </pic:spPr>
                </pic:pic>
              </a:graphicData>
            </a:graphic>
          </wp:inline>
        </w:drawing>
      </w:r>
    </w:p>
    <w:p w14:paraId="145D445B"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1411F3"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Como se logra observar, la fracción correspondiente a las declaraciones patrimoniales de los servidores públicos no le es aplicable al Sujeto Obligado, por lo que al ser una notoria incompetencia no es viable ordenar la entrega de la información.</w:t>
      </w:r>
    </w:p>
    <w:p w14:paraId="72018EA3"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C9EA9E"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Asimismo, resulta necesario traer a colación, el Criterio de interpretación 13/17, emitido por el entonces Instituto Nacional de Transparencia, Acceso a la Información y Protección de Datos Personales, que dispone lo siguiente: </w:t>
      </w:r>
    </w:p>
    <w:p w14:paraId="1D3A7C5A" w14:textId="77777777" w:rsidR="00BA1757" w:rsidRPr="00165F19" w:rsidRDefault="00A323F2">
      <w:pPr>
        <w:pBdr>
          <w:top w:val="nil"/>
          <w:left w:val="nil"/>
          <w:bottom w:val="nil"/>
          <w:right w:val="nil"/>
          <w:between w:val="nil"/>
        </w:pBdr>
        <w:spacing w:before="120" w:after="120"/>
        <w:ind w:left="851" w:right="851"/>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Incompetencia</w:t>
      </w:r>
      <w:r w:rsidRPr="00165F19">
        <w:rPr>
          <w:rFonts w:ascii="Palatino Linotype" w:eastAsia="Palatino Linotype" w:hAnsi="Palatino Linotype" w:cs="Palatino Linotype"/>
          <w:i/>
          <w:sz w:val="22"/>
          <w:szCs w:val="22"/>
        </w:rPr>
        <w:t>.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7C15113"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En tal virtud, la incompetencia implica que, de conformidad con las atribuciones conferidas al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no habría razón por la cual este deba contar con la información solicitada, en cuyo caso, tendría que orientar al particular para que acuda a la instancia competente. </w:t>
      </w:r>
    </w:p>
    <w:p w14:paraId="7E503192"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Por lo anterior, se dejan a salvo los derechos del particular para que, si así lo desea, presente una nueva solicitud ante la Secretaría de la Contraloría por ser el Sujeto Obligado competente para atender su requerimiento.</w:t>
      </w:r>
    </w:p>
    <w:p w14:paraId="658AAEEA"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Registros o listas de asistencia.</w:t>
      </w:r>
    </w:p>
    <w:p w14:paraId="14653109"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lo que corresponde a las listas de asistencia, es necesario traer a contexto lo señalado por la Ley del Trabajo de los Servidores Públicos del Estado y Municipios, en su artículo 220 K, establece los documentos que tiene la obligación de conservar el Sujeto Obligado, entre los que se encuentran los controles de asistencia:</w:t>
      </w:r>
    </w:p>
    <w:p w14:paraId="0916DA93" w14:textId="77777777" w:rsidR="00BA1757" w:rsidRPr="00165F19" w:rsidRDefault="00BA1757">
      <w:pPr>
        <w:rPr>
          <w:rFonts w:ascii="Palatino Linotype" w:eastAsia="Palatino Linotype" w:hAnsi="Palatino Linotype" w:cs="Palatino Linotype"/>
          <w:sz w:val="22"/>
          <w:szCs w:val="22"/>
        </w:rPr>
      </w:pPr>
    </w:p>
    <w:p w14:paraId="4CCBE4A3"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220 K.- La institución o dependencia pública tiene la obligación de conservar y exhibir en el proceso los documentos que a continuación se precisan:</w:t>
      </w:r>
    </w:p>
    <w:p w14:paraId="450F13A3"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 </w:t>
      </w:r>
    </w:p>
    <w:p w14:paraId="6E71268F"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 </w:t>
      </w:r>
    </w:p>
    <w:p w14:paraId="05E12DB2"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III. Controles de asistencia o la información magnética o electrónica de asistencia de los servidores públicos; </w:t>
      </w:r>
    </w:p>
    <w:p w14:paraId="2AA2AEF4"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 </w:t>
      </w:r>
    </w:p>
    <w:p w14:paraId="3E1E7D57"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2BB3D03" w14:textId="77777777" w:rsidR="00BA1757" w:rsidRPr="00165F19" w:rsidRDefault="00BA1757">
      <w:pPr>
        <w:rPr>
          <w:rFonts w:ascii="Palatino Linotype" w:eastAsia="Palatino Linotype" w:hAnsi="Palatino Linotype" w:cs="Palatino Linotype"/>
          <w:sz w:val="22"/>
          <w:szCs w:val="22"/>
        </w:rPr>
      </w:pPr>
    </w:p>
    <w:p w14:paraId="54205DBA"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Del anterior precepto legal, se advierte que toda institución o dependencia pública del Estado de México debe conservar las constancias de asistencia de los servidores públicos durante el </w:t>
      </w:r>
      <w:r w:rsidRPr="00165F19">
        <w:rPr>
          <w:rFonts w:ascii="Palatino Linotype" w:eastAsia="Palatino Linotype" w:hAnsi="Palatino Linotype" w:cs="Palatino Linotype"/>
          <w:sz w:val="22"/>
          <w:szCs w:val="22"/>
        </w:rPr>
        <w:lastRenderedPageBreak/>
        <w:t>último año y un año después de que se extinga la relación laboral, a través de los sistemas de digitalización o de información magnética o electrónica.</w:t>
      </w:r>
    </w:p>
    <w:p w14:paraId="78B886E7" w14:textId="77777777" w:rsidR="00BA1757" w:rsidRPr="00165F19" w:rsidRDefault="00BA1757">
      <w:pPr>
        <w:spacing w:line="360" w:lineRule="auto"/>
        <w:rPr>
          <w:rFonts w:ascii="Palatino Linotype" w:eastAsia="Palatino Linotype" w:hAnsi="Palatino Linotype" w:cs="Palatino Linotype"/>
          <w:sz w:val="22"/>
          <w:szCs w:val="22"/>
        </w:rPr>
      </w:pPr>
    </w:p>
    <w:p w14:paraId="5A1C400E"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otro lado el Reglamento de Condiciones Generales de Trabajo de Las Personas Servidoras Públicas Generales del Instituto Mexiquense De La Juventud, establece dentro del precepto normativo 48, lo siguiente:</w:t>
      </w:r>
    </w:p>
    <w:p w14:paraId="08D247E9" w14:textId="77777777" w:rsidR="00BA1757" w:rsidRPr="00165F19" w:rsidRDefault="00BA1757">
      <w:pPr>
        <w:spacing w:line="360" w:lineRule="auto"/>
        <w:rPr>
          <w:rFonts w:ascii="Palatino Linotype" w:eastAsia="Palatino Linotype" w:hAnsi="Palatino Linotype" w:cs="Palatino Linotype"/>
          <w:sz w:val="22"/>
          <w:szCs w:val="22"/>
        </w:rPr>
      </w:pPr>
    </w:p>
    <w:p w14:paraId="061D5B90"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48.- Para llevar un debido control de la asistencia y puntualidad de las personas servidoras públicas generales, estas están obligadas a registrar su hora de entrada y salida a sus labores, en su tarjeta de control de asistencia, lista de asistencia, tarjeta checadora, gafete con código de barras en lectores ópticos o cualquier otro medio que se acostumbre llevar para el registro de asistencia, y no podrán registrar su asistencia y puntualidad en otra tarjeta, o dispositivo, que no sea el suyo.</w:t>
      </w:r>
    </w:p>
    <w:p w14:paraId="2F4E5358" w14:textId="77777777" w:rsidR="00BA1757" w:rsidRPr="00165F19" w:rsidRDefault="00A323F2">
      <w:pPr>
        <w:pBdr>
          <w:top w:val="nil"/>
          <w:left w:val="nil"/>
          <w:bottom w:val="nil"/>
          <w:right w:val="nil"/>
          <w:between w:val="nil"/>
        </w:pBdr>
        <w:ind w:left="567" w:right="84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6AE01B00" w14:textId="77777777" w:rsidR="00BA1757" w:rsidRPr="00165F19" w:rsidRDefault="00BA1757">
      <w:pPr>
        <w:rPr>
          <w:rFonts w:ascii="Palatino Linotype" w:eastAsia="Palatino Linotype" w:hAnsi="Palatino Linotype" w:cs="Palatino Linotype"/>
          <w:sz w:val="22"/>
          <w:szCs w:val="22"/>
        </w:rPr>
      </w:pPr>
    </w:p>
    <w:p w14:paraId="3278CC82"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Conforme a lo anterior, se advierte, que el SUJETO OBLIGADO debe contar en sus archivos el documento del que se desprenda lo que se solicita respecto a los controles o listas de asistencia, por lo que se ORDENA entregar la información, la cual deberá corresponder a las dos últimas quincenas previas a la fecha de la solicitud, es decir, de la segunda quincena de enero y la primera quincena de febrero de dos mil veinticinco.</w:t>
      </w:r>
    </w:p>
    <w:p w14:paraId="5F4A544B"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1909C82"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No pasa desapercibido que, si bien, </w:t>
      </w:r>
      <w:r w:rsidRPr="00165F19">
        <w:rPr>
          <w:rFonts w:ascii="Palatino Linotype" w:eastAsia="Palatino Linotype" w:hAnsi="Palatino Linotype" w:cs="Palatino Linotype"/>
          <w:b/>
          <w:sz w:val="22"/>
          <w:szCs w:val="22"/>
        </w:rPr>
        <w:t xml:space="preserve">el Sujeto Obligado </w:t>
      </w:r>
      <w:r w:rsidRPr="00165F19">
        <w:rPr>
          <w:rFonts w:ascii="Palatino Linotype" w:eastAsia="Palatino Linotype" w:hAnsi="Palatino Linotype" w:cs="Palatino Linotype"/>
          <w:sz w:val="22"/>
          <w:szCs w:val="22"/>
        </w:rPr>
        <w:t>esta constreñido a contar con el soporte documental solicitado, para el que el servidor público referido en la solicitud, se encuentre exento de registrar su asistencia a través del control correspondiente, dicha autoridad deberá hacer entrega del documento emitido por autoridad competente que autorice dicha circunstancia. </w:t>
      </w:r>
    </w:p>
    <w:p w14:paraId="63D10A34" w14:textId="77777777" w:rsidR="00BA1757" w:rsidRPr="00165F19" w:rsidRDefault="00BA1757">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p>
    <w:p w14:paraId="65816B11"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Sin embargo, para el caso de que derivado de la búsqueda que se ordena, no llegara a localizar en sus archivos las listas de asistencia o bien la autorización emitida por autoridad competente, para omitir la elaboración de listas de asistencia o para exceptuar el registro de la misma,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30F566E2"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178C1AB"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19.</w:t>
      </w:r>
      <w:r w:rsidRPr="00165F19">
        <w:rPr>
          <w:rFonts w:ascii="Palatino Linotype" w:eastAsia="Palatino Linotype" w:hAnsi="Palatino Linotype" w:cs="Palatino Linotype"/>
          <w:i/>
          <w:sz w:val="22"/>
          <w:szCs w:val="22"/>
        </w:rPr>
        <w:t xml:space="preserve"> (…)</w:t>
      </w:r>
    </w:p>
    <w:p w14:paraId="20AAA799"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165F19">
        <w:rPr>
          <w:rFonts w:ascii="Palatino Linotype" w:eastAsia="Palatino Linotype" w:hAnsi="Palatino Linotype" w:cs="Palatino Linotype"/>
          <w:i/>
          <w:sz w:val="22"/>
          <w:szCs w:val="22"/>
        </w:rPr>
        <w:t>, debidamente fundado y motivado, en el que detalle las razones del por qué no obra en sus archivos.”</w:t>
      </w:r>
    </w:p>
    <w:p w14:paraId="4DEC5054"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49.</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Los Comités de Transparencia</w:t>
      </w:r>
      <w:r w:rsidRPr="00165F19">
        <w:rPr>
          <w:rFonts w:ascii="Palatino Linotype" w:eastAsia="Palatino Linotype" w:hAnsi="Palatino Linotype" w:cs="Palatino Linotype"/>
          <w:i/>
          <w:sz w:val="22"/>
          <w:szCs w:val="22"/>
        </w:rPr>
        <w:t xml:space="preserve"> tendrán las siguientes </w:t>
      </w:r>
      <w:r w:rsidRPr="00165F19">
        <w:rPr>
          <w:rFonts w:ascii="Palatino Linotype" w:eastAsia="Palatino Linotype" w:hAnsi="Palatino Linotype" w:cs="Palatino Linotype"/>
          <w:b/>
          <w:i/>
          <w:sz w:val="22"/>
          <w:szCs w:val="22"/>
        </w:rPr>
        <w:t>atribuciones</w:t>
      </w:r>
      <w:r w:rsidRPr="00165F19">
        <w:rPr>
          <w:rFonts w:ascii="Palatino Linotype" w:eastAsia="Palatino Linotype" w:hAnsi="Palatino Linotype" w:cs="Palatino Linotype"/>
          <w:i/>
          <w:sz w:val="22"/>
          <w:szCs w:val="22"/>
        </w:rPr>
        <w:t>:</w:t>
      </w:r>
    </w:p>
    <w:p w14:paraId="7DD285BF"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II.</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Confirmar, modificar o revocar las determinaciones que en materia de</w:t>
      </w:r>
      <w:r w:rsidRPr="00165F19">
        <w:rPr>
          <w:rFonts w:ascii="Palatino Linotype" w:eastAsia="Palatino Linotype" w:hAnsi="Palatino Linotype" w:cs="Palatino Linotype"/>
          <w:i/>
          <w:sz w:val="22"/>
          <w:szCs w:val="22"/>
        </w:rPr>
        <w:t xml:space="preserve"> ampliación del plazo de respuesta, clasificación de la información y </w:t>
      </w:r>
      <w:r w:rsidRPr="00165F19">
        <w:rPr>
          <w:rFonts w:ascii="Palatino Linotype" w:eastAsia="Palatino Linotype" w:hAnsi="Palatino Linotype" w:cs="Palatino Linotype"/>
          <w:b/>
          <w:i/>
          <w:sz w:val="22"/>
          <w:szCs w:val="22"/>
        </w:rPr>
        <w:t>declaración de inexistencia</w:t>
      </w:r>
      <w:r w:rsidRPr="00165F19">
        <w:rPr>
          <w:rFonts w:ascii="Palatino Linotype" w:eastAsia="Palatino Linotype" w:hAnsi="Palatino Linotype" w:cs="Palatino Linotype"/>
          <w:i/>
          <w:sz w:val="22"/>
          <w:szCs w:val="22"/>
        </w:rPr>
        <w:t xml:space="preserve"> o de incompetencia realicen los titulares de las áreas de los sujetos obligados;</w:t>
      </w:r>
    </w:p>
    <w:p w14:paraId="1061EB6C"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XIII</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Dictaminar las declaratorias de inexistencia de la información</w:t>
      </w:r>
      <w:r w:rsidRPr="00165F19">
        <w:rPr>
          <w:rFonts w:ascii="Palatino Linotype" w:eastAsia="Palatino Linotype" w:hAnsi="Palatino Linotype" w:cs="Palatino Linotype"/>
          <w:i/>
          <w:sz w:val="22"/>
          <w:szCs w:val="22"/>
        </w:rPr>
        <w:t xml:space="preserve"> que les remitan las unidades administrativas y resolver en consecuencia…”</w:t>
      </w:r>
    </w:p>
    <w:p w14:paraId="17914B9A"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169</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Cuando la información no se encuentre en los archivos del sujeto obligado, el Comité de Transparencia</w:t>
      </w:r>
      <w:r w:rsidRPr="00165F19">
        <w:rPr>
          <w:rFonts w:ascii="Palatino Linotype" w:eastAsia="Palatino Linotype" w:hAnsi="Palatino Linotype" w:cs="Palatino Linotype"/>
          <w:i/>
          <w:sz w:val="22"/>
          <w:szCs w:val="22"/>
        </w:rPr>
        <w:t xml:space="preserve">: </w:t>
      </w:r>
    </w:p>
    <w:p w14:paraId="3C0E23B8"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w:t>
      </w:r>
      <w:r w:rsidRPr="00165F19">
        <w:rPr>
          <w:rFonts w:ascii="Palatino Linotype" w:eastAsia="Palatino Linotype" w:hAnsi="Palatino Linotype" w:cs="Palatino Linotype"/>
          <w:i/>
          <w:sz w:val="22"/>
          <w:szCs w:val="22"/>
        </w:rPr>
        <w:t xml:space="preserve"> Analizará el caso y tomará las medidas necesarias para localizar la información; </w:t>
      </w:r>
    </w:p>
    <w:p w14:paraId="057D1C58"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II</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Expedirá una resolución que confirme la inexistencia del documento</w:t>
      </w:r>
      <w:r w:rsidRPr="00165F19">
        <w:rPr>
          <w:rFonts w:ascii="Palatino Linotype" w:eastAsia="Palatino Linotype" w:hAnsi="Palatino Linotype" w:cs="Palatino Linotype"/>
          <w:i/>
          <w:sz w:val="22"/>
          <w:szCs w:val="22"/>
        </w:rPr>
        <w:t xml:space="preserve">; </w:t>
      </w:r>
    </w:p>
    <w:p w14:paraId="2BB50EEC"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III.</w:t>
      </w:r>
      <w:r w:rsidRPr="00165F19">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w:t>
      </w:r>
      <w:r w:rsidRPr="00165F19">
        <w:rPr>
          <w:rFonts w:ascii="Palatino Linotype" w:eastAsia="Palatino Linotype" w:hAnsi="Palatino Linotype" w:cs="Palatino Linotype"/>
          <w:i/>
          <w:sz w:val="22"/>
          <w:szCs w:val="22"/>
        </w:rPr>
        <w:lastRenderedPageBreak/>
        <w:t xml:space="preserve">su generación, exponga de forma fundada y motivada, las razones por las cuales en el caso particular no ejerció dichas facultades, competencias o funciones, lo cual notificará al solicitante a través de la Unidad de Transparencia; y </w:t>
      </w:r>
    </w:p>
    <w:p w14:paraId="5C0A3AFD"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IV.</w:t>
      </w:r>
      <w:r w:rsidRPr="00165F19">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0F85F226"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20A76769"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136E52F"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170.</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que permitan al solicitante tener la certeza de que se utilizó un criterio de búsqueda exhaustivo</w:t>
      </w:r>
      <w:r w:rsidRPr="00165F19">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42032533"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B6E94D"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Dicho de otro modo, deberá procederse a la emisión de una resolución que confirme la inexistencia de la información solicitada por parte del Comité de Transparencia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xml:space="preserve"> y comprobar la inexistencia de la información.</w:t>
      </w:r>
    </w:p>
    <w:p w14:paraId="3D20E54C"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096289"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Tiene aplicación al respecto el criterio de interpretación en el orden administrativo número 0004-11 emitido por este Instituto, cuyo contenido es del tenor literal siguiente:</w:t>
      </w:r>
    </w:p>
    <w:p w14:paraId="2D15F803"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ED8678D" w14:textId="77777777" w:rsidR="00BA1757" w:rsidRPr="00165F19" w:rsidRDefault="00A323F2">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INEXISTENCIA. DECLARATORIA DE LA. ALCANCES Y PROCEDIMIENTOS</w:t>
      </w:r>
      <w:r w:rsidRPr="00165F19">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0F096B9C" w14:textId="77777777" w:rsidR="00BA1757" w:rsidRPr="00165F19" w:rsidRDefault="00A323F2">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Bajo el entendido de que dicha búsqueda exhaustiva permitirá dos determinaciones: </w:t>
      </w:r>
    </w:p>
    <w:p w14:paraId="7771FBE9" w14:textId="77777777" w:rsidR="00BA1757" w:rsidRPr="00165F19" w:rsidRDefault="00A323F2">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1ª)</w:t>
      </w:r>
      <w:r w:rsidRPr="00165F19">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ADA1B58" w14:textId="77777777" w:rsidR="00BA1757" w:rsidRPr="00165F19" w:rsidRDefault="00A323F2">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2ª)</w:t>
      </w:r>
      <w:r w:rsidRPr="00165F19">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4C57E8FE" w14:textId="77777777" w:rsidR="00BA1757" w:rsidRPr="00165F19" w:rsidRDefault="00A323F2">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w:t>
      </w:r>
      <w:r w:rsidRPr="00165F19">
        <w:rPr>
          <w:rFonts w:ascii="Palatino Linotype" w:eastAsia="Palatino Linotype" w:hAnsi="Palatino Linotype" w:cs="Palatino Linotype"/>
          <w:i/>
          <w:sz w:val="22"/>
          <w:szCs w:val="22"/>
        </w:rPr>
        <w:lastRenderedPageBreak/>
        <w:t>cuenta para llegar a determinar que la información requerida no obra en los archivos a cargo.”</w:t>
      </w:r>
    </w:p>
    <w:p w14:paraId="63923302"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ABBD2A7"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165F19">
        <w:rPr>
          <w:rFonts w:ascii="Palatino Linotype" w:eastAsia="Palatino Linotype" w:hAnsi="Palatino Linotype" w:cs="Palatino Linotype"/>
          <w:b/>
          <w:sz w:val="22"/>
          <w:szCs w:val="22"/>
        </w:rPr>
        <w:t>el Sujeto Obligado</w:t>
      </w:r>
      <w:r w:rsidRPr="00165F19">
        <w:rPr>
          <w:rFonts w:ascii="Palatino Linotype" w:eastAsia="Palatino Linotype" w:hAnsi="Palatino Linotype" w:cs="Palatino Linotype"/>
          <w:sz w:val="22"/>
          <w:szCs w:val="22"/>
        </w:rPr>
        <w:t xml:space="preserve"> debió de haber generado, administrado o poseído la información pero en incumplimiento a la norma no lo llevo a cabo. Tal como se lee del criterio que para mayor referencia se transcribe a continuación:</w:t>
      </w:r>
    </w:p>
    <w:p w14:paraId="128D4556"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0A9A0AD"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INEXISTENCIA, CONCEPTO DE, EN MATERIA DE TRANSPARENCIA</w:t>
      </w:r>
      <w:r w:rsidRPr="00165F19">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165F19">
        <w:rPr>
          <w:rFonts w:ascii="Palatino Linotype" w:eastAsia="Palatino Linotype" w:hAnsi="Palatino Linotype" w:cs="Palatino Linotype"/>
          <w:b/>
          <w:i/>
          <w:sz w:val="22"/>
          <w:szCs w:val="22"/>
        </w:rPr>
        <w:t>supuestos:</w:t>
      </w:r>
      <w:r w:rsidRPr="00165F19">
        <w:rPr>
          <w:rFonts w:ascii="Palatino Linotype" w:eastAsia="Palatino Linotype" w:hAnsi="Palatino Linotype" w:cs="Palatino Linotype"/>
          <w:i/>
          <w:sz w:val="22"/>
          <w:szCs w:val="22"/>
        </w:rPr>
        <w:t xml:space="preserve"> </w:t>
      </w:r>
    </w:p>
    <w:p w14:paraId="1685DBAD" w14:textId="77777777" w:rsidR="00BA1757" w:rsidRPr="00165F19" w:rsidRDefault="00A323F2">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849329F" w14:textId="77777777" w:rsidR="00BA1757" w:rsidRPr="00165F19" w:rsidRDefault="00A323F2">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1B27CF23" w14:textId="77777777" w:rsidR="00BA1757" w:rsidRPr="00165F19" w:rsidRDefault="00A323F2">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1422F3B"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p>
    <w:p w14:paraId="431AC925"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tanto, la declaratoria de inexistencia no es un mero trámite por el cual de manera mecánica o simple manifieste que la información no existe en sus archivos</w:t>
      </w:r>
      <w:r w:rsidRPr="00165F19">
        <w:rPr>
          <w:rFonts w:ascii="Palatino Linotype" w:eastAsia="Palatino Linotype" w:hAnsi="Palatino Linotype" w:cs="Palatino Linotype"/>
          <w:b/>
          <w:sz w:val="22"/>
          <w:szCs w:val="22"/>
        </w:rPr>
        <w:t xml:space="preserve">, </w:t>
      </w:r>
      <w:r w:rsidRPr="00165F19">
        <w:rPr>
          <w:rFonts w:ascii="Palatino Linotype" w:eastAsia="Palatino Linotype" w:hAnsi="Palatino Linotype" w:cs="Palatino Linotype"/>
          <w:sz w:val="22"/>
          <w:szCs w:val="22"/>
        </w:rPr>
        <w:t xml:space="preserve">cuando la misma por disposición legal debería de obrar, sino que su contenido y alcance implica la responsabilidad y atribución del Comité de Transparencia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w:t>
      </w:r>
      <w:r w:rsidRPr="00165F19">
        <w:rPr>
          <w:rFonts w:ascii="Palatino Linotype" w:eastAsia="Palatino Linotype" w:hAnsi="Palatino Linotype" w:cs="Palatino Linotype"/>
          <w:b/>
          <w:sz w:val="22"/>
          <w:szCs w:val="22"/>
        </w:rPr>
        <w:t xml:space="preserve"> </w:t>
      </w:r>
      <w:r w:rsidRPr="00165F19">
        <w:rPr>
          <w:rFonts w:ascii="Palatino Linotype" w:eastAsia="Palatino Linotype" w:hAnsi="Palatino Linotype" w:cs="Palatino Linotype"/>
          <w:sz w:val="22"/>
          <w:szCs w:val="22"/>
        </w:rPr>
        <w:t>de instruir una búsqueda exhaustiva a todas y cada una de las áreas administrativas de las que se compone, que permitirá:</w:t>
      </w:r>
    </w:p>
    <w:p w14:paraId="75A35AB1"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6DB38BB" w14:textId="77777777" w:rsidR="00BA1757" w:rsidRPr="00165F19" w:rsidRDefault="00A323F2">
      <w:pPr>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731C1E4B"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8C32493"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 actualizarse esta primera hipótesis, la información debe entregarse a </w:t>
      </w:r>
      <w:r w:rsidRPr="00165F19">
        <w:rPr>
          <w:rFonts w:ascii="Palatino Linotype" w:eastAsia="Palatino Linotype" w:hAnsi="Palatino Linotype" w:cs="Palatino Linotype"/>
          <w:b/>
          <w:sz w:val="22"/>
          <w:szCs w:val="22"/>
        </w:rPr>
        <w:t>la parte Recurrente</w:t>
      </w:r>
      <w:r w:rsidRPr="00165F19">
        <w:rPr>
          <w:rFonts w:ascii="Palatino Linotype" w:eastAsia="Palatino Linotype" w:hAnsi="Palatino Linotype" w:cs="Palatino Linotype"/>
          <w:b/>
          <w:i/>
          <w:sz w:val="22"/>
          <w:szCs w:val="22"/>
        </w:rPr>
        <w:t xml:space="preserve"> </w:t>
      </w:r>
      <w:r w:rsidRPr="00165F19">
        <w:rPr>
          <w:rFonts w:ascii="Palatino Linotype" w:eastAsia="Palatino Linotype" w:hAnsi="Palatino Linotype" w:cs="Palatino Linotype"/>
          <w:sz w:val="22"/>
          <w:szCs w:val="22"/>
        </w:rPr>
        <w:t>a través del o los documentos fuente.</w:t>
      </w:r>
    </w:p>
    <w:p w14:paraId="115EE2AA"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02A3D46" w14:textId="77777777" w:rsidR="00BA1757" w:rsidRPr="00165F19" w:rsidRDefault="00A323F2">
      <w:pPr>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Que no se localice documento alguno que contenga la información requerida, en este supuesto, el Comité de Transparencia deberá resolver la declaratoria de inexistencia de la información y notificarla al recurrente</w:t>
      </w:r>
      <w:r w:rsidRPr="00165F19">
        <w:rPr>
          <w:rFonts w:ascii="Palatino Linotype" w:eastAsia="Palatino Linotype" w:hAnsi="Palatino Linotype" w:cs="Palatino Linotype"/>
          <w:b/>
          <w:i/>
          <w:sz w:val="22"/>
          <w:szCs w:val="22"/>
        </w:rPr>
        <w:t xml:space="preserve"> </w:t>
      </w:r>
      <w:r w:rsidRPr="00165F19">
        <w:rPr>
          <w:rFonts w:ascii="Palatino Linotype" w:eastAsia="Palatino Linotype" w:hAnsi="Palatino Linotype" w:cs="Palatino Linotype"/>
          <w:sz w:val="22"/>
          <w:szCs w:val="22"/>
        </w:rPr>
        <w:t>y a este Pleno.</w:t>
      </w:r>
    </w:p>
    <w:p w14:paraId="6F7D4BAB" w14:textId="77777777" w:rsidR="00BA1757" w:rsidRPr="00165F19" w:rsidRDefault="00A323F2">
      <w:pPr>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Que se ordene siempre que sea materialmente posible, que se genere o reponga la información en caso de que ésta tuviera que existir, derivado del ejercicio de sus facultades.</w:t>
      </w:r>
    </w:p>
    <w:p w14:paraId="34CCC387" w14:textId="77777777" w:rsidR="00BA1757" w:rsidRPr="00165F19" w:rsidRDefault="00BA175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75E331"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las relatadas argumentaciones, se puede afirmar que cuando la información requerida por un particular no exista en los archivos de los Sujetos Obligados y que corresponda a información que necesariamente debió ser generada; se requiere de un mecanismo para brindar certeza jurídica y a la vez para determinar el tipo y grado de responsabilidad de los servidores públicos que intervienen en el proceso de elaboración de la información.</w:t>
      </w:r>
    </w:p>
    <w:p w14:paraId="7B999DC6"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Incapacidades médicas.</w:t>
      </w:r>
    </w:p>
    <w:p w14:paraId="4F46A000"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 de recordar que, el Servicio de Salud para los servidores públicos del Estado de México y Municipios, está a cargo del Instituto de Seguridad Social del Estado de México. Al respecto, de los certificados de incapacidad, es conveniente traer a contexto el Reglamento Interno para la Expedición de Certificados de Incapacidad del Instituto de Seguridad Social del Estado de México, cuyo contenido dispone lo siguiente:</w:t>
      </w:r>
    </w:p>
    <w:p w14:paraId="63750F91"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Artículo 2.- Para los efectos del presente Reglamento Interno, se entenderá por:</w:t>
      </w:r>
    </w:p>
    <w:p w14:paraId="1CE31946"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 Certificado.- Al Certificado de Incapacidad temporal para el trabajo, que es el documento médico legal que expide el médico tratante, en el formato oficial, al servidor público en la unidad médica, para hacer constar la incapacidad física o mental para laborar;</w:t>
      </w:r>
    </w:p>
    <w:p w14:paraId="4F4D65F9"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p>
    <w:p w14:paraId="674DEF99" w14:textId="77777777" w:rsidR="00BA1757" w:rsidRPr="00165F19" w:rsidRDefault="00A323F2">
      <w:pPr>
        <w:pBdr>
          <w:top w:val="nil"/>
          <w:left w:val="nil"/>
          <w:bottom w:val="nil"/>
          <w:right w:val="nil"/>
          <w:between w:val="nil"/>
        </w:pBdr>
        <w:spacing w:before="280" w:after="28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 Incapacidad temporal para el trabajo.- A la pérdida o disminución de las facultades o aptitudes físicas o mentales, que imposibilitan a un servidor público para desempeñar su trabajo por algún tiempo; </w:t>
      </w:r>
    </w:p>
    <w:p w14:paraId="33EDC13C"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 así que, el Certificado de Incapacidad temporal es el documento médico legal que expide el médico tratante, en el formato oficial, al servidor público en la unidad médica, para hacer constar la incapacidad física o mental.</w:t>
      </w:r>
    </w:p>
    <w:p w14:paraId="431AEFEA"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 xml:space="preserve"> Estableciendo que la incapacidad temporal para el trabajo es la pérdida o disminución de las facultades o aptitudes físicas o mentales, que imposibilitan a un servidor público para desempeñar su trabajo por algún tiempo.</w:t>
      </w:r>
    </w:p>
    <w:p w14:paraId="7B72CB08" w14:textId="77777777" w:rsidR="00BA1757" w:rsidRPr="00165F19" w:rsidRDefault="00A323F2">
      <w:pPr>
        <w:pBdr>
          <w:top w:val="nil"/>
          <w:left w:val="nil"/>
          <w:bottom w:val="nil"/>
          <w:right w:val="nil"/>
          <w:between w:val="nil"/>
        </w:pBdr>
        <w:spacing w:after="200" w:line="360" w:lineRule="auto"/>
        <w:ind w:right="-93"/>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Asimismo, el referido reglamento establece lo siguiente:</w:t>
      </w:r>
    </w:p>
    <w:p w14:paraId="7DE3E8BD" w14:textId="77777777" w:rsidR="00BA1757" w:rsidRPr="00165F19" w:rsidRDefault="00A323F2">
      <w:pPr>
        <w:pBdr>
          <w:top w:val="nil"/>
          <w:left w:val="nil"/>
          <w:bottom w:val="nil"/>
          <w:right w:val="nil"/>
          <w:between w:val="nil"/>
        </w:pBdr>
        <w:spacing w:after="200"/>
        <w:ind w:right="-93"/>
        <w:jc w:val="center"/>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CAPÍTULO II</w:t>
      </w:r>
    </w:p>
    <w:p w14:paraId="2B649E29" w14:textId="77777777" w:rsidR="00BA1757" w:rsidRPr="00165F19" w:rsidRDefault="00A323F2">
      <w:pPr>
        <w:pBdr>
          <w:top w:val="nil"/>
          <w:left w:val="nil"/>
          <w:bottom w:val="nil"/>
          <w:right w:val="nil"/>
          <w:between w:val="nil"/>
        </w:pBdr>
        <w:spacing w:after="200"/>
        <w:ind w:right="-93"/>
        <w:jc w:val="center"/>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i/>
          <w:sz w:val="22"/>
          <w:szCs w:val="22"/>
        </w:rPr>
        <w:t>DE LA EXPEDICIÓN DE LOS CERTIFICADOS DE INCAPACIDAD</w:t>
      </w:r>
      <w:r w:rsidRPr="00165F19">
        <w:rPr>
          <w:rFonts w:ascii="Palatino Linotype" w:eastAsia="Palatino Linotype" w:hAnsi="Palatino Linotype" w:cs="Palatino Linotype"/>
          <w:b/>
          <w:sz w:val="22"/>
          <w:szCs w:val="22"/>
        </w:rPr>
        <w:t xml:space="preserve"> </w:t>
      </w:r>
    </w:p>
    <w:p w14:paraId="4E145C57"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4.- Para la expedición del certificado, el médico tratante, deberá actuar bajo su absoluta responsabilidad y ética profesional y con estricto apego a la Ley, Reglamentos y Normas Institucionales. </w:t>
      </w:r>
    </w:p>
    <w:p w14:paraId="7E276073"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5.- El certificado deberá ser expedido única y exclusivamente por el médico tratante, haciendo uso del formato oficial establecido por el Instituto, considerando días naturales, y teniendo como base el diagnóstico establecido por él mismo, para el servidor público atendido en la consulta. </w:t>
      </w:r>
    </w:p>
    <w:p w14:paraId="47AC1CBB"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Los médicos residentes no están autorizados para elaborar y/o expedir el certificado. </w:t>
      </w:r>
    </w:p>
    <w:p w14:paraId="30D6FCA3"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6.- El médico tratante sólo podrá expedir el certificado en su jornada de trabajo y de acuerdo a sus atribuciones y funciones competentes al servicio de adscripción. </w:t>
      </w:r>
    </w:p>
    <w:p w14:paraId="42A6D6BA"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7.- El certificado deberá ser elaborado con base en el criterio del médico tratante, mediante el módulo específico del expediente clínico electrónico, y a falta de éste, deberá elaborarse a mano, en ambos casos, no deberá tener tachaduras, enmendaduras o mutilaciones y deberá validarse mediante firma autógrafa del facultativo que lo expide; siendo además requisito indispensable que cuente con el sello impreso de la Dirección médica de la unidad en que se emita. </w:t>
      </w:r>
    </w:p>
    <w:p w14:paraId="15886B6C"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En los casos previstos en los artículos 13, 14, 15, 16, 17, 28 y 29 del presente Reglamento, deberá contar además con el visto bueno del director de la unidad médica o de la persona en quien este delegue esta función.</w:t>
      </w:r>
    </w:p>
    <w:p w14:paraId="2D8DDD83"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Se hará entrega de un certificado original al servidor público, debiendo resguardar en cada unidad, copia en el talonario de formatos consecutivos asignados a cada médico. </w:t>
      </w:r>
    </w:p>
    <w:p w14:paraId="3677A4CF"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8.- Los directores y subdirectores de las unidades médicas, serán responsables del registro y control de los formatos de certificados de incapacidad existentes en cada </w:t>
      </w:r>
      <w:r w:rsidRPr="00165F19">
        <w:rPr>
          <w:rFonts w:ascii="Palatino Linotype" w:eastAsia="Palatino Linotype" w:hAnsi="Palatino Linotype" w:cs="Palatino Linotype"/>
          <w:i/>
          <w:sz w:val="22"/>
          <w:szCs w:val="22"/>
        </w:rPr>
        <w:lastRenderedPageBreak/>
        <w:t xml:space="preserve">una de ellas y deberán implementar lo necesario para la entrega-recepción de los mismos al médico tratante. </w:t>
      </w:r>
    </w:p>
    <w:p w14:paraId="26FA7836"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9.- En caso de extravío o sustracción de formatos de certificados de incapacidad asignados, el médico tratante responsable, deberá denunciar los hechos ante el Ministerio Público que corresponda; lo cual será informado por el director de la unidad médica a la Coordinación de Servicios de Salud y a la Unidad Jurídica y Consultiva. </w:t>
      </w:r>
    </w:p>
    <w:p w14:paraId="71E26F61"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Artículo 10.- El certificado podrá expedirse con carácter de inicial o subsecuente, entendiéndose para cada uno de éstos: </w:t>
      </w:r>
    </w:p>
    <w:p w14:paraId="16D7CC2F"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 Inicial.- Es el documento que expide el médico tratante al servidor público en la fecha en que determina por primera vez que su lesión o enfermedad, lo incapacita temporalmente para su trabajo. </w:t>
      </w:r>
    </w:p>
    <w:p w14:paraId="6FC0E8EF" w14:textId="77777777" w:rsidR="00BA1757" w:rsidRPr="00165F19" w:rsidRDefault="00A323F2">
      <w:pPr>
        <w:pBdr>
          <w:top w:val="nil"/>
          <w:left w:val="nil"/>
          <w:bottom w:val="nil"/>
          <w:right w:val="nil"/>
          <w:between w:val="nil"/>
        </w:pBdr>
        <w:spacing w:after="200"/>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 Subsecuente.- Es el documento posterior al certificado inicial que el médico tratante expide al servidor público que continúa incapacitado por la misma lesión o padecimiento, o por alguna otra lesión o padecimiento intercurrente.</w:t>
      </w:r>
    </w:p>
    <w:p w14:paraId="56B50C10"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 así que, los certificados de incapacidad serán expedidos únicamente por los médicos tratantes, en los formatos oficiales establecidos por la institución, considerando los diagnósticos correspondientes, siendo los mismos médicos los responsables del registro y control de los certificados. Estos podrán ser expedidos de carácter inicial y subsecuente, cuando así lo amerite, enfatizando que únicamente se expedirán las incapacidades cuando exista pérdida o disminución de las facultades o aptitudes físicas o mentales, que imposibilitan a un servidor público para desempeñar su trabajo por algún tiempo.</w:t>
      </w:r>
    </w:p>
    <w:p w14:paraId="7A9CA9BC" w14:textId="77777777" w:rsidR="00BA1757" w:rsidRPr="00165F19" w:rsidRDefault="00A323F2">
      <w:pPr>
        <w:tabs>
          <w:tab w:val="left" w:pos="709"/>
        </w:tabs>
        <w:spacing w:before="240" w:after="240"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Situación que nos conlleva a determinar que los certificados médicos por incapacidad son documentos que contienen en su mayoría personales, incluso datos personales sensibles al contener el estado de salud de su titular.</w:t>
      </w:r>
    </w:p>
    <w:p w14:paraId="67288F06"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A03D198"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1F8C63BA"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ese orden de ideas, el artículo 4°, fracciones IX y X, de la Ley General de Protección de Datos Personales en Posesión de Sujetos Obligados vigente a la fecha de la solicitud y 4°, fracciones XI y XII, de la Ley de Protección de Datos Personales en Posesión de Sujetos Obligados del Estado de México y Municipios, establecen lo siguiente:</w:t>
      </w:r>
    </w:p>
    <w:p w14:paraId="67DA9030"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46DA756D" w14:textId="77777777" w:rsidR="00BA1757" w:rsidRPr="00165F19" w:rsidRDefault="00A323F2">
      <w:pPr>
        <w:numPr>
          <w:ilvl w:val="0"/>
          <w:numId w:val="7"/>
        </w:num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Datos Personales: </w:t>
      </w:r>
      <w:r w:rsidRPr="00165F19">
        <w:rPr>
          <w:rFonts w:ascii="Palatino Linotype" w:eastAsia="Palatino Linotype" w:hAnsi="Palatino Linotype" w:cs="Palatino Linotype"/>
          <w:sz w:val="22"/>
          <w:szCs w:val="22"/>
        </w:rPr>
        <w:t>Son cualquier información concerniente a una persona física identificada o identificable, y</w:t>
      </w:r>
    </w:p>
    <w:p w14:paraId="45D7B754"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7FA0FE75" w14:textId="77777777" w:rsidR="00BA1757" w:rsidRPr="00165F19" w:rsidRDefault="00A323F2">
      <w:pPr>
        <w:numPr>
          <w:ilvl w:val="0"/>
          <w:numId w:val="7"/>
        </w:num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Datos Personales Sensibles:</w:t>
      </w:r>
      <w:r w:rsidRPr="00165F19">
        <w:rPr>
          <w:rFonts w:ascii="Palatino Linotype" w:eastAsia="Palatino Linotype" w:hAnsi="Palatino Linotype" w:cs="Palatino Linotype"/>
          <w:sz w:val="22"/>
          <w:szCs w:val="22"/>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estado de salud, información genética, creencias religiosas, filosóficas y morales, opiniones políticas y preferencia sexual.</w:t>
      </w:r>
    </w:p>
    <w:p w14:paraId="5E4ED2C0"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10F80085"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Situación que toma relevancia, púes el apartado ¿Qué son los datos personales?, de la página oficial de este Instituto (consultada en la liga </w:t>
      </w:r>
      <w:hyperlink r:id="rId13">
        <w:r w:rsidRPr="00165F19">
          <w:rPr>
            <w:rFonts w:ascii="Palatino Linotype" w:eastAsia="Palatino Linotype" w:hAnsi="Palatino Linotype" w:cs="Palatino Linotype"/>
            <w:sz w:val="22"/>
            <w:szCs w:val="22"/>
            <w:u w:val="single"/>
          </w:rPr>
          <w:t>https://www.infoem.org.mx/es/contenido/datos-personales</w:t>
        </w:r>
      </w:hyperlink>
      <w:r w:rsidRPr="00165F19">
        <w:rPr>
          <w:rFonts w:ascii="Palatino Linotype" w:eastAsia="Palatino Linotype" w:hAnsi="Palatino Linotype" w:cs="Palatino Linotype"/>
          <w:sz w:val="22"/>
          <w:szCs w:val="22"/>
        </w:rPr>
        <w:t>), reafirma como una categoría de datos personales sensibles los concernientes a la salud de una persona,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14:paraId="1538AFF5"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3AC301FA"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Como se logra observar cualquier información o dato que se relacione con el estado de salud de una persona, como lo es el diagnóstico y tipo en un certificado de incapacidad, se considera </w:t>
      </w:r>
      <w:r w:rsidRPr="00165F19">
        <w:rPr>
          <w:rFonts w:ascii="Palatino Linotype" w:eastAsia="Palatino Linotype" w:hAnsi="Palatino Linotype" w:cs="Palatino Linotype"/>
          <w:sz w:val="22"/>
          <w:szCs w:val="22"/>
        </w:rPr>
        <w:lastRenderedPageBreak/>
        <w:t>un dato personal sensible, pues da cuenta del estado de salud físico o mental del titular, lo cual está íntimamente relacionado con su vida privada e íntima y, por lo tanto, actualiza la causal de clasificación, establecida en el artículo 143, fracción I, de la Ley de Transparencia y Acceso a la Información Pública del Estado de México y Municipios.</w:t>
      </w:r>
    </w:p>
    <w:p w14:paraId="662FA198"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4C5732E3"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Sin embargo, el Sujeto Obligado fue omiso en pronunciarse al respecto a la existencia o inexistencia de incapacidades, por lo que, se ordena los documentos donde consten la información relacionada con las incapacidades del servidor público desde la fecha que causó alta al diecisiete de febrero de dos mil veinticinco, de ser el caso en versión pública, para lo cual estará a lo dispuesto en el Considerando Quinto de la presente resolución.</w:t>
      </w:r>
    </w:p>
    <w:p w14:paraId="4848132B"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10143742"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 Ahora bien, si como resultado de la búsqueda exhaustiva y razonable de la información, esta no es localizada, por no haberse generado, bastará con que así lo haga del conocimiento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7298A24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95C28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Ingresos Mensuales y quincenales.</w:t>
      </w:r>
    </w:p>
    <w:p w14:paraId="605474F5"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17B286"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Ahora bien respecto al monto que percibe a la quincena y mes, es de señalar que es de interés general y de alcance público, puesto que la ciudadanía tiene derecho a saber cuál es el </w:t>
      </w:r>
      <w:r w:rsidRPr="00165F19">
        <w:rPr>
          <w:rFonts w:ascii="Palatino Linotype" w:eastAsia="Palatino Linotype" w:hAnsi="Palatino Linotype" w:cs="Palatino Linotype"/>
          <w:b/>
          <w:sz w:val="22"/>
          <w:szCs w:val="22"/>
        </w:rPr>
        <w:t>gasto ejercido para el pago de remuneraciones</w:t>
      </w:r>
      <w:r w:rsidRPr="00165F19">
        <w:rPr>
          <w:rFonts w:ascii="Palatino Linotype" w:eastAsia="Palatino Linotype" w:hAnsi="Palatino Linotype" w:cs="Palatino Linotype"/>
          <w:sz w:val="22"/>
          <w:szCs w:val="22"/>
        </w:rPr>
        <w:t xml:space="preserve"> </w:t>
      </w:r>
      <w:r w:rsidRPr="00165F19">
        <w:rPr>
          <w:rFonts w:ascii="Palatino Linotype" w:eastAsia="Palatino Linotype" w:hAnsi="Palatino Linotype" w:cs="Palatino Linotype"/>
          <w:b/>
          <w:sz w:val="22"/>
          <w:szCs w:val="22"/>
        </w:rPr>
        <w:t>por servicios personales al realizar las funciones públicas;</w:t>
      </w:r>
      <w:r w:rsidRPr="00165F19">
        <w:rPr>
          <w:rFonts w:ascii="Palatino Linotype" w:eastAsia="Palatino Linotype" w:hAnsi="Palatino Linotype" w:cs="Palatino Linotype"/>
          <w:sz w:val="22"/>
          <w:szCs w:val="22"/>
        </w:rPr>
        <w:t xml:space="preserve">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w:t>
      </w:r>
      <w:r w:rsidRPr="00165F19">
        <w:rPr>
          <w:rFonts w:ascii="Palatino Linotype" w:eastAsia="Palatino Linotype" w:hAnsi="Palatino Linotype" w:cs="Palatino Linotype"/>
          <w:sz w:val="22"/>
          <w:szCs w:val="22"/>
        </w:rPr>
        <w:lastRenderedPageBreak/>
        <w:t>la información respecto a los montos y nombres de las personas a quienes se entreguen recursos públicos y con ello transparentar la forma, términos, causas y finalidad en la disposición de esos recursos; precepto legal que es del tenor siguiente:</w:t>
      </w:r>
    </w:p>
    <w:p w14:paraId="5F287826"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962FDC"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165F19">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165F19">
        <w:rPr>
          <w:rFonts w:ascii="Palatino Linotype" w:eastAsia="Palatino Linotype" w:hAnsi="Palatino Linotype" w:cs="Palatino Linotype"/>
          <w:b/>
          <w:i/>
          <w:sz w:val="22"/>
          <w:szCs w:val="22"/>
          <w:u w:val="single"/>
        </w:rPr>
        <w:t>que reciba y ejerza recursos públicos</w:t>
      </w:r>
      <w:r w:rsidRPr="00165F19">
        <w:rPr>
          <w:rFonts w:ascii="Palatino Linotype" w:eastAsia="Palatino Linotype" w:hAnsi="Palatino Linotype" w:cs="Palatino Linotype"/>
          <w:i/>
          <w:sz w:val="22"/>
          <w:szCs w:val="22"/>
        </w:rPr>
        <w:t xml:space="preserve"> o realice actos de autoridad </w:t>
      </w:r>
      <w:r w:rsidRPr="00165F19">
        <w:rPr>
          <w:rFonts w:ascii="Palatino Linotype" w:eastAsia="Palatino Linotype" w:hAnsi="Palatino Linotype" w:cs="Palatino Linotype"/>
          <w:b/>
          <w:i/>
          <w:sz w:val="22"/>
          <w:szCs w:val="22"/>
          <w:u w:val="single"/>
        </w:rPr>
        <w:t>en el ámbito de competencia del Estado de México y sus municipios</w:t>
      </w:r>
      <w:r w:rsidRPr="00165F19">
        <w:rPr>
          <w:rFonts w:ascii="Palatino Linotype" w:eastAsia="Palatino Linotype" w:hAnsi="Palatino Linotype" w:cs="Palatino Linotype"/>
          <w:i/>
          <w:sz w:val="22"/>
          <w:szCs w:val="22"/>
          <w:u w:val="single"/>
        </w:rPr>
        <w:t>.</w:t>
      </w:r>
    </w:p>
    <w:p w14:paraId="52B6CD88"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49F7C69A"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418AE6E0"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IV. Los ayuntamientos y las dependencias, organismos, órganos y entidades de la administración municipal;</w:t>
      </w:r>
    </w:p>
    <w:p w14:paraId="08C7EC8E"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w:t>
      </w:r>
    </w:p>
    <w:p w14:paraId="78CABA81"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61EC8A"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165F19">
        <w:rPr>
          <w:rFonts w:ascii="Palatino Linotype" w:eastAsia="Palatino Linotype" w:hAnsi="Palatino Linotype" w:cs="Palatino Linotype"/>
          <w:b/>
          <w:i/>
          <w:sz w:val="22"/>
          <w:szCs w:val="22"/>
        </w:rPr>
        <w:t xml:space="preserve"> [Sic]</w:t>
      </w:r>
    </w:p>
    <w:p w14:paraId="0BBC1F69" w14:textId="77777777" w:rsidR="00BA1757" w:rsidRPr="00165F19" w:rsidRDefault="00BA1757">
      <w:pPr>
        <w:rPr>
          <w:rFonts w:ascii="Palatino Linotype" w:eastAsia="Palatino Linotype" w:hAnsi="Palatino Linotype" w:cs="Palatino Linotype"/>
          <w:sz w:val="22"/>
          <w:szCs w:val="22"/>
        </w:rPr>
      </w:pPr>
    </w:p>
    <w:p w14:paraId="4B0DB83D"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165F19">
        <w:rPr>
          <w:rFonts w:ascii="Palatino Linotype" w:eastAsia="Palatino Linotype" w:hAnsi="Palatino Linotype" w:cs="Palatino Linotype"/>
          <w:b/>
          <w:sz w:val="22"/>
          <w:szCs w:val="22"/>
        </w:rPr>
        <w:t>01/2003</w:t>
      </w:r>
      <w:r w:rsidRPr="00165F19">
        <w:rPr>
          <w:rFonts w:ascii="Palatino Linotype" w:eastAsia="Palatino Linotype" w:hAnsi="Palatino Linotype" w:cs="Palatino Linotype"/>
          <w:sz w:val="22"/>
          <w:szCs w:val="22"/>
        </w:rPr>
        <w:t xml:space="preserve"> y </w:t>
      </w:r>
      <w:r w:rsidRPr="00165F19">
        <w:rPr>
          <w:rFonts w:ascii="Palatino Linotype" w:eastAsia="Palatino Linotype" w:hAnsi="Palatino Linotype" w:cs="Palatino Linotype"/>
          <w:b/>
          <w:sz w:val="22"/>
          <w:szCs w:val="22"/>
        </w:rPr>
        <w:t>02/2003</w:t>
      </w:r>
      <w:r w:rsidRPr="00165F19">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6861E5BB" w14:textId="77777777" w:rsidR="00BA1757" w:rsidRPr="00165F19" w:rsidRDefault="00BA1757">
      <w:pPr>
        <w:rPr>
          <w:rFonts w:ascii="Palatino Linotype" w:eastAsia="Palatino Linotype" w:hAnsi="Palatino Linotype" w:cs="Palatino Linotype"/>
          <w:sz w:val="22"/>
          <w:szCs w:val="22"/>
        </w:rPr>
      </w:pPr>
    </w:p>
    <w:p w14:paraId="0EB73484" w14:textId="77777777" w:rsidR="00BA1757" w:rsidRPr="00165F19" w:rsidRDefault="00A323F2">
      <w:pPr>
        <w:pBdr>
          <w:top w:val="nil"/>
          <w:left w:val="nil"/>
          <w:bottom w:val="nil"/>
          <w:right w:val="nil"/>
          <w:between w:val="nil"/>
        </w:pBdr>
        <w:spacing w:line="276" w:lineRule="auto"/>
        <w:ind w:left="567" w:right="616"/>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“Criterio 01/2003.</w:t>
      </w:r>
    </w:p>
    <w:p w14:paraId="25666FEA"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165F19">
        <w:rPr>
          <w:rFonts w:ascii="Palatino Linotype" w:eastAsia="Palatino Linotype" w:hAnsi="Palatino Linotype" w:cs="Palatino Linotype"/>
          <w:i/>
          <w:sz w:val="22"/>
          <w:szCs w:val="22"/>
        </w:rPr>
        <w:t> </w:t>
      </w:r>
    </w:p>
    <w:p w14:paraId="65E0342E"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65F19">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65F19">
        <w:rPr>
          <w:rFonts w:ascii="Palatino Linotype" w:eastAsia="Palatino Linotype" w:hAnsi="Palatino Linotype" w:cs="Palatino Linotype"/>
          <w:i/>
          <w:sz w:val="22"/>
          <w:szCs w:val="22"/>
          <w:u w:val="single"/>
        </w:rPr>
        <w:t>…”</w:t>
      </w:r>
    </w:p>
    <w:p w14:paraId="653EB02F" w14:textId="77777777" w:rsidR="00BA1757" w:rsidRPr="00165F19" w:rsidRDefault="00A323F2">
      <w:pPr>
        <w:pBdr>
          <w:top w:val="nil"/>
          <w:left w:val="nil"/>
          <w:bottom w:val="nil"/>
          <w:right w:val="nil"/>
          <w:between w:val="nil"/>
        </w:pBdr>
        <w:spacing w:line="276" w:lineRule="auto"/>
        <w:ind w:left="567" w:right="616"/>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“Criterio 02/2003.</w:t>
      </w:r>
    </w:p>
    <w:p w14:paraId="30F9F55C"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165F19">
        <w:rPr>
          <w:rFonts w:ascii="Palatino Linotype" w:eastAsia="Palatino Linotype" w:hAnsi="Palatino Linotype" w:cs="Palatino Linotype"/>
          <w:i/>
          <w:sz w:val="22"/>
          <w:szCs w:val="22"/>
        </w:rPr>
        <w:t> </w:t>
      </w:r>
    </w:p>
    <w:p w14:paraId="00468EB0" w14:textId="77777777" w:rsidR="00BA1757" w:rsidRPr="00165F19" w:rsidRDefault="00A323F2">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65F19">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65F19">
        <w:rPr>
          <w:rFonts w:ascii="Palatino Linotype" w:eastAsia="Palatino Linotype" w:hAnsi="Palatino Linotype" w:cs="Palatino Linotype"/>
          <w:i/>
          <w:sz w:val="22"/>
          <w:szCs w:val="22"/>
        </w:rPr>
        <w:t xml:space="preserve"> el sistema de compensación…” </w:t>
      </w:r>
      <w:r w:rsidRPr="00165F19">
        <w:rPr>
          <w:rFonts w:ascii="Palatino Linotype" w:eastAsia="Palatino Linotype" w:hAnsi="Palatino Linotype" w:cs="Palatino Linotype"/>
          <w:b/>
          <w:i/>
          <w:sz w:val="22"/>
          <w:szCs w:val="22"/>
        </w:rPr>
        <w:t>[Sic]</w:t>
      </w:r>
    </w:p>
    <w:p w14:paraId="2DDC9542" w14:textId="77777777" w:rsidR="00BA1757" w:rsidRPr="00165F19" w:rsidRDefault="00BA1757">
      <w:pPr>
        <w:rPr>
          <w:rFonts w:ascii="Palatino Linotype" w:eastAsia="Palatino Linotype" w:hAnsi="Palatino Linotype" w:cs="Palatino Linotype"/>
          <w:sz w:val="22"/>
          <w:szCs w:val="22"/>
        </w:rPr>
      </w:pPr>
    </w:p>
    <w:p w14:paraId="0256DBF9" w14:textId="77777777" w:rsidR="00BA1757" w:rsidRPr="00165F19" w:rsidRDefault="00A323F2">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Ahora bien, el artículo 70 de la Ley General de Transparencia y Acceso a la Información Pública dispone lo siguiente: </w:t>
      </w:r>
    </w:p>
    <w:p w14:paraId="59419CE6" w14:textId="77777777" w:rsidR="00BA1757" w:rsidRPr="00165F19" w:rsidRDefault="00BA1757">
      <w:pPr>
        <w:rPr>
          <w:rFonts w:ascii="Palatino Linotype" w:eastAsia="Palatino Linotype" w:hAnsi="Palatino Linotype" w:cs="Palatino Linotype"/>
          <w:sz w:val="22"/>
          <w:szCs w:val="22"/>
        </w:rPr>
      </w:pPr>
    </w:p>
    <w:p w14:paraId="452CFB4C" w14:textId="77777777" w:rsidR="00BA1757" w:rsidRPr="00165F19" w:rsidRDefault="00A323F2">
      <w:pPr>
        <w:pBdr>
          <w:top w:val="nil"/>
          <w:left w:val="nil"/>
          <w:bottom w:val="nil"/>
          <w:right w:val="nil"/>
          <w:between w:val="nil"/>
        </w:pBdr>
        <w:spacing w:line="276" w:lineRule="auto"/>
        <w:ind w:left="851" w:right="90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w:t>
      </w:r>
      <w:r w:rsidRPr="00165F19">
        <w:rPr>
          <w:rFonts w:ascii="Palatino Linotype" w:eastAsia="Palatino Linotype" w:hAnsi="Palatino Linotype" w:cs="Palatino Linotype"/>
          <w:i/>
          <w:sz w:val="22"/>
          <w:szCs w:val="22"/>
        </w:rPr>
        <w:lastRenderedPageBreak/>
        <w:t>los respectivos medios electrónicos, de acuerdo con sus facultades, atribuciones, funciones u objeto social, según corresponda, la información, por lo menos, de los temas, documentos y políticas que a continuación se señalan: </w:t>
      </w:r>
    </w:p>
    <w:p w14:paraId="69B177FC" w14:textId="77777777" w:rsidR="00BA1757" w:rsidRPr="00165F19" w:rsidRDefault="00A323F2">
      <w:pPr>
        <w:pBdr>
          <w:top w:val="nil"/>
          <w:left w:val="nil"/>
          <w:bottom w:val="nil"/>
          <w:right w:val="nil"/>
          <w:between w:val="nil"/>
        </w:pBdr>
        <w:spacing w:line="276" w:lineRule="auto"/>
        <w:ind w:left="851" w:right="90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 </w:t>
      </w:r>
    </w:p>
    <w:p w14:paraId="5854F588" w14:textId="77777777" w:rsidR="00BA1757" w:rsidRPr="00165F19" w:rsidRDefault="00A323F2">
      <w:pPr>
        <w:pBdr>
          <w:top w:val="nil"/>
          <w:left w:val="nil"/>
          <w:bottom w:val="nil"/>
          <w:right w:val="nil"/>
          <w:between w:val="nil"/>
        </w:pBdr>
        <w:spacing w:line="276" w:lineRule="auto"/>
        <w:ind w:left="851" w:right="90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E5C4D54" w14:textId="77777777" w:rsidR="00BA1757" w:rsidRPr="00165F19" w:rsidRDefault="00BA1757">
      <w:pPr>
        <w:rPr>
          <w:rFonts w:ascii="Palatino Linotype" w:eastAsia="Palatino Linotype" w:hAnsi="Palatino Linotype" w:cs="Palatino Linotype"/>
          <w:sz w:val="22"/>
          <w:szCs w:val="22"/>
        </w:rPr>
      </w:pPr>
    </w:p>
    <w:p w14:paraId="460F7112" w14:textId="77777777" w:rsidR="00BA1757" w:rsidRPr="00165F19" w:rsidRDefault="00A323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Robustece lo anterior, el artículo 92, fracción VIII de la Ley de Transparencia y Acceso a la Información Pública del Estado de México y Municipios, señala: </w:t>
      </w:r>
    </w:p>
    <w:p w14:paraId="5971AC69" w14:textId="77777777" w:rsidR="00BA1757" w:rsidRPr="00165F19" w:rsidRDefault="00BA1757">
      <w:pPr>
        <w:rPr>
          <w:rFonts w:ascii="Palatino Linotype" w:eastAsia="Palatino Linotype" w:hAnsi="Palatino Linotype" w:cs="Palatino Linotype"/>
          <w:sz w:val="22"/>
          <w:szCs w:val="22"/>
        </w:rPr>
      </w:pPr>
    </w:p>
    <w:p w14:paraId="78F00F0F" w14:textId="77777777" w:rsidR="00BA1757" w:rsidRPr="00165F19" w:rsidRDefault="00A323F2">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C7EA744" w14:textId="77777777" w:rsidR="00BA1757" w:rsidRPr="00165F19" w:rsidRDefault="00A323F2">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11E39613" w14:textId="77777777" w:rsidR="00BA1757" w:rsidRPr="00165F19" w:rsidRDefault="00A323F2">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3011D7C" w14:textId="77777777" w:rsidR="00BA1757" w:rsidRPr="00165F19" w:rsidRDefault="00BA1757">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3CD4FBEF" w14:textId="77777777" w:rsidR="00BA1757" w:rsidRPr="00165F19" w:rsidRDefault="00A323F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Es así que la información relativa a remuneraciones, sueldos o salarios es información pública de oficio, esto es que, los Sujetos Obligados tienen el deber de publicar de manera permanente, sencilla y actualizada en los sitios electrónicos como puede ser el IPOMEX, dicha información debe incluir todas las percepciones y deducciones.</w:t>
      </w:r>
    </w:p>
    <w:p w14:paraId="51D1CA27"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Dicho lo anterior, el Sujeto Obligado entregó la siguiente información:</w:t>
      </w:r>
    </w:p>
    <w:p w14:paraId="78451B3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3155FD"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noProof/>
          <w:sz w:val="22"/>
          <w:szCs w:val="22"/>
          <w:lang w:val="es-MX"/>
        </w:rPr>
        <w:lastRenderedPageBreak/>
        <w:drawing>
          <wp:inline distT="0" distB="0" distL="0" distR="0" wp14:anchorId="69C0DC74" wp14:editId="26D64966">
            <wp:extent cx="5760720" cy="2545080"/>
            <wp:effectExtent l="0" t="0" r="0" b="0"/>
            <wp:docPr id="770201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0720" cy="2545080"/>
                    </a:xfrm>
                    <a:prstGeom prst="rect">
                      <a:avLst/>
                    </a:prstGeom>
                    <a:ln/>
                  </pic:spPr>
                </pic:pic>
              </a:graphicData>
            </a:graphic>
          </wp:inline>
        </w:drawing>
      </w:r>
    </w:p>
    <w:p w14:paraId="15BC721A"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 bien la información que se proporciona corresponde con los ingresos brutos y netos mensuales, lo cierto es que, corresponden al periodo del uno de octubre al treinta y uno de diciembre de dos mil veinticuatro; sin embargo, la solicitud corresponde al diecisiete de febrero, por lo que se determina que la información no es actualizada, conforme al criterio reiterado 04/2024 de este Organismo Garante, cuyo rubro y texto es el siguiente:</w:t>
      </w:r>
    </w:p>
    <w:p w14:paraId="797202D8" w14:textId="77777777" w:rsidR="00BA1757" w:rsidRPr="00165F19" w:rsidRDefault="00A323F2">
      <w:pPr>
        <w:pBdr>
          <w:top w:val="nil"/>
          <w:left w:val="nil"/>
          <w:bottom w:val="nil"/>
          <w:right w:val="nil"/>
          <w:between w:val="nil"/>
        </w:pBdr>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NÓMINA DE SERVIDORES PÚBLICOS. PERIODO DE BÚSQUEDA Y ENTREGA DE LA INFORMACIÓN, CUANDO NO SE PRECISA EN LA SOLICITUD DE INFORMACIÓN.</w:t>
      </w:r>
      <w:r w:rsidRPr="00165F19">
        <w:rPr>
          <w:rFonts w:ascii="Palatino Linotype" w:eastAsia="Palatino Linotype" w:hAnsi="Palatino Linotype" w:cs="Palatino Linotype"/>
          <w:i/>
          <w:sz w:val="22"/>
          <w:szCs w:val="22"/>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25E4098A"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Si bien, el criterio en mención establece que cuando se solicite la nómina, esta deberá corresponder a las últimas dos quincenas, por lo que el Sujeto Obligado deberá entregar la información más actualizada con la que cuente al veintisiete de febrero de dos mil veinticinco, a efecto de cumplir con cabalidad el derecho accionado por el Recurrente. De ser el caso de que la información contenga datos personales, el Sujeto Obligado deberá estar a lo dispuesto en el Considerando Quinto de la presente resolución.</w:t>
      </w:r>
    </w:p>
    <w:p w14:paraId="384EAA5B"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Exámenes para ocupar el cargo.</w:t>
      </w:r>
    </w:p>
    <w:p w14:paraId="3CEA39E1"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BB37E5"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último y no menos importante, el Particular solicitó los exámenes que cumplió el Servidor Público para ostentar el cargo de Delegado Administrativo. </w:t>
      </w:r>
    </w:p>
    <w:p w14:paraId="295C06C9"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7D2882"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Ante la ausencia del Sujeto Obligado respecto al requerimiento, es necesario traer a contexto la fracción VIII, del artículo 47 Ley del Trabajo de los Servidores Públicos del Estado de México y Municipios, cuyo contenido es el siguiente: </w:t>
      </w:r>
    </w:p>
    <w:p w14:paraId="3E87E040"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B2D14F"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ARTÍCULO 47. Para ingresar al servicio público se requiere:</w:t>
      </w:r>
    </w:p>
    <w:p w14:paraId="5014D0A4"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4994F0AE"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VIII. Cumplir con los requisitos que se establezcan para los diferentes puestos;</w:t>
      </w:r>
    </w:p>
    <w:p w14:paraId="71E21987" w14:textId="77777777" w:rsidR="00BA1757" w:rsidRPr="00165F19" w:rsidRDefault="00A323F2">
      <w:pPr>
        <w:pBdr>
          <w:top w:val="nil"/>
          <w:left w:val="nil"/>
          <w:bottom w:val="nil"/>
          <w:right w:val="nil"/>
          <w:between w:val="nil"/>
        </w:pBdr>
        <w:spacing w:line="360" w:lineRule="auto"/>
        <w:ind w:left="567" w:right="85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w:t>
      </w:r>
    </w:p>
    <w:p w14:paraId="09FA337A"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Tal y como se aprecia, para el ingreso al servicio público o para ocupar u ostentar un cargo público, es necesario cumplir con los requisitos que se establecen para tal efecto, por lo que, de ser el caso de que se hayan aplicado exámenes al servidor público como requisito para ostentar el cargo de Delegado Administrativo, el Sujeto Obligado debe proporcionar las documentales correspondientes, en su caso en versión pública, de acuerdo al Considerando Quinto de la presente resolución.</w:t>
      </w:r>
    </w:p>
    <w:p w14:paraId="5E95844B"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9011B32"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Ahora bien, si como resultado de la búsqueda exhaustiva y razonable la información no es localizada por el hecho de no haberse generado, bastará con que así lo haga del conocimiento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2A7D20DC"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626DA4"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lastRenderedPageBreak/>
        <w:t xml:space="preserve">Quinto. Versión Pública. </w:t>
      </w:r>
      <w:r w:rsidRPr="00165F19">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xml:space="preserve"> sin menoscabar el derecho a la protección de los datos personales de terceros.</w:t>
      </w:r>
    </w:p>
    <w:p w14:paraId="6414FE9F" w14:textId="77777777" w:rsidR="00BA1757" w:rsidRPr="00165F19" w:rsidRDefault="00A323F2">
      <w:pPr>
        <w:spacing w:before="240" w:after="240" w:line="360" w:lineRule="auto"/>
        <w:ind w:right="5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147915FF" w14:textId="77777777" w:rsidR="00BA1757" w:rsidRPr="00165F19" w:rsidRDefault="00A323F2">
      <w:pPr>
        <w:ind w:left="851" w:right="616"/>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 xml:space="preserve"> “Artículo 3. Para los efectos de la presente Ley se entenderá por:</w:t>
      </w:r>
    </w:p>
    <w:p w14:paraId="044D9143"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IX. Datos personales:</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La información concerniente a una persona, identificada o identificable</w:t>
      </w:r>
      <w:r w:rsidRPr="00165F19">
        <w:rPr>
          <w:rFonts w:ascii="Palatino Linotype" w:eastAsia="Palatino Linotype" w:hAnsi="Palatino Linotype" w:cs="Palatino Linotype"/>
          <w:i/>
          <w:sz w:val="22"/>
          <w:szCs w:val="22"/>
        </w:rPr>
        <w:t xml:space="preserve"> según lo dispuesto por la Ley de Protección de Datos Personales del Estado de México;</w:t>
      </w:r>
    </w:p>
    <w:p w14:paraId="2ECA5E9B"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XX. Información clasificada:</w:t>
      </w:r>
      <w:r w:rsidRPr="00165F19">
        <w:rPr>
          <w:rFonts w:ascii="Palatino Linotype" w:eastAsia="Palatino Linotype" w:hAnsi="Palatino Linotype" w:cs="Palatino Linotype"/>
          <w:i/>
          <w:sz w:val="22"/>
          <w:szCs w:val="22"/>
        </w:rPr>
        <w:t xml:space="preserve"> Aquella considerada por la presente Ley como reservada o confidencial;</w:t>
      </w:r>
    </w:p>
    <w:p w14:paraId="249C1AAE"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XXXII. Protección de Datos Personales:</w:t>
      </w:r>
      <w:r w:rsidRPr="00165F1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3B84BCC"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XLV. Versión pública</w:t>
      </w:r>
      <w:r w:rsidRPr="00165F1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04088A2" w14:textId="77777777" w:rsidR="00BA1757" w:rsidRPr="00165F19" w:rsidRDefault="00BA1757">
      <w:pPr>
        <w:ind w:left="851" w:right="616"/>
        <w:jc w:val="both"/>
        <w:rPr>
          <w:rFonts w:ascii="Palatino Linotype" w:eastAsia="Palatino Linotype" w:hAnsi="Palatino Linotype" w:cs="Palatino Linotype"/>
          <w:i/>
          <w:sz w:val="22"/>
          <w:szCs w:val="22"/>
        </w:rPr>
      </w:pPr>
    </w:p>
    <w:p w14:paraId="66C6792E"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“Artículo 6.</w:t>
      </w:r>
      <w:r w:rsidRPr="00165F1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723BABE" w14:textId="77777777" w:rsidR="00BA1757" w:rsidRPr="00165F19" w:rsidRDefault="00BA1757">
      <w:pPr>
        <w:ind w:left="851" w:right="616"/>
        <w:jc w:val="both"/>
        <w:rPr>
          <w:rFonts w:ascii="Palatino Linotype" w:eastAsia="Palatino Linotype" w:hAnsi="Palatino Linotype" w:cs="Palatino Linotype"/>
          <w:i/>
          <w:sz w:val="22"/>
          <w:szCs w:val="22"/>
        </w:rPr>
      </w:pPr>
    </w:p>
    <w:p w14:paraId="60BFED7A" w14:textId="77777777" w:rsidR="00BA1757" w:rsidRPr="00165F19" w:rsidRDefault="00A323F2">
      <w:pPr>
        <w:ind w:left="851" w:right="616"/>
        <w:jc w:val="both"/>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“Artículo 137.</w:t>
      </w:r>
      <w:r w:rsidRPr="00165F1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w:t>
      </w:r>
      <w:r w:rsidRPr="00165F19">
        <w:rPr>
          <w:rFonts w:ascii="Palatino Linotype" w:eastAsia="Palatino Linotype" w:hAnsi="Palatino Linotype" w:cs="Palatino Linotype"/>
          <w:i/>
          <w:sz w:val="22"/>
          <w:szCs w:val="22"/>
        </w:rPr>
        <w:lastRenderedPageBreak/>
        <w:t>una solicitud de información, deberán elaborar una versión pública en la que se testen las partes o secciones clasificadas, indicando su contenido de manera genérica y fundando y motivando su clasificación.”</w:t>
      </w:r>
    </w:p>
    <w:p w14:paraId="3E065516" w14:textId="77777777" w:rsidR="00BA1757" w:rsidRPr="00165F19" w:rsidRDefault="00BA1757">
      <w:pPr>
        <w:ind w:left="851" w:right="616"/>
        <w:jc w:val="both"/>
        <w:rPr>
          <w:rFonts w:ascii="Palatino Linotype" w:eastAsia="Palatino Linotype" w:hAnsi="Palatino Linotype" w:cs="Palatino Linotype"/>
          <w:b/>
          <w:i/>
          <w:sz w:val="22"/>
          <w:szCs w:val="22"/>
        </w:rPr>
      </w:pPr>
    </w:p>
    <w:p w14:paraId="13FAF8D3"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“Artículo 143</w:t>
      </w:r>
      <w:r w:rsidRPr="00165F1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E28633D"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w:t>
      </w:r>
      <w:r w:rsidRPr="00165F1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E73D190"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C3B2FD9" w14:textId="77777777" w:rsidR="00BA1757" w:rsidRPr="00165F19" w:rsidRDefault="00A323F2">
      <w:pP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5A74397" w14:textId="77777777" w:rsidR="00BA1757" w:rsidRPr="00165F19" w:rsidRDefault="00BA1757">
      <w:pPr>
        <w:ind w:left="993" w:right="1041"/>
        <w:jc w:val="both"/>
        <w:rPr>
          <w:rFonts w:ascii="Palatino Linotype" w:eastAsia="Palatino Linotype" w:hAnsi="Palatino Linotype" w:cs="Palatino Linotype"/>
          <w:i/>
          <w:sz w:val="22"/>
          <w:szCs w:val="22"/>
        </w:rPr>
      </w:pPr>
    </w:p>
    <w:p w14:paraId="0CD8D4B2"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para satisfacer el derecho de acceso a la información pública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5646629"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27B02743" w14:textId="77777777" w:rsidR="00BA1757" w:rsidRPr="00165F19" w:rsidRDefault="00A323F2">
      <w:pPr>
        <w:spacing w:line="360" w:lineRule="auto"/>
        <w:ind w:right="51"/>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Número de Seguridad Social.</w:t>
      </w:r>
    </w:p>
    <w:p w14:paraId="2BDEEC44"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221AA5A7"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w:t>
      </w:r>
      <w:r w:rsidRPr="00165F19">
        <w:rPr>
          <w:rFonts w:ascii="Palatino Linotype" w:eastAsia="Palatino Linotype" w:hAnsi="Palatino Linotype" w:cs="Palatino Linotype"/>
          <w:sz w:val="22"/>
          <w:szCs w:val="22"/>
        </w:rPr>
        <w:lastRenderedPageBreak/>
        <w:t>el acceso a las prestaciones que otorga, de conformidad con el artículo 14 de la Ley de Seguridad Social para los Servidores Públicos del Estado de México y Municipios.</w:t>
      </w:r>
    </w:p>
    <w:p w14:paraId="7351ACF0"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647903"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C832B73" w14:textId="77777777" w:rsidR="00BA1757" w:rsidRPr="00165F19" w:rsidRDefault="00BA1757">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F26BFED"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C9DEFB2"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01383D" w14:textId="77777777" w:rsidR="00BA1757" w:rsidRPr="00165F19" w:rsidRDefault="00A323F2">
      <w:p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Clave Única de Registro de Población</w:t>
      </w:r>
    </w:p>
    <w:p w14:paraId="23D734F5" w14:textId="77777777" w:rsidR="00BA1757" w:rsidRPr="00165F19" w:rsidRDefault="00A323F2">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w:t>
      </w:r>
      <w:r w:rsidRPr="00165F19">
        <w:rPr>
          <w:rFonts w:ascii="Palatino Linotype" w:eastAsia="Palatino Linotype" w:hAnsi="Palatino Linotype" w:cs="Palatino Linotype"/>
          <w:sz w:val="22"/>
          <w:szCs w:val="22"/>
        </w:rPr>
        <w:lastRenderedPageBreak/>
        <w:t>sexo; Entidad Federativa de nacimiento; consonantes internas del nombre y apellidos; un diferenciador de homonimia y siglo; y un digito verificador, que garantizan la correcta integración. </w:t>
      </w:r>
    </w:p>
    <w:p w14:paraId="121768B5" w14:textId="77777777" w:rsidR="00BA1757" w:rsidRPr="00165F19" w:rsidRDefault="00A323F2">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Al respecto, el entonces INAI, a través del Criterio orientador 18/17 de la Segunda Época, señala literalmente lo siguiente:</w:t>
      </w:r>
    </w:p>
    <w:p w14:paraId="2718A918"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Clave Única de Registro de Población (CURP).</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165F19">
        <w:rPr>
          <w:rFonts w:ascii="Palatino Linotype" w:eastAsia="Palatino Linotype" w:hAnsi="Palatino Linotype" w:cs="Palatino Linotype"/>
          <w:i/>
          <w:sz w:val="22"/>
          <w:szCs w:val="22"/>
        </w:rPr>
        <w:t xml:space="preserve"> de la misma, </w:t>
      </w:r>
      <w:r w:rsidRPr="00165F19">
        <w:rPr>
          <w:rFonts w:ascii="Palatino Linotype" w:eastAsia="Palatino Linotype" w:hAnsi="Palatino Linotype" w:cs="Palatino Linotype"/>
          <w:b/>
          <w:i/>
          <w:sz w:val="22"/>
          <w:szCs w:val="22"/>
        </w:rPr>
        <w:t>como lo son su nombre, apellidos, fecha de nacimiento, lugar de nacimiento y sexo</w:t>
      </w:r>
      <w:r w:rsidRPr="00165F19">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165F19">
        <w:rPr>
          <w:rFonts w:ascii="Palatino Linotype" w:eastAsia="Palatino Linotype" w:hAnsi="Palatino Linotype" w:cs="Palatino Linotype"/>
          <w:b/>
          <w:i/>
          <w:sz w:val="22"/>
          <w:szCs w:val="22"/>
        </w:rPr>
        <w:t>por lo que la CURP está considerada como información confidencial</w:t>
      </w:r>
      <w:r w:rsidRPr="00165F19">
        <w:rPr>
          <w:rFonts w:ascii="Palatino Linotype" w:eastAsia="Palatino Linotype" w:hAnsi="Palatino Linotype" w:cs="Palatino Linotype"/>
          <w:i/>
          <w:sz w:val="22"/>
          <w:szCs w:val="22"/>
        </w:rPr>
        <w:t>. (Sic)</w:t>
      </w:r>
    </w:p>
    <w:p w14:paraId="781BC02D"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(Énfasis añadido)</w:t>
      </w:r>
    </w:p>
    <w:p w14:paraId="5BA882F8"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6AB55169" w14:textId="77777777" w:rsidR="00BA1757" w:rsidRPr="00165F19" w:rsidRDefault="00A323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De lo anterior, se desprende que la CURP se encuentra vinculada al nombre y apellidos de la persona, lo que permite identificar fecha y lugar de nacimiento, así como el sexo; datos que únicamente le atañen a su titular.</w:t>
      </w:r>
    </w:p>
    <w:p w14:paraId="490129DF"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4CB02C19"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Fotografías de los servidores públicos. </w:t>
      </w:r>
    </w:p>
    <w:p w14:paraId="1D989DFD"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2F1C3C3"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FEFC2F2"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166CBE"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356BA06"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2B3B8B"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2980249"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9C8C99"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CCAC0DF"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955E515"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w:t>
      </w:r>
      <w:r w:rsidRPr="00165F19">
        <w:rPr>
          <w:rFonts w:ascii="Palatino Linotype" w:eastAsia="Palatino Linotype" w:hAnsi="Palatino Linotype" w:cs="Palatino Linotype"/>
          <w:sz w:val="22"/>
          <w:szCs w:val="22"/>
        </w:rPr>
        <w:lastRenderedPageBreak/>
        <w:t xml:space="preserve">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F4227B3"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F9EC67"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9EECDE3"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5D4638"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A5BBA7F" w14:textId="77777777" w:rsidR="00BA1757" w:rsidRPr="00165F19" w:rsidRDefault="00A323F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w:t>
      </w:r>
      <w:r w:rsidRPr="00165F19">
        <w:rPr>
          <w:rFonts w:ascii="Palatino Linotype" w:eastAsia="Palatino Linotype" w:hAnsi="Palatino Linotype" w:cs="Palatino Linotype"/>
          <w:sz w:val="22"/>
          <w:szCs w:val="22"/>
        </w:rPr>
        <w:lastRenderedPageBreak/>
        <w:t>documento en cuestión, únicamente para dicha expresión documental. </w:t>
      </w:r>
    </w:p>
    <w:p w14:paraId="7C0E6031" w14:textId="77777777" w:rsidR="00BA1757" w:rsidRPr="00165F19" w:rsidRDefault="00BA175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8D31A2" w14:textId="77777777" w:rsidR="00BA1757" w:rsidRPr="00165F19" w:rsidRDefault="00A323F2">
      <w:pPr>
        <w:spacing w:after="160" w:line="360" w:lineRule="auto"/>
        <w:ind w:left="720"/>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Firma de servidores públicos.</w:t>
      </w:r>
    </w:p>
    <w:p w14:paraId="19B5FB2E"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571D9B1"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2BB94E2B"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7EF88CA0"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2037E17E"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La publicidad de dichos datos, se robustece, con el criterio 02/19, emitido por el entonces Instituto Nacional de Transparencia, Acceso a la Información y Protección de Datos Personales, que establece lo siguiente:</w:t>
      </w:r>
    </w:p>
    <w:p w14:paraId="1AD272EC" w14:textId="77777777" w:rsidR="00BA1757" w:rsidRPr="00165F19" w:rsidRDefault="00A323F2">
      <w:pPr>
        <w:ind w:left="567" w:right="567"/>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“Firma y rúbrica de servidores públicos.</w:t>
      </w:r>
      <w:r w:rsidRPr="00165F19">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68F7A8A"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w:t>
      </w:r>
    </w:p>
    <w:p w14:paraId="195CB975"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w:t>
      </w:r>
      <w:r w:rsidRPr="00165F19">
        <w:rPr>
          <w:rFonts w:ascii="Palatino Linotype" w:eastAsia="Palatino Linotype" w:hAnsi="Palatino Linotype" w:cs="Palatino Linotype"/>
          <w:sz w:val="22"/>
          <w:szCs w:val="22"/>
        </w:rPr>
        <w:lastRenderedPageBreak/>
        <w:t>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5436F42"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571001D4"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C230D77"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07C853D8" w14:textId="77777777" w:rsidR="00BA1757" w:rsidRPr="00165F19" w:rsidRDefault="00A323F2">
      <w:pPr>
        <w:spacing w:after="24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Artículo 149.</w:t>
      </w:r>
      <w:r w:rsidRPr="00165F19">
        <w:rPr>
          <w:rFonts w:ascii="Palatino Linotype" w:eastAsia="Palatino Linotype" w:hAnsi="Palatino Linotype" w:cs="Palatino Linotype"/>
          <w:i/>
          <w:sz w:val="22"/>
          <w:szCs w:val="22"/>
        </w:rPr>
        <w:t xml:space="preserve"> El </w:t>
      </w:r>
      <w:r w:rsidRPr="00165F19">
        <w:rPr>
          <w:rFonts w:ascii="Palatino Linotype" w:eastAsia="Palatino Linotype" w:hAnsi="Palatino Linotype" w:cs="Palatino Linotype"/>
          <w:b/>
          <w:i/>
          <w:sz w:val="22"/>
          <w:szCs w:val="22"/>
        </w:rPr>
        <w:t>acuerdo que clasifique la información como confidencial</w:t>
      </w:r>
      <w:r w:rsidRPr="00165F1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B452F21" w14:textId="77777777" w:rsidR="00BA1757" w:rsidRPr="00165F19" w:rsidRDefault="00BA1757">
      <w:pPr>
        <w:spacing w:before="240" w:line="360" w:lineRule="auto"/>
        <w:ind w:right="51"/>
        <w:jc w:val="both"/>
        <w:rPr>
          <w:rFonts w:ascii="Palatino Linotype" w:eastAsia="Palatino Linotype" w:hAnsi="Palatino Linotype" w:cs="Palatino Linotype"/>
          <w:i/>
          <w:sz w:val="22"/>
          <w:szCs w:val="22"/>
        </w:rPr>
      </w:pPr>
    </w:p>
    <w:p w14:paraId="182DDE88" w14:textId="77777777" w:rsidR="00BA1757" w:rsidRPr="00165F19" w:rsidRDefault="00A323F2">
      <w:pPr>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Es decir, 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2BEBD35" w14:textId="77777777" w:rsidR="00BA1757" w:rsidRPr="00165F19" w:rsidRDefault="00BA1757">
      <w:pPr>
        <w:spacing w:line="360" w:lineRule="auto"/>
        <w:ind w:right="51"/>
        <w:jc w:val="both"/>
        <w:rPr>
          <w:rFonts w:ascii="Palatino Linotype" w:eastAsia="Palatino Linotype" w:hAnsi="Palatino Linotype" w:cs="Palatino Linotype"/>
          <w:sz w:val="22"/>
          <w:szCs w:val="22"/>
        </w:rPr>
      </w:pPr>
    </w:p>
    <w:p w14:paraId="5A6D5DC3"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Al respecto, se destaca que la versión pública que elabore el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w:t>
      </w:r>
      <w:r w:rsidRPr="00165F19">
        <w:rPr>
          <w:rFonts w:ascii="Palatino Linotype" w:eastAsia="Palatino Linotype" w:hAnsi="Palatino Linotype" w:cs="Palatino Linotype"/>
          <w:sz w:val="22"/>
          <w:szCs w:val="22"/>
        </w:rPr>
        <w:lastRenderedPageBreak/>
        <w:t xml:space="preserve">cabalmente con las formalidades previstas en el artículo 137 de la Ley de Transparencia y Acceso a la Información Pública del Estado de México y Municipios, ya expuesto; así como con los numerales aplicables de los </w:t>
      </w:r>
      <w:r w:rsidRPr="00165F19">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165F19">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0B2F4EE" w14:textId="77777777" w:rsidR="00BA1757" w:rsidRPr="00165F19" w:rsidRDefault="00BA1757">
      <w:pPr>
        <w:ind w:left="709" w:right="709"/>
        <w:jc w:val="both"/>
        <w:rPr>
          <w:rFonts w:ascii="Palatino Linotype" w:eastAsia="Palatino Linotype" w:hAnsi="Palatino Linotype" w:cs="Palatino Linotype"/>
          <w:b/>
          <w:i/>
          <w:sz w:val="22"/>
          <w:szCs w:val="22"/>
        </w:rPr>
      </w:pPr>
    </w:p>
    <w:p w14:paraId="5C6B284C"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5F5E3A6"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r w:rsidRPr="00165F19">
        <w:rPr>
          <w:rFonts w:ascii="Palatino Linotype" w:eastAsia="Palatino Linotype" w:hAnsi="Palatino Linotype" w:cs="Palatino Linotype"/>
          <w:b/>
          <w:i/>
          <w:sz w:val="22"/>
          <w:szCs w:val="22"/>
        </w:rPr>
        <w:t>Segundo.-</w:t>
      </w:r>
      <w:r w:rsidRPr="00165F19">
        <w:rPr>
          <w:rFonts w:ascii="Palatino Linotype" w:eastAsia="Palatino Linotype" w:hAnsi="Palatino Linotype" w:cs="Palatino Linotype"/>
          <w:i/>
          <w:sz w:val="22"/>
          <w:szCs w:val="22"/>
        </w:rPr>
        <w:t xml:space="preserve"> Para efectos de los presentes Lineamientos Generales, se entenderá por:</w:t>
      </w:r>
    </w:p>
    <w:p w14:paraId="152B0A55"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XVIII.</w:t>
      </w:r>
      <w:r w:rsidRPr="00165F19">
        <w:rPr>
          <w:rFonts w:ascii="Palatino Linotype" w:eastAsia="Palatino Linotype" w:hAnsi="Palatino Linotype" w:cs="Palatino Linotype"/>
          <w:i/>
          <w:sz w:val="22"/>
          <w:szCs w:val="22"/>
        </w:rPr>
        <w:t xml:space="preserve"> </w:t>
      </w:r>
      <w:r w:rsidRPr="00165F19">
        <w:rPr>
          <w:rFonts w:ascii="Palatino Linotype" w:eastAsia="Palatino Linotype" w:hAnsi="Palatino Linotype" w:cs="Palatino Linotype"/>
          <w:b/>
          <w:i/>
          <w:sz w:val="22"/>
          <w:szCs w:val="22"/>
        </w:rPr>
        <w:t>Versión pública:</w:t>
      </w:r>
      <w:r w:rsidRPr="00165F1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65F19">
        <w:rPr>
          <w:rFonts w:ascii="Palatino Linotype" w:eastAsia="Palatino Linotype" w:hAnsi="Palatino Linotype" w:cs="Palatino Linotype"/>
          <w:b/>
          <w:i/>
          <w:sz w:val="22"/>
          <w:szCs w:val="22"/>
          <w:u w:val="single"/>
        </w:rPr>
        <w:t>fundando y motivando la</w:t>
      </w:r>
      <w:r w:rsidRPr="00165F19">
        <w:rPr>
          <w:rFonts w:ascii="Palatino Linotype" w:eastAsia="Palatino Linotype" w:hAnsi="Palatino Linotype" w:cs="Palatino Linotype"/>
          <w:i/>
          <w:sz w:val="22"/>
          <w:szCs w:val="22"/>
        </w:rPr>
        <w:t xml:space="preserve"> reserva o </w:t>
      </w:r>
      <w:r w:rsidRPr="00165F19">
        <w:rPr>
          <w:rFonts w:ascii="Palatino Linotype" w:eastAsia="Palatino Linotype" w:hAnsi="Palatino Linotype" w:cs="Palatino Linotype"/>
          <w:b/>
          <w:i/>
          <w:sz w:val="22"/>
          <w:szCs w:val="22"/>
          <w:u w:val="single"/>
        </w:rPr>
        <w:t>confidencialidad</w:t>
      </w:r>
      <w:r w:rsidRPr="00165F19">
        <w:rPr>
          <w:rFonts w:ascii="Palatino Linotype" w:eastAsia="Palatino Linotype" w:hAnsi="Palatino Linotype" w:cs="Palatino Linotype"/>
          <w:i/>
          <w:sz w:val="22"/>
          <w:szCs w:val="22"/>
        </w:rPr>
        <w:t>, a través de la resolución que para tal efecto emita el Comité de Transparencia.</w:t>
      </w:r>
    </w:p>
    <w:p w14:paraId="2F382D1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Cuarto.</w:t>
      </w:r>
      <w:r w:rsidRPr="00165F1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273090"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7ED04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Quinto.</w:t>
      </w:r>
      <w:r w:rsidRPr="00165F1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0987C5"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w:t>
      </w:r>
    </w:p>
    <w:p w14:paraId="7BAA3EB8"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Séptimo.</w:t>
      </w:r>
      <w:r w:rsidRPr="00165F19">
        <w:rPr>
          <w:rFonts w:ascii="Palatino Linotype" w:eastAsia="Palatino Linotype" w:hAnsi="Palatino Linotype" w:cs="Palatino Linotype"/>
          <w:i/>
          <w:sz w:val="22"/>
          <w:szCs w:val="22"/>
        </w:rPr>
        <w:t xml:space="preserve"> La clasificación de la información se llevará a cabo en el momento en que:</w:t>
      </w:r>
    </w:p>
    <w:p w14:paraId="4D3514D9"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w:t>
      </w:r>
      <w:r w:rsidRPr="00165F19">
        <w:rPr>
          <w:rFonts w:ascii="Palatino Linotype" w:eastAsia="Palatino Linotype" w:hAnsi="Palatino Linotype" w:cs="Palatino Linotype"/>
          <w:i/>
          <w:sz w:val="22"/>
          <w:szCs w:val="22"/>
        </w:rPr>
        <w:t xml:space="preserve"> Se reciba una solicitud de acceso a la información;</w:t>
      </w:r>
    </w:p>
    <w:p w14:paraId="086DBA5A"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II.</w:t>
      </w:r>
      <w:r w:rsidRPr="00165F19">
        <w:rPr>
          <w:rFonts w:ascii="Palatino Linotype" w:eastAsia="Palatino Linotype" w:hAnsi="Palatino Linotype" w:cs="Palatino Linotype"/>
          <w:i/>
          <w:sz w:val="22"/>
          <w:szCs w:val="22"/>
        </w:rPr>
        <w:t xml:space="preserve"> Se  determine mediante resolución del Comité de Transparencia, el órgano garante </w:t>
      </w:r>
    </w:p>
    <w:p w14:paraId="7492C949"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lastRenderedPageBreak/>
        <w:t>competente, o en cumplimiento a una sentencia del Poder Judicial; o</w:t>
      </w:r>
    </w:p>
    <w:p w14:paraId="3E40F75F"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III.</w:t>
      </w:r>
      <w:r w:rsidRPr="00165F1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D5EC91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8560999"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Octavo.</w:t>
      </w:r>
      <w:r w:rsidRPr="00165F1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BADE91"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6F92C0E"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01BE495"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Noveno.</w:t>
      </w:r>
      <w:r w:rsidRPr="00165F1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1D1D9D"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Décimo.</w:t>
      </w:r>
      <w:r w:rsidRPr="00165F1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06090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B95D253"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Décimo primero.</w:t>
      </w:r>
      <w:r w:rsidRPr="00165F1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DB28035"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w:t>
      </w:r>
    </w:p>
    <w:p w14:paraId="23ED6B17" w14:textId="77777777" w:rsidR="00BA1757" w:rsidRPr="00165F19" w:rsidRDefault="00A323F2">
      <w:pPr>
        <w:pBdr>
          <w:top w:val="nil"/>
          <w:left w:val="nil"/>
          <w:bottom w:val="nil"/>
          <w:right w:val="nil"/>
          <w:between w:val="nil"/>
        </w:pBdr>
        <w:ind w:left="851" w:right="616"/>
        <w:jc w:val="center"/>
        <w:rPr>
          <w:rFonts w:ascii="Palatino Linotype" w:eastAsia="Palatino Linotype" w:hAnsi="Palatino Linotype" w:cs="Palatino Linotype"/>
          <w:sz w:val="22"/>
          <w:szCs w:val="22"/>
        </w:rPr>
      </w:pPr>
      <w:r w:rsidRPr="00165F19">
        <w:rPr>
          <w:rFonts w:ascii="Palatino Linotype" w:eastAsia="Palatino Linotype" w:hAnsi="Palatino Linotype" w:cs="Palatino Linotype"/>
          <w:b/>
          <w:i/>
          <w:sz w:val="22"/>
          <w:szCs w:val="22"/>
        </w:rPr>
        <w:t>CAPÍTULO VIII</w:t>
      </w:r>
    </w:p>
    <w:p w14:paraId="6632122B" w14:textId="77777777" w:rsidR="00BA1757" w:rsidRPr="00165F19" w:rsidRDefault="00A323F2">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165F19">
        <w:rPr>
          <w:rFonts w:ascii="Palatino Linotype" w:eastAsia="Palatino Linotype" w:hAnsi="Palatino Linotype" w:cs="Palatino Linotype"/>
          <w:b/>
          <w:i/>
          <w:sz w:val="22"/>
          <w:szCs w:val="22"/>
        </w:rPr>
        <w:t>DE LOS ELEMENTOS PARA LA CLASIFICACIÓN</w:t>
      </w:r>
    </w:p>
    <w:p w14:paraId="29EFDA08"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lastRenderedPageBreak/>
        <w:t>Quincuagésimo</w:t>
      </w:r>
      <w:r w:rsidRPr="00165F19">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18C39A6"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Quincuagésimo primero</w:t>
      </w:r>
      <w:r w:rsidRPr="00165F19">
        <w:rPr>
          <w:rFonts w:ascii="Palatino Linotype" w:eastAsia="Palatino Linotype" w:hAnsi="Palatino Linotype" w:cs="Palatino Linotype"/>
          <w:i/>
          <w:sz w:val="22"/>
          <w:szCs w:val="22"/>
        </w:rPr>
        <w:t>. Toda acta del Comité de Transparencia deberá contener:</w:t>
      </w:r>
    </w:p>
    <w:p w14:paraId="2B8C7FD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I. El número de sesión y fecha; </w:t>
      </w:r>
    </w:p>
    <w:p w14:paraId="4811B36C"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 El nombre del área que solicitó la clasificación de información;</w:t>
      </w:r>
    </w:p>
    <w:p w14:paraId="6A1D1F48"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III. La fundamentación legal y motivación correspondiente;</w:t>
      </w:r>
    </w:p>
    <w:p w14:paraId="7A460051"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IV. La resolución o resoluciones aprobadas; y</w:t>
      </w:r>
    </w:p>
    <w:p w14:paraId="6A872A98"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V. La rúbrica o firma digital de cada integrante del Comité de Transparencia. </w:t>
      </w:r>
    </w:p>
    <w:p w14:paraId="5E79FD22"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8F0DB1F"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 Los motivos y razonamientos que sustenten la confirmación o modificación de la prueba de daño;</w:t>
      </w:r>
    </w:p>
    <w:p w14:paraId="1B12D89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 Descripción de las partes o secciones reservadas, en caso de clasificación parcial;</w:t>
      </w:r>
    </w:p>
    <w:p w14:paraId="3D0C6975"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III. El periodo por el que mantendrá su clasificación y fecha de expiración; y</w:t>
      </w:r>
    </w:p>
    <w:p w14:paraId="20367B5B" w14:textId="77777777" w:rsidR="00BA1757" w:rsidRPr="00165F19" w:rsidRDefault="00A323F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IV. El nombre del titular y área encargada de realizar la versión pública del documento, en su caso.</w:t>
      </w:r>
    </w:p>
    <w:p w14:paraId="65272155"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9369A77"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ED07FE1"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b/>
          <w:i/>
          <w:sz w:val="22"/>
          <w:szCs w:val="22"/>
        </w:rPr>
        <w:t>Quincuagésimo segundo</w:t>
      </w:r>
      <w:r w:rsidRPr="00165F19">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C69A81"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1221071"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2DDA721"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C615BEE"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III. Señalar las personas o instancias autorizadas a acceder a la información clasificada.</w:t>
      </w:r>
    </w:p>
    <w:p w14:paraId="2E10831E" w14:textId="77777777" w:rsidR="00BA1757" w:rsidRPr="00165F19" w:rsidRDefault="00A323F2">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4A82DE94" w14:textId="77777777" w:rsidR="00BA1757" w:rsidRPr="00165F19" w:rsidRDefault="00A323F2">
      <w:pPr>
        <w:pBdr>
          <w:top w:val="nil"/>
          <w:left w:val="nil"/>
          <w:bottom w:val="nil"/>
          <w:right w:val="nil"/>
          <w:between w:val="nil"/>
        </w:pBdr>
        <w:spacing w:after="160"/>
        <w:ind w:left="851" w:right="709"/>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9A1B4F3" w14:textId="77777777" w:rsidR="00BA1757" w:rsidRPr="00165F19" w:rsidRDefault="00A323F2">
      <w:pPr>
        <w:pBdr>
          <w:top w:val="nil"/>
          <w:left w:val="nil"/>
          <w:bottom w:val="nil"/>
          <w:right w:val="nil"/>
          <w:between w:val="nil"/>
        </w:pBdr>
        <w:spacing w:after="160"/>
        <w:ind w:left="851" w:right="70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165F19">
        <w:rPr>
          <w:rFonts w:ascii="Palatino Linotype" w:eastAsia="Palatino Linotype" w:hAnsi="Palatino Linotype" w:cs="Palatino Linotype"/>
          <w:i/>
          <w:sz w:val="22"/>
          <w:szCs w:val="22"/>
        </w:rPr>
        <w:t>testado</w:t>
      </w:r>
      <w:proofErr w:type="spellEnd"/>
      <w:r w:rsidRPr="00165F19">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6BA7984E" w14:textId="77777777" w:rsidR="00BA1757" w:rsidRPr="00165F19" w:rsidRDefault="00BA1757">
      <w:pPr>
        <w:jc w:val="both"/>
        <w:rPr>
          <w:rFonts w:ascii="Palatino Linotype" w:eastAsia="Palatino Linotype" w:hAnsi="Palatino Linotype" w:cs="Palatino Linotype"/>
          <w:sz w:val="22"/>
          <w:szCs w:val="22"/>
        </w:rPr>
      </w:pPr>
    </w:p>
    <w:p w14:paraId="178AD3DC" w14:textId="77777777" w:rsidR="00BA1757" w:rsidRPr="00165F19" w:rsidRDefault="00A323F2">
      <w:pPr>
        <w:spacing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Efectivamente, cuando se clasifica información como confidencial es importante someterlo al Comité de Transparencia, quien debe confirmar, modificar o revocar la clasificación. </w:t>
      </w:r>
    </w:p>
    <w:p w14:paraId="43EE6B93" w14:textId="77777777" w:rsidR="00BA1757" w:rsidRPr="00165F19" w:rsidRDefault="00BA1757">
      <w:pPr>
        <w:spacing w:line="360" w:lineRule="auto"/>
        <w:jc w:val="both"/>
        <w:rPr>
          <w:rFonts w:ascii="Palatino Linotype" w:eastAsia="Palatino Linotype" w:hAnsi="Palatino Linotype" w:cs="Palatino Linotype"/>
          <w:sz w:val="22"/>
          <w:szCs w:val="22"/>
        </w:rPr>
      </w:pPr>
    </w:p>
    <w:p w14:paraId="2CA1B946" w14:textId="77777777" w:rsidR="00BA1757" w:rsidRPr="00165F19" w:rsidRDefault="00A323F2">
      <w:pPr>
        <w:shd w:val="clear" w:color="auto" w:fill="FFFFFF"/>
        <w:spacing w:line="360" w:lineRule="auto"/>
        <w:ind w:right="51"/>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165F19">
        <w:rPr>
          <w:rFonts w:ascii="Palatino Linotype" w:eastAsia="Palatino Linotype" w:hAnsi="Palatino Linotype" w:cs="Palatino Linotype"/>
          <w:b/>
          <w:sz w:val="22"/>
          <w:szCs w:val="22"/>
        </w:rPr>
        <w:t>Recurrente</w:t>
      </w:r>
      <w:r w:rsidRPr="00165F19">
        <w:rPr>
          <w:rFonts w:ascii="Palatino Linotype" w:eastAsia="Palatino Linotype" w:hAnsi="Palatino Linotype" w:cs="Palatino Linotype"/>
          <w:sz w:val="22"/>
          <w:szCs w:val="22"/>
        </w:rPr>
        <w:t>.</w:t>
      </w:r>
    </w:p>
    <w:p w14:paraId="534D8839" w14:textId="77777777" w:rsidR="00BA1757" w:rsidRPr="00165F19" w:rsidRDefault="00BA17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6FCBB8" w14:textId="77777777" w:rsidR="00BA1757" w:rsidRPr="00165F19" w:rsidRDefault="00A323F2">
      <w:pPr>
        <w:spacing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sz w:val="22"/>
          <w:szCs w:val="22"/>
        </w:rPr>
        <w:lastRenderedPageBreak/>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BE749F4" w14:textId="77777777" w:rsidR="00BA1757" w:rsidRPr="00165F19" w:rsidRDefault="00A323F2">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5" w:name="_heading=h.lnxbz9" w:colFirst="0" w:colLast="0"/>
      <w:bookmarkEnd w:id="5"/>
      <w:r w:rsidRPr="00165F19">
        <w:rPr>
          <w:rFonts w:ascii="Palatino Linotype" w:eastAsia="Palatino Linotype" w:hAnsi="Palatino Linotype" w:cs="Palatino Linotype"/>
          <w:b/>
          <w:sz w:val="22"/>
          <w:szCs w:val="22"/>
        </w:rPr>
        <w:t>III. R E S U E L V E</w:t>
      </w:r>
    </w:p>
    <w:p w14:paraId="330CF600"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bookmarkStart w:id="6" w:name="_heading=h.1fob9te" w:colFirst="0" w:colLast="0"/>
      <w:bookmarkEnd w:id="6"/>
      <w:r w:rsidRPr="00165F19">
        <w:rPr>
          <w:rFonts w:ascii="Palatino Linotype" w:eastAsia="Palatino Linotype" w:hAnsi="Palatino Linotype" w:cs="Palatino Linotype"/>
          <w:b/>
          <w:sz w:val="22"/>
          <w:szCs w:val="22"/>
        </w:rPr>
        <w:t xml:space="preserve">Primero. </w:t>
      </w:r>
      <w:r w:rsidRPr="00165F19">
        <w:rPr>
          <w:rFonts w:ascii="Palatino Linotype" w:eastAsia="Palatino Linotype" w:hAnsi="Palatino Linotype" w:cs="Palatino Linotype"/>
          <w:sz w:val="22"/>
          <w:szCs w:val="22"/>
        </w:rPr>
        <w:t xml:space="preserve">Resultan </w:t>
      </w:r>
      <w:r w:rsidRPr="00165F19">
        <w:rPr>
          <w:rFonts w:ascii="Palatino Linotype" w:eastAsia="Palatino Linotype" w:hAnsi="Palatino Linotype" w:cs="Palatino Linotype"/>
          <w:b/>
          <w:sz w:val="22"/>
          <w:szCs w:val="22"/>
        </w:rPr>
        <w:t>fundadas</w:t>
      </w:r>
      <w:r w:rsidRPr="00165F19">
        <w:rPr>
          <w:rFonts w:ascii="Palatino Linotype" w:eastAsia="Palatino Linotype" w:hAnsi="Palatino Linotype" w:cs="Palatino Linotype"/>
          <w:sz w:val="22"/>
          <w:szCs w:val="22"/>
        </w:rPr>
        <w:t xml:space="preserve"> las razones o motivos de inconformidad hechos valer por </w:t>
      </w:r>
      <w:r w:rsidRPr="00165F19">
        <w:rPr>
          <w:rFonts w:ascii="Palatino Linotype" w:eastAsia="Palatino Linotype" w:hAnsi="Palatino Linotype" w:cs="Palatino Linotype"/>
          <w:b/>
          <w:sz w:val="22"/>
          <w:szCs w:val="22"/>
        </w:rPr>
        <w:t>la parte Recurrente</w:t>
      </w:r>
      <w:r w:rsidRPr="00165F19">
        <w:rPr>
          <w:rFonts w:ascii="Palatino Linotype" w:eastAsia="Palatino Linotype" w:hAnsi="Palatino Linotype" w:cs="Palatino Linotype"/>
          <w:sz w:val="22"/>
          <w:szCs w:val="22"/>
        </w:rPr>
        <w:t xml:space="preserve"> en el recurso de revisión </w:t>
      </w:r>
      <w:r w:rsidRPr="00165F19">
        <w:rPr>
          <w:rFonts w:ascii="Palatino Linotype" w:eastAsia="Palatino Linotype" w:hAnsi="Palatino Linotype" w:cs="Palatino Linotype"/>
          <w:b/>
          <w:sz w:val="22"/>
          <w:szCs w:val="22"/>
        </w:rPr>
        <w:t>03244/INFOEM/IP/RR/2025</w:t>
      </w:r>
      <w:r w:rsidRPr="00165F19">
        <w:rPr>
          <w:rFonts w:ascii="Palatino Linotype" w:eastAsia="Palatino Linotype" w:hAnsi="Palatino Linotype" w:cs="Palatino Linotype"/>
          <w:sz w:val="22"/>
          <w:szCs w:val="22"/>
        </w:rPr>
        <w:t xml:space="preserve">; por lo que, en términos de </w:t>
      </w:r>
      <w:r w:rsidRPr="00165F19">
        <w:rPr>
          <w:rFonts w:ascii="Palatino Linotype" w:eastAsia="Palatino Linotype" w:hAnsi="Palatino Linotype" w:cs="Palatino Linotype"/>
          <w:b/>
          <w:sz w:val="22"/>
          <w:szCs w:val="22"/>
        </w:rPr>
        <w:t>Considerando</w:t>
      </w:r>
      <w:r w:rsidRPr="00165F19">
        <w:rPr>
          <w:rFonts w:ascii="Palatino Linotype" w:eastAsia="Palatino Linotype" w:hAnsi="Palatino Linotype" w:cs="Palatino Linotype"/>
          <w:sz w:val="22"/>
          <w:szCs w:val="22"/>
        </w:rPr>
        <w:t xml:space="preserve"> </w:t>
      </w:r>
      <w:r w:rsidRPr="00165F19">
        <w:rPr>
          <w:rFonts w:ascii="Palatino Linotype" w:eastAsia="Palatino Linotype" w:hAnsi="Palatino Linotype" w:cs="Palatino Linotype"/>
          <w:b/>
          <w:sz w:val="22"/>
          <w:szCs w:val="22"/>
        </w:rPr>
        <w:t xml:space="preserve">Cuarto </w:t>
      </w:r>
      <w:r w:rsidRPr="00165F19">
        <w:rPr>
          <w:rFonts w:ascii="Palatino Linotype" w:eastAsia="Palatino Linotype" w:hAnsi="Palatino Linotype" w:cs="Palatino Linotype"/>
          <w:sz w:val="22"/>
          <w:szCs w:val="22"/>
        </w:rPr>
        <w:t xml:space="preserve">de esta resolución, se </w:t>
      </w:r>
      <w:r w:rsidRPr="00165F19">
        <w:rPr>
          <w:rFonts w:ascii="Palatino Linotype" w:eastAsia="Palatino Linotype" w:hAnsi="Palatino Linotype" w:cs="Palatino Linotype"/>
          <w:b/>
          <w:sz w:val="22"/>
          <w:szCs w:val="22"/>
        </w:rPr>
        <w:t xml:space="preserve">REVOCA </w:t>
      </w:r>
      <w:r w:rsidRPr="00165F19">
        <w:rPr>
          <w:rFonts w:ascii="Palatino Linotype" w:eastAsia="Palatino Linotype" w:hAnsi="Palatino Linotype" w:cs="Palatino Linotype"/>
          <w:sz w:val="22"/>
          <w:szCs w:val="22"/>
        </w:rPr>
        <w:t xml:space="preserve">la respuesta emitida por el </w:t>
      </w:r>
      <w:r w:rsidRPr="00165F19">
        <w:rPr>
          <w:rFonts w:ascii="Palatino Linotype" w:eastAsia="Palatino Linotype" w:hAnsi="Palatino Linotype" w:cs="Palatino Linotype"/>
          <w:b/>
          <w:sz w:val="22"/>
          <w:szCs w:val="22"/>
        </w:rPr>
        <w:t>Sujeto Obligado.</w:t>
      </w:r>
    </w:p>
    <w:p w14:paraId="1346281B" w14:textId="77777777" w:rsidR="00BA1757" w:rsidRPr="00165F19" w:rsidRDefault="00A323F2">
      <w:pPr>
        <w:spacing w:before="240" w:after="240"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Segundo. </w:t>
      </w:r>
      <w:r w:rsidRPr="00165F19">
        <w:rPr>
          <w:rFonts w:ascii="Palatino Linotype" w:eastAsia="Palatino Linotype" w:hAnsi="Palatino Linotype" w:cs="Palatino Linotype"/>
          <w:sz w:val="22"/>
          <w:szCs w:val="22"/>
        </w:rPr>
        <w:t xml:space="preserve">Se </w:t>
      </w:r>
      <w:r w:rsidRPr="00165F19">
        <w:rPr>
          <w:rFonts w:ascii="Palatino Linotype" w:eastAsia="Palatino Linotype" w:hAnsi="Palatino Linotype" w:cs="Palatino Linotype"/>
          <w:b/>
          <w:sz w:val="22"/>
          <w:szCs w:val="22"/>
        </w:rPr>
        <w:t>Ordena</w:t>
      </w:r>
      <w:r w:rsidRPr="00165F19">
        <w:rPr>
          <w:rFonts w:ascii="Palatino Linotype" w:eastAsia="Palatino Linotype" w:hAnsi="Palatino Linotype" w:cs="Palatino Linotype"/>
          <w:sz w:val="22"/>
          <w:szCs w:val="22"/>
        </w:rPr>
        <w:t xml:space="preserve"> al </w:t>
      </w:r>
      <w:r w:rsidRPr="00165F19">
        <w:rPr>
          <w:rFonts w:ascii="Palatino Linotype" w:eastAsia="Palatino Linotype" w:hAnsi="Palatino Linotype" w:cs="Palatino Linotype"/>
          <w:b/>
          <w:sz w:val="22"/>
          <w:szCs w:val="22"/>
        </w:rPr>
        <w:t>Sujeto Obligado</w:t>
      </w:r>
      <w:r w:rsidRPr="00165F19">
        <w:rPr>
          <w:rFonts w:ascii="Palatino Linotype" w:eastAsia="Palatino Linotype" w:hAnsi="Palatino Linotype" w:cs="Palatino Linotype"/>
          <w:sz w:val="22"/>
          <w:szCs w:val="22"/>
        </w:rPr>
        <w:t xml:space="preserve">, en términos de los Considerandos </w:t>
      </w:r>
      <w:r w:rsidRPr="00165F19">
        <w:rPr>
          <w:rFonts w:ascii="Palatino Linotype" w:eastAsia="Palatino Linotype" w:hAnsi="Palatino Linotype" w:cs="Palatino Linotype"/>
          <w:b/>
          <w:sz w:val="22"/>
          <w:szCs w:val="22"/>
        </w:rPr>
        <w:t xml:space="preserve">Cuarto y Quinto </w:t>
      </w:r>
      <w:r w:rsidRPr="00165F19">
        <w:rPr>
          <w:rFonts w:ascii="Palatino Linotype" w:eastAsia="Palatino Linotype" w:hAnsi="Palatino Linotype" w:cs="Palatino Linotype"/>
          <w:sz w:val="22"/>
          <w:szCs w:val="22"/>
        </w:rPr>
        <w:t>de esta resolución, previa búsqueda exhaustiva y razonable, en versión pública, la siguiente información:</w:t>
      </w:r>
    </w:p>
    <w:p w14:paraId="057D5FF1" w14:textId="77777777" w:rsidR="00BA1757" w:rsidRPr="00165F19" w:rsidRDefault="00A323F2">
      <w:pPr>
        <w:widowControl w:val="0"/>
        <w:numPr>
          <w:ilvl w:val="0"/>
          <w:numId w:val="8"/>
        </w:numPr>
        <w:pBdr>
          <w:top w:val="nil"/>
          <w:left w:val="nil"/>
          <w:bottom w:val="nil"/>
          <w:right w:val="nil"/>
          <w:between w:val="nil"/>
        </w:pBdr>
        <w:tabs>
          <w:tab w:val="left" w:pos="1701"/>
          <w:tab w:val="left" w:pos="1843"/>
        </w:tabs>
        <w:spacing w:before="360" w:line="360" w:lineRule="auto"/>
        <w:ind w:left="567"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Del Servidor Público referido en informe justificado:</w:t>
      </w:r>
    </w:p>
    <w:p w14:paraId="35D642A5"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Título profesional con el que cuente al veintisiete de febrero de dos mil veinticinco;</w:t>
      </w:r>
    </w:p>
    <w:p w14:paraId="77C78037"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Documento que dé cuenta de la información curricular  al veintisiete de febrero de dos mil veinticinco;</w:t>
      </w:r>
    </w:p>
    <w:p w14:paraId="3B8EBABD"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Listas o registro de asistencia de la segunda quincena del mes de enero y la primera quincena del mes de febrero de dos mil veinticinco</w:t>
      </w:r>
      <w:r w:rsidRPr="00165F19">
        <w:rPr>
          <w:rFonts w:ascii="Palatino Linotype" w:eastAsia="Palatino Linotype" w:hAnsi="Palatino Linotype" w:cs="Palatino Linotype"/>
          <w:b/>
          <w:strike/>
          <w:sz w:val="22"/>
          <w:szCs w:val="22"/>
        </w:rPr>
        <w:t>,</w:t>
      </w:r>
      <w:r w:rsidRPr="00165F19">
        <w:rPr>
          <w:rFonts w:ascii="Palatino Linotype" w:eastAsia="Palatino Linotype" w:hAnsi="Palatino Linotype" w:cs="Palatino Linotype"/>
          <w:b/>
          <w:sz w:val="22"/>
          <w:szCs w:val="22"/>
        </w:rPr>
        <w:t xml:space="preserve">  o bien, la autorización emitida por autoridad competente para omitir la elaboración de dicho control o exceptuar el registro de asistencia</w:t>
      </w:r>
    </w:p>
    <w:p w14:paraId="6D9EA8C4"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Monto bruto y neto quincenal y mensual que percibe al veintisiete de febrero de dos mil veinticinco;</w:t>
      </w:r>
    </w:p>
    <w:p w14:paraId="7ABD6BAC"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lastRenderedPageBreak/>
        <w:t>Exámenes para obtener el cargo de Delegado Administrativo con los que cuente al veintisiete de febrero de dos mil veinticinco; y</w:t>
      </w:r>
    </w:p>
    <w:p w14:paraId="4FD8AB15" w14:textId="77777777" w:rsidR="00BA1757" w:rsidRPr="00165F19" w:rsidRDefault="00A323F2">
      <w:pPr>
        <w:widowControl w:val="0"/>
        <w:numPr>
          <w:ilvl w:val="0"/>
          <w:numId w:val="6"/>
        </w:numPr>
        <w:pBdr>
          <w:top w:val="nil"/>
          <w:left w:val="nil"/>
          <w:bottom w:val="nil"/>
          <w:right w:val="nil"/>
          <w:between w:val="nil"/>
        </w:pBdr>
        <w:tabs>
          <w:tab w:val="left" w:pos="1701"/>
          <w:tab w:val="left" w:pos="1843"/>
        </w:tabs>
        <w:spacing w:after="240" w:line="360" w:lineRule="auto"/>
        <w:ind w:right="142"/>
        <w:jc w:val="both"/>
        <w:rPr>
          <w:rFonts w:ascii="Palatino Linotype" w:eastAsia="Palatino Linotype" w:hAnsi="Palatino Linotype" w:cs="Palatino Linotype"/>
          <w:b/>
          <w:sz w:val="22"/>
          <w:szCs w:val="22"/>
        </w:rPr>
      </w:pPr>
      <w:r w:rsidRPr="00165F19">
        <w:rPr>
          <w:rFonts w:ascii="Palatino Linotype" w:eastAsia="Palatino Linotype" w:hAnsi="Palatino Linotype" w:cs="Palatino Linotype"/>
          <w:b/>
          <w:sz w:val="22"/>
          <w:szCs w:val="22"/>
        </w:rPr>
        <w:t xml:space="preserve">Incapacidades médicas del dos de mayo de dos mil veinticuatro al veintisiete de febrero de dos mil veinticinco. </w:t>
      </w:r>
    </w:p>
    <w:p w14:paraId="4628195F" w14:textId="77777777" w:rsidR="00BA1757" w:rsidRPr="00165F19" w:rsidRDefault="00A323F2">
      <w:pPr>
        <w:spacing w:line="360" w:lineRule="auto"/>
        <w:ind w:right="615"/>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165F19">
        <w:rPr>
          <w:rFonts w:ascii="Palatino Linotype" w:eastAsia="Palatino Linotype" w:hAnsi="Palatino Linotype" w:cs="Palatino Linotype"/>
          <w:b/>
          <w:i/>
          <w:sz w:val="22"/>
          <w:szCs w:val="22"/>
        </w:rPr>
        <w:t xml:space="preserve"> </w:t>
      </w:r>
      <w:r w:rsidRPr="00165F19">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0B623C10" w14:textId="77777777" w:rsidR="00BA1757" w:rsidRPr="00165F19" w:rsidRDefault="00BA1757">
      <w:pPr>
        <w:spacing w:line="360" w:lineRule="auto"/>
        <w:ind w:right="615"/>
        <w:jc w:val="both"/>
        <w:rPr>
          <w:rFonts w:ascii="Palatino Linotype" w:eastAsia="Palatino Linotype" w:hAnsi="Palatino Linotype" w:cs="Palatino Linotype"/>
          <w:i/>
          <w:sz w:val="22"/>
          <w:szCs w:val="22"/>
        </w:rPr>
      </w:pPr>
    </w:p>
    <w:p w14:paraId="52A6F087" w14:textId="77777777" w:rsidR="00BA1757" w:rsidRPr="00165F19" w:rsidRDefault="00A323F2">
      <w:pPr>
        <w:spacing w:line="360" w:lineRule="auto"/>
        <w:ind w:right="615"/>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Para el caso de que el </w:t>
      </w:r>
      <w:r w:rsidRPr="00165F19">
        <w:rPr>
          <w:rFonts w:ascii="Palatino Linotype" w:eastAsia="Palatino Linotype" w:hAnsi="Palatino Linotype" w:cs="Palatino Linotype"/>
          <w:b/>
          <w:i/>
          <w:sz w:val="22"/>
          <w:szCs w:val="22"/>
        </w:rPr>
        <w:t>Sujeto Obligado</w:t>
      </w:r>
      <w:r w:rsidRPr="00165F19">
        <w:rPr>
          <w:rFonts w:ascii="Palatino Linotype" w:eastAsia="Palatino Linotype" w:hAnsi="Palatino Linotype" w:cs="Palatino Linotype"/>
          <w:i/>
          <w:sz w:val="22"/>
          <w:szCs w:val="22"/>
        </w:rPr>
        <w:t xml:space="preserve"> no cuente la información del inciso a), e) y f) esta última por no haber tenido incapacidades, bastará con que así lo haga del conocimiento de la parte </w:t>
      </w:r>
      <w:r w:rsidRPr="00165F19">
        <w:rPr>
          <w:rFonts w:ascii="Palatino Linotype" w:eastAsia="Palatino Linotype" w:hAnsi="Palatino Linotype" w:cs="Palatino Linotype"/>
          <w:b/>
          <w:i/>
          <w:sz w:val="22"/>
          <w:szCs w:val="22"/>
        </w:rPr>
        <w:t>Recurrente</w:t>
      </w:r>
      <w:r w:rsidRPr="00165F19">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69664627" w14:textId="77777777" w:rsidR="00BA1757" w:rsidRPr="00165F19" w:rsidRDefault="00BA1757">
      <w:pPr>
        <w:spacing w:line="360" w:lineRule="auto"/>
        <w:ind w:right="615"/>
        <w:jc w:val="both"/>
        <w:rPr>
          <w:rFonts w:ascii="Palatino Linotype" w:eastAsia="Palatino Linotype" w:hAnsi="Palatino Linotype" w:cs="Palatino Linotype"/>
          <w:i/>
          <w:sz w:val="22"/>
          <w:szCs w:val="22"/>
        </w:rPr>
      </w:pPr>
    </w:p>
    <w:p w14:paraId="139E4194" w14:textId="77777777" w:rsidR="00BA1757" w:rsidRPr="00165F19" w:rsidRDefault="00A323F2">
      <w:pPr>
        <w:spacing w:line="360" w:lineRule="auto"/>
        <w:ind w:right="615"/>
        <w:jc w:val="both"/>
        <w:rPr>
          <w:rFonts w:ascii="Palatino Linotype" w:eastAsia="Palatino Linotype" w:hAnsi="Palatino Linotype" w:cs="Palatino Linotype"/>
          <w:i/>
          <w:sz w:val="22"/>
          <w:szCs w:val="22"/>
        </w:rPr>
      </w:pPr>
      <w:r w:rsidRPr="00165F19">
        <w:rPr>
          <w:rFonts w:ascii="Palatino Linotype" w:eastAsia="Palatino Linotype" w:hAnsi="Palatino Linotype" w:cs="Palatino Linotype"/>
          <w:i/>
          <w:sz w:val="22"/>
          <w:szCs w:val="22"/>
        </w:rPr>
        <w:t xml:space="preserve">En caso de que el </w:t>
      </w:r>
      <w:r w:rsidRPr="00165F19">
        <w:rPr>
          <w:rFonts w:ascii="Palatino Linotype" w:eastAsia="Palatino Linotype" w:hAnsi="Palatino Linotype" w:cs="Palatino Linotype"/>
          <w:b/>
          <w:i/>
          <w:sz w:val="22"/>
          <w:szCs w:val="22"/>
        </w:rPr>
        <w:t>Sujeto Obligado</w:t>
      </w:r>
      <w:r w:rsidRPr="00165F19">
        <w:rPr>
          <w:rFonts w:ascii="Palatino Linotype" w:eastAsia="Palatino Linotype" w:hAnsi="Palatino Linotype" w:cs="Palatino Linotype"/>
          <w:i/>
          <w:sz w:val="22"/>
          <w:szCs w:val="22"/>
        </w:rPr>
        <w:t xml:space="preserve"> no cuente con documentos que atiendan lo ordenado en el inciso c), deberá emitir el Acuerdo de Inexistencia, en términos de los artículos 169 y 170 de la Ley de Transparencia y Acceso a la Información Pública del Estado de México y Municipios.</w:t>
      </w:r>
    </w:p>
    <w:p w14:paraId="39468476" w14:textId="77777777" w:rsidR="00BA1757" w:rsidRPr="00165F19" w:rsidRDefault="00A323F2">
      <w:pPr>
        <w:spacing w:before="240" w:after="240" w:line="360" w:lineRule="auto"/>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Tercero.  Notifíquese vía SAIMEX, </w:t>
      </w:r>
      <w:r w:rsidRPr="00165F19">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w:t>
      </w:r>
      <w:r w:rsidRPr="00165F19">
        <w:rPr>
          <w:rFonts w:ascii="Palatino Linotype" w:eastAsia="Palatino Linotype" w:hAnsi="Palatino Linotype" w:cs="Palatino Linotype"/>
          <w:sz w:val="22"/>
          <w:szCs w:val="22"/>
        </w:rPr>
        <w:lastRenderedPageBreak/>
        <w:t xml:space="preserve">hacerlo de manera parcial, se le impondrá una medida de apremio de conformidad con lo previsto en los artículos 198, 200, fracción III; 214, 215 y 216 de la Ley  de Transparencia y Acceso a la Información Pública del Estado de México y Municipios. </w:t>
      </w:r>
    </w:p>
    <w:p w14:paraId="61547776" w14:textId="77777777" w:rsidR="00BA1757" w:rsidRPr="00165F19" w:rsidRDefault="00A323F2">
      <w:pPr>
        <w:spacing w:before="240" w:after="240"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Cuarto. Notifíquese a través del SAIMEX, </w:t>
      </w:r>
      <w:r w:rsidRPr="00165F19">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77C67C" w14:textId="77777777" w:rsidR="00BA1757" w:rsidRPr="00165F19" w:rsidRDefault="00A323F2">
      <w:pPr>
        <w:spacing w:before="240" w:after="240" w:line="360" w:lineRule="auto"/>
        <w:ind w:right="49"/>
        <w:jc w:val="both"/>
        <w:rPr>
          <w:rFonts w:ascii="Palatino Linotype" w:eastAsia="Palatino Linotype" w:hAnsi="Palatino Linotype" w:cs="Palatino Linotype"/>
          <w:sz w:val="22"/>
          <w:szCs w:val="22"/>
        </w:rPr>
      </w:pPr>
      <w:r w:rsidRPr="00165F19">
        <w:rPr>
          <w:rFonts w:ascii="Palatino Linotype" w:eastAsia="Palatino Linotype" w:hAnsi="Palatino Linotype" w:cs="Palatino Linotype"/>
          <w:b/>
          <w:sz w:val="22"/>
          <w:szCs w:val="22"/>
        </w:rPr>
        <w:t xml:space="preserve">Quinto. Notifíquese vía SAIMEX, </w:t>
      </w:r>
      <w:r w:rsidRPr="00165F19">
        <w:rPr>
          <w:rFonts w:ascii="Palatino Linotype" w:eastAsia="Palatino Linotype" w:hAnsi="Palatino Linotype" w:cs="Palatino Linotype"/>
          <w:sz w:val="22"/>
          <w:szCs w:val="22"/>
        </w:rPr>
        <w:t>a</w:t>
      </w:r>
      <w:r w:rsidRPr="00165F19">
        <w:rPr>
          <w:rFonts w:ascii="Palatino Linotype" w:eastAsia="Palatino Linotype" w:hAnsi="Palatino Linotype" w:cs="Palatino Linotype"/>
          <w:b/>
          <w:sz w:val="22"/>
          <w:szCs w:val="22"/>
        </w:rPr>
        <w:t xml:space="preserve"> la parte Recurrente</w:t>
      </w:r>
      <w:r w:rsidRPr="00165F19">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0E0623A5" w14:textId="77777777" w:rsidR="00BA1757" w:rsidRPr="00E42482" w:rsidRDefault="00A323F2">
      <w:pPr>
        <w:spacing w:before="240" w:after="240" w:line="360" w:lineRule="auto"/>
        <w:jc w:val="both"/>
        <w:rPr>
          <w:rFonts w:ascii="Palatino Linotype" w:eastAsia="Palatino Linotype" w:hAnsi="Palatino Linotype" w:cs="Palatino Linotype"/>
          <w:sz w:val="22"/>
          <w:szCs w:val="22"/>
        </w:rPr>
      </w:pPr>
      <w:bookmarkStart w:id="7" w:name="_heading=h.o1uv4iusiots" w:colFirst="0" w:colLast="0"/>
      <w:bookmarkEnd w:id="7"/>
      <w:r w:rsidRPr="00165F1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BA39C0" w:rsidRPr="00165F19">
        <w:rPr>
          <w:rFonts w:ascii="Palatino Linotype" w:eastAsia="Palatino Linotype" w:hAnsi="Palatino Linotype" w:cs="Palatino Linotype"/>
          <w:sz w:val="22"/>
          <w:szCs w:val="22"/>
        </w:rPr>
        <w:t xml:space="preserve"> (EMITIENDO VOTO PARTICULAR)</w:t>
      </w:r>
      <w:r w:rsidRPr="00165F19">
        <w:rPr>
          <w:rFonts w:ascii="Palatino Linotype" w:eastAsia="Palatino Linotype" w:hAnsi="Palatino Linotype" w:cs="Palatino Linotype"/>
          <w:sz w:val="22"/>
          <w:szCs w:val="22"/>
        </w:rPr>
        <w:t>, MARÍA DEL ROSARIO MEJÍA AYALA</w:t>
      </w:r>
      <w:r w:rsidR="00BA39C0" w:rsidRPr="00165F19">
        <w:rPr>
          <w:rFonts w:ascii="Palatino Linotype" w:eastAsia="Palatino Linotype" w:hAnsi="Palatino Linotype" w:cs="Palatino Linotype"/>
          <w:sz w:val="22"/>
          <w:szCs w:val="22"/>
        </w:rPr>
        <w:t xml:space="preserve"> (EMITIENDO VOTO PARTICULAR)</w:t>
      </w:r>
      <w:r w:rsidRPr="00165F19">
        <w:rPr>
          <w:rFonts w:ascii="Palatino Linotype" w:eastAsia="Palatino Linotype" w:hAnsi="Palatino Linotype" w:cs="Palatino Linotype"/>
          <w:sz w:val="22"/>
          <w:szCs w:val="22"/>
        </w:rPr>
        <w:t>, SHARON CRISTINA MORALES MARTÍNEZ, LUIS GUSTAVO PARRA NORIEGA</w:t>
      </w:r>
      <w:r w:rsidR="00BA39C0" w:rsidRPr="00165F19">
        <w:rPr>
          <w:rFonts w:ascii="Palatino Linotype" w:eastAsia="Palatino Linotype" w:hAnsi="Palatino Linotype" w:cs="Palatino Linotype"/>
          <w:sz w:val="22"/>
          <w:szCs w:val="22"/>
        </w:rPr>
        <w:t xml:space="preserve"> (EMITIENDO VOTO PARTICULAR)</w:t>
      </w:r>
      <w:r w:rsidRPr="00165F19">
        <w:rPr>
          <w:rFonts w:ascii="Palatino Linotype" w:eastAsia="Palatino Linotype" w:hAnsi="Palatino Linotype" w:cs="Palatino Linotype"/>
          <w:sz w:val="22"/>
          <w:szCs w:val="22"/>
        </w:rPr>
        <w:t xml:space="preserve"> Y GUADALUPE RAMÍREZ PEÑA</w:t>
      </w:r>
      <w:r w:rsidR="00BA39C0" w:rsidRPr="00165F19">
        <w:rPr>
          <w:rFonts w:ascii="Palatino Linotype" w:eastAsia="Palatino Linotype" w:hAnsi="Palatino Linotype" w:cs="Palatino Linotype"/>
          <w:sz w:val="22"/>
          <w:szCs w:val="22"/>
        </w:rPr>
        <w:t xml:space="preserve"> (EMITIENDO VOTO PARTICULAR)</w:t>
      </w:r>
      <w:r w:rsidRPr="00165F19">
        <w:rPr>
          <w:rFonts w:ascii="Palatino Linotype" w:eastAsia="Palatino Linotype" w:hAnsi="Palatino Linotype" w:cs="Palatino Linotype"/>
          <w:sz w:val="22"/>
          <w:szCs w:val="22"/>
        </w:rPr>
        <w:t>; EN LA VIGÉSIMA SEGUNDA SESIÓN ORDINARIA CELEBRADA EL DIECIOCHO DE JUNIO DEL DOS MIL VEINTICINCO, ANTE EL SECRETARIO TÉCNICO DEL PLENO ALEXIS TAPIA RAMÍREZ.</w:t>
      </w:r>
      <w:r w:rsidRPr="00E42482">
        <w:rPr>
          <w:rFonts w:ascii="Palatino Linotype" w:eastAsia="Palatino Linotype" w:hAnsi="Palatino Linotype" w:cs="Palatino Linotype"/>
          <w:sz w:val="22"/>
          <w:szCs w:val="22"/>
        </w:rPr>
        <w:t xml:space="preserve"> </w:t>
      </w:r>
    </w:p>
    <w:p w14:paraId="1C9224F2" w14:textId="77777777" w:rsidR="00BA1757" w:rsidRPr="00E42482" w:rsidRDefault="00BA1757">
      <w:pPr>
        <w:spacing w:before="240" w:after="240" w:line="360" w:lineRule="auto"/>
        <w:jc w:val="both"/>
        <w:rPr>
          <w:rFonts w:ascii="Palatino Linotype" w:eastAsia="Palatino Linotype" w:hAnsi="Palatino Linotype" w:cs="Palatino Linotype"/>
          <w:sz w:val="22"/>
          <w:szCs w:val="22"/>
        </w:rPr>
      </w:pPr>
    </w:p>
    <w:p w14:paraId="2DA01924" w14:textId="77777777" w:rsidR="00BA1757" w:rsidRPr="00E42482" w:rsidRDefault="00BA1757">
      <w:pPr>
        <w:spacing w:before="240" w:after="240" w:line="360" w:lineRule="auto"/>
        <w:jc w:val="both"/>
        <w:rPr>
          <w:rFonts w:ascii="Palatino Linotype" w:eastAsia="Palatino Linotype" w:hAnsi="Palatino Linotype" w:cs="Palatino Linotype"/>
          <w:sz w:val="22"/>
          <w:szCs w:val="22"/>
        </w:rPr>
      </w:pPr>
    </w:p>
    <w:p w14:paraId="71F14544" w14:textId="77777777" w:rsidR="00BA1757" w:rsidRPr="00E42482" w:rsidRDefault="00BA1757">
      <w:pPr>
        <w:spacing w:before="240" w:after="240" w:line="360" w:lineRule="auto"/>
        <w:jc w:val="both"/>
        <w:rPr>
          <w:rFonts w:ascii="Palatino Linotype" w:eastAsia="Palatino Linotype" w:hAnsi="Palatino Linotype" w:cs="Palatino Linotype"/>
          <w:sz w:val="22"/>
          <w:szCs w:val="22"/>
        </w:rPr>
      </w:pPr>
    </w:p>
    <w:p w14:paraId="4FFB3953" w14:textId="77777777" w:rsidR="00BA1757" w:rsidRPr="00E42482" w:rsidRDefault="00BA1757">
      <w:pPr>
        <w:spacing w:before="240" w:after="240" w:line="360" w:lineRule="auto"/>
        <w:jc w:val="both"/>
        <w:rPr>
          <w:rFonts w:ascii="Palatino Linotype" w:eastAsia="Palatino Linotype" w:hAnsi="Palatino Linotype" w:cs="Palatino Linotype"/>
          <w:sz w:val="22"/>
          <w:szCs w:val="22"/>
        </w:rPr>
      </w:pPr>
    </w:p>
    <w:sectPr w:rsidR="00BA1757" w:rsidRPr="00E42482">
      <w:headerReference w:type="default" r:id="rId15"/>
      <w:footerReference w:type="default" r:id="rId16"/>
      <w:headerReference w:type="first" r:id="rId17"/>
      <w:footerReference w:type="first" r:id="rId18"/>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DCA7" w14:textId="77777777" w:rsidR="00AB69C2" w:rsidRDefault="00AB69C2">
      <w:r>
        <w:separator/>
      </w:r>
    </w:p>
  </w:endnote>
  <w:endnote w:type="continuationSeparator" w:id="0">
    <w:p w14:paraId="15A72DB4" w14:textId="77777777" w:rsidR="00AB69C2" w:rsidRDefault="00AB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7497" w14:textId="77777777" w:rsidR="00BA1757" w:rsidRDefault="00A323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688A">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688A">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38D76E71" w14:textId="77777777" w:rsidR="00BA1757" w:rsidRDefault="00BA175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2337" w14:textId="77777777" w:rsidR="00BA1757" w:rsidRDefault="00A323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688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688A">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1B7AAC6E" w14:textId="77777777" w:rsidR="00BA1757" w:rsidRDefault="00BA175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AA02E" w14:textId="77777777" w:rsidR="00AB69C2" w:rsidRDefault="00AB69C2">
      <w:r>
        <w:separator/>
      </w:r>
    </w:p>
  </w:footnote>
  <w:footnote w:type="continuationSeparator" w:id="0">
    <w:p w14:paraId="5E6CD5EF" w14:textId="77777777" w:rsidR="00AB69C2" w:rsidRDefault="00AB6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1E44" w14:textId="77777777" w:rsidR="00BA1757" w:rsidRDefault="00A323F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66988A2" wp14:editId="09AB7FC7">
          <wp:simplePos x="0" y="0"/>
          <wp:positionH relativeFrom="column">
            <wp:posOffset>-1080128</wp:posOffset>
          </wp:positionH>
          <wp:positionV relativeFrom="paragraph">
            <wp:posOffset>-488308</wp:posOffset>
          </wp:positionV>
          <wp:extent cx="7809865" cy="10165715"/>
          <wp:effectExtent l="0" t="0" r="0" b="0"/>
          <wp:wrapNone/>
          <wp:docPr id="7702015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BA1757" w14:paraId="53D14EC5" w14:textId="77777777">
      <w:tc>
        <w:tcPr>
          <w:tcW w:w="2489" w:type="dxa"/>
          <w:shd w:val="clear" w:color="auto" w:fill="auto"/>
        </w:tcPr>
        <w:p w14:paraId="07EA0287"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76FB721" w14:textId="77777777" w:rsidR="00BA1757" w:rsidRDefault="00A323F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03244/INFOEM/IP/RR/2025</w:t>
          </w:r>
        </w:p>
      </w:tc>
    </w:tr>
    <w:tr w:rsidR="00BA1757" w14:paraId="26EE733C" w14:textId="77777777">
      <w:trPr>
        <w:trHeight w:val="228"/>
      </w:trPr>
      <w:tc>
        <w:tcPr>
          <w:tcW w:w="2489" w:type="dxa"/>
          <w:shd w:val="clear" w:color="auto" w:fill="auto"/>
          <w:vAlign w:val="center"/>
        </w:tcPr>
        <w:p w14:paraId="1FC7B6FB"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BC385BD" w14:textId="77777777" w:rsidR="00BA1757" w:rsidRDefault="00A323F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 Ciencia, Tecnología e Innovación</w:t>
          </w:r>
        </w:p>
      </w:tc>
    </w:tr>
    <w:tr w:rsidR="00BA1757" w14:paraId="178AC353" w14:textId="77777777">
      <w:tc>
        <w:tcPr>
          <w:tcW w:w="2489" w:type="dxa"/>
          <w:shd w:val="clear" w:color="auto" w:fill="auto"/>
          <w:vAlign w:val="center"/>
        </w:tcPr>
        <w:p w14:paraId="24C79AE4" w14:textId="77777777" w:rsidR="00BA1757" w:rsidRDefault="00A323F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8DEB5B" w14:textId="77777777" w:rsidR="00BA1757" w:rsidRDefault="00A323F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7402A5" w14:textId="77777777" w:rsidR="00BA1757" w:rsidRDefault="00A323F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2F0C" w14:textId="77777777" w:rsidR="00BA1757" w:rsidRDefault="00A323F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0"/>
      <w:tblW w:w="5670" w:type="dxa"/>
      <w:tblInd w:w="3261" w:type="dxa"/>
      <w:tblLayout w:type="fixed"/>
      <w:tblLook w:val="0400" w:firstRow="0" w:lastRow="0" w:firstColumn="0" w:lastColumn="0" w:noHBand="0" w:noVBand="1"/>
    </w:tblPr>
    <w:tblGrid>
      <w:gridCol w:w="2551"/>
      <w:gridCol w:w="3119"/>
    </w:tblGrid>
    <w:tr w:rsidR="00BA1757" w14:paraId="4340480C" w14:textId="77777777">
      <w:tc>
        <w:tcPr>
          <w:tcW w:w="2551" w:type="dxa"/>
          <w:shd w:val="clear" w:color="auto" w:fill="auto"/>
          <w:vAlign w:val="center"/>
        </w:tcPr>
        <w:p w14:paraId="3F1AA27F"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BD8B262" w14:textId="77777777" w:rsidR="00BA1757" w:rsidRDefault="00A323F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03244/INFOEM/IP/RR/2025</w:t>
          </w:r>
        </w:p>
      </w:tc>
    </w:tr>
    <w:tr w:rsidR="00BA1757" w14:paraId="68488059" w14:textId="77777777">
      <w:trPr>
        <w:trHeight w:val="130"/>
      </w:trPr>
      <w:tc>
        <w:tcPr>
          <w:tcW w:w="2551" w:type="dxa"/>
          <w:shd w:val="clear" w:color="auto" w:fill="auto"/>
          <w:vAlign w:val="center"/>
        </w:tcPr>
        <w:p w14:paraId="1418C450"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52FDD46" w14:textId="5FD4EB25" w:rsidR="00BA1757" w:rsidRDefault="00C5098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0"/>
            </w:rPr>
            <w:t xml:space="preserve">XXXXX XXXXXXX XXXXXXXX XXXXXXXXXX </w:t>
          </w:r>
          <w:r w:rsidR="00A323F2">
            <w:rPr>
              <w:noProof/>
              <w:lang w:val="es-MX"/>
            </w:rPr>
            <w:drawing>
              <wp:anchor distT="0" distB="0" distL="0" distR="0" simplePos="0" relativeHeight="251659264" behindDoc="1" locked="0" layoutInCell="1" hidden="0" allowOverlap="1" wp14:anchorId="1351AF5E" wp14:editId="3FC153DC">
                <wp:simplePos x="0" y="0"/>
                <wp:positionH relativeFrom="column">
                  <wp:posOffset>-4425309</wp:posOffset>
                </wp:positionH>
                <wp:positionV relativeFrom="paragraph">
                  <wp:posOffset>-361943</wp:posOffset>
                </wp:positionV>
                <wp:extent cx="7809865" cy="10165715"/>
                <wp:effectExtent l="0" t="0" r="0" b="0"/>
                <wp:wrapNone/>
                <wp:docPr id="7702015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A1757" w14:paraId="74AFCE91" w14:textId="77777777">
      <w:trPr>
        <w:trHeight w:val="228"/>
      </w:trPr>
      <w:tc>
        <w:tcPr>
          <w:tcW w:w="2551" w:type="dxa"/>
          <w:shd w:val="clear" w:color="auto" w:fill="auto"/>
          <w:vAlign w:val="center"/>
        </w:tcPr>
        <w:p w14:paraId="4070BFD5"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07C1EA1" w14:textId="77777777" w:rsidR="00BA1757" w:rsidRDefault="00A323F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 Ciencia, Tecnología e Innovación</w:t>
          </w:r>
        </w:p>
      </w:tc>
    </w:tr>
    <w:tr w:rsidR="00BA1757" w14:paraId="4C76DD0E" w14:textId="77777777">
      <w:tc>
        <w:tcPr>
          <w:tcW w:w="2551" w:type="dxa"/>
          <w:shd w:val="clear" w:color="auto" w:fill="auto"/>
          <w:vAlign w:val="center"/>
        </w:tcPr>
        <w:p w14:paraId="179486D7" w14:textId="77777777" w:rsidR="00BA1757" w:rsidRDefault="00A323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805AAD1" w14:textId="77777777" w:rsidR="00BA1757" w:rsidRDefault="00A323F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0B46B8" w14:textId="77777777" w:rsidR="00BA1757" w:rsidRDefault="00BA175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1FB"/>
    <w:multiLevelType w:val="multilevel"/>
    <w:tmpl w:val="924279E2"/>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93DEE"/>
    <w:multiLevelType w:val="multilevel"/>
    <w:tmpl w:val="2B604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464ACB"/>
    <w:multiLevelType w:val="multilevel"/>
    <w:tmpl w:val="0C80E2DC"/>
    <w:lvl w:ilvl="0">
      <w:start w:val="1"/>
      <w:numFmt w:val="lowerLetter"/>
      <w:lvlText w:val="%1)"/>
      <w:lvlJc w:val="left"/>
      <w:pPr>
        <w:ind w:left="1070" w:hanging="360"/>
      </w:pPr>
      <w:rPr>
        <w:rFonts w:ascii="Times New Roman" w:eastAsia="Times New Roman" w:hAnsi="Times New Roman" w:cs="Times New Roman"/>
        <w:b/>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22750D66"/>
    <w:multiLevelType w:val="multilevel"/>
    <w:tmpl w:val="6004DF8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23B5046D"/>
    <w:multiLevelType w:val="multilevel"/>
    <w:tmpl w:val="DF94F05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C42B1E"/>
    <w:multiLevelType w:val="multilevel"/>
    <w:tmpl w:val="A62EB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A31722"/>
    <w:multiLevelType w:val="multilevel"/>
    <w:tmpl w:val="433A6C8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60E73613"/>
    <w:multiLevelType w:val="multilevel"/>
    <w:tmpl w:val="6FC07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021A1C"/>
    <w:multiLevelType w:val="multilevel"/>
    <w:tmpl w:val="B8040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8110FA"/>
    <w:multiLevelType w:val="multilevel"/>
    <w:tmpl w:val="05226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6"/>
  </w:num>
  <w:num w:numId="4">
    <w:abstractNumId w:val="9"/>
  </w:num>
  <w:num w:numId="5">
    <w:abstractNumId w:val="0"/>
  </w:num>
  <w:num w:numId="6">
    <w:abstractNumId w:val="3"/>
  </w:num>
  <w:num w:numId="7">
    <w:abstractNumId w:val="8"/>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757"/>
    <w:rsid w:val="00165F19"/>
    <w:rsid w:val="00361467"/>
    <w:rsid w:val="0038688A"/>
    <w:rsid w:val="00A323F2"/>
    <w:rsid w:val="00AB69C2"/>
    <w:rsid w:val="00BA1757"/>
    <w:rsid w:val="00BA39C0"/>
    <w:rsid w:val="00C50982"/>
    <w:rsid w:val="00E424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014A"/>
  <w15:docId w15:val="{B4D2772E-4FA8-404D-9EF9-D9F41CA2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5"/>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datos-personal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kl12YBxX0kruuxuMi6Ka/Z14g==">CgMxLjAyCGguZ2pkZ3hzMgloLjMwajB6bGwyCWguMnM4ZXlvMTIIaC50eWpjd3QyDmgudDZwcGN4bng1MHJoMghoLmxueGJ6OTIJaC4xZm9iOXRlMg5oLm8xdXY0aXVzaW90czgAciExM3dBMlhBcEUyWFBGUDJORWR3QkQ0RWEtOFRZc0lNVVY=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19121</Words>
  <Characters>105170</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2025-06-20T17:22:00Z</cp:lastPrinted>
  <dcterms:created xsi:type="dcterms:W3CDTF">2025-06-27T18:16:00Z</dcterms:created>
  <dcterms:modified xsi:type="dcterms:W3CDTF">2025-06-27T18:16:00Z</dcterms:modified>
</cp:coreProperties>
</file>