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BB7A0B" w:rsidRDefault="00AE3DA7" w:rsidP="00BB7A0B">
          <w:pPr>
            <w:pStyle w:val="TtulodeTDC"/>
            <w:spacing w:before="0" w:line="240" w:lineRule="auto"/>
            <w:rPr>
              <w:rFonts w:ascii="Palatino Linotype" w:hAnsi="Palatino Linotype"/>
              <w:color w:val="auto"/>
              <w:sz w:val="22"/>
              <w:szCs w:val="22"/>
              <w:lang w:val="es-ES"/>
            </w:rPr>
          </w:pPr>
          <w:r w:rsidRPr="00BB7A0B">
            <w:rPr>
              <w:rFonts w:ascii="Palatino Linotype" w:hAnsi="Palatino Linotype"/>
              <w:color w:val="auto"/>
              <w:sz w:val="22"/>
              <w:szCs w:val="22"/>
              <w:lang w:val="es-ES"/>
            </w:rPr>
            <w:t>Contenido</w:t>
          </w:r>
        </w:p>
        <w:p w14:paraId="3EB312A7" w14:textId="77777777" w:rsidR="00AA6EA9" w:rsidRPr="00BB7A0B" w:rsidRDefault="00AA6EA9" w:rsidP="00BB7A0B">
          <w:pPr>
            <w:spacing w:line="240" w:lineRule="auto"/>
            <w:rPr>
              <w:szCs w:val="22"/>
              <w:lang w:val="es-ES" w:eastAsia="es-MX"/>
            </w:rPr>
          </w:pPr>
        </w:p>
        <w:p w14:paraId="65AF3842" w14:textId="77777777" w:rsidR="00F6613C" w:rsidRPr="00BB7A0B" w:rsidRDefault="00AE3DA7" w:rsidP="00BB7A0B">
          <w:pPr>
            <w:pStyle w:val="TDC1"/>
            <w:tabs>
              <w:tab w:val="right" w:leader="dot" w:pos="9034"/>
            </w:tabs>
            <w:rPr>
              <w:rFonts w:asciiTheme="minorHAnsi" w:eastAsiaTheme="minorEastAsia" w:hAnsiTheme="minorHAnsi" w:cstheme="minorBidi"/>
              <w:noProof/>
              <w:szCs w:val="22"/>
              <w:lang w:eastAsia="es-MX"/>
            </w:rPr>
          </w:pPr>
          <w:r w:rsidRPr="00BB7A0B">
            <w:rPr>
              <w:szCs w:val="22"/>
            </w:rPr>
            <w:fldChar w:fldCharType="begin"/>
          </w:r>
          <w:r w:rsidRPr="00BB7A0B">
            <w:rPr>
              <w:szCs w:val="22"/>
            </w:rPr>
            <w:instrText xml:space="preserve"> TOC \o "1-3" \h \z \u </w:instrText>
          </w:r>
          <w:r w:rsidRPr="00BB7A0B">
            <w:rPr>
              <w:szCs w:val="22"/>
            </w:rPr>
            <w:fldChar w:fldCharType="separate"/>
          </w:r>
          <w:hyperlink w:anchor="_Toc190776985" w:history="1">
            <w:r w:rsidR="00F6613C" w:rsidRPr="00BB7A0B">
              <w:rPr>
                <w:rStyle w:val="Hipervnculo"/>
                <w:noProof/>
                <w:color w:val="auto"/>
              </w:rPr>
              <w:t>ANTECEDENTES</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_Toc190776985 \h </w:instrText>
            </w:r>
            <w:r w:rsidR="00F6613C" w:rsidRPr="00BB7A0B">
              <w:rPr>
                <w:noProof/>
                <w:webHidden/>
              </w:rPr>
            </w:r>
            <w:r w:rsidR="00F6613C" w:rsidRPr="00BB7A0B">
              <w:rPr>
                <w:noProof/>
                <w:webHidden/>
              </w:rPr>
              <w:fldChar w:fldCharType="separate"/>
            </w:r>
            <w:r w:rsidR="00D47071">
              <w:rPr>
                <w:noProof/>
                <w:webHidden/>
              </w:rPr>
              <w:t>1</w:t>
            </w:r>
            <w:r w:rsidR="00F6613C" w:rsidRPr="00BB7A0B">
              <w:rPr>
                <w:noProof/>
                <w:webHidden/>
              </w:rPr>
              <w:fldChar w:fldCharType="end"/>
            </w:r>
          </w:hyperlink>
        </w:p>
        <w:p w14:paraId="0E0E22EE" w14:textId="77777777" w:rsidR="00F6613C" w:rsidRPr="00BB7A0B" w:rsidRDefault="00057439" w:rsidP="00BB7A0B">
          <w:pPr>
            <w:pStyle w:val="TDC2"/>
            <w:rPr>
              <w:rFonts w:asciiTheme="minorHAnsi" w:eastAsiaTheme="minorEastAsia" w:hAnsiTheme="minorHAnsi" w:cstheme="minorBidi"/>
              <w:noProof/>
              <w:szCs w:val="22"/>
              <w:lang w:eastAsia="es-MX"/>
            </w:rPr>
          </w:pPr>
          <w:hyperlink w:anchor="_Toc190776986" w:history="1">
            <w:r w:rsidR="00F6613C" w:rsidRPr="00BB7A0B">
              <w:rPr>
                <w:rStyle w:val="Hipervnculo"/>
                <w:noProof/>
                <w:color w:val="auto"/>
              </w:rPr>
              <w:t>DE LA SOLICITUD DE INFORMACIÓN</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_Toc190776986 \h </w:instrText>
            </w:r>
            <w:r w:rsidR="00F6613C" w:rsidRPr="00BB7A0B">
              <w:rPr>
                <w:noProof/>
                <w:webHidden/>
              </w:rPr>
            </w:r>
            <w:r w:rsidR="00F6613C" w:rsidRPr="00BB7A0B">
              <w:rPr>
                <w:noProof/>
                <w:webHidden/>
              </w:rPr>
              <w:fldChar w:fldCharType="separate"/>
            </w:r>
            <w:r w:rsidR="00D47071">
              <w:rPr>
                <w:noProof/>
                <w:webHidden/>
              </w:rPr>
              <w:t>1</w:t>
            </w:r>
            <w:r w:rsidR="00F6613C" w:rsidRPr="00BB7A0B">
              <w:rPr>
                <w:noProof/>
                <w:webHidden/>
              </w:rPr>
              <w:fldChar w:fldCharType="end"/>
            </w:r>
          </w:hyperlink>
        </w:p>
        <w:p w14:paraId="4F5ECDF7"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87" w:history="1">
            <w:r w:rsidR="00F6613C" w:rsidRPr="00BB7A0B">
              <w:rPr>
                <w:rStyle w:val="Hipervnculo"/>
                <w:noProof/>
                <w:color w:val="auto"/>
              </w:rPr>
              <w:t>a) Solicitud de información</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_Toc190776987 \h </w:instrText>
            </w:r>
            <w:r w:rsidR="00F6613C" w:rsidRPr="00BB7A0B">
              <w:rPr>
                <w:noProof/>
                <w:webHidden/>
              </w:rPr>
            </w:r>
            <w:r w:rsidR="00F6613C" w:rsidRPr="00BB7A0B">
              <w:rPr>
                <w:noProof/>
                <w:webHidden/>
              </w:rPr>
              <w:fldChar w:fldCharType="separate"/>
            </w:r>
            <w:r w:rsidR="00D47071">
              <w:rPr>
                <w:noProof/>
                <w:webHidden/>
              </w:rPr>
              <w:t>1</w:t>
            </w:r>
            <w:r w:rsidR="00F6613C" w:rsidRPr="00BB7A0B">
              <w:rPr>
                <w:noProof/>
                <w:webHidden/>
              </w:rPr>
              <w:fldChar w:fldCharType="end"/>
            </w:r>
          </w:hyperlink>
        </w:p>
        <w:p w14:paraId="03105DD7"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88" w:history="1">
            <w:r w:rsidR="00F6613C" w:rsidRPr="00BB7A0B">
              <w:rPr>
                <w:rStyle w:val="Hipervnculo"/>
                <w:noProof/>
                <w:color w:val="auto"/>
              </w:rPr>
              <w:t xml:space="preserve">b) </w:t>
            </w:r>
            <w:r w:rsidR="00F6613C" w:rsidRPr="00BB7A0B">
              <w:rPr>
                <w:rStyle w:val="Hipervnculo"/>
                <w:noProof/>
                <w:color w:val="auto"/>
                <w:lang w:val="es-ES"/>
              </w:rPr>
              <w:t xml:space="preserve">Respuesta </w:t>
            </w:r>
            <w:r w:rsidR="00F6613C" w:rsidRPr="00BB7A0B">
              <w:rPr>
                <w:rStyle w:val="Hipervnculo"/>
                <w:rFonts w:eastAsia="Calibri"/>
                <w:noProof/>
                <w:color w:val="auto"/>
                <w:lang w:eastAsia="en-US"/>
              </w:rPr>
              <w:t>del Sujeto Obligado</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_Toc190776988 \h </w:instrText>
            </w:r>
            <w:r w:rsidR="00F6613C" w:rsidRPr="00BB7A0B">
              <w:rPr>
                <w:noProof/>
                <w:webHidden/>
              </w:rPr>
            </w:r>
            <w:r w:rsidR="00F6613C" w:rsidRPr="00BB7A0B">
              <w:rPr>
                <w:noProof/>
                <w:webHidden/>
              </w:rPr>
              <w:fldChar w:fldCharType="separate"/>
            </w:r>
            <w:r w:rsidR="00D47071">
              <w:rPr>
                <w:noProof/>
                <w:webHidden/>
              </w:rPr>
              <w:t>2</w:t>
            </w:r>
            <w:r w:rsidR="00F6613C" w:rsidRPr="00BB7A0B">
              <w:rPr>
                <w:noProof/>
                <w:webHidden/>
              </w:rPr>
              <w:fldChar w:fldCharType="end"/>
            </w:r>
          </w:hyperlink>
        </w:p>
        <w:p w14:paraId="25ECC42B" w14:textId="77777777" w:rsidR="00F6613C" w:rsidRPr="00BB7A0B" w:rsidRDefault="00057439" w:rsidP="00BB7A0B">
          <w:pPr>
            <w:pStyle w:val="TDC2"/>
            <w:rPr>
              <w:rFonts w:asciiTheme="minorHAnsi" w:eastAsiaTheme="minorEastAsia" w:hAnsiTheme="minorHAnsi" w:cstheme="minorBidi"/>
              <w:noProof/>
              <w:szCs w:val="22"/>
              <w:lang w:eastAsia="es-MX"/>
            </w:rPr>
          </w:pPr>
          <w:hyperlink w:anchor="_Toc190776989" w:history="1">
            <w:r w:rsidR="00F6613C" w:rsidRPr="00BB7A0B">
              <w:rPr>
                <w:rStyle w:val="Hipervnculo"/>
                <w:noProof/>
                <w:color w:val="auto"/>
              </w:rPr>
              <w:t>DEL RECURSO DE REVISIÓN</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_Toc190776989 \h </w:instrText>
            </w:r>
            <w:r w:rsidR="00F6613C" w:rsidRPr="00BB7A0B">
              <w:rPr>
                <w:noProof/>
                <w:webHidden/>
              </w:rPr>
            </w:r>
            <w:r w:rsidR="00F6613C" w:rsidRPr="00BB7A0B">
              <w:rPr>
                <w:noProof/>
                <w:webHidden/>
              </w:rPr>
              <w:fldChar w:fldCharType="separate"/>
            </w:r>
            <w:r w:rsidR="00D47071">
              <w:rPr>
                <w:noProof/>
                <w:webHidden/>
              </w:rPr>
              <w:t>4</w:t>
            </w:r>
            <w:r w:rsidR="00F6613C" w:rsidRPr="00BB7A0B">
              <w:rPr>
                <w:noProof/>
                <w:webHidden/>
              </w:rPr>
              <w:fldChar w:fldCharType="end"/>
            </w:r>
          </w:hyperlink>
        </w:p>
        <w:p w14:paraId="072E6EE8"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90" w:history="1">
            <w:r w:rsidR="00F6613C" w:rsidRPr="00BB7A0B">
              <w:rPr>
                <w:rStyle w:val="Hipervnculo"/>
                <w:noProof/>
                <w:color w:val="auto"/>
              </w:rPr>
              <w:t>a) Interposición del Recurso de Revisión</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_Toc190776990 \h </w:instrText>
            </w:r>
            <w:r w:rsidR="00F6613C" w:rsidRPr="00BB7A0B">
              <w:rPr>
                <w:noProof/>
                <w:webHidden/>
              </w:rPr>
            </w:r>
            <w:r w:rsidR="00F6613C" w:rsidRPr="00BB7A0B">
              <w:rPr>
                <w:noProof/>
                <w:webHidden/>
              </w:rPr>
              <w:fldChar w:fldCharType="separate"/>
            </w:r>
            <w:r w:rsidR="00D47071">
              <w:rPr>
                <w:noProof/>
                <w:webHidden/>
              </w:rPr>
              <w:t>4</w:t>
            </w:r>
            <w:r w:rsidR="00F6613C" w:rsidRPr="00BB7A0B">
              <w:rPr>
                <w:noProof/>
                <w:webHidden/>
              </w:rPr>
              <w:fldChar w:fldCharType="end"/>
            </w:r>
          </w:hyperlink>
        </w:p>
        <w:p w14:paraId="1B617720"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91" w:history="1">
            <w:r w:rsidR="00F6613C" w:rsidRPr="00BB7A0B">
              <w:rPr>
                <w:rStyle w:val="Hipervnculo"/>
                <w:noProof/>
                <w:color w:val="auto"/>
              </w:rPr>
              <w:t>b) Turno del Recurso de Revisión</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_Toc190776991 \h </w:instrText>
            </w:r>
            <w:r w:rsidR="00F6613C" w:rsidRPr="00BB7A0B">
              <w:rPr>
                <w:noProof/>
                <w:webHidden/>
              </w:rPr>
            </w:r>
            <w:r w:rsidR="00F6613C" w:rsidRPr="00BB7A0B">
              <w:rPr>
                <w:noProof/>
                <w:webHidden/>
              </w:rPr>
              <w:fldChar w:fldCharType="separate"/>
            </w:r>
            <w:r w:rsidR="00D47071">
              <w:rPr>
                <w:noProof/>
                <w:webHidden/>
              </w:rPr>
              <w:t>5</w:t>
            </w:r>
            <w:r w:rsidR="00F6613C" w:rsidRPr="00BB7A0B">
              <w:rPr>
                <w:noProof/>
                <w:webHidden/>
              </w:rPr>
              <w:fldChar w:fldCharType="end"/>
            </w:r>
          </w:hyperlink>
        </w:p>
        <w:p w14:paraId="0523CCFD"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92" w:history="1">
            <w:r w:rsidR="00F6613C" w:rsidRPr="00BB7A0B">
              <w:rPr>
                <w:rStyle w:val="Hipervnculo"/>
                <w:noProof/>
                <w:color w:val="auto"/>
              </w:rPr>
              <w:t>c) Admisión del Recurso de Revisión</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_Toc190776992 \h </w:instrText>
            </w:r>
            <w:r w:rsidR="00F6613C" w:rsidRPr="00BB7A0B">
              <w:rPr>
                <w:noProof/>
                <w:webHidden/>
              </w:rPr>
            </w:r>
            <w:r w:rsidR="00F6613C" w:rsidRPr="00BB7A0B">
              <w:rPr>
                <w:noProof/>
                <w:webHidden/>
              </w:rPr>
              <w:fldChar w:fldCharType="separate"/>
            </w:r>
            <w:r w:rsidR="00D47071">
              <w:rPr>
                <w:noProof/>
                <w:webHidden/>
              </w:rPr>
              <w:t>5</w:t>
            </w:r>
            <w:r w:rsidR="00F6613C" w:rsidRPr="00BB7A0B">
              <w:rPr>
                <w:noProof/>
                <w:webHidden/>
              </w:rPr>
              <w:fldChar w:fldCharType="end"/>
            </w:r>
          </w:hyperlink>
        </w:p>
        <w:p w14:paraId="497BA887"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93" w:history="1">
            <w:r w:rsidR="00F6613C" w:rsidRPr="00BB7A0B">
              <w:rPr>
                <w:rStyle w:val="Hipervnculo"/>
                <w:noProof/>
                <w:color w:val="auto"/>
              </w:rPr>
              <w:t>d) Informe Justificado del Sujeto Obligado</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_Toc190776993 \h </w:instrText>
            </w:r>
            <w:r w:rsidR="00F6613C" w:rsidRPr="00BB7A0B">
              <w:rPr>
                <w:noProof/>
                <w:webHidden/>
              </w:rPr>
            </w:r>
            <w:r w:rsidR="00F6613C" w:rsidRPr="00BB7A0B">
              <w:rPr>
                <w:noProof/>
                <w:webHidden/>
              </w:rPr>
              <w:fldChar w:fldCharType="separate"/>
            </w:r>
            <w:r w:rsidR="00D47071">
              <w:rPr>
                <w:noProof/>
                <w:webHidden/>
              </w:rPr>
              <w:t>6</w:t>
            </w:r>
            <w:r w:rsidR="00F6613C" w:rsidRPr="00BB7A0B">
              <w:rPr>
                <w:noProof/>
                <w:webHidden/>
              </w:rPr>
              <w:fldChar w:fldCharType="end"/>
            </w:r>
          </w:hyperlink>
        </w:p>
        <w:p w14:paraId="27FD19BD"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94" w:history="1">
            <w:r w:rsidR="00F6613C" w:rsidRPr="00BB7A0B">
              <w:rPr>
                <w:rStyle w:val="Hipervnculo"/>
                <w:rFonts w:eastAsia="Calibri"/>
                <w:bCs/>
                <w:noProof/>
                <w:color w:val="auto"/>
                <w:lang w:eastAsia="en-US"/>
              </w:rPr>
              <w:t>e)</w:t>
            </w:r>
            <w:r w:rsidR="00F6613C" w:rsidRPr="00BB7A0B">
              <w:rPr>
                <w:rStyle w:val="Hipervnculo"/>
                <w:noProof/>
                <w:color w:val="auto"/>
              </w:rPr>
              <w:t xml:space="preserve"> </w:t>
            </w:r>
            <w:r w:rsidR="00F6613C" w:rsidRPr="00BB7A0B">
              <w:rPr>
                <w:rStyle w:val="Hipervnculo"/>
                <w:noProof/>
                <w:color w:val="auto"/>
                <w:lang w:val="es-ES"/>
              </w:rPr>
              <w:t>Manifestaciones de la Parte Recurrente</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_Toc190776994 \h </w:instrText>
            </w:r>
            <w:r w:rsidR="00F6613C" w:rsidRPr="00BB7A0B">
              <w:rPr>
                <w:noProof/>
                <w:webHidden/>
              </w:rPr>
            </w:r>
            <w:r w:rsidR="00F6613C" w:rsidRPr="00BB7A0B">
              <w:rPr>
                <w:noProof/>
                <w:webHidden/>
              </w:rPr>
              <w:fldChar w:fldCharType="separate"/>
            </w:r>
            <w:r w:rsidR="00D47071">
              <w:rPr>
                <w:noProof/>
                <w:webHidden/>
              </w:rPr>
              <w:t>7</w:t>
            </w:r>
            <w:r w:rsidR="00F6613C" w:rsidRPr="00BB7A0B">
              <w:rPr>
                <w:noProof/>
                <w:webHidden/>
              </w:rPr>
              <w:fldChar w:fldCharType="end"/>
            </w:r>
          </w:hyperlink>
        </w:p>
        <w:p w14:paraId="33D12135"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95" w:history="1">
            <w:r w:rsidR="00F6613C" w:rsidRPr="00BB7A0B">
              <w:rPr>
                <w:rStyle w:val="Hipervnculo"/>
                <w:rFonts w:eastAsia="Calibri"/>
                <w:noProof/>
                <w:color w:val="auto"/>
              </w:rPr>
              <w:t xml:space="preserve">f) </w:t>
            </w:r>
            <w:r w:rsidR="00F6613C" w:rsidRPr="00BB7A0B">
              <w:rPr>
                <w:rStyle w:val="Hipervnculo"/>
                <w:noProof/>
                <w:color w:val="auto"/>
              </w:rPr>
              <w:t>Cierre de instrucción</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_Toc190776995 \h </w:instrText>
            </w:r>
            <w:r w:rsidR="00F6613C" w:rsidRPr="00BB7A0B">
              <w:rPr>
                <w:noProof/>
                <w:webHidden/>
              </w:rPr>
            </w:r>
            <w:r w:rsidR="00F6613C" w:rsidRPr="00BB7A0B">
              <w:rPr>
                <w:noProof/>
                <w:webHidden/>
              </w:rPr>
              <w:fldChar w:fldCharType="separate"/>
            </w:r>
            <w:r w:rsidR="00D47071">
              <w:rPr>
                <w:noProof/>
                <w:webHidden/>
              </w:rPr>
              <w:t>7</w:t>
            </w:r>
            <w:r w:rsidR="00F6613C" w:rsidRPr="00BB7A0B">
              <w:rPr>
                <w:noProof/>
                <w:webHidden/>
              </w:rPr>
              <w:fldChar w:fldCharType="end"/>
            </w:r>
          </w:hyperlink>
        </w:p>
        <w:p w14:paraId="78F3B4E8" w14:textId="77777777" w:rsidR="00F6613C" w:rsidRPr="00BB7A0B" w:rsidRDefault="00057439" w:rsidP="00BB7A0B">
          <w:pPr>
            <w:pStyle w:val="TDC1"/>
            <w:tabs>
              <w:tab w:val="right" w:leader="dot" w:pos="9034"/>
            </w:tabs>
            <w:rPr>
              <w:rFonts w:asciiTheme="minorHAnsi" w:eastAsiaTheme="minorEastAsia" w:hAnsiTheme="minorHAnsi" w:cstheme="minorBidi"/>
              <w:noProof/>
              <w:szCs w:val="22"/>
              <w:lang w:eastAsia="es-MX"/>
            </w:rPr>
          </w:pPr>
          <w:hyperlink w:anchor="_Toc190776996" w:history="1">
            <w:r w:rsidR="00F6613C" w:rsidRPr="00BB7A0B">
              <w:rPr>
                <w:rStyle w:val="Hipervnculo"/>
                <w:rFonts w:eastAsiaTheme="minorHAnsi"/>
                <w:noProof/>
                <w:color w:val="auto"/>
                <w:lang w:eastAsia="en-US"/>
              </w:rPr>
              <w:t>CONSIDERANDOS</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_Toc190776996 \h </w:instrText>
            </w:r>
            <w:r w:rsidR="00F6613C" w:rsidRPr="00BB7A0B">
              <w:rPr>
                <w:noProof/>
                <w:webHidden/>
              </w:rPr>
            </w:r>
            <w:r w:rsidR="00F6613C" w:rsidRPr="00BB7A0B">
              <w:rPr>
                <w:noProof/>
                <w:webHidden/>
              </w:rPr>
              <w:fldChar w:fldCharType="separate"/>
            </w:r>
            <w:r w:rsidR="00D47071">
              <w:rPr>
                <w:noProof/>
                <w:webHidden/>
              </w:rPr>
              <w:t>8</w:t>
            </w:r>
            <w:r w:rsidR="00F6613C" w:rsidRPr="00BB7A0B">
              <w:rPr>
                <w:noProof/>
                <w:webHidden/>
              </w:rPr>
              <w:fldChar w:fldCharType="end"/>
            </w:r>
          </w:hyperlink>
        </w:p>
        <w:p w14:paraId="38703380" w14:textId="77777777" w:rsidR="00F6613C" w:rsidRPr="00BB7A0B" w:rsidRDefault="00057439" w:rsidP="00BB7A0B">
          <w:pPr>
            <w:pStyle w:val="TDC2"/>
            <w:rPr>
              <w:rFonts w:asciiTheme="minorHAnsi" w:eastAsiaTheme="minorEastAsia" w:hAnsiTheme="minorHAnsi" w:cstheme="minorBidi"/>
              <w:noProof/>
              <w:szCs w:val="22"/>
              <w:lang w:eastAsia="es-MX"/>
            </w:rPr>
          </w:pPr>
          <w:hyperlink w:anchor="_Toc190776997" w:history="1">
            <w:r w:rsidR="00F6613C" w:rsidRPr="00BB7A0B">
              <w:rPr>
                <w:rStyle w:val="Hipervnculo"/>
                <w:rFonts w:eastAsia="Batang"/>
                <w:noProof/>
                <w:color w:val="auto"/>
              </w:rPr>
              <w:t>PRIMERO. Procedibilidad</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_Toc190776997 \h </w:instrText>
            </w:r>
            <w:r w:rsidR="00F6613C" w:rsidRPr="00BB7A0B">
              <w:rPr>
                <w:noProof/>
                <w:webHidden/>
              </w:rPr>
            </w:r>
            <w:r w:rsidR="00F6613C" w:rsidRPr="00BB7A0B">
              <w:rPr>
                <w:noProof/>
                <w:webHidden/>
              </w:rPr>
              <w:fldChar w:fldCharType="separate"/>
            </w:r>
            <w:r w:rsidR="00D47071">
              <w:rPr>
                <w:noProof/>
                <w:webHidden/>
              </w:rPr>
              <w:t>8</w:t>
            </w:r>
            <w:r w:rsidR="00F6613C" w:rsidRPr="00BB7A0B">
              <w:rPr>
                <w:noProof/>
                <w:webHidden/>
              </w:rPr>
              <w:fldChar w:fldCharType="end"/>
            </w:r>
          </w:hyperlink>
        </w:p>
        <w:p w14:paraId="43747BDC"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98" w:history="1">
            <w:r w:rsidR="00F6613C" w:rsidRPr="00BB7A0B">
              <w:rPr>
                <w:rStyle w:val="Hipervnculo"/>
                <w:noProof/>
                <w:color w:val="auto"/>
              </w:rPr>
              <w:t>a) Competencia del Instituto</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_Toc190776998 \h </w:instrText>
            </w:r>
            <w:r w:rsidR="00F6613C" w:rsidRPr="00BB7A0B">
              <w:rPr>
                <w:noProof/>
                <w:webHidden/>
              </w:rPr>
            </w:r>
            <w:r w:rsidR="00F6613C" w:rsidRPr="00BB7A0B">
              <w:rPr>
                <w:noProof/>
                <w:webHidden/>
              </w:rPr>
              <w:fldChar w:fldCharType="separate"/>
            </w:r>
            <w:r w:rsidR="00D47071">
              <w:rPr>
                <w:noProof/>
                <w:webHidden/>
              </w:rPr>
              <w:t>8</w:t>
            </w:r>
            <w:r w:rsidR="00F6613C" w:rsidRPr="00BB7A0B">
              <w:rPr>
                <w:noProof/>
                <w:webHidden/>
              </w:rPr>
              <w:fldChar w:fldCharType="end"/>
            </w:r>
          </w:hyperlink>
        </w:p>
        <w:p w14:paraId="66C06FE6"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6999" w:history="1">
            <w:r w:rsidR="00F6613C" w:rsidRPr="00BB7A0B">
              <w:rPr>
                <w:rStyle w:val="Hipervnculo"/>
                <w:noProof/>
                <w:color w:val="auto"/>
              </w:rPr>
              <w:t>b) Legitimidad de la parte recurrente</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_Toc190776999 \h </w:instrText>
            </w:r>
            <w:r w:rsidR="00F6613C" w:rsidRPr="00BB7A0B">
              <w:rPr>
                <w:noProof/>
                <w:webHidden/>
              </w:rPr>
            </w:r>
            <w:r w:rsidR="00F6613C" w:rsidRPr="00BB7A0B">
              <w:rPr>
                <w:noProof/>
                <w:webHidden/>
              </w:rPr>
              <w:fldChar w:fldCharType="separate"/>
            </w:r>
            <w:r w:rsidR="00D47071">
              <w:rPr>
                <w:noProof/>
                <w:webHidden/>
              </w:rPr>
              <w:t>8</w:t>
            </w:r>
            <w:r w:rsidR="00F6613C" w:rsidRPr="00BB7A0B">
              <w:rPr>
                <w:noProof/>
                <w:webHidden/>
              </w:rPr>
              <w:fldChar w:fldCharType="end"/>
            </w:r>
          </w:hyperlink>
        </w:p>
        <w:p w14:paraId="7F91C79B"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7000" w:history="1">
            <w:r w:rsidR="00F6613C" w:rsidRPr="00BB7A0B">
              <w:rPr>
                <w:rStyle w:val="Hipervnculo"/>
                <w:rFonts w:eastAsia="Calibri"/>
                <w:noProof/>
                <w:color w:val="auto"/>
                <w:lang w:eastAsia="es-ES_tradnl"/>
              </w:rPr>
              <w:t>c) Plazo para interponer el recurso</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_Toc190777000 \h </w:instrText>
            </w:r>
            <w:r w:rsidR="00F6613C" w:rsidRPr="00BB7A0B">
              <w:rPr>
                <w:noProof/>
                <w:webHidden/>
              </w:rPr>
            </w:r>
            <w:r w:rsidR="00F6613C" w:rsidRPr="00BB7A0B">
              <w:rPr>
                <w:noProof/>
                <w:webHidden/>
              </w:rPr>
              <w:fldChar w:fldCharType="separate"/>
            </w:r>
            <w:r w:rsidR="00D47071">
              <w:rPr>
                <w:noProof/>
                <w:webHidden/>
              </w:rPr>
              <w:t>9</w:t>
            </w:r>
            <w:r w:rsidR="00F6613C" w:rsidRPr="00BB7A0B">
              <w:rPr>
                <w:noProof/>
                <w:webHidden/>
              </w:rPr>
              <w:fldChar w:fldCharType="end"/>
            </w:r>
          </w:hyperlink>
        </w:p>
        <w:p w14:paraId="16A38B95"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7001" w:history="1">
            <w:r w:rsidR="00F6613C" w:rsidRPr="00BB7A0B">
              <w:rPr>
                <w:rStyle w:val="Hipervnculo"/>
                <w:rFonts w:eastAsia="Calibri"/>
                <w:noProof/>
                <w:color w:val="auto"/>
                <w:lang w:eastAsia="es-ES_tradnl"/>
              </w:rPr>
              <w:t>d) Causal de Procedencia</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_Toc190777001 \h </w:instrText>
            </w:r>
            <w:r w:rsidR="00F6613C" w:rsidRPr="00BB7A0B">
              <w:rPr>
                <w:noProof/>
                <w:webHidden/>
              </w:rPr>
            </w:r>
            <w:r w:rsidR="00F6613C" w:rsidRPr="00BB7A0B">
              <w:rPr>
                <w:noProof/>
                <w:webHidden/>
              </w:rPr>
              <w:fldChar w:fldCharType="separate"/>
            </w:r>
            <w:r w:rsidR="00D47071">
              <w:rPr>
                <w:noProof/>
                <w:webHidden/>
              </w:rPr>
              <w:t>9</w:t>
            </w:r>
            <w:r w:rsidR="00F6613C" w:rsidRPr="00BB7A0B">
              <w:rPr>
                <w:noProof/>
                <w:webHidden/>
              </w:rPr>
              <w:fldChar w:fldCharType="end"/>
            </w:r>
          </w:hyperlink>
        </w:p>
        <w:p w14:paraId="1B2E99CA"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7002" w:history="1">
            <w:r w:rsidR="00F6613C" w:rsidRPr="00BB7A0B">
              <w:rPr>
                <w:rStyle w:val="Hipervnculo"/>
                <w:noProof/>
                <w:color w:val="auto"/>
              </w:rPr>
              <w:t>e) Requisitos formales para la interposición del recurso</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_Toc190777002 \h </w:instrText>
            </w:r>
            <w:r w:rsidR="00F6613C" w:rsidRPr="00BB7A0B">
              <w:rPr>
                <w:noProof/>
                <w:webHidden/>
              </w:rPr>
            </w:r>
            <w:r w:rsidR="00F6613C" w:rsidRPr="00BB7A0B">
              <w:rPr>
                <w:noProof/>
                <w:webHidden/>
              </w:rPr>
              <w:fldChar w:fldCharType="separate"/>
            </w:r>
            <w:r w:rsidR="00D47071">
              <w:rPr>
                <w:noProof/>
                <w:webHidden/>
              </w:rPr>
              <w:t>9</w:t>
            </w:r>
            <w:r w:rsidR="00F6613C" w:rsidRPr="00BB7A0B">
              <w:rPr>
                <w:noProof/>
                <w:webHidden/>
              </w:rPr>
              <w:fldChar w:fldCharType="end"/>
            </w:r>
          </w:hyperlink>
        </w:p>
        <w:p w14:paraId="65CE98DF" w14:textId="77777777" w:rsidR="00F6613C" w:rsidRPr="00BB7A0B" w:rsidRDefault="00057439" w:rsidP="00BB7A0B">
          <w:pPr>
            <w:pStyle w:val="TDC2"/>
            <w:rPr>
              <w:rFonts w:asciiTheme="minorHAnsi" w:eastAsiaTheme="minorEastAsia" w:hAnsiTheme="minorHAnsi" w:cstheme="minorBidi"/>
              <w:noProof/>
              <w:szCs w:val="22"/>
              <w:lang w:eastAsia="es-MX"/>
            </w:rPr>
          </w:pPr>
          <w:hyperlink w:anchor="_Toc190777003" w:history="1">
            <w:r w:rsidR="00F6613C" w:rsidRPr="00BB7A0B">
              <w:rPr>
                <w:rStyle w:val="Hipervnculo"/>
                <w:noProof/>
                <w:color w:val="auto"/>
              </w:rPr>
              <w:t>SEGUNDO. Estudio de Fondo</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_Toc190777003 \h </w:instrText>
            </w:r>
            <w:r w:rsidR="00F6613C" w:rsidRPr="00BB7A0B">
              <w:rPr>
                <w:noProof/>
                <w:webHidden/>
              </w:rPr>
            </w:r>
            <w:r w:rsidR="00F6613C" w:rsidRPr="00BB7A0B">
              <w:rPr>
                <w:noProof/>
                <w:webHidden/>
              </w:rPr>
              <w:fldChar w:fldCharType="separate"/>
            </w:r>
            <w:r w:rsidR="00D47071">
              <w:rPr>
                <w:noProof/>
                <w:webHidden/>
              </w:rPr>
              <w:t>9</w:t>
            </w:r>
            <w:r w:rsidR="00F6613C" w:rsidRPr="00BB7A0B">
              <w:rPr>
                <w:noProof/>
                <w:webHidden/>
              </w:rPr>
              <w:fldChar w:fldCharType="end"/>
            </w:r>
          </w:hyperlink>
        </w:p>
        <w:p w14:paraId="41CB8F95"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7004" w:history="1">
            <w:r w:rsidR="00F6613C" w:rsidRPr="00BB7A0B">
              <w:rPr>
                <w:rStyle w:val="Hipervnculo"/>
                <w:noProof/>
                <w:color w:val="auto"/>
              </w:rPr>
              <w:t>a) Mandato de transparencia y responsabilidad del Sujeto Obligado</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_Toc190777004 \h </w:instrText>
            </w:r>
            <w:r w:rsidR="00F6613C" w:rsidRPr="00BB7A0B">
              <w:rPr>
                <w:noProof/>
                <w:webHidden/>
              </w:rPr>
            </w:r>
            <w:r w:rsidR="00F6613C" w:rsidRPr="00BB7A0B">
              <w:rPr>
                <w:noProof/>
                <w:webHidden/>
              </w:rPr>
              <w:fldChar w:fldCharType="separate"/>
            </w:r>
            <w:r w:rsidR="00D47071">
              <w:rPr>
                <w:noProof/>
                <w:webHidden/>
              </w:rPr>
              <w:t>9</w:t>
            </w:r>
            <w:r w:rsidR="00F6613C" w:rsidRPr="00BB7A0B">
              <w:rPr>
                <w:noProof/>
                <w:webHidden/>
              </w:rPr>
              <w:fldChar w:fldCharType="end"/>
            </w:r>
          </w:hyperlink>
        </w:p>
        <w:p w14:paraId="39502889"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7005" w:history="1">
            <w:r w:rsidR="00F6613C" w:rsidRPr="00BB7A0B">
              <w:rPr>
                <w:rStyle w:val="Hipervnculo"/>
                <w:rFonts w:eastAsia="Calibri"/>
                <w:noProof/>
                <w:color w:val="auto"/>
                <w:lang w:eastAsia="es-ES_tradnl"/>
              </w:rPr>
              <w:t>b) Controversia a resolver</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_Toc190777005 \h </w:instrText>
            </w:r>
            <w:r w:rsidR="00F6613C" w:rsidRPr="00BB7A0B">
              <w:rPr>
                <w:noProof/>
                <w:webHidden/>
              </w:rPr>
            </w:r>
            <w:r w:rsidR="00F6613C" w:rsidRPr="00BB7A0B">
              <w:rPr>
                <w:noProof/>
                <w:webHidden/>
              </w:rPr>
              <w:fldChar w:fldCharType="separate"/>
            </w:r>
            <w:r w:rsidR="00D47071">
              <w:rPr>
                <w:noProof/>
                <w:webHidden/>
              </w:rPr>
              <w:t>12</w:t>
            </w:r>
            <w:r w:rsidR="00F6613C" w:rsidRPr="00BB7A0B">
              <w:rPr>
                <w:noProof/>
                <w:webHidden/>
              </w:rPr>
              <w:fldChar w:fldCharType="end"/>
            </w:r>
          </w:hyperlink>
        </w:p>
        <w:p w14:paraId="532FEEB4"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7006" w:history="1">
            <w:r w:rsidR="00F6613C" w:rsidRPr="00BB7A0B">
              <w:rPr>
                <w:rStyle w:val="Hipervnculo"/>
                <w:noProof/>
                <w:color w:val="auto"/>
              </w:rPr>
              <w:t>c) Estudio de la controversia</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_Toc190777006 \h </w:instrText>
            </w:r>
            <w:r w:rsidR="00F6613C" w:rsidRPr="00BB7A0B">
              <w:rPr>
                <w:noProof/>
                <w:webHidden/>
              </w:rPr>
            </w:r>
            <w:r w:rsidR="00F6613C" w:rsidRPr="00BB7A0B">
              <w:rPr>
                <w:noProof/>
                <w:webHidden/>
              </w:rPr>
              <w:fldChar w:fldCharType="separate"/>
            </w:r>
            <w:r w:rsidR="00D47071">
              <w:rPr>
                <w:noProof/>
                <w:webHidden/>
              </w:rPr>
              <w:t>14</w:t>
            </w:r>
            <w:r w:rsidR="00F6613C" w:rsidRPr="00BB7A0B">
              <w:rPr>
                <w:noProof/>
                <w:webHidden/>
              </w:rPr>
              <w:fldChar w:fldCharType="end"/>
            </w:r>
          </w:hyperlink>
        </w:p>
        <w:p w14:paraId="70E54E8C" w14:textId="77777777" w:rsidR="00F6613C" w:rsidRPr="00BB7A0B" w:rsidRDefault="00057439" w:rsidP="00BB7A0B">
          <w:pPr>
            <w:pStyle w:val="TDC3"/>
            <w:rPr>
              <w:rFonts w:asciiTheme="minorHAnsi" w:eastAsiaTheme="minorEastAsia" w:hAnsiTheme="minorHAnsi" w:cstheme="minorBidi"/>
              <w:noProof/>
              <w:szCs w:val="22"/>
              <w:lang w:eastAsia="es-MX"/>
            </w:rPr>
          </w:pPr>
          <w:hyperlink w:anchor="_Toc190777007" w:history="1">
            <w:r w:rsidR="00F6613C" w:rsidRPr="00BB7A0B">
              <w:rPr>
                <w:rStyle w:val="Hipervnculo"/>
                <w:rFonts w:eastAsia="Calibri"/>
                <w:noProof/>
                <w:color w:val="auto"/>
              </w:rPr>
              <w:t xml:space="preserve">d) </w:t>
            </w:r>
            <w:r w:rsidR="00F6613C" w:rsidRPr="00BB7A0B">
              <w:rPr>
                <w:rStyle w:val="Hipervnculo"/>
                <w:noProof/>
                <w:color w:val="auto"/>
              </w:rPr>
              <w:t>Conclusión</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_Toc190777007 \h </w:instrText>
            </w:r>
            <w:r w:rsidR="00F6613C" w:rsidRPr="00BB7A0B">
              <w:rPr>
                <w:noProof/>
                <w:webHidden/>
              </w:rPr>
            </w:r>
            <w:r w:rsidR="00F6613C" w:rsidRPr="00BB7A0B">
              <w:rPr>
                <w:noProof/>
                <w:webHidden/>
              </w:rPr>
              <w:fldChar w:fldCharType="separate"/>
            </w:r>
            <w:r w:rsidR="00D47071">
              <w:rPr>
                <w:noProof/>
                <w:webHidden/>
              </w:rPr>
              <w:t>25</w:t>
            </w:r>
            <w:r w:rsidR="00F6613C" w:rsidRPr="00BB7A0B">
              <w:rPr>
                <w:noProof/>
                <w:webHidden/>
              </w:rPr>
              <w:fldChar w:fldCharType="end"/>
            </w:r>
          </w:hyperlink>
        </w:p>
        <w:p w14:paraId="280344ED" w14:textId="77777777" w:rsidR="00F6613C" w:rsidRPr="00BB7A0B" w:rsidRDefault="00057439" w:rsidP="00BB7A0B">
          <w:pPr>
            <w:pStyle w:val="TDC1"/>
            <w:tabs>
              <w:tab w:val="right" w:leader="dot" w:pos="9034"/>
            </w:tabs>
            <w:rPr>
              <w:rFonts w:asciiTheme="minorHAnsi" w:eastAsiaTheme="minorEastAsia" w:hAnsiTheme="minorHAnsi" w:cstheme="minorBidi"/>
              <w:noProof/>
              <w:szCs w:val="22"/>
              <w:lang w:eastAsia="es-MX"/>
            </w:rPr>
          </w:pPr>
          <w:hyperlink w:anchor="_Toc190777008" w:history="1">
            <w:r w:rsidR="00F6613C" w:rsidRPr="00BB7A0B">
              <w:rPr>
                <w:rStyle w:val="Hipervnculo"/>
                <w:noProof/>
                <w:color w:val="auto"/>
              </w:rPr>
              <w:t>RESUELVE</w:t>
            </w:r>
            <w:r w:rsidR="00F6613C" w:rsidRPr="00BB7A0B">
              <w:rPr>
                <w:noProof/>
                <w:webHidden/>
              </w:rPr>
              <w:tab/>
            </w:r>
            <w:r w:rsidR="00F6613C" w:rsidRPr="00BB7A0B">
              <w:rPr>
                <w:noProof/>
                <w:webHidden/>
              </w:rPr>
              <w:fldChar w:fldCharType="begin"/>
            </w:r>
            <w:r w:rsidR="00F6613C" w:rsidRPr="00BB7A0B">
              <w:rPr>
                <w:noProof/>
                <w:webHidden/>
              </w:rPr>
              <w:instrText xml:space="preserve"> PAGEREF _Toc190777008 \h </w:instrText>
            </w:r>
            <w:r w:rsidR="00F6613C" w:rsidRPr="00BB7A0B">
              <w:rPr>
                <w:noProof/>
                <w:webHidden/>
              </w:rPr>
            </w:r>
            <w:r w:rsidR="00F6613C" w:rsidRPr="00BB7A0B">
              <w:rPr>
                <w:noProof/>
                <w:webHidden/>
              </w:rPr>
              <w:fldChar w:fldCharType="separate"/>
            </w:r>
            <w:r w:rsidR="00D47071">
              <w:rPr>
                <w:noProof/>
                <w:webHidden/>
              </w:rPr>
              <w:t>25</w:t>
            </w:r>
            <w:r w:rsidR="00F6613C" w:rsidRPr="00BB7A0B">
              <w:rPr>
                <w:noProof/>
                <w:webHidden/>
              </w:rPr>
              <w:fldChar w:fldCharType="end"/>
            </w:r>
          </w:hyperlink>
        </w:p>
        <w:p w14:paraId="0C82FD7A" w14:textId="648E5FA4" w:rsidR="009B2945" w:rsidRPr="00BB7A0B" w:rsidRDefault="00AE3DA7" w:rsidP="00BB7A0B">
          <w:pPr>
            <w:pStyle w:val="TDC1"/>
            <w:tabs>
              <w:tab w:val="right" w:leader="dot" w:pos="9034"/>
            </w:tabs>
            <w:rPr>
              <w:b/>
              <w:bCs/>
              <w:szCs w:val="22"/>
              <w:lang w:val="es-ES"/>
            </w:rPr>
          </w:pPr>
          <w:r w:rsidRPr="00BB7A0B">
            <w:rPr>
              <w:b/>
              <w:bCs/>
              <w:szCs w:val="22"/>
              <w:lang w:val="es-ES"/>
            </w:rPr>
            <w:fldChar w:fldCharType="end"/>
          </w:r>
        </w:p>
      </w:sdtContent>
    </w:sdt>
    <w:p w14:paraId="603A07E2" w14:textId="77777777" w:rsidR="00646436" w:rsidRPr="00BB7A0B" w:rsidRDefault="00646436" w:rsidP="00BB7A0B">
      <w:pPr>
        <w:rPr>
          <w:rFonts w:cs="Tahoma"/>
          <w:szCs w:val="22"/>
        </w:rPr>
        <w:sectPr w:rsidR="00646436" w:rsidRPr="00BB7A0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0ED4C76" w:rsidR="00775BFC" w:rsidRPr="00BB7A0B" w:rsidRDefault="00775BFC" w:rsidP="00BB7A0B">
      <w:pPr>
        <w:rPr>
          <w:b/>
          <w:szCs w:val="22"/>
        </w:rPr>
      </w:pPr>
      <w:r w:rsidRPr="00BB7A0B">
        <w:rPr>
          <w:szCs w:val="22"/>
        </w:rPr>
        <w:lastRenderedPageBreak/>
        <w:t xml:space="preserve">Resolución del Pleno del </w:t>
      </w:r>
      <w:r w:rsidR="009E4391" w:rsidRPr="00BB7A0B">
        <w:rPr>
          <w:szCs w:val="22"/>
        </w:rPr>
        <w:t xml:space="preserve">Instituto de Transparencia, Acceso a la Información Pública y Protección de Datos Personales del Estado de México y Municipios, </w:t>
      </w:r>
      <w:r w:rsidRPr="00BB7A0B">
        <w:rPr>
          <w:szCs w:val="22"/>
        </w:rPr>
        <w:t xml:space="preserve">con domicilio en Metepec, Estado de México, de </w:t>
      </w:r>
      <w:r w:rsidR="00EC2A3B" w:rsidRPr="00BB7A0B">
        <w:rPr>
          <w:b/>
          <w:szCs w:val="22"/>
        </w:rPr>
        <w:t>veintiséis</w:t>
      </w:r>
      <w:r w:rsidR="0040573B" w:rsidRPr="00BB7A0B">
        <w:rPr>
          <w:b/>
          <w:szCs w:val="22"/>
        </w:rPr>
        <w:t xml:space="preserve"> de febrero de dos mil veinticinco</w:t>
      </w:r>
      <w:r w:rsidR="00ED7170" w:rsidRPr="00BB7A0B">
        <w:rPr>
          <w:b/>
          <w:szCs w:val="22"/>
        </w:rPr>
        <w:t>.</w:t>
      </w:r>
    </w:p>
    <w:p w14:paraId="0AF3AAC4" w14:textId="77777777" w:rsidR="00775BFC" w:rsidRPr="00BB7A0B" w:rsidRDefault="00775BFC" w:rsidP="00BB7A0B">
      <w:pPr>
        <w:rPr>
          <w:szCs w:val="22"/>
        </w:rPr>
      </w:pPr>
    </w:p>
    <w:p w14:paraId="40EAE038" w14:textId="5CF3C3F3" w:rsidR="00775BFC" w:rsidRPr="00BB7A0B" w:rsidRDefault="00775BFC" w:rsidP="00BB7A0B">
      <w:pPr>
        <w:rPr>
          <w:szCs w:val="22"/>
        </w:rPr>
      </w:pPr>
      <w:r w:rsidRPr="00BB7A0B">
        <w:rPr>
          <w:b/>
          <w:szCs w:val="22"/>
        </w:rPr>
        <w:t xml:space="preserve">VISTO </w:t>
      </w:r>
      <w:r w:rsidRPr="00BB7A0B">
        <w:rPr>
          <w:szCs w:val="22"/>
        </w:rPr>
        <w:t xml:space="preserve">el expediente formado con motivo del Recurso de Revisión </w:t>
      </w:r>
      <w:r w:rsidR="00EC2A3B" w:rsidRPr="00BB7A0B">
        <w:rPr>
          <w:rFonts w:eastAsia="Calibri"/>
          <w:b/>
          <w:szCs w:val="22"/>
          <w:lang w:eastAsia="en-US"/>
        </w:rPr>
        <w:t>00337/INFOEM/IP/RR/2025</w:t>
      </w:r>
      <w:r w:rsidR="005314A3" w:rsidRPr="00BB7A0B">
        <w:rPr>
          <w:rFonts w:eastAsia="Calibri"/>
          <w:b/>
          <w:szCs w:val="22"/>
          <w:lang w:eastAsia="en-US"/>
        </w:rPr>
        <w:t xml:space="preserve"> </w:t>
      </w:r>
      <w:r w:rsidRPr="00BB7A0B">
        <w:rPr>
          <w:szCs w:val="22"/>
        </w:rPr>
        <w:t xml:space="preserve">interpuesto por </w:t>
      </w:r>
      <w:bookmarkStart w:id="2" w:name="_GoBack"/>
      <w:r w:rsidR="009E221D">
        <w:rPr>
          <w:b/>
          <w:bCs/>
          <w:szCs w:val="22"/>
        </w:rPr>
        <w:t>XXXXXXXX XXXXXX XXXXXXX</w:t>
      </w:r>
      <w:bookmarkEnd w:id="2"/>
      <w:r w:rsidRPr="00BB7A0B">
        <w:rPr>
          <w:szCs w:val="22"/>
        </w:rPr>
        <w:t xml:space="preserve">, a quien en lo subsecuente se le denominará </w:t>
      </w:r>
      <w:r w:rsidRPr="00BB7A0B">
        <w:rPr>
          <w:b/>
          <w:bCs/>
          <w:szCs w:val="22"/>
        </w:rPr>
        <w:t>LA PARTE RECURRENTE</w:t>
      </w:r>
      <w:r w:rsidRPr="00BB7A0B">
        <w:rPr>
          <w:szCs w:val="22"/>
        </w:rPr>
        <w:t>, en contra de la respuesta emitida por</w:t>
      </w:r>
      <w:r w:rsidR="00A0449B" w:rsidRPr="00BB7A0B">
        <w:rPr>
          <w:szCs w:val="22"/>
        </w:rPr>
        <w:t xml:space="preserve"> </w:t>
      </w:r>
      <w:r w:rsidR="00EC2A3B" w:rsidRPr="00BB7A0B">
        <w:rPr>
          <w:szCs w:val="22"/>
        </w:rPr>
        <w:t>el</w:t>
      </w:r>
      <w:r w:rsidR="000748DF" w:rsidRPr="00BB7A0B">
        <w:rPr>
          <w:szCs w:val="22"/>
        </w:rPr>
        <w:t xml:space="preserve"> </w:t>
      </w:r>
      <w:r w:rsidR="00EC2A3B" w:rsidRPr="00BB7A0B">
        <w:rPr>
          <w:b/>
          <w:bCs/>
          <w:szCs w:val="22"/>
        </w:rPr>
        <w:t>Sindicato Único de Trabajadores de Los Poderes, Municipios e Instituciones Descentralizadas del Estado de México</w:t>
      </w:r>
      <w:r w:rsidRPr="00BB7A0B">
        <w:rPr>
          <w:szCs w:val="22"/>
        </w:rPr>
        <w:t xml:space="preserve">, en adelante </w:t>
      </w:r>
      <w:r w:rsidRPr="00BB7A0B">
        <w:rPr>
          <w:b/>
          <w:bCs/>
          <w:szCs w:val="22"/>
        </w:rPr>
        <w:t>EL SUJETO OBLIGADO</w:t>
      </w:r>
      <w:r w:rsidRPr="00BB7A0B">
        <w:rPr>
          <w:rFonts w:eastAsia="Calibri"/>
          <w:szCs w:val="22"/>
          <w:lang w:eastAsia="en-US"/>
        </w:rPr>
        <w:t xml:space="preserve">, </w:t>
      </w:r>
      <w:r w:rsidRPr="00BB7A0B">
        <w:rPr>
          <w:szCs w:val="22"/>
        </w:rPr>
        <w:t>se emite la presente Resolución con base en los Antecedentes y Considerandos que se exponen a continuación:</w:t>
      </w:r>
    </w:p>
    <w:p w14:paraId="2116968C" w14:textId="77777777" w:rsidR="00775BFC" w:rsidRPr="00BB7A0B" w:rsidRDefault="00775BFC" w:rsidP="00BB7A0B">
      <w:pPr>
        <w:rPr>
          <w:szCs w:val="22"/>
        </w:rPr>
      </w:pPr>
    </w:p>
    <w:p w14:paraId="5A444FB6" w14:textId="639D3567" w:rsidR="00664420" w:rsidRPr="00BB7A0B" w:rsidRDefault="00664420" w:rsidP="00BB7A0B">
      <w:pPr>
        <w:pStyle w:val="Ttulo1"/>
        <w:rPr>
          <w:szCs w:val="22"/>
        </w:rPr>
      </w:pPr>
      <w:bookmarkStart w:id="3" w:name="_Toc190776985"/>
      <w:r w:rsidRPr="00BB7A0B">
        <w:rPr>
          <w:szCs w:val="22"/>
        </w:rPr>
        <w:t>ANTECEDENTES</w:t>
      </w:r>
      <w:bookmarkEnd w:id="3"/>
    </w:p>
    <w:p w14:paraId="7CE9E53D" w14:textId="77777777" w:rsidR="00E37A3F" w:rsidRPr="00BB7A0B" w:rsidRDefault="00E37A3F" w:rsidP="00BB7A0B">
      <w:pPr>
        <w:rPr>
          <w:szCs w:val="22"/>
        </w:rPr>
      </w:pPr>
    </w:p>
    <w:p w14:paraId="09B2D38F" w14:textId="6E49D146" w:rsidR="00664420" w:rsidRPr="00BB7A0B" w:rsidRDefault="00E37A3F" w:rsidP="00BB7A0B">
      <w:pPr>
        <w:pStyle w:val="Ttulo2"/>
        <w:rPr>
          <w:szCs w:val="22"/>
        </w:rPr>
      </w:pPr>
      <w:bookmarkStart w:id="4" w:name="_Toc190776986"/>
      <w:r w:rsidRPr="00BB7A0B">
        <w:rPr>
          <w:szCs w:val="22"/>
        </w:rPr>
        <w:t>DE LA SOLICITUD DE INFORMACIÓN</w:t>
      </w:r>
      <w:bookmarkEnd w:id="4"/>
    </w:p>
    <w:p w14:paraId="2C6AD1A5" w14:textId="0405B3CD" w:rsidR="00664420" w:rsidRPr="00BB7A0B" w:rsidRDefault="00E37A3F" w:rsidP="00BB7A0B">
      <w:pPr>
        <w:pStyle w:val="Ttulo3"/>
        <w:rPr>
          <w:szCs w:val="22"/>
        </w:rPr>
      </w:pPr>
      <w:bookmarkStart w:id="5" w:name="_Toc190776987"/>
      <w:r w:rsidRPr="00BB7A0B">
        <w:rPr>
          <w:szCs w:val="22"/>
        </w:rPr>
        <w:t xml:space="preserve">a) </w:t>
      </w:r>
      <w:r w:rsidR="006B10B0" w:rsidRPr="00BB7A0B">
        <w:rPr>
          <w:szCs w:val="22"/>
        </w:rPr>
        <w:t>S</w:t>
      </w:r>
      <w:r w:rsidR="00664420" w:rsidRPr="00BB7A0B">
        <w:rPr>
          <w:szCs w:val="22"/>
        </w:rPr>
        <w:t xml:space="preserve">olicitud de </w:t>
      </w:r>
      <w:r w:rsidR="006B10B0" w:rsidRPr="00BB7A0B">
        <w:rPr>
          <w:szCs w:val="22"/>
        </w:rPr>
        <w:t>i</w:t>
      </w:r>
      <w:r w:rsidR="00664420" w:rsidRPr="00BB7A0B">
        <w:rPr>
          <w:szCs w:val="22"/>
        </w:rPr>
        <w:t>nformación</w:t>
      </w:r>
      <w:bookmarkEnd w:id="5"/>
    </w:p>
    <w:p w14:paraId="63FC8527" w14:textId="4ADE9BEB" w:rsidR="006A28B4" w:rsidRPr="00BB7A0B" w:rsidRDefault="006A28B4" w:rsidP="00BB7A0B">
      <w:pPr>
        <w:pBdr>
          <w:top w:val="nil"/>
          <w:left w:val="nil"/>
          <w:bottom w:val="nil"/>
          <w:right w:val="nil"/>
          <w:between w:val="nil"/>
        </w:pBdr>
        <w:tabs>
          <w:tab w:val="left" w:pos="0"/>
        </w:tabs>
        <w:rPr>
          <w:rFonts w:eastAsia="Palatino Linotype" w:cs="Palatino Linotype"/>
          <w:szCs w:val="22"/>
        </w:rPr>
      </w:pPr>
      <w:r w:rsidRPr="00BB7A0B">
        <w:rPr>
          <w:rFonts w:eastAsia="Palatino Linotype" w:cs="Palatino Linotype"/>
          <w:szCs w:val="22"/>
        </w:rPr>
        <w:t xml:space="preserve">El </w:t>
      </w:r>
      <w:r w:rsidR="00EC2A3B" w:rsidRPr="00BB7A0B">
        <w:rPr>
          <w:rFonts w:eastAsia="Palatino Linotype" w:cs="Palatino Linotype"/>
          <w:b/>
          <w:szCs w:val="22"/>
        </w:rPr>
        <w:t>veintisiete de enero</w:t>
      </w:r>
      <w:r w:rsidRPr="00BB7A0B">
        <w:rPr>
          <w:rFonts w:eastAsia="Palatino Linotype" w:cs="Palatino Linotype"/>
          <w:b/>
          <w:szCs w:val="22"/>
        </w:rPr>
        <w:t xml:space="preserve"> de dos mil </w:t>
      </w:r>
      <w:r w:rsidR="00EC2A3B" w:rsidRPr="00BB7A0B">
        <w:rPr>
          <w:rFonts w:eastAsia="Palatino Linotype" w:cs="Palatino Linotype"/>
          <w:b/>
          <w:szCs w:val="22"/>
        </w:rPr>
        <w:t>veinticinco</w:t>
      </w:r>
      <w:r w:rsidR="00721C9E" w:rsidRPr="00BB7A0B">
        <w:rPr>
          <w:rFonts w:eastAsia="Palatino Linotype" w:cs="Palatino Linotype"/>
          <w:b/>
          <w:szCs w:val="22"/>
        </w:rPr>
        <w:t>,</w:t>
      </w:r>
      <w:r w:rsidRPr="00BB7A0B">
        <w:rPr>
          <w:rFonts w:eastAsia="Palatino Linotype" w:cs="Palatino Linotype"/>
          <w:szCs w:val="22"/>
        </w:rPr>
        <w:t xml:space="preserve"> </w:t>
      </w:r>
      <w:r w:rsidRPr="00BB7A0B">
        <w:rPr>
          <w:rFonts w:eastAsia="Palatino Linotype" w:cs="Palatino Linotype"/>
          <w:b/>
          <w:szCs w:val="22"/>
        </w:rPr>
        <w:t>LA PARTE RECURRENTE</w:t>
      </w:r>
      <w:r w:rsidRPr="00BB7A0B">
        <w:rPr>
          <w:rFonts w:eastAsia="Palatino Linotype" w:cs="Palatino Linotype"/>
          <w:szCs w:val="22"/>
        </w:rPr>
        <w:t xml:space="preserve"> presentó una solicitud de acceso a la información pública ante el </w:t>
      </w:r>
      <w:r w:rsidRPr="00BB7A0B">
        <w:rPr>
          <w:rFonts w:eastAsia="Palatino Linotype" w:cs="Palatino Linotype"/>
          <w:b/>
          <w:szCs w:val="22"/>
        </w:rPr>
        <w:t>SUJETO OBLIGADO</w:t>
      </w:r>
      <w:r w:rsidRPr="00BB7A0B">
        <w:rPr>
          <w:rFonts w:eastAsia="Palatino Linotype" w:cs="Palatino Linotype"/>
          <w:szCs w:val="22"/>
        </w:rPr>
        <w:t xml:space="preserve">, a través </w:t>
      </w:r>
      <w:r w:rsidR="007E42B7" w:rsidRPr="00BB7A0B">
        <w:rPr>
          <w:rFonts w:eastAsia="Palatino Linotype" w:cs="Palatino Linotype"/>
          <w:szCs w:val="22"/>
        </w:rPr>
        <w:t>del</w:t>
      </w:r>
      <w:r w:rsidRPr="00BB7A0B">
        <w:rPr>
          <w:rFonts w:eastAsia="Palatino Linotype" w:cs="Palatino Linotype"/>
          <w:szCs w:val="22"/>
        </w:rPr>
        <w:t xml:space="preserve"> Sistema de Acceso a la Información Mexiquense (SAIMEX). Dicha solicitud quedó registrada con el número de folio</w:t>
      </w:r>
      <w:r w:rsidRPr="00BB7A0B">
        <w:rPr>
          <w:rFonts w:eastAsia="Palatino Linotype" w:cs="Palatino Linotype"/>
          <w:b/>
          <w:szCs w:val="22"/>
        </w:rPr>
        <w:t xml:space="preserve"> </w:t>
      </w:r>
      <w:r w:rsidR="00EC2A3B" w:rsidRPr="00BB7A0B">
        <w:rPr>
          <w:rFonts w:eastAsia="Palatino Linotype" w:cs="Palatino Linotype"/>
          <w:b/>
          <w:szCs w:val="22"/>
        </w:rPr>
        <w:t>00016/SUTEYM/IP/2025</w:t>
      </w:r>
      <w:r w:rsidRPr="00BB7A0B">
        <w:rPr>
          <w:rFonts w:eastAsia="Palatino Linotype" w:cs="Palatino Linotype"/>
          <w:b/>
          <w:szCs w:val="22"/>
        </w:rPr>
        <w:t xml:space="preserve"> </w:t>
      </w:r>
      <w:r w:rsidRPr="00BB7A0B">
        <w:rPr>
          <w:rFonts w:eastAsia="Palatino Linotype" w:cs="Palatino Linotype"/>
          <w:szCs w:val="22"/>
        </w:rPr>
        <w:t>y en ella se requirió la siguiente información:</w:t>
      </w:r>
    </w:p>
    <w:p w14:paraId="596FDDE9" w14:textId="77777777" w:rsidR="002E2C99" w:rsidRPr="00BB7A0B" w:rsidRDefault="002E2C99" w:rsidP="00BB7A0B">
      <w:pPr>
        <w:tabs>
          <w:tab w:val="left" w:pos="4667"/>
        </w:tabs>
        <w:ind w:right="567"/>
        <w:rPr>
          <w:rFonts w:eastAsiaTheme="majorEastAsia" w:cstheme="majorBidi"/>
          <w:i/>
          <w:kern w:val="28"/>
          <w:szCs w:val="22"/>
        </w:rPr>
      </w:pPr>
    </w:p>
    <w:p w14:paraId="7CF784AB" w14:textId="023ACAAB" w:rsidR="00DC71C4" w:rsidRPr="00BB7A0B" w:rsidRDefault="000729BE" w:rsidP="00BB7A0B">
      <w:pPr>
        <w:pStyle w:val="Puesto"/>
        <w:rPr>
          <w:szCs w:val="22"/>
        </w:rPr>
      </w:pPr>
      <w:r w:rsidRPr="00BB7A0B">
        <w:rPr>
          <w:szCs w:val="22"/>
        </w:rPr>
        <w:t>“</w:t>
      </w:r>
      <w:bookmarkStart w:id="6" w:name="_Hlk189664490"/>
      <w:r w:rsidR="00EC2A3B" w:rsidRPr="00BB7A0B">
        <w:rPr>
          <w:szCs w:val="22"/>
        </w:rPr>
        <w:t xml:space="preserve">Toluca, Estado de México a 27 de enero de 2025. A QUIEN CORRESPONDA PRESENTE. Por medio del presente me permito enviarle un cordial saludo y al mismo tiempo en espera de que se encuentre bien, me permito a través del presente ocurso solicitar </w:t>
      </w:r>
      <w:r w:rsidR="00EC2A3B" w:rsidRPr="00BB7A0B">
        <w:rPr>
          <w:szCs w:val="22"/>
        </w:rPr>
        <w:lastRenderedPageBreak/>
        <w:t>amablemente de usted, me sea informado a través del portal SAIMEX, lo relativo al Convenio de Prestaciones de Ley y Colaterales firmado entre las siguientes dependencias: 1. Organismo Público Descentralizado para la Prestación de los Servicios de Agua Potable, Alcantarillado y Saneamiento de Cuautitlán Izcalli denominado (OPERAGUA IZCALLI u O.P.D.M.), 2. Sistema Municipal para el Desarrollo Integral de la Familia de Cuautitlán Izcalli por sus siglas (DIF de Cuautitlán Izcalli) Ambos firmados con el Sindicato Único de Trabajadores de los Poderes, Municipios e Instituciones Descentralizadas del Estado de México y que deberán ser correspondientes a los años 2015, 2016, 2017, 2018, 2019, 2020, 2021, 2022, 2023, 2024 y de ser existente, remitir el correspondiente al año 2025, lo anterior por ser de utilidad para diversos fines. Sin más por el momento y en espera de la pronta respuesta que sirva prestar al presente quedo de usted.</w:t>
      </w:r>
      <w:r w:rsidRPr="00BB7A0B">
        <w:rPr>
          <w:szCs w:val="22"/>
        </w:rPr>
        <w:t xml:space="preserve">” </w:t>
      </w:r>
      <w:bookmarkEnd w:id="6"/>
      <w:r w:rsidRPr="00BB7A0B">
        <w:rPr>
          <w:szCs w:val="22"/>
        </w:rPr>
        <w:t>Sic</w:t>
      </w:r>
    </w:p>
    <w:p w14:paraId="5F0895FD" w14:textId="77777777" w:rsidR="00DC71C4" w:rsidRPr="00BB7A0B" w:rsidRDefault="00DC71C4" w:rsidP="00BB7A0B">
      <w:pPr>
        <w:rPr>
          <w:szCs w:val="22"/>
        </w:rPr>
      </w:pPr>
    </w:p>
    <w:p w14:paraId="0BD6321D" w14:textId="0A5D6479" w:rsidR="00664420" w:rsidRPr="00BB7A0B" w:rsidRDefault="009A2D78" w:rsidP="00BB7A0B">
      <w:pPr>
        <w:tabs>
          <w:tab w:val="left" w:pos="4667"/>
        </w:tabs>
        <w:ind w:right="567"/>
        <w:rPr>
          <w:rFonts w:cs="Tahoma"/>
          <w:bCs/>
          <w:i/>
          <w:szCs w:val="22"/>
        </w:rPr>
      </w:pPr>
      <w:r w:rsidRPr="00BB7A0B">
        <w:rPr>
          <w:rFonts w:cs="Tahoma"/>
          <w:b/>
          <w:bCs/>
          <w:szCs w:val="22"/>
        </w:rPr>
        <w:t>Modalidad de entrega</w:t>
      </w:r>
      <w:r w:rsidRPr="00BB7A0B">
        <w:rPr>
          <w:rFonts w:cs="Tahoma"/>
          <w:bCs/>
          <w:szCs w:val="22"/>
        </w:rPr>
        <w:t>: a</w:t>
      </w:r>
      <w:r w:rsidR="00664420" w:rsidRPr="00BB7A0B">
        <w:rPr>
          <w:rFonts w:cs="Tahoma"/>
          <w:bCs/>
          <w:i/>
          <w:szCs w:val="22"/>
        </w:rPr>
        <w:t xml:space="preserve"> través </w:t>
      </w:r>
      <w:r w:rsidR="00C84660" w:rsidRPr="00BB7A0B">
        <w:rPr>
          <w:rFonts w:cs="Tahoma"/>
          <w:bCs/>
          <w:i/>
          <w:szCs w:val="22"/>
        </w:rPr>
        <w:t>de</w:t>
      </w:r>
      <w:r w:rsidR="00664420" w:rsidRPr="00BB7A0B">
        <w:rPr>
          <w:rFonts w:cs="Tahoma"/>
          <w:bCs/>
          <w:i/>
          <w:szCs w:val="22"/>
        </w:rPr>
        <w:t xml:space="preserve">l </w:t>
      </w:r>
      <w:r w:rsidR="00664420" w:rsidRPr="00BB7A0B">
        <w:rPr>
          <w:rFonts w:cs="Tahoma"/>
          <w:b/>
          <w:bCs/>
          <w:i/>
          <w:szCs w:val="22"/>
        </w:rPr>
        <w:t>SAIMEX</w:t>
      </w:r>
      <w:r w:rsidRPr="00BB7A0B">
        <w:rPr>
          <w:rFonts w:cs="Tahoma"/>
          <w:bCs/>
          <w:i/>
          <w:szCs w:val="22"/>
        </w:rPr>
        <w:t>.</w:t>
      </w:r>
    </w:p>
    <w:p w14:paraId="23D7A976" w14:textId="12B88A7F" w:rsidR="000748DF" w:rsidRPr="00BB7A0B" w:rsidRDefault="000748DF" w:rsidP="00BB7A0B">
      <w:pPr>
        <w:tabs>
          <w:tab w:val="left" w:pos="4667"/>
        </w:tabs>
        <w:ind w:right="567"/>
        <w:rPr>
          <w:rFonts w:cs="Tahoma"/>
          <w:b/>
          <w:bCs/>
          <w:szCs w:val="22"/>
        </w:rPr>
      </w:pPr>
    </w:p>
    <w:p w14:paraId="3212BA4D" w14:textId="4009E9EA" w:rsidR="00664420" w:rsidRPr="00BB7A0B" w:rsidRDefault="00D65B16" w:rsidP="00BB7A0B">
      <w:pPr>
        <w:pStyle w:val="Ttulo3"/>
        <w:rPr>
          <w:szCs w:val="22"/>
        </w:rPr>
      </w:pPr>
      <w:bookmarkStart w:id="7" w:name="_Toc170932807"/>
      <w:bookmarkStart w:id="8" w:name="_Toc180069803"/>
      <w:bookmarkStart w:id="9" w:name="_Toc181125882"/>
      <w:bookmarkStart w:id="10" w:name="_Toc190776988"/>
      <w:r w:rsidRPr="00BB7A0B">
        <w:rPr>
          <w:szCs w:val="22"/>
        </w:rPr>
        <w:t xml:space="preserve">b) </w:t>
      </w:r>
      <w:bookmarkEnd w:id="7"/>
      <w:bookmarkEnd w:id="8"/>
      <w:bookmarkEnd w:id="9"/>
      <w:r w:rsidR="00664420" w:rsidRPr="00BB7A0B">
        <w:rPr>
          <w:szCs w:val="22"/>
          <w:lang w:val="es-ES"/>
        </w:rPr>
        <w:t xml:space="preserve">Respuesta </w:t>
      </w:r>
      <w:r w:rsidR="00664420" w:rsidRPr="00BB7A0B">
        <w:rPr>
          <w:rFonts w:eastAsia="Calibri"/>
          <w:szCs w:val="22"/>
          <w:lang w:eastAsia="en-US"/>
        </w:rPr>
        <w:t>del Sujeto Obligado</w:t>
      </w:r>
      <w:bookmarkEnd w:id="10"/>
    </w:p>
    <w:p w14:paraId="79199CC1" w14:textId="2EB1CEEF" w:rsidR="00664420" w:rsidRPr="00BB7A0B" w:rsidRDefault="00664420" w:rsidP="00BB7A0B">
      <w:pPr>
        <w:pStyle w:val="Sinespaciado"/>
        <w:spacing w:line="360" w:lineRule="auto"/>
        <w:rPr>
          <w:szCs w:val="22"/>
          <w:lang w:val="es-ES"/>
        </w:rPr>
      </w:pPr>
      <w:r w:rsidRPr="00BB7A0B">
        <w:rPr>
          <w:szCs w:val="22"/>
          <w:lang w:val="es-ES"/>
        </w:rPr>
        <w:t xml:space="preserve">El </w:t>
      </w:r>
      <w:r w:rsidR="00EC2A3B" w:rsidRPr="00BB7A0B">
        <w:rPr>
          <w:rFonts w:eastAsia="Calibri" w:cs="Arial"/>
          <w:b/>
          <w:bCs/>
          <w:szCs w:val="22"/>
          <w:lang w:val="es-ES" w:eastAsia="en-US"/>
        </w:rPr>
        <w:t>veintinueve</w:t>
      </w:r>
      <w:r w:rsidR="002309EE" w:rsidRPr="00BB7A0B">
        <w:rPr>
          <w:rFonts w:eastAsia="Calibri" w:cs="Arial"/>
          <w:b/>
          <w:bCs/>
          <w:szCs w:val="22"/>
          <w:lang w:val="es-ES" w:eastAsia="en-US"/>
        </w:rPr>
        <w:t xml:space="preserve"> de enero de dos mil veinticinco</w:t>
      </w:r>
      <w:r w:rsidR="00983EEF" w:rsidRPr="00BB7A0B">
        <w:rPr>
          <w:b/>
          <w:szCs w:val="22"/>
          <w:lang w:val="es-ES"/>
        </w:rPr>
        <w:t xml:space="preserve">, </w:t>
      </w:r>
      <w:r w:rsidR="00B0453E" w:rsidRPr="00BB7A0B">
        <w:rPr>
          <w:szCs w:val="22"/>
          <w:lang w:val="es-ES"/>
        </w:rPr>
        <w:t>el</w:t>
      </w:r>
      <w:r w:rsidR="00F07EE6" w:rsidRPr="00BB7A0B">
        <w:rPr>
          <w:szCs w:val="22"/>
          <w:lang w:val="es-ES"/>
        </w:rPr>
        <w:t xml:space="preserve"> Titular de la Unidad de Transparencia del </w:t>
      </w:r>
      <w:r w:rsidR="00F07EE6" w:rsidRPr="00BB7A0B">
        <w:rPr>
          <w:b/>
          <w:szCs w:val="22"/>
          <w:lang w:val="es-ES"/>
        </w:rPr>
        <w:t>SUJETO OBLIGADO</w:t>
      </w:r>
      <w:r w:rsidR="00F07EE6" w:rsidRPr="00BB7A0B">
        <w:rPr>
          <w:szCs w:val="22"/>
          <w:lang w:val="es-ES"/>
        </w:rPr>
        <w:t xml:space="preserve"> notificó a través del </w:t>
      </w:r>
      <w:r w:rsidRPr="00BB7A0B">
        <w:rPr>
          <w:szCs w:val="22"/>
          <w:lang w:val="es-ES"/>
        </w:rPr>
        <w:t>SAIMEX</w:t>
      </w:r>
      <w:r w:rsidR="00A50ECC" w:rsidRPr="00BB7A0B">
        <w:rPr>
          <w:szCs w:val="22"/>
          <w:lang w:val="es-ES"/>
        </w:rPr>
        <w:t xml:space="preserve"> la respuesta siguiente</w:t>
      </w:r>
      <w:r w:rsidR="00F07EE6" w:rsidRPr="00BB7A0B">
        <w:rPr>
          <w:szCs w:val="22"/>
          <w:lang w:val="es-ES"/>
        </w:rPr>
        <w:t>:</w:t>
      </w:r>
    </w:p>
    <w:p w14:paraId="66410657" w14:textId="77777777" w:rsidR="002268D4" w:rsidRPr="00BB7A0B" w:rsidRDefault="002268D4" w:rsidP="00BB7A0B">
      <w:pPr>
        <w:pStyle w:val="Puesto"/>
        <w:ind w:left="0"/>
        <w:rPr>
          <w:szCs w:val="22"/>
        </w:rPr>
      </w:pPr>
    </w:p>
    <w:p w14:paraId="441797F5" w14:textId="77777777" w:rsidR="00EC2A3B" w:rsidRPr="00BB7A0B" w:rsidRDefault="00455B6C" w:rsidP="00BB7A0B">
      <w:pPr>
        <w:pStyle w:val="Puesto"/>
        <w:jc w:val="right"/>
        <w:rPr>
          <w:szCs w:val="22"/>
        </w:rPr>
      </w:pPr>
      <w:r w:rsidRPr="00BB7A0B">
        <w:rPr>
          <w:szCs w:val="22"/>
        </w:rPr>
        <w:t>“</w:t>
      </w:r>
      <w:r w:rsidR="00EC2A3B" w:rsidRPr="00BB7A0B">
        <w:rPr>
          <w:szCs w:val="22"/>
        </w:rPr>
        <w:t>Folio de la solicitud: 00016/SUTEYM/IP/2025</w:t>
      </w:r>
    </w:p>
    <w:p w14:paraId="34D7A21A" w14:textId="77777777" w:rsidR="00EC2A3B" w:rsidRPr="00BB7A0B" w:rsidRDefault="00EC2A3B" w:rsidP="00BB7A0B"/>
    <w:p w14:paraId="582D585C" w14:textId="77777777" w:rsidR="00EC2A3B" w:rsidRPr="00BB7A0B" w:rsidRDefault="00EC2A3B" w:rsidP="00BB7A0B">
      <w:pPr>
        <w:pStyle w:val="Puesto"/>
        <w:rPr>
          <w:szCs w:val="22"/>
        </w:rPr>
      </w:pPr>
      <w:r w:rsidRPr="00BB7A0B">
        <w:rPr>
          <w:szCs w:val="22"/>
        </w:rPr>
        <w:t>Por este medio me permito dar respuesta a su solicitud de información número 00016/SUTEYM/IP/2025 de fecha 27 de enero del 2025, con fundamento en los artículos 1, 2, 3 fracción XLIV, 4, 12, 16, 23 fracción IX, 24 fracción XI y último párrafo, 50, 51, y 53 fracciones II, IV, V y VI de la Ley de Transparencia y Acceso a la Información Pública del Estado de México y Municipios.</w:t>
      </w:r>
    </w:p>
    <w:p w14:paraId="4F72861A" w14:textId="77777777" w:rsidR="00EC2A3B" w:rsidRPr="00BB7A0B" w:rsidRDefault="00EC2A3B" w:rsidP="00BB7A0B"/>
    <w:p w14:paraId="5EA3B0C4" w14:textId="77777777" w:rsidR="00EC2A3B" w:rsidRPr="00BB7A0B" w:rsidRDefault="00EC2A3B" w:rsidP="00BB7A0B">
      <w:pPr>
        <w:pStyle w:val="Puesto"/>
        <w:rPr>
          <w:szCs w:val="22"/>
        </w:rPr>
      </w:pPr>
      <w:r w:rsidRPr="00BB7A0B">
        <w:rPr>
          <w:szCs w:val="22"/>
        </w:rPr>
        <w:t>ATENTAMENTE</w:t>
      </w:r>
    </w:p>
    <w:p w14:paraId="59EF45C9" w14:textId="48C125E5" w:rsidR="00DC71C4" w:rsidRPr="00BB7A0B" w:rsidRDefault="00EC2A3B" w:rsidP="00BB7A0B">
      <w:pPr>
        <w:pStyle w:val="Puesto"/>
        <w:rPr>
          <w:rFonts w:cs="Tahoma"/>
          <w:bCs/>
          <w:szCs w:val="22"/>
        </w:rPr>
      </w:pPr>
      <w:r w:rsidRPr="00BB7A0B">
        <w:rPr>
          <w:szCs w:val="22"/>
        </w:rPr>
        <w:t>L.A.E. JORGE ARMANDO CERDA CUENCA</w:t>
      </w:r>
      <w:r w:rsidR="00455B6C" w:rsidRPr="00BB7A0B">
        <w:rPr>
          <w:szCs w:val="22"/>
        </w:rPr>
        <w:t>” Sic.</w:t>
      </w:r>
    </w:p>
    <w:p w14:paraId="1E85E5FF" w14:textId="77777777" w:rsidR="00C524CE" w:rsidRPr="00BB7A0B" w:rsidRDefault="00C524CE" w:rsidP="00BB7A0B">
      <w:pPr>
        <w:autoSpaceDE w:val="0"/>
        <w:autoSpaceDN w:val="0"/>
        <w:adjustRightInd w:val="0"/>
        <w:ind w:right="-28"/>
        <w:rPr>
          <w:rFonts w:cs="Tahoma"/>
          <w:bCs/>
          <w:szCs w:val="22"/>
          <w:lang w:val="es-ES"/>
        </w:rPr>
      </w:pPr>
    </w:p>
    <w:p w14:paraId="2211D1AB" w14:textId="7F306D69" w:rsidR="00983EEF" w:rsidRPr="00BB7A0B" w:rsidRDefault="00F07EE6" w:rsidP="00BB7A0B">
      <w:pPr>
        <w:autoSpaceDE w:val="0"/>
        <w:autoSpaceDN w:val="0"/>
        <w:adjustRightInd w:val="0"/>
        <w:ind w:right="-28"/>
        <w:rPr>
          <w:rFonts w:cs="Tahoma"/>
          <w:bCs/>
          <w:szCs w:val="22"/>
          <w:lang w:val="es-ES"/>
        </w:rPr>
      </w:pPr>
      <w:r w:rsidRPr="00BB7A0B">
        <w:rPr>
          <w:rFonts w:cs="Tahoma"/>
          <w:bCs/>
          <w:szCs w:val="22"/>
          <w:lang w:val="es-ES"/>
        </w:rPr>
        <w:lastRenderedPageBreak/>
        <w:t xml:space="preserve">Asimismo, </w:t>
      </w:r>
      <w:r w:rsidRPr="00BB7A0B">
        <w:rPr>
          <w:rFonts w:cs="Tahoma"/>
          <w:b/>
          <w:szCs w:val="22"/>
          <w:lang w:val="es-ES"/>
        </w:rPr>
        <w:t xml:space="preserve">EL SUJETO OBLIGADO </w:t>
      </w:r>
      <w:r w:rsidRPr="00BB7A0B">
        <w:rPr>
          <w:rFonts w:cs="Tahoma"/>
          <w:bCs/>
          <w:szCs w:val="22"/>
          <w:lang w:val="es-ES"/>
        </w:rPr>
        <w:t xml:space="preserve">adjuntó a su respuesta </w:t>
      </w:r>
      <w:r w:rsidR="002E2C99" w:rsidRPr="00BB7A0B">
        <w:rPr>
          <w:rFonts w:cs="Tahoma"/>
          <w:bCs/>
          <w:szCs w:val="22"/>
          <w:lang w:val="es-ES"/>
        </w:rPr>
        <w:t xml:space="preserve">los </w:t>
      </w:r>
      <w:r w:rsidRPr="00BB7A0B">
        <w:rPr>
          <w:rFonts w:cs="Tahoma"/>
          <w:bCs/>
          <w:szCs w:val="22"/>
          <w:lang w:val="es-ES"/>
        </w:rPr>
        <w:t>archivo</w:t>
      </w:r>
      <w:r w:rsidR="002E2C99" w:rsidRPr="00BB7A0B">
        <w:rPr>
          <w:rFonts w:cs="Tahoma"/>
          <w:bCs/>
          <w:szCs w:val="22"/>
          <w:lang w:val="es-ES"/>
        </w:rPr>
        <w:t>s</w:t>
      </w:r>
      <w:r w:rsidRPr="00BB7A0B">
        <w:rPr>
          <w:rFonts w:cs="Tahoma"/>
          <w:bCs/>
          <w:szCs w:val="22"/>
          <w:lang w:val="es-ES"/>
        </w:rPr>
        <w:t xml:space="preserve"> electrónico</w:t>
      </w:r>
      <w:r w:rsidR="002E2C99" w:rsidRPr="00BB7A0B">
        <w:rPr>
          <w:rFonts w:cs="Tahoma"/>
          <w:bCs/>
          <w:szCs w:val="22"/>
          <w:lang w:val="es-ES"/>
        </w:rPr>
        <w:t>s</w:t>
      </w:r>
      <w:r w:rsidR="004252F1" w:rsidRPr="00BB7A0B">
        <w:rPr>
          <w:rFonts w:cs="Tahoma"/>
          <w:bCs/>
          <w:szCs w:val="22"/>
          <w:lang w:val="es-ES"/>
        </w:rPr>
        <w:t xml:space="preserve"> </w:t>
      </w:r>
      <w:r w:rsidR="00721C9E" w:rsidRPr="00BB7A0B">
        <w:rPr>
          <w:rFonts w:cs="Tahoma"/>
          <w:bCs/>
          <w:szCs w:val="22"/>
          <w:lang w:val="es-ES"/>
        </w:rPr>
        <w:t>que se describen a continuación:</w:t>
      </w:r>
    </w:p>
    <w:p w14:paraId="34FEAC74" w14:textId="77777777" w:rsidR="00F561B0" w:rsidRPr="00BB7A0B" w:rsidRDefault="00F561B0" w:rsidP="00BB7A0B">
      <w:pPr>
        <w:autoSpaceDE w:val="0"/>
        <w:autoSpaceDN w:val="0"/>
        <w:adjustRightInd w:val="0"/>
        <w:ind w:right="-28"/>
        <w:rPr>
          <w:rFonts w:cs="Tahoma"/>
          <w:bCs/>
          <w:szCs w:val="22"/>
          <w:lang w:val="es-ES"/>
        </w:rPr>
      </w:pPr>
    </w:p>
    <w:p w14:paraId="388A8FD1" w14:textId="77777777" w:rsidR="00EC2A3B" w:rsidRPr="00BB7A0B" w:rsidRDefault="00EC2A3B" w:rsidP="00BB7A0B">
      <w:pPr>
        <w:pStyle w:val="Prrafodelista"/>
        <w:numPr>
          <w:ilvl w:val="0"/>
          <w:numId w:val="11"/>
        </w:numPr>
        <w:autoSpaceDE w:val="0"/>
        <w:autoSpaceDN w:val="0"/>
        <w:adjustRightInd w:val="0"/>
        <w:ind w:right="-28"/>
        <w:rPr>
          <w:rFonts w:cs="Tahoma"/>
          <w:b/>
          <w:bCs/>
          <w:szCs w:val="22"/>
          <w:lang w:val="es-ES"/>
        </w:rPr>
      </w:pPr>
      <w:r w:rsidRPr="00BB7A0B">
        <w:rPr>
          <w:rFonts w:cs="Tahoma"/>
          <w:b/>
          <w:bCs/>
          <w:szCs w:val="22"/>
          <w:lang w:val="es-ES"/>
        </w:rPr>
        <w:t>RESPUESTA 16.pdf</w:t>
      </w:r>
    </w:p>
    <w:p w14:paraId="43C3A672" w14:textId="1C7AB53D" w:rsidR="00EC2A3B" w:rsidRPr="00BB7A0B" w:rsidRDefault="00F84DDC" w:rsidP="00BB7A0B">
      <w:pPr>
        <w:autoSpaceDE w:val="0"/>
        <w:autoSpaceDN w:val="0"/>
        <w:adjustRightInd w:val="0"/>
        <w:ind w:right="-28"/>
        <w:rPr>
          <w:rFonts w:cs="Tahoma"/>
          <w:bCs/>
          <w:szCs w:val="22"/>
          <w:lang w:val="es-ES"/>
        </w:rPr>
      </w:pPr>
      <w:r w:rsidRPr="00BB7A0B">
        <w:rPr>
          <w:rFonts w:cs="Tahoma"/>
          <w:bCs/>
          <w:szCs w:val="22"/>
          <w:lang w:val="es-ES"/>
        </w:rPr>
        <w:t>Archivo constante de 3 páginas, en las que se contiene el escrito de fecha 29 de enero de 2025, sin número de oficio, dirigido a quien corresponda, suscrito por el Titular de la Unidad de Transparencia, en el que informó de manera medular:</w:t>
      </w:r>
    </w:p>
    <w:p w14:paraId="344B94A6" w14:textId="77777777" w:rsidR="00F84DDC" w:rsidRPr="00BB7A0B" w:rsidRDefault="00F84DDC" w:rsidP="00BB7A0B">
      <w:pPr>
        <w:autoSpaceDE w:val="0"/>
        <w:autoSpaceDN w:val="0"/>
        <w:adjustRightInd w:val="0"/>
        <w:ind w:right="-28"/>
        <w:rPr>
          <w:rFonts w:cs="Tahoma"/>
          <w:bCs/>
          <w:szCs w:val="22"/>
          <w:lang w:val="es-ES"/>
        </w:rPr>
      </w:pPr>
    </w:p>
    <w:p w14:paraId="529264BE" w14:textId="094A5018" w:rsidR="00F84DDC" w:rsidRPr="00BB7A0B" w:rsidRDefault="00F84DDC" w:rsidP="00BB7A0B">
      <w:pPr>
        <w:pStyle w:val="Puesto"/>
        <w:rPr>
          <w:lang w:val="es-ES"/>
        </w:rPr>
      </w:pPr>
      <w:r w:rsidRPr="00BB7A0B">
        <w:rPr>
          <w:lang w:val="es-ES"/>
        </w:rPr>
        <w:t>“…sírvase encontrar en archivo adjunto, copia digitalizada de los siguientes documentos en los cuales se detalla lo referente a su solicitud de información:</w:t>
      </w:r>
    </w:p>
    <w:p w14:paraId="02EF4E09" w14:textId="3426ACCD" w:rsidR="00F84DDC" w:rsidRPr="00BB7A0B" w:rsidRDefault="00F84DDC" w:rsidP="00BB7A0B">
      <w:pPr>
        <w:pStyle w:val="Puesto"/>
        <w:rPr>
          <w:lang w:val="es-ES"/>
        </w:rPr>
      </w:pPr>
    </w:p>
    <w:p w14:paraId="4ABFF942" w14:textId="6FDB3A2E" w:rsidR="00F84DDC" w:rsidRPr="00BB7A0B" w:rsidRDefault="00F84DDC" w:rsidP="00BB7A0B">
      <w:pPr>
        <w:pStyle w:val="Puesto"/>
        <w:rPr>
          <w:lang w:val="es-ES"/>
        </w:rPr>
      </w:pPr>
      <w:r w:rsidRPr="00BB7A0B">
        <w:rPr>
          <w:lang w:val="es-ES"/>
        </w:rPr>
        <w:t>. Convenios de Prestaciones de Ley y Colaterales de los años 2015, 2016, 2017, 2018, 2019, 2020</w:t>
      </w:r>
      <w:r w:rsidR="00DC7B96" w:rsidRPr="00BB7A0B">
        <w:rPr>
          <w:lang w:val="es-ES"/>
        </w:rPr>
        <w:t xml:space="preserve">, 2021, 2022, 2023 y 2024 firmados con el H. Ayuntamiento y el </w:t>
      </w:r>
      <w:r w:rsidR="00DC7B96" w:rsidRPr="00BB7A0B">
        <w:rPr>
          <w:b/>
          <w:lang w:val="es-ES"/>
        </w:rPr>
        <w:t xml:space="preserve">Organismo Público Descentralizado para la prestación de los servicios de agua potable, alcantarillado y saneamiento </w:t>
      </w:r>
      <w:r w:rsidR="00DC7B96" w:rsidRPr="00BB7A0B">
        <w:rPr>
          <w:lang w:val="es-ES"/>
        </w:rPr>
        <w:t>del municipio de Cuautitlán Izcalli Estado de México escaneados y en formato PDF.</w:t>
      </w:r>
    </w:p>
    <w:p w14:paraId="325B1764" w14:textId="77777777" w:rsidR="00DC7B96" w:rsidRPr="00BB7A0B" w:rsidRDefault="00DC7B96" w:rsidP="00BB7A0B">
      <w:pPr>
        <w:pStyle w:val="Puesto"/>
        <w:rPr>
          <w:lang w:val="es-ES"/>
        </w:rPr>
      </w:pPr>
    </w:p>
    <w:p w14:paraId="6B9D197D" w14:textId="5B0456CB" w:rsidR="00DC7B96" w:rsidRPr="00BB7A0B" w:rsidRDefault="00DC7B96" w:rsidP="00BB7A0B">
      <w:pPr>
        <w:pStyle w:val="Puesto"/>
        <w:rPr>
          <w:lang w:val="es-ES"/>
        </w:rPr>
      </w:pPr>
      <w:r w:rsidRPr="00BB7A0B">
        <w:rPr>
          <w:lang w:val="es-ES"/>
        </w:rPr>
        <w:t>. Por lo que respecta al Convenio de Prestaciones de Ley y Colaterales del año 2025 aún no se ha firmado, razón por la cual no es posible entregarlo.</w:t>
      </w:r>
    </w:p>
    <w:p w14:paraId="5123E8C1" w14:textId="77777777" w:rsidR="00F84DDC" w:rsidRPr="00BB7A0B" w:rsidRDefault="00F84DDC" w:rsidP="00BB7A0B">
      <w:pPr>
        <w:autoSpaceDE w:val="0"/>
        <w:autoSpaceDN w:val="0"/>
        <w:adjustRightInd w:val="0"/>
        <w:ind w:right="-28"/>
        <w:rPr>
          <w:rFonts w:cs="Tahoma"/>
          <w:bCs/>
          <w:szCs w:val="22"/>
          <w:lang w:val="es-ES"/>
        </w:rPr>
      </w:pPr>
    </w:p>
    <w:p w14:paraId="778F784C" w14:textId="36BC19F8" w:rsidR="00EC2A3B" w:rsidRPr="00BB7A0B" w:rsidRDefault="00EC2A3B" w:rsidP="00BB7A0B">
      <w:pPr>
        <w:pStyle w:val="Prrafodelista"/>
        <w:numPr>
          <w:ilvl w:val="0"/>
          <w:numId w:val="11"/>
        </w:numPr>
        <w:autoSpaceDE w:val="0"/>
        <w:autoSpaceDN w:val="0"/>
        <w:adjustRightInd w:val="0"/>
        <w:ind w:right="-28"/>
        <w:rPr>
          <w:rFonts w:cs="Tahoma"/>
          <w:b/>
          <w:bCs/>
          <w:szCs w:val="22"/>
          <w:lang w:val="es-ES"/>
        </w:rPr>
      </w:pPr>
      <w:r w:rsidRPr="00BB7A0B">
        <w:rPr>
          <w:rFonts w:cs="Tahoma"/>
          <w:b/>
          <w:bCs/>
          <w:szCs w:val="22"/>
          <w:lang w:val="es-ES"/>
        </w:rPr>
        <w:t>CONVENIOS CUAUTITLAN IZCALLI.zip</w:t>
      </w:r>
    </w:p>
    <w:p w14:paraId="72947118" w14:textId="09941283" w:rsidR="00EC2A3B" w:rsidRPr="00BB7A0B" w:rsidRDefault="00DC7B96" w:rsidP="00BB7A0B">
      <w:pPr>
        <w:autoSpaceDE w:val="0"/>
        <w:autoSpaceDN w:val="0"/>
        <w:adjustRightInd w:val="0"/>
        <w:ind w:right="-28"/>
        <w:rPr>
          <w:rFonts w:cs="Tahoma"/>
          <w:bCs/>
          <w:szCs w:val="22"/>
          <w:lang w:val="es-ES"/>
        </w:rPr>
      </w:pPr>
      <w:r w:rsidRPr="00BB7A0B">
        <w:rPr>
          <w:rFonts w:cs="Tahoma"/>
          <w:bCs/>
          <w:szCs w:val="22"/>
          <w:lang w:val="es-ES"/>
        </w:rPr>
        <w:t xml:space="preserve">Carpeta en formato </w:t>
      </w:r>
      <w:proofErr w:type="spellStart"/>
      <w:r w:rsidRPr="00BB7A0B">
        <w:rPr>
          <w:rFonts w:cs="Tahoma"/>
          <w:bCs/>
          <w:szCs w:val="22"/>
          <w:lang w:val="es-ES"/>
        </w:rPr>
        <w:t>zip</w:t>
      </w:r>
      <w:proofErr w:type="spellEnd"/>
      <w:r w:rsidRPr="00BB7A0B">
        <w:rPr>
          <w:rFonts w:cs="Tahoma"/>
          <w:bCs/>
          <w:szCs w:val="22"/>
          <w:lang w:val="es-ES"/>
        </w:rPr>
        <w:t xml:space="preserve"> en la que se aprecia el nombre de CONVENIOS CUAUTITLAN IZCALLI, en la que se desagrega en los archivos siguientes:</w:t>
      </w:r>
    </w:p>
    <w:p w14:paraId="1096D6AD" w14:textId="77777777" w:rsidR="00DC7B96" w:rsidRPr="00BB7A0B" w:rsidRDefault="00DC7B96" w:rsidP="00BB7A0B">
      <w:pPr>
        <w:autoSpaceDE w:val="0"/>
        <w:autoSpaceDN w:val="0"/>
        <w:adjustRightInd w:val="0"/>
        <w:ind w:right="-28"/>
        <w:rPr>
          <w:rFonts w:cs="Tahoma"/>
          <w:bCs/>
          <w:szCs w:val="22"/>
          <w:lang w:val="es-ES"/>
        </w:rPr>
      </w:pPr>
    </w:p>
    <w:p w14:paraId="05B66F56" w14:textId="3D04C839"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2015</w:t>
      </w:r>
    </w:p>
    <w:p w14:paraId="7B82093F" w14:textId="51062D8E"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2016</w:t>
      </w:r>
    </w:p>
    <w:p w14:paraId="78F4B0B0" w14:textId="52CD3E6B"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2017</w:t>
      </w:r>
    </w:p>
    <w:p w14:paraId="56174C32" w14:textId="5628F454"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lastRenderedPageBreak/>
        <w:t>CUAUTITLAN IZCALLI 2018</w:t>
      </w:r>
    </w:p>
    <w:p w14:paraId="0C5B3870" w14:textId="05FA272B"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2019</w:t>
      </w:r>
    </w:p>
    <w:p w14:paraId="24BCD9CE" w14:textId="1517129A"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2020</w:t>
      </w:r>
    </w:p>
    <w:p w14:paraId="2DF0C409" w14:textId="5EBF5CEB"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2021</w:t>
      </w:r>
    </w:p>
    <w:p w14:paraId="76E5D2F1" w14:textId="5D936317"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2022</w:t>
      </w:r>
    </w:p>
    <w:p w14:paraId="2E986F5C" w14:textId="79549C15"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2023</w:t>
      </w:r>
    </w:p>
    <w:p w14:paraId="599B5F97" w14:textId="6B756E51" w:rsidR="00DC7B96" w:rsidRPr="00BB7A0B" w:rsidRDefault="00DC7B96" w:rsidP="00BB7A0B">
      <w:pPr>
        <w:pStyle w:val="Prrafodelista"/>
        <w:numPr>
          <w:ilvl w:val="0"/>
          <w:numId w:val="11"/>
        </w:numPr>
        <w:autoSpaceDE w:val="0"/>
        <w:autoSpaceDN w:val="0"/>
        <w:adjustRightInd w:val="0"/>
        <w:ind w:right="-28"/>
        <w:rPr>
          <w:rFonts w:cs="Tahoma"/>
          <w:bCs/>
          <w:szCs w:val="22"/>
          <w:lang w:val="es-ES"/>
        </w:rPr>
      </w:pPr>
      <w:r w:rsidRPr="00BB7A0B">
        <w:rPr>
          <w:rFonts w:cs="Tahoma"/>
          <w:bCs/>
          <w:szCs w:val="22"/>
          <w:lang w:val="es-ES"/>
        </w:rPr>
        <w:t>CUAUTITLAN IZCALLI 2024</w:t>
      </w:r>
    </w:p>
    <w:p w14:paraId="7619A011" w14:textId="77777777" w:rsidR="00DC7B96" w:rsidRPr="00BB7A0B" w:rsidRDefault="00DC7B96" w:rsidP="00BB7A0B">
      <w:pPr>
        <w:autoSpaceDE w:val="0"/>
        <w:autoSpaceDN w:val="0"/>
        <w:adjustRightInd w:val="0"/>
        <w:ind w:right="-28"/>
        <w:rPr>
          <w:rFonts w:cs="Tahoma"/>
          <w:bCs/>
          <w:szCs w:val="22"/>
          <w:lang w:val="es-ES"/>
        </w:rPr>
      </w:pPr>
    </w:p>
    <w:p w14:paraId="4CE8EDCA" w14:textId="18EFCFC2" w:rsidR="00A557BD" w:rsidRPr="00BB7A0B" w:rsidRDefault="00A557BD" w:rsidP="00BB7A0B">
      <w:pPr>
        <w:autoSpaceDE w:val="0"/>
        <w:autoSpaceDN w:val="0"/>
        <w:adjustRightInd w:val="0"/>
        <w:ind w:right="-28"/>
        <w:rPr>
          <w:rFonts w:cs="Tahoma"/>
          <w:bCs/>
          <w:szCs w:val="22"/>
          <w:lang w:val="es-ES"/>
        </w:rPr>
      </w:pPr>
      <w:r w:rsidRPr="00BB7A0B">
        <w:rPr>
          <w:rFonts w:cs="Tahoma"/>
          <w:bCs/>
          <w:szCs w:val="22"/>
          <w:lang w:val="es-ES"/>
        </w:rPr>
        <w:t>Con la precisión que en dichos archivos se contienen los convenios de prestaciones suscritos entre el ente recurrido y el Organismo Público Descentralizado para la prestación de los servicios de agua potable, alcantarillado y saneamiento del municipio de Cuautitlán Izcalli Estado de México.</w:t>
      </w:r>
    </w:p>
    <w:p w14:paraId="083AAC4A" w14:textId="77777777" w:rsidR="00A557BD" w:rsidRPr="00BB7A0B" w:rsidRDefault="00A557BD" w:rsidP="00BB7A0B">
      <w:pPr>
        <w:autoSpaceDE w:val="0"/>
        <w:autoSpaceDN w:val="0"/>
        <w:adjustRightInd w:val="0"/>
        <w:ind w:right="-28"/>
        <w:rPr>
          <w:rFonts w:cs="Tahoma"/>
          <w:bCs/>
          <w:szCs w:val="22"/>
          <w:lang w:val="es-ES"/>
        </w:rPr>
      </w:pPr>
    </w:p>
    <w:p w14:paraId="5A5DAB9E" w14:textId="7AFC5D98" w:rsidR="00E37A3F" w:rsidRPr="00BB7A0B" w:rsidRDefault="00E37A3F" w:rsidP="00BB7A0B">
      <w:pPr>
        <w:pStyle w:val="Ttulo2"/>
        <w:jc w:val="left"/>
        <w:rPr>
          <w:szCs w:val="22"/>
        </w:rPr>
      </w:pPr>
      <w:bookmarkStart w:id="11" w:name="_Toc190776989"/>
      <w:r w:rsidRPr="00BB7A0B">
        <w:rPr>
          <w:szCs w:val="22"/>
        </w:rPr>
        <w:t>DEL RECURSO DE REVISIÓN</w:t>
      </w:r>
      <w:bookmarkEnd w:id="11"/>
    </w:p>
    <w:p w14:paraId="3E9F8DF3" w14:textId="77777777" w:rsidR="00F35BC2" w:rsidRPr="00BB7A0B" w:rsidRDefault="00F35BC2" w:rsidP="00BB7A0B">
      <w:pPr>
        <w:rPr>
          <w:szCs w:val="22"/>
        </w:rPr>
      </w:pPr>
    </w:p>
    <w:p w14:paraId="2B216813" w14:textId="61ADBB2B" w:rsidR="00664420" w:rsidRPr="00BB7A0B" w:rsidRDefault="006E25BC" w:rsidP="00BB7A0B">
      <w:pPr>
        <w:pStyle w:val="Ttulo3"/>
        <w:rPr>
          <w:szCs w:val="22"/>
        </w:rPr>
      </w:pPr>
      <w:bookmarkStart w:id="12" w:name="_Toc190776990"/>
      <w:r w:rsidRPr="00BB7A0B">
        <w:rPr>
          <w:szCs w:val="22"/>
        </w:rPr>
        <w:t xml:space="preserve">a) </w:t>
      </w:r>
      <w:r w:rsidR="00664420" w:rsidRPr="00BB7A0B">
        <w:rPr>
          <w:szCs w:val="22"/>
        </w:rPr>
        <w:t>Interposición del Recurso de Revisión</w:t>
      </w:r>
      <w:bookmarkEnd w:id="12"/>
    </w:p>
    <w:p w14:paraId="6279C622" w14:textId="3C2D45B3" w:rsidR="00664420" w:rsidRPr="00BB7A0B" w:rsidRDefault="00664420" w:rsidP="00BB7A0B">
      <w:pPr>
        <w:autoSpaceDE w:val="0"/>
        <w:autoSpaceDN w:val="0"/>
        <w:adjustRightInd w:val="0"/>
        <w:ind w:right="-28"/>
        <w:rPr>
          <w:rFonts w:cs="Tahoma"/>
          <w:szCs w:val="22"/>
        </w:rPr>
      </w:pPr>
      <w:r w:rsidRPr="00BB7A0B">
        <w:rPr>
          <w:rFonts w:cs="Tahoma"/>
          <w:szCs w:val="22"/>
        </w:rPr>
        <w:t xml:space="preserve">El </w:t>
      </w:r>
      <w:r w:rsidR="00EC2A3B" w:rsidRPr="00BB7A0B">
        <w:rPr>
          <w:rFonts w:cs="Tahoma"/>
          <w:b/>
          <w:bCs/>
          <w:szCs w:val="22"/>
        </w:rPr>
        <w:t>treinta</w:t>
      </w:r>
      <w:r w:rsidR="001A0A72" w:rsidRPr="00BB7A0B">
        <w:rPr>
          <w:rFonts w:cs="Tahoma"/>
          <w:b/>
          <w:bCs/>
          <w:szCs w:val="22"/>
        </w:rPr>
        <w:t xml:space="preserve"> de enero de dos mil veinticinco</w:t>
      </w:r>
      <w:r w:rsidR="009C7CDB" w:rsidRPr="00BB7A0B">
        <w:rPr>
          <w:rFonts w:cs="Tahoma"/>
          <w:b/>
          <w:bCs/>
          <w:szCs w:val="22"/>
        </w:rPr>
        <w:t>,</w:t>
      </w:r>
      <w:r w:rsidRPr="00BB7A0B">
        <w:rPr>
          <w:rFonts w:cs="Tahoma"/>
          <w:szCs w:val="22"/>
        </w:rPr>
        <w:t xml:space="preserve"> </w:t>
      </w:r>
      <w:r w:rsidR="00F75D23" w:rsidRPr="00BB7A0B">
        <w:rPr>
          <w:rFonts w:cs="Tahoma"/>
          <w:b/>
          <w:bCs/>
          <w:szCs w:val="22"/>
        </w:rPr>
        <w:t>LA PARTE RECURRENTE</w:t>
      </w:r>
      <w:r w:rsidR="00F75D23" w:rsidRPr="00BB7A0B">
        <w:rPr>
          <w:rFonts w:cs="Tahoma"/>
          <w:szCs w:val="22"/>
        </w:rPr>
        <w:t xml:space="preserve"> interpuso el recurso de revisión en contra de la respuesta emitida por </w:t>
      </w:r>
      <w:r w:rsidR="00154E91" w:rsidRPr="00BB7A0B">
        <w:rPr>
          <w:rFonts w:cs="Tahoma"/>
          <w:b/>
          <w:szCs w:val="22"/>
        </w:rPr>
        <w:t>EL</w:t>
      </w:r>
      <w:r w:rsidR="00F75D23" w:rsidRPr="00BB7A0B">
        <w:rPr>
          <w:rFonts w:cs="Tahoma"/>
          <w:szCs w:val="22"/>
        </w:rPr>
        <w:t xml:space="preserve"> </w:t>
      </w:r>
      <w:r w:rsidR="00F75D23" w:rsidRPr="00BB7A0B">
        <w:rPr>
          <w:rFonts w:cs="Tahoma"/>
          <w:b/>
          <w:bCs/>
          <w:szCs w:val="22"/>
        </w:rPr>
        <w:t>SUJETO OBLIGADO</w:t>
      </w:r>
      <w:r w:rsidR="00953430" w:rsidRPr="00BB7A0B">
        <w:rPr>
          <w:rFonts w:cs="Tahoma"/>
          <w:szCs w:val="22"/>
        </w:rPr>
        <w:t xml:space="preserve">, mismo que fue registrado en el </w:t>
      </w:r>
      <w:r w:rsidR="00953430" w:rsidRPr="00BB7A0B">
        <w:rPr>
          <w:rFonts w:cs="Tahoma"/>
          <w:b/>
          <w:szCs w:val="22"/>
        </w:rPr>
        <w:t>SAIMEX</w:t>
      </w:r>
      <w:r w:rsidR="00953430" w:rsidRPr="00BB7A0B">
        <w:rPr>
          <w:rFonts w:cs="Tahoma"/>
          <w:szCs w:val="22"/>
        </w:rPr>
        <w:t xml:space="preserve"> con el número de expediente </w:t>
      </w:r>
      <w:r w:rsidR="00EC2A3B" w:rsidRPr="00BB7A0B">
        <w:rPr>
          <w:rFonts w:cs="Tahoma"/>
          <w:b/>
          <w:bCs/>
          <w:szCs w:val="22"/>
        </w:rPr>
        <w:t>00337/INFOEM/IP/RR/2025</w:t>
      </w:r>
      <w:r w:rsidR="00953430" w:rsidRPr="00BB7A0B">
        <w:rPr>
          <w:rFonts w:cs="Tahoma"/>
          <w:szCs w:val="22"/>
        </w:rPr>
        <w:t xml:space="preserve">, y en el cual </w:t>
      </w:r>
      <w:r w:rsidR="00546E82" w:rsidRPr="00BB7A0B">
        <w:rPr>
          <w:rFonts w:cs="Tahoma"/>
          <w:szCs w:val="22"/>
        </w:rPr>
        <w:t>manifestó</w:t>
      </w:r>
      <w:r w:rsidR="00953430" w:rsidRPr="00BB7A0B">
        <w:rPr>
          <w:rFonts w:cs="Tahoma"/>
          <w:szCs w:val="22"/>
        </w:rPr>
        <w:t xml:space="preserve"> lo siguiente</w:t>
      </w:r>
      <w:r w:rsidRPr="00BB7A0B">
        <w:rPr>
          <w:rFonts w:cs="Tahoma"/>
          <w:szCs w:val="22"/>
        </w:rPr>
        <w:t>:</w:t>
      </w:r>
    </w:p>
    <w:p w14:paraId="74B30008" w14:textId="77777777" w:rsidR="00664420" w:rsidRPr="00BB7A0B" w:rsidRDefault="00664420" w:rsidP="00BB7A0B">
      <w:pPr>
        <w:tabs>
          <w:tab w:val="left" w:pos="4667"/>
        </w:tabs>
        <w:ind w:right="539"/>
        <w:rPr>
          <w:rFonts w:cs="Tahoma"/>
          <w:szCs w:val="22"/>
        </w:rPr>
      </w:pPr>
    </w:p>
    <w:p w14:paraId="6900A410" w14:textId="77777777" w:rsidR="0009347C" w:rsidRPr="00BB7A0B" w:rsidRDefault="00664420" w:rsidP="00BB7A0B">
      <w:pPr>
        <w:tabs>
          <w:tab w:val="left" w:pos="4667"/>
        </w:tabs>
        <w:ind w:left="567" w:right="539"/>
        <w:rPr>
          <w:rFonts w:cs="Tahoma"/>
          <w:b/>
          <w:iCs/>
          <w:szCs w:val="22"/>
        </w:rPr>
      </w:pPr>
      <w:r w:rsidRPr="00BB7A0B">
        <w:rPr>
          <w:rFonts w:cs="Tahoma"/>
          <w:b/>
          <w:iCs/>
          <w:szCs w:val="22"/>
        </w:rPr>
        <w:t>ACTO IMPUGNADO</w:t>
      </w:r>
    </w:p>
    <w:p w14:paraId="5DFB14D6" w14:textId="66A378B4" w:rsidR="00260F26" w:rsidRPr="00BB7A0B" w:rsidRDefault="00EC2A3B" w:rsidP="00BB7A0B">
      <w:pPr>
        <w:pStyle w:val="Puesto"/>
      </w:pPr>
      <w:r w:rsidRPr="00BB7A0B">
        <w:lastRenderedPageBreak/>
        <w:t>La respuesta a la solicitud de información hecha mediante el Sistema de Acceso a la Información Mexiquense al Sindicato Único de Trabajadores de los Poderes, Municipios e Instituciones Descentralizadas del Estado de México (SUTEYM) de fecha 29 de enero de 2025.</w:t>
      </w:r>
    </w:p>
    <w:p w14:paraId="4F5E70DC" w14:textId="77777777" w:rsidR="000729BE" w:rsidRPr="00BB7A0B" w:rsidRDefault="000729BE" w:rsidP="00BB7A0B">
      <w:pPr>
        <w:tabs>
          <w:tab w:val="left" w:pos="4667"/>
        </w:tabs>
        <w:ind w:left="567" w:right="539"/>
        <w:rPr>
          <w:rFonts w:cs="Tahoma"/>
          <w:b/>
          <w:iCs/>
          <w:szCs w:val="22"/>
        </w:rPr>
      </w:pPr>
    </w:p>
    <w:p w14:paraId="047D036B" w14:textId="77777777" w:rsidR="00664420" w:rsidRPr="00BB7A0B" w:rsidRDefault="00664420" w:rsidP="00BB7A0B">
      <w:pPr>
        <w:tabs>
          <w:tab w:val="left" w:pos="4667"/>
        </w:tabs>
        <w:ind w:left="567" w:right="539"/>
        <w:rPr>
          <w:rFonts w:cs="Tahoma"/>
          <w:b/>
          <w:iCs/>
          <w:szCs w:val="22"/>
        </w:rPr>
      </w:pPr>
      <w:r w:rsidRPr="00BB7A0B">
        <w:rPr>
          <w:rFonts w:cs="Tahoma"/>
          <w:b/>
          <w:iCs/>
          <w:szCs w:val="22"/>
        </w:rPr>
        <w:t>RAZONES O MOTIVOS DE LA INCONFORMIDAD</w:t>
      </w:r>
      <w:r w:rsidRPr="00BB7A0B">
        <w:rPr>
          <w:rFonts w:cs="Tahoma"/>
          <w:b/>
          <w:iCs/>
          <w:szCs w:val="22"/>
        </w:rPr>
        <w:tab/>
      </w:r>
    </w:p>
    <w:p w14:paraId="3E375291" w14:textId="2E621C70" w:rsidR="00674B17" w:rsidRPr="00BB7A0B" w:rsidRDefault="00EC2A3B" w:rsidP="00BB7A0B">
      <w:pPr>
        <w:pStyle w:val="Puesto"/>
      </w:pPr>
      <w:r w:rsidRPr="00BB7A0B">
        <w:t>La razón que motiva el presente acto de impugnación versa en que el Sindicato Único de Trabajadores de los Poderes, Municipios e Instituciones Descentralizadas del Estado de México al momento de dar respuesta se desprende que la misma es incompleta al ser omisa en pronunciarse respecto de la existencia o inexistencia de los convenios de prestaciones de ley y colaterales firmados entre dicho sindicato y el Sistema Municipal de Desarrollo Integral de la Familia de Cuautitlán Izcalli correspondiente a los años 2015, 2016, 2017, 2018, 2019, 2020, 2021, 2022, 2023, 2024, por lo que únicamente se pronuncia respecto del resto de información solicitada, siendo omiso en remitir la información faltante.</w:t>
      </w:r>
    </w:p>
    <w:p w14:paraId="70613F9B" w14:textId="77777777" w:rsidR="00A96D91" w:rsidRPr="00BB7A0B" w:rsidRDefault="00A96D91" w:rsidP="00BB7A0B">
      <w:pPr>
        <w:rPr>
          <w:szCs w:val="22"/>
        </w:rPr>
      </w:pPr>
    </w:p>
    <w:p w14:paraId="6804DEF1" w14:textId="3C4F6CB5" w:rsidR="00664420" w:rsidRPr="00BB7A0B" w:rsidRDefault="006E25BC" w:rsidP="00BB7A0B">
      <w:pPr>
        <w:pStyle w:val="Ttulo3"/>
        <w:rPr>
          <w:szCs w:val="22"/>
        </w:rPr>
      </w:pPr>
      <w:bookmarkStart w:id="13" w:name="_Toc190776991"/>
      <w:r w:rsidRPr="00BB7A0B">
        <w:rPr>
          <w:szCs w:val="22"/>
        </w:rPr>
        <w:t>b</w:t>
      </w:r>
      <w:r w:rsidR="00664420" w:rsidRPr="00BB7A0B">
        <w:rPr>
          <w:szCs w:val="22"/>
        </w:rPr>
        <w:t>) Turno del Recurso de Revisión</w:t>
      </w:r>
      <w:bookmarkEnd w:id="13"/>
    </w:p>
    <w:p w14:paraId="1173671B" w14:textId="36B90C65" w:rsidR="00C72DAA" w:rsidRPr="00BB7A0B" w:rsidRDefault="00C72DAA" w:rsidP="00BB7A0B">
      <w:pPr>
        <w:rPr>
          <w:szCs w:val="22"/>
        </w:rPr>
      </w:pPr>
      <w:r w:rsidRPr="00BB7A0B">
        <w:rPr>
          <w:szCs w:val="22"/>
        </w:rPr>
        <w:t>Con fundamento en el artículo 185, fracción I de la Ley de Transparencia y Acceso a la Información Pública del Estado de México y Municipios, el</w:t>
      </w:r>
      <w:r w:rsidRPr="00BB7A0B">
        <w:rPr>
          <w:b/>
          <w:bCs/>
          <w:szCs w:val="22"/>
        </w:rPr>
        <w:t xml:space="preserve"> </w:t>
      </w:r>
      <w:r w:rsidR="00E916EA" w:rsidRPr="00BB7A0B">
        <w:rPr>
          <w:rFonts w:cs="Tahoma"/>
          <w:b/>
          <w:bCs/>
          <w:szCs w:val="22"/>
        </w:rPr>
        <w:t xml:space="preserve">treinta de enero </w:t>
      </w:r>
      <w:r w:rsidR="001A0A72" w:rsidRPr="00BB7A0B">
        <w:rPr>
          <w:rFonts w:cs="Tahoma"/>
          <w:b/>
          <w:bCs/>
          <w:szCs w:val="22"/>
        </w:rPr>
        <w:t>de dos mil veinticinco</w:t>
      </w:r>
      <w:r w:rsidR="00003628" w:rsidRPr="00BB7A0B">
        <w:rPr>
          <w:rFonts w:cs="Tahoma"/>
          <w:b/>
          <w:bCs/>
          <w:szCs w:val="22"/>
        </w:rPr>
        <w:t>,</w:t>
      </w:r>
      <w:r w:rsidRPr="00BB7A0B">
        <w:rPr>
          <w:szCs w:val="22"/>
        </w:rPr>
        <w:t xml:space="preserve"> se turnó el recurso de revisión a través del</w:t>
      </w:r>
      <w:r w:rsidRPr="00BB7A0B">
        <w:rPr>
          <w:rFonts w:eastAsia="Arial Unicode MS"/>
          <w:szCs w:val="22"/>
        </w:rPr>
        <w:t xml:space="preserve"> </w:t>
      </w:r>
      <w:r w:rsidRPr="00BB7A0B">
        <w:rPr>
          <w:rFonts w:eastAsia="Arial Unicode MS"/>
          <w:bCs/>
          <w:szCs w:val="22"/>
        </w:rPr>
        <w:t>SAIMEX</w:t>
      </w:r>
      <w:r w:rsidRPr="00BB7A0B">
        <w:rPr>
          <w:szCs w:val="22"/>
        </w:rPr>
        <w:t xml:space="preserve"> a la </w:t>
      </w:r>
      <w:r w:rsidRPr="00BB7A0B">
        <w:rPr>
          <w:b/>
          <w:szCs w:val="22"/>
        </w:rPr>
        <w:t>Comisionada Sharon Cristina Morales Martínez</w:t>
      </w:r>
      <w:r w:rsidRPr="00BB7A0B">
        <w:rPr>
          <w:bCs/>
          <w:szCs w:val="22"/>
        </w:rPr>
        <w:t xml:space="preserve">, </w:t>
      </w:r>
      <w:r w:rsidRPr="00BB7A0B">
        <w:rPr>
          <w:szCs w:val="22"/>
        </w:rPr>
        <w:t xml:space="preserve">a efecto de decretar su admisión o </w:t>
      </w:r>
      <w:proofErr w:type="spellStart"/>
      <w:r w:rsidRPr="00BB7A0B">
        <w:rPr>
          <w:szCs w:val="22"/>
        </w:rPr>
        <w:t>desechamiento</w:t>
      </w:r>
      <w:proofErr w:type="spellEnd"/>
      <w:r w:rsidRPr="00BB7A0B">
        <w:rPr>
          <w:szCs w:val="22"/>
        </w:rPr>
        <w:t xml:space="preserve">. </w:t>
      </w:r>
    </w:p>
    <w:p w14:paraId="5F8469A3" w14:textId="77777777" w:rsidR="001A0A72" w:rsidRPr="00BB7A0B" w:rsidRDefault="001A0A72" w:rsidP="00BB7A0B">
      <w:pPr>
        <w:rPr>
          <w:szCs w:val="22"/>
        </w:rPr>
      </w:pPr>
    </w:p>
    <w:p w14:paraId="3E31EC2D" w14:textId="295256A1" w:rsidR="00664420" w:rsidRPr="00BB7A0B" w:rsidRDefault="006E25BC" w:rsidP="00BB7A0B">
      <w:pPr>
        <w:pStyle w:val="Ttulo3"/>
        <w:rPr>
          <w:szCs w:val="22"/>
        </w:rPr>
      </w:pPr>
      <w:bookmarkStart w:id="14" w:name="_Toc190776992"/>
      <w:r w:rsidRPr="00BB7A0B">
        <w:rPr>
          <w:szCs w:val="22"/>
        </w:rPr>
        <w:t>c</w:t>
      </w:r>
      <w:r w:rsidR="00664420" w:rsidRPr="00BB7A0B">
        <w:rPr>
          <w:szCs w:val="22"/>
        </w:rPr>
        <w:t>) Admisión del Recurso de Revisión</w:t>
      </w:r>
      <w:bookmarkEnd w:id="14"/>
    </w:p>
    <w:p w14:paraId="240447D5" w14:textId="6720CAF6" w:rsidR="000E09C4" w:rsidRPr="00BB7A0B" w:rsidRDefault="000E09C4" w:rsidP="00BB7A0B">
      <w:pPr>
        <w:rPr>
          <w:rFonts w:cs="Arial"/>
          <w:szCs w:val="22"/>
        </w:rPr>
      </w:pPr>
      <w:r w:rsidRPr="00BB7A0B">
        <w:rPr>
          <w:rFonts w:cs="Arial"/>
          <w:szCs w:val="22"/>
        </w:rPr>
        <w:t xml:space="preserve">El </w:t>
      </w:r>
      <w:r w:rsidR="00E916EA" w:rsidRPr="00BB7A0B">
        <w:rPr>
          <w:rFonts w:cs="Tahoma"/>
          <w:b/>
          <w:bCs/>
          <w:szCs w:val="22"/>
        </w:rPr>
        <w:t>cuatro de febrero</w:t>
      </w:r>
      <w:r w:rsidR="001A0A72" w:rsidRPr="00BB7A0B">
        <w:rPr>
          <w:rFonts w:cs="Tahoma"/>
          <w:b/>
          <w:bCs/>
          <w:szCs w:val="22"/>
        </w:rPr>
        <w:t xml:space="preserve"> de dos mil veinticinco</w:t>
      </w:r>
      <w:r w:rsidR="00003628" w:rsidRPr="00BB7A0B">
        <w:rPr>
          <w:rFonts w:cs="Arial"/>
          <w:b/>
          <w:bCs/>
          <w:szCs w:val="22"/>
        </w:rPr>
        <w:t>,</w:t>
      </w:r>
      <w:r w:rsidR="004252F1" w:rsidRPr="00BB7A0B">
        <w:rPr>
          <w:rFonts w:cs="Arial"/>
          <w:szCs w:val="22"/>
        </w:rPr>
        <w:t xml:space="preserve"> </w:t>
      </w:r>
      <w:r w:rsidRPr="00BB7A0B">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B7A0B">
        <w:rPr>
          <w:rFonts w:cs="Arial"/>
          <w:szCs w:val="22"/>
        </w:rPr>
        <w:t>, fracción II</w:t>
      </w:r>
      <w:r w:rsidRPr="00BB7A0B">
        <w:rPr>
          <w:rFonts w:cs="Arial"/>
          <w:szCs w:val="22"/>
        </w:rPr>
        <w:t xml:space="preserve"> de la Ley de Transparencia y Acceso a la Información Pública del Estado de México y Municipios.</w:t>
      </w:r>
    </w:p>
    <w:p w14:paraId="34EC3F86" w14:textId="77777777" w:rsidR="00D2790D" w:rsidRPr="00BB7A0B" w:rsidRDefault="00D2790D" w:rsidP="00BB7A0B">
      <w:pPr>
        <w:rPr>
          <w:rFonts w:cs="Arial"/>
          <w:szCs w:val="22"/>
        </w:rPr>
      </w:pPr>
    </w:p>
    <w:p w14:paraId="3B820F58" w14:textId="4FFAE290" w:rsidR="00865CF4" w:rsidRPr="00BB7A0B" w:rsidRDefault="006E25BC" w:rsidP="00BB7A0B">
      <w:pPr>
        <w:pStyle w:val="Ttulo3"/>
        <w:rPr>
          <w:szCs w:val="22"/>
        </w:rPr>
      </w:pPr>
      <w:bookmarkStart w:id="15" w:name="_Toc190776993"/>
      <w:r w:rsidRPr="00BB7A0B">
        <w:rPr>
          <w:szCs w:val="22"/>
        </w:rPr>
        <w:t>d</w:t>
      </w:r>
      <w:r w:rsidR="00D2790D" w:rsidRPr="00BB7A0B">
        <w:rPr>
          <w:szCs w:val="22"/>
        </w:rPr>
        <w:t xml:space="preserve">) </w:t>
      </w:r>
      <w:r w:rsidR="00865CF4" w:rsidRPr="00BB7A0B">
        <w:rPr>
          <w:szCs w:val="22"/>
        </w:rPr>
        <w:t>Informe Justificado del Sujeto Obligado</w:t>
      </w:r>
      <w:bookmarkEnd w:id="15"/>
    </w:p>
    <w:p w14:paraId="2ED6D3E3" w14:textId="06D3E8F6" w:rsidR="00A50ECC" w:rsidRPr="00BB7A0B" w:rsidRDefault="00A50ECC" w:rsidP="00BB7A0B">
      <w:pPr>
        <w:rPr>
          <w:iCs/>
          <w:szCs w:val="22"/>
        </w:rPr>
      </w:pPr>
      <w:r w:rsidRPr="00BB7A0B">
        <w:rPr>
          <w:szCs w:val="22"/>
        </w:rPr>
        <w:t xml:space="preserve">El </w:t>
      </w:r>
      <w:r w:rsidRPr="00BB7A0B">
        <w:rPr>
          <w:b/>
          <w:bCs/>
          <w:szCs w:val="22"/>
        </w:rPr>
        <w:t xml:space="preserve">dieciocho de febrero </w:t>
      </w:r>
      <w:r w:rsidRPr="00BB7A0B">
        <w:rPr>
          <w:rFonts w:cs="Tahoma"/>
          <w:b/>
          <w:bCs/>
          <w:szCs w:val="22"/>
        </w:rPr>
        <w:t>de dos mil veinticinco</w:t>
      </w:r>
      <w:r w:rsidRPr="00BB7A0B">
        <w:rPr>
          <w:b/>
          <w:szCs w:val="22"/>
        </w:rPr>
        <w:t xml:space="preserve"> EL SUJETO OBLIGADO</w:t>
      </w:r>
      <w:r w:rsidRPr="00BB7A0B">
        <w:rPr>
          <w:szCs w:val="22"/>
        </w:rPr>
        <w:t xml:space="preserve"> rindió su informe justificado a través del </w:t>
      </w:r>
      <w:r w:rsidRPr="00BB7A0B">
        <w:rPr>
          <w:b/>
          <w:szCs w:val="22"/>
        </w:rPr>
        <w:t>SAIMEX</w:t>
      </w:r>
      <w:r w:rsidRPr="00BB7A0B">
        <w:rPr>
          <w:szCs w:val="22"/>
        </w:rPr>
        <w:t xml:space="preserve">, </w:t>
      </w:r>
      <w:r w:rsidRPr="00BB7A0B">
        <w:rPr>
          <w:iCs/>
          <w:szCs w:val="22"/>
        </w:rPr>
        <w:t>por medio de los archivos que se describen:</w:t>
      </w:r>
    </w:p>
    <w:p w14:paraId="0A9CE296" w14:textId="77777777" w:rsidR="00A50ECC" w:rsidRPr="00BB7A0B" w:rsidRDefault="00A50ECC" w:rsidP="00BB7A0B">
      <w:pPr>
        <w:rPr>
          <w:iCs/>
          <w:szCs w:val="22"/>
        </w:rPr>
      </w:pPr>
    </w:p>
    <w:p w14:paraId="334D25ED" w14:textId="31BD15E5" w:rsidR="00034C3A" w:rsidRPr="00BB7A0B" w:rsidRDefault="00A50ECC" w:rsidP="00BB7A0B">
      <w:pPr>
        <w:pStyle w:val="Prrafodelista"/>
        <w:numPr>
          <w:ilvl w:val="0"/>
          <w:numId w:val="12"/>
        </w:numPr>
        <w:rPr>
          <w:b/>
          <w:iCs/>
          <w:szCs w:val="22"/>
        </w:rPr>
      </w:pPr>
      <w:r w:rsidRPr="00BB7A0B">
        <w:rPr>
          <w:b/>
          <w:iCs/>
          <w:szCs w:val="22"/>
        </w:rPr>
        <w:t>INFORME DE JUSTIFICACION 16.pdf</w:t>
      </w:r>
      <w:r w:rsidRPr="00BB7A0B">
        <w:rPr>
          <w:b/>
          <w:iCs/>
          <w:szCs w:val="22"/>
        </w:rPr>
        <w:cr/>
      </w:r>
      <w:r w:rsidR="00034C3A" w:rsidRPr="00BB7A0B">
        <w:rPr>
          <w:iCs/>
          <w:szCs w:val="22"/>
        </w:rPr>
        <w:t xml:space="preserve">Archivo constante de 9 páginas, en las que se aprecia un escrito si número de oficio y sin fecha, suscrito por el Titular de la Unidad de Transparencia, en el que indica rendir el informe justificado correspondiente, </w:t>
      </w:r>
      <w:r w:rsidR="00244A0A" w:rsidRPr="00BB7A0B">
        <w:rPr>
          <w:iCs/>
          <w:szCs w:val="22"/>
        </w:rPr>
        <w:t>ratificando en términos generales la respuesta proporcionada y realizando</w:t>
      </w:r>
      <w:r w:rsidR="00034C3A" w:rsidRPr="00BB7A0B">
        <w:rPr>
          <w:iCs/>
          <w:szCs w:val="22"/>
        </w:rPr>
        <w:t xml:space="preserve"> de manera medular </w:t>
      </w:r>
      <w:r w:rsidR="00244A0A" w:rsidRPr="00BB7A0B">
        <w:rPr>
          <w:iCs/>
          <w:szCs w:val="22"/>
        </w:rPr>
        <w:t>la precisión</w:t>
      </w:r>
      <w:r w:rsidR="00034C3A" w:rsidRPr="00BB7A0B">
        <w:rPr>
          <w:iCs/>
          <w:szCs w:val="22"/>
        </w:rPr>
        <w:t xml:space="preserve"> siguiente:</w:t>
      </w:r>
    </w:p>
    <w:p w14:paraId="6FE1B11F" w14:textId="77777777" w:rsidR="00034C3A" w:rsidRPr="00BB7A0B" w:rsidRDefault="00034C3A" w:rsidP="00BB7A0B">
      <w:pPr>
        <w:pStyle w:val="Prrafodelista"/>
        <w:rPr>
          <w:b/>
          <w:iCs/>
          <w:szCs w:val="22"/>
        </w:rPr>
      </w:pPr>
    </w:p>
    <w:p w14:paraId="30F987F6" w14:textId="04B6A3C8" w:rsidR="00034C3A" w:rsidRPr="00BB7A0B" w:rsidRDefault="00244A0A" w:rsidP="00BB7A0B">
      <w:pPr>
        <w:pStyle w:val="Puesto"/>
        <w:rPr>
          <w:b/>
        </w:rPr>
      </w:pPr>
      <w:r w:rsidRPr="00BB7A0B">
        <w:rPr>
          <w:b/>
        </w:rPr>
        <w:t>“</w:t>
      </w:r>
      <w:r w:rsidRPr="00BB7A0B">
        <w:t xml:space="preserve">Por lo anteriormente citado esta Organización Sindical sin ánimo de violentar su derecho de máxima publicidad omitió mencionar que </w:t>
      </w:r>
      <w:r w:rsidRPr="00BB7A0B">
        <w:rPr>
          <w:b/>
        </w:rPr>
        <w:t>No se hace entrega de los Convenios de Prestaciones de Ley y Colaterales del Sistema Municipal para el Desarrollo Integral de la Familia de Cuautitlán Izcalli por sus siglas (DIF de Cuautitlán Izcalli), dado que no se firma Convenio al no haber servidores públicos sindicalizados en dicho organismo, por lo que únicamente el S.U.T.E.Y.M firma convenio con el H. ayuntamiento y el Organismo Público Descentralizado para la Prestación de los Servicios de Agua Potable, Alcantarillado y Saneamiento de Cuautitlán Izcalli denominado (</w:t>
      </w:r>
      <w:r w:rsidRPr="00BB7A0B">
        <w:rPr>
          <w:b/>
        </w:rPr>
        <w:tab/>
        <w:t xml:space="preserve">OPERAGUA IZCALLI u O.P.D.N) donde si hay servidores públicos agremiados a esta Organización Sindical, </w:t>
      </w:r>
      <w:r w:rsidRPr="00BB7A0B">
        <w:t>por tal motivo al no haber servidores públicos sindicalizados del DIF Cuautitlán Izcalli, es decir que</w:t>
      </w:r>
      <w:r w:rsidR="00404512" w:rsidRPr="00BB7A0B">
        <w:t xml:space="preserve"> se les descuente cuota sindical, no se firma Convenio de Prestaciones, por lo que este Sujeto Obligado no está en condiciones de entregar dichos Convenios.</w:t>
      </w:r>
      <w:r w:rsidRPr="00BB7A0B">
        <w:rPr>
          <w:b/>
        </w:rPr>
        <w:t xml:space="preserve"> </w:t>
      </w:r>
    </w:p>
    <w:p w14:paraId="34A8CE0C" w14:textId="77777777" w:rsidR="00A50ECC" w:rsidRPr="00BB7A0B" w:rsidRDefault="00A50ECC" w:rsidP="00BB7A0B">
      <w:pPr>
        <w:pStyle w:val="Prrafodelista"/>
        <w:rPr>
          <w:b/>
          <w:iCs/>
          <w:szCs w:val="22"/>
        </w:rPr>
      </w:pPr>
    </w:p>
    <w:p w14:paraId="028B75F3" w14:textId="3DD85A6C" w:rsidR="00A50ECC" w:rsidRPr="00BB7A0B" w:rsidRDefault="00A50ECC" w:rsidP="00BB7A0B">
      <w:pPr>
        <w:pStyle w:val="Prrafodelista"/>
        <w:numPr>
          <w:ilvl w:val="0"/>
          <w:numId w:val="12"/>
        </w:numPr>
        <w:rPr>
          <w:iCs/>
          <w:szCs w:val="22"/>
        </w:rPr>
      </w:pPr>
      <w:r w:rsidRPr="00BB7A0B">
        <w:rPr>
          <w:b/>
          <w:iCs/>
          <w:szCs w:val="22"/>
        </w:rPr>
        <w:t>CONVENIOS CUAUTITLAN IZCALLI.zip</w:t>
      </w:r>
      <w:r w:rsidRPr="00BB7A0B">
        <w:rPr>
          <w:b/>
          <w:iCs/>
          <w:szCs w:val="22"/>
        </w:rPr>
        <w:cr/>
      </w:r>
      <w:r w:rsidR="00404512" w:rsidRPr="00BB7A0B">
        <w:rPr>
          <w:iCs/>
          <w:szCs w:val="22"/>
        </w:rPr>
        <w:t xml:space="preserve">Carpeta en </w:t>
      </w:r>
      <w:r w:rsidR="00726CBC" w:rsidRPr="00BB7A0B">
        <w:rPr>
          <w:iCs/>
          <w:szCs w:val="22"/>
        </w:rPr>
        <w:t xml:space="preserve">formato </w:t>
      </w:r>
      <w:proofErr w:type="spellStart"/>
      <w:r w:rsidR="00726CBC" w:rsidRPr="00BB7A0B">
        <w:rPr>
          <w:iCs/>
          <w:szCs w:val="22"/>
        </w:rPr>
        <w:t>zip</w:t>
      </w:r>
      <w:proofErr w:type="spellEnd"/>
      <w:r w:rsidR="00726CBC" w:rsidRPr="00BB7A0B">
        <w:rPr>
          <w:iCs/>
          <w:szCs w:val="22"/>
        </w:rPr>
        <w:t xml:space="preserve"> en la que se aprecia el nombre de CONVENIOS CUAUTITLAN </w:t>
      </w:r>
      <w:r w:rsidR="00726CBC" w:rsidRPr="00BB7A0B">
        <w:rPr>
          <w:iCs/>
          <w:szCs w:val="22"/>
        </w:rPr>
        <w:lastRenderedPageBreak/>
        <w:t xml:space="preserve">IZCALLI, en la que se contienen en </w:t>
      </w:r>
      <w:proofErr w:type="spellStart"/>
      <w:r w:rsidR="00726CBC" w:rsidRPr="00BB7A0B">
        <w:rPr>
          <w:iCs/>
          <w:szCs w:val="22"/>
        </w:rPr>
        <w:t>pdf</w:t>
      </w:r>
      <w:proofErr w:type="spellEnd"/>
      <w:r w:rsidR="00726CBC" w:rsidRPr="00BB7A0B">
        <w:rPr>
          <w:iCs/>
          <w:szCs w:val="22"/>
        </w:rPr>
        <w:t xml:space="preserve"> los convenios proporcionados en respuesta por </w:t>
      </w:r>
      <w:r w:rsidR="00726CBC" w:rsidRPr="00BB7A0B">
        <w:rPr>
          <w:b/>
          <w:iCs/>
          <w:szCs w:val="22"/>
        </w:rPr>
        <w:t>EL SUJETO OBLIGADO</w:t>
      </w:r>
      <w:r w:rsidR="00726CBC" w:rsidRPr="00BB7A0B">
        <w:rPr>
          <w:iCs/>
          <w:szCs w:val="22"/>
        </w:rPr>
        <w:t>, previamente descrito</w:t>
      </w:r>
      <w:r w:rsidR="00404512" w:rsidRPr="00BB7A0B">
        <w:rPr>
          <w:iCs/>
          <w:szCs w:val="22"/>
        </w:rPr>
        <w:t>.</w:t>
      </w:r>
    </w:p>
    <w:p w14:paraId="7B341384" w14:textId="77777777" w:rsidR="00404512" w:rsidRPr="00BB7A0B" w:rsidRDefault="00404512" w:rsidP="00BB7A0B">
      <w:pPr>
        <w:pStyle w:val="Prrafodelista"/>
        <w:rPr>
          <w:b/>
          <w:iCs/>
          <w:szCs w:val="22"/>
        </w:rPr>
      </w:pPr>
    </w:p>
    <w:p w14:paraId="5A5BBDAC" w14:textId="5C8BD340" w:rsidR="00404512" w:rsidRPr="00BB7A0B" w:rsidRDefault="00404512" w:rsidP="00BB7A0B">
      <w:pPr>
        <w:pStyle w:val="Prrafodelista"/>
        <w:numPr>
          <w:ilvl w:val="0"/>
          <w:numId w:val="12"/>
        </w:numPr>
        <w:rPr>
          <w:b/>
          <w:iCs/>
          <w:szCs w:val="22"/>
        </w:rPr>
      </w:pPr>
      <w:r w:rsidRPr="00BB7A0B">
        <w:rPr>
          <w:b/>
          <w:iCs/>
          <w:szCs w:val="22"/>
        </w:rPr>
        <w:t>SOLICITUD 16.pdf</w:t>
      </w:r>
      <w:r w:rsidRPr="00BB7A0B">
        <w:rPr>
          <w:b/>
          <w:iCs/>
          <w:szCs w:val="22"/>
        </w:rPr>
        <w:cr/>
      </w:r>
      <w:r w:rsidRPr="00BB7A0B">
        <w:rPr>
          <w:iCs/>
          <w:szCs w:val="22"/>
        </w:rPr>
        <w:t>Archivo constante de 2 páginas, en las que se aprecia el acuse de la solicitud materia del medio de impugnación en estudio.</w:t>
      </w:r>
    </w:p>
    <w:p w14:paraId="3718FC56" w14:textId="77777777" w:rsidR="00404512" w:rsidRPr="00BB7A0B" w:rsidRDefault="00404512" w:rsidP="00BB7A0B">
      <w:pPr>
        <w:pStyle w:val="Prrafodelista"/>
        <w:rPr>
          <w:b/>
          <w:iCs/>
          <w:szCs w:val="22"/>
        </w:rPr>
      </w:pPr>
    </w:p>
    <w:p w14:paraId="162EBB74" w14:textId="57336F11" w:rsidR="00A50ECC" w:rsidRPr="00BB7A0B" w:rsidRDefault="00A50ECC" w:rsidP="00BB7A0B">
      <w:pPr>
        <w:rPr>
          <w:szCs w:val="22"/>
        </w:rPr>
      </w:pPr>
      <w:r w:rsidRPr="00BB7A0B">
        <w:rPr>
          <w:szCs w:val="22"/>
        </w:rPr>
        <w:t xml:space="preserve">Esta información fue puesta a la vista de </w:t>
      </w:r>
      <w:r w:rsidRPr="00BB7A0B">
        <w:rPr>
          <w:b/>
          <w:szCs w:val="22"/>
        </w:rPr>
        <w:t xml:space="preserve">LA PARTE RECURRENTE </w:t>
      </w:r>
      <w:r w:rsidRPr="00BB7A0B">
        <w:rPr>
          <w:szCs w:val="22"/>
        </w:rPr>
        <w:t xml:space="preserve">el </w:t>
      </w:r>
      <w:r w:rsidR="00726CBC" w:rsidRPr="00BB7A0B">
        <w:rPr>
          <w:b/>
          <w:bCs/>
          <w:szCs w:val="22"/>
        </w:rPr>
        <w:t>dieciocho</w:t>
      </w:r>
      <w:r w:rsidRPr="00BB7A0B">
        <w:rPr>
          <w:b/>
          <w:bCs/>
          <w:szCs w:val="22"/>
        </w:rPr>
        <w:t xml:space="preserve"> de febrero </w:t>
      </w:r>
      <w:r w:rsidRPr="00BB7A0B">
        <w:rPr>
          <w:rFonts w:cs="Tahoma"/>
          <w:b/>
          <w:bCs/>
          <w:szCs w:val="22"/>
        </w:rPr>
        <w:t>de dos mil veinticinco,</w:t>
      </w:r>
      <w:r w:rsidRPr="00BB7A0B">
        <w:rPr>
          <w:rFonts w:cs="Tahoma"/>
          <w:szCs w:val="22"/>
        </w:rPr>
        <w:t xml:space="preserve"> </w:t>
      </w:r>
      <w:r w:rsidRPr="00BB7A0B">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317EB1DA" w14:textId="77777777" w:rsidR="009E0245" w:rsidRPr="00BB7A0B" w:rsidRDefault="009E0245" w:rsidP="00BB7A0B">
      <w:pPr>
        <w:rPr>
          <w:szCs w:val="22"/>
          <w:lang w:eastAsia="es-MX"/>
        </w:rPr>
      </w:pPr>
    </w:p>
    <w:p w14:paraId="755B7730" w14:textId="2A0EB956" w:rsidR="00664420" w:rsidRPr="00BB7A0B" w:rsidRDefault="00E810F7" w:rsidP="00BB7A0B">
      <w:pPr>
        <w:pStyle w:val="Ttulo3"/>
        <w:rPr>
          <w:szCs w:val="22"/>
          <w:lang w:val="es-ES"/>
        </w:rPr>
      </w:pPr>
      <w:bookmarkStart w:id="16" w:name="_Toc190776994"/>
      <w:r w:rsidRPr="00BB7A0B">
        <w:rPr>
          <w:rFonts w:eastAsia="Calibri"/>
          <w:bCs/>
          <w:szCs w:val="22"/>
          <w:lang w:eastAsia="en-US"/>
        </w:rPr>
        <w:t>e</w:t>
      </w:r>
      <w:r w:rsidR="00664420" w:rsidRPr="00BB7A0B">
        <w:rPr>
          <w:rFonts w:eastAsia="Calibri"/>
          <w:bCs/>
          <w:szCs w:val="22"/>
          <w:lang w:eastAsia="en-US"/>
        </w:rPr>
        <w:t>)</w:t>
      </w:r>
      <w:r w:rsidR="00664420" w:rsidRPr="00BB7A0B">
        <w:rPr>
          <w:szCs w:val="22"/>
        </w:rPr>
        <w:t xml:space="preserve"> </w:t>
      </w:r>
      <w:r w:rsidR="00865CF4" w:rsidRPr="00BB7A0B">
        <w:rPr>
          <w:szCs w:val="22"/>
          <w:lang w:val="es-ES"/>
        </w:rPr>
        <w:t>Manifestaciones de la Parte Recurrente</w:t>
      </w:r>
      <w:bookmarkEnd w:id="16"/>
    </w:p>
    <w:p w14:paraId="16840FF2" w14:textId="77777777" w:rsidR="002A1C04" w:rsidRPr="00BB7A0B" w:rsidRDefault="002A1C04" w:rsidP="00BB7A0B">
      <w:pPr>
        <w:rPr>
          <w:sz w:val="24"/>
          <w:szCs w:val="24"/>
        </w:rPr>
      </w:pPr>
      <w:r w:rsidRPr="00BB7A0B">
        <w:rPr>
          <w:b/>
          <w:sz w:val="24"/>
          <w:szCs w:val="24"/>
        </w:rPr>
        <w:t xml:space="preserve">LA PARTE RECURRENTE </w:t>
      </w:r>
      <w:r w:rsidRPr="00BB7A0B">
        <w:rPr>
          <w:sz w:val="24"/>
          <w:szCs w:val="24"/>
        </w:rPr>
        <w:t>no realizó manifestación alguna dentro del término legalmente concedido para tal efecto, ni presentó pruebas o alegatos.</w:t>
      </w:r>
    </w:p>
    <w:p w14:paraId="0AB915E0" w14:textId="586BF186" w:rsidR="00430A6E" w:rsidRPr="00BB7A0B" w:rsidRDefault="00430A6E" w:rsidP="00BB7A0B">
      <w:pPr>
        <w:pStyle w:val="Puesto"/>
        <w:ind w:left="0"/>
        <w:rPr>
          <w:szCs w:val="22"/>
        </w:rPr>
      </w:pPr>
    </w:p>
    <w:p w14:paraId="0E651988" w14:textId="179A1BFC" w:rsidR="00664420" w:rsidRPr="00BB7A0B" w:rsidRDefault="001A0A72" w:rsidP="00BB7A0B">
      <w:pPr>
        <w:pStyle w:val="Ttulo3"/>
        <w:rPr>
          <w:szCs w:val="22"/>
        </w:rPr>
      </w:pPr>
      <w:bookmarkStart w:id="17" w:name="_Toc190776995"/>
      <w:r w:rsidRPr="00BB7A0B">
        <w:rPr>
          <w:rFonts w:eastAsia="Calibri"/>
          <w:szCs w:val="22"/>
        </w:rPr>
        <w:t>f</w:t>
      </w:r>
      <w:r w:rsidR="00664420" w:rsidRPr="00BB7A0B">
        <w:rPr>
          <w:rFonts w:eastAsia="Calibri"/>
          <w:szCs w:val="22"/>
        </w:rPr>
        <w:t xml:space="preserve">) </w:t>
      </w:r>
      <w:r w:rsidR="00664420" w:rsidRPr="00BB7A0B">
        <w:rPr>
          <w:szCs w:val="22"/>
        </w:rPr>
        <w:t>Cierre de instrucción</w:t>
      </w:r>
      <w:bookmarkEnd w:id="17"/>
    </w:p>
    <w:p w14:paraId="79AF95DC" w14:textId="3C3DEEB7" w:rsidR="00664420" w:rsidRPr="00BB7A0B" w:rsidRDefault="00BF091A" w:rsidP="00BB7A0B">
      <w:pPr>
        <w:rPr>
          <w:rFonts w:cs="Tahoma"/>
          <w:szCs w:val="22"/>
        </w:rPr>
      </w:pPr>
      <w:r w:rsidRPr="00BB7A0B">
        <w:rPr>
          <w:rFonts w:cs="Tahoma"/>
          <w:szCs w:val="22"/>
        </w:rPr>
        <w:t>Al no existir diligencias pendientes por desahogar</w:t>
      </w:r>
      <w:r w:rsidRPr="00BB7A0B">
        <w:rPr>
          <w:rFonts w:cs="Arial"/>
          <w:szCs w:val="22"/>
        </w:rPr>
        <w:t xml:space="preserve">, el </w:t>
      </w:r>
      <w:r w:rsidR="00EF0B80" w:rsidRPr="00BB7A0B">
        <w:rPr>
          <w:rFonts w:cs="Tahoma"/>
          <w:b/>
          <w:bCs/>
          <w:szCs w:val="22"/>
        </w:rPr>
        <w:t>veinticinco</w:t>
      </w:r>
      <w:r w:rsidR="00F11D4E" w:rsidRPr="00BB7A0B">
        <w:rPr>
          <w:rFonts w:cs="Tahoma"/>
          <w:b/>
          <w:bCs/>
          <w:szCs w:val="22"/>
        </w:rPr>
        <w:t xml:space="preserve"> </w:t>
      </w:r>
      <w:r w:rsidR="00281E89" w:rsidRPr="00BB7A0B">
        <w:rPr>
          <w:rFonts w:cs="Tahoma"/>
          <w:b/>
          <w:bCs/>
          <w:szCs w:val="22"/>
        </w:rPr>
        <w:t>de febrero de dos mil veinticinco</w:t>
      </w:r>
      <w:r w:rsidR="00003628" w:rsidRPr="00BB7A0B">
        <w:rPr>
          <w:rFonts w:cs="Tahoma"/>
          <w:b/>
          <w:bCs/>
          <w:szCs w:val="22"/>
        </w:rPr>
        <w:t>,</w:t>
      </w:r>
      <w:r w:rsidR="00E810F7" w:rsidRPr="00BB7A0B">
        <w:rPr>
          <w:rFonts w:cs="Tahoma"/>
          <w:szCs w:val="22"/>
        </w:rPr>
        <w:t xml:space="preserve"> </w:t>
      </w:r>
      <w:r w:rsidRPr="00BB7A0B">
        <w:rPr>
          <w:rFonts w:cs="Arial"/>
          <w:szCs w:val="22"/>
        </w:rPr>
        <w:t xml:space="preserve">la </w:t>
      </w:r>
      <w:r w:rsidRPr="00BB7A0B">
        <w:rPr>
          <w:rFonts w:cs="Arial"/>
          <w:b/>
          <w:bCs/>
          <w:szCs w:val="22"/>
        </w:rPr>
        <w:t xml:space="preserve">Comisionada </w:t>
      </w:r>
      <w:r w:rsidRPr="00BB7A0B">
        <w:rPr>
          <w:b/>
          <w:szCs w:val="22"/>
        </w:rPr>
        <w:t xml:space="preserve">Sharon Cristina Morales Martínez </w:t>
      </w:r>
      <w:r w:rsidRPr="00BB7A0B">
        <w:rPr>
          <w:rFonts w:cs="Arial"/>
          <w:szCs w:val="22"/>
        </w:rPr>
        <w:t>acordó el cierre de instrucción</w:t>
      </w:r>
      <w:r w:rsidR="0011350D" w:rsidRPr="00BB7A0B">
        <w:rPr>
          <w:rFonts w:cs="Arial"/>
          <w:szCs w:val="22"/>
        </w:rPr>
        <w:t xml:space="preserve"> y</w:t>
      </w:r>
      <w:r w:rsidRPr="00BB7A0B">
        <w:rPr>
          <w:rFonts w:cs="Arial"/>
          <w:szCs w:val="22"/>
        </w:rPr>
        <w:t xml:space="preserve"> </w:t>
      </w:r>
      <w:r w:rsidR="0011350D" w:rsidRPr="00BB7A0B">
        <w:rPr>
          <w:rFonts w:cs="Arial"/>
          <w:szCs w:val="22"/>
        </w:rPr>
        <w:t xml:space="preserve">la </w:t>
      </w:r>
      <w:r w:rsidRPr="00BB7A0B">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BB7A0B">
        <w:rPr>
          <w:szCs w:val="22"/>
        </w:rPr>
        <w:t>.</w:t>
      </w:r>
      <w:r w:rsidR="0011350D" w:rsidRPr="00BB7A0B">
        <w:rPr>
          <w:szCs w:val="22"/>
        </w:rPr>
        <w:t xml:space="preserve"> Dicho acuerdo </w:t>
      </w:r>
      <w:r w:rsidR="00664420" w:rsidRPr="00BB7A0B">
        <w:rPr>
          <w:rFonts w:cs="Tahoma"/>
          <w:szCs w:val="22"/>
        </w:rPr>
        <w:t xml:space="preserve">fue notificado a las partes el mismo día a través del </w:t>
      </w:r>
      <w:r w:rsidR="00664420" w:rsidRPr="00BB7A0B">
        <w:rPr>
          <w:rFonts w:cs="Tahoma"/>
          <w:szCs w:val="22"/>
          <w:lang w:val="es-ES"/>
        </w:rPr>
        <w:t>SAIMEX</w:t>
      </w:r>
      <w:r w:rsidR="00664420" w:rsidRPr="00BB7A0B">
        <w:rPr>
          <w:rFonts w:cs="Tahoma"/>
          <w:szCs w:val="22"/>
        </w:rPr>
        <w:t>.</w:t>
      </w:r>
    </w:p>
    <w:p w14:paraId="7A9629DE" w14:textId="77777777" w:rsidR="00664420" w:rsidRPr="00BB7A0B" w:rsidRDefault="00664420" w:rsidP="00BB7A0B">
      <w:pPr>
        <w:pStyle w:val="Ttulo1"/>
        <w:rPr>
          <w:rFonts w:eastAsiaTheme="minorHAnsi"/>
          <w:szCs w:val="22"/>
          <w:lang w:eastAsia="en-US"/>
        </w:rPr>
      </w:pPr>
      <w:bookmarkStart w:id="18" w:name="_Toc190776996"/>
      <w:r w:rsidRPr="00BB7A0B">
        <w:rPr>
          <w:rFonts w:eastAsiaTheme="minorHAnsi"/>
          <w:szCs w:val="22"/>
          <w:lang w:eastAsia="en-US"/>
        </w:rPr>
        <w:lastRenderedPageBreak/>
        <w:t>CONSIDERANDOS</w:t>
      </w:r>
      <w:bookmarkEnd w:id="18"/>
    </w:p>
    <w:p w14:paraId="6DD1243B" w14:textId="77777777" w:rsidR="00664420" w:rsidRPr="00BB7A0B" w:rsidRDefault="00664420" w:rsidP="00BB7A0B">
      <w:pPr>
        <w:contextualSpacing/>
        <w:jc w:val="center"/>
        <w:rPr>
          <w:rFonts w:eastAsiaTheme="minorHAnsi" w:cs="Tahoma"/>
          <w:b/>
          <w:szCs w:val="22"/>
          <w:lang w:eastAsia="en-US"/>
        </w:rPr>
      </w:pPr>
    </w:p>
    <w:p w14:paraId="0B67CB92" w14:textId="2E307D3B" w:rsidR="00664420" w:rsidRPr="00BB7A0B" w:rsidRDefault="00664420" w:rsidP="00BB7A0B">
      <w:pPr>
        <w:pStyle w:val="Ttulo2"/>
        <w:rPr>
          <w:rFonts w:eastAsia="Batang"/>
          <w:szCs w:val="22"/>
        </w:rPr>
      </w:pPr>
      <w:bookmarkStart w:id="19" w:name="_Toc190776997"/>
      <w:r w:rsidRPr="00BB7A0B">
        <w:rPr>
          <w:rFonts w:eastAsia="Batang"/>
          <w:szCs w:val="22"/>
        </w:rPr>
        <w:t xml:space="preserve">PRIMERO. </w:t>
      </w:r>
      <w:proofErr w:type="spellStart"/>
      <w:r w:rsidR="00BA55A8" w:rsidRPr="00BB7A0B">
        <w:rPr>
          <w:rFonts w:eastAsia="Batang"/>
          <w:szCs w:val="22"/>
        </w:rPr>
        <w:t>Procedibilidad</w:t>
      </w:r>
      <w:bookmarkEnd w:id="19"/>
      <w:proofErr w:type="spellEnd"/>
    </w:p>
    <w:p w14:paraId="39C52BC1" w14:textId="56FCC20D" w:rsidR="00BA55A8" w:rsidRPr="00BB7A0B" w:rsidRDefault="00BA55A8" w:rsidP="00BB7A0B">
      <w:pPr>
        <w:pStyle w:val="Ttulo3"/>
        <w:rPr>
          <w:szCs w:val="22"/>
        </w:rPr>
      </w:pPr>
      <w:bookmarkStart w:id="20" w:name="_Toc190776998"/>
      <w:r w:rsidRPr="00BB7A0B">
        <w:rPr>
          <w:szCs w:val="22"/>
        </w:rPr>
        <w:t>a) Competencia</w:t>
      </w:r>
      <w:r w:rsidR="00150C49" w:rsidRPr="00BB7A0B">
        <w:rPr>
          <w:szCs w:val="22"/>
        </w:rPr>
        <w:t xml:space="preserve"> del Instituto</w:t>
      </w:r>
      <w:bookmarkEnd w:id="20"/>
    </w:p>
    <w:p w14:paraId="56E64942" w14:textId="664E5C7F" w:rsidR="0011350D" w:rsidRPr="00BB7A0B" w:rsidRDefault="0011350D" w:rsidP="00BB7A0B">
      <w:pPr>
        <w:rPr>
          <w:rFonts w:cs="Arial"/>
          <w:szCs w:val="22"/>
        </w:rPr>
      </w:pPr>
      <w:r w:rsidRPr="00BB7A0B">
        <w:rPr>
          <w:szCs w:val="22"/>
        </w:rPr>
        <w:t xml:space="preserve">Este </w:t>
      </w:r>
      <w:r w:rsidR="00494A44" w:rsidRPr="00BB7A0B">
        <w:rPr>
          <w:szCs w:val="22"/>
        </w:rPr>
        <w:t>Instituto de Transparencia, Acceso a la Información Pública y Protección de Datos Personales del Estado de México y Municipios,</w:t>
      </w:r>
      <w:r w:rsidRPr="00BB7A0B">
        <w:rPr>
          <w:szCs w:val="22"/>
        </w:rPr>
        <w:t xml:space="preserve"> es competente para conocer y resolver </w:t>
      </w:r>
      <w:r w:rsidR="005F65B7" w:rsidRPr="00BB7A0B">
        <w:rPr>
          <w:szCs w:val="22"/>
        </w:rPr>
        <w:t xml:space="preserve">el </w:t>
      </w:r>
      <w:r w:rsidRPr="00BB7A0B">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B7A0B">
        <w:rPr>
          <w:rFonts w:cs="Arial"/>
          <w:szCs w:val="22"/>
        </w:rPr>
        <w:t xml:space="preserve">; y 9, fracciones I y XXIII y 11 del Reglamento Interior </w:t>
      </w:r>
      <w:r w:rsidR="009E5FD4" w:rsidRPr="00BB7A0B">
        <w:rPr>
          <w:szCs w:val="22"/>
        </w:rPr>
        <w:t>del Instituto de Transparencia, Acceso a la Información Pública y Protección de Datos Personales del Estado de México y Municipios.</w:t>
      </w:r>
    </w:p>
    <w:p w14:paraId="6C36A399" w14:textId="77777777" w:rsidR="00DB1C09" w:rsidRPr="00BB7A0B" w:rsidRDefault="00DB1C09" w:rsidP="00BB7A0B">
      <w:pPr>
        <w:rPr>
          <w:rFonts w:cs="Arial"/>
          <w:szCs w:val="22"/>
        </w:rPr>
      </w:pPr>
    </w:p>
    <w:p w14:paraId="517A2DD6" w14:textId="4169BE4D" w:rsidR="00664420" w:rsidRPr="00BB7A0B" w:rsidRDefault="00BA55A8" w:rsidP="00BB7A0B">
      <w:pPr>
        <w:pStyle w:val="Ttulo3"/>
        <w:rPr>
          <w:szCs w:val="22"/>
        </w:rPr>
      </w:pPr>
      <w:bookmarkStart w:id="21" w:name="_Toc190776999"/>
      <w:r w:rsidRPr="00BB7A0B">
        <w:rPr>
          <w:szCs w:val="22"/>
        </w:rPr>
        <w:t>b)</w:t>
      </w:r>
      <w:r w:rsidR="00664420" w:rsidRPr="00BB7A0B">
        <w:rPr>
          <w:szCs w:val="22"/>
        </w:rPr>
        <w:t xml:space="preserve"> </w:t>
      </w:r>
      <w:r w:rsidR="00D91CB4" w:rsidRPr="00BB7A0B">
        <w:rPr>
          <w:szCs w:val="22"/>
        </w:rPr>
        <w:t>Legitimidad</w:t>
      </w:r>
      <w:r w:rsidRPr="00BB7A0B">
        <w:rPr>
          <w:szCs w:val="22"/>
        </w:rPr>
        <w:t xml:space="preserve"> de la parte recurrente</w:t>
      </w:r>
      <w:bookmarkEnd w:id="21"/>
    </w:p>
    <w:p w14:paraId="26FEA382" w14:textId="0B06695C" w:rsidR="00D91CB4" w:rsidRPr="00BB7A0B" w:rsidRDefault="00D91CB4" w:rsidP="00BB7A0B">
      <w:pPr>
        <w:rPr>
          <w:rFonts w:eastAsia="Calibri" w:cs="Arial"/>
          <w:szCs w:val="22"/>
          <w:lang w:eastAsia="en-US"/>
        </w:rPr>
      </w:pPr>
      <w:r w:rsidRPr="00BB7A0B">
        <w:rPr>
          <w:rFonts w:cs="Arial"/>
          <w:bCs/>
          <w:szCs w:val="22"/>
        </w:rPr>
        <w:t>El recurso de revisión fue interpuesto por parte legítima, ya que se presentó por la misma persona que formuló la solicitud de acceso a la Información Pública,</w:t>
      </w:r>
      <w:r w:rsidRPr="00BB7A0B">
        <w:rPr>
          <w:rFonts w:cs="Arial"/>
          <w:b/>
          <w:bCs/>
          <w:szCs w:val="22"/>
        </w:rPr>
        <w:t xml:space="preserve"> </w:t>
      </w:r>
      <w:r w:rsidRPr="00BB7A0B">
        <w:rPr>
          <w:rFonts w:cs="Arial"/>
          <w:szCs w:val="22"/>
        </w:rPr>
        <w:t>debido a que los datos de acceso</w:t>
      </w:r>
      <w:r w:rsidRPr="00BB7A0B">
        <w:rPr>
          <w:rFonts w:cs="Arial"/>
          <w:b/>
          <w:bCs/>
          <w:szCs w:val="22"/>
        </w:rPr>
        <w:t xml:space="preserve"> </w:t>
      </w:r>
      <w:r w:rsidRPr="00BB7A0B">
        <w:rPr>
          <w:rFonts w:cs="Arial"/>
          <w:szCs w:val="22"/>
        </w:rPr>
        <w:t>SAIMEX</w:t>
      </w:r>
      <w:r w:rsidRPr="00BB7A0B">
        <w:rPr>
          <w:rFonts w:eastAsia="Calibri" w:cs="Arial"/>
          <w:szCs w:val="22"/>
          <w:lang w:eastAsia="en-US"/>
        </w:rPr>
        <w:t xml:space="preserve"> son personales e irrepetibles.</w:t>
      </w:r>
    </w:p>
    <w:p w14:paraId="781F9418" w14:textId="77777777" w:rsidR="00987BB6" w:rsidRPr="00BB7A0B" w:rsidRDefault="00987BB6" w:rsidP="00BB7A0B">
      <w:pPr>
        <w:rPr>
          <w:rFonts w:cs="Arial"/>
          <w:bCs/>
          <w:szCs w:val="22"/>
        </w:rPr>
      </w:pPr>
    </w:p>
    <w:p w14:paraId="496490FC" w14:textId="1A5F3FDB" w:rsidR="00D91CB4" w:rsidRPr="00BB7A0B" w:rsidRDefault="00BA55A8" w:rsidP="00BB7A0B">
      <w:pPr>
        <w:pStyle w:val="Ttulo3"/>
        <w:rPr>
          <w:rFonts w:eastAsia="Calibri"/>
          <w:szCs w:val="22"/>
          <w:lang w:eastAsia="es-ES_tradnl"/>
        </w:rPr>
      </w:pPr>
      <w:bookmarkStart w:id="22" w:name="_Toc190777000"/>
      <w:r w:rsidRPr="00BB7A0B">
        <w:rPr>
          <w:rFonts w:eastAsia="Calibri"/>
          <w:szCs w:val="22"/>
          <w:lang w:eastAsia="es-ES_tradnl"/>
        </w:rPr>
        <w:lastRenderedPageBreak/>
        <w:t>c)</w:t>
      </w:r>
      <w:r w:rsidR="00664420" w:rsidRPr="00BB7A0B">
        <w:rPr>
          <w:rFonts w:eastAsia="Calibri"/>
          <w:szCs w:val="22"/>
          <w:lang w:eastAsia="es-ES_tradnl"/>
        </w:rPr>
        <w:t xml:space="preserve"> </w:t>
      </w:r>
      <w:r w:rsidR="00D91CB4" w:rsidRPr="00BB7A0B">
        <w:rPr>
          <w:rFonts w:eastAsia="Calibri"/>
          <w:szCs w:val="22"/>
          <w:lang w:eastAsia="es-ES_tradnl"/>
        </w:rPr>
        <w:t>Plazo para interponer el recurso</w:t>
      </w:r>
      <w:bookmarkEnd w:id="22"/>
    </w:p>
    <w:p w14:paraId="106D37EE" w14:textId="66584836" w:rsidR="00D91CB4" w:rsidRPr="00BB7A0B" w:rsidRDefault="00D91CB4" w:rsidP="00BB7A0B">
      <w:pPr>
        <w:rPr>
          <w:rFonts w:eastAsiaTheme="minorEastAsia" w:cs="Arial"/>
          <w:szCs w:val="22"/>
          <w:lang w:val="es-ES_tradnl"/>
        </w:rPr>
      </w:pPr>
      <w:r w:rsidRPr="00BB7A0B">
        <w:rPr>
          <w:rFonts w:cs="Arial"/>
          <w:b/>
          <w:szCs w:val="22"/>
        </w:rPr>
        <w:t>EL SUJETO OBLIGADO</w:t>
      </w:r>
      <w:r w:rsidRPr="00BB7A0B">
        <w:rPr>
          <w:rFonts w:cs="Arial"/>
          <w:szCs w:val="22"/>
        </w:rPr>
        <w:t xml:space="preserve"> notificó la respuesta a la solicitud de acceso a la Información Pública el </w:t>
      </w:r>
      <w:r w:rsidR="007452ED" w:rsidRPr="00BB7A0B">
        <w:rPr>
          <w:rFonts w:cs="Tahoma"/>
          <w:b/>
          <w:bCs/>
          <w:szCs w:val="22"/>
        </w:rPr>
        <w:t>veinti</w:t>
      </w:r>
      <w:r w:rsidR="00C205DF" w:rsidRPr="00BB7A0B">
        <w:rPr>
          <w:rFonts w:cs="Tahoma"/>
          <w:b/>
          <w:bCs/>
          <w:szCs w:val="22"/>
        </w:rPr>
        <w:t>nueve</w:t>
      </w:r>
      <w:r w:rsidR="007452ED" w:rsidRPr="00BB7A0B">
        <w:rPr>
          <w:rFonts w:cs="Tahoma"/>
          <w:b/>
          <w:bCs/>
          <w:szCs w:val="22"/>
        </w:rPr>
        <w:t xml:space="preserve"> de enero de dos mil veinticinco,</w:t>
      </w:r>
      <w:r w:rsidR="00DE285A" w:rsidRPr="00BB7A0B">
        <w:rPr>
          <w:rFonts w:cs="Tahoma"/>
          <w:szCs w:val="22"/>
        </w:rPr>
        <w:t xml:space="preserve"> </w:t>
      </w:r>
      <w:r w:rsidR="00A53315" w:rsidRPr="00BB7A0B">
        <w:rPr>
          <w:rFonts w:cs="Arial"/>
          <w:szCs w:val="22"/>
        </w:rPr>
        <w:t xml:space="preserve">y el recurso </w:t>
      </w:r>
      <w:r w:rsidR="00A53315" w:rsidRPr="00BB7A0B">
        <w:rPr>
          <w:rFonts w:eastAsia="Palatino Linotype" w:cs="Palatino Linotype"/>
          <w:szCs w:val="22"/>
        </w:rPr>
        <w:t xml:space="preserve">que nos ocupa se </w:t>
      </w:r>
      <w:r w:rsidR="006A61F1" w:rsidRPr="00BB7A0B">
        <w:rPr>
          <w:rFonts w:eastAsia="Palatino Linotype" w:cs="Palatino Linotype"/>
          <w:szCs w:val="22"/>
        </w:rPr>
        <w:t>tuvo por presentado</w:t>
      </w:r>
      <w:r w:rsidR="00A53315" w:rsidRPr="00BB7A0B">
        <w:rPr>
          <w:rFonts w:eastAsia="Palatino Linotype" w:cs="Palatino Linotype"/>
          <w:szCs w:val="22"/>
        </w:rPr>
        <w:t xml:space="preserve"> el </w:t>
      </w:r>
      <w:r w:rsidR="00C205DF" w:rsidRPr="00BB7A0B">
        <w:rPr>
          <w:rFonts w:cs="Tahoma"/>
          <w:b/>
          <w:bCs/>
          <w:szCs w:val="22"/>
        </w:rPr>
        <w:t>treinta</w:t>
      </w:r>
      <w:r w:rsidR="007452ED" w:rsidRPr="00BB7A0B">
        <w:rPr>
          <w:rFonts w:cs="Tahoma"/>
          <w:b/>
          <w:bCs/>
          <w:szCs w:val="22"/>
        </w:rPr>
        <w:t xml:space="preserve"> </w:t>
      </w:r>
      <w:r w:rsidR="00C45207" w:rsidRPr="00BB7A0B">
        <w:rPr>
          <w:rFonts w:cs="Tahoma"/>
          <w:b/>
          <w:bCs/>
          <w:szCs w:val="22"/>
        </w:rPr>
        <w:t>de enero de dos mil veinticinco</w:t>
      </w:r>
      <w:r w:rsidR="00A53315" w:rsidRPr="00BB7A0B">
        <w:rPr>
          <w:rFonts w:eastAsia="Palatino Linotype" w:cs="Palatino Linotype"/>
          <w:bCs/>
          <w:szCs w:val="22"/>
        </w:rPr>
        <w:t>;</w:t>
      </w:r>
      <w:r w:rsidR="00A53315" w:rsidRPr="00BB7A0B">
        <w:rPr>
          <w:rFonts w:eastAsia="Palatino Linotype" w:cs="Palatino Linotype"/>
          <w:szCs w:val="22"/>
        </w:rPr>
        <w:t xml:space="preserve"> por lo tanto, éste se encuentra dentro del margen temporal previsto en el artículo 178 de la </w:t>
      </w:r>
      <w:r w:rsidR="00A53315" w:rsidRPr="00BB7A0B">
        <w:rPr>
          <w:rFonts w:cs="Arial"/>
          <w:szCs w:val="22"/>
        </w:rPr>
        <w:t>Ley de Transparencia y Acceso a la Información Pública del Estado de México y Municipios</w:t>
      </w:r>
      <w:r w:rsidR="007328F2" w:rsidRPr="00BB7A0B">
        <w:rPr>
          <w:rFonts w:cs="Arial"/>
          <w:szCs w:val="22"/>
        </w:rPr>
        <w:t>.</w:t>
      </w:r>
    </w:p>
    <w:p w14:paraId="49076992" w14:textId="77777777" w:rsidR="00D91CB4" w:rsidRPr="00BB7A0B" w:rsidRDefault="00D91CB4" w:rsidP="00BB7A0B">
      <w:pPr>
        <w:rPr>
          <w:rFonts w:eastAsia="Palatino Linotype" w:cs="Palatino Linotype"/>
          <w:szCs w:val="22"/>
        </w:rPr>
      </w:pPr>
    </w:p>
    <w:p w14:paraId="46C0EB3A" w14:textId="28FD0C2E" w:rsidR="00A53315" w:rsidRPr="00BB7A0B" w:rsidRDefault="00BA55A8" w:rsidP="00BB7A0B">
      <w:pPr>
        <w:pStyle w:val="Ttulo3"/>
        <w:rPr>
          <w:rFonts w:eastAsia="Calibri"/>
          <w:szCs w:val="22"/>
          <w:lang w:eastAsia="es-ES_tradnl"/>
        </w:rPr>
      </w:pPr>
      <w:bookmarkStart w:id="23" w:name="_Toc190777001"/>
      <w:r w:rsidRPr="00BB7A0B">
        <w:rPr>
          <w:rFonts w:eastAsia="Calibri"/>
          <w:szCs w:val="22"/>
          <w:lang w:eastAsia="es-ES_tradnl"/>
        </w:rPr>
        <w:t>d)</w:t>
      </w:r>
      <w:r w:rsidR="00D91CB4" w:rsidRPr="00BB7A0B">
        <w:rPr>
          <w:rFonts w:eastAsia="Calibri"/>
          <w:szCs w:val="22"/>
          <w:lang w:eastAsia="es-ES_tradnl"/>
        </w:rPr>
        <w:t xml:space="preserve"> </w:t>
      </w:r>
      <w:r w:rsidR="00E325AD" w:rsidRPr="00BB7A0B">
        <w:rPr>
          <w:rFonts w:eastAsia="Calibri"/>
          <w:szCs w:val="22"/>
          <w:lang w:eastAsia="es-ES_tradnl"/>
        </w:rPr>
        <w:t>Causal de Procedencia</w:t>
      </w:r>
      <w:bookmarkEnd w:id="23"/>
    </w:p>
    <w:p w14:paraId="190404A6" w14:textId="414262A3" w:rsidR="00BA55A8" w:rsidRPr="00BB7A0B" w:rsidRDefault="00BA55A8" w:rsidP="00BB7A0B">
      <w:pPr>
        <w:rPr>
          <w:szCs w:val="22"/>
        </w:rPr>
      </w:pPr>
      <w:r w:rsidRPr="00BB7A0B">
        <w:rPr>
          <w:rFonts w:cs="Arial"/>
          <w:szCs w:val="22"/>
        </w:rPr>
        <w:t xml:space="preserve">Resulta procedente la interposición del recurso de revisión, ya que </w:t>
      </w:r>
      <w:r w:rsidRPr="00BB7A0B">
        <w:rPr>
          <w:rFonts w:eastAsia="Calibri" w:cs="Tahoma"/>
          <w:szCs w:val="22"/>
          <w:lang w:eastAsia="es-MX"/>
        </w:rPr>
        <w:t>se actualiza la causal de procedencia señalada en el artículo 179, fracci</w:t>
      </w:r>
      <w:r w:rsidR="007B7B00" w:rsidRPr="00BB7A0B">
        <w:rPr>
          <w:rFonts w:eastAsia="Calibri" w:cs="Tahoma"/>
          <w:szCs w:val="22"/>
          <w:lang w:eastAsia="es-MX"/>
        </w:rPr>
        <w:t xml:space="preserve">ón </w:t>
      </w:r>
      <w:r w:rsidR="007452ED" w:rsidRPr="00BB7A0B">
        <w:rPr>
          <w:rFonts w:eastAsia="Calibri" w:cs="Tahoma"/>
          <w:szCs w:val="22"/>
          <w:lang w:eastAsia="es-MX"/>
        </w:rPr>
        <w:t>V</w:t>
      </w:r>
      <w:r w:rsidR="00EE1B1C" w:rsidRPr="00BB7A0B">
        <w:rPr>
          <w:rFonts w:eastAsia="Calibri" w:cs="Tahoma"/>
          <w:szCs w:val="22"/>
          <w:lang w:eastAsia="es-MX"/>
        </w:rPr>
        <w:t xml:space="preserve"> </w:t>
      </w:r>
      <w:r w:rsidRPr="00BB7A0B">
        <w:rPr>
          <w:rFonts w:cs="Arial"/>
          <w:szCs w:val="22"/>
        </w:rPr>
        <w:t xml:space="preserve">de la </w:t>
      </w:r>
      <w:r w:rsidRPr="00BB7A0B">
        <w:rPr>
          <w:szCs w:val="22"/>
        </w:rPr>
        <w:t>Ley de Transparencia y Acceso a la Información Pública del Estado de México y Municipios.</w:t>
      </w:r>
    </w:p>
    <w:p w14:paraId="0EFF7141" w14:textId="77777777" w:rsidR="00362A11" w:rsidRPr="00BB7A0B" w:rsidRDefault="00362A11" w:rsidP="00BB7A0B">
      <w:pPr>
        <w:rPr>
          <w:szCs w:val="22"/>
        </w:rPr>
      </w:pPr>
    </w:p>
    <w:p w14:paraId="2284D7EB" w14:textId="3EE1D036" w:rsidR="00BA55A8" w:rsidRPr="00BB7A0B" w:rsidRDefault="00362A11" w:rsidP="00BB7A0B">
      <w:pPr>
        <w:pStyle w:val="Ttulo3"/>
        <w:rPr>
          <w:szCs w:val="22"/>
        </w:rPr>
      </w:pPr>
      <w:bookmarkStart w:id="24" w:name="_Toc190777002"/>
      <w:r w:rsidRPr="00BB7A0B">
        <w:rPr>
          <w:szCs w:val="22"/>
        </w:rPr>
        <w:t>e) Requisitos formales para la interposición del recurso</w:t>
      </w:r>
      <w:bookmarkEnd w:id="24"/>
    </w:p>
    <w:p w14:paraId="5C3B17AA" w14:textId="77777777" w:rsidR="007452ED" w:rsidRPr="00BB7A0B" w:rsidRDefault="007452ED" w:rsidP="00BB7A0B">
      <w:pPr>
        <w:rPr>
          <w:rFonts w:cs="Arial"/>
          <w:szCs w:val="22"/>
        </w:rPr>
      </w:pPr>
      <w:r w:rsidRPr="00BB7A0B">
        <w:rPr>
          <w:rFonts w:cs="Arial"/>
          <w:b/>
          <w:bCs/>
          <w:szCs w:val="22"/>
        </w:rPr>
        <w:t xml:space="preserve">LA PARTE RECURRENTE </w:t>
      </w:r>
      <w:r w:rsidRPr="00BB7A0B">
        <w:rPr>
          <w:rFonts w:cs="Arial"/>
          <w:szCs w:val="22"/>
        </w:rPr>
        <w:t>acreditó todos y cada uno de los elementos formales exigidos por el artículo 180 de la misma normatividad.</w:t>
      </w:r>
    </w:p>
    <w:p w14:paraId="7693807F" w14:textId="77777777" w:rsidR="007B7B00" w:rsidRPr="00BB7A0B" w:rsidRDefault="007B7B00" w:rsidP="00BB7A0B">
      <w:pPr>
        <w:rPr>
          <w:rFonts w:cs="Arial"/>
          <w:szCs w:val="22"/>
        </w:rPr>
      </w:pPr>
    </w:p>
    <w:p w14:paraId="457548E9" w14:textId="3F7AF03B" w:rsidR="00C71CEF" w:rsidRPr="00BB7A0B" w:rsidRDefault="00C71CEF" w:rsidP="00BB7A0B">
      <w:pPr>
        <w:pStyle w:val="Ttulo2"/>
        <w:rPr>
          <w:szCs w:val="22"/>
        </w:rPr>
      </w:pPr>
      <w:bookmarkStart w:id="25" w:name="_Toc190777003"/>
      <w:r w:rsidRPr="00BB7A0B">
        <w:rPr>
          <w:szCs w:val="22"/>
        </w:rPr>
        <w:t>SEGUNDO. Estudio de Fondo</w:t>
      </w:r>
      <w:bookmarkEnd w:id="25"/>
    </w:p>
    <w:p w14:paraId="2A308F59" w14:textId="0FF373F0" w:rsidR="00C049E2" w:rsidRPr="00BB7A0B" w:rsidRDefault="00C71CEF" w:rsidP="00BB7A0B">
      <w:pPr>
        <w:pStyle w:val="Ttulo3"/>
        <w:rPr>
          <w:szCs w:val="22"/>
        </w:rPr>
      </w:pPr>
      <w:bookmarkStart w:id="26" w:name="_Toc190777004"/>
      <w:r w:rsidRPr="00BB7A0B">
        <w:rPr>
          <w:szCs w:val="22"/>
        </w:rPr>
        <w:t>a</w:t>
      </w:r>
      <w:r w:rsidR="00C049E2" w:rsidRPr="00BB7A0B">
        <w:rPr>
          <w:szCs w:val="22"/>
        </w:rPr>
        <w:t>) Mandato de transparencia y responsabilidad del Sujeto Obligado</w:t>
      </w:r>
      <w:bookmarkEnd w:id="26"/>
    </w:p>
    <w:p w14:paraId="6901A889" w14:textId="59EEDAE1" w:rsidR="00C049E2" w:rsidRPr="00BB7A0B" w:rsidRDefault="00C049E2" w:rsidP="00BB7A0B">
      <w:pPr>
        <w:rPr>
          <w:rFonts w:eastAsia="Palatino Linotype"/>
          <w:szCs w:val="22"/>
        </w:rPr>
      </w:pPr>
      <w:r w:rsidRPr="00BB7A0B">
        <w:rPr>
          <w:rFonts w:eastAsia="Palatino Linotype"/>
          <w:szCs w:val="22"/>
        </w:rPr>
        <w:t xml:space="preserve">El </w:t>
      </w:r>
      <w:r w:rsidR="00717E59" w:rsidRPr="00BB7A0B">
        <w:rPr>
          <w:rFonts w:eastAsia="Palatino Linotype"/>
          <w:szCs w:val="22"/>
        </w:rPr>
        <w:t>d</w:t>
      </w:r>
      <w:r w:rsidRPr="00BB7A0B">
        <w:rPr>
          <w:rFonts w:eastAsia="Palatino Linotype"/>
          <w:szCs w:val="22"/>
        </w:rPr>
        <w:t xml:space="preserve">erecho de </w:t>
      </w:r>
      <w:r w:rsidR="00717E59" w:rsidRPr="00BB7A0B">
        <w:rPr>
          <w:rFonts w:eastAsia="Palatino Linotype"/>
          <w:szCs w:val="22"/>
        </w:rPr>
        <w:t>a</w:t>
      </w:r>
      <w:r w:rsidRPr="00BB7A0B">
        <w:rPr>
          <w:rFonts w:eastAsia="Palatino Linotype"/>
          <w:szCs w:val="22"/>
        </w:rPr>
        <w:t xml:space="preserve">cceso a la </w:t>
      </w:r>
      <w:r w:rsidR="00717E59" w:rsidRPr="00BB7A0B">
        <w:rPr>
          <w:rFonts w:eastAsia="Palatino Linotype"/>
          <w:szCs w:val="22"/>
        </w:rPr>
        <w:t>i</w:t>
      </w:r>
      <w:r w:rsidRPr="00BB7A0B">
        <w:rPr>
          <w:rFonts w:eastAsia="Palatino Linotype"/>
          <w:szCs w:val="22"/>
        </w:rPr>
        <w:t xml:space="preserve">nformación </w:t>
      </w:r>
      <w:r w:rsidR="00717E59" w:rsidRPr="00BB7A0B">
        <w:rPr>
          <w:rFonts w:eastAsia="Palatino Linotype"/>
          <w:szCs w:val="22"/>
        </w:rPr>
        <w:t>p</w:t>
      </w:r>
      <w:r w:rsidRPr="00BB7A0B">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BB7A0B">
        <w:rPr>
          <w:rFonts w:eastAsia="Palatino Linotype"/>
          <w:szCs w:val="22"/>
        </w:rPr>
        <w:t>:</w:t>
      </w:r>
    </w:p>
    <w:p w14:paraId="7FAB8D32" w14:textId="77777777" w:rsidR="00C049E2" w:rsidRPr="00BB7A0B" w:rsidRDefault="00C049E2" w:rsidP="00BB7A0B">
      <w:pPr>
        <w:rPr>
          <w:rFonts w:eastAsia="Palatino Linotype"/>
          <w:szCs w:val="22"/>
        </w:rPr>
      </w:pPr>
    </w:p>
    <w:p w14:paraId="05320813" w14:textId="77777777" w:rsidR="00C049E2" w:rsidRPr="00BB7A0B" w:rsidRDefault="00C049E2" w:rsidP="00BB7A0B">
      <w:pPr>
        <w:spacing w:line="240" w:lineRule="auto"/>
        <w:ind w:left="567" w:right="539"/>
        <w:rPr>
          <w:rFonts w:eastAsia="Palatino Linotype"/>
          <w:b/>
          <w:i/>
          <w:szCs w:val="22"/>
        </w:rPr>
      </w:pPr>
      <w:r w:rsidRPr="00BB7A0B">
        <w:rPr>
          <w:rFonts w:eastAsia="Palatino Linotype"/>
          <w:b/>
          <w:i/>
          <w:szCs w:val="22"/>
        </w:rPr>
        <w:lastRenderedPageBreak/>
        <w:t>Constitución Política de los Estados Unidos Mexicanos</w:t>
      </w:r>
    </w:p>
    <w:p w14:paraId="6B6C67B6" w14:textId="77777777" w:rsidR="00C049E2" w:rsidRPr="00BB7A0B" w:rsidRDefault="00C049E2" w:rsidP="00BB7A0B">
      <w:pPr>
        <w:spacing w:line="240" w:lineRule="auto"/>
        <w:ind w:left="567" w:right="539"/>
        <w:rPr>
          <w:rFonts w:eastAsia="Palatino Linotype"/>
          <w:b/>
          <w:i/>
          <w:szCs w:val="22"/>
        </w:rPr>
      </w:pPr>
      <w:r w:rsidRPr="00BB7A0B">
        <w:rPr>
          <w:rFonts w:eastAsia="Palatino Linotype"/>
          <w:b/>
          <w:i/>
          <w:szCs w:val="22"/>
        </w:rPr>
        <w:t>“Artículo 6.</w:t>
      </w:r>
    </w:p>
    <w:p w14:paraId="38D3B4C4" w14:textId="77777777" w:rsidR="00C049E2" w:rsidRPr="00BB7A0B" w:rsidRDefault="00C049E2" w:rsidP="00BB7A0B">
      <w:pPr>
        <w:spacing w:line="240" w:lineRule="auto"/>
        <w:ind w:left="567" w:right="539"/>
        <w:rPr>
          <w:rFonts w:eastAsia="Palatino Linotype"/>
          <w:i/>
          <w:szCs w:val="22"/>
        </w:rPr>
      </w:pPr>
      <w:r w:rsidRPr="00BB7A0B">
        <w:rPr>
          <w:rFonts w:eastAsia="Palatino Linotype"/>
          <w:i/>
          <w:szCs w:val="22"/>
        </w:rPr>
        <w:t>(…)</w:t>
      </w:r>
    </w:p>
    <w:p w14:paraId="2CCAA297" w14:textId="6602827B" w:rsidR="00C049E2" w:rsidRPr="00BB7A0B" w:rsidRDefault="00C049E2" w:rsidP="00BB7A0B">
      <w:pPr>
        <w:spacing w:line="240" w:lineRule="auto"/>
        <w:ind w:left="567" w:right="539"/>
        <w:rPr>
          <w:rFonts w:eastAsia="Palatino Linotype"/>
          <w:i/>
          <w:szCs w:val="22"/>
        </w:rPr>
      </w:pPr>
      <w:r w:rsidRPr="00BB7A0B">
        <w:rPr>
          <w:rFonts w:eastAsia="Palatino Linotype"/>
          <w:i/>
          <w:szCs w:val="22"/>
        </w:rPr>
        <w:t>Para efectos de lo dispuesto en el presente artículo se observará lo siguiente:</w:t>
      </w:r>
    </w:p>
    <w:p w14:paraId="74CC3718" w14:textId="77777777" w:rsidR="00C049E2" w:rsidRPr="00BB7A0B" w:rsidRDefault="00C049E2" w:rsidP="00BB7A0B">
      <w:pPr>
        <w:spacing w:line="240" w:lineRule="auto"/>
        <w:ind w:left="567" w:right="539"/>
        <w:rPr>
          <w:rFonts w:eastAsia="Palatino Linotype"/>
          <w:b/>
          <w:i/>
          <w:szCs w:val="22"/>
        </w:rPr>
      </w:pPr>
      <w:r w:rsidRPr="00BB7A0B">
        <w:rPr>
          <w:rFonts w:eastAsia="Palatino Linotype"/>
          <w:b/>
          <w:i/>
          <w:szCs w:val="22"/>
        </w:rPr>
        <w:t>A</w:t>
      </w:r>
      <w:r w:rsidRPr="00BB7A0B">
        <w:rPr>
          <w:rFonts w:eastAsia="Palatino Linotype"/>
          <w:i/>
          <w:szCs w:val="22"/>
        </w:rPr>
        <w:t xml:space="preserve">. </w:t>
      </w:r>
      <w:r w:rsidRPr="00BB7A0B">
        <w:rPr>
          <w:rFonts w:eastAsia="Palatino Linotype"/>
          <w:b/>
          <w:i/>
          <w:szCs w:val="22"/>
        </w:rPr>
        <w:t>Para el ejercicio del derecho de acceso a la información</w:t>
      </w:r>
      <w:r w:rsidRPr="00BB7A0B">
        <w:rPr>
          <w:rFonts w:eastAsia="Palatino Linotype"/>
          <w:i/>
          <w:szCs w:val="22"/>
        </w:rPr>
        <w:t xml:space="preserve">, la Federación y </w:t>
      </w:r>
      <w:r w:rsidRPr="00BB7A0B">
        <w:rPr>
          <w:rFonts w:eastAsia="Palatino Linotype"/>
          <w:b/>
          <w:i/>
          <w:szCs w:val="22"/>
        </w:rPr>
        <w:t>las entidades federativas, en el ámbito de sus respectivas competencias, se regirán por los siguientes principios y bases:</w:t>
      </w:r>
    </w:p>
    <w:p w14:paraId="596A956B" w14:textId="77777777" w:rsidR="00C049E2" w:rsidRPr="00BB7A0B" w:rsidRDefault="00C049E2" w:rsidP="00BB7A0B">
      <w:pPr>
        <w:spacing w:line="240" w:lineRule="auto"/>
        <w:ind w:left="567" w:right="539"/>
        <w:rPr>
          <w:rFonts w:eastAsia="Palatino Linotype"/>
          <w:i/>
          <w:szCs w:val="22"/>
        </w:rPr>
      </w:pPr>
      <w:r w:rsidRPr="00BB7A0B">
        <w:rPr>
          <w:rFonts w:eastAsia="Palatino Linotype"/>
          <w:b/>
          <w:i/>
          <w:szCs w:val="22"/>
        </w:rPr>
        <w:t xml:space="preserve">I. </w:t>
      </w:r>
      <w:r w:rsidRPr="00BB7A0B">
        <w:rPr>
          <w:rFonts w:eastAsia="Palatino Linotype"/>
          <w:b/>
          <w:i/>
          <w:szCs w:val="22"/>
        </w:rPr>
        <w:tab/>
        <w:t>Toda la información en posesión de cualquier</w:t>
      </w:r>
      <w:r w:rsidRPr="00BB7A0B">
        <w:rPr>
          <w:rFonts w:eastAsia="Palatino Linotype"/>
          <w:i/>
          <w:szCs w:val="22"/>
        </w:rPr>
        <w:t xml:space="preserve"> </w:t>
      </w:r>
      <w:r w:rsidRPr="00BB7A0B">
        <w:rPr>
          <w:rFonts w:eastAsia="Palatino Linotype"/>
          <w:b/>
          <w:i/>
          <w:szCs w:val="22"/>
        </w:rPr>
        <w:t>autoridad</w:t>
      </w:r>
      <w:r w:rsidRPr="00BB7A0B">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B7A0B">
        <w:rPr>
          <w:rFonts w:eastAsia="Palatino Linotype"/>
          <w:b/>
          <w:i/>
          <w:szCs w:val="22"/>
        </w:rPr>
        <w:t>municipal</w:t>
      </w:r>
      <w:r w:rsidRPr="00BB7A0B">
        <w:rPr>
          <w:rFonts w:eastAsia="Palatino Linotype"/>
          <w:i/>
          <w:szCs w:val="22"/>
        </w:rPr>
        <w:t xml:space="preserve">, </w:t>
      </w:r>
      <w:r w:rsidRPr="00BB7A0B">
        <w:rPr>
          <w:rFonts w:eastAsia="Palatino Linotype"/>
          <w:b/>
          <w:i/>
          <w:szCs w:val="22"/>
        </w:rPr>
        <w:t>es pública</w:t>
      </w:r>
      <w:r w:rsidRPr="00BB7A0B">
        <w:rPr>
          <w:rFonts w:eastAsia="Palatino Linotype"/>
          <w:i/>
          <w:szCs w:val="22"/>
        </w:rPr>
        <w:t xml:space="preserve"> y sólo podrá ser reservada temporalmente por razones de interés público y seguridad nacional, en los términos que fijen las leyes. </w:t>
      </w:r>
      <w:r w:rsidRPr="00BB7A0B">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BB7A0B">
        <w:rPr>
          <w:rFonts w:eastAsia="Palatino Linotype"/>
          <w:i/>
          <w:szCs w:val="22"/>
        </w:rPr>
        <w:t>, la ley determinará los supuestos específicos bajo los cuales procederá la declaración de inexistencia de la información.”</w:t>
      </w:r>
    </w:p>
    <w:p w14:paraId="68F313E4" w14:textId="77777777" w:rsidR="00C049E2" w:rsidRPr="00BB7A0B" w:rsidRDefault="00C049E2" w:rsidP="00BB7A0B">
      <w:pPr>
        <w:spacing w:line="240" w:lineRule="auto"/>
        <w:ind w:left="567" w:right="539"/>
        <w:rPr>
          <w:rFonts w:eastAsia="Palatino Linotype"/>
          <w:b/>
          <w:i/>
          <w:szCs w:val="22"/>
        </w:rPr>
      </w:pPr>
    </w:p>
    <w:p w14:paraId="504F12DB" w14:textId="77777777" w:rsidR="00C049E2" w:rsidRPr="00BB7A0B" w:rsidRDefault="00C049E2" w:rsidP="00BB7A0B">
      <w:pPr>
        <w:spacing w:line="240" w:lineRule="auto"/>
        <w:ind w:left="567" w:right="539"/>
        <w:rPr>
          <w:rFonts w:eastAsia="Palatino Linotype"/>
          <w:b/>
          <w:i/>
          <w:szCs w:val="22"/>
        </w:rPr>
      </w:pPr>
      <w:r w:rsidRPr="00BB7A0B">
        <w:rPr>
          <w:rFonts w:eastAsia="Palatino Linotype"/>
          <w:b/>
          <w:i/>
          <w:szCs w:val="22"/>
        </w:rPr>
        <w:t>Constitución Política del Estado Libre y Soberano de México</w:t>
      </w:r>
    </w:p>
    <w:p w14:paraId="04932D29" w14:textId="77777777" w:rsidR="00C049E2" w:rsidRPr="00BB7A0B" w:rsidRDefault="00C049E2" w:rsidP="00BB7A0B">
      <w:pPr>
        <w:spacing w:line="240" w:lineRule="auto"/>
        <w:ind w:left="567" w:right="539"/>
        <w:rPr>
          <w:rFonts w:eastAsia="Palatino Linotype"/>
          <w:i/>
          <w:szCs w:val="22"/>
        </w:rPr>
      </w:pPr>
      <w:r w:rsidRPr="00BB7A0B">
        <w:rPr>
          <w:rFonts w:eastAsia="Palatino Linotype"/>
          <w:b/>
          <w:i/>
          <w:szCs w:val="22"/>
        </w:rPr>
        <w:t>“Artículo 5</w:t>
      </w:r>
      <w:r w:rsidRPr="00BB7A0B">
        <w:rPr>
          <w:rFonts w:eastAsia="Palatino Linotype"/>
          <w:i/>
          <w:szCs w:val="22"/>
        </w:rPr>
        <w:t xml:space="preserve">.- </w:t>
      </w:r>
    </w:p>
    <w:p w14:paraId="1D3829F4" w14:textId="77777777" w:rsidR="00C049E2" w:rsidRPr="00BB7A0B" w:rsidRDefault="00C049E2" w:rsidP="00BB7A0B">
      <w:pPr>
        <w:spacing w:line="240" w:lineRule="auto"/>
        <w:ind w:left="567" w:right="539"/>
        <w:rPr>
          <w:rFonts w:eastAsia="Palatino Linotype"/>
          <w:i/>
          <w:szCs w:val="22"/>
        </w:rPr>
      </w:pPr>
      <w:r w:rsidRPr="00BB7A0B">
        <w:rPr>
          <w:rFonts w:eastAsia="Palatino Linotype"/>
          <w:i/>
          <w:szCs w:val="22"/>
        </w:rPr>
        <w:t>(…)</w:t>
      </w:r>
    </w:p>
    <w:p w14:paraId="0EAE47FD" w14:textId="77777777" w:rsidR="00C049E2" w:rsidRPr="00BB7A0B" w:rsidRDefault="00C049E2" w:rsidP="00BB7A0B">
      <w:pPr>
        <w:spacing w:line="240" w:lineRule="auto"/>
        <w:ind w:left="567" w:right="539"/>
        <w:rPr>
          <w:rFonts w:eastAsia="Palatino Linotype"/>
          <w:i/>
          <w:szCs w:val="22"/>
        </w:rPr>
      </w:pPr>
      <w:r w:rsidRPr="00BB7A0B">
        <w:rPr>
          <w:rFonts w:eastAsia="Palatino Linotype"/>
          <w:b/>
          <w:i/>
          <w:szCs w:val="22"/>
        </w:rPr>
        <w:t>El derecho a la información será garantizado por el Estado. La ley establecerá las previsiones que permitan asegurar la protección, el respeto y la difusión de este derecho</w:t>
      </w:r>
      <w:r w:rsidRPr="00BB7A0B">
        <w:rPr>
          <w:rFonts w:eastAsia="Palatino Linotype"/>
          <w:i/>
          <w:szCs w:val="22"/>
        </w:rPr>
        <w:t>.</w:t>
      </w:r>
    </w:p>
    <w:p w14:paraId="4F0C804A" w14:textId="77777777" w:rsidR="00C049E2" w:rsidRPr="00BB7A0B" w:rsidRDefault="00C049E2" w:rsidP="00BB7A0B">
      <w:pPr>
        <w:spacing w:line="240" w:lineRule="auto"/>
        <w:ind w:left="567" w:right="539"/>
        <w:rPr>
          <w:rFonts w:eastAsia="Palatino Linotype"/>
          <w:i/>
          <w:szCs w:val="22"/>
        </w:rPr>
      </w:pPr>
      <w:r w:rsidRPr="00BB7A0B">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B7A0B" w:rsidRDefault="00C049E2" w:rsidP="00BB7A0B">
      <w:pPr>
        <w:spacing w:line="240" w:lineRule="auto"/>
        <w:ind w:left="567" w:right="539"/>
        <w:rPr>
          <w:rFonts w:eastAsia="Palatino Linotype"/>
          <w:i/>
          <w:szCs w:val="22"/>
        </w:rPr>
      </w:pPr>
      <w:r w:rsidRPr="00BB7A0B">
        <w:rPr>
          <w:rFonts w:eastAsia="Palatino Linotype"/>
          <w:b/>
          <w:i/>
          <w:szCs w:val="22"/>
        </w:rPr>
        <w:t>Este derecho se regirá por los principios y bases siguientes</w:t>
      </w:r>
      <w:r w:rsidRPr="00BB7A0B">
        <w:rPr>
          <w:rFonts w:eastAsia="Palatino Linotype"/>
          <w:i/>
          <w:szCs w:val="22"/>
        </w:rPr>
        <w:t>:</w:t>
      </w:r>
    </w:p>
    <w:p w14:paraId="4A3E8CBA" w14:textId="77777777" w:rsidR="00C049E2" w:rsidRPr="00BB7A0B" w:rsidRDefault="00C049E2" w:rsidP="00BB7A0B">
      <w:pPr>
        <w:spacing w:line="240" w:lineRule="auto"/>
        <w:ind w:left="567" w:right="539"/>
        <w:rPr>
          <w:rFonts w:eastAsia="Palatino Linotype"/>
          <w:i/>
          <w:szCs w:val="22"/>
        </w:rPr>
      </w:pPr>
      <w:r w:rsidRPr="00BB7A0B">
        <w:rPr>
          <w:rFonts w:eastAsia="Palatino Linotype"/>
          <w:b/>
          <w:i/>
          <w:szCs w:val="22"/>
        </w:rPr>
        <w:t>I. Toda la información en posesión de cualquier autoridad, entidad, órgano y organismos de los</w:t>
      </w:r>
      <w:r w:rsidRPr="00BB7A0B">
        <w:rPr>
          <w:rFonts w:eastAsia="Palatino Linotype"/>
          <w:i/>
          <w:szCs w:val="22"/>
        </w:rPr>
        <w:t xml:space="preserve"> Poderes Ejecutivo, Legislativo y Judicial, órganos autónomos, partidos políticos, fideicomisos y fondos públicos estatales y </w:t>
      </w:r>
      <w:r w:rsidRPr="00BB7A0B">
        <w:rPr>
          <w:rFonts w:eastAsia="Palatino Linotype"/>
          <w:b/>
          <w:i/>
          <w:szCs w:val="22"/>
        </w:rPr>
        <w:t>municipales</w:t>
      </w:r>
      <w:r w:rsidRPr="00BB7A0B">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B7A0B">
        <w:rPr>
          <w:rFonts w:eastAsia="Palatino Linotype"/>
          <w:b/>
          <w:i/>
          <w:szCs w:val="22"/>
        </w:rPr>
        <w:t>es pública</w:t>
      </w:r>
      <w:r w:rsidRPr="00BB7A0B">
        <w:rPr>
          <w:rFonts w:eastAsia="Palatino Linotype"/>
          <w:i/>
          <w:szCs w:val="22"/>
        </w:rPr>
        <w:t xml:space="preserve"> y sólo podrá ser </w:t>
      </w:r>
      <w:r w:rsidRPr="00BB7A0B">
        <w:rPr>
          <w:rFonts w:eastAsia="Palatino Linotype"/>
          <w:i/>
          <w:szCs w:val="22"/>
        </w:rPr>
        <w:lastRenderedPageBreak/>
        <w:t xml:space="preserve">reservada temporalmente por razones previstas en la Constitución Política de los Estados Unidos Mexicanos de interés público y seguridad, en los términos que fijen las leyes. </w:t>
      </w:r>
      <w:r w:rsidRPr="00BB7A0B">
        <w:rPr>
          <w:rFonts w:eastAsia="Palatino Linotype"/>
          <w:b/>
          <w:i/>
          <w:szCs w:val="22"/>
        </w:rPr>
        <w:t>En la interpretación de este derecho deberá prevalecer el principio de máxima publicidad</w:t>
      </w:r>
      <w:r w:rsidRPr="00BB7A0B">
        <w:rPr>
          <w:rFonts w:eastAsia="Palatino Linotype"/>
          <w:i/>
          <w:szCs w:val="22"/>
        </w:rPr>
        <w:t xml:space="preserve">. </w:t>
      </w:r>
      <w:r w:rsidRPr="00BB7A0B">
        <w:rPr>
          <w:rFonts w:eastAsia="Palatino Linotype"/>
          <w:b/>
          <w:i/>
          <w:szCs w:val="22"/>
        </w:rPr>
        <w:t>Los sujetos obligados deberán documentar todo acto que derive del ejercicio de sus facultades, competencias o funciones</w:t>
      </w:r>
      <w:r w:rsidRPr="00BB7A0B">
        <w:rPr>
          <w:rFonts w:eastAsia="Palatino Linotype"/>
          <w:i/>
          <w:szCs w:val="22"/>
        </w:rPr>
        <w:t>, la ley determinará los supuestos específicos bajo los cuales procederá la declaración de inexistencia de la información.”</w:t>
      </w:r>
    </w:p>
    <w:p w14:paraId="5CA98E37" w14:textId="77777777" w:rsidR="00C049E2" w:rsidRPr="00BB7A0B" w:rsidRDefault="00C049E2" w:rsidP="00BB7A0B">
      <w:pPr>
        <w:rPr>
          <w:rFonts w:eastAsia="Palatino Linotype"/>
          <w:b/>
          <w:i/>
          <w:szCs w:val="22"/>
        </w:rPr>
      </w:pPr>
    </w:p>
    <w:p w14:paraId="6FC1BB3B" w14:textId="3BF4A33D" w:rsidR="00C049E2" w:rsidRPr="00BB7A0B" w:rsidRDefault="00717E59" w:rsidP="00BB7A0B">
      <w:pPr>
        <w:rPr>
          <w:rFonts w:eastAsia="Palatino Linotype"/>
          <w:i/>
          <w:szCs w:val="22"/>
        </w:rPr>
      </w:pPr>
      <w:r w:rsidRPr="00BB7A0B">
        <w:rPr>
          <w:rFonts w:eastAsia="Palatino Linotype"/>
          <w:szCs w:val="22"/>
        </w:rPr>
        <w:t xml:space="preserve">Asimismo, </w:t>
      </w:r>
      <w:r w:rsidR="00C049E2" w:rsidRPr="00BB7A0B">
        <w:rPr>
          <w:rFonts w:eastAsia="Palatino Linotype"/>
          <w:szCs w:val="22"/>
        </w:rPr>
        <w:t>el artículo 150 de la Ley de Transparencia y Acceso a la Información Pública del Estado de México y Municipios</w:t>
      </w:r>
      <w:r w:rsidR="00057B2D" w:rsidRPr="00BB7A0B">
        <w:rPr>
          <w:rFonts w:eastAsia="Palatino Linotype"/>
          <w:szCs w:val="22"/>
        </w:rPr>
        <w:t xml:space="preserve"> </w:t>
      </w:r>
      <w:r w:rsidR="00E9335C" w:rsidRPr="00BB7A0B">
        <w:rPr>
          <w:rFonts w:eastAsia="Palatino Linotype"/>
          <w:szCs w:val="22"/>
        </w:rPr>
        <w:t xml:space="preserve">indica </w:t>
      </w:r>
      <w:r w:rsidR="00057B2D" w:rsidRPr="00BB7A0B">
        <w:rPr>
          <w:rFonts w:eastAsia="Palatino Linotype"/>
          <w:szCs w:val="22"/>
        </w:rPr>
        <w:t>que</w:t>
      </w:r>
      <w:r w:rsidR="00C049E2" w:rsidRPr="00BB7A0B">
        <w:rPr>
          <w:rFonts w:eastAsia="Palatino Linotype"/>
          <w:szCs w:val="22"/>
        </w:rPr>
        <w:t xml:space="preserve"> la solicitud es la garantía primaria del Derecho de Acceso a la Información, además, establece que se regirá </w:t>
      </w:r>
      <w:r w:rsidR="00C049E2" w:rsidRPr="00BB7A0B">
        <w:rPr>
          <w:rFonts w:eastAsia="Palatino Linotype"/>
          <w:i/>
          <w:szCs w:val="22"/>
        </w:rPr>
        <w:t>por los principios de simplicidad, rapidez</w:t>
      </w:r>
      <w:r w:rsidR="005F65B7" w:rsidRPr="00BB7A0B">
        <w:rPr>
          <w:rFonts w:eastAsia="Palatino Linotype"/>
          <w:i/>
          <w:szCs w:val="22"/>
        </w:rPr>
        <w:t>,</w:t>
      </w:r>
      <w:r w:rsidR="00C049E2" w:rsidRPr="00BB7A0B">
        <w:rPr>
          <w:rFonts w:eastAsia="Palatino Linotype"/>
          <w:i/>
          <w:szCs w:val="22"/>
        </w:rPr>
        <w:t xml:space="preserve"> gratuidad del procedimiento, auxilio y orientación a los particulare</w:t>
      </w:r>
      <w:r w:rsidR="001A58B3" w:rsidRPr="00BB7A0B">
        <w:rPr>
          <w:rFonts w:eastAsia="Palatino Linotype"/>
          <w:i/>
          <w:szCs w:val="22"/>
        </w:rPr>
        <w:t>s.</w:t>
      </w:r>
    </w:p>
    <w:p w14:paraId="033466A6" w14:textId="77777777" w:rsidR="001A58B3" w:rsidRPr="00BB7A0B" w:rsidRDefault="001A58B3" w:rsidP="00BB7A0B">
      <w:pPr>
        <w:rPr>
          <w:rFonts w:eastAsia="Palatino Linotype"/>
          <w:i/>
          <w:szCs w:val="22"/>
        </w:rPr>
      </w:pPr>
    </w:p>
    <w:p w14:paraId="04ADA10B" w14:textId="574A944A" w:rsidR="001A58B3" w:rsidRPr="00BB7A0B" w:rsidRDefault="00233F17" w:rsidP="00BB7A0B">
      <w:pPr>
        <w:rPr>
          <w:rFonts w:eastAsia="Palatino Linotype" w:cs="Palatino Linotype"/>
          <w:i/>
          <w:szCs w:val="22"/>
        </w:rPr>
      </w:pPr>
      <w:r w:rsidRPr="00BB7A0B">
        <w:rPr>
          <w:rFonts w:eastAsia="Palatino Linotype" w:cs="Palatino Linotype"/>
          <w:szCs w:val="22"/>
        </w:rPr>
        <w:t xml:space="preserve">Por su parte, el artículo 4 de </w:t>
      </w:r>
      <w:r w:rsidR="001A58B3" w:rsidRPr="00BB7A0B">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B7A0B">
        <w:rPr>
          <w:rFonts w:eastAsia="Palatino Linotype" w:cs="Palatino Linotype"/>
          <w:szCs w:val="22"/>
        </w:rPr>
        <w:t>.</w:t>
      </w:r>
    </w:p>
    <w:p w14:paraId="1407DBB8" w14:textId="77777777" w:rsidR="001A58B3" w:rsidRPr="00BB7A0B" w:rsidRDefault="001A58B3" w:rsidP="00BB7A0B">
      <w:pPr>
        <w:rPr>
          <w:rFonts w:eastAsia="Palatino Linotype" w:cs="Palatino Linotype"/>
          <w:szCs w:val="22"/>
        </w:rPr>
      </w:pPr>
    </w:p>
    <w:p w14:paraId="7552AA79" w14:textId="5C52E4A4" w:rsidR="001A58B3" w:rsidRPr="00BB7A0B" w:rsidRDefault="001A58B3" w:rsidP="00BB7A0B">
      <w:pPr>
        <w:rPr>
          <w:rFonts w:eastAsia="Palatino Linotype" w:cs="Palatino Linotype"/>
          <w:szCs w:val="22"/>
        </w:rPr>
      </w:pPr>
      <w:r w:rsidRPr="00BB7A0B">
        <w:rPr>
          <w:rFonts w:eastAsia="Palatino Linotype" w:cs="Palatino Linotype"/>
          <w:szCs w:val="22"/>
        </w:rPr>
        <w:t xml:space="preserve">Esto es, que los Sujetos Obligados </w:t>
      </w:r>
      <w:r w:rsidR="00FA5957" w:rsidRPr="00BB7A0B">
        <w:rPr>
          <w:rFonts w:eastAsia="Palatino Linotype" w:cs="Palatino Linotype"/>
          <w:szCs w:val="22"/>
        </w:rPr>
        <w:t>deben</w:t>
      </w:r>
      <w:r w:rsidRPr="00BB7A0B">
        <w:rPr>
          <w:rFonts w:eastAsia="Palatino Linotype" w:cs="Palatino Linotype"/>
          <w:szCs w:val="22"/>
        </w:rPr>
        <w:t xml:space="preserve"> atender las solicitudes de acceso a la información pública que se les </w:t>
      </w:r>
      <w:r w:rsidR="00FA5957" w:rsidRPr="00BB7A0B">
        <w:rPr>
          <w:rFonts w:eastAsia="Palatino Linotype" w:cs="Palatino Linotype"/>
          <w:szCs w:val="22"/>
        </w:rPr>
        <w:t>sean realizadas,</w:t>
      </w:r>
      <w:r w:rsidRPr="00BB7A0B">
        <w:rPr>
          <w:rFonts w:eastAsia="Palatino Linotype" w:cs="Palatino Linotype"/>
          <w:szCs w:val="22"/>
        </w:rPr>
        <w:t xml:space="preserve"> y proporcionar la información pública que obre en su poder</w:t>
      </w:r>
      <w:r w:rsidR="00FA5957" w:rsidRPr="00BB7A0B">
        <w:rPr>
          <w:rFonts w:eastAsia="Palatino Linotype" w:cs="Palatino Linotype"/>
          <w:szCs w:val="22"/>
        </w:rPr>
        <w:t>,</w:t>
      </w:r>
      <w:r w:rsidRPr="00BB7A0B">
        <w:rPr>
          <w:rFonts w:eastAsia="Palatino Linotype" w:cs="Palatino Linotype"/>
          <w:szCs w:val="22"/>
        </w:rPr>
        <w:t xml:space="preserve"> conforme </w:t>
      </w:r>
      <w:r w:rsidR="00FA5957" w:rsidRPr="00BB7A0B">
        <w:rPr>
          <w:rFonts w:eastAsia="Palatino Linotype" w:cs="Palatino Linotype"/>
          <w:szCs w:val="22"/>
        </w:rPr>
        <w:t>a</w:t>
      </w:r>
      <w:r w:rsidRPr="00BB7A0B">
        <w:rPr>
          <w:rFonts w:eastAsia="Palatino Linotype" w:cs="Palatino Linotype"/>
          <w:szCs w:val="22"/>
        </w:rPr>
        <w:t xml:space="preserve">l estado </w:t>
      </w:r>
      <w:r w:rsidR="00FA5957" w:rsidRPr="00BB7A0B">
        <w:rPr>
          <w:rFonts w:eastAsia="Palatino Linotype" w:cs="Palatino Linotype"/>
          <w:szCs w:val="22"/>
        </w:rPr>
        <w:t xml:space="preserve">en </w:t>
      </w:r>
      <w:r w:rsidRPr="00BB7A0B">
        <w:rPr>
          <w:rFonts w:eastAsia="Palatino Linotype" w:cs="Palatino Linotype"/>
          <w:szCs w:val="22"/>
        </w:rPr>
        <w:t>que se encuentr</w:t>
      </w:r>
      <w:r w:rsidR="00FA5957" w:rsidRPr="00BB7A0B">
        <w:rPr>
          <w:rFonts w:eastAsia="Palatino Linotype" w:cs="Palatino Linotype"/>
          <w:szCs w:val="22"/>
        </w:rPr>
        <w:t>e, sin que sea necesario</w:t>
      </w:r>
      <w:r w:rsidRPr="00BB7A0B">
        <w:rPr>
          <w:rFonts w:eastAsia="Palatino Linotype" w:cs="Palatino Linotype"/>
          <w:szCs w:val="22"/>
        </w:rPr>
        <w:t xml:space="preserve"> </w:t>
      </w:r>
      <w:r w:rsidR="00FA5957" w:rsidRPr="00BB7A0B">
        <w:rPr>
          <w:rFonts w:eastAsia="Palatino Linotype" w:cs="Palatino Linotype"/>
          <w:szCs w:val="22"/>
        </w:rPr>
        <w:t>procesar</w:t>
      </w:r>
      <w:r w:rsidRPr="00BB7A0B">
        <w:rPr>
          <w:rFonts w:eastAsia="Palatino Linotype" w:cs="Palatino Linotype"/>
          <w:szCs w:val="22"/>
        </w:rPr>
        <w:t xml:space="preserve"> la misma, ni presentarla conforme al interés del solicitante; </w:t>
      </w:r>
      <w:r w:rsidR="00FA5957" w:rsidRPr="00BB7A0B">
        <w:rPr>
          <w:rFonts w:eastAsia="Palatino Linotype" w:cs="Palatino Linotype"/>
          <w:szCs w:val="22"/>
        </w:rPr>
        <w:t>tal y como</w:t>
      </w:r>
      <w:r w:rsidRPr="00BB7A0B">
        <w:rPr>
          <w:rFonts w:eastAsia="Palatino Linotype" w:cs="Palatino Linotype"/>
          <w:szCs w:val="22"/>
        </w:rPr>
        <w:t xml:space="preserve"> lo establece el artículo 12 de la Ley de Transparencia y Acceso a la Información Pública del Estado de México y Municipios</w:t>
      </w:r>
      <w:r w:rsidR="00970EB3" w:rsidRPr="00BB7A0B">
        <w:rPr>
          <w:rFonts w:eastAsia="Palatino Linotype" w:cs="Palatino Linotype"/>
          <w:szCs w:val="22"/>
        </w:rPr>
        <w:t>.</w:t>
      </w:r>
    </w:p>
    <w:p w14:paraId="73245195" w14:textId="77777777" w:rsidR="00970EB3" w:rsidRPr="00BB7A0B" w:rsidRDefault="00970EB3" w:rsidP="00BB7A0B">
      <w:pPr>
        <w:rPr>
          <w:rFonts w:eastAsia="Palatino Linotype" w:cs="Palatino Linotype"/>
          <w:szCs w:val="22"/>
        </w:rPr>
      </w:pPr>
    </w:p>
    <w:p w14:paraId="7F62D4DF" w14:textId="775730E1" w:rsidR="001A58B3" w:rsidRPr="00BB7A0B" w:rsidRDefault="001A58B3" w:rsidP="00BB7A0B">
      <w:pPr>
        <w:rPr>
          <w:rFonts w:eastAsia="Palatino Linotype" w:cs="Palatino Linotype"/>
          <w:szCs w:val="22"/>
        </w:rPr>
      </w:pPr>
      <w:r w:rsidRPr="00BB7A0B">
        <w:rPr>
          <w:rFonts w:eastAsia="Palatino Linotype" w:cs="Palatino Linotype"/>
          <w:szCs w:val="22"/>
        </w:rPr>
        <w:t>Es decir, que todo sujeto obligado que genere, recopile, administre, procese, archive, posea o conserven, son responsables de la misma</w:t>
      </w:r>
      <w:r w:rsidR="00970EB3" w:rsidRPr="00BB7A0B">
        <w:rPr>
          <w:rFonts w:eastAsia="Palatino Linotype" w:cs="Palatino Linotype"/>
          <w:szCs w:val="22"/>
        </w:rPr>
        <w:t>,</w:t>
      </w:r>
      <w:r w:rsidRPr="00BB7A0B">
        <w:rPr>
          <w:rFonts w:eastAsia="Palatino Linotype" w:cs="Palatino Linotype"/>
          <w:szCs w:val="22"/>
        </w:rPr>
        <w:t xml:space="preserve"> teniendo a su vez la obligación de proporcionar la </w:t>
      </w:r>
      <w:r w:rsidRPr="00BB7A0B">
        <w:rPr>
          <w:rFonts w:eastAsia="Palatino Linotype" w:cs="Palatino Linotype"/>
          <w:szCs w:val="22"/>
        </w:rPr>
        <w:lastRenderedPageBreak/>
        <w:t xml:space="preserve">información que se les requiera sin necesidad de resumirla, efectuar procedimientos para obtenerla, calcular </w:t>
      </w:r>
      <w:r w:rsidR="00970EB3" w:rsidRPr="00BB7A0B">
        <w:rPr>
          <w:rFonts w:eastAsia="Palatino Linotype" w:cs="Palatino Linotype"/>
          <w:szCs w:val="22"/>
        </w:rPr>
        <w:t>o</w:t>
      </w:r>
      <w:r w:rsidRPr="00BB7A0B">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B7A0B" w:rsidRDefault="001A58B3" w:rsidP="00BB7A0B">
      <w:pPr>
        <w:rPr>
          <w:rFonts w:eastAsia="Palatino Linotype" w:cs="Palatino Linotype"/>
          <w:szCs w:val="22"/>
        </w:rPr>
      </w:pPr>
    </w:p>
    <w:p w14:paraId="04E42DFE" w14:textId="573F1198" w:rsidR="001A58B3" w:rsidRPr="00BB7A0B" w:rsidRDefault="001A58B3" w:rsidP="00BB7A0B">
      <w:pPr>
        <w:rPr>
          <w:rFonts w:eastAsia="Palatino Linotype" w:cs="Palatino Linotype"/>
          <w:szCs w:val="22"/>
        </w:rPr>
      </w:pPr>
      <w:r w:rsidRPr="00BB7A0B">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B7A0B">
        <w:rPr>
          <w:rFonts w:eastAsia="Palatino Linotype" w:cs="Palatino Linotype"/>
          <w:szCs w:val="22"/>
        </w:rPr>
        <w:t>, s</w:t>
      </w:r>
      <w:r w:rsidRPr="00BB7A0B">
        <w:rPr>
          <w:rFonts w:eastAsia="Palatino Linotype" w:cs="Palatino Linotype"/>
          <w:szCs w:val="22"/>
        </w:rPr>
        <w:t xml:space="preserve">iempre y cuando no se trate de información reservada o </w:t>
      </w:r>
      <w:r w:rsidR="00331F35" w:rsidRPr="00BB7A0B">
        <w:rPr>
          <w:rFonts w:eastAsia="Palatino Linotype" w:cs="Palatino Linotype"/>
          <w:szCs w:val="22"/>
        </w:rPr>
        <w:t>confidencial.</w:t>
      </w:r>
    </w:p>
    <w:p w14:paraId="40C5219F" w14:textId="77777777" w:rsidR="001A58B3" w:rsidRPr="00BB7A0B" w:rsidRDefault="001A58B3" w:rsidP="00BB7A0B">
      <w:pPr>
        <w:rPr>
          <w:rFonts w:eastAsia="Palatino Linotype" w:cs="Palatino Linotype"/>
          <w:szCs w:val="22"/>
        </w:rPr>
      </w:pPr>
    </w:p>
    <w:p w14:paraId="51A0E8B4" w14:textId="676DCA47" w:rsidR="00664420" w:rsidRPr="00BB7A0B" w:rsidRDefault="00C71CEF" w:rsidP="00BB7A0B">
      <w:pPr>
        <w:pStyle w:val="Ttulo3"/>
        <w:rPr>
          <w:rFonts w:eastAsia="Calibri"/>
          <w:szCs w:val="22"/>
          <w:lang w:eastAsia="es-ES_tradnl"/>
        </w:rPr>
      </w:pPr>
      <w:bookmarkStart w:id="27" w:name="_heading=h.2s8eyo1" w:colFirst="0" w:colLast="0"/>
      <w:bookmarkStart w:id="28" w:name="_Toc190777005"/>
      <w:bookmarkEnd w:id="27"/>
      <w:r w:rsidRPr="00BB7A0B">
        <w:rPr>
          <w:rFonts w:eastAsia="Calibri"/>
          <w:szCs w:val="22"/>
          <w:lang w:eastAsia="es-ES_tradnl"/>
        </w:rPr>
        <w:t>b)</w:t>
      </w:r>
      <w:r w:rsidR="00A53315" w:rsidRPr="00BB7A0B">
        <w:rPr>
          <w:rFonts w:eastAsia="Calibri"/>
          <w:szCs w:val="22"/>
          <w:lang w:eastAsia="es-ES_tradnl"/>
        </w:rPr>
        <w:t xml:space="preserve"> </w:t>
      </w:r>
      <w:r w:rsidR="00A21A20" w:rsidRPr="00BB7A0B">
        <w:rPr>
          <w:rFonts w:eastAsia="Calibri"/>
          <w:szCs w:val="22"/>
          <w:lang w:eastAsia="es-ES_tradnl"/>
        </w:rPr>
        <w:t>Controversia a resolver</w:t>
      </w:r>
      <w:bookmarkEnd w:id="28"/>
    </w:p>
    <w:p w14:paraId="039C7D80" w14:textId="6E8EA744" w:rsidR="00344B86" w:rsidRPr="00BB7A0B" w:rsidRDefault="00054DD6" w:rsidP="00BB7A0B">
      <w:pPr>
        <w:rPr>
          <w:szCs w:val="22"/>
        </w:rPr>
      </w:pPr>
      <w:r w:rsidRPr="00BB7A0B">
        <w:rPr>
          <w:szCs w:val="22"/>
        </w:rPr>
        <w:t xml:space="preserve">Con el objeto de ilustrar la controversia planteada, resulta conveniente precisar que, una vez realizado el estudio de las constancias que integran el expediente en que se actúa, se desprende que </w:t>
      </w:r>
      <w:r w:rsidRPr="00BB7A0B">
        <w:rPr>
          <w:b/>
          <w:szCs w:val="22"/>
        </w:rPr>
        <w:t>LA PARTE RECURRENTE</w:t>
      </w:r>
      <w:r w:rsidRPr="00BB7A0B">
        <w:rPr>
          <w:szCs w:val="22"/>
        </w:rPr>
        <w:t xml:space="preserve"> solicitó</w:t>
      </w:r>
      <w:r w:rsidR="00F5638D" w:rsidRPr="00BB7A0B">
        <w:rPr>
          <w:szCs w:val="22"/>
        </w:rPr>
        <w:t>:</w:t>
      </w:r>
      <w:r w:rsidR="00344B86" w:rsidRPr="00BB7A0B">
        <w:rPr>
          <w:szCs w:val="22"/>
        </w:rPr>
        <w:t xml:space="preserve"> El Convenio de Prestaciones de Ley y Colaterales de los años 2015, 2016, 2017, 2018, 2019, 2020, 2021, 2022, 2023, 2024 y de ser existente, remitir el correspondiente al año 2025, firmado entre el ente recurrido y las siguientes dependencias: </w:t>
      </w:r>
    </w:p>
    <w:p w14:paraId="4FC7A7D9" w14:textId="77777777" w:rsidR="00344B86" w:rsidRPr="00BB7A0B" w:rsidRDefault="00344B86" w:rsidP="00BB7A0B">
      <w:pPr>
        <w:rPr>
          <w:szCs w:val="22"/>
        </w:rPr>
      </w:pPr>
    </w:p>
    <w:p w14:paraId="397F17FC" w14:textId="280A10D4" w:rsidR="00344B86" w:rsidRPr="00BB7A0B" w:rsidRDefault="00344B86" w:rsidP="00BB7A0B">
      <w:pPr>
        <w:rPr>
          <w:szCs w:val="22"/>
        </w:rPr>
      </w:pPr>
      <w:r w:rsidRPr="00BB7A0B">
        <w:rPr>
          <w:szCs w:val="22"/>
        </w:rPr>
        <w:t>1. Organismo Público Descentralizado para la Prestación de los Servicios de Agua Potable, Alcantarillado y Saneamiento de Cuautitlán Izcalli denominado (OPERAGUA IZCALLI u O.P.D.M.).</w:t>
      </w:r>
    </w:p>
    <w:p w14:paraId="1E94220A" w14:textId="77777777" w:rsidR="00344B86" w:rsidRPr="00BB7A0B" w:rsidRDefault="00344B86" w:rsidP="00BB7A0B">
      <w:pPr>
        <w:rPr>
          <w:szCs w:val="22"/>
        </w:rPr>
      </w:pPr>
    </w:p>
    <w:p w14:paraId="67489C55" w14:textId="77777777" w:rsidR="00344B86" w:rsidRPr="00BB7A0B" w:rsidRDefault="00344B86" w:rsidP="00BB7A0B">
      <w:pPr>
        <w:rPr>
          <w:szCs w:val="22"/>
        </w:rPr>
      </w:pPr>
      <w:r w:rsidRPr="00BB7A0B">
        <w:rPr>
          <w:szCs w:val="22"/>
        </w:rPr>
        <w:t xml:space="preserve">2. Sistema Municipal para el Desarrollo Integral de la Familia de Cuautitlán Izcalli por sus siglas (DIF de Cuautitlán Izcalli) </w:t>
      </w:r>
    </w:p>
    <w:p w14:paraId="5A27F903" w14:textId="77777777" w:rsidR="00344B86" w:rsidRPr="00BB7A0B" w:rsidRDefault="00344B86" w:rsidP="00BB7A0B">
      <w:pPr>
        <w:rPr>
          <w:szCs w:val="22"/>
        </w:rPr>
      </w:pPr>
    </w:p>
    <w:p w14:paraId="76A34579" w14:textId="1D3C3F02" w:rsidR="008204A0" w:rsidRPr="00BB7A0B" w:rsidRDefault="00054DD6" w:rsidP="00BB7A0B">
      <w:pPr>
        <w:autoSpaceDE w:val="0"/>
        <w:autoSpaceDN w:val="0"/>
        <w:adjustRightInd w:val="0"/>
        <w:ind w:right="-28"/>
        <w:rPr>
          <w:rFonts w:cs="Tahoma"/>
          <w:bCs/>
          <w:i/>
          <w:szCs w:val="22"/>
          <w:lang w:val="es-ES"/>
        </w:rPr>
      </w:pPr>
      <w:r w:rsidRPr="00BB7A0B">
        <w:rPr>
          <w:szCs w:val="22"/>
        </w:rPr>
        <w:t xml:space="preserve">En respuesta, </w:t>
      </w:r>
      <w:r w:rsidRPr="00BB7A0B">
        <w:rPr>
          <w:b/>
          <w:szCs w:val="22"/>
        </w:rPr>
        <w:t>EL SUJETO OBLIGADO</w:t>
      </w:r>
      <w:r w:rsidRPr="00BB7A0B">
        <w:rPr>
          <w:szCs w:val="22"/>
        </w:rPr>
        <w:t xml:space="preserve"> </w:t>
      </w:r>
      <w:r w:rsidR="008204A0" w:rsidRPr="00BB7A0B">
        <w:rPr>
          <w:szCs w:val="22"/>
        </w:rPr>
        <w:t>se pronunció por medio d</w:t>
      </w:r>
      <w:r w:rsidR="008204A0" w:rsidRPr="00BB7A0B">
        <w:rPr>
          <w:rFonts w:cs="Tahoma"/>
          <w:bCs/>
          <w:szCs w:val="22"/>
          <w:lang w:val="es-ES"/>
        </w:rPr>
        <w:t>el Titular de la Unidad de Transparencia, en el que</w:t>
      </w:r>
      <w:r w:rsidR="008204A0" w:rsidRPr="00BB7A0B">
        <w:rPr>
          <w:szCs w:val="22"/>
        </w:rPr>
        <w:t xml:space="preserve"> informó que en archivo adjunto, remitía copia digitalizada de los Convenios de Prestaciones de Ley y Colaterales de los años 2015, 2016, 2017, 2018, 2019, 2020, 2021, 2022, 2023 y 2024 firmados con el H. Ayuntamiento y el Organismo Público Descentralizado para la prestación de los servicios de agua potable, alcantarillado y saneamiento del municipio de Cuautitlán Izcalli Estado de México, precisando que por lo que respecta al Convenio de Prestaciones de Ley y Colaterales del año 2025 aún no se ha firmado, razón por la cual no es posible entregarlo.</w:t>
      </w:r>
    </w:p>
    <w:p w14:paraId="20A66679" w14:textId="77777777" w:rsidR="00054DD6" w:rsidRPr="00BB7A0B" w:rsidRDefault="00054DD6" w:rsidP="00BB7A0B">
      <w:pPr>
        <w:tabs>
          <w:tab w:val="left" w:pos="4962"/>
        </w:tabs>
        <w:rPr>
          <w:szCs w:val="22"/>
        </w:rPr>
      </w:pPr>
    </w:p>
    <w:p w14:paraId="2AB5E528" w14:textId="324EC798" w:rsidR="00054DD6" w:rsidRPr="00BB7A0B" w:rsidRDefault="00054DD6" w:rsidP="00BB7A0B">
      <w:pPr>
        <w:tabs>
          <w:tab w:val="left" w:pos="4962"/>
        </w:tabs>
        <w:rPr>
          <w:szCs w:val="22"/>
        </w:rPr>
      </w:pPr>
      <w:r w:rsidRPr="00BB7A0B">
        <w:rPr>
          <w:szCs w:val="22"/>
        </w:rPr>
        <w:t xml:space="preserve">Ahora bien, en la interposición del presente recurso </w:t>
      </w:r>
      <w:r w:rsidRPr="00BB7A0B">
        <w:rPr>
          <w:b/>
          <w:szCs w:val="22"/>
        </w:rPr>
        <w:t>LA PARTE RECURRENTE</w:t>
      </w:r>
      <w:r w:rsidRPr="00BB7A0B">
        <w:rPr>
          <w:szCs w:val="22"/>
        </w:rPr>
        <w:t xml:space="preserve"> se inconformó </w:t>
      </w:r>
      <w:r w:rsidR="007A2FF2" w:rsidRPr="00BB7A0B">
        <w:rPr>
          <w:szCs w:val="22"/>
        </w:rPr>
        <w:t xml:space="preserve">manifestando que </w:t>
      </w:r>
      <w:r w:rsidR="008204A0" w:rsidRPr="00BB7A0B">
        <w:rPr>
          <w:szCs w:val="22"/>
        </w:rPr>
        <w:t xml:space="preserve">la información entregada </w:t>
      </w:r>
      <w:r w:rsidR="008204A0" w:rsidRPr="00BB7A0B">
        <w:t xml:space="preserve">es incompleta al ser omisa en pronunciarse respecto de la existencia o inexistencia de los convenios de prestaciones de ley y colaterales firmados entre dicho sindicato y el Sistema Municipal de Desarrollo Integral de la Familia de Cuautitlán Izcalli correspondiente a los años 2015, 2016, 2017, 2018, 2019, 2020, 2021, 2022, 2023, 2024. </w:t>
      </w:r>
      <w:r w:rsidR="00ED2525" w:rsidRPr="00BB7A0B">
        <w:rPr>
          <w:szCs w:val="22"/>
        </w:rPr>
        <w:t xml:space="preserve"> </w:t>
      </w:r>
    </w:p>
    <w:p w14:paraId="05ADF87E" w14:textId="77777777" w:rsidR="00B03716" w:rsidRPr="00BB7A0B" w:rsidRDefault="00B03716" w:rsidP="00BB7A0B">
      <w:pPr>
        <w:rPr>
          <w:szCs w:val="22"/>
          <w:lang w:val="es-ES"/>
        </w:rPr>
      </w:pPr>
    </w:p>
    <w:p w14:paraId="277A5CD3" w14:textId="4C10DA96" w:rsidR="007750EB" w:rsidRPr="00BB7A0B" w:rsidRDefault="007A2FF2" w:rsidP="00BB7A0B">
      <w:pPr>
        <w:rPr>
          <w:szCs w:val="22"/>
        </w:rPr>
      </w:pPr>
      <w:r w:rsidRPr="00BB7A0B">
        <w:rPr>
          <w:szCs w:val="22"/>
          <w:lang w:val="es-ES"/>
        </w:rPr>
        <w:t xml:space="preserve">Abierta la etapa de instrucción, </w:t>
      </w:r>
      <w:r w:rsidRPr="00BB7A0B">
        <w:rPr>
          <w:b/>
          <w:szCs w:val="22"/>
          <w:lang w:val="es-ES"/>
        </w:rPr>
        <w:t>EL SUJETO OBLIGADO</w:t>
      </w:r>
      <w:r w:rsidRPr="00BB7A0B">
        <w:rPr>
          <w:szCs w:val="22"/>
          <w:lang w:val="es-ES"/>
        </w:rPr>
        <w:t xml:space="preserve"> rindió su Informe Justificado</w:t>
      </w:r>
      <w:r w:rsidR="0022059D" w:rsidRPr="00BB7A0B">
        <w:rPr>
          <w:szCs w:val="22"/>
          <w:lang w:val="es-ES"/>
        </w:rPr>
        <w:t xml:space="preserve"> </w:t>
      </w:r>
      <w:r w:rsidR="00100134" w:rsidRPr="00BB7A0B">
        <w:rPr>
          <w:szCs w:val="22"/>
          <w:lang w:val="es-ES"/>
        </w:rPr>
        <w:t>aduciendo la inconformidad del particular</w:t>
      </w:r>
      <w:r w:rsidR="004B030F" w:rsidRPr="00BB7A0B">
        <w:rPr>
          <w:szCs w:val="22"/>
          <w:lang w:val="es-ES"/>
        </w:rPr>
        <w:t xml:space="preserve">, manifestando que no hace entrega de los Convenios de Prestaciones de Ley y Colaterales del Sistema Municipal para el Desarrollo </w:t>
      </w:r>
      <w:r w:rsidR="004B030F" w:rsidRPr="00BB7A0B">
        <w:rPr>
          <w:szCs w:val="22"/>
          <w:lang w:val="es-ES"/>
        </w:rPr>
        <w:lastRenderedPageBreak/>
        <w:t>Integral de la Familia de Cuautitlán Izcalli por sus siglas (DIF de Cuautitlán Izcalli), dado que no se firma Convenio al no haber servidores públicos sindicalizados en dicho organismo.</w:t>
      </w:r>
    </w:p>
    <w:p w14:paraId="098EF00F" w14:textId="77777777" w:rsidR="007750EB" w:rsidRPr="00BB7A0B" w:rsidRDefault="007750EB" w:rsidP="00BB7A0B">
      <w:pPr>
        <w:rPr>
          <w:szCs w:val="22"/>
        </w:rPr>
      </w:pPr>
    </w:p>
    <w:p w14:paraId="0EC84398" w14:textId="1C47CCF7" w:rsidR="007A2FF2" w:rsidRPr="00BB7A0B" w:rsidRDefault="007A2FF2" w:rsidP="00BB7A0B">
      <w:pPr>
        <w:rPr>
          <w:rFonts w:eastAsia="Palatino Linotype" w:cs="Palatino Linotype"/>
          <w:szCs w:val="22"/>
        </w:rPr>
      </w:pPr>
      <w:r w:rsidRPr="00BB7A0B">
        <w:rPr>
          <w:rFonts w:eastAsia="Palatino Linotype" w:cs="Palatino Linotype"/>
          <w:szCs w:val="22"/>
        </w:rPr>
        <w:t xml:space="preserve">Bajo las premisas anteriores, se concluye que la controversia a dilucidar en el presente medio de impugnación será verificar si la información proporcionada en respuesta </w:t>
      </w:r>
      <w:r w:rsidR="0022059D" w:rsidRPr="00BB7A0B">
        <w:rPr>
          <w:rFonts w:eastAsia="Palatino Linotype" w:cs="Palatino Linotype"/>
          <w:szCs w:val="22"/>
        </w:rPr>
        <w:t xml:space="preserve">e informe justificado </w:t>
      </w:r>
      <w:r w:rsidRPr="00BB7A0B">
        <w:rPr>
          <w:rFonts w:eastAsia="Palatino Linotype" w:cs="Palatino Linotype"/>
          <w:szCs w:val="22"/>
        </w:rPr>
        <w:t xml:space="preserve">por </w:t>
      </w:r>
      <w:r w:rsidRPr="00BB7A0B">
        <w:rPr>
          <w:rFonts w:eastAsia="Palatino Linotype" w:cs="Palatino Linotype"/>
          <w:b/>
          <w:szCs w:val="22"/>
        </w:rPr>
        <w:t>EL SUJETO OBLIGADO</w:t>
      </w:r>
      <w:r w:rsidRPr="00BB7A0B">
        <w:rPr>
          <w:rFonts w:eastAsia="Palatino Linotype" w:cs="Palatino Linotype"/>
          <w:szCs w:val="22"/>
        </w:rPr>
        <w:t xml:space="preserve"> es adecuada y suficiente para </w:t>
      </w:r>
      <w:r w:rsidR="003202F3" w:rsidRPr="00BB7A0B">
        <w:rPr>
          <w:rFonts w:eastAsia="Palatino Linotype" w:cs="Palatino Linotype"/>
          <w:szCs w:val="22"/>
        </w:rPr>
        <w:t>tener por satisfecho</w:t>
      </w:r>
      <w:r w:rsidRPr="00BB7A0B">
        <w:rPr>
          <w:rFonts w:eastAsia="Palatino Linotype" w:cs="Palatino Linotype"/>
          <w:szCs w:val="22"/>
        </w:rPr>
        <w:t xml:space="preserve"> el derecho de acceso a la información pública de </w:t>
      </w:r>
      <w:r w:rsidR="00FD3312" w:rsidRPr="00BB7A0B">
        <w:rPr>
          <w:rFonts w:eastAsia="Palatino Linotype" w:cs="Palatino Linotype"/>
          <w:b/>
          <w:szCs w:val="22"/>
        </w:rPr>
        <w:t>LA PARTE RECURRENTE</w:t>
      </w:r>
      <w:r w:rsidR="00FD3312" w:rsidRPr="00BB7A0B">
        <w:rPr>
          <w:rFonts w:eastAsia="Palatino Linotype" w:cs="Palatino Linotype"/>
          <w:szCs w:val="22"/>
        </w:rPr>
        <w:t>, o en su caso, ordenar la entrega de la información que corresponda.</w:t>
      </w:r>
    </w:p>
    <w:p w14:paraId="0367304D" w14:textId="77777777" w:rsidR="00D1540D" w:rsidRPr="00BB7A0B" w:rsidRDefault="00D1540D" w:rsidP="00BB7A0B">
      <w:pPr>
        <w:rPr>
          <w:szCs w:val="22"/>
        </w:rPr>
      </w:pPr>
    </w:p>
    <w:p w14:paraId="4BE8B1A3" w14:textId="77777777" w:rsidR="00054DD6" w:rsidRPr="00BB7A0B" w:rsidRDefault="00054DD6" w:rsidP="00BB7A0B">
      <w:pPr>
        <w:pStyle w:val="Ttulo3"/>
        <w:rPr>
          <w:szCs w:val="22"/>
        </w:rPr>
      </w:pPr>
      <w:bookmarkStart w:id="29" w:name="_Toc172722181"/>
      <w:bookmarkStart w:id="30" w:name="_Toc190777006"/>
      <w:r w:rsidRPr="00BB7A0B">
        <w:rPr>
          <w:szCs w:val="22"/>
        </w:rPr>
        <w:t>c) Estudio de la controversia</w:t>
      </w:r>
      <w:bookmarkEnd w:id="29"/>
      <w:bookmarkEnd w:id="30"/>
    </w:p>
    <w:p w14:paraId="2035A01D" w14:textId="3C695995" w:rsidR="00A557BD" w:rsidRPr="00BB7A0B" w:rsidRDefault="00A557BD" w:rsidP="00BB7A0B">
      <w:pPr>
        <w:ind w:right="113"/>
        <w:rPr>
          <w:szCs w:val="22"/>
          <w:lang w:val="es-ES"/>
        </w:rPr>
      </w:pPr>
      <w:r w:rsidRPr="00BB7A0B">
        <w:rPr>
          <w:rFonts w:cs="Arial"/>
          <w:szCs w:val="22"/>
        </w:rPr>
        <w:t xml:space="preserve">Expuesto lo anterior, como primer punto, es toral señalar que </w:t>
      </w:r>
      <w:r w:rsidRPr="00BB7A0B">
        <w:t xml:space="preserve">este Órgano </w:t>
      </w:r>
      <w:proofErr w:type="spellStart"/>
      <w:r w:rsidRPr="00BB7A0B">
        <w:t>Resolutor</w:t>
      </w:r>
      <w:proofErr w:type="spellEnd"/>
      <w:r w:rsidRPr="00BB7A0B">
        <w:rPr>
          <w:rFonts w:cs="Arial"/>
          <w:szCs w:val="22"/>
        </w:rPr>
        <w:t xml:space="preserve"> del análisis a la inconformidad presentada por </w:t>
      </w:r>
      <w:r w:rsidRPr="00BB7A0B">
        <w:rPr>
          <w:rFonts w:cs="Arial"/>
          <w:b/>
          <w:szCs w:val="22"/>
        </w:rPr>
        <w:t xml:space="preserve">LA PARTE RECURRENTE </w:t>
      </w:r>
      <w:r w:rsidRPr="00BB7A0B">
        <w:rPr>
          <w:rFonts w:cs="Arial"/>
          <w:szCs w:val="22"/>
        </w:rPr>
        <w:t>advierte que existe un consentimiento tácito</w:t>
      </w:r>
      <w:r w:rsidRPr="00BB7A0B">
        <w:rPr>
          <w:rFonts w:cs="Arial"/>
          <w:b/>
          <w:szCs w:val="22"/>
        </w:rPr>
        <w:t xml:space="preserve"> respecto del pronunciamiento y de las documentales presentadas por EL SUJETO OBLIGADO </w:t>
      </w:r>
      <w:r w:rsidRPr="00BB7A0B">
        <w:rPr>
          <w:szCs w:val="22"/>
        </w:rPr>
        <w:t xml:space="preserve">en respuesta, en razón de que al presentar el medio de impugnación no manifestó inconformidad alguna  respecto de la información proporcionada sino únicamente de la </w:t>
      </w:r>
      <w:r w:rsidR="009C6F85" w:rsidRPr="00BB7A0B">
        <w:rPr>
          <w:szCs w:val="22"/>
        </w:rPr>
        <w:t>información faltante respecto del Convenio de Prestaciones de Ley y Colaterales del Sistema Municipal para el Desarrollo Integral de la Familia de Cuautitlán Izcalli por sus siglas (DIF de Cuautitlán Izcalli).</w:t>
      </w:r>
    </w:p>
    <w:p w14:paraId="444C2950" w14:textId="77777777" w:rsidR="00A557BD" w:rsidRPr="00BB7A0B" w:rsidRDefault="00A557BD" w:rsidP="00BB7A0B">
      <w:pPr>
        <w:spacing w:before="240" w:after="240"/>
        <w:ind w:right="49"/>
        <w:rPr>
          <w:szCs w:val="22"/>
        </w:rPr>
      </w:pPr>
      <w:r w:rsidRPr="00BB7A0B">
        <w:rPr>
          <w:szCs w:val="22"/>
          <w:lang w:val="es-ES"/>
        </w:rPr>
        <w:t xml:space="preserve">En ese tenor, por </w:t>
      </w:r>
      <w:r w:rsidRPr="00BB7A0B">
        <w:rPr>
          <w:szCs w:val="22"/>
        </w:rPr>
        <w:t xml:space="preserve">consiguiente, la parte de la respuesta que no fue impugnada debe declararse </w:t>
      </w:r>
      <w:r w:rsidRPr="00BB7A0B">
        <w:rPr>
          <w:b/>
          <w:szCs w:val="22"/>
        </w:rPr>
        <w:t>consentida</w:t>
      </w:r>
      <w:r w:rsidRPr="00BB7A0B">
        <w:rPr>
          <w:szCs w:val="22"/>
        </w:rPr>
        <w:t xml:space="preserve"> por </w:t>
      </w:r>
      <w:r w:rsidRPr="00BB7A0B">
        <w:rPr>
          <w:b/>
          <w:szCs w:val="22"/>
        </w:rPr>
        <w:t>LA PARTE RECURRENTE</w:t>
      </w:r>
      <w:r w:rsidRPr="00BB7A0B">
        <w:rPr>
          <w:szCs w:val="22"/>
        </w:rPr>
        <w:t xml:space="preserve">; pues por dichos rubros no expresó manifestaciones de inconformidad, por lo que no pueden producirse efectos jurídicos </w:t>
      </w:r>
      <w:r w:rsidRPr="00BB7A0B">
        <w:rPr>
          <w:szCs w:val="22"/>
        </w:rPr>
        <w:lastRenderedPageBreak/>
        <w:t xml:space="preserve">tendentes a revocar, confirmar o modificar el acto reclamado, ya que se infiere un consentimiento tácito de </w:t>
      </w:r>
      <w:r w:rsidRPr="00BB7A0B">
        <w:rPr>
          <w:b/>
          <w:szCs w:val="22"/>
        </w:rPr>
        <w:t>LA PARTE RECURRENTE</w:t>
      </w:r>
      <w:r w:rsidRPr="00BB7A0B">
        <w:rPr>
          <w:szCs w:val="22"/>
        </w:rPr>
        <w:t xml:space="preserve"> ante la falta de impugnación eficaz. </w:t>
      </w:r>
    </w:p>
    <w:p w14:paraId="38D9C56B" w14:textId="5DD529BE" w:rsidR="00A557BD" w:rsidRPr="00BB7A0B" w:rsidRDefault="00A557BD" w:rsidP="00BB7A0B">
      <w:pPr>
        <w:widowControl w:val="0"/>
        <w:rPr>
          <w:szCs w:val="22"/>
          <w:lang w:val="es-ES_tradnl"/>
        </w:rPr>
      </w:pPr>
      <w:r w:rsidRPr="00BB7A0B">
        <w:rPr>
          <w:szCs w:val="22"/>
          <w:lang w:val="es-ES_tradnl"/>
        </w:rPr>
        <w:t>Por tal circunstancia, en la presente resolución no se hará pronunciamiento sobre las documentales proporcionada</w:t>
      </w:r>
      <w:r w:rsidR="009C6F85" w:rsidRPr="00BB7A0B">
        <w:rPr>
          <w:szCs w:val="22"/>
          <w:lang w:val="es-ES_tradnl"/>
        </w:rPr>
        <w:t>s</w:t>
      </w:r>
      <w:r w:rsidRPr="00BB7A0B">
        <w:rPr>
          <w:szCs w:val="22"/>
          <w:lang w:val="es-ES_tradnl"/>
        </w:rPr>
        <w:t xml:space="preserve"> por </w:t>
      </w:r>
      <w:r w:rsidR="009C6F85" w:rsidRPr="00BB7A0B">
        <w:rPr>
          <w:b/>
          <w:szCs w:val="22"/>
          <w:lang w:val="es-ES_tradnl"/>
        </w:rPr>
        <w:t xml:space="preserve">EL SUJETO </w:t>
      </w:r>
      <w:r w:rsidRPr="00BB7A0B">
        <w:rPr>
          <w:b/>
          <w:szCs w:val="22"/>
          <w:lang w:val="es-ES_tradnl"/>
        </w:rPr>
        <w:t>OBLIGADO</w:t>
      </w:r>
      <w:r w:rsidRPr="00BB7A0B">
        <w:rPr>
          <w:szCs w:val="22"/>
          <w:lang w:val="es-ES_tradnl"/>
        </w:rPr>
        <w:t xml:space="preserve">, 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15776E2B" w14:textId="77777777" w:rsidR="00A557BD" w:rsidRPr="00BB7A0B" w:rsidRDefault="00A557BD" w:rsidP="00BB7A0B">
      <w:pPr>
        <w:widowControl w:val="0"/>
        <w:rPr>
          <w:szCs w:val="22"/>
        </w:rPr>
      </w:pPr>
    </w:p>
    <w:p w14:paraId="21CA285C" w14:textId="77777777" w:rsidR="00A557BD" w:rsidRPr="00BB7A0B" w:rsidRDefault="00A557BD" w:rsidP="00BB7A0B">
      <w:pPr>
        <w:rPr>
          <w:szCs w:val="22"/>
          <w:lang w:val="es-ES_tradnl"/>
        </w:rPr>
      </w:pPr>
      <w:r w:rsidRPr="00BB7A0B">
        <w:rPr>
          <w:szCs w:val="22"/>
          <w:lang w:val="es-ES_tradnl"/>
        </w:rPr>
        <w:t>Sirve de sustento, la tesis jurisprudencial número VI.3o.C. J/60, publicada en el Semanario Judicial de la Federación y su Gaceta bajo el número de registro 176,608 que a la letra dice:</w:t>
      </w:r>
    </w:p>
    <w:p w14:paraId="637B28DD" w14:textId="77777777" w:rsidR="00A557BD" w:rsidRPr="00BB7A0B" w:rsidRDefault="00A557BD" w:rsidP="00BB7A0B">
      <w:pPr>
        <w:rPr>
          <w:szCs w:val="22"/>
          <w:lang w:val="es-ES_tradnl"/>
        </w:rPr>
      </w:pPr>
    </w:p>
    <w:p w14:paraId="06DB7F27" w14:textId="77777777" w:rsidR="00A557BD" w:rsidRPr="00BB7A0B" w:rsidRDefault="00A557BD" w:rsidP="00BB7A0B">
      <w:pPr>
        <w:pStyle w:val="Puesto"/>
        <w:rPr>
          <w:lang w:val="es-ES_tradnl"/>
        </w:rPr>
      </w:pPr>
      <w:r w:rsidRPr="00BB7A0B">
        <w:rPr>
          <w:bCs/>
          <w:lang w:val="es-ES_tradnl"/>
        </w:rPr>
        <w:t>“</w:t>
      </w:r>
      <w:r w:rsidRPr="00BB7A0B">
        <w:rPr>
          <w:b/>
          <w:bCs/>
          <w:lang w:val="es-ES_tradnl"/>
        </w:rPr>
        <w:t xml:space="preserve">ACTOS CONSENTIDOS. SON LOS QUE NO SE IMPUGNAN MEDIANTE EL RECURSO IDÓNEO. </w:t>
      </w:r>
      <w:r w:rsidRPr="00BB7A0B">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2DA9BEFB" w14:textId="77777777" w:rsidR="00A557BD" w:rsidRPr="00BB7A0B" w:rsidRDefault="00A557BD" w:rsidP="00BB7A0B">
      <w:pPr>
        <w:rPr>
          <w:i/>
          <w:szCs w:val="22"/>
          <w:lang w:val="es-ES_tradnl"/>
        </w:rPr>
      </w:pPr>
    </w:p>
    <w:p w14:paraId="6410656B" w14:textId="0091496E" w:rsidR="00A557BD" w:rsidRPr="00BB7A0B" w:rsidRDefault="00A557BD" w:rsidP="00BB7A0B">
      <w:pPr>
        <w:rPr>
          <w:szCs w:val="22"/>
          <w:lang w:val="es-ES_tradnl"/>
        </w:rPr>
      </w:pPr>
      <w:r w:rsidRPr="00BB7A0B">
        <w:rPr>
          <w:szCs w:val="22"/>
          <w:lang w:val="es-ES_tradnl"/>
        </w:rPr>
        <w:t>Lo anterior es así, debido a que cuando el particular</w:t>
      </w:r>
      <w:r w:rsidRPr="00BB7A0B">
        <w:rPr>
          <w:b/>
          <w:szCs w:val="22"/>
          <w:lang w:val="es-ES_tradnl"/>
        </w:rPr>
        <w:t xml:space="preserve"> </w:t>
      </w:r>
      <w:r w:rsidRPr="00BB7A0B">
        <w:rPr>
          <w:szCs w:val="22"/>
          <w:lang w:val="es-ES_tradnl"/>
        </w:rPr>
        <w:t xml:space="preserve">impugnó la respuesta del </w:t>
      </w:r>
      <w:r w:rsidRPr="00BB7A0B">
        <w:rPr>
          <w:b/>
          <w:szCs w:val="22"/>
          <w:lang w:val="es-ES_tradnl"/>
        </w:rPr>
        <w:t>SUJETO OBLIGADO</w:t>
      </w:r>
      <w:r w:rsidRPr="00BB7A0B">
        <w:rPr>
          <w:szCs w:val="22"/>
          <w:lang w:val="es-ES_tradnl"/>
        </w:rPr>
        <w:t xml:space="preserve">, y no expresó razón o motivo de inconformidad en contra de los rubros entregados, dichos rubros deben declararse atendidos, pues se entiende que </w:t>
      </w:r>
      <w:r w:rsidRPr="00BB7A0B">
        <w:rPr>
          <w:b/>
          <w:szCs w:val="22"/>
          <w:lang w:val="es-ES_tradnl"/>
        </w:rPr>
        <w:t>L</w:t>
      </w:r>
      <w:r w:rsidR="00931E7F" w:rsidRPr="00BB7A0B">
        <w:rPr>
          <w:b/>
          <w:szCs w:val="22"/>
          <w:lang w:val="es-ES_tradnl"/>
        </w:rPr>
        <w:t>A PARTE</w:t>
      </w:r>
      <w:r w:rsidRPr="00BB7A0B">
        <w:rPr>
          <w:b/>
          <w:szCs w:val="22"/>
          <w:lang w:val="es-ES_tradnl"/>
        </w:rPr>
        <w:t xml:space="preserve"> RECURRENTE</w:t>
      </w:r>
      <w:r w:rsidRPr="00BB7A0B">
        <w:rPr>
          <w:szCs w:val="22"/>
          <w:lang w:val="es-ES_tradnl"/>
        </w:rPr>
        <w:t xml:space="preserve"> está conforme con la respuesta proporcionada por </w:t>
      </w:r>
      <w:r w:rsidRPr="00BB7A0B">
        <w:rPr>
          <w:b/>
          <w:szCs w:val="22"/>
          <w:lang w:val="es-ES_tradnl"/>
        </w:rPr>
        <w:t>EL SUJETO OBLIGADO</w:t>
      </w:r>
      <w:r w:rsidRPr="00BB7A0B">
        <w:rPr>
          <w:szCs w:val="22"/>
          <w:lang w:val="es-ES_tradnl"/>
        </w:rPr>
        <w:t xml:space="preserve">, al no contravenir la misma. </w:t>
      </w:r>
    </w:p>
    <w:p w14:paraId="640FA996" w14:textId="77777777" w:rsidR="00A557BD" w:rsidRPr="00BB7A0B" w:rsidRDefault="00A557BD" w:rsidP="00BB7A0B">
      <w:pPr>
        <w:rPr>
          <w:szCs w:val="22"/>
          <w:lang w:val="es-ES_tradnl"/>
        </w:rPr>
      </w:pPr>
    </w:p>
    <w:p w14:paraId="47E9D907" w14:textId="77777777" w:rsidR="00A557BD" w:rsidRPr="00BB7A0B" w:rsidRDefault="00A557BD" w:rsidP="00BB7A0B">
      <w:pPr>
        <w:rPr>
          <w:szCs w:val="22"/>
          <w:lang w:val="es-ES_tradnl"/>
        </w:rPr>
      </w:pPr>
      <w:r w:rsidRPr="00BB7A0B">
        <w:rPr>
          <w:szCs w:val="22"/>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7137ACD8" w14:textId="77777777" w:rsidR="00A557BD" w:rsidRPr="00BB7A0B" w:rsidRDefault="00A557BD" w:rsidP="00BB7A0B">
      <w:pPr>
        <w:rPr>
          <w:szCs w:val="22"/>
          <w:lang w:val="es-ES_tradnl"/>
        </w:rPr>
      </w:pPr>
    </w:p>
    <w:p w14:paraId="7FEEC95C" w14:textId="77777777" w:rsidR="00A557BD" w:rsidRPr="00BB7A0B" w:rsidRDefault="00A557BD" w:rsidP="00BB7A0B">
      <w:pPr>
        <w:pStyle w:val="Puesto"/>
        <w:rPr>
          <w:lang w:val="es-ES_tradnl"/>
        </w:rPr>
      </w:pPr>
      <w:r w:rsidRPr="00BB7A0B">
        <w:rPr>
          <w:b/>
          <w:lang w:val="es-ES_tradnl"/>
        </w:rPr>
        <w:t xml:space="preserve">“REVISIÓN EN AMPARO. LOS RESOLUTIVOS NO COMBATIDOS DEBEN DECLARARSE FIRMES. </w:t>
      </w:r>
      <w:r w:rsidRPr="00BB7A0B">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06AFC809" w14:textId="77777777" w:rsidR="00A557BD" w:rsidRPr="00BB7A0B" w:rsidRDefault="00A557BD" w:rsidP="00BB7A0B">
      <w:pPr>
        <w:ind w:left="851" w:right="616"/>
        <w:rPr>
          <w:bCs/>
          <w:i/>
          <w:iCs/>
          <w:szCs w:val="22"/>
          <w:lang w:val="es-ES_tradnl"/>
        </w:rPr>
      </w:pPr>
    </w:p>
    <w:p w14:paraId="2099AD41" w14:textId="37F5D5EE" w:rsidR="00A557BD" w:rsidRPr="00BB7A0B" w:rsidRDefault="00A557BD" w:rsidP="00BB7A0B">
      <w:pPr>
        <w:rPr>
          <w:szCs w:val="22"/>
          <w:lang w:val="es-ES_tradnl"/>
        </w:rPr>
      </w:pPr>
      <w:r w:rsidRPr="00BB7A0B">
        <w:rPr>
          <w:szCs w:val="22"/>
          <w:lang w:val="es-ES_tradnl"/>
        </w:rPr>
        <w:t xml:space="preserve">Para mayor precisión a lo aquí expuesto, lo anterior guarda relación toda vez que en el caso de que </w:t>
      </w:r>
      <w:r w:rsidRPr="00BB7A0B">
        <w:rPr>
          <w:b/>
          <w:szCs w:val="22"/>
          <w:lang w:val="es-ES_tradnl"/>
        </w:rPr>
        <w:t>LA PARTE RECURRENTE</w:t>
      </w:r>
      <w:r w:rsidRPr="00BB7A0B">
        <w:rPr>
          <w:szCs w:val="22"/>
          <w:lang w:val="es-ES_tradnl"/>
        </w:rPr>
        <w:t xml:space="preserve"> no haya manifestado su inconformidad en contra del acto en su totalidad </w:t>
      </w:r>
      <w:r w:rsidR="00931E7F" w:rsidRPr="00BB7A0B">
        <w:rPr>
          <w:szCs w:val="22"/>
          <w:lang w:val="es-ES_tradnl"/>
        </w:rPr>
        <w:t xml:space="preserve">y sólo en </w:t>
      </w:r>
      <w:r w:rsidRPr="00BB7A0B">
        <w:rPr>
          <w:szCs w:val="22"/>
          <w:lang w:val="es-ES_tradnl"/>
        </w:rPr>
        <w:t>alguna de sus partes, se tendrá por consentido al no haber realizado argumento alguno que formulara un agravio en su contra, por lo que, en la especie, se válida la respuesta respecto de los documentos remitidos en respuesta y se arriba a la conclusión de que estos quedaron firmes. Situación, que se robustece con el Criterio 01/20, emitido por el Instituto Nacional de Transparencia, Acceso a la Información y Protección de Datos Personales, que establece lo siguiente:</w:t>
      </w:r>
    </w:p>
    <w:p w14:paraId="429861FE" w14:textId="77777777" w:rsidR="00A557BD" w:rsidRPr="00BB7A0B" w:rsidRDefault="00A557BD" w:rsidP="00BB7A0B">
      <w:pPr>
        <w:rPr>
          <w:szCs w:val="22"/>
          <w:lang w:val="es-ES_tradnl"/>
        </w:rPr>
      </w:pPr>
    </w:p>
    <w:p w14:paraId="6AF41CC5" w14:textId="77777777" w:rsidR="00A557BD" w:rsidRPr="00BB7A0B" w:rsidRDefault="00A557BD" w:rsidP="00BB7A0B">
      <w:pPr>
        <w:pStyle w:val="Puesto"/>
      </w:pPr>
      <w:r w:rsidRPr="00BB7A0B">
        <w:rPr>
          <w:b/>
        </w:rPr>
        <w:t xml:space="preserve">“Actos consentidos tácitamente. Improcedencia de su análisis. </w:t>
      </w:r>
      <w:r w:rsidRPr="00BB7A0B">
        <w:t>Si en su recurso de revisión, la persona recurrente no expresó inconformidad alguna con ciertas partes de la respuesta otorgada, se entienden tácitamente consentidas, por ende, no deben formar parte del est</w:t>
      </w:r>
      <w:r w:rsidRPr="00BB7A0B">
        <w:rPr>
          <w:rStyle w:val="PuestoCar"/>
        </w:rPr>
        <w:t>u</w:t>
      </w:r>
      <w:r w:rsidRPr="00BB7A0B">
        <w:t>dio de fondo de la resolución que emite el Instituto.” Sic.</w:t>
      </w:r>
    </w:p>
    <w:p w14:paraId="3200A70E" w14:textId="77777777" w:rsidR="00A557BD" w:rsidRPr="00BB7A0B" w:rsidRDefault="00A557BD" w:rsidP="00BB7A0B">
      <w:pPr>
        <w:rPr>
          <w:szCs w:val="22"/>
        </w:rPr>
      </w:pPr>
    </w:p>
    <w:p w14:paraId="5E1596BB" w14:textId="0728D4D4" w:rsidR="00A557BD" w:rsidRPr="00BB7A0B" w:rsidRDefault="00A557BD" w:rsidP="00BB7A0B">
      <w:pPr>
        <w:autoSpaceDE w:val="0"/>
        <w:autoSpaceDN w:val="0"/>
        <w:adjustRightInd w:val="0"/>
        <w:ind w:right="-28"/>
        <w:rPr>
          <w:bCs/>
          <w:szCs w:val="22"/>
        </w:rPr>
      </w:pPr>
      <w:r w:rsidRPr="00BB7A0B">
        <w:rPr>
          <w:szCs w:val="22"/>
        </w:rPr>
        <w:lastRenderedPageBreak/>
        <w:t xml:space="preserve">Conforme al Criterio establecido y a todo lo antes expuesto, este Órgano Garante no realizará el análisis de </w:t>
      </w:r>
      <w:r w:rsidRPr="00BB7A0B">
        <w:rPr>
          <w:bCs/>
          <w:szCs w:val="22"/>
        </w:rPr>
        <w:t xml:space="preserve">los documentos remitidos mediante respuesta por parte </w:t>
      </w:r>
      <w:r w:rsidRPr="00BB7A0B">
        <w:rPr>
          <w:szCs w:val="22"/>
        </w:rPr>
        <w:t xml:space="preserve">del </w:t>
      </w:r>
      <w:r w:rsidRPr="00BB7A0B">
        <w:rPr>
          <w:b/>
          <w:szCs w:val="22"/>
        </w:rPr>
        <w:t>SUJETO OBLIGADO</w:t>
      </w:r>
      <w:r w:rsidRPr="00BB7A0B">
        <w:rPr>
          <w:szCs w:val="22"/>
        </w:rPr>
        <w:t xml:space="preserve"> que no fueron impugnadas por </w:t>
      </w:r>
      <w:r w:rsidRPr="00BB7A0B">
        <w:rPr>
          <w:b/>
          <w:szCs w:val="22"/>
        </w:rPr>
        <w:t>LA PARTE RECURRENTE</w:t>
      </w:r>
      <w:r w:rsidRPr="00BB7A0B">
        <w:rPr>
          <w:bCs/>
          <w:szCs w:val="22"/>
        </w:rPr>
        <w:t>; esto es, por lo que corresponde a</w:t>
      </w:r>
      <w:r w:rsidR="004E4A30" w:rsidRPr="00BB7A0B">
        <w:rPr>
          <w:bCs/>
          <w:szCs w:val="22"/>
        </w:rPr>
        <w:t xml:space="preserve"> </w:t>
      </w:r>
      <w:r w:rsidRPr="00BB7A0B">
        <w:rPr>
          <w:bCs/>
          <w:szCs w:val="22"/>
        </w:rPr>
        <w:t>l</w:t>
      </w:r>
      <w:r w:rsidR="004E4A30" w:rsidRPr="00BB7A0B">
        <w:rPr>
          <w:bCs/>
          <w:szCs w:val="22"/>
        </w:rPr>
        <w:t xml:space="preserve">a </w:t>
      </w:r>
      <w:r w:rsidR="004E4A30" w:rsidRPr="00BB7A0B">
        <w:rPr>
          <w:szCs w:val="22"/>
        </w:rPr>
        <w:t>copia digitalizada de los Convenios de Prestaciones de Ley y Colaterales de los años 2015, 2016, 2017, 2018, 2019, 2020, 2021, 2022, 2023 y 2024 firmados con el H. Ayuntamiento y el Organismo Público Descentralizado para la prestación de los servicios de agua potable, alcantarillado y saneamiento del municipio de Cuautitlán Izcalli Estado de México, así como la manifestación del año 2025</w:t>
      </w:r>
      <w:r w:rsidRPr="00BB7A0B">
        <w:rPr>
          <w:bCs/>
          <w:szCs w:val="22"/>
        </w:rPr>
        <w:t>, por lo que, en el presente caso, se tiene por consentida dicha información.</w:t>
      </w:r>
    </w:p>
    <w:p w14:paraId="7D446B2E" w14:textId="77777777" w:rsidR="00A557BD" w:rsidRPr="00BB7A0B" w:rsidRDefault="00A557BD" w:rsidP="00BB7A0B">
      <w:pPr>
        <w:rPr>
          <w:bCs/>
          <w:szCs w:val="22"/>
        </w:rPr>
      </w:pPr>
    </w:p>
    <w:p w14:paraId="44D0CF74" w14:textId="0B292FD7" w:rsidR="00A557BD" w:rsidRPr="00BB7A0B" w:rsidRDefault="00A557BD" w:rsidP="00BB7A0B">
      <w:pPr>
        <w:tabs>
          <w:tab w:val="left" w:pos="4962"/>
        </w:tabs>
        <w:rPr>
          <w:rFonts w:cs="Arial"/>
          <w:szCs w:val="22"/>
        </w:rPr>
      </w:pPr>
      <w:r w:rsidRPr="00BB7A0B">
        <w:rPr>
          <w:bCs/>
          <w:szCs w:val="22"/>
        </w:rPr>
        <w:t>Por lo anterior, el presente estudio versará únicamente respecto de</w:t>
      </w:r>
      <w:r w:rsidR="004E4A30" w:rsidRPr="00BB7A0B">
        <w:rPr>
          <w:bCs/>
          <w:szCs w:val="22"/>
        </w:rPr>
        <w:t xml:space="preserve">l motivo de inconformidad referido por la </w:t>
      </w:r>
      <w:r w:rsidR="004E4A30" w:rsidRPr="00BB7A0B">
        <w:rPr>
          <w:b/>
          <w:bCs/>
          <w:szCs w:val="22"/>
        </w:rPr>
        <w:t xml:space="preserve">PARTE RECURRENTE, </w:t>
      </w:r>
      <w:r w:rsidR="00A954FE" w:rsidRPr="00BB7A0B">
        <w:rPr>
          <w:bCs/>
          <w:szCs w:val="22"/>
        </w:rPr>
        <w:t>es decir,</w:t>
      </w:r>
      <w:r w:rsidR="00282DE1" w:rsidRPr="00BB7A0B">
        <w:rPr>
          <w:bCs/>
          <w:szCs w:val="22"/>
        </w:rPr>
        <w:t xml:space="preserve"> sobre la </w:t>
      </w:r>
      <w:r w:rsidR="00282DE1" w:rsidRPr="00BB7A0B">
        <w:t xml:space="preserve">omisión del </w:t>
      </w:r>
      <w:r w:rsidR="00282DE1" w:rsidRPr="00BB7A0B">
        <w:rPr>
          <w:b/>
        </w:rPr>
        <w:t xml:space="preserve">SUJETO OBLIGADO </w:t>
      </w:r>
      <w:r w:rsidR="00282DE1" w:rsidRPr="00BB7A0B">
        <w:t>de pronunciarse respecto de la existencia o inexistencia de los convenios de prestaciones de ley y colaterales firmados entre dicho sindicato y el Sistema Municipal de Desarrollo Integral de la Familia de Cuautitlán Izcalli correspondiente a los años 2015, 2016, 2017, 2018, 2019, 2020, 2021, 2022, 2023, 2024</w:t>
      </w:r>
      <w:r w:rsidRPr="00BB7A0B">
        <w:rPr>
          <w:bCs/>
          <w:szCs w:val="22"/>
        </w:rPr>
        <w:t xml:space="preserve">. </w:t>
      </w:r>
    </w:p>
    <w:p w14:paraId="19B365D7" w14:textId="77777777" w:rsidR="00A557BD" w:rsidRPr="00BB7A0B" w:rsidRDefault="00A557BD" w:rsidP="00BB7A0B">
      <w:pPr>
        <w:ind w:right="113"/>
        <w:rPr>
          <w:rFonts w:cs="Arial"/>
          <w:szCs w:val="22"/>
        </w:rPr>
      </w:pPr>
    </w:p>
    <w:p w14:paraId="1256B4A3" w14:textId="77777777" w:rsidR="00A557BD" w:rsidRPr="00BB7A0B" w:rsidRDefault="00A557BD" w:rsidP="00BB7A0B">
      <w:pPr>
        <w:pStyle w:val="Prrafodelista"/>
        <w:widowControl w:val="0"/>
        <w:autoSpaceDE w:val="0"/>
        <w:autoSpaceDN w:val="0"/>
        <w:adjustRightInd w:val="0"/>
        <w:ind w:left="0"/>
        <w:rPr>
          <w:rFonts w:eastAsia="Arial Unicode MS" w:cs="Arial"/>
        </w:rPr>
      </w:pPr>
      <w:bookmarkStart w:id="31" w:name="_Toc165304079"/>
      <w:bookmarkStart w:id="32" w:name="_Toc170837737"/>
      <w:r w:rsidRPr="00BB7A0B">
        <w:rPr>
          <w:rFonts w:eastAsia="Arial Unicode MS" w:cs="Arial"/>
        </w:rPr>
        <w:t xml:space="preserve">Al respecto, este Órgano Colegiado advierte que en el caso se actualiza la causal de sobreseimiento prevista en la fracción III del artículo 192 de la Ley de Transparencia y Acceso a la Información Pública del Estado de México y Municipios, que a la letra dice: </w:t>
      </w:r>
    </w:p>
    <w:p w14:paraId="235C884A" w14:textId="77777777" w:rsidR="00A557BD" w:rsidRPr="00BB7A0B" w:rsidRDefault="00A557BD" w:rsidP="00BB7A0B">
      <w:pPr>
        <w:rPr>
          <w:rFonts w:eastAsia="Arial Unicode MS" w:cs="Arial"/>
        </w:rPr>
      </w:pPr>
    </w:p>
    <w:p w14:paraId="2FE545C4" w14:textId="77777777" w:rsidR="00A557BD" w:rsidRPr="00BB7A0B" w:rsidRDefault="00A557BD" w:rsidP="00BB7A0B">
      <w:pPr>
        <w:pStyle w:val="Puesto"/>
      </w:pPr>
      <w:r w:rsidRPr="00BB7A0B">
        <w:t>“</w:t>
      </w:r>
      <w:r w:rsidRPr="00BB7A0B">
        <w:rPr>
          <w:b/>
        </w:rPr>
        <w:t xml:space="preserve">Artículo 192. </w:t>
      </w:r>
      <w:r w:rsidRPr="00BB7A0B">
        <w:t>El recurso será sobreseído, en todo o en parte, cuando una vez admitido, se actualicen alguno de los siguientes supuestos:</w:t>
      </w:r>
    </w:p>
    <w:p w14:paraId="09B2439A" w14:textId="77777777" w:rsidR="00A557BD" w:rsidRPr="00BB7A0B" w:rsidRDefault="00A557BD" w:rsidP="00BB7A0B">
      <w:pPr>
        <w:pStyle w:val="Puesto"/>
      </w:pPr>
      <w:r w:rsidRPr="00BB7A0B">
        <w:t>(…)</w:t>
      </w:r>
    </w:p>
    <w:p w14:paraId="16D824CB" w14:textId="77777777" w:rsidR="00A557BD" w:rsidRPr="00BB7A0B" w:rsidRDefault="00A557BD" w:rsidP="00BB7A0B">
      <w:pPr>
        <w:pStyle w:val="Puesto"/>
        <w:rPr>
          <w:b/>
        </w:rPr>
      </w:pPr>
      <w:r w:rsidRPr="00BB7A0B">
        <w:rPr>
          <w:b/>
        </w:rPr>
        <w:lastRenderedPageBreak/>
        <w:t>III. El sujeto obligado responsable del acto lo modifique o revoque de tal manera que el recurso de revisión quede sin materia;</w:t>
      </w:r>
    </w:p>
    <w:p w14:paraId="7D083BE9" w14:textId="77777777" w:rsidR="00A557BD" w:rsidRPr="00BB7A0B" w:rsidRDefault="00A557BD" w:rsidP="00BB7A0B">
      <w:pPr>
        <w:pStyle w:val="Puesto"/>
      </w:pPr>
      <w:r w:rsidRPr="00BB7A0B">
        <w:t xml:space="preserve">(Énfasis añadido)” </w:t>
      </w:r>
    </w:p>
    <w:p w14:paraId="3FEF5461" w14:textId="77777777" w:rsidR="00A557BD" w:rsidRPr="00BB7A0B" w:rsidRDefault="00A557BD" w:rsidP="00BB7A0B">
      <w:pPr>
        <w:rPr>
          <w:rFonts w:cs="Arial"/>
        </w:rPr>
      </w:pPr>
    </w:p>
    <w:p w14:paraId="5B84D518" w14:textId="461C9FD0" w:rsidR="00A557BD" w:rsidRPr="00BB7A0B" w:rsidRDefault="00A557BD" w:rsidP="00BB7A0B">
      <w:pPr>
        <w:rPr>
          <w:rFonts w:cs="Arial"/>
        </w:rPr>
      </w:pPr>
      <w:r w:rsidRPr="00BB7A0B">
        <w:rPr>
          <w:rFonts w:cs="Arial"/>
        </w:rPr>
        <w:t xml:space="preserve">Luego, conforme a la transcripción que antecede, resulta conveniente desglosar los elementos de la disposición enunciada; de tal manera que, el sobreseimiento del Recurso de Revisión se suscita cuando </w:t>
      </w:r>
      <w:r w:rsidRPr="00BB7A0B">
        <w:rPr>
          <w:rFonts w:cs="Arial"/>
          <w:b/>
        </w:rPr>
        <w:t>EL SUJETO OBLIGADO</w:t>
      </w:r>
      <w:r w:rsidRPr="00BB7A0B">
        <w:rPr>
          <w:rFonts w:cs="Arial"/>
        </w:rPr>
        <w:t xml:space="preserve"> modifique o revoque el acto impugnado, quedando éste sin efecto o materia, los elementos a considerar son: </w:t>
      </w:r>
      <w:r w:rsidR="000272D2" w:rsidRPr="00BB7A0B">
        <w:rPr>
          <w:rFonts w:cs="Arial"/>
        </w:rPr>
        <w:t xml:space="preserve"> </w:t>
      </w:r>
    </w:p>
    <w:p w14:paraId="11EFDAFB" w14:textId="77777777" w:rsidR="00A557BD" w:rsidRPr="00BB7A0B" w:rsidRDefault="00A557BD" w:rsidP="00BB7A0B">
      <w:pPr>
        <w:rPr>
          <w:rFonts w:cs="Arial"/>
        </w:rPr>
      </w:pPr>
    </w:p>
    <w:p w14:paraId="39B079D2" w14:textId="77777777" w:rsidR="00A557BD" w:rsidRPr="00BB7A0B" w:rsidRDefault="00A557BD" w:rsidP="00BB7A0B">
      <w:pPr>
        <w:rPr>
          <w:rFonts w:cs="Arial"/>
        </w:rPr>
      </w:pPr>
      <w:r w:rsidRPr="00BB7A0B">
        <w:rPr>
          <w:rFonts w:cs="Arial"/>
        </w:rPr>
        <w:t xml:space="preserve">1.- El sujeto obligado responsable, </w:t>
      </w:r>
    </w:p>
    <w:p w14:paraId="423E2E54" w14:textId="77777777" w:rsidR="00A557BD" w:rsidRPr="00BB7A0B" w:rsidRDefault="00A557BD" w:rsidP="00BB7A0B">
      <w:pPr>
        <w:rPr>
          <w:rFonts w:cs="Arial"/>
        </w:rPr>
      </w:pPr>
      <w:r w:rsidRPr="00BB7A0B">
        <w:rPr>
          <w:rFonts w:cs="Arial"/>
        </w:rPr>
        <w:t xml:space="preserve">2.- Acto, </w:t>
      </w:r>
    </w:p>
    <w:p w14:paraId="66841977" w14:textId="77777777" w:rsidR="00A557BD" w:rsidRPr="00BB7A0B" w:rsidRDefault="00A557BD" w:rsidP="00BB7A0B">
      <w:pPr>
        <w:rPr>
          <w:rFonts w:cs="Arial"/>
        </w:rPr>
      </w:pPr>
      <w:r w:rsidRPr="00BB7A0B">
        <w:rPr>
          <w:rFonts w:cs="Arial"/>
        </w:rPr>
        <w:t>3.- Que se modifique o revoque, y</w:t>
      </w:r>
    </w:p>
    <w:p w14:paraId="74D1D8F9" w14:textId="77777777" w:rsidR="00A557BD" w:rsidRPr="00BB7A0B" w:rsidRDefault="00A557BD" w:rsidP="00BB7A0B">
      <w:pPr>
        <w:rPr>
          <w:rFonts w:cs="Arial"/>
        </w:rPr>
      </w:pPr>
      <w:r w:rsidRPr="00BB7A0B">
        <w:rPr>
          <w:rFonts w:cs="Arial"/>
        </w:rPr>
        <w:t>4.- De tal manera que el medio de impugnación quede sin efecto o materia.</w:t>
      </w:r>
    </w:p>
    <w:p w14:paraId="317DB421" w14:textId="77777777" w:rsidR="00A557BD" w:rsidRPr="00BB7A0B" w:rsidRDefault="00A557BD" w:rsidP="00BB7A0B">
      <w:pPr>
        <w:rPr>
          <w:rFonts w:cs="Arial"/>
        </w:rPr>
      </w:pPr>
    </w:p>
    <w:p w14:paraId="3E743094" w14:textId="39FD26C2" w:rsidR="00A557BD" w:rsidRPr="00BB7A0B" w:rsidRDefault="00A557BD" w:rsidP="00BB7A0B">
      <w:pPr>
        <w:rPr>
          <w:rFonts w:cs="Arial"/>
          <w:b/>
        </w:rPr>
      </w:pPr>
      <w:r w:rsidRPr="00BB7A0B">
        <w:rPr>
          <w:rFonts w:cs="Arial"/>
        </w:rPr>
        <w:t xml:space="preserve">El primer elemento normativo, se actualiza ya que </w:t>
      </w:r>
      <w:r w:rsidRPr="00BB7A0B">
        <w:rPr>
          <w:rFonts w:cs="Arial"/>
          <w:b/>
        </w:rPr>
        <w:t>EL SUJETO OBLIGADO</w:t>
      </w:r>
      <w:r w:rsidRPr="00BB7A0B">
        <w:rPr>
          <w:rFonts w:cs="Arial"/>
        </w:rPr>
        <w:t xml:space="preserve"> responsable, es </w:t>
      </w:r>
      <w:r w:rsidR="000272D2" w:rsidRPr="00BB7A0B">
        <w:rPr>
          <w:rFonts w:cs="Arial"/>
        </w:rPr>
        <w:t>el</w:t>
      </w:r>
      <w:r w:rsidRPr="00BB7A0B">
        <w:rPr>
          <w:rFonts w:cs="Arial"/>
        </w:rPr>
        <w:t xml:space="preserve"> </w:t>
      </w:r>
      <w:r w:rsidR="000272D2" w:rsidRPr="00BB7A0B">
        <w:rPr>
          <w:b/>
          <w:bCs/>
          <w:szCs w:val="22"/>
        </w:rPr>
        <w:t>Sindicato Único de Trabajadores de Los Poderes, Municipios e Instituciones Descentralizadas del Estado de México</w:t>
      </w:r>
      <w:r w:rsidRPr="00BB7A0B">
        <w:rPr>
          <w:rFonts w:cs="Arial"/>
          <w:b/>
        </w:rPr>
        <w:t>.</w:t>
      </w:r>
    </w:p>
    <w:p w14:paraId="0A786866" w14:textId="77777777" w:rsidR="00A557BD" w:rsidRPr="00BB7A0B" w:rsidRDefault="00A557BD" w:rsidP="00BB7A0B">
      <w:pPr>
        <w:rPr>
          <w:rFonts w:cs="Arial"/>
        </w:rPr>
      </w:pPr>
    </w:p>
    <w:p w14:paraId="4849C13C" w14:textId="77777777" w:rsidR="00A557BD" w:rsidRPr="00BB7A0B" w:rsidRDefault="00A557BD" w:rsidP="00BB7A0B">
      <w:pPr>
        <w:rPr>
          <w:rFonts w:cs="Arial"/>
        </w:rPr>
      </w:pPr>
      <w:r w:rsidRPr="00BB7A0B">
        <w:rPr>
          <w:rFonts w:cs="Arial"/>
        </w:rPr>
        <w:t xml:space="preserve">Cabe destacar que, de la respuesta otorgada por </w:t>
      </w:r>
      <w:r w:rsidRPr="00BB7A0B">
        <w:rPr>
          <w:rFonts w:cs="Arial"/>
          <w:b/>
        </w:rPr>
        <w:t>EL SUJETO OBLIGADO</w:t>
      </w:r>
      <w:r w:rsidRPr="00BB7A0B">
        <w:rPr>
          <w:rFonts w:cs="Arial"/>
        </w:rPr>
        <w:t xml:space="preserve">, se desprende el elemento normativo en estudio, el cual se considera como “acto” las respuestas emitidas por los Sujetos Obligados, porque precisamente la evidencia notoria y específica del actuar del </w:t>
      </w:r>
      <w:r w:rsidRPr="00BB7A0B">
        <w:rPr>
          <w:rFonts w:cs="Arial"/>
          <w:b/>
        </w:rPr>
        <w:t>SUJETO OBLIGADO</w:t>
      </w:r>
      <w:r w:rsidRPr="00BB7A0B">
        <w:rPr>
          <w:rFonts w:cs="Arial"/>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w:t>
      </w:r>
      <w:r w:rsidRPr="00BB7A0B">
        <w:rPr>
          <w:rFonts w:cs="Arial"/>
        </w:rPr>
        <w:lastRenderedPageBreak/>
        <w:t xml:space="preserve">facultadas para llevar a cabo lo que expresamente les faculta la Ley; así como, otros ordenamientos jurídicos. </w:t>
      </w:r>
    </w:p>
    <w:p w14:paraId="5086ECC5" w14:textId="77777777" w:rsidR="00A557BD" w:rsidRPr="00BB7A0B" w:rsidRDefault="00A557BD" w:rsidP="00BB7A0B">
      <w:pPr>
        <w:rPr>
          <w:rFonts w:cs="Arial"/>
        </w:rPr>
      </w:pPr>
    </w:p>
    <w:p w14:paraId="63361077" w14:textId="77777777" w:rsidR="00A557BD" w:rsidRPr="00BB7A0B" w:rsidRDefault="00A557BD" w:rsidP="00BB7A0B">
      <w:pPr>
        <w:rPr>
          <w:rFonts w:cs="Arial"/>
        </w:rPr>
      </w:pPr>
      <w:r w:rsidRPr="00BB7A0B">
        <w:rPr>
          <w:rFonts w:cs="Arial"/>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2C228956" w14:textId="77777777" w:rsidR="00A557BD" w:rsidRPr="00BB7A0B" w:rsidRDefault="00A557BD" w:rsidP="00BB7A0B">
      <w:pPr>
        <w:rPr>
          <w:rFonts w:cs="Arial"/>
        </w:rPr>
      </w:pPr>
    </w:p>
    <w:p w14:paraId="43FB757E" w14:textId="77777777" w:rsidR="00A557BD" w:rsidRPr="00BB7A0B" w:rsidRDefault="00A557BD" w:rsidP="00BB7A0B">
      <w:pPr>
        <w:pStyle w:val="Puesto"/>
      </w:pPr>
      <w:r w:rsidRPr="00BB7A0B">
        <w:rPr>
          <w:b/>
        </w:rPr>
        <w:t>“Artículo 53</w:t>
      </w:r>
      <w:r w:rsidRPr="00BB7A0B">
        <w:t xml:space="preserve">. Las Unidades de Transparencia tendrán las siguientes funciones: </w:t>
      </w:r>
    </w:p>
    <w:p w14:paraId="20D74708" w14:textId="77777777" w:rsidR="00A557BD" w:rsidRPr="00BB7A0B" w:rsidRDefault="00A557BD" w:rsidP="00BB7A0B">
      <w:pPr>
        <w:pStyle w:val="Puesto"/>
      </w:pPr>
      <w:r w:rsidRPr="00BB7A0B">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7DCCB2BA" w14:textId="77777777" w:rsidR="00A557BD" w:rsidRPr="00BB7A0B" w:rsidRDefault="00A557BD" w:rsidP="00BB7A0B">
      <w:pPr>
        <w:pStyle w:val="Puesto"/>
      </w:pPr>
      <w:r w:rsidRPr="00BB7A0B">
        <w:t xml:space="preserve">II. Recibir, tramitar y dar respuesta a las solicitudes de acceso a la información; </w:t>
      </w:r>
    </w:p>
    <w:p w14:paraId="30F18BF2" w14:textId="77777777" w:rsidR="00A557BD" w:rsidRPr="00BB7A0B" w:rsidRDefault="00A557BD" w:rsidP="00BB7A0B">
      <w:pPr>
        <w:pStyle w:val="Puesto"/>
      </w:pPr>
      <w:r w:rsidRPr="00BB7A0B">
        <w:t xml:space="preserve">III. Auxiliar a los particulares en la elaboración de solicitudes de acceso a la información y, en su caso, orientarlos sobre los sujetos obligados competentes conforme a la normatividad aplicable; </w:t>
      </w:r>
    </w:p>
    <w:p w14:paraId="3D929EDA" w14:textId="77777777" w:rsidR="00A557BD" w:rsidRPr="00BB7A0B" w:rsidRDefault="00A557BD" w:rsidP="00BB7A0B">
      <w:pPr>
        <w:pStyle w:val="Puesto"/>
      </w:pPr>
      <w:r w:rsidRPr="00BB7A0B">
        <w:t xml:space="preserve">IV. Realizar, con efectividad, los trámites internos necesarios para la atención de las solicitudes de acceso a la información; </w:t>
      </w:r>
    </w:p>
    <w:p w14:paraId="3CE4E62A" w14:textId="77777777" w:rsidR="00A557BD" w:rsidRPr="00BB7A0B" w:rsidRDefault="00A557BD" w:rsidP="00BB7A0B">
      <w:pPr>
        <w:pStyle w:val="Puesto"/>
      </w:pPr>
      <w:r w:rsidRPr="00BB7A0B">
        <w:t xml:space="preserve">V. Entregar, en su caso, a los particulares la información solicitada; </w:t>
      </w:r>
    </w:p>
    <w:p w14:paraId="345EB259" w14:textId="77777777" w:rsidR="00A557BD" w:rsidRPr="00BB7A0B" w:rsidRDefault="00A557BD" w:rsidP="00BB7A0B">
      <w:pPr>
        <w:pStyle w:val="Puesto"/>
      </w:pPr>
      <w:r w:rsidRPr="00BB7A0B">
        <w:t xml:space="preserve">VI. Efectuar las notificaciones a los solicitantes; </w:t>
      </w:r>
    </w:p>
    <w:p w14:paraId="2FECD90C" w14:textId="77777777" w:rsidR="00A557BD" w:rsidRPr="00BB7A0B" w:rsidRDefault="00A557BD" w:rsidP="00BB7A0B">
      <w:pPr>
        <w:pStyle w:val="Puesto"/>
      </w:pPr>
      <w:r w:rsidRPr="00BB7A0B">
        <w:t xml:space="preserve">VII. Proponer al Comité de Transparencia, los procedimientos internos que aseguren la mayor eficiencia en la gestión de las solicitudes de acceso a la información, conforme a la normatividad aplicable; </w:t>
      </w:r>
    </w:p>
    <w:p w14:paraId="2C4F7D99" w14:textId="77777777" w:rsidR="00A557BD" w:rsidRPr="00BB7A0B" w:rsidRDefault="00A557BD" w:rsidP="00BB7A0B">
      <w:pPr>
        <w:pStyle w:val="Puesto"/>
      </w:pPr>
      <w:r w:rsidRPr="00BB7A0B">
        <w:t xml:space="preserve">VIII. Proponer a quien preside el Comité de Transparencia, personal habilitado que sea necesario para recibir y dar trámite a las solicitudes de acceso a la información; </w:t>
      </w:r>
    </w:p>
    <w:p w14:paraId="00922111" w14:textId="77777777" w:rsidR="00A557BD" w:rsidRPr="00BB7A0B" w:rsidRDefault="00A557BD" w:rsidP="00BB7A0B">
      <w:pPr>
        <w:pStyle w:val="Puesto"/>
      </w:pPr>
      <w:r w:rsidRPr="00BB7A0B">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010B2B6C" w14:textId="77777777" w:rsidR="00A557BD" w:rsidRPr="00BB7A0B" w:rsidRDefault="00A557BD" w:rsidP="00BB7A0B">
      <w:pPr>
        <w:pStyle w:val="Puesto"/>
      </w:pPr>
      <w:r w:rsidRPr="00BB7A0B">
        <w:lastRenderedPageBreak/>
        <w:t xml:space="preserve">X. Presentar ante el Comité, el proyecto de clasificación de información; </w:t>
      </w:r>
    </w:p>
    <w:p w14:paraId="248D8217" w14:textId="77777777" w:rsidR="00A557BD" w:rsidRPr="00BB7A0B" w:rsidRDefault="00A557BD" w:rsidP="00BB7A0B">
      <w:pPr>
        <w:pStyle w:val="Puesto"/>
      </w:pPr>
      <w:r w:rsidRPr="00BB7A0B">
        <w:t xml:space="preserve">XI. Promover e implementar políticas de transparencia proactiva procurando su accesibilidad; </w:t>
      </w:r>
    </w:p>
    <w:p w14:paraId="63C45FA4" w14:textId="77777777" w:rsidR="00A557BD" w:rsidRPr="00BB7A0B" w:rsidRDefault="00A557BD" w:rsidP="00BB7A0B">
      <w:pPr>
        <w:pStyle w:val="Puesto"/>
      </w:pPr>
      <w:r w:rsidRPr="00BB7A0B">
        <w:t xml:space="preserve">XII. Fomentar la transparencia y accesibilidad al interior del sujeto obligado; </w:t>
      </w:r>
    </w:p>
    <w:p w14:paraId="7F95F95E" w14:textId="77777777" w:rsidR="00A557BD" w:rsidRPr="00BB7A0B" w:rsidRDefault="00A557BD" w:rsidP="00BB7A0B">
      <w:pPr>
        <w:pStyle w:val="Puesto"/>
      </w:pPr>
      <w:r w:rsidRPr="00BB7A0B">
        <w:t xml:space="preserve">XIII. Hacer del conocimiento de la instancia competente la probable responsabilidad por el incumplimiento de las obligaciones previstas en la presente Ley; y </w:t>
      </w:r>
    </w:p>
    <w:p w14:paraId="378C8B20" w14:textId="77777777" w:rsidR="00A557BD" w:rsidRPr="00BB7A0B" w:rsidRDefault="00A557BD" w:rsidP="00BB7A0B">
      <w:pPr>
        <w:pStyle w:val="Puesto"/>
      </w:pPr>
      <w:r w:rsidRPr="00BB7A0B">
        <w:t>XIV. Las demás que resulten necesarias para facilitar el acceso a la información y aquellas que se desprenden de la presente Ley y demás disposiciones jurídicas aplicables.</w:t>
      </w:r>
      <w:r w:rsidRPr="00BB7A0B">
        <w:rPr>
          <w:b/>
        </w:rPr>
        <w:t>”</w:t>
      </w:r>
    </w:p>
    <w:p w14:paraId="25C22DC2" w14:textId="77777777" w:rsidR="00A557BD" w:rsidRPr="00BB7A0B" w:rsidRDefault="00A557BD" w:rsidP="00BB7A0B">
      <w:pPr>
        <w:rPr>
          <w:rFonts w:cs="Arial"/>
        </w:rPr>
      </w:pPr>
    </w:p>
    <w:p w14:paraId="25622ADE" w14:textId="77777777" w:rsidR="00A557BD" w:rsidRPr="00BB7A0B" w:rsidRDefault="00A557BD" w:rsidP="00BB7A0B">
      <w:pPr>
        <w:rPr>
          <w:rFonts w:cs="Arial"/>
        </w:rPr>
      </w:pPr>
      <w:r w:rsidRPr="00BB7A0B">
        <w:rPr>
          <w:rFonts w:cs="Arial"/>
        </w:rPr>
        <w:t xml:space="preserve">Es decir, la impugnación de </w:t>
      </w:r>
      <w:r w:rsidRPr="00BB7A0B">
        <w:rPr>
          <w:rFonts w:cs="Arial"/>
          <w:b/>
        </w:rPr>
        <w:t>LA PARTE</w:t>
      </w:r>
      <w:r w:rsidRPr="00BB7A0B">
        <w:rPr>
          <w:rFonts w:cs="Arial"/>
        </w:rPr>
        <w:t xml:space="preserve"> </w:t>
      </w:r>
      <w:r w:rsidRPr="00BB7A0B">
        <w:rPr>
          <w:rFonts w:cs="Arial"/>
          <w:b/>
        </w:rPr>
        <w:t>RECURRENTE</w:t>
      </w:r>
      <w:r w:rsidRPr="00BB7A0B">
        <w:rPr>
          <w:rFonts w:cs="Arial"/>
        </w:rPr>
        <w:t xml:space="preserve"> debe ser sobre la emisión de un “Acto” contenido en la misma Ley o la omisión de éste, lo que en el presente caso se actualiza con la respuesta dada por </w:t>
      </w:r>
      <w:r w:rsidRPr="00BB7A0B">
        <w:rPr>
          <w:rFonts w:cs="Arial"/>
          <w:b/>
        </w:rPr>
        <w:t>EL SUJETO OBLIGADO</w:t>
      </w:r>
      <w:r w:rsidRPr="00BB7A0B">
        <w:rPr>
          <w:rFonts w:cs="Arial"/>
        </w:rPr>
        <w:t>.</w:t>
      </w:r>
    </w:p>
    <w:p w14:paraId="421353C0" w14:textId="77777777" w:rsidR="00A557BD" w:rsidRPr="00BB7A0B" w:rsidRDefault="00A557BD" w:rsidP="00BB7A0B">
      <w:pPr>
        <w:rPr>
          <w:rFonts w:cs="Arial"/>
        </w:rPr>
      </w:pPr>
    </w:p>
    <w:p w14:paraId="7A80C310" w14:textId="77777777" w:rsidR="00A557BD" w:rsidRPr="00BB7A0B" w:rsidRDefault="00A557BD" w:rsidP="00BB7A0B">
      <w:pPr>
        <w:rPr>
          <w:rFonts w:cs="Arial"/>
        </w:rPr>
      </w:pPr>
      <w:r w:rsidRPr="00BB7A0B">
        <w:rPr>
          <w:rFonts w:cs="Arial"/>
        </w:rPr>
        <w:t xml:space="preserve">Ahora bien, por cuanto hace al tercer elemento normativo, es en esencia una condicional, consistente en que la Dependencia o Entidad responsable del acto o resolución impugnada </w:t>
      </w:r>
      <w:r w:rsidRPr="00BB7A0B">
        <w:rPr>
          <w:rFonts w:cs="Arial"/>
          <w:b/>
        </w:rPr>
        <w:t>la modifique o revoque</w:t>
      </w:r>
      <w:r w:rsidRPr="00BB7A0B">
        <w:rPr>
          <w:rFonts w:cs="Arial"/>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38C8469B" w14:textId="77777777" w:rsidR="00A557BD" w:rsidRPr="00BB7A0B" w:rsidRDefault="00A557BD" w:rsidP="00BB7A0B">
      <w:pPr>
        <w:rPr>
          <w:rFonts w:cs="Arial"/>
        </w:rPr>
      </w:pPr>
    </w:p>
    <w:p w14:paraId="764983A5" w14:textId="77777777" w:rsidR="00A557BD" w:rsidRPr="00BB7A0B" w:rsidRDefault="00A557BD" w:rsidP="00BB7A0B">
      <w:pPr>
        <w:rPr>
          <w:rFonts w:cs="Arial"/>
        </w:rPr>
      </w:pPr>
      <w:r w:rsidRPr="00BB7A0B">
        <w:rPr>
          <w:rFonts w:cs="Arial"/>
        </w:rPr>
        <w:t>Por cuanto hace a la revocación, a diferencia de la modificación, ocurre cuando la Dependencia o Entidad Responsable (</w:t>
      </w:r>
      <w:r w:rsidRPr="00BB7A0B">
        <w:rPr>
          <w:rFonts w:cs="Arial"/>
          <w:b/>
        </w:rPr>
        <w:t>SUJETO OBLIGADO</w:t>
      </w:r>
      <w:r w:rsidRPr="00BB7A0B">
        <w:rPr>
          <w:rFonts w:cs="Arial"/>
        </w:rPr>
        <w:t>), del acto o resolución impugnada, suprime, elimina o cancela la totalidad de su respuesta y emite otra en su lugar dejando sin efecto lo que en un principio respondió.</w:t>
      </w:r>
    </w:p>
    <w:p w14:paraId="7D4C3AE3" w14:textId="77777777" w:rsidR="00A557BD" w:rsidRPr="00BB7A0B" w:rsidRDefault="00A557BD" w:rsidP="00BB7A0B">
      <w:pPr>
        <w:rPr>
          <w:rFonts w:cs="Arial"/>
        </w:rPr>
      </w:pPr>
    </w:p>
    <w:p w14:paraId="707C10AC" w14:textId="77777777" w:rsidR="00A557BD" w:rsidRPr="00BB7A0B" w:rsidRDefault="00A557BD" w:rsidP="00BB7A0B">
      <w:pPr>
        <w:rPr>
          <w:rFonts w:cs="Arial"/>
        </w:rPr>
      </w:pPr>
      <w:r w:rsidRPr="00BB7A0B">
        <w:rPr>
          <w:rFonts w:cs="Arial"/>
        </w:rPr>
        <w:lastRenderedPageBreak/>
        <w:t>En ese tenor, un acto impugnado queda sin efectos, cuando aun existiendo jurídicamente (esto es, que no se ha modificado, ni revocado) ya no genera ninguna consecuencia legal.</w:t>
      </w:r>
    </w:p>
    <w:p w14:paraId="62987A36" w14:textId="77777777" w:rsidR="00A557BD" w:rsidRPr="00BB7A0B" w:rsidRDefault="00A557BD" w:rsidP="00BB7A0B">
      <w:pPr>
        <w:ind w:firstLine="567"/>
        <w:rPr>
          <w:rFonts w:cs="Arial"/>
        </w:rPr>
      </w:pPr>
    </w:p>
    <w:p w14:paraId="0E9560D5" w14:textId="77777777" w:rsidR="00A557BD" w:rsidRPr="00BB7A0B" w:rsidRDefault="00A557BD" w:rsidP="00BB7A0B">
      <w:pPr>
        <w:rPr>
          <w:rFonts w:cs="Arial"/>
        </w:rPr>
      </w:pPr>
      <w:r w:rsidRPr="00BB7A0B">
        <w:rPr>
          <w:rFonts w:cs="Arial"/>
        </w:rPr>
        <w:t xml:space="preserve">En tanto que, un acto impugnado queda sin materia, cuando ha sido satisfecha la pretensión de lo solicitado por </w:t>
      </w:r>
      <w:r w:rsidRPr="00BB7A0B">
        <w:rPr>
          <w:rFonts w:cs="Arial"/>
          <w:b/>
        </w:rPr>
        <w:t>LA PARTE</w:t>
      </w:r>
      <w:r w:rsidRPr="00BB7A0B">
        <w:rPr>
          <w:rFonts w:cs="Arial"/>
        </w:rPr>
        <w:t xml:space="preserve"> </w:t>
      </w:r>
      <w:r w:rsidRPr="00BB7A0B">
        <w:rPr>
          <w:rFonts w:cs="Arial"/>
          <w:b/>
        </w:rPr>
        <w:t xml:space="preserve">RECURRENTE </w:t>
      </w:r>
      <w:r w:rsidRPr="00BB7A0B">
        <w:rPr>
          <w:rFonts w:cs="Arial"/>
        </w:rPr>
        <w:t xml:space="preserve">de manera que </w:t>
      </w:r>
      <w:r w:rsidRPr="00BB7A0B">
        <w:rPr>
          <w:rFonts w:cs="Arial"/>
          <w:b/>
        </w:rPr>
        <w:t xml:space="preserve">EL SUJETO OBLIGADO </w:t>
      </w:r>
      <w:r w:rsidRPr="00BB7A0B">
        <w:rPr>
          <w:rFonts w:cs="Arial"/>
        </w:rPr>
        <w:t xml:space="preserve">entrega una respuesta que para el caso fue posterior; es decir, en Informe Justificado, mediante el cual concede o adiciona información a la proporcionada.   </w:t>
      </w:r>
    </w:p>
    <w:p w14:paraId="13B07E7C" w14:textId="77777777" w:rsidR="00A557BD" w:rsidRPr="00BB7A0B" w:rsidRDefault="00A557BD" w:rsidP="00BB7A0B">
      <w:pPr>
        <w:rPr>
          <w:rFonts w:cs="Arial"/>
        </w:rPr>
      </w:pPr>
    </w:p>
    <w:p w14:paraId="74F109E0" w14:textId="77777777" w:rsidR="00A557BD" w:rsidRPr="00BB7A0B" w:rsidRDefault="00A557BD" w:rsidP="00BB7A0B">
      <w:pPr>
        <w:rPr>
          <w:rFonts w:cs="Arial"/>
        </w:rPr>
      </w:pPr>
      <w:r w:rsidRPr="00BB7A0B">
        <w:rPr>
          <w:rFonts w:cs="Arial"/>
        </w:rPr>
        <w:t xml:space="preserve">Bajo esas consideraciones, se afirma que en el Recurso de Revisión sujeto a estudio se actualiza la hipótesis jurídica citada en el cuarto elemento; toda vez que, quedó probado que, </w:t>
      </w:r>
      <w:r w:rsidRPr="00BB7A0B">
        <w:rPr>
          <w:rFonts w:cs="Arial"/>
          <w:b/>
        </w:rPr>
        <w:t>EL SUJETO OBLIGADO</w:t>
      </w:r>
      <w:r w:rsidRPr="00BB7A0B">
        <w:rPr>
          <w:rFonts w:cs="Arial"/>
        </w:rPr>
        <w:t xml:space="preserve"> mediante un acto posterior a su respuesta, como lo fue en el Informe Justificado, remitió información con lo cual, dejó sin materia el presente recurso. </w:t>
      </w:r>
    </w:p>
    <w:p w14:paraId="5E14C45E" w14:textId="77777777" w:rsidR="00A557BD" w:rsidRPr="00BB7A0B" w:rsidRDefault="00A557BD" w:rsidP="00BB7A0B">
      <w:pPr>
        <w:rPr>
          <w:rFonts w:cs="Arial"/>
        </w:rPr>
      </w:pPr>
    </w:p>
    <w:p w14:paraId="677A7E82" w14:textId="479930E5" w:rsidR="00803B86" w:rsidRPr="00BB7A0B" w:rsidRDefault="00A557BD" w:rsidP="00BB7A0B">
      <w:pPr>
        <w:rPr>
          <w:szCs w:val="22"/>
        </w:rPr>
      </w:pPr>
      <w:r w:rsidRPr="00BB7A0B">
        <w:rPr>
          <w:rFonts w:cs="Arial"/>
        </w:rPr>
        <w:t>Atento a ello, es conveniente recordar que el particular en ejercicio del ejercicio del derecho de acceso a la información solicitó</w:t>
      </w:r>
      <w:r w:rsidRPr="00BB7A0B">
        <w:t xml:space="preserve"> entre otras </w:t>
      </w:r>
      <w:r w:rsidR="00803B86" w:rsidRPr="00BB7A0B">
        <w:rPr>
          <w:szCs w:val="22"/>
        </w:rPr>
        <w:t xml:space="preserve">el Convenio de Prestaciones de Ley y Colaterales de los años 2015, 2016, 2017, 2018, 2019, 2020, 2021, 2022, 2023, 2024 y de ser existente, remitir el correspondiente al año 2025, firmado entre el ente recurrido y el Sistema Municipal para el Desarrollo Integral de la Familia de Cuautitlán Izcalli por sus siglas (DIF de Cuautitlán Izcalli). </w:t>
      </w:r>
    </w:p>
    <w:p w14:paraId="6631C7A5" w14:textId="1BB7CFCE" w:rsidR="00A557BD" w:rsidRPr="00BB7A0B" w:rsidRDefault="00A557BD" w:rsidP="00BB7A0B">
      <w:pPr>
        <w:tabs>
          <w:tab w:val="left" w:pos="4962"/>
        </w:tabs>
      </w:pPr>
    </w:p>
    <w:p w14:paraId="1EC4EB39" w14:textId="1EB1031D" w:rsidR="00A557BD" w:rsidRPr="00BB7A0B" w:rsidRDefault="00A557BD" w:rsidP="00BB7A0B">
      <w:pPr>
        <w:rPr>
          <w:rFonts w:cs="Arial"/>
          <w:lang w:val="es-ES_tradnl"/>
        </w:rPr>
      </w:pPr>
      <w:r w:rsidRPr="00BB7A0B">
        <w:t xml:space="preserve">Al respecto </w:t>
      </w:r>
      <w:r w:rsidRPr="00BB7A0B">
        <w:rPr>
          <w:b/>
        </w:rPr>
        <w:t>EL SUJETO OBLIGADO</w:t>
      </w:r>
      <w:r w:rsidRPr="00BB7A0B">
        <w:t xml:space="preserve"> mediante respuesta </w:t>
      </w:r>
      <w:r w:rsidR="00803B86" w:rsidRPr="00BB7A0B">
        <w:t>omitió pronunciarse de esa parte de la solicitud de información pública.</w:t>
      </w:r>
    </w:p>
    <w:p w14:paraId="03809ADD" w14:textId="77777777" w:rsidR="00A557BD" w:rsidRPr="00BB7A0B" w:rsidRDefault="00A557BD" w:rsidP="00BB7A0B">
      <w:pPr>
        <w:rPr>
          <w:rFonts w:cs="Arial"/>
          <w:lang w:val="es-ES_tradnl"/>
        </w:rPr>
      </w:pPr>
    </w:p>
    <w:p w14:paraId="77C1C9C1" w14:textId="2D95C1B9" w:rsidR="00A557BD" w:rsidRPr="00BB7A0B" w:rsidRDefault="00A557BD" w:rsidP="00BB7A0B">
      <w:r w:rsidRPr="00BB7A0B">
        <w:lastRenderedPageBreak/>
        <w:t xml:space="preserve">Ante tal </w:t>
      </w:r>
      <w:r w:rsidR="00803B86" w:rsidRPr="00BB7A0B">
        <w:t xml:space="preserve">omisión de </w:t>
      </w:r>
      <w:r w:rsidRPr="00BB7A0B">
        <w:t xml:space="preserve">respuesta, </w:t>
      </w:r>
      <w:r w:rsidR="00803B86" w:rsidRPr="00BB7A0B">
        <w:t xml:space="preserve">a esa parte de la solicitud, </w:t>
      </w:r>
      <w:r w:rsidR="00803B86" w:rsidRPr="00BB7A0B">
        <w:rPr>
          <w:b/>
        </w:rPr>
        <w:t>LA PARTE RECURRENTE</w:t>
      </w:r>
      <w:r w:rsidRPr="00BB7A0B">
        <w:t xml:space="preserve"> interpuso el Recurso de Revisión materia del presente asunto, adoleciéndose medularmente porque </w:t>
      </w:r>
      <w:r w:rsidR="00803B86" w:rsidRPr="00BB7A0B">
        <w:t>se omitió pronunciarse respecto de la existencia o inexistencia de los convenios de prestaciones de ley y colaterales firmados entre dicho sindicato y el Sistema Municipal de Desarrollo Integral de la Familia de Cuautitlán Izcalli correspondiente a los años 2015, 2016, 2017, 2018, 2019, 2020, 2021, 2022, 2023, 2024</w:t>
      </w:r>
      <w:r w:rsidRPr="00BB7A0B">
        <w:t>.</w:t>
      </w:r>
    </w:p>
    <w:p w14:paraId="6065D72A" w14:textId="77777777" w:rsidR="00A557BD" w:rsidRPr="00BB7A0B" w:rsidRDefault="00A557BD" w:rsidP="00BB7A0B"/>
    <w:p w14:paraId="138353AC" w14:textId="17AC4FD0" w:rsidR="000B68BC" w:rsidRPr="00BB7A0B" w:rsidRDefault="00803B86" w:rsidP="00BB7A0B">
      <w:pPr>
        <w:tabs>
          <w:tab w:val="left" w:pos="4962"/>
        </w:tabs>
      </w:pPr>
      <w:r w:rsidRPr="00BB7A0B">
        <w:t xml:space="preserve">Bajo esa tesitura, </w:t>
      </w:r>
      <w:r w:rsidRPr="00BB7A0B">
        <w:rPr>
          <w:b/>
        </w:rPr>
        <w:t>EL SUJETO OBLIGADO</w:t>
      </w:r>
      <w:r w:rsidR="00A557BD" w:rsidRPr="00BB7A0B">
        <w:rPr>
          <w:rFonts w:cs="Arial"/>
          <w:b/>
        </w:rPr>
        <w:t xml:space="preserve"> </w:t>
      </w:r>
      <w:r w:rsidR="00A557BD" w:rsidRPr="00BB7A0B">
        <w:rPr>
          <w:rFonts w:cs="Arial"/>
        </w:rPr>
        <w:t xml:space="preserve">mediante </w:t>
      </w:r>
      <w:r w:rsidR="00A557BD" w:rsidRPr="00BB7A0B">
        <w:t xml:space="preserve">Informe Justificado adjuntó el archivo electrónico denominado </w:t>
      </w:r>
      <w:r w:rsidR="000B68BC" w:rsidRPr="00BB7A0B">
        <w:rPr>
          <w:b/>
          <w:i/>
        </w:rPr>
        <w:t xml:space="preserve">INFORME DE JUSTIFICACION 16.pdf </w:t>
      </w:r>
      <w:r w:rsidR="00A557BD" w:rsidRPr="00BB7A0B">
        <w:rPr>
          <w:rFonts w:cs="Tahoma"/>
          <w:bCs/>
          <w:szCs w:val="22"/>
          <w:lang w:val="es-ES"/>
        </w:rPr>
        <w:t>en el que indicó</w:t>
      </w:r>
      <w:r w:rsidR="000B68BC" w:rsidRPr="00BB7A0B">
        <w:rPr>
          <w:rFonts w:cs="Tahoma"/>
          <w:bCs/>
          <w:szCs w:val="22"/>
          <w:lang w:val="es-ES"/>
        </w:rPr>
        <w:t xml:space="preserve"> en términos generales qué </w:t>
      </w:r>
      <w:r w:rsidR="00A557BD" w:rsidRPr="00BB7A0B">
        <w:rPr>
          <w:rFonts w:cs="Tahoma"/>
          <w:bCs/>
          <w:szCs w:val="22"/>
          <w:lang w:val="es-ES"/>
        </w:rPr>
        <w:t>“…</w:t>
      </w:r>
      <w:r w:rsidR="000B68BC" w:rsidRPr="00BB7A0B">
        <w:rPr>
          <w:b/>
          <w:u w:val="single"/>
        </w:rPr>
        <w:t>No se hace entrega de los Convenios de Prestaciones de Ley y Colaterales del Sistema Municipal para el Desarrollo Integral de la Familia de Cuautitlán Izcalli por sus siglas (DIF de Cuautitlán Izcalli), dado que no se firma Convenio al no haber servidores públicos sindicalizados en dicho organismo… por tal motivo al no haber servidores públicos sindicalizados del DIF Cuautitlán Izcalli, es decir que se les descuente cuota sindical, no se firma Convenio de Prestaciones, por lo que este Sujeto Obligado no está en condiciones de entregar dichos Convenios</w:t>
      </w:r>
      <w:r w:rsidR="000B68BC" w:rsidRPr="00BB7A0B">
        <w:t>…” Sic.</w:t>
      </w:r>
    </w:p>
    <w:p w14:paraId="302DAC6D" w14:textId="77777777" w:rsidR="000B68BC" w:rsidRPr="00BB7A0B" w:rsidRDefault="000B68BC" w:rsidP="00BB7A0B">
      <w:pPr>
        <w:tabs>
          <w:tab w:val="left" w:pos="4962"/>
        </w:tabs>
      </w:pPr>
    </w:p>
    <w:p w14:paraId="6BF8B732" w14:textId="0B136D08" w:rsidR="00A557BD" w:rsidRPr="00BB7A0B" w:rsidRDefault="00A557BD" w:rsidP="00BB7A0B">
      <w:r w:rsidRPr="00BB7A0B">
        <w:t xml:space="preserve">Atento a ello, resulta evidente que </w:t>
      </w:r>
      <w:r w:rsidRPr="00BB7A0B">
        <w:rPr>
          <w:rFonts w:cs="Arial"/>
        </w:rPr>
        <w:t>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BB7A0B">
        <w:rPr>
          <w:rFonts w:cs="Arial"/>
          <w:b/>
        </w:rPr>
        <w:t xml:space="preserve"> al modificar la respuesta con el Informe Justificado</w:t>
      </w:r>
      <w:r w:rsidRPr="00BB7A0B">
        <w:rPr>
          <w:rFonts w:cs="Arial"/>
        </w:rPr>
        <w:t xml:space="preserve">, en el sentido de informar que </w:t>
      </w:r>
      <w:r w:rsidRPr="00BB7A0B">
        <w:rPr>
          <w:lang w:val="es-ES"/>
        </w:rPr>
        <w:t xml:space="preserve">no </w:t>
      </w:r>
      <w:r w:rsidR="00B47FB0" w:rsidRPr="00BB7A0B">
        <w:rPr>
          <w:lang w:val="es-ES"/>
        </w:rPr>
        <w:t>se firma convenio con dicho ente referido</w:t>
      </w:r>
      <w:r w:rsidRPr="00BB7A0B">
        <w:rPr>
          <w:lang w:val="es-ES"/>
        </w:rPr>
        <w:t xml:space="preserve">. </w:t>
      </w:r>
    </w:p>
    <w:p w14:paraId="3F98ED74" w14:textId="77777777" w:rsidR="00A557BD" w:rsidRPr="00BB7A0B" w:rsidRDefault="00A557BD" w:rsidP="00BB7A0B"/>
    <w:p w14:paraId="68DA5162" w14:textId="77777777" w:rsidR="00A557BD" w:rsidRPr="00BB7A0B" w:rsidRDefault="00A557BD" w:rsidP="00BB7A0B">
      <w:pPr>
        <w:pStyle w:val="Prrafodelista"/>
        <w:widowControl w:val="0"/>
        <w:autoSpaceDE w:val="0"/>
        <w:autoSpaceDN w:val="0"/>
        <w:adjustRightInd w:val="0"/>
        <w:ind w:left="0"/>
        <w:rPr>
          <w:rFonts w:cs="Arial"/>
        </w:rPr>
      </w:pPr>
      <w:r w:rsidRPr="00BB7A0B">
        <w:lastRenderedPageBreak/>
        <w:t xml:space="preserve">Asimismo, es necesario precisar que del análisis </w:t>
      </w:r>
      <w:r w:rsidRPr="00BB7A0B">
        <w:rPr>
          <w:rFonts w:eastAsia="MS Mincho" w:cs="Tahoma"/>
        </w:rPr>
        <w:t xml:space="preserve">realizado al pronunciamiento realizado por </w:t>
      </w:r>
      <w:r w:rsidRPr="00BB7A0B">
        <w:rPr>
          <w:rFonts w:eastAsia="MS Mincho" w:cs="Tahoma"/>
          <w:b/>
        </w:rPr>
        <w:t xml:space="preserve">EL SUJETO OBLIGADO </w:t>
      </w:r>
      <w:r w:rsidRPr="00BB7A0B">
        <w:rPr>
          <w:rFonts w:eastAsia="MS Mincho" w:cs="Tahoma"/>
        </w:rPr>
        <w:t xml:space="preserve">vía informe justificado, se advierte que la misma </w:t>
      </w:r>
      <w:r w:rsidRPr="00BB7A0B">
        <w:rPr>
          <w:rFonts w:eastAsia="Calibri"/>
          <w:lang w:val="es-ES"/>
        </w:rPr>
        <w:t xml:space="preserve">constituye un hecho negativo, </w:t>
      </w:r>
      <w:r w:rsidRPr="00BB7A0B">
        <w:t xml:space="preserve">por lo que, </w:t>
      </w:r>
      <w:r w:rsidRPr="00BB7A0B">
        <w:rPr>
          <w:rFonts w:cs="Arial"/>
        </w:rPr>
        <w:t xml:space="preserve">es evidente que éste no puede fácticamente obrar en los archivos del </w:t>
      </w:r>
      <w:r w:rsidRPr="00BB7A0B">
        <w:rPr>
          <w:rFonts w:cs="Arial"/>
          <w:b/>
        </w:rPr>
        <w:t>SUJETO OBLIGADO</w:t>
      </w:r>
      <w:r w:rsidRPr="00BB7A0B">
        <w:rPr>
          <w:rFonts w:cs="Arial"/>
        </w:rPr>
        <w:t>, ya que no puede probarse por ser lógica y materialmente imposible.</w:t>
      </w:r>
    </w:p>
    <w:p w14:paraId="1A70F911" w14:textId="77777777" w:rsidR="00A557BD" w:rsidRPr="00BB7A0B" w:rsidRDefault="00A557BD" w:rsidP="00BB7A0B"/>
    <w:p w14:paraId="7B0FBA31" w14:textId="77777777" w:rsidR="00A557BD" w:rsidRPr="00BB7A0B" w:rsidRDefault="00A557BD" w:rsidP="00BB7A0B">
      <w:pPr>
        <w:autoSpaceDE w:val="0"/>
        <w:autoSpaceDN w:val="0"/>
        <w:adjustRightInd w:val="0"/>
        <w:ind w:right="18"/>
        <w:rPr>
          <w:rFonts w:cs="Arial"/>
        </w:rPr>
      </w:pPr>
      <w:r w:rsidRPr="00BB7A0B">
        <w:rPr>
          <w:rFonts w:cs="Arial"/>
        </w:rPr>
        <w:t>Por lo que podemos concluir que nos encontramos ante una notoria y evidente inexistencia fáctica de la información solicitada.</w:t>
      </w:r>
    </w:p>
    <w:p w14:paraId="2566F2C6" w14:textId="77777777" w:rsidR="00A557BD" w:rsidRPr="00BB7A0B" w:rsidRDefault="00A557BD" w:rsidP="00BB7A0B">
      <w:pPr>
        <w:pStyle w:val="Prrafodelista"/>
        <w:widowControl w:val="0"/>
        <w:autoSpaceDE w:val="0"/>
        <w:autoSpaceDN w:val="0"/>
        <w:adjustRightInd w:val="0"/>
        <w:ind w:left="0"/>
        <w:rPr>
          <w:rFonts w:cs="Arial"/>
        </w:rPr>
      </w:pPr>
    </w:p>
    <w:p w14:paraId="797C4AE7" w14:textId="77777777" w:rsidR="00A557BD" w:rsidRPr="00BB7A0B" w:rsidRDefault="00A557BD" w:rsidP="00BB7A0B">
      <w:pPr>
        <w:autoSpaceDE w:val="0"/>
        <w:autoSpaceDN w:val="0"/>
        <w:adjustRightInd w:val="0"/>
        <w:ind w:right="18"/>
        <w:rPr>
          <w:rFonts w:cs="Arial"/>
        </w:rPr>
      </w:pPr>
      <w:r w:rsidRPr="00BB7A0B">
        <w:rPr>
          <w:rFonts w:cs="Arial"/>
        </w:rPr>
        <w:t xml:space="preserve">Cabe señalar que, el Pleno de este Órgano Garante, ha sostenido que cuando se está ante la presencia de un acto u hecho negativo, es decir, </w:t>
      </w:r>
      <w:r w:rsidRPr="00BB7A0B">
        <w:rPr>
          <w:rFonts w:cs="Arial"/>
          <w:b/>
        </w:rPr>
        <w:t>que no se actualiza</w:t>
      </w:r>
      <w:r w:rsidRPr="00BB7A0B">
        <w:rPr>
          <w:rFonts w:cs="Arial"/>
        </w:rPr>
        <w:t xml:space="preserve"> la circunstancia por la cual </w:t>
      </w:r>
      <w:r w:rsidRPr="00BB7A0B">
        <w:rPr>
          <w:rFonts w:cs="Arial"/>
          <w:b/>
        </w:rPr>
        <w:t>EL SUJETO OBLIGADO</w:t>
      </w:r>
      <w:r w:rsidRPr="00BB7A0B">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305269DE" w14:textId="77777777" w:rsidR="00A557BD" w:rsidRPr="00BB7A0B" w:rsidRDefault="00A557BD" w:rsidP="00BB7A0B">
      <w:pPr>
        <w:autoSpaceDE w:val="0"/>
        <w:autoSpaceDN w:val="0"/>
        <w:adjustRightInd w:val="0"/>
        <w:ind w:right="18"/>
        <w:rPr>
          <w:rFonts w:cs="Arial"/>
        </w:rPr>
      </w:pPr>
    </w:p>
    <w:p w14:paraId="64B43D7E" w14:textId="77777777" w:rsidR="00A557BD" w:rsidRPr="00BB7A0B" w:rsidRDefault="00A557BD" w:rsidP="00BB7A0B">
      <w:pPr>
        <w:pStyle w:val="Puesto"/>
      </w:pPr>
      <w:r w:rsidRPr="00BB7A0B">
        <w:t>“</w:t>
      </w:r>
      <w:r w:rsidRPr="00BB7A0B">
        <w:rPr>
          <w:b/>
          <w:bCs/>
        </w:rPr>
        <w:t>INEXISTENCIA DE LA INFORMACIÓN. EL COMITÉ DE ACCESO A LA INFORMACIÓN PUEDE DECLARARLA ANTE SU EVIDENCIA, SIN NECESIDAD DE DICTAR MEDIDAS PARA SU LOCALIZACIÓN.</w:t>
      </w:r>
      <w:r w:rsidRPr="00BB7A0B">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w:t>
      </w:r>
      <w:r w:rsidRPr="00BB7A0B">
        <w:lastRenderedPageBreak/>
        <w:t>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71A7EE6D" w14:textId="77777777" w:rsidR="00A557BD" w:rsidRPr="00BB7A0B" w:rsidRDefault="00A557BD" w:rsidP="00BB7A0B">
      <w:pPr>
        <w:tabs>
          <w:tab w:val="left" w:pos="8222"/>
        </w:tabs>
        <w:ind w:left="851" w:right="899"/>
        <w:rPr>
          <w:b/>
          <w:i/>
        </w:rPr>
      </w:pPr>
    </w:p>
    <w:p w14:paraId="5272BBC4" w14:textId="77777777" w:rsidR="00A557BD" w:rsidRPr="00BB7A0B" w:rsidRDefault="00A557BD" w:rsidP="00BB7A0B">
      <w:pPr>
        <w:pStyle w:val="Puesto"/>
      </w:pPr>
      <w:r w:rsidRPr="00BB7A0B">
        <w:rPr>
          <w:b/>
          <w:bCs/>
        </w:rPr>
        <w:t xml:space="preserve">HECHOS NEGATIVOS, NO </w:t>
      </w:r>
      <w:r w:rsidRPr="00BB7A0B">
        <w:rPr>
          <w:rStyle w:val="PuestoCar"/>
          <w:b/>
          <w:bCs/>
          <w:i/>
        </w:rPr>
        <w:t>SON SUSCEPTIBLES DE DEMOSTRACION.</w:t>
      </w:r>
      <w:r w:rsidRPr="00BB7A0B">
        <w:rPr>
          <w:rStyle w:val="PuestoCar"/>
          <w:i/>
        </w:rPr>
        <w:t xml:space="preserve"> Tratándose de un hecho negativo, el Juez no tiene por qué invocar prueba alguna de la que se desprenda, ya que es bien sabido que esta</w:t>
      </w:r>
      <w:r w:rsidRPr="00BB7A0B">
        <w:t xml:space="preserve"> clase de hechos no son susceptibles de demostración.”</w:t>
      </w:r>
    </w:p>
    <w:p w14:paraId="169A24E6" w14:textId="77777777" w:rsidR="00A557BD" w:rsidRPr="00BB7A0B" w:rsidRDefault="00A557BD" w:rsidP="00BB7A0B">
      <w:pPr>
        <w:ind w:left="851" w:right="1134"/>
        <w:rPr>
          <w:b/>
        </w:rPr>
      </w:pPr>
    </w:p>
    <w:p w14:paraId="3286451A" w14:textId="77777777" w:rsidR="00A557BD" w:rsidRPr="00BB7A0B" w:rsidRDefault="00A557BD" w:rsidP="00BB7A0B">
      <w:pPr>
        <w:autoSpaceDE w:val="0"/>
        <w:autoSpaceDN w:val="0"/>
        <w:adjustRightInd w:val="0"/>
        <w:ind w:right="18"/>
        <w:rPr>
          <w:rFonts w:cs="Arial"/>
          <w:b/>
        </w:rPr>
      </w:pPr>
      <w:r w:rsidRPr="00BB7A0B">
        <w:rPr>
          <w:rFonts w:cs="Arial"/>
        </w:rPr>
        <w:t xml:space="preserve">Por lo anterior, y derivado del análisis expuesto, se concluye que se está en presencia de un hecho negativo, por lo que, en este sentido resulta innecesario analizar la procedencia de la emisión de un Acuerdo de Inexistencia.   </w:t>
      </w:r>
    </w:p>
    <w:p w14:paraId="6415BD1A" w14:textId="77777777" w:rsidR="00A557BD" w:rsidRPr="00BB7A0B" w:rsidRDefault="00A557BD" w:rsidP="00BB7A0B"/>
    <w:p w14:paraId="3104734D" w14:textId="1E7456D6" w:rsidR="00A557BD" w:rsidRPr="00BB7A0B" w:rsidRDefault="00A557BD" w:rsidP="00BB7A0B">
      <w:pPr>
        <w:rPr>
          <w:rFonts w:cs="Arial"/>
        </w:rPr>
      </w:pPr>
      <w:r w:rsidRPr="00BB7A0B">
        <w:t xml:space="preserve">Así, de conformidad con lo establecido en el artículo 12 de la Ley de Transparencia y Acceso a la Información Pública del Estado de México y Municipios, </w:t>
      </w:r>
      <w:r w:rsidRPr="00BB7A0B">
        <w:rPr>
          <w:b/>
        </w:rPr>
        <w:t>EL SUJETO OBLIGADO</w:t>
      </w:r>
      <w:r w:rsidRPr="00BB7A0B">
        <w:t xml:space="preserve"> sólo proporcionará la información que obra en sus archivos, lo que a</w:t>
      </w:r>
      <w:r w:rsidRPr="00BB7A0B">
        <w:rPr>
          <w:i/>
        </w:rPr>
        <w:t xml:space="preserve"> contrario sensu</w:t>
      </w:r>
      <w:r w:rsidRPr="00BB7A0B">
        <w:t xml:space="preserve"> significa que no se está obligado a proporcionar lo que no obre en los mismos</w:t>
      </w:r>
      <w:r w:rsidR="001F44A3" w:rsidRPr="00BB7A0B">
        <w:t>.</w:t>
      </w:r>
    </w:p>
    <w:p w14:paraId="12C8172F" w14:textId="77777777" w:rsidR="00A557BD" w:rsidRPr="00BB7A0B" w:rsidRDefault="00A557BD" w:rsidP="00BB7A0B">
      <w:pPr>
        <w:pStyle w:val="Prrafodelista"/>
        <w:widowControl w:val="0"/>
        <w:autoSpaceDE w:val="0"/>
        <w:autoSpaceDN w:val="0"/>
        <w:adjustRightInd w:val="0"/>
        <w:ind w:left="0"/>
        <w:rPr>
          <w:rFonts w:cs="Arial"/>
        </w:rPr>
      </w:pPr>
    </w:p>
    <w:p w14:paraId="212E211F" w14:textId="77777777" w:rsidR="00A557BD" w:rsidRPr="00BB7A0B" w:rsidRDefault="00A557BD" w:rsidP="00BB7A0B">
      <w:pPr>
        <w:rPr>
          <w:rFonts w:cs="Arial"/>
          <w:szCs w:val="28"/>
          <w:lang w:val="es-ES"/>
        </w:rPr>
      </w:pPr>
      <w:r w:rsidRPr="00BB7A0B">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BB7A0B">
        <w:rPr>
          <w:rFonts w:cs="Arial"/>
          <w:b/>
          <w:szCs w:val="28"/>
          <w:lang w:val="es-ES"/>
        </w:rPr>
        <w:t xml:space="preserve">EL SUJETO OBLIGADO </w:t>
      </w:r>
      <w:r w:rsidRPr="00BB7A0B">
        <w:rPr>
          <w:rFonts w:cs="Arial"/>
          <w:szCs w:val="28"/>
          <w:lang w:val="es-ES"/>
        </w:rPr>
        <w:t xml:space="preserve">la respuesta mediante la información proporcionada vía informe justificado, el Recurso de Revisión quedó sin materia. </w:t>
      </w:r>
    </w:p>
    <w:p w14:paraId="01B95AD6" w14:textId="77777777" w:rsidR="00A557BD" w:rsidRPr="00BB7A0B" w:rsidRDefault="00A557BD" w:rsidP="00BB7A0B">
      <w:pPr>
        <w:rPr>
          <w:rFonts w:cs="Arial"/>
        </w:rPr>
      </w:pPr>
    </w:p>
    <w:p w14:paraId="3EDE7C8A" w14:textId="77777777" w:rsidR="00A557BD" w:rsidRPr="00BB7A0B" w:rsidRDefault="00A557BD" w:rsidP="00BB7A0B">
      <w:pPr>
        <w:widowControl w:val="0"/>
        <w:autoSpaceDE w:val="0"/>
        <w:autoSpaceDN w:val="0"/>
        <w:adjustRightInd w:val="0"/>
        <w:rPr>
          <w:rFonts w:eastAsia="Calibri" w:cs="Arial"/>
        </w:rPr>
      </w:pPr>
      <w:r w:rsidRPr="00BB7A0B">
        <w:t xml:space="preserve">En consecuencia, se </w:t>
      </w:r>
      <w:r w:rsidRPr="00BB7A0B">
        <w:rPr>
          <w:rFonts w:cs="Arial"/>
          <w:lang w:val="es-ES_tradnl"/>
        </w:rPr>
        <w:t xml:space="preserve">determina </w:t>
      </w:r>
      <w:r w:rsidRPr="00BB7A0B">
        <w:rPr>
          <w:rFonts w:cs="Arial"/>
          <w:b/>
          <w:lang w:val="es-ES_tradnl"/>
        </w:rPr>
        <w:t>SOBRESEER</w:t>
      </w:r>
      <w:r w:rsidRPr="00BB7A0B">
        <w:rPr>
          <w:rFonts w:cs="Arial"/>
          <w:lang w:val="es-ES_tradnl"/>
        </w:rPr>
        <w:t xml:space="preserve"> el presente Recurso de Revisión, en </w:t>
      </w:r>
      <w:r w:rsidRPr="00BB7A0B">
        <w:rPr>
          <w:bCs/>
        </w:rPr>
        <w:t>términos</w:t>
      </w:r>
      <w:r w:rsidRPr="00BB7A0B">
        <w:rPr>
          <w:rFonts w:cs="Arial"/>
          <w:lang w:val="es-ES_tradnl"/>
        </w:rPr>
        <w:t xml:space="preserve"> del artículo 186, fracción I, de la </w:t>
      </w:r>
      <w:r w:rsidRPr="00BB7A0B">
        <w:rPr>
          <w:rFonts w:eastAsia="Calibri" w:cs="Arial"/>
        </w:rPr>
        <w:t>Ley de Transparencia y Acceso a la Información Pública del Estado de México y Municipios:</w:t>
      </w:r>
    </w:p>
    <w:p w14:paraId="785C87D5" w14:textId="77777777" w:rsidR="00A557BD" w:rsidRPr="00BB7A0B" w:rsidRDefault="00A557BD" w:rsidP="00BB7A0B">
      <w:pPr>
        <w:widowControl w:val="0"/>
        <w:autoSpaceDE w:val="0"/>
        <w:autoSpaceDN w:val="0"/>
        <w:adjustRightInd w:val="0"/>
        <w:rPr>
          <w:rFonts w:eastAsia="Calibri" w:cs="Arial"/>
        </w:rPr>
      </w:pPr>
    </w:p>
    <w:p w14:paraId="10D3F516" w14:textId="77777777" w:rsidR="00A557BD" w:rsidRPr="00BB7A0B" w:rsidRDefault="00A557BD" w:rsidP="00BB7A0B">
      <w:pPr>
        <w:pStyle w:val="Puesto"/>
      </w:pPr>
      <w:r w:rsidRPr="00BB7A0B">
        <w:t>“</w:t>
      </w:r>
      <w:r w:rsidRPr="00BB7A0B">
        <w:rPr>
          <w:b/>
          <w:bCs/>
        </w:rPr>
        <w:t>Artículo 186. Las resoluciones del Instituto podrán:</w:t>
      </w:r>
      <w:r w:rsidRPr="00BB7A0B">
        <w:t xml:space="preserve"> </w:t>
      </w:r>
    </w:p>
    <w:p w14:paraId="2E6E0677" w14:textId="77777777" w:rsidR="00A557BD" w:rsidRPr="00BB7A0B" w:rsidRDefault="00A557BD" w:rsidP="00BB7A0B">
      <w:pPr>
        <w:pStyle w:val="Puesto"/>
      </w:pPr>
      <w:r w:rsidRPr="00BB7A0B">
        <w:t xml:space="preserve">I. Desechar o </w:t>
      </w:r>
      <w:r w:rsidRPr="00BB7A0B">
        <w:rPr>
          <w:b/>
          <w:bCs/>
        </w:rPr>
        <w:t>sobreseer el recurso</w:t>
      </w:r>
      <w:r w:rsidRPr="00BB7A0B">
        <w:t xml:space="preserve">;” </w:t>
      </w:r>
    </w:p>
    <w:p w14:paraId="4DFAC2EB" w14:textId="77777777" w:rsidR="00A557BD" w:rsidRPr="00BB7A0B" w:rsidRDefault="00A557BD" w:rsidP="00BB7A0B">
      <w:pPr>
        <w:pStyle w:val="Puesto"/>
      </w:pPr>
      <w:r w:rsidRPr="00BB7A0B">
        <w:t>(Énfasis añadido)</w:t>
      </w:r>
    </w:p>
    <w:p w14:paraId="28149A59" w14:textId="77777777" w:rsidR="00A557BD" w:rsidRPr="00BB7A0B" w:rsidRDefault="00A557BD" w:rsidP="00BB7A0B">
      <w:pPr>
        <w:tabs>
          <w:tab w:val="left" w:pos="851"/>
        </w:tabs>
        <w:ind w:right="901"/>
        <w:rPr>
          <w:rFonts w:cs="Arial"/>
        </w:rPr>
      </w:pPr>
    </w:p>
    <w:p w14:paraId="39720E2A" w14:textId="77777777" w:rsidR="00A557BD" w:rsidRPr="00BB7A0B" w:rsidRDefault="00A557BD" w:rsidP="00BB7A0B">
      <w:pPr>
        <w:rPr>
          <w:rFonts w:eastAsiaTheme="minorEastAsia" w:cstheme="minorBidi"/>
          <w:lang w:val="es-ES_tradnl"/>
        </w:rPr>
      </w:pPr>
      <w:r w:rsidRPr="00BB7A0B">
        <w:rPr>
          <w:rFonts w:eastAsiaTheme="minorEastAsia" w:cstheme="minorBidi"/>
          <w:lang w:val="es-ES_tradnl"/>
        </w:rPr>
        <w:t xml:space="preserve">Finalmente, no se omite referir que respecto a los pronunciamientos referidos por </w:t>
      </w:r>
      <w:r w:rsidRPr="00BB7A0B">
        <w:rPr>
          <w:rFonts w:eastAsiaTheme="minorEastAsia" w:cstheme="minorBidi"/>
          <w:b/>
          <w:lang w:val="es-ES_tradnl"/>
        </w:rPr>
        <w:t>EL SUJETO OBLIGADO</w:t>
      </w:r>
      <w:r w:rsidRPr="00BB7A0B">
        <w:rPr>
          <w:rFonts w:eastAsiaTheme="minorEastAsia" w:cstheme="minorBidi"/>
          <w:lang w:val="es-ES_tradnl"/>
        </w:rPr>
        <w:t>, este Órgano Garante no se encuentra facultado para pronunciarse acerca de la veracidad de la información.</w:t>
      </w:r>
    </w:p>
    <w:p w14:paraId="6796462F" w14:textId="77777777" w:rsidR="00A557BD" w:rsidRPr="00BB7A0B" w:rsidRDefault="00A557BD" w:rsidP="00BB7A0B">
      <w:pPr>
        <w:rPr>
          <w:rFonts w:eastAsiaTheme="minorEastAsia" w:cs="Arial"/>
          <w:sz w:val="20"/>
          <w:lang w:val="es-ES_tradnl"/>
        </w:rPr>
      </w:pPr>
    </w:p>
    <w:p w14:paraId="0B0F6C9E" w14:textId="77777777" w:rsidR="00A557BD" w:rsidRPr="00BB7A0B" w:rsidRDefault="00A557BD" w:rsidP="00BB7A0B">
      <w:pPr>
        <w:pStyle w:val="Ttulo3"/>
      </w:pPr>
      <w:bookmarkStart w:id="33" w:name="_Toc172722182"/>
      <w:bookmarkStart w:id="34" w:name="_Toc181020360"/>
      <w:bookmarkStart w:id="35" w:name="_Toc190777007"/>
      <w:r w:rsidRPr="00BB7A0B">
        <w:rPr>
          <w:rFonts w:eastAsia="Calibri"/>
        </w:rPr>
        <w:t xml:space="preserve">d) </w:t>
      </w:r>
      <w:bookmarkEnd w:id="31"/>
      <w:r w:rsidRPr="00BB7A0B">
        <w:t>Conclusión</w:t>
      </w:r>
      <w:bookmarkEnd w:id="32"/>
      <w:bookmarkEnd w:id="33"/>
      <w:bookmarkEnd w:id="34"/>
      <w:bookmarkEnd w:id="35"/>
    </w:p>
    <w:p w14:paraId="69C6A052" w14:textId="17E2264C" w:rsidR="00A557BD" w:rsidRPr="00BB7A0B" w:rsidRDefault="001F44A3" w:rsidP="00BB7A0B">
      <w:pPr>
        <w:widowControl w:val="0"/>
        <w:tabs>
          <w:tab w:val="left" w:pos="1701"/>
          <w:tab w:val="left" w:pos="1843"/>
        </w:tabs>
        <w:autoSpaceDE w:val="0"/>
        <w:autoSpaceDN w:val="0"/>
        <w:adjustRightInd w:val="0"/>
        <w:rPr>
          <w:rFonts w:cs="Arial"/>
        </w:rPr>
      </w:pPr>
      <w:r w:rsidRPr="00BB7A0B">
        <w:rPr>
          <w:rFonts w:cs="Arial"/>
        </w:rPr>
        <w:t>Por lo tanto,</w:t>
      </w:r>
      <w:r w:rsidR="00A557BD" w:rsidRPr="00BB7A0B">
        <w:rPr>
          <w:rFonts w:cs="Arial"/>
        </w:rPr>
        <w:t xml:space="preserve"> y con base en lo anteriormente expuesto, se determina </w:t>
      </w:r>
      <w:r w:rsidR="00A557BD" w:rsidRPr="00BB7A0B">
        <w:rPr>
          <w:rFonts w:cs="Arial"/>
          <w:b/>
        </w:rPr>
        <w:t xml:space="preserve">SOBRESEER </w:t>
      </w:r>
      <w:r w:rsidR="00A557BD" w:rsidRPr="00BB7A0B">
        <w:rPr>
          <w:rFonts w:cs="Arial"/>
        </w:rPr>
        <w:t xml:space="preserve">el presente Recurso de Revisión en términos de lo establecido en el punto que antecede. </w:t>
      </w:r>
    </w:p>
    <w:p w14:paraId="0401491A" w14:textId="77777777" w:rsidR="00A557BD" w:rsidRPr="00BB7A0B" w:rsidRDefault="00A557BD" w:rsidP="00BB7A0B">
      <w:pPr>
        <w:ind w:right="-93"/>
        <w:rPr>
          <w:rFonts w:eastAsia="Calibri" w:cs="Tahoma"/>
          <w:bCs/>
          <w:lang w:eastAsia="en-US"/>
        </w:rPr>
      </w:pPr>
    </w:p>
    <w:p w14:paraId="75F3B54D" w14:textId="2D858677" w:rsidR="00A557BD" w:rsidRPr="00D47071" w:rsidRDefault="00A557BD" w:rsidP="00D47071">
      <w:pPr>
        <w:ind w:right="-93"/>
        <w:rPr>
          <w:rFonts w:cs="Tahoma"/>
          <w:bCs/>
        </w:rPr>
      </w:pPr>
      <w:bookmarkStart w:id="36" w:name="_Hlk165381027"/>
      <w:r w:rsidRPr="00BB7A0B">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6"/>
    </w:p>
    <w:p w14:paraId="217F348C" w14:textId="77777777" w:rsidR="00A557BD" w:rsidRDefault="00A557BD" w:rsidP="00BB7A0B">
      <w:pPr>
        <w:pStyle w:val="Ttulo1"/>
      </w:pPr>
      <w:bookmarkStart w:id="37" w:name="_Toc170837738"/>
      <w:bookmarkStart w:id="38" w:name="_Toc172722183"/>
      <w:bookmarkStart w:id="39" w:name="_Toc181020361"/>
      <w:bookmarkStart w:id="40" w:name="_Toc190777008"/>
      <w:r w:rsidRPr="00BB7A0B">
        <w:t>RESUELVE</w:t>
      </w:r>
      <w:bookmarkEnd w:id="37"/>
      <w:bookmarkEnd w:id="38"/>
      <w:bookmarkEnd w:id="39"/>
      <w:bookmarkEnd w:id="40"/>
    </w:p>
    <w:p w14:paraId="4B3A71C0" w14:textId="77777777" w:rsidR="00BB7A0B" w:rsidRPr="00BB7A0B" w:rsidRDefault="00BB7A0B" w:rsidP="00BB7A0B"/>
    <w:p w14:paraId="7DCBC118" w14:textId="2F109B8E" w:rsidR="00A557BD" w:rsidRPr="00D47071" w:rsidRDefault="00A557BD" w:rsidP="00BB7A0B">
      <w:pPr>
        <w:widowControl w:val="0"/>
        <w:rPr>
          <w:rFonts w:cs="Arial"/>
          <w:b/>
        </w:rPr>
      </w:pPr>
      <w:r w:rsidRPr="00BB7A0B">
        <w:rPr>
          <w:b/>
          <w:bCs/>
        </w:rPr>
        <w:lastRenderedPageBreak/>
        <w:t>PRIMERO</w:t>
      </w:r>
      <w:r w:rsidRPr="00BB7A0B">
        <w:t xml:space="preserve">. </w:t>
      </w:r>
      <w:r w:rsidRPr="00BB7A0B">
        <w:rPr>
          <w:rFonts w:cs="Arial"/>
        </w:rPr>
        <w:t xml:space="preserve">Se </w:t>
      </w:r>
      <w:r w:rsidRPr="00BB7A0B">
        <w:rPr>
          <w:rFonts w:cs="Arial"/>
          <w:b/>
        </w:rPr>
        <w:t>SOBRESEE</w:t>
      </w:r>
      <w:r w:rsidRPr="00BB7A0B">
        <w:rPr>
          <w:rFonts w:cs="Arial"/>
        </w:rPr>
        <w:t xml:space="preserve"> el Recurso de Revisión número </w:t>
      </w:r>
      <w:r w:rsidR="001F44A3" w:rsidRPr="00BB7A0B">
        <w:rPr>
          <w:rFonts w:cs="Arial"/>
          <w:b/>
        </w:rPr>
        <w:t>00337/INFOEM/IP/RR/2025</w:t>
      </w:r>
      <w:r w:rsidRPr="00BB7A0B">
        <w:rPr>
          <w:b/>
        </w:rPr>
        <w:t xml:space="preserve"> </w:t>
      </w:r>
      <w:r w:rsidRPr="00BB7A0B">
        <w:rPr>
          <w:rFonts w:cs="Arial"/>
          <w:lang w:val="es-ES"/>
        </w:rPr>
        <w:t xml:space="preserve">por actualizarse la causal establecida en la fracción III del artículo 192 de la </w:t>
      </w:r>
      <w:r w:rsidRPr="00BB7A0B">
        <w:rPr>
          <w:lang w:eastAsia="es-ES_tradnl"/>
        </w:rPr>
        <w:t>Ley de Transparencia y Acceso a la Información Pública del Estado de México y Municipios</w:t>
      </w:r>
      <w:r w:rsidRPr="00BB7A0B">
        <w:rPr>
          <w:rFonts w:cs="Arial"/>
          <w:lang w:val="es-ES"/>
        </w:rPr>
        <w:t xml:space="preserve">, ya que al </w:t>
      </w:r>
      <w:r w:rsidRPr="00BB7A0B">
        <w:rPr>
          <w:rFonts w:cs="Arial"/>
          <w:b/>
          <w:lang w:val="es-ES"/>
        </w:rPr>
        <w:t>modificar el Sujeto Obligado la respuesta, el Recurso de Revisión quedó sin materia</w:t>
      </w:r>
      <w:r w:rsidRPr="00BB7A0B">
        <w:rPr>
          <w:rFonts w:cs="Arial"/>
          <w:lang w:val="es-ES"/>
        </w:rPr>
        <w:t xml:space="preserve">, en términos del Considerando </w:t>
      </w:r>
      <w:r w:rsidRPr="00BB7A0B">
        <w:rPr>
          <w:rFonts w:cs="Arial"/>
          <w:b/>
          <w:lang w:val="es-ES"/>
        </w:rPr>
        <w:t>SEGUNDO</w:t>
      </w:r>
      <w:r w:rsidRPr="00BB7A0B">
        <w:rPr>
          <w:rFonts w:cs="Arial"/>
          <w:lang w:val="es-ES"/>
        </w:rPr>
        <w:t xml:space="preserve"> de la presente resolución.</w:t>
      </w:r>
    </w:p>
    <w:p w14:paraId="0CBBA823" w14:textId="77777777" w:rsidR="00A557BD" w:rsidRPr="00BB7A0B" w:rsidRDefault="00A557BD" w:rsidP="00BB7A0B">
      <w:pPr>
        <w:widowControl w:val="0"/>
      </w:pPr>
      <w:r w:rsidRPr="00BB7A0B">
        <w:rPr>
          <w:b/>
          <w:bCs/>
        </w:rPr>
        <w:t>SEGUNDO</w:t>
      </w:r>
      <w:r w:rsidRPr="00BB7A0B">
        <w:t xml:space="preserve">. Notifíquese vía Sistema de Acceso a la Información Mexiquense </w:t>
      </w:r>
      <w:r w:rsidRPr="00BB7A0B">
        <w:rPr>
          <w:b/>
          <w:bCs/>
        </w:rPr>
        <w:t>SAIMEX</w:t>
      </w:r>
      <w:r w:rsidRPr="00BB7A0B">
        <w:t xml:space="preserve"> a la Titular de la Unidad de Transparencia del </w:t>
      </w:r>
      <w:r w:rsidRPr="00BB7A0B">
        <w:rPr>
          <w:b/>
          <w:bCs/>
        </w:rPr>
        <w:t>SUJETO</w:t>
      </w:r>
      <w:r w:rsidRPr="00BB7A0B">
        <w:t xml:space="preserve"> </w:t>
      </w:r>
      <w:r w:rsidRPr="00BB7A0B">
        <w:rPr>
          <w:b/>
          <w:bCs/>
        </w:rPr>
        <w:t>OBLIGADO</w:t>
      </w:r>
      <w:r w:rsidRPr="00BB7A0B">
        <w:t xml:space="preserve"> para su conocimiento. </w:t>
      </w:r>
    </w:p>
    <w:p w14:paraId="162E0848" w14:textId="77777777" w:rsidR="00A557BD" w:rsidRPr="00BB7A0B" w:rsidRDefault="00A557BD" w:rsidP="00BB7A0B">
      <w:pPr>
        <w:widowControl w:val="0"/>
      </w:pPr>
    </w:p>
    <w:p w14:paraId="7F006328" w14:textId="77777777" w:rsidR="00A557BD" w:rsidRPr="00BB7A0B" w:rsidRDefault="00A557BD" w:rsidP="00BB7A0B">
      <w:pPr>
        <w:widowControl w:val="0"/>
      </w:pPr>
      <w:r w:rsidRPr="00BB7A0B">
        <w:rPr>
          <w:b/>
          <w:bCs/>
        </w:rPr>
        <w:t>TERCERO</w:t>
      </w:r>
      <w:r w:rsidRPr="00BB7A0B">
        <w:t xml:space="preserve">. Notifíquese a </w:t>
      </w:r>
      <w:r w:rsidRPr="00BB7A0B">
        <w:rPr>
          <w:b/>
          <w:iCs/>
        </w:rPr>
        <w:t>LA PARTE RECURRENTE</w:t>
      </w:r>
      <w:r w:rsidRPr="00BB7A0B">
        <w:rPr>
          <w:b/>
          <w:bCs/>
          <w:iCs/>
        </w:rPr>
        <w:t xml:space="preserve"> </w:t>
      </w:r>
      <w:r w:rsidRPr="00BB7A0B">
        <w:t xml:space="preserve">  la presente resolución vía Sistema de Acceso a la Información Mexiquense SAIMEX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32DA2F41" w14:textId="77777777" w:rsidR="0035408F" w:rsidRDefault="0035408F" w:rsidP="00BB7A0B">
      <w:pPr>
        <w:widowControl w:val="0"/>
      </w:pPr>
    </w:p>
    <w:p w14:paraId="719A5C63" w14:textId="03E7000D" w:rsidR="00664420" w:rsidRPr="00BB7A0B" w:rsidRDefault="00664420" w:rsidP="00BB7A0B">
      <w:pPr>
        <w:rPr>
          <w:rFonts w:eastAsia="Palatino Linotype" w:cs="Palatino Linotype"/>
          <w:szCs w:val="22"/>
        </w:rPr>
      </w:pPr>
      <w:r w:rsidRPr="00BB7A0B">
        <w:rPr>
          <w:rFonts w:eastAsia="Palatino Linotype" w:cs="Palatino Linotype"/>
          <w:szCs w:val="22"/>
        </w:rPr>
        <w:t xml:space="preserve">ASÍ LO RESUELVE, POR UNANIMIDAD DE VOTOS EL PLENO DEL </w:t>
      </w:r>
      <w:r w:rsidR="009E5FD4" w:rsidRPr="00BB7A0B">
        <w:rPr>
          <w:rFonts w:eastAsia="Palatino Linotype" w:cs="Palatino Linotype"/>
          <w:szCs w:val="22"/>
        </w:rPr>
        <w:t>INSTITUTO DE TRANSPARENCIA, ACCESO A LA INFORMACIÓN PÚBLICA Y PROTECCIÓN DE DATOS PERSONALES DEL ESTADO DE MÉXICO Y MUNICIPIOS</w:t>
      </w:r>
      <w:r w:rsidRPr="00BB7A0B">
        <w:rPr>
          <w:rFonts w:eastAsia="Palatino Linotype" w:cs="Palatino Linotype"/>
          <w:szCs w:val="22"/>
        </w:rPr>
        <w:t xml:space="preserve"> CONFORMADO POR LOS COMISIONADOS JOSÉ MARTÍNEZ VILCHIS, MARÍA DEL ROSARIO MEJÍA AYALA, SHARON CRISTINA MORALES MARTÍNEZ, LUIS GUSTAVO PARRA NORIEGA Y GUADALUPE RAMÍREZ PEÑA, EN LA </w:t>
      </w:r>
      <w:r w:rsidR="001F44A3" w:rsidRPr="00BB7A0B">
        <w:rPr>
          <w:rFonts w:eastAsia="Palatino Linotype" w:cs="Palatino Linotype"/>
          <w:szCs w:val="22"/>
        </w:rPr>
        <w:t>SÉPTIMA</w:t>
      </w:r>
      <w:r w:rsidR="00C5325A" w:rsidRPr="00BB7A0B">
        <w:rPr>
          <w:rFonts w:eastAsia="Palatino Linotype" w:cs="Palatino Linotype"/>
          <w:szCs w:val="22"/>
        </w:rPr>
        <w:t xml:space="preserve"> </w:t>
      </w:r>
      <w:r w:rsidRPr="00BB7A0B">
        <w:rPr>
          <w:rFonts w:eastAsia="Palatino Linotype" w:cs="Palatino Linotype"/>
          <w:szCs w:val="22"/>
        </w:rPr>
        <w:t xml:space="preserve">SESIÓN ORDINARIA, CELEBRADA EL </w:t>
      </w:r>
      <w:r w:rsidR="001F44A3" w:rsidRPr="00BB7A0B">
        <w:rPr>
          <w:rFonts w:eastAsia="Palatino Linotype" w:cs="Palatino Linotype"/>
          <w:szCs w:val="22"/>
        </w:rPr>
        <w:t>VEINTISÉIS</w:t>
      </w:r>
      <w:r w:rsidR="0040573B" w:rsidRPr="00BB7A0B">
        <w:rPr>
          <w:rFonts w:eastAsia="Palatino Linotype" w:cs="Palatino Linotype"/>
          <w:szCs w:val="22"/>
        </w:rPr>
        <w:t xml:space="preserve"> DE FEBRERO DE DOS MIL VEINTICINCO</w:t>
      </w:r>
      <w:r w:rsidR="00336B4B" w:rsidRPr="00BB7A0B">
        <w:rPr>
          <w:rFonts w:eastAsia="Palatino Linotype" w:cs="Palatino Linotype"/>
          <w:szCs w:val="22"/>
        </w:rPr>
        <w:t xml:space="preserve">, </w:t>
      </w:r>
      <w:r w:rsidRPr="00BB7A0B">
        <w:rPr>
          <w:rFonts w:eastAsia="Palatino Linotype" w:cs="Palatino Linotype"/>
          <w:szCs w:val="22"/>
        </w:rPr>
        <w:t>ANTE EL SECRETARIO TÉCNICO DEL PLENO, ALEXIS TAPIA RAMÍREZ.</w:t>
      </w:r>
    </w:p>
    <w:p w14:paraId="26F5FDEB" w14:textId="77777777" w:rsidR="008629A5" w:rsidRPr="00BB7A0B" w:rsidRDefault="008629A5" w:rsidP="00BB7A0B">
      <w:pPr>
        <w:ind w:right="-93"/>
        <w:rPr>
          <w:szCs w:val="22"/>
        </w:rPr>
      </w:pPr>
      <w:r w:rsidRPr="00BB7A0B">
        <w:rPr>
          <w:rFonts w:eastAsia="Palatino Linotype" w:cs="Palatino Linotype"/>
          <w:szCs w:val="22"/>
        </w:rPr>
        <w:t>SCMM/AGZ/DEMF/PAG</w:t>
      </w:r>
    </w:p>
    <w:p w14:paraId="49D72DA3" w14:textId="77777777" w:rsidR="00664420" w:rsidRPr="00BB7A0B" w:rsidRDefault="00664420" w:rsidP="00BB7A0B">
      <w:pPr>
        <w:ind w:right="-93"/>
        <w:rPr>
          <w:rFonts w:eastAsia="Calibri" w:cs="Tahoma"/>
          <w:bCs/>
          <w:szCs w:val="22"/>
          <w:lang w:eastAsia="en-US"/>
        </w:rPr>
      </w:pPr>
    </w:p>
    <w:p w14:paraId="5EFEA0CD" w14:textId="77777777" w:rsidR="00664420" w:rsidRPr="00BB7A0B" w:rsidRDefault="00664420" w:rsidP="00BB7A0B">
      <w:pPr>
        <w:ind w:right="-93"/>
        <w:rPr>
          <w:rFonts w:eastAsia="Calibri" w:cs="Tahoma"/>
          <w:szCs w:val="22"/>
          <w:lang w:val="es-ES"/>
        </w:rPr>
      </w:pPr>
    </w:p>
    <w:p w14:paraId="696BC976" w14:textId="77777777" w:rsidR="00664420" w:rsidRPr="00BB7A0B" w:rsidRDefault="00664420" w:rsidP="00BB7A0B">
      <w:pPr>
        <w:ind w:right="-93"/>
        <w:rPr>
          <w:rFonts w:eastAsia="Calibri" w:cs="Tahoma"/>
          <w:bCs/>
          <w:szCs w:val="22"/>
          <w:lang w:val="es-ES" w:eastAsia="en-US"/>
        </w:rPr>
      </w:pPr>
    </w:p>
    <w:p w14:paraId="671CB0C5" w14:textId="77777777" w:rsidR="00664420" w:rsidRPr="00BB7A0B" w:rsidRDefault="00664420" w:rsidP="00BB7A0B">
      <w:pPr>
        <w:ind w:right="-93"/>
        <w:rPr>
          <w:rFonts w:eastAsia="Calibri" w:cs="Tahoma"/>
          <w:bCs/>
          <w:szCs w:val="22"/>
          <w:lang w:val="es-ES_tradnl" w:eastAsia="en-US"/>
        </w:rPr>
      </w:pPr>
    </w:p>
    <w:p w14:paraId="52B66DE7" w14:textId="77777777" w:rsidR="00664420" w:rsidRPr="00BB7A0B" w:rsidRDefault="00664420" w:rsidP="00BB7A0B">
      <w:pPr>
        <w:ind w:right="-93"/>
        <w:rPr>
          <w:rFonts w:eastAsia="Calibri" w:cs="Tahoma"/>
          <w:bCs/>
          <w:szCs w:val="22"/>
          <w:lang w:val="es-ES_tradnl" w:eastAsia="en-US"/>
        </w:rPr>
      </w:pPr>
    </w:p>
    <w:p w14:paraId="3BA305D1" w14:textId="77777777" w:rsidR="00664420" w:rsidRPr="00BB7A0B" w:rsidRDefault="00664420" w:rsidP="00BB7A0B">
      <w:pPr>
        <w:ind w:right="-93"/>
        <w:rPr>
          <w:rFonts w:eastAsia="Calibri" w:cs="Tahoma"/>
          <w:bCs/>
          <w:szCs w:val="22"/>
          <w:lang w:val="es-ES_tradnl" w:eastAsia="en-US"/>
        </w:rPr>
      </w:pPr>
    </w:p>
    <w:p w14:paraId="78230707" w14:textId="77777777" w:rsidR="00664420" w:rsidRPr="00BB7A0B" w:rsidRDefault="00664420" w:rsidP="00BB7A0B">
      <w:pPr>
        <w:ind w:right="-93"/>
        <w:rPr>
          <w:rFonts w:eastAsia="Calibri" w:cs="Tahoma"/>
          <w:bCs/>
          <w:szCs w:val="22"/>
          <w:lang w:val="es-ES_tradnl" w:eastAsia="en-US"/>
        </w:rPr>
      </w:pPr>
    </w:p>
    <w:p w14:paraId="72D18B28" w14:textId="77777777" w:rsidR="00664420" w:rsidRPr="00BB7A0B" w:rsidRDefault="00664420" w:rsidP="00BB7A0B">
      <w:pPr>
        <w:ind w:right="-93"/>
        <w:rPr>
          <w:rFonts w:eastAsia="Calibri" w:cs="Tahoma"/>
          <w:bCs/>
          <w:szCs w:val="22"/>
          <w:lang w:val="es-ES_tradnl" w:eastAsia="en-US"/>
        </w:rPr>
      </w:pPr>
    </w:p>
    <w:p w14:paraId="6BD461DC" w14:textId="77777777" w:rsidR="00664420" w:rsidRPr="00BB7A0B" w:rsidRDefault="00664420" w:rsidP="00BB7A0B">
      <w:pPr>
        <w:tabs>
          <w:tab w:val="center" w:pos="4568"/>
        </w:tabs>
        <w:ind w:right="-93"/>
        <w:rPr>
          <w:rFonts w:eastAsia="Calibri" w:cs="Tahoma"/>
          <w:bCs/>
          <w:szCs w:val="22"/>
          <w:lang w:eastAsia="en-US"/>
        </w:rPr>
      </w:pPr>
    </w:p>
    <w:p w14:paraId="4DBB1727" w14:textId="77777777" w:rsidR="00664420" w:rsidRPr="00BB7A0B" w:rsidRDefault="00664420" w:rsidP="00BB7A0B">
      <w:pPr>
        <w:tabs>
          <w:tab w:val="center" w:pos="4568"/>
        </w:tabs>
        <w:ind w:right="-93"/>
        <w:rPr>
          <w:rFonts w:eastAsia="Calibri" w:cs="Tahoma"/>
          <w:bCs/>
          <w:szCs w:val="22"/>
          <w:lang w:eastAsia="en-US"/>
        </w:rPr>
      </w:pPr>
    </w:p>
    <w:p w14:paraId="1D74121B" w14:textId="77777777" w:rsidR="00664420" w:rsidRPr="00BB7A0B" w:rsidRDefault="00664420" w:rsidP="00BB7A0B">
      <w:pPr>
        <w:tabs>
          <w:tab w:val="center" w:pos="4568"/>
        </w:tabs>
        <w:ind w:right="-93"/>
        <w:rPr>
          <w:rFonts w:eastAsia="Calibri" w:cs="Tahoma"/>
          <w:bCs/>
          <w:szCs w:val="22"/>
          <w:lang w:eastAsia="en-US"/>
        </w:rPr>
      </w:pPr>
    </w:p>
    <w:p w14:paraId="08E74E9C" w14:textId="77777777" w:rsidR="00664420" w:rsidRPr="00BB7A0B" w:rsidRDefault="00664420" w:rsidP="00BB7A0B">
      <w:pPr>
        <w:tabs>
          <w:tab w:val="center" w:pos="4568"/>
        </w:tabs>
        <w:ind w:right="-93"/>
        <w:rPr>
          <w:rFonts w:eastAsia="Calibri" w:cs="Tahoma"/>
          <w:bCs/>
          <w:szCs w:val="22"/>
          <w:lang w:eastAsia="en-US"/>
        </w:rPr>
      </w:pPr>
    </w:p>
    <w:p w14:paraId="2CBF5E03" w14:textId="77777777" w:rsidR="00664420" w:rsidRPr="00BB7A0B" w:rsidRDefault="00664420" w:rsidP="00BB7A0B">
      <w:pPr>
        <w:tabs>
          <w:tab w:val="center" w:pos="4568"/>
        </w:tabs>
        <w:ind w:right="-93"/>
        <w:rPr>
          <w:rFonts w:eastAsia="Calibri" w:cs="Tahoma"/>
          <w:bCs/>
          <w:szCs w:val="22"/>
          <w:lang w:eastAsia="en-US"/>
        </w:rPr>
      </w:pPr>
    </w:p>
    <w:p w14:paraId="44865A6D" w14:textId="77777777" w:rsidR="00664420" w:rsidRPr="00BB7A0B" w:rsidRDefault="00664420" w:rsidP="00BB7A0B">
      <w:pPr>
        <w:tabs>
          <w:tab w:val="center" w:pos="4568"/>
        </w:tabs>
        <w:ind w:right="-93"/>
        <w:rPr>
          <w:rFonts w:eastAsia="Calibri" w:cs="Tahoma"/>
          <w:bCs/>
          <w:szCs w:val="22"/>
          <w:lang w:eastAsia="en-US"/>
        </w:rPr>
      </w:pPr>
    </w:p>
    <w:p w14:paraId="57A88B28" w14:textId="77777777" w:rsidR="00664420" w:rsidRPr="00BB7A0B" w:rsidRDefault="00664420" w:rsidP="00BB7A0B">
      <w:pPr>
        <w:tabs>
          <w:tab w:val="center" w:pos="4568"/>
        </w:tabs>
        <w:ind w:right="-93"/>
        <w:rPr>
          <w:rFonts w:eastAsia="Calibri" w:cs="Tahoma"/>
          <w:bCs/>
          <w:szCs w:val="22"/>
          <w:lang w:eastAsia="en-US"/>
        </w:rPr>
      </w:pPr>
    </w:p>
    <w:p w14:paraId="77EF6095" w14:textId="77777777" w:rsidR="00664420" w:rsidRPr="00BB7A0B" w:rsidRDefault="00664420" w:rsidP="00BB7A0B">
      <w:pPr>
        <w:tabs>
          <w:tab w:val="center" w:pos="4568"/>
        </w:tabs>
        <w:ind w:right="-93"/>
        <w:rPr>
          <w:rFonts w:eastAsia="Calibri" w:cs="Tahoma"/>
          <w:bCs/>
          <w:szCs w:val="22"/>
          <w:lang w:eastAsia="en-US"/>
        </w:rPr>
      </w:pPr>
    </w:p>
    <w:p w14:paraId="35593947" w14:textId="77777777" w:rsidR="00664420" w:rsidRPr="00BB7A0B" w:rsidRDefault="00664420" w:rsidP="00BB7A0B">
      <w:pPr>
        <w:tabs>
          <w:tab w:val="center" w:pos="4568"/>
        </w:tabs>
        <w:ind w:right="-93"/>
        <w:rPr>
          <w:rFonts w:eastAsia="Calibri" w:cs="Tahoma"/>
          <w:bCs/>
          <w:szCs w:val="22"/>
          <w:lang w:eastAsia="en-US"/>
        </w:rPr>
      </w:pPr>
    </w:p>
    <w:p w14:paraId="3AF72A17" w14:textId="77777777" w:rsidR="00664420" w:rsidRPr="00BB7A0B" w:rsidRDefault="00664420" w:rsidP="00BB7A0B">
      <w:pPr>
        <w:tabs>
          <w:tab w:val="center" w:pos="4568"/>
        </w:tabs>
        <w:ind w:right="-93"/>
        <w:rPr>
          <w:rFonts w:eastAsia="Calibri" w:cs="Tahoma"/>
          <w:bCs/>
          <w:szCs w:val="22"/>
          <w:lang w:eastAsia="en-US"/>
        </w:rPr>
      </w:pPr>
    </w:p>
    <w:p w14:paraId="37169144" w14:textId="77777777" w:rsidR="00664420" w:rsidRPr="00BB7A0B" w:rsidRDefault="00664420" w:rsidP="00BB7A0B">
      <w:pPr>
        <w:tabs>
          <w:tab w:val="center" w:pos="4568"/>
        </w:tabs>
        <w:ind w:right="-93"/>
        <w:rPr>
          <w:rFonts w:eastAsia="Calibri" w:cs="Tahoma"/>
          <w:bCs/>
          <w:szCs w:val="22"/>
          <w:lang w:eastAsia="en-US"/>
        </w:rPr>
      </w:pPr>
    </w:p>
    <w:p w14:paraId="77CFC088" w14:textId="77777777" w:rsidR="00664420" w:rsidRPr="00BB7A0B" w:rsidRDefault="00664420" w:rsidP="00BB7A0B">
      <w:pPr>
        <w:tabs>
          <w:tab w:val="center" w:pos="4568"/>
        </w:tabs>
        <w:ind w:right="-93"/>
        <w:rPr>
          <w:rFonts w:eastAsia="Calibri" w:cs="Tahoma"/>
          <w:bCs/>
          <w:szCs w:val="22"/>
          <w:lang w:eastAsia="en-US"/>
        </w:rPr>
      </w:pPr>
    </w:p>
    <w:p w14:paraId="781A11A5" w14:textId="77777777" w:rsidR="00664420" w:rsidRPr="00BB7A0B" w:rsidRDefault="00664420" w:rsidP="00BB7A0B">
      <w:pPr>
        <w:tabs>
          <w:tab w:val="center" w:pos="4568"/>
        </w:tabs>
        <w:ind w:right="-93"/>
        <w:rPr>
          <w:rFonts w:eastAsia="Calibri" w:cs="Tahoma"/>
          <w:bCs/>
          <w:szCs w:val="22"/>
          <w:lang w:eastAsia="en-US"/>
        </w:rPr>
      </w:pPr>
    </w:p>
    <w:p w14:paraId="5B4ADFF3" w14:textId="77777777" w:rsidR="00A131AC" w:rsidRPr="00BB7A0B" w:rsidRDefault="00A131AC" w:rsidP="00BB7A0B">
      <w:pPr>
        <w:rPr>
          <w:szCs w:val="22"/>
        </w:rPr>
      </w:pPr>
    </w:p>
    <w:sectPr w:rsidR="00A131AC" w:rsidRPr="00BB7A0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EE9C" w14:textId="77777777" w:rsidR="00057439" w:rsidRDefault="00057439" w:rsidP="00664420">
      <w:pPr>
        <w:spacing w:line="240" w:lineRule="auto"/>
      </w:pPr>
      <w:r>
        <w:separator/>
      </w:r>
    </w:p>
  </w:endnote>
  <w:endnote w:type="continuationSeparator" w:id="0">
    <w:p w14:paraId="6267D896" w14:textId="77777777" w:rsidR="00057439" w:rsidRDefault="0005743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44A0A" w:rsidRDefault="00244A0A">
    <w:pPr>
      <w:tabs>
        <w:tab w:val="center" w:pos="4550"/>
        <w:tab w:val="left" w:pos="5818"/>
      </w:tabs>
      <w:ind w:right="260"/>
      <w:jc w:val="right"/>
      <w:rPr>
        <w:color w:val="071320" w:themeColor="text2" w:themeShade="80"/>
        <w:sz w:val="24"/>
        <w:szCs w:val="24"/>
      </w:rPr>
    </w:pPr>
  </w:p>
  <w:p w14:paraId="1BCA7F23" w14:textId="77777777" w:rsidR="00244A0A" w:rsidRDefault="00244A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44A0A" w:rsidRDefault="00244A0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E221D" w:rsidRPr="009E221D">
      <w:rPr>
        <w:noProof/>
        <w:color w:val="0A1D30" w:themeColor="text2" w:themeShade="BF"/>
        <w:sz w:val="24"/>
        <w:szCs w:val="24"/>
        <w:lang w:val="es-ES"/>
      </w:rPr>
      <w:t>27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E221D" w:rsidRPr="009E221D">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244A0A" w:rsidRDefault="00244A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4C618" w14:textId="77777777" w:rsidR="00057439" w:rsidRDefault="00057439" w:rsidP="00664420">
      <w:pPr>
        <w:spacing w:line="240" w:lineRule="auto"/>
      </w:pPr>
      <w:r>
        <w:separator/>
      </w:r>
    </w:p>
  </w:footnote>
  <w:footnote w:type="continuationSeparator" w:id="0">
    <w:p w14:paraId="208B8D68" w14:textId="77777777" w:rsidR="00057439" w:rsidRDefault="0005743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44A0A" w:rsidRPr="00330DA7" w14:paraId="070A4B18" w14:textId="77777777" w:rsidTr="003F35FD">
      <w:trPr>
        <w:trHeight w:val="144"/>
        <w:jc w:val="right"/>
      </w:trPr>
      <w:tc>
        <w:tcPr>
          <w:tcW w:w="2727" w:type="dxa"/>
        </w:tcPr>
        <w:p w14:paraId="62B7493A" w14:textId="77777777" w:rsidR="00244A0A" w:rsidRPr="00330DA7" w:rsidRDefault="00244A0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8815466" w:rsidR="00244A0A" w:rsidRPr="00A90C72" w:rsidRDefault="00244A0A" w:rsidP="000748DF">
          <w:pPr>
            <w:tabs>
              <w:tab w:val="right" w:pos="8838"/>
            </w:tabs>
            <w:ind w:left="-74" w:right="-105"/>
            <w:rPr>
              <w:rFonts w:eastAsia="Calibri" w:cs="Tahoma"/>
              <w:szCs w:val="22"/>
              <w:lang w:eastAsia="en-US"/>
            </w:rPr>
          </w:pPr>
          <w:r w:rsidRPr="00EC2A3B">
            <w:rPr>
              <w:rFonts w:eastAsia="Calibri" w:cs="Tahoma"/>
              <w:szCs w:val="22"/>
              <w:lang w:eastAsia="en-US"/>
            </w:rPr>
            <w:t>00337/INFOEM/IP/RR/2025</w:t>
          </w:r>
        </w:p>
      </w:tc>
    </w:tr>
    <w:tr w:rsidR="00244A0A" w:rsidRPr="00330DA7" w14:paraId="4521E058" w14:textId="77777777" w:rsidTr="003F35FD">
      <w:trPr>
        <w:trHeight w:val="283"/>
        <w:jc w:val="right"/>
      </w:trPr>
      <w:tc>
        <w:tcPr>
          <w:tcW w:w="2727" w:type="dxa"/>
        </w:tcPr>
        <w:p w14:paraId="0B68C086" w14:textId="77777777" w:rsidR="00244A0A" w:rsidRPr="00330DA7" w:rsidRDefault="00244A0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62D87B1" w:rsidR="00244A0A" w:rsidRPr="00952DD0" w:rsidRDefault="00244A0A" w:rsidP="003F35FD">
          <w:pPr>
            <w:tabs>
              <w:tab w:val="left" w:pos="2834"/>
              <w:tab w:val="right" w:pos="8838"/>
            </w:tabs>
            <w:ind w:left="-108" w:right="-105"/>
            <w:rPr>
              <w:rFonts w:eastAsia="Calibri" w:cs="Tahoma"/>
              <w:szCs w:val="22"/>
              <w:lang w:eastAsia="en-US"/>
            </w:rPr>
          </w:pPr>
          <w:r w:rsidRPr="00EC2A3B">
            <w:rPr>
              <w:rFonts w:eastAsia="Calibri" w:cs="Tahoma"/>
              <w:szCs w:val="22"/>
              <w:lang w:eastAsia="en-US"/>
            </w:rPr>
            <w:t>Sindicato Único de Trabajadores de Los Poderes, Municipios E Instituciones Descentralizadas del Estado de México</w:t>
          </w:r>
        </w:p>
      </w:tc>
    </w:tr>
    <w:tr w:rsidR="00244A0A" w:rsidRPr="00330DA7" w14:paraId="6331D9B6" w14:textId="77777777" w:rsidTr="003F35FD">
      <w:trPr>
        <w:trHeight w:val="283"/>
        <w:jc w:val="right"/>
      </w:trPr>
      <w:tc>
        <w:tcPr>
          <w:tcW w:w="2727" w:type="dxa"/>
        </w:tcPr>
        <w:p w14:paraId="3FA86BAE" w14:textId="68E88B1D" w:rsidR="00244A0A" w:rsidRPr="00330DA7" w:rsidRDefault="00244A0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44A0A" w:rsidRPr="00EA66FC" w:rsidRDefault="00244A0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44A0A" w:rsidRPr="00443C6B" w:rsidRDefault="00244A0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570103F4">
          <wp:simplePos x="0" y="0"/>
          <wp:positionH relativeFrom="margin">
            <wp:posOffset>-995045</wp:posOffset>
          </wp:positionH>
          <wp:positionV relativeFrom="margin">
            <wp:posOffset>-2106295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44A0A" w:rsidRPr="00330DA7" w14:paraId="29CFF901" w14:textId="77777777" w:rsidTr="004B56B4">
      <w:trPr>
        <w:trHeight w:val="1435"/>
      </w:trPr>
      <w:tc>
        <w:tcPr>
          <w:tcW w:w="283" w:type="dxa"/>
          <w:shd w:val="clear" w:color="auto" w:fill="auto"/>
        </w:tcPr>
        <w:p w14:paraId="046B9F8F" w14:textId="56D2D896" w:rsidR="00244A0A" w:rsidRPr="00330DA7" w:rsidRDefault="00244A0A"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244A0A" w:rsidRPr="00330DA7" w14:paraId="04F272D2" w14:textId="77777777" w:rsidTr="009E4391">
            <w:trPr>
              <w:trHeight w:val="144"/>
            </w:trPr>
            <w:tc>
              <w:tcPr>
                <w:tcW w:w="2581" w:type="dxa"/>
              </w:tcPr>
              <w:p w14:paraId="2FD4DBF6" w14:textId="77777777" w:rsidR="00244A0A" w:rsidRPr="00330DA7" w:rsidRDefault="00244A0A"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0194C7B9" w:rsidR="00244A0A" w:rsidRPr="00A90C72" w:rsidRDefault="00244A0A" w:rsidP="009E4391">
                <w:pPr>
                  <w:tabs>
                    <w:tab w:val="right" w:pos="8838"/>
                  </w:tabs>
                  <w:spacing w:line="240" w:lineRule="auto"/>
                  <w:ind w:right="-108"/>
                  <w:rPr>
                    <w:rFonts w:eastAsia="Calibri" w:cs="Tahoma"/>
                    <w:szCs w:val="22"/>
                    <w:lang w:eastAsia="en-US"/>
                  </w:rPr>
                </w:pPr>
                <w:r w:rsidRPr="00EC2A3B">
                  <w:rPr>
                    <w:rFonts w:eastAsia="Calibri" w:cs="Tahoma"/>
                    <w:szCs w:val="22"/>
                    <w:lang w:eastAsia="en-US"/>
                  </w:rPr>
                  <w:t>00337/INFOEM/IP/RR/2025</w:t>
                </w:r>
              </w:p>
            </w:tc>
            <w:tc>
              <w:tcPr>
                <w:tcW w:w="3402" w:type="dxa"/>
              </w:tcPr>
              <w:p w14:paraId="71DEA1CF" w14:textId="77777777" w:rsidR="00244A0A" w:rsidRDefault="00244A0A" w:rsidP="005F3813">
                <w:pPr>
                  <w:tabs>
                    <w:tab w:val="right" w:pos="8838"/>
                  </w:tabs>
                  <w:spacing w:line="240" w:lineRule="auto"/>
                  <w:ind w:left="-74" w:right="-108"/>
                  <w:rPr>
                    <w:rFonts w:eastAsia="Calibri" w:cs="Tahoma"/>
                    <w:szCs w:val="22"/>
                    <w:lang w:eastAsia="en-US"/>
                  </w:rPr>
                </w:pPr>
              </w:p>
            </w:tc>
          </w:tr>
          <w:tr w:rsidR="00244A0A" w:rsidRPr="00330DA7" w14:paraId="05C58951" w14:textId="77777777" w:rsidTr="009E4391">
            <w:trPr>
              <w:trHeight w:val="144"/>
            </w:trPr>
            <w:tc>
              <w:tcPr>
                <w:tcW w:w="2581" w:type="dxa"/>
              </w:tcPr>
              <w:p w14:paraId="642B9610" w14:textId="77777777" w:rsidR="00244A0A" w:rsidRPr="00330DA7" w:rsidRDefault="00244A0A"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70DA5C73" w:rsidR="00244A0A" w:rsidRPr="005F19B1" w:rsidRDefault="009E221D"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XXXXXXXX XXXXXX XXXXXXX</w:t>
                </w:r>
              </w:p>
            </w:tc>
            <w:tc>
              <w:tcPr>
                <w:tcW w:w="3402" w:type="dxa"/>
              </w:tcPr>
              <w:p w14:paraId="73F47F53" w14:textId="77777777" w:rsidR="00244A0A" w:rsidRPr="005F19B1" w:rsidRDefault="00244A0A" w:rsidP="005F3813">
                <w:pPr>
                  <w:tabs>
                    <w:tab w:val="left" w:pos="3122"/>
                    <w:tab w:val="right" w:pos="8838"/>
                  </w:tabs>
                  <w:spacing w:line="240" w:lineRule="auto"/>
                  <w:ind w:left="-105" w:right="-108"/>
                  <w:rPr>
                    <w:rFonts w:eastAsia="Calibri" w:cs="Tahoma"/>
                    <w:szCs w:val="22"/>
                    <w:lang w:eastAsia="en-US"/>
                  </w:rPr>
                </w:pPr>
              </w:p>
            </w:tc>
          </w:tr>
          <w:bookmarkEnd w:id="1"/>
          <w:tr w:rsidR="00244A0A" w:rsidRPr="00330DA7" w14:paraId="00E6CDC1" w14:textId="77777777" w:rsidTr="009E4391">
            <w:trPr>
              <w:trHeight w:val="283"/>
            </w:trPr>
            <w:tc>
              <w:tcPr>
                <w:tcW w:w="2581" w:type="dxa"/>
              </w:tcPr>
              <w:p w14:paraId="0631AD24" w14:textId="77777777" w:rsidR="00244A0A" w:rsidRPr="00330DA7" w:rsidRDefault="00244A0A"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69D242F8" w:rsidR="00244A0A" w:rsidRPr="00952DD0" w:rsidRDefault="00244A0A" w:rsidP="005F3813">
                <w:pPr>
                  <w:tabs>
                    <w:tab w:val="left" w:pos="2834"/>
                    <w:tab w:val="right" w:pos="8838"/>
                  </w:tabs>
                  <w:spacing w:line="240" w:lineRule="auto"/>
                  <w:ind w:left="-108" w:right="-108"/>
                  <w:rPr>
                    <w:rFonts w:eastAsia="Calibri" w:cs="Tahoma"/>
                    <w:szCs w:val="22"/>
                    <w:lang w:eastAsia="en-US"/>
                  </w:rPr>
                </w:pPr>
                <w:r w:rsidRPr="00EC2A3B">
                  <w:rPr>
                    <w:rFonts w:eastAsia="Calibri" w:cs="Tahoma"/>
                    <w:szCs w:val="22"/>
                    <w:lang w:eastAsia="en-US"/>
                  </w:rPr>
                  <w:t>Sindicato Único de Trabajadores de Los Poderes, Municipios E Instituciones Descentralizadas del Estado de México</w:t>
                </w:r>
              </w:p>
            </w:tc>
            <w:tc>
              <w:tcPr>
                <w:tcW w:w="3402" w:type="dxa"/>
              </w:tcPr>
              <w:p w14:paraId="3A7DA319" w14:textId="77777777" w:rsidR="00244A0A" w:rsidRPr="00A90C72" w:rsidRDefault="00244A0A" w:rsidP="005F3813">
                <w:pPr>
                  <w:tabs>
                    <w:tab w:val="left" w:pos="2834"/>
                    <w:tab w:val="right" w:pos="8838"/>
                  </w:tabs>
                  <w:spacing w:line="240" w:lineRule="auto"/>
                  <w:ind w:left="-108" w:right="-108"/>
                  <w:rPr>
                    <w:rFonts w:eastAsia="Calibri" w:cs="Tahoma"/>
                    <w:szCs w:val="22"/>
                    <w:lang w:eastAsia="en-US"/>
                  </w:rPr>
                </w:pPr>
              </w:p>
            </w:tc>
          </w:tr>
          <w:tr w:rsidR="00244A0A" w:rsidRPr="00330DA7" w14:paraId="0F6CD8D2" w14:textId="77777777" w:rsidTr="009E4391">
            <w:trPr>
              <w:trHeight w:val="283"/>
            </w:trPr>
            <w:tc>
              <w:tcPr>
                <w:tcW w:w="2581" w:type="dxa"/>
              </w:tcPr>
              <w:p w14:paraId="31700628" w14:textId="032DD90E" w:rsidR="00244A0A" w:rsidRPr="00330DA7" w:rsidRDefault="00244A0A"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244A0A" w:rsidRPr="00EA66FC" w:rsidRDefault="00244A0A"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44A0A" w:rsidRPr="00330DA7" w:rsidRDefault="00244A0A" w:rsidP="005F3813">
                <w:pPr>
                  <w:tabs>
                    <w:tab w:val="right" w:pos="8838"/>
                  </w:tabs>
                  <w:spacing w:line="240" w:lineRule="auto"/>
                  <w:ind w:left="-108" w:right="-108"/>
                  <w:rPr>
                    <w:rFonts w:eastAsia="Calibri" w:cs="Tahoma"/>
                    <w:szCs w:val="22"/>
                    <w:lang w:eastAsia="en-US"/>
                  </w:rPr>
                </w:pPr>
              </w:p>
            </w:tc>
          </w:tr>
        </w:tbl>
        <w:p w14:paraId="5DC6AC61" w14:textId="77777777" w:rsidR="00244A0A" w:rsidRPr="00330DA7" w:rsidRDefault="00244A0A" w:rsidP="004B56B4">
          <w:pPr>
            <w:tabs>
              <w:tab w:val="right" w:pos="8838"/>
            </w:tabs>
            <w:ind w:left="-28"/>
            <w:rPr>
              <w:rFonts w:ascii="Arial" w:eastAsia="Calibri" w:hAnsi="Arial" w:cs="Arial"/>
              <w:b/>
              <w:szCs w:val="22"/>
              <w:lang w:eastAsia="en-US"/>
            </w:rPr>
          </w:pPr>
        </w:p>
      </w:tc>
    </w:tr>
  </w:tbl>
  <w:p w14:paraId="2A906731" w14:textId="77777777" w:rsidR="00244A0A" w:rsidRPr="00765661" w:rsidRDefault="00057439"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4.9pt;margin-top:-153.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FB5909"/>
    <w:multiLevelType w:val="hybridMultilevel"/>
    <w:tmpl w:val="A52AC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5"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D466F6"/>
    <w:multiLevelType w:val="hybridMultilevel"/>
    <w:tmpl w:val="A828B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4"/>
  </w:num>
  <w:num w:numId="5">
    <w:abstractNumId w:val="3"/>
  </w:num>
  <w:num w:numId="6">
    <w:abstractNumId w:val="2"/>
  </w:num>
  <w:num w:numId="7">
    <w:abstractNumId w:val="1"/>
  </w:num>
  <w:num w:numId="8">
    <w:abstractNumId w:val="10"/>
  </w:num>
  <w:num w:numId="9">
    <w:abstractNumId w:val="0"/>
  </w:num>
  <w:num w:numId="10">
    <w:abstractNumId w:val="9"/>
  </w:num>
  <w:num w:numId="11">
    <w:abstractNumId w:val="7"/>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5123"/>
    <w:rsid w:val="00021886"/>
    <w:rsid w:val="0002337E"/>
    <w:rsid w:val="00023457"/>
    <w:rsid w:val="000272D2"/>
    <w:rsid w:val="000310E5"/>
    <w:rsid w:val="000318BC"/>
    <w:rsid w:val="00031D24"/>
    <w:rsid w:val="00034097"/>
    <w:rsid w:val="00034C3A"/>
    <w:rsid w:val="00036589"/>
    <w:rsid w:val="000411E3"/>
    <w:rsid w:val="00043F62"/>
    <w:rsid w:val="00044BDF"/>
    <w:rsid w:val="00047401"/>
    <w:rsid w:val="00052FBF"/>
    <w:rsid w:val="00054DD6"/>
    <w:rsid w:val="00057439"/>
    <w:rsid w:val="00057B2D"/>
    <w:rsid w:val="000701E0"/>
    <w:rsid w:val="000729BE"/>
    <w:rsid w:val="00073F86"/>
    <w:rsid w:val="000748DF"/>
    <w:rsid w:val="00074990"/>
    <w:rsid w:val="00074B3A"/>
    <w:rsid w:val="00075514"/>
    <w:rsid w:val="00080071"/>
    <w:rsid w:val="000820ED"/>
    <w:rsid w:val="00082A7D"/>
    <w:rsid w:val="000853B7"/>
    <w:rsid w:val="000863CE"/>
    <w:rsid w:val="00086B1B"/>
    <w:rsid w:val="000871BE"/>
    <w:rsid w:val="000925BE"/>
    <w:rsid w:val="000931F8"/>
    <w:rsid w:val="0009347C"/>
    <w:rsid w:val="0009480D"/>
    <w:rsid w:val="000A57F7"/>
    <w:rsid w:val="000B193A"/>
    <w:rsid w:val="000B3962"/>
    <w:rsid w:val="000B4579"/>
    <w:rsid w:val="000B68BC"/>
    <w:rsid w:val="000C5F87"/>
    <w:rsid w:val="000C7151"/>
    <w:rsid w:val="000D0D67"/>
    <w:rsid w:val="000D13AD"/>
    <w:rsid w:val="000E09C4"/>
    <w:rsid w:val="000E3851"/>
    <w:rsid w:val="000E4D48"/>
    <w:rsid w:val="000E5A90"/>
    <w:rsid w:val="000F1C2C"/>
    <w:rsid w:val="000F5D4A"/>
    <w:rsid w:val="00100134"/>
    <w:rsid w:val="00104035"/>
    <w:rsid w:val="001109B7"/>
    <w:rsid w:val="00113286"/>
    <w:rsid w:val="0011350D"/>
    <w:rsid w:val="00113CFA"/>
    <w:rsid w:val="00113E1A"/>
    <w:rsid w:val="00117B76"/>
    <w:rsid w:val="00122332"/>
    <w:rsid w:val="00124714"/>
    <w:rsid w:val="001259D3"/>
    <w:rsid w:val="00125D09"/>
    <w:rsid w:val="00126BAB"/>
    <w:rsid w:val="0013398A"/>
    <w:rsid w:val="00134ED3"/>
    <w:rsid w:val="0013732D"/>
    <w:rsid w:val="00141876"/>
    <w:rsid w:val="0014207B"/>
    <w:rsid w:val="00145FFE"/>
    <w:rsid w:val="00150C49"/>
    <w:rsid w:val="00154E91"/>
    <w:rsid w:val="00164403"/>
    <w:rsid w:val="00167FA5"/>
    <w:rsid w:val="00176CA6"/>
    <w:rsid w:val="00180562"/>
    <w:rsid w:val="00182B71"/>
    <w:rsid w:val="00186A19"/>
    <w:rsid w:val="001913B7"/>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3E79"/>
    <w:rsid w:val="001D4CD0"/>
    <w:rsid w:val="001D64B5"/>
    <w:rsid w:val="001F1BE3"/>
    <w:rsid w:val="001F2DC7"/>
    <w:rsid w:val="001F3515"/>
    <w:rsid w:val="001F44A3"/>
    <w:rsid w:val="002051CD"/>
    <w:rsid w:val="0020698B"/>
    <w:rsid w:val="00207DEA"/>
    <w:rsid w:val="00211229"/>
    <w:rsid w:val="00212CEC"/>
    <w:rsid w:val="00214FC7"/>
    <w:rsid w:val="002163E8"/>
    <w:rsid w:val="0022059D"/>
    <w:rsid w:val="00224352"/>
    <w:rsid w:val="00225C9B"/>
    <w:rsid w:val="00225D98"/>
    <w:rsid w:val="002268D4"/>
    <w:rsid w:val="00227FB3"/>
    <w:rsid w:val="002309EE"/>
    <w:rsid w:val="0023187D"/>
    <w:rsid w:val="00233005"/>
    <w:rsid w:val="00233F17"/>
    <w:rsid w:val="002346E6"/>
    <w:rsid w:val="00236D5E"/>
    <w:rsid w:val="002411A0"/>
    <w:rsid w:val="00241ACF"/>
    <w:rsid w:val="00242B28"/>
    <w:rsid w:val="00244A0A"/>
    <w:rsid w:val="00244FA6"/>
    <w:rsid w:val="0024744C"/>
    <w:rsid w:val="00250799"/>
    <w:rsid w:val="00253742"/>
    <w:rsid w:val="00255111"/>
    <w:rsid w:val="0025601C"/>
    <w:rsid w:val="00260CEB"/>
    <w:rsid w:val="00260F26"/>
    <w:rsid w:val="00267635"/>
    <w:rsid w:val="002807DD"/>
    <w:rsid w:val="00281E89"/>
    <w:rsid w:val="00282DE1"/>
    <w:rsid w:val="00283C65"/>
    <w:rsid w:val="00285B81"/>
    <w:rsid w:val="00286AFF"/>
    <w:rsid w:val="00286F15"/>
    <w:rsid w:val="00291350"/>
    <w:rsid w:val="002939DF"/>
    <w:rsid w:val="00293E8F"/>
    <w:rsid w:val="0029492C"/>
    <w:rsid w:val="0029656A"/>
    <w:rsid w:val="002A10C4"/>
    <w:rsid w:val="002A1C04"/>
    <w:rsid w:val="002A3601"/>
    <w:rsid w:val="002B1314"/>
    <w:rsid w:val="002B3577"/>
    <w:rsid w:val="002B4A8C"/>
    <w:rsid w:val="002B6ADA"/>
    <w:rsid w:val="002B7C6F"/>
    <w:rsid w:val="002D111C"/>
    <w:rsid w:val="002D2D4A"/>
    <w:rsid w:val="002D4497"/>
    <w:rsid w:val="002E0855"/>
    <w:rsid w:val="002E08BE"/>
    <w:rsid w:val="002E2C99"/>
    <w:rsid w:val="002E309B"/>
    <w:rsid w:val="002E6465"/>
    <w:rsid w:val="002E69F0"/>
    <w:rsid w:val="002E6DBB"/>
    <w:rsid w:val="002F1C00"/>
    <w:rsid w:val="002F46FE"/>
    <w:rsid w:val="002F4DBD"/>
    <w:rsid w:val="00302476"/>
    <w:rsid w:val="0031184A"/>
    <w:rsid w:val="00315789"/>
    <w:rsid w:val="003171F3"/>
    <w:rsid w:val="003202F3"/>
    <w:rsid w:val="00321E6F"/>
    <w:rsid w:val="00321F51"/>
    <w:rsid w:val="003244E0"/>
    <w:rsid w:val="00331F35"/>
    <w:rsid w:val="00333057"/>
    <w:rsid w:val="0033442A"/>
    <w:rsid w:val="0033585B"/>
    <w:rsid w:val="00335CDF"/>
    <w:rsid w:val="00336B4B"/>
    <w:rsid w:val="00336D38"/>
    <w:rsid w:val="003414B4"/>
    <w:rsid w:val="0034310E"/>
    <w:rsid w:val="00344500"/>
    <w:rsid w:val="00344B86"/>
    <w:rsid w:val="00344D5E"/>
    <w:rsid w:val="00344FA6"/>
    <w:rsid w:val="003521FC"/>
    <w:rsid w:val="00353D69"/>
    <w:rsid w:val="0035408F"/>
    <w:rsid w:val="00356A32"/>
    <w:rsid w:val="00357746"/>
    <w:rsid w:val="00360C31"/>
    <w:rsid w:val="00360DDD"/>
    <w:rsid w:val="00362A11"/>
    <w:rsid w:val="00372AF0"/>
    <w:rsid w:val="0038205E"/>
    <w:rsid w:val="0038284C"/>
    <w:rsid w:val="003907A4"/>
    <w:rsid w:val="00393971"/>
    <w:rsid w:val="003A16C4"/>
    <w:rsid w:val="003A36BE"/>
    <w:rsid w:val="003A40C1"/>
    <w:rsid w:val="003A552F"/>
    <w:rsid w:val="003A7ED3"/>
    <w:rsid w:val="003B3762"/>
    <w:rsid w:val="003B5D3E"/>
    <w:rsid w:val="003B62E6"/>
    <w:rsid w:val="003B77A8"/>
    <w:rsid w:val="003C1480"/>
    <w:rsid w:val="003C1E36"/>
    <w:rsid w:val="003D37E4"/>
    <w:rsid w:val="003D43DC"/>
    <w:rsid w:val="003D48F4"/>
    <w:rsid w:val="003D618F"/>
    <w:rsid w:val="003D6845"/>
    <w:rsid w:val="003D71C4"/>
    <w:rsid w:val="003E45CF"/>
    <w:rsid w:val="003E5FDB"/>
    <w:rsid w:val="003F35FD"/>
    <w:rsid w:val="003F5E69"/>
    <w:rsid w:val="003F71AC"/>
    <w:rsid w:val="003F780F"/>
    <w:rsid w:val="004004E2"/>
    <w:rsid w:val="00400948"/>
    <w:rsid w:val="00403E3A"/>
    <w:rsid w:val="00404512"/>
    <w:rsid w:val="0040573B"/>
    <w:rsid w:val="00406F5A"/>
    <w:rsid w:val="00410506"/>
    <w:rsid w:val="00413154"/>
    <w:rsid w:val="0041385B"/>
    <w:rsid w:val="0041709A"/>
    <w:rsid w:val="004252F1"/>
    <w:rsid w:val="00426E7F"/>
    <w:rsid w:val="00430A6E"/>
    <w:rsid w:val="004325D2"/>
    <w:rsid w:val="004326C1"/>
    <w:rsid w:val="0043551E"/>
    <w:rsid w:val="00435F18"/>
    <w:rsid w:val="00441BFA"/>
    <w:rsid w:val="004427CC"/>
    <w:rsid w:val="00442D21"/>
    <w:rsid w:val="00453B6D"/>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4A44"/>
    <w:rsid w:val="00497BFA"/>
    <w:rsid w:val="004A115C"/>
    <w:rsid w:val="004A44B6"/>
    <w:rsid w:val="004A4C87"/>
    <w:rsid w:val="004A7CF3"/>
    <w:rsid w:val="004B030F"/>
    <w:rsid w:val="004B05E0"/>
    <w:rsid w:val="004B4CBF"/>
    <w:rsid w:val="004B56B4"/>
    <w:rsid w:val="004C01F2"/>
    <w:rsid w:val="004C1BD1"/>
    <w:rsid w:val="004C2719"/>
    <w:rsid w:val="004C629E"/>
    <w:rsid w:val="004D019F"/>
    <w:rsid w:val="004D18AD"/>
    <w:rsid w:val="004D443E"/>
    <w:rsid w:val="004D7988"/>
    <w:rsid w:val="004D7CD8"/>
    <w:rsid w:val="004E10F6"/>
    <w:rsid w:val="004E2E85"/>
    <w:rsid w:val="004E38B6"/>
    <w:rsid w:val="004E3F7A"/>
    <w:rsid w:val="004E4108"/>
    <w:rsid w:val="004E4A30"/>
    <w:rsid w:val="004E4B78"/>
    <w:rsid w:val="004E5068"/>
    <w:rsid w:val="004F0690"/>
    <w:rsid w:val="004F24B3"/>
    <w:rsid w:val="004F6E7A"/>
    <w:rsid w:val="004F7A00"/>
    <w:rsid w:val="00505799"/>
    <w:rsid w:val="0050792D"/>
    <w:rsid w:val="00513801"/>
    <w:rsid w:val="005149A3"/>
    <w:rsid w:val="005159D7"/>
    <w:rsid w:val="0052341D"/>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7653"/>
    <w:rsid w:val="00590892"/>
    <w:rsid w:val="005928D2"/>
    <w:rsid w:val="0059321F"/>
    <w:rsid w:val="005A2DBC"/>
    <w:rsid w:val="005A2E48"/>
    <w:rsid w:val="005B18AF"/>
    <w:rsid w:val="005B2E16"/>
    <w:rsid w:val="005C372D"/>
    <w:rsid w:val="005C494E"/>
    <w:rsid w:val="005D3027"/>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14393"/>
    <w:rsid w:val="006153F0"/>
    <w:rsid w:val="006159AD"/>
    <w:rsid w:val="00622010"/>
    <w:rsid w:val="00623941"/>
    <w:rsid w:val="006273C6"/>
    <w:rsid w:val="00631D7C"/>
    <w:rsid w:val="00633C99"/>
    <w:rsid w:val="0063740E"/>
    <w:rsid w:val="006425AC"/>
    <w:rsid w:val="00643A1A"/>
    <w:rsid w:val="00644A42"/>
    <w:rsid w:val="00644E92"/>
    <w:rsid w:val="00646436"/>
    <w:rsid w:val="0065172E"/>
    <w:rsid w:val="00655F38"/>
    <w:rsid w:val="00661924"/>
    <w:rsid w:val="00661FCF"/>
    <w:rsid w:val="00664420"/>
    <w:rsid w:val="00665A50"/>
    <w:rsid w:val="00670197"/>
    <w:rsid w:val="00670D3E"/>
    <w:rsid w:val="006740EA"/>
    <w:rsid w:val="00674B17"/>
    <w:rsid w:val="00675166"/>
    <w:rsid w:val="00682F10"/>
    <w:rsid w:val="00682FB7"/>
    <w:rsid w:val="0068416B"/>
    <w:rsid w:val="00685CF1"/>
    <w:rsid w:val="00686502"/>
    <w:rsid w:val="00692552"/>
    <w:rsid w:val="0069268F"/>
    <w:rsid w:val="006A0C80"/>
    <w:rsid w:val="006A28B4"/>
    <w:rsid w:val="006A61F1"/>
    <w:rsid w:val="006A646A"/>
    <w:rsid w:val="006B10B0"/>
    <w:rsid w:val="006B2561"/>
    <w:rsid w:val="006B43A3"/>
    <w:rsid w:val="006B7F3A"/>
    <w:rsid w:val="006C1423"/>
    <w:rsid w:val="006C2C7C"/>
    <w:rsid w:val="006C3622"/>
    <w:rsid w:val="006D2613"/>
    <w:rsid w:val="006D4095"/>
    <w:rsid w:val="006D42B5"/>
    <w:rsid w:val="006E1893"/>
    <w:rsid w:val="006E23FF"/>
    <w:rsid w:val="006E25BC"/>
    <w:rsid w:val="006E6BBC"/>
    <w:rsid w:val="006F05A0"/>
    <w:rsid w:val="006F64E7"/>
    <w:rsid w:val="006F7071"/>
    <w:rsid w:val="006F7768"/>
    <w:rsid w:val="00703BC7"/>
    <w:rsid w:val="00707158"/>
    <w:rsid w:val="00707890"/>
    <w:rsid w:val="00712200"/>
    <w:rsid w:val="0071368B"/>
    <w:rsid w:val="00717E59"/>
    <w:rsid w:val="00721C72"/>
    <w:rsid w:val="00721C9E"/>
    <w:rsid w:val="00724A8E"/>
    <w:rsid w:val="00725300"/>
    <w:rsid w:val="00726CBC"/>
    <w:rsid w:val="007328F2"/>
    <w:rsid w:val="00733526"/>
    <w:rsid w:val="007369BE"/>
    <w:rsid w:val="007452ED"/>
    <w:rsid w:val="0074773E"/>
    <w:rsid w:val="00747A8B"/>
    <w:rsid w:val="0075086A"/>
    <w:rsid w:val="00752813"/>
    <w:rsid w:val="007530D0"/>
    <w:rsid w:val="00760756"/>
    <w:rsid w:val="00761E54"/>
    <w:rsid w:val="00763B37"/>
    <w:rsid w:val="00766ECE"/>
    <w:rsid w:val="007710B0"/>
    <w:rsid w:val="0077232C"/>
    <w:rsid w:val="00772EB9"/>
    <w:rsid w:val="0077382A"/>
    <w:rsid w:val="00773E03"/>
    <w:rsid w:val="007750EB"/>
    <w:rsid w:val="00775BFC"/>
    <w:rsid w:val="007771D7"/>
    <w:rsid w:val="0078067A"/>
    <w:rsid w:val="007814D9"/>
    <w:rsid w:val="0078291B"/>
    <w:rsid w:val="0078331C"/>
    <w:rsid w:val="00783C1E"/>
    <w:rsid w:val="00785137"/>
    <w:rsid w:val="0078615D"/>
    <w:rsid w:val="007861AF"/>
    <w:rsid w:val="00795659"/>
    <w:rsid w:val="00797492"/>
    <w:rsid w:val="007978D7"/>
    <w:rsid w:val="007A2722"/>
    <w:rsid w:val="007A2AD8"/>
    <w:rsid w:val="007A2FF2"/>
    <w:rsid w:val="007A3459"/>
    <w:rsid w:val="007A70C7"/>
    <w:rsid w:val="007B034E"/>
    <w:rsid w:val="007B2F56"/>
    <w:rsid w:val="007B6074"/>
    <w:rsid w:val="007B7451"/>
    <w:rsid w:val="007B7B00"/>
    <w:rsid w:val="007C17CC"/>
    <w:rsid w:val="007C19C5"/>
    <w:rsid w:val="007C1C17"/>
    <w:rsid w:val="007C487D"/>
    <w:rsid w:val="007C6519"/>
    <w:rsid w:val="007D0316"/>
    <w:rsid w:val="007D1C55"/>
    <w:rsid w:val="007D317F"/>
    <w:rsid w:val="007D4E64"/>
    <w:rsid w:val="007E0710"/>
    <w:rsid w:val="007E11DD"/>
    <w:rsid w:val="007E42B7"/>
    <w:rsid w:val="007E5A3D"/>
    <w:rsid w:val="007F0B24"/>
    <w:rsid w:val="007F107E"/>
    <w:rsid w:val="007F13FB"/>
    <w:rsid w:val="007F2531"/>
    <w:rsid w:val="007F3FBF"/>
    <w:rsid w:val="007F5D06"/>
    <w:rsid w:val="007F5ECA"/>
    <w:rsid w:val="0080371E"/>
    <w:rsid w:val="00803A08"/>
    <w:rsid w:val="00803B86"/>
    <w:rsid w:val="00805A6E"/>
    <w:rsid w:val="00805F16"/>
    <w:rsid w:val="00806633"/>
    <w:rsid w:val="00807778"/>
    <w:rsid w:val="00815BD4"/>
    <w:rsid w:val="00816EB8"/>
    <w:rsid w:val="008204A0"/>
    <w:rsid w:val="0082245B"/>
    <w:rsid w:val="0082247D"/>
    <w:rsid w:val="008240F1"/>
    <w:rsid w:val="00824DD7"/>
    <w:rsid w:val="00826371"/>
    <w:rsid w:val="00826A93"/>
    <w:rsid w:val="00834935"/>
    <w:rsid w:val="0083518A"/>
    <w:rsid w:val="008351FD"/>
    <w:rsid w:val="008363CB"/>
    <w:rsid w:val="00837517"/>
    <w:rsid w:val="0084179A"/>
    <w:rsid w:val="008422F0"/>
    <w:rsid w:val="008436D6"/>
    <w:rsid w:val="00851468"/>
    <w:rsid w:val="0085296A"/>
    <w:rsid w:val="00853CE2"/>
    <w:rsid w:val="00860FE2"/>
    <w:rsid w:val="008629A5"/>
    <w:rsid w:val="00865CF4"/>
    <w:rsid w:val="00866058"/>
    <w:rsid w:val="008669DA"/>
    <w:rsid w:val="00874B50"/>
    <w:rsid w:val="008750D5"/>
    <w:rsid w:val="0087567C"/>
    <w:rsid w:val="00876DBC"/>
    <w:rsid w:val="008842E9"/>
    <w:rsid w:val="00884E64"/>
    <w:rsid w:val="00892D8F"/>
    <w:rsid w:val="00893BA2"/>
    <w:rsid w:val="00893F31"/>
    <w:rsid w:val="008944C8"/>
    <w:rsid w:val="00896AF7"/>
    <w:rsid w:val="008A09B9"/>
    <w:rsid w:val="008A0EAA"/>
    <w:rsid w:val="008A1BA5"/>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10FD2"/>
    <w:rsid w:val="00911BC9"/>
    <w:rsid w:val="0091206F"/>
    <w:rsid w:val="009124C0"/>
    <w:rsid w:val="009160E5"/>
    <w:rsid w:val="0091733B"/>
    <w:rsid w:val="00923307"/>
    <w:rsid w:val="00931235"/>
    <w:rsid w:val="00931437"/>
    <w:rsid w:val="00931E7F"/>
    <w:rsid w:val="00933F51"/>
    <w:rsid w:val="00934ECD"/>
    <w:rsid w:val="00940F4F"/>
    <w:rsid w:val="00942A3F"/>
    <w:rsid w:val="00944EFF"/>
    <w:rsid w:val="009527DA"/>
    <w:rsid w:val="00952C26"/>
    <w:rsid w:val="00953430"/>
    <w:rsid w:val="00955DCC"/>
    <w:rsid w:val="00960309"/>
    <w:rsid w:val="00960996"/>
    <w:rsid w:val="009617B8"/>
    <w:rsid w:val="00964368"/>
    <w:rsid w:val="0096663A"/>
    <w:rsid w:val="00967E59"/>
    <w:rsid w:val="00970EB3"/>
    <w:rsid w:val="0097187E"/>
    <w:rsid w:val="00975CA6"/>
    <w:rsid w:val="00977BCC"/>
    <w:rsid w:val="00983EEF"/>
    <w:rsid w:val="00984ADE"/>
    <w:rsid w:val="009855AA"/>
    <w:rsid w:val="0098569A"/>
    <w:rsid w:val="00987343"/>
    <w:rsid w:val="00987BB6"/>
    <w:rsid w:val="00991944"/>
    <w:rsid w:val="0099459E"/>
    <w:rsid w:val="009A1803"/>
    <w:rsid w:val="009A2D78"/>
    <w:rsid w:val="009A401F"/>
    <w:rsid w:val="009A42BF"/>
    <w:rsid w:val="009A7A3B"/>
    <w:rsid w:val="009A7C10"/>
    <w:rsid w:val="009B2945"/>
    <w:rsid w:val="009B3234"/>
    <w:rsid w:val="009B38F6"/>
    <w:rsid w:val="009C0E17"/>
    <w:rsid w:val="009C3A86"/>
    <w:rsid w:val="009C5299"/>
    <w:rsid w:val="009C644C"/>
    <w:rsid w:val="009C6F85"/>
    <w:rsid w:val="009C7CDB"/>
    <w:rsid w:val="009D2BEA"/>
    <w:rsid w:val="009D5BDE"/>
    <w:rsid w:val="009D69F6"/>
    <w:rsid w:val="009E0245"/>
    <w:rsid w:val="009E221D"/>
    <w:rsid w:val="009E2D18"/>
    <w:rsid w:val="009E2DEE"/>
    <w:rsid w:val="009E3CDF"/>
    <w:rsid w:val="009E4391"/>
    <w:rsid w:val="009E57D9"/>
    <w:rsid w:val="009E5FD4"/>
    <w:rsid w:val="009E7298"/>
    <w:rsid w:val="009F797C"/>
    <w:rsid w:val="00A00828"/>
    <w:rsid w:val="00A011A9"/>
    <w:rsid w:val="00A0329A"/>
    <w:rsid w:val="00A0449B"/>
    <w:rsid w:val="00A053F2"/>
    <w:rsid w:val="00A10E0E"/>
    <w:rsid w:val="00A131AC"/>
    <w:rsid w:val="00A13713"/>
    <w:rsid w:val="00A13828"/>
    <w:rsid w:val="00A16CEE"/>
    <w:rsid w:val="00A16D85"/>
    <w:rsid w:val="00A20FEB"/>
    <w:rsid w:val="00A2189C"/>
    <w:rsid w:val="00A21A20"/>
    <w:rsid w:val="00A24A46"/>
    <w:rsid w:val="00A24D6A"/>
    <w:rsid w:val="00A2682C"/>
    <w:rsid w:val="00A2730A"/>
    <w:rsid w:val="00A32CA5"/>
    <w:rsid w:val="00A33BDB"/>
    <w:rsid w:val="00A369CD"/>
    <w:rsid w:val="00A36A99"/>
    <w:rsid w:val="00A403CD"/>
    <w:rsid w:val="00A42706"/>
    <w:rsid w:val="00A4392F"/>
    <w:rsid w:val="00A44FE7"/>
    <w:rsid w:val="00A45D1C"/>
    <w:rsid w:val="00A46ACD"/>
    <w:rsid w:val="00A50ECC"/>
    <w:rsid w:val="00A50F19"/>
    <w:rsid w:val="00A53315"/>
    <w:rsid w:val="00A5371E"/>
    <w:rsid w:val="00A557BD"/>
    <w:rsid w:val="00A61648"/>
    <w:rsid w:val="00A64191"/>
    <w:rsid w:val="00A64C3F"/>
    <w:rsid w:val="00A665E5"/>
    <w:rsid w:val="00A70EF0"/>
    <w:rsid w:val="00A71845"/>
    <w:rsid w:val="00A72AEE"/>
    <w:rsid w:val="00A742B6"/>
    <w:rsid w:val="00A75AC7"/>
    <w:rsid w:val="00A81896"/>
    <w:rsid w:val="00A81DC8"/>
    <w:rsid w:val="00A82F04"/>
    <w:rsid w:val="00A84F9F"/>
    <w:rsid w:val="00A850A3"/>
    <w:rsid w:val="00A9208D"/>
    <w:rsid w:val="00A93923"/>
    <w:rsid w:val="00A954FE"/>
    <w:rsid w:val="00A96D91"/>
    <w:rsid w:val="00A97CF8"/>
    <w:rsid w:val="00AA1DCB"/>
    <w:rsid w:val="00AA364B"/>
    <w:rsid w:val="00AA4517"/>
    <w:rsid w:val="00AA4FA7"/>
    <w:rsid w:val="00AA5398"/>
    <w:rsid w:val="00AA6EA9"/>
    <w:rsid w:val="00AB07CD"/>
    <w:rsid w:val="00AB1BE1"/>
    <w:rsid w:val="00AB2729"/>
    <w:rsid w:val="00AB3DC6"/>
    <w:rsid w:val="00AB497D"/>
    <w:rsid w:val="00AB52D6"/>
    <w:rsid w:val="00AC0209"/>
    <w:rsid w:val="00AC05F1"/>
    <w:rsid w:val="00AC2DB8"/>
    <w:rsid w:val="00AC3CA0"/>
    <w:rsid w:val="00AC3F25"/>
    <w:rsid w:val="00AC51DA"/>
    <w:rsid w:val="00AD0E9E"/>
    <w:rsid w:val="00AD71A7"/>
    <w:rsid w:val="00AE0232"/>
    <w:rsid w:val="00AE3DA7"/>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416E8"/>
    <w:rsid w:val="00B47FB0"/>
    <w:rsid w:val="00B50E12"/>
    <w:rsid w:val="00B5128A"/>
    <w:rsid w:val="00B540DC"/>
    <w:rsid w:val="00B54463"/>
    <w:rsid w:val="00B55F8F"/>
    <w:rsid w:val="00B562C2"/>
    <w:rsid w:val="00B60BFC"/>
    <w:rsid w:val="00B62F57"/>
    <w:rsid w:val="00B660FB"/>
    <w:rsid w:val="00B70C75"/>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A0B"/>
    <w:rsid w:val="00BB7B48"/>
    <w:rsid w:val="00BC13E5"/>
    <w:rsid w:val="00BC17A4"/>
    <w:rsid w:val="00BC2617"/>
    <w:rsid w:val="00BC67B0"/>
    <w:rsid w:val="00BC6A6D"/>
    <w:rsid w:val="00BC7945"/>
    <w:rsid w:val="00BC7CDB"/>
    <w:rsid w:val="00BD0200"/>
    <w:rsid w:val="00BD1019"/>
    <w:rsid w:val="00BD2836"/>
    <w:rsid w:val="00BD3F4F"/>
    <w:rsid w:val="00BD5A7C"/>
    <w:rsid w:val="00BD6233"/>
    <w:rsid w:val="00BD63AB"/>
    <w:rsid w:val="00BD7F14"/>
    <w:rsid w:val="00BE413E"/>
    <w:rsid w:val="00BE4A8B"/>
    <w:rsid w:val="00BE50F6"/>
    <w:rsid w:val="00BE5FAE"/>
    <w:rsid w:val="00BE7A1B"/>
    <w:rsid w:val="00BF0221"/>
    <w:rsid w:val="00BF0897"/>
    <w:rsid w:val="00BF091A"/>
    <w:rsid w:val="00BF4236"/>
    <w:rsid w:val="00BF47DD"/>
    <w:rsid w:val="00BF4EAD"/>
    <w:rsid w:val="00BF70F9"/>
    <w:rsid w:val="00C018EB"/>
    <w:rsid w:val="00C02B2B"/>
    <w:rsid w:val="00C02F8E"/>
    <w:rsid w:val="00C049E2"/>
    <w:rsid w:val="00C05AB7"/>
    <w:rsid w:val="00C11B13"/>
    <w:rsid w:val="00C13565"/>
    <w:rsid w:val="00C14956"/>
    <w:rsid w:val="00C14971"/>
    <w:rsid w:val="00C14B8D"/>
    <w:rsid w:val="00C17C36"/>
    <w:rsid w:val="00C205DF"/>
    <w:rsid w:val="00C2118E"/>
    <w:rsid w:val="00C219BE"/>
    <w:rsid w:val="00C22DCF"/>
    <w:rsid w:val="00C23074"/>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6110C"/>
    <w:rsid w:val="00C611BD"/>
    <w:rsid w:val="00C661E9"/>
    <w:rsid w:val="00C66268"/>
    <w:rsid w:val="00C67A70"/>
    <w:rsid w:val="00C70422"/>
    <w:rsid w:val="00C70866"/>
    <w:rsid w:val="00C70B3F"/>
    <w:rsid w:val="00C71CEF"/>
    <w:rsid w:val="00C72DAA"/>
    <w:rsid w:val="00C75036"/>
    <w:rsid w:val="00C77B64"/>
    <w:rsid w:val="00C80B14"/>
    <w:rsid w:val="00C82AC6"/>
    <w:rsid w:val="00C82CA9"/>
    <w:rsid w:val="00C83D8B"/>
    <w:rsid w:val="00C84660"/>
    <w:rsid w:val="00C846C3"/>
    <w:rsid w:val="00C861F8"/>
    <w:rsid w:val="00C950EE"/>
    <w:rsid w:val="00C97FC6"/>
    <w:rsid w:val="00CA1018"/>
    <w:rsid w:val="00CA25D9"/>
    <w:rsid w:val="00CA2E35"/>
    <w:rsid w:val="00CA3A28"/>
    <w:rsid w:val="00CA434C"/>
    <w:rsid w:val="00CA44CF"/>
    <w:rsid w:val="00CA6053"/>
    <w:rsid w:val="00CB391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4BF4"/>
    <w:rsid w:val="00CF63D9"/>
    <w:rsid w:val="00CF7586"/>
    <w:rsid w:val="00D00E16"/>
    <w:rsid w:val="00D02CF1"/>
    <w:rsid w:val="00D036D3"/>
    <w:rsid w:val="00D06018"/>
    <w:rsid w:val="00D070C7"/>
    <w:rsid w:val="00D07A10"/>
    <w:rsid w:val="00D107BD"/>
    <w:rsid w:val="00D1261A"/>
    <w:rsid w:val="00D13782"/>
    <w:rsid w:val="00D13A56"/>
    <w:rsid w:val="00D1540D"/>
    <w:rsid w:val="00D165E4"/>
    <w:rsid w:val="00D201B7"/>
    <w:rsid w:val="00D239ED"/>
    <w:rsid w:val="00D27906"/>
    <w:rsid w:val="00D2790D"/>
    <w:rsid w:val="00D33EB4"/>
    <w:rsid w:val="00D3689E"/>
    <w:rsid w:val="00D369CA"/>
    <w:rsid w:val="00D43F40"/>
    <w:rsid w:val="00D454D1"/>
    <w:rsid w:val="00D4676B"/>
    <w:rsid w:val="00D47071"/>
    <w:rsid w:val="00D47CF8"/>
    <w:rsid w:val="00D51ECD"/>
    <w:rsid w:val="00D52C04"/>
    <w:rsid w:val="00D568DC"/>
    <w:rsid w:val="00D6170E"/>
    <w:rsid w:val="00D64B5C"/>
    <w:rsid w:val="00D65B16"/>
    <w:rsid w:val="00D67CEF"/>
    <w:rsid w:val="00D713EE"/>
    <w:rsid w:val="00D75D31"/>
    <w:rsid w:val="00D75EE6"/>
    <w:rsid w:val="00D84FB9"/>
    <w:rsid w:val="00D85755"/>
    <w:rsid w:val="00D8666D"/>
    <w:rsid w:val="00D91CB4"/>
    <w:rsid w:val="00D94DDB"/>
    <w:rsid w:val="00DA4BBD"/>
    <w:rsid w:val="00DB024D"/>
    <w:rsid w:val="00DB1576"/>
    <w:rsid w:val="00DB1C09"/>
    <w:rsid w:val="00DB24ED"/>
    <w:rsid w:val="00DB28CE"/>
    <w:rsid w:val="00DB3665"/>
    <w:rsid w:val="00DC367D"/>
    <w:rsid w:val="00DC71C4"/>
    <w:rsid w:val="00DC7B96"/>
    <w:rsid w:val="00DD43D8"/>
    <w:rsid w:val="00DD45ED"/>
    <w:rsid w:val="00DD575C"/>
    <w:rsid w:val="00DD5AAA"/>
    <w:rsid w:val="00DD6A3F"/>
    <w:rsid w:val="00DE0ABF"/>
    <w:rsid w:val="00DE1133"/>
    <w:rsid w:val="00DE285A"/>
    <w:rsid w:val="00DE656C"/>
    <w:rsid w:val="00DF01A7"/>
    <w:rsid w:val="00DF039B"/>
    <w:rsid w:val="00DF1F3E"/>
    <w:rsid w:val="00DF60AF"/>
    <w:rsid w:val="00E03991"/>
    <w:rsid w:val="00E06AAB"/>
    <w:rsid w:val="00E071FF"/>
    <w:rsid w:val="00E07597"/>
    <w:rsid w:val="00E11702"/>
    <w:rsid w:val="00E16BF5"/>
    <w:rsid w:val="00E17291"/>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72D8"/>
    <w:rsid w:val="00E62E6A"/>
    <w:rsid w:val="00E65CDD"/>
    <w:rsid w:val="00E727BA"/>
    <w:rsid w:val="00E810F7"/>
    <w:rsid w:val="00E832DA"/>
    <w:rsid w:val="00E8367E"/>
    <w:rsid w:val="00E83EF5"/>
    <w:rsid w:val="00E9137B"/>
    <w:rsid w:val="00E916EA"/>
    <w:rsid w:val="00E9335C"/>
    <w:rsid w:val="00E939AF"/>
    <w:rsid w:val="00EA2677"/>
    <w:rsid w:val="00EA5674"/>
    <w:rsid w:val="00EA5B2F"/>
    <w:rsid w:val="00EA66FE"/>
    <w:rsid w:val="00EC2A3B"/>
    <w:rsid w:val="00EC7CC9"/>
    <w:rsid w:val="00EC7E8F"/>
    <w:rsid w:val="00ED1788"/>
    <w:rsid w:val="00ED1C1E"/>
    <w:rsid w:val="00ED2525"/>
    <w:rsid w:val="00ED5B8A"/>
    <w:rsid w:val="00ED7170"/>
    <w:rsid w:val="00EE1B1C"/>
    <w:rsid w:val="00EE2AF2"/>
    <w:rsid w:val="00EE44F7"/>
    <w:rsid w:val="00EE69EA"/>
    <w:rsid w:val="00EE6B48"/>
    <w:rsid w:val="00EE78BF"/>
    <w:rsid w:val="00EF0B80"/>
    <w:rsid w:val="00EF0DDD"/>
    <w:rsid w:val="00EF1CA6"/>
    <w:rsid w:val="00EF3CC6"/>
    <w:rsid w:val="00EF4FF9"/>
    <w:rsid w:val="00EF70F1"/>
    <w:rsid w:val="00F00010"/>
    <w:rsid w:val="00F04914"/>
    <w:rsid w:val="00F05B15"/>
    <w:rsid w:val="00F0679F"/>
    <w:rsid w:val="00F0712F"/>
    <w:rsid w:val="00F07EE6"/>
    <w:rsid w:val="00F11D4E"/>
    <w:rsid w:val="00F14E9C"/>
    <w:rsid w:val="00F16ACE"/>
    <w:rsid w:val="00F171D8"/>
    <w:rsid w:val="00F23C4F"/>
    <w:rsid w:val="00F26F00"/>
    <w:rsid w:val="00F27EB1"/>
    <w:rsid w:val="00F302EC"/>
    <w:rsid w:val="00F33CC8"/>
    <w:rsid w:val="00F34811"/>
    <w:rsid w:val="00F35BC2"/>
    <w:rsid w:val="00F36527"/>
    <w:rsid w:val="00F37AB2"/>
    <w:rsid w:val="00F4124A"/>
    <w:rsid w:val="00F41723"/>
    <w:rsid w:val="00F4481C"/>
    <w:rsid w:val="00F45BEB"/>
    <w:rsid w:val="00F46F46"/>
    <w:rsid w:val="00F53E56"/>
    <w:rsid w:val="00F5484F"/>
    <w:rsid w:val="00F54A8C"/>
    <w:rsid w:val="00F560A8"/>
    <w:rsid w:val="00F561B0"/>
    <w:rsid w:val="00F5638D"/>
    <w:rsid w:val="00F57997"/>
    <w:rsid w:val="00F57C01"/>
    <w:rsid w:val="00F616E2"/>
    <w:rsid w:val="00F617C4"/>
    <w:rsid w:val="00F6613C"/>
    <w:rsid w:val="00F66E6B"/>
    <w:rsid w:val="00F72670"/>
    <w:rsid w:val="00F7584E"/>
    <w:rsid w:val="00F75D23"/>
    <w:rsid w:val="00F83310"/>
    <w:rsid w:val="00F84345"/>
    <w:rsid w:val="00F84DDC"/>
    <w:rsid w:val="00F86C94"/>
    <w:rsid w:val="00F9402F"/>
    <w:rsid w:val="00FA5957"/>
    <w:rsid w:val="00FA5B5E"/>
    <w:rsid w:val="00FA6E3B"/>
    <w:rsid w:val="00FA6FBF"/>
    <w:rsid w:val="00FA7155"/>
    <w:rsid w:val="00FA7829"/>
    <w:rsid w:val="00FB1AF5"/>
    <w:rsid w:val="00FB1C2A"/>
    <w:rsid w:val="00FB53B5"/>
    <w:rsid w:val="00FB5587"/>
    <w:rsid w:val="00FB7410"/>
    <w:rsid w:val="00FB7BC4"/>
    <w:rsid w:val="00FC1B42"/>
    <w:rsid w:val="00FC1EAB"/>
    <w:rsid w:val="00FC1FFB"/>
    <w:rsid w:val="00FC289E"/>
    <w:rsid w:val="00FC3CE0"/>
    <w:rsid w:val="00FC406D"/>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49797208">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3738194">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27898442">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3E0C655-C334-4E69-8335-B444090B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6662</Words>
  <Characters>36643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INFOEM381</cp:lastModifiedBy>
  <cp:revision>6</cp:revision>
  <cp:lastPrinted>2025-02-27T20:21:00Z</cp:lastPrinted>
  <dcterms:created xsi:type="dcterms:W3CDTF">2025-02-18T19:59:00Z</dcterms:created>
  <dcterms:modified xsi:type="dcterms:W3CDTF">2025-03-31T18:18:00Z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