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761424AD" w:rsidR="00A41851" w:rsidRDefault="00A41851" w:rsidP="00A4185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53804">
        <w:rPr>
          <w:rFonts w:ascii="Palatino Linotype" w:eastAsia="Times New Roman" w:hAnsi="Palatino Linotype" w:cs="Arial"/>
          <w:color w:val="000000"/>
          <w:sz w:val="24"/>
          <w:szCs w:val="24"/>
          <w:lang w:eastAsia="es-MX"/>
        </w:rPr>
        <w:t xml:space="preserve">veintisiete de agosto de dos mil veinticinco. </w:t>
      </w:r>
      <w:r w:rsidR="0061096B">
        <w:rPr>
          <w:rFonts w:ascii="Palatino Linotype" w:eastAsia="Times New Roman" w:hAnsi="Palatino Linotype" w:cs="Arial"/>
          <w:color w:val="000000"/>
          <w:sz w:val="24"/>
          <w:szCs w:val="24"/>
          <w:lang w:eastAsia="es-MX"/>
        </w:rPr>
        <w:t xml:space="preserve"> </w:t>
      </w:r>
      <w:r w:rsidR="0091019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B776B1B" w14:textId="1B39A83E" w:rsidR="0091019C" w:rsidRPr="0091019C" w:rsidRDefault="00A41851" w:rsidP="00A41851">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bookmarkStart w:id="0" w:name="_GoBack"/>
      <w:r w:rsidR="00853804">
        <w:rPr>
          <w:rFonts w:ascii="Palatino Linotype" w:hAnsi="Palatino Linotype" w:cs="Arial"/>
          <w:b/>
          <w:bCs/>
          <w:sz w:val="24"/>
        </w:rPr>
        <w:t>08990</w:t>
      </w:r>
      <w:r w:rsidR="0091019C">
        <w:rPr>
          <w:rFonts w:ascii="Palatino Linotype" w:hAnsi="Palatino Linotype" w:cs="Arial"/>
          <w:b/>
          <w:bCs/>
          <w:sz w:val="24"/>
        </w:rPr>
        <w:t>/INFOEM/IP/RR/2025</w:t>
      </w:r>
      <w:bookmarkEnd w:id="0"/>
      <w:r w:rsidR="0091019C">
        <w:rPr>
          <w:rFonts w:ascii="Palatino Linotype" w:hAnsi="Palatino Linotype" w:cs="Arial"/>
          <w:b/>
          <w:bCs/>
          <w:sz w:val="24"/>
        </w:rPr>
        <w:t xml:space="preserve">, </w:t>
      </w:r>
      <w:r w:rsidR="0091019C">
        <w:rPr>
          <w:rFonts w:ascii="Palatino Linotype" w:hAnsi="Palatino Linotype" w:cs="Arial"/>
          <w:sz w:val="24"/>
        </w:rPr>
        <w:t xml:space="preserve">interpuesto por un particular, en lo sucesivo </w:t>
      </w:r>
      <w:r w:rsidR="0091019C">
        <w:rPr>
          <w:rFonts w:ascii="Palatino Linotype" w:hAnsi="Palatino Linotype" w:cs="Arial"/>
          <w:b/>
          <w:bCs/>
          <w:sz w:val="24"/>
        </w:rPr>
        <w:t xml:space="preserve">El Recurrente, </w:t>
      </w:r>
      <w:r w:rsidR="0091019C">
        <w:rPr>
          <w:rFonts w:ascii="Palatino Linotype" w:hAnsi="Palatino Linotype" w:cs="Arial"/>
          <w:sz w:val="24"/>
        </w:rPr>
        <w:t xml:space="preserve">en contra de la respuesta del </w:t>
      </w:r>
      <w:r w:rsidR="0091019C">
        <w:rPr>
          <w:rFonts w:ascii="Palatino Linotype" w:hAnsi="Palatino Linotype" w:cs="Arial"/>
          <w:b/>
          <w:bCs/>
          <w:sz w:val="24"/>
        </w:rPr>
        <w:t xml:space="preserve">Ayuntamiento de Toluca, </w:t>
      </w:r>
      <w:r w:rsidR="0091019C">
        <w:rPr>
          <w:rFonts w:ascii="Palatino Linotype" w:hAnsi="Palatino Linotype" w:cs="Arial"/>
          <w:sz w:val="24"/>
        </w:rPr>
        <w:t xml:space="preserve">en lo subsecuente </w:t>
      </w:r>
      <w:r w:rsidR="0091019C">
        <w:rPr>
          <w:rFonts w:ascii="Palatino Linotype" w:hAnsi="Palatino Linotype" w:cs="Arial"/>
          <w:b/>
          <w:bCs/>
          <w:sz w:val="24"/>
        </w:rPr>
        <w:t xml:space="preserve">El Sujeto Obligado, </w:t>
      </w:r>
      <w:r w:rsidR="0091019C">
        <w:rPr>
          <w:rFonts w:ascii="Palatino Linotype" w:hAnsi="Palatino Linotype" w:cs="Arial"/>
          <w:sz w:val="24"/>
        </w:rPr>
        <w:t xml:space="preserve">se procede a dictar la presente resolución. </w:t>
      </w:r>
    </w:p>
    <w:p w14:paraId="3319F9B1" w14:textId="77777777" w:rsidR="0091019C"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F205B9" w:rsidRDefault="00A41851" w:rsidP="00A41851">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A179C6B" w14:textId="77777777" w:rsidR="00A41851" w:rsidRDefault="00A41851" w:rsidP="00A41851">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3B7CA4C" w14:textId="3A3CAACB" w:rsidR="00853804" w:rsidRDefault="00A41851" w:rsidP="00A41851">
      <w:pPr>
        <w:spacing w:before="240" w:line="360" w:lineRule="auto"/>
        <w:jc w:val="both"/>
        <w:rPr>
          <w:rFonts w:ascii="Palatino Linotype" w:hAnsi="Palatino Linotype" w:cs="Arial"/>
          <w:sz w:val="24"/>
        </w:rPr>
      </w:pPr>
      <w:r w:rsidRPr="005C218E">
        <w:rPr>
          <w:rFonts w:ascii="Palatino Linotype" w:hAnsi="Palatino Linotype" w:cs="Arial"/>
          <w:sz w:val="24"/>
          <w:szCs w:val="24"/>
        </w:rPr>
        <w:t xml:space="preserve">En fecha </w:t>
      </w:r>
      <w:r w:rsidR="00853804">
        <w:rPr>
          <w:rFonts w:ascii="Palatino Linotype" w:hAnsi="Palatino Linotype" w:cs="Arial"/>
          <w:b/>
          <w:bCs/>
          <w:sz w:val="24"/>
          <w:szCs w:val="24"/>
        </w:rPr>
        <w:t xml:space="preserve">veintitrés de junio de dos mil veinticinco, El Recurrente, </w:t>
      </w:r>
      <w:r w:rsidR="0061096B" w:rsidRPr="0037314A">
        <w:rPr>
          <w:rFonts w:ascii="Palatino Linotype" w:hAnsi="Palatino Linotype" w:cs="Arial"/>
          <w:sz w:val="24"/>
        </w:rPr>
        <w:t>presentó a través del Sistema de Acceso a la Información Mexiquense (</w:t>
      </w:r>
      <w:r w:rsidR="0061096B" w:rsidRPr="0037314A">
        <w:rPr>
          <w:rFonts w:ascii="Palatino Linotype" w:hAnsi="Palatino Linotype" w:cs="Arial"/>
          <w:b/>
          <w:sz w:val="24"/>
        </w:rPr>
        <w:t>SAIMEX)</w:t>
      </w:r>
      <w:r w:rsidR="0061096B" w:rsidRPr="0037314A">
        <w:rPr>
          <w:rFonts w:ascii="Palatino Linotype" w:hAnsi="Palatino Linotype" w:cs="Arial"/>
          <w:sz w:val="24"/>
        </w:rPr>
        <w:t xml:space="preserve"> ante </w:t>
      </w:r>
      <w:r w:rsidR="0061096B" w:rsidRPr="0037314A">
        <w:rPr>
          <w:rFonts w:ascii="Palatino Linotype" w:hAnsi="Palatino Linotype" w:cs="Arial"/>
          <w:b/>
          <w:sz w:val="24"/>
        </w:rPr>
        <w:t>El Sujeto Obligado</w:t>
      </w:r>
      <w:r w:rsidR="0061096B" w:rsidRPr="0037314A">
        <w:rPr>
          <w:rFonts w:ascii="Palatino Linotype" w:hAnsi="Palatino Linotype" w:cs="Arial"/>
          <w:sz w:val="24"/>
        </w:rPr>
        <w:t>, solicitud de acceso a la información pública, registrada bajo el número de expediente</w:t>
      </w:r>
      <w:r w:rsidR="0061096B">
        <w:rPr>
          <w:rFonts w:ascii="Palatino Linotype" w:hAnsi="Palatino Linotype" w:cs="Arial"/>
          <w:sz w:val="24"/>
        </w:rPr>
        <w:t xml:space="preserve"> </w:t>
      </w:r>
      <w:r w:rsidR="00853804">
        <w:rPr>
          <w:rFonts w:ascii="Palatino Linotype" w:hAnsi="Palatino Linotype" w:cs="Arial"/>
          <w:b/>
          <w:bCs/>
          <w:sz w:val="24"/>
        </w:rPr>
        <w:t xml:space="preserve">03611/TOLUCA/IP/2025, </w:t>
      </w:r>
      <w:r w:rsidR="00853804">
        <w:rPr>
          <w:rFonts w:ascii="Palatino Linotype" w:hAnsi="Palatino Linotype" w:cs="Arial"/>
          <w:sz w:val="24"/>
        </w:rPr>
        <w:t>mediante la cual solicitó información en el tenor siguiente:</w:t>
      </w:r>
    </w:p>
    <w:p w14:paraId="3FAA1240" w14:textId="28805566" w:rsidR="00853804" w:rsidRPr="00853804" w:rsidRDefault="00853804" w:rsidP="00853804">
      <w:pPr>
        <w:pStyle w:val="Citas"/>
        <w:rPr>
          <w:b/>
          <w:bCs/>
        </w:rPr>
      </w:pPr>
      <w:r>
        <w:t>“</w:t>
      </w:r>
      <w:r w:rsidRPr="00853804">
        <w:t xml:space="preserve">Solicito la nómina de la tesorería municipal, con organigrama actualizado, además </w:t>
      </w:r>
      <w:proofErr w:type="gramStart"/>
      <w:r w:rsidRPr="00853804">
        <w:t>de</w:t>
      </w:r>
      <w:proofErr w:type="gramEnd"/>
      <w:r w:rsidRPr="00853804">
        <w:t xml:space="preserve"> mandar los nombramientos que existen de la tesorería y </w:t>
      </w:r>
      <w:proofErr w:type="spellStart"/>
      <w:r w:rsidRPr="00853804">
        <w:t>curriculum</w:t>
      </w:r>
      <w:proofErr w:type="spellEnd"/>
      <w:r w:rsidRPr="00853804">
        <w:t xml:space="preserve"> de cada uno de ellos</w:t>
      </w:r>
      <w:r>
        <w:t xml:space="preserve">” </w:t>
      </w:r>
      <w:r>
        <w:rPr>
          <w:b/>
          <w:bCs/>
        </w:rPr>
        <w:t>(Sic)</w:t>
      </w:r>
    </w:p>
    <w:p w14:paraId="6AF6F56E"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6ABCD6D5" w14:textId="77777777" w:rsidR="00A41851" w:rsidRDefault="00A41851" w:rsidP="00A41851">
      <w:pPr>
        <w:spacing w:before="240" w:line="360" w:lineRule="auto"/>
        <w:jc w:val="both"/>
        <w:rPr>
          <w:rFonts w:ascii="Palatino Linotype" w:hAnsi="Palatino Linotype" w:cs="Arial"/>
          <w:b/>
          <w:sz w:val="28"/>
        </w:rPr>
      </w:pPr>
      <w:r>
        <w:rPr>
          <w:rFonts w:ascii="Palatino Linotype" w:hAnsi="Palatino Linotype" w:cs="Arial"/>
          <w:b/>
          <w:sz w:val="28"/>
          <w:szCs w:val="20"/>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6C96772" w14:textId="4C7432F1" w:rsidR="00853804"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853804">
        <w:rPr>
          <w:rFonts w:ascii="Palatino Linotype" w:hAnsi="Palatino Linotype" w:cs="Arial"/>
          <w:b/>
          <w:bCs/>
          <w:sz w:val="24"/>
          <w:szCs w:val="24"/>
        </w:rPr>
        <w:t xml:space="preserve">catorce de julio de dos mil veinticinco, El Sujeto Obligado </w:t>
      </w:r>
      <w:r w:rsidR="00853804">
        <w:rPr>
          <w:rFonts w:ascii="Palatino Linotype" w:hAnsi="Palatino Linotype" w:cs="Arial"/>
          <w:sz w:val="24"/>
          <w:szCs w:val="24"/>
        </w:rPr>
        <w:t>dio respuesta a la solicitud de información en los siguientes términos:</w:t>
      </w:r>
    </w:p>
    <w:p w14:paraId="619789C3" w14:textId="4E9D0FCE" w:rsidR="00853804" w:rsidRDefault="00853804" w:rsidP="00853804">
      <w:pPr>
        <w:pStyle w:val="Citas"/>
      </w:pPr>
      <w:r>
        <w:t>“</w:t>
      </w:r>
      <w:r w:rsidRPr="00853804">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6B803E41" w14:textId="2BCB2FFF" w:rsidR="00853804" w:rsidRPr="00853804" w:rsidRDefault="00853804" w:rsidP="00853804">
      <w:pPr>
        <w:pStyle w:val="Citas"/>
        <w:rPr>
          <w:b/>
          <w:bCs/>
        </w:rPr>
      </w:pPr>
      <w:r w:rsidRPr="00853804">
        <w:t>En atención a la solicitud con folio 03611/TOLUCA/IP/2025, me permito adjuntar al presente la respuesta correspondiente, Sin más por el momento, reciba un saludo</w:t>
      </w:r>
      <w:r>
        <w:t xml:space="preserve">” </w:t>
      </w:r>
      <w:r>
        <w:rPr>
          <w:b/>
          <w:bCs/>
        </w:rPr>
        <w:t>(Sic)</w:t>
      </w:r>
    </w:p>
    <w:p w14:paraId="03D42D30" w14:textId="654A9DB9" w:rsidR="00853804" w:rsidRPr="00853804"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Del expediente electrónico del </w:t>
      </w:r>
      <w:r w:rsidRPr="00DD27BD">
        <w:rPr>
          <w:rFonts w:ascii="Palatino Linotype" w:hAnsi="Palatino Linotype" w:cs="Arial"/>
          <w:b/>
          <w:bCs/>
          <w:sz w:val="24"/>
          <w:szCs w:val="24"/>
        </w:rPr>
        <w:t>SAIMEX</w:t>
      </w:r>
      <w:r>
        <w:rPr>
          <w:rFonts w:ascii="Palatino Linotype" w:hAnsi="Palatino Linotype" w:cs="Arial"/>
          <w:sz w:val="24"/>
          <w:szCs w:val="24"/>
        </w:rPr>
        <w:t xml:space="preserve">,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91019C">
        <w:rPr>
          <w:rFonts w:ascii="Palatino Linotype" w:hAnsi="Palatino Linotype" w:cs="Arial"/>
          <w:sz w:val="24"/>
          <w:szCs w:val="24"/>
        </w:rPr>
        <w:t xml:space="preserve"> los documentos electrónicos </w:t>
      </w:r>
      <w:r w:rsidR="0091019C">
        <w:rPr>
          <w:rFonts w:ascii="Palatino Linotype" w:hAnsi="Palatino Linotype" w:cs="Arial"/>
          <w:b/>
          <w:bCs/>
          <w:sz w:val="24"/>
          <w:szCs w:val="24"/>
        </w:rPr>
        <w:t>“</w:t>
      </w:r>
      <w:r w:rsidR="00853804">
        <w:rPr>
          <w:rFonts w:ascii="Palatino Linotype" w:hAnsi="Palatino Linotype" w:cs="Arial"/>
          <w:b/>
          <w:bCs/>
          <w:sz w:val="24"/>
          <w:szCs w:val="24"/>
        </w:rPr>
        <w:t xml:space="preserve">ORGANIGRAMA TESORERIA.pdf”, “NOTIF. CIUDADANO S. 3611.pdf” </w:t>
      </w:r>
      <w:r w:rsidR="00853804">
        <w:rPr>
          <w:rFonts w:ascii="Palatino Linotype" w:hAnsi="Palatino Linotype" w:cs="Arial"/>
          <w:sz w:val="24"/>
          <w:szCs w:val="24"/>
        </w:rPr>
        <w:t xml:space="preserve">y </w:t>
      </w:r>
      <w:r w:rsidR="00853804">
        <w:rPr>
          <w:rFonts w:ascii="Palatino Linotype" w:hAnsi="Palatino Linotype" w:cs="Arial"/>
          <w:b/>
          <w:bCs/>
          <w:sz w:val="24"/>
          <w:szCs w:val="24"/>
        </w:rPr>
        <w:t>“R. 03611. 2025</w:t>
      </w:r>
      <w:proofErr w:type="gramStart"/>
      <w:r w:rsidR="00853804">
        <w:rPr>
          <w:rFonts w:ascii="Palatino Linotype" w:hAnsi="Palatino Linotype" w:cs="Arial"/>
          <w:b/>
          <w:bCs/>
          <w:sz w:val="24"/>
          <w:szCs w:val="24"/>
        </w:rPr>
        <w:t>.pdf</w:t>
      </w:r>
      <w:proofErr w:type="gramEnd"/>
      <w:r w:rsidR="00853804">
        <w:rPr>
          <w:rFonts w:ascii="Palatino Linotype" w:hAnsi="Palatino Linotype" w:cs="Arial"/>
          <w:b/>
          <w:bCs/>
          <w:sz w:val="24"/>
          <w:szCs w:val="24"/>
        </w:rPr>
        <w:t xml:space="preserve">”, </w:t>
      </w:r>
      <w:r w:rsidR="00853804">
        <w:rPr>
          <w:rFonts w:ascii="Palatino Linotype" w:hAnsi="Palatino Linotype" w:cs="Arial"/>
          <w:sz w:val="24"/>
          <w:szCs w:val="24"/>
        </w:rPr>
        <w:t xml:space="preserve">mismos que se tienen por reproducidos en virtud de que serán materia de análisis en el considerando respectivo. </w:t>
      </w:r>
    </w:p>
    <w:p w14:paraId="2167F0C8" w14:textId="77777777" w:rsidR="00853804" w:rsidRDefault="00853804" w:rsidP="00A41851">
      <w:pPr>
        <w:spacing w:before="240" w:line="360" w:lineRule="auto"/>
        <w:jc w:val="both"/>
        <w:rPr>
          <w:rFonts w:ascii="Palatino Linotype" w:hAnsi="Palatino Linotype" w:cs="Arial"/>
          <w:b/>
          <w:bCs/>
          <w:sz w:val="24"/>
          <w:szCs w:val="24"/>
        </w:rPr>
      </w:pPr>
    </w:p>
    <w:p w14:paraId="0B82ECEF" w14:textId="77777777" w:rsidR="00A41851" w:rsidRPr="00AD63C7" w:rsidRDefault="00A41851" w:rsidP="00A41851">
      <w:pPr>
        <w:pStyle w:val="Citas"/>
        <w:ind w:left="0" w:right="-18"/>
        <w:rPr>
          <w:b/>
          <w:i w:val="0"/>
          <w:iCs/>
          <w:sz w:val="28"/>
        </w:rPr>
      </w:pPr>
      <w:r w:rsidRPr="00AD63C7">
        <w:rPr>
          <w:i w:val="0"/>
          <w:iCs/>
          <w:sz w:val="24"/>
          <w:szCs w:val="24"/>
        </w:rPr>
        <w:t xml:space="preserve"> </w:t>
      </w:r>
      <w:r w:rsidRPr="00AD63C7">
        <w:rPr>
          <w:b/>
          <w:i w:val="0"/>
          <w:iCs/>
          <w:sz w:val="28"/>
        </w:rPr>
        <w:t>TERCERO. Del recurso de revisión.</w:t>
      </w:r>
    </w:p>
    <w:p w14:paraId="4AC93DA8" w14:textId="1561549F" w:rsidR="0091019C" w:rsidRPr="0091019C" w:rsidRDefault="00A41851" w:rsidP="00A41851">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6D76E2">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853804">
        <w:rPr>
          <w:rFonts w:ascii="Palatino Linotype" w:hAnsi="Palatino Linotype" w:cs="Arial"/>
          <w:b/>
          <w:bCs/>
          <w:sz w:val="24"/>
          <w:szCs w:val="24"/>
        </w:rPr>
        <w:t xml:space="preserve">veintidós de julio de dos mil veinticinco, </w:t>
      </w:r>
      <w:r w:rsidR="0091019C">
        <w:rPr>
          <w:rFonts w:ascii="Palatino Linotype" w:hAnsi="Palatino Linotype" w:cs="Arial"/>
          <w:sz w:val="24"/>
          <w:szCs w:val="24"/>
        </w:rPr>
        <w:t xml:space="preserve">el cual fue registrado en el sistema electrónico con el expediente número </w:t>
      </w:r>
      <w:r w:rsidR="00853804">
        <w:rPr>
          <w:rFonts w:ascii="Palatino Linotype" w:hAnsi="Palatino Linotype" w:cs="Arial"/>
          <w:b/>
          <w:bCs/>
          <w:sz w:val="24"/>
          <w:szCs w:val="24"/>
        </w:rPr>
        <w:t>08990</w:t>
      </w:r>
      <w:r w:rsidR="0091019C">
        <w:rPr>
          <w:rFonts w:ascii="Palatino Linotype" w:hAnsi="Palatino Linotype" w:cs="Arial"/>
          <w:b/>
          <w:bCs/>
          <w:sz w:val="24"/>
          <w:szCs w:val="24"/>
        </w:rPr>
        <w:t xml:space="preserve">/INFOEM/IP/RR/2025, </w:t>
      </w:r>
      <w:r w:rsidR="0091019C">
        <w:rPr>
          <w:rFonts w:ascii="Palatino Linotype" w:hAnsi="Palatino Linotype" w:cs="Arial"/>
          <w:sz w:val="24"/>
          <w:szCs w:val="24"/>
        </w:rPr>
        <w:t xml:space="preserve">en el cual arguye las siguientes manifestaciones: </w:t>
      </w:r>
    </w:p>
    <w:p w14:paraId="75579BA4" w14:textId="77777777" w:rsidR="00A41851" w:rsidRDefault="00A41851" w:rsidP="00A41851">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3CFAE255" w14:textId="25CF637F" w:rsidR="00A41851" w:rsidRPr="00F10B2F" w:rsidRDefault="00A41851" w:rsidP="00A41851">
      <w:pPr>
        <w:pStyle w:val="Citas"/>
        <w:rPr>
          <w:b/>
          <w:bCs/>
        </w:rPr>
      </w:pPr>
      <w:r w:rsidRPr="001940FE">
        <w:t>“</w:t>
      </w:r>
      <w:r w:rsidR="00853804" w:rsidRPr="00853804">
        <w:t xml:space="preserve">La respuesta la información </w:t>
      </w:r>
      <w:proofErr w:type="spellStart"/>
      <w:r w:rsidR="00853804" w:rsidRPr="00853804">
        <w:t>esta</w:t>
      </w:r>
      <w:proofErr w:type="spellEnd"/>
      <w:r w:rsidR="00853804" w:rsidRPr="00853804">
        <w:t xml:space="preserve"> incompleta no atiende mi solicitud de acuerdo a lo solicitado</w:t>
      </w:r>
      <w:r w:rsidRPr="001940FE">
        <w:t>”</w:t>
      </w:r>
      <w:r w:rsidRPr="00F10B2F">
        <w:t xml:space="preserve"> </w:t>
      </w:r>
      <w:r>
        <w:rPr>
          <w:b/>
          <w:bCs/>
        </w:rPr>
        <w:t>(Sic)</w:t>
      </w:r>
    </w:p>
    <w:p w14:paraId="7FC9A52D" w14:textId="77777777" w:rsidR="00A41851" w:rsidRDefault="00A41851" w:rsidP="00A4185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5D2A86E" w14:textId="4BF27393" w:rsidR="00A41851" w:rsidRPr="00F34E34" w:rsidRDefault="00A41851" w:rsidP="00A41851">
      <w:pPr>
        <w:pStyle w:val="Citas"/>
      </w:pPr>
      <w:r w:rsidRPr="001940FE">
        <w:t>“</w:t>
      </w:r>
      <w:r w:rsidR="00853804" w:rsidRPr="00853804">
        <w:t xml:space="preserve">La respuesta la información </w:t>
      </w:r>
      <w:proofErr w:type="spellStart"/>
      <w:r w:rsidR="00853804" w:rsidRPr="00853804">
        <w:t>esta</w:t>
      </w:r>
      <w:proofErr w:type="spellEnd"/>
      <w:r w:rsidR="00853804" w:rsidRPr="00853804">
        <w:t xml:space="preserve"> incompleta no atiende mi solicitud de acuerdo a lo solicitado</w:t>
      </w:r>
      <w:r>
        <w:t>”</w:t>
      </w:r>
      <w:r w:rsidRPr="00F34E34">
        <w:t xml:space="preserve"> (Sic)</w:t>
      </w:r>
    </w:p>
    <w:p w14:paraId="2D94722F" w14:textId="77777777" w:rsidR="00A41851" w:rsidRDefault="00A41851" w:rsidP="00A41851">
      <w:pPr>
        <w:spacing w:before="240" w:line="360" w:lineRule="auto"/>
        <w:jc w:val="both"/>
        <w:rPr>
          <w:rFonts w:ascii="Palatino Linotype" w:hAnsi="Palatino Linotype" w:cs="Arial"/>
          <w:bCs/>
          <w:sz w:val="24"/>
          <w:szCs w:val="24"/>
        </w:rPr>
      </w:pPr>
    </w:p>
    <w:p w14:paraId="32ED300B" w14:textId="77777777" w:rsidR="00A41851" w:rsidRDefault="00A41851" w:rsidP="00A41851">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058EDF6" w14:textId="66048F44" w:rsidR="00A41851" w:rsidRDefault="00A41851" w:rsidP="00A4185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853804">
        <w:rPr>
          <w:rFonts w:ascii="Palatino Linotype" w:hAnsi="Palatino Linotype" w:cs="Arial"/>
          <w:b/>
          <w:bCs/>
          <w:sz w:val="24"/>
          <w:szCs w:val="24"/>
        </w:rPr>
        <w:t xml:space="preserve">cinco de agosto de dos mil veinticinco, </w:t>
      </w:r>
      <w:r w:rsidRPr="00346585">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Default="00A41851" w:rsidP="00A41851">
      <w:pPr>
        <w:spacing w:before="240" w:line="360" w:lineRule="auto"/>
        <w:jc w:val="both"/>
        <w:rPr>
          <w:rFonts w:ascii="Palatino Linotype" w:hAnsi="Palatino Linotype" w:cs="Arial"/>
          <w:sz w:val="24"/>
          <w:szCs w:val="24"/>
        </w:rPr>
      </w:pPr>
    </w:p>
    <w:p w14:paraId="6E8382A1" w14:textId="77777777" w:rsidR="00A41851" w:rsidRDefault="00A41851" w:rsidP="00A4185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0743023D" w14:textId="69157DED" w:rsidR="00853804" w:rsidRPr="00853804" w:rsidRDefault="00A41851" w:rsidP="00A41851">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w:t>
      </w:r>
      <w:r w:rsidRPr="00A7555C">
        <w:rPr>
          <w:rFonts w:ascii="Palatino Linotype" w:hAnsi="Palatino Linotype" w:cs="Arial"/>
          <w:sz w:val="24"/>
          <w:szCs w:val="24"/>
        </w:rPr>
        <w:t xml:space="preserve">advierte que </w:t>
      </w:r>
      <w:r w:rsidRPr="00A7555C">
        <w:rPr>
          <w:rFonts w:ascii="Palatino Linotype" w:hAnsi="Palatino Linotype" w:cs="Arial"/>
          <w:b/>
          <w:bCs/>
          <w:sz w:val="24"/>
          <w:szCs w:val="24"/>
        </w:rPr>
        <w:t xml:space="preserve">El Sujeto Obligado </w:t>
      </w:r>
      <w:r w:rsidR="00A7555C" w:rsidRPr="00A7555C">
        <w:rPr>
          <w:rFonts w:ascii="Palatino Linotype" w:hAnsi="Palatino Linotype" w:cs="Arial"/>
          <w:sz w:val="24"/>
          <w:szCs w:val="24"/>
        </w:rPr>
        <w:t xml:space="preserve">rindió su informe justificado en fecha </w:t>
      </w:r>
      <w:r w:rsidR="00853804">
        <w:rPr>
          <w:rFonts w:ascii="Palatino Linotype" w:hAnsi="Palatino Linotype" w:cs="Arial"/>
          <w:b/>
          <w:bCs/>
          <w:sz w:val="24"/>
          <w:szCs w:val="24"/>
        </w:rPr>
        <w:t xml:space="preserve">catorce de agosto, </w:t>
      </w:r>
      <w:r w:rsidR="00853804">
        <w:rPr>
          <w:rFonts w:ascii="Palatino Linotype" w:hAnsi="Palatino Linotype" w:cs="Arial"/>
          <w:sz w:val="24"/>
          <w:szCs w:val="24"/>
        </w:rPr>
        <w:t xml:space="preserve">mismo que fue puesto a la vista el </w:t>
      </w:r>
      <w:r w:rsidR="00853804">
        <w:rPr>
          <w:rFonts w:ascii="Palatino Linotype" w:hAnsi="Palatino Linotype" w:cs="Arial"/>
          <w:b/>
          <w:bCs/>
          <w:sz w:val="24"/>
          <w:szCs w:val="24"/>
        </w:rPr>
        <w:t xml:space="preserve">dieciocho de agosto de dos mil veinticinco. </w:t>
      </w:r>
    </w:p>
    <w:p w14:paraId="574D7D55" w14:textId="63AFC343" w:rsidR="00A41851" w:rsidRDefault="00A41851" w:rsidP="00A4185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853804">
        <w:rPr>
          <w:rFonts w:ascii="Palatino Linotype" w:hAnsi="Palatino Linotype" w:cs="Arial"/>
          <w:b/>
          <w:bCs/>
          <w:sz w:val="24"/>
          <w:szCs w:val="24"/>
        </w:rPr>
        <w:t>veintidós de agosto</w:t>
      </w:r>
      <w:r>
        <w:rPr>
          <w:rFonts w:ascii="Palatino Linotype" w:hAnsi="Palatino Linotype" w:cs="Arial"/>
          <w:b/>
          <w:bCs/>
          <w:sz w:val="24"/>
          <w:szCs w:val="24"/>
        </w:rPr>
        <w:t xml:space="preserve"> de dos mil veinticinco,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536A8B0" w14:textId="77777777" w:rsidR="0061096B" w:rsidRDefault="0061096B" w:rsidP="00A41851">
      <w:pPr>
        <w:spacing w:after="0" w:line="360" w:lineRule="auto"/>
        <w:jc w:val="both"/>
        <w:rPr>
          <w:rFonts w:ascii="Palatino Linotype" w:hAnsi="Palatino Linotype" w:cs="Arial"/>
          <w:sz w:val="24"/>
          <w:szCs w:val="24"/>
        </w:rPr>
      </w:pPr>
    </w:p>
    <w:p w14:paraId="71F668B0" w14:textId="77777777" w:rsidR="0061096B" w:rsidRDefault="0061096B" w:rsidP="00A41851">
      <w:pPr>
        <w:spacing w:after="0" w:line="360" w:lineRule="auto"/>
        <w:jc w:val="both"/>
        <w:rPr>
          <w:rFonts w:ascii="Palatino Linotype" w:hAnsi="Palatino Linotype" w:cs="Arial"/>
          <w:sz w:val="24"/>
          <w:szCs w:val="24"/>
        </w:rPr>
      </w:pPr>
    </w:p>
    <w:p w14:paraId="43035116" w14:textId="28F1262F" w:rsidR="00A41851" w:rsidRDefault="00A41851" w:rsidP="00A41851">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714A906E" w14:textId="77777777" w:rsidR="00A41851" w:rsidRDefault="00A41851" w:rsidP="00A41851">
      <w:pPr>
        <w:spacing w:before="24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46492AE" w14:textId="77777777" w:rsidR="005D6BC4" w:rsidRPr="008A2022" w:rsidRDefault="005D6BC4" w:rsidP="005D6BC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44E6DAC3" w14:textId="77777777" w:rsidR="00A41851" w:rsidRPr="0091019C"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DBC990"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D09398"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63FE7D1" w14:textId="77777777" w:rsidR="0091019C" w:rsidRPr="00AF17B1"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034CFD0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3B9475CC"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1A0080FD"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 El acto que se recurre;</w:t>
      </w:r>
    </w:p>
    <w:p w14:paraId="498E86AE"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7BD1902F"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AF17B1" w:rsidRDefault="0091019C" w:rsidP="0091019C">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AF17B1"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1D7C76D0" w14:textId="77777777" w:rsidR="0091019C" w:rsidRPr="00AF17B1"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AF17B1" w:rsidRDefault="0091019C" w:rsidP="0091019C">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AF17B1">
        <w:rPr>
          <w:rFonts w:ascii="Palatino Linotype" w:hAnsi="Palatino Linotype" w:cs="Arial"/>
          <w:i/>
          <w:lang w:eastAsia="es-ES"/>
        </w:rPr>
        <w:lastRenderedPageBreak/>
        <w:t xml:space="preserve">requerirse información adicional con motivo del nombre proporcionado por el solicitante.” </w:t>
      </w:r>
      <w:r w:rsidRPr="00AF17B1">
        <w:rPr>
          <w:rFonts w:ascii="Palatino Linotype" w:hAnsi="Palatino Linotype" w:cs="Arial"/>
          <w:b/>
          <w:i/>
          <w:lang w:eastAsia="es-ES"/>
        </w:rPr>
        <w:t>[Sic]</w:t>
      </w:r>
    </w:p>
    <w:p w14:paraId="50ABD712" w14:textId="77777777" w:rsidR="0091019C" w:rsidRPr="00AF17B1"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AF17B1" w:rsidRDefault="0091019C" w:rsidP="0091019C">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2D83CA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3241C1E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CB878F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AF17B1"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0D50213"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373EBD88"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415D35C"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AF17B1" w:rsidRDefault="0091019C" w:rsidP="0091019C">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7181356" w14:textId="77777777" w:rsidR="0091019C" w:rsidRPr="00AF17B1" w:rsidRDefault="0091019C" w:rsidP="0091019C">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21AAB16C" w14:textId="77777777" w:rsidR="0091019C"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AF17B1" w:rsidRDefault="0091019C" w:rsidP="0091019C">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AF17B1" w:rsidRDefault="0091019C" w:rsidP="0091019C">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AF17B1" w:rsidRDefault="0091019C" w:rsidP="0091019C">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B35CDCC" w14:textId="77777777" w:rsidR="0091019C" w:rsidRDefault="0091019C" w:rsidP="0091019C">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w:t>
      </w:r>
      <w:r w:rsidRPr="00AF17B1">
        <w:rPr>
          <w:rFonts w:ascii="Palatino Linotype" w:eastAsia="Times New Roman" w:hAnsi="Palatino Linotype" w:cs="Times New Roman"/>
          <w:sz w:val="24"/>
          <w:szCs w:val="24"/>
          <w:lang w:eastAsia="es-ES"/>
        </w:rPr>
        <w:lastRenderedPageBreak/>
        <w:t xml:space="preserve">certeza sobre su identidad. </w:t>
      </w:r>
      <w:r w:rsidRPr="00AF17B1">
        <w:rPr>
          <w:rFonts w:ascii="Palatino Linotype" w:hAnsi="Palatino Linotype" w:cs="Arial"/>
          <w:sz w:val="24"/>
          <w:szCs w:val="24"/>
        </w:rPr>
        <w:t xml:space="preserve">En conclusión, se cubrieron los requisitos de procedencia y </w:t>
      </w:r>
      <w:proofErr w:type="spellStart"/>
      <w:r w:rsidRPr="00AF17B1">
        <w:rPr>
          <w:rFonts w:ascii="Palatino Linotype" w:hAnsi="Palatino Linotype" w:cs="Arial"/>
          <w:sz w:val="24"/>
          <w:szCs w:val="24"/>
        </w:rPr>
        <w:t>procedibilidad</w:t>
      </w:r>
      <w:proofErr w:type="spellEnd"/>
      <w:r w:rsidRPr="00AF17B1">
        <w:rPr>
          <w:rFonts w:ascii="Palatino Linotype" w:hAnsi="Palatino Linotype" w:cs="Arial"/>
          <w:sz w:val="24"/>
          <w:szCs w:val="24"/>
        </w:rPr>
        <w:t xml:space="preserve"> y conforme a las constancias que obran en el expediente.</w:t>
      </w:r>
    </w:p>
    <w:p w14:paraId="72E0DB8B" w14:textId="77777777" w:rsidR="0091019C"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9A0D0A" w:rsidRDefault="00A41851" w:rsidP="00A4185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8E8A3FA" w14:textId="77777777" w:rsidR="00A41851"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FE7B06C" w14:textId="77777777" w:rsidR="00A41851" w:rsidRPr="002869E1" w:rsidRDefault="00A41851" w:rsidP="00A418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B28B76" w14:textId="77777777" w:rsidR="00A41851" w:rsidRPr="006010FE"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89D168A"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76A2E4"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60BF3C2C" w14:textId="77777777" w:rsidR="00A41851" w:rsidRPr="006010FE" w:rsidRDefault="00A41851" w:rsidP="00A418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Default="00A41851" w:rsidP="00A418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0267A49" w14:textId="77777777" w:rsidR="00A41851"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6010FE" w:rsidRDefault="00A41851" w:rsidP="00A418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8337963" w14:textId="77777777" w:rsidR="00A41851" w:rsidRDefault="00A41851" w:rsidP="00A418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9C49584" w14:textId="77777777" w:rsidR="00A41851" w:rsidRDefault="00A41851" w:rsidP="00A41851">
      <w:pPr>
        <w:spacing w:before="240" w:line="360" w:lineRule="auto"/>
        <w:jc w:val="both"/>
        <w:rPr>
          <w:rFonts w:ascii="Palatino Linotype" w:hAnsi="Palatino Linotype"/>
          <w:sz w:val="24"/>
          <w:szCs w:val="24"/>
        </w:rPr>
      </w:pPr>
    </w:p>
    <w:p w14:paraId="5F34F88C" w14:textId="7919A056" w:rsidR="00EA72C0" w:rsidRDefault="00A41851" w:rsidP="00A41851">
      <w:pPr>
        <w:pStyle w:val="Sinespaciado"/>
        <w:spacing w:line="360" w:lineRule="auto"/>
        <w:jc w:val="both"/>
        <w:rPr>
          <w:rFonts w:ascii="Palatino Linotype" w:hAnsi="Palatino Linotype" w:cs="Arial"/>
        </w:rPr>
      </w:pPr>
      <w:r w:rsidRPr="00A279CF">
        <w:rPr>
          <w:rFonts w:ascii="Palatino Linotype" w:hAnsi="Palatino Linotype"/>
        </w:rPr>
        <w:t xml:space="preserve">Una vez sentado lo anterior, </w:t>
      </w:r>
      <w:r>
        <w:rPr>
          <w:rFonts w:ascii="Palatino Linotype" w:hAnsi="Palatino Linotype" w:cs="Arial"/>
        </w:rPr>
        <w:t xml:space="preserve">de una interpretación literal a la solicitud de información </w:t>
      </w:r>
      <w:r w:rsidR="00853804">
        <w:rPr>
          <w:rFonts w:ascii="Palatino Linotype" w:hAnsi="Palatino Linotype" w:cs="Arial"/>
          <w:b/>
          <w:bCs/>
        </w:rPr>
        <w:t>03611</w:t>
      </w:r>
      <w:r w:rsidR="00A97EEF">
        <w:rPr>
          <w:rFonts w:ascii="Palatino Linotype" w:hAnsi="Palatino Linotype" w:cs="Arial"/>
          <w:b/>
          <w:bCs/>
        </w:rPr>
        <w:t>/TOLUCA/IP/2025</w:t>
      </w:r>
      <w:r>
        <w:rPr>
          <w:rFonts w:ascii="Palatino Linotype" w:hAnsi="Palatino Linotype" w:cs="Arial"/>
          <w:b/>
          <w:bCs/>
        </w:rPr>
        <w:t xml:space="preserve">, </w:t>
      </w:r>
      <w:r>
        <w:rPr>
          <w:rFonts w:ascii="Palatino Linotype" w:hAnsi="Palatino Linotype" w:cs="Arial"/>
        </w:rPr>
        <w:t xml:space="preserve">se </w:t>
      </w:r>
      <w:r w:rsidR="00A97EEF">
        <w:rPr>
          <w:rFonts w:ascii="Palatino Linotype" w:hAnsi="Palatino Linotype" w:cs="Arial"/>
        </w:rPr>
        <w:t>desprenden las siguientes consideraciones:</w:t>
      </w:r>
    </w:p>
    <w:p w14:paraId="59F35B9F" w14:textId="77777777" w:rsidR="00A97EEF" w:rsidRPr="00A02818" w:rsidRDefault="00A97EEF" w:rsidP="00C3254F">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6C0923">
        <w:rPr>
          <w:rFonts w:ascii="Palatino Linotype" w:hAnsi="Palatino Linotype" w:cs="Arial"/>
          <w:lang w:val="es-MX"/>
        </w:rPr>
        <w:t xml:space="preserve">Que el derecho de acceso a la información pública estriba en la prerrogativa de carácter constitucional que reconoce la potestad de los ciudadanos para solicitar </w:t>
      </w:r>
      <w:r w:rsidRPr="006C0923">
        <w:rPr>
          <w:rFonts w:ascii="Palatino Linotype" w:hAnsi="Palatino Linotype" w:cs="Arial"/>
          <w:lang w:val="es-MX"/>
        </w:rPr>
        <w:lastRenderedPageBreak/>
        <w:t xml:space="preserve">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1AF6AF0D" w14:textId="77777777" w:rsidR="00A02818" w:rsidRPr="00835CF5" w:rsidRDefault="00A02818" w:rsidP="00A02818">
      <w:pPr>
        <w:pStyle w:val="Prrafodelista"/>
        <w:autoSpaceDE w:val="0"/>
        <w:autoSpaceDN w:val="0"/>
        <w:adjustRightInd w:val="0"/>
        <w:spacing w:before="240" w:line="360" w:lineRule="auto"/>
        <w:ind w:left="720"/>
        <w:jc w:val="both"/>
        <w:rPr>
          <w:rFonts w:ascii="Palatino Linotype" w:hAnsi="Palatino Linotype" w:cs="Arial"/>
          <w:lang w:val="es-MX"/>
        </w:rPr>
      </w:pPr>
    </w:p>
    <w:p w14:paraId="6F12C4C4" w14:textId="407415AC" w:rsidR="00E14455" w:rsidRPr="004A57C0" w:rsidRDefault="00A97EEF" w:rsidP="00C3254F">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4A57C0">
        <w:rPr>
          <w:rFonts w:ascii="Palatino Linotype" w:hAnsi="Palatino Linotype" w:cs="Arial"/>
          <w:lang w:val="es-MX"/>
        </w:rPr>
        <w:t xml:space="preserve">Que, de una interpretación literal a la solicitud de información, se advierte que fueron formulados </w:t>
      </w:r>
      <w:r w:rsidR="00853804" w:rsidRPr="004A57C0">
        <w:rPr>
          <w:rFonts w:ascii="Palatino Linotype" w:hAnsi="Palatino Linotype" w:cs="Arial"/>
          <w:b/>
          <w:bCs/>
          <w:lang w:val="es-MX"/>
        </w:rPr>
        <w:t xml:space="preserve">4 -cuatro- </w:t>
      </w:r>
      <w:r w:rsidR="00853804" w:rsidRPr="004A57C0">
        <w:rPr>
          <w:rFonts w:ascii="Palatino Linotype" w:hAnsi="Palatino Linotype" w:cs="Arial"/>
          <w:lang w:val="es-MX"/>
        </w:rPr>
        <w:t>requerimientos, respecto de los cuales no fue señalada temporalidad</w:t>
      </w:r>
      <w:r w:rsidR="004A57C0" w:rsidRPr="004A57C0">
        <w:rPr>
          <w:rFonts w:ascii="Palatino Linotype" w:hAnsi="Palatino Linotype" w:cs="Arial"/>
          <w:lang w:val="es-MX"/>
        </w:rPr>
        <w:t xml:space="preserve">, resultando procedente fijarse al </w:t>
      </w:r>
      <w:r w:rsidR="00E14455" w:rsidRPr="004A57C0">
        <w:rPr>
          <w:rFonts w:ascii="Palatino Linotype" w:hAnsi="Palatino Linotype"/>
          <w:color w:val="000000"/>
          <w:lang w:val="es-MX"/>
        </w:rPr>
        <w:t xml:space="preserve">veintitrés de junio de dos mil veinticinco, al corresponder a la fecha en que se ejerció el derecho de acceso a la información pública. </w:t>
      </w:r>
    </w:p>
    <w:p w14:paraId="093F0CB5" w14:textId="77777777" w:rsidR="00E14455" w:rsidRDefault="00E14455" w:rsidP="00E14455">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6AEF8B34" w14:textId="0C2C4C60" w:rsidR="00E14455" w:rsidRPr="00E14455" w:rsidRDefault="00E14455" w:rsidP="00C3254F">
      <w:pPr>
        <w:pStyle w:val="Prrafodelista"/>
        <w:numPr>
          <w:ilvl w:val="0"/>
          <w:numId w:val="4"/>
        </w:numPr>
        <w:autoSpaceDE w:val="0"/>
        <w:autoSpaceDN w:val="0"/>
        <w:adjustRightInd w:val="0"/>
        <w:spacing w:before="240" w:line="360" w:lineRule="auto"/>
        <w:jc w:val="both"/>
        <w:rPr>
          <w:rFonts w:ascii="Palatino Linotype" w:hAnsi="Palatino Linotype"/>
        </w:rPr>
      </w:pPr>
      <w:r w:rsidRPr="00E14455">
        <w:rPr>
          <w:rFonts w:ascii="Palatino Linotype" w:hAnsi="Palatino Linotype"/>
          <w:color w:val="000000"/>
          <w:lang w:val="es-MX"/>
        </w:rPr>
        <w:t xml:space="preserve">Que en referencia </w:t>
      </w:r>
      <w:r w:rsidR="004A57C0">
        <w:rPr>
          <w:rFonts w:ascii="Palatino Linotype" w:hAnsi="Palatino Linotype"/>
          <w:color w:val="000000"/>
          <w:lang w:val="es-MX"/>
        </w:rPr>
        <w:t xml:space="preserve">a los puntos </w:t>
      </w:r>
      <w:r w:rsidR="004A57C0">
        <w:rPr>
          <w:rFonts w:ascii="Palatino Linotype" w:hAnsi="Palatino Linotype"/>
          <w:b/>
          <w:bCs/>
          <w:color w:val="000000"/>
          <w:lang w:val="es-MX"/>
        </w:rPr>
        <w:t>1 y 2,</w:t>
      </w:r>
      <w:r w:rsidRPr="00E14455">
        <w:rPr>
          <w:rFonts w:ascii="Palatino Linotype" w:hAnsi="Palatino Linotype"/>
          <w:b/>
          <w:bCs/>
          <w:color w:val="000000"/>
          <w:lang w:val="es-MX"/>
        </w:rPr>
        <w:t xml:space="preserve"> </w:t>
      </w:r>
      <w:r w:rsidRPr="00E14455">
        <w:rPr>
          <w:rFonts w:ascii="Palatino Linotype" w:hAnsi="Palatino Linotype" w:cs="Arial"/>
        </w:rPr>
        <w:t xml:space="preserve">resulta oportuno destacar que cuando los particulares no identifican de forma precisa el documento requerido, bastará con que </w:t>
      </w:r>
      <w:r w:rsidRPr="00E14455">
        <w:rPr>
          <w:rFonts w:ascii="Palatino Linotype" w:hAnsi="Palatino Linotype"/>
        </w:rPr>
        <w:t xml:space="preserve">se remita cualquiera que refleje la información requerida. Al respecto, cobra relevancia el criterio emitido por el Órgano Garante Nacional con número </w:t>
      </w:r>
      <w:r w:rsidRPr="00E14455">
        <w:rPr>
          <w:rFonts w:ascii="Palatino Linotype" w:hAnsi="Palatino Linotype"/>
          <w:b/>
          <w:bCs/>
        </w:rPr>
        <w:t xml:space="preserve">16/17 </w:t>
      </w:r>
      <w:r w:rsidRPr="00E14455">
        <w:rPr>
          <w:rFonts w:ascii="Palatino Linotype" w:hAnsi="Palatino Linotype"/>
        </w:rPr>
        <w:t>cuyo rubro y texto disponen a la literalidad lo siguiente:</w:t>
      </w:r>
    </w:p>
    <w:p w14:paraId="02BC429B" w14:textId="77777777" w:rsidR="00E14455" w:rsidRPr="00AB5B4A" w:rsidRDefault="00E14455" w:rsidP="00E14455">
      <w:pPr>
        <w:pStyle w:val="Citas"/>
        <w:jc w:val="center"/>
        <w:rPr>
          <w:b/>
          <w:bCs/>
          <w:sz w:val="24"/>
          <w:szCs w:val="24"/>
        </w:rPr>
      </w:pPr>
      <w:r w:rsidRPr="00AB5B4A">
        <w:rPr>
          <w:b/>
          <w:bCs/>
          <w:sz w:val="24"/>
          <w:szCs w:val="24"/>
        </w:rPr>
        <w:t>“EXPRESIÓN DOCUMENTAL.</w:t>
      </w:r>
    </w:p>
    <w:p w14:paraId="0B53D967" w14:textId="77777777" w:rsidR="00E14455" w:rsidRPr="00AB5B4A" w:rsidRDefault="00E14455" w:rsidP="00E14455">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2AC7F487" w14:textId="77777777" w:rsidR="00E14455" w:rsidRPr="00AB5B4A" w:rsidRDefault="00E14455" w:rsidP="00E14455">
      <w:pPr>
        <w:pStyle w:val="Citas"/>
        <w:rPr>
          <w:b/>
        </w:rPr>
      </w:pPr>
      <w:r w:rsidRPr="00AB5B4A">
        <w:rPr>
          <w:b/>
        </w:rPr>
        <w:t>Precedentes:</w:t>
      </w:r>
    </w:p>
    <w:p w14:paraId="53FC9AAD" w14:textId="77777777" w:rsidR="00E14455" w:rsidRPr="00AB5B4A" w:rsidRDefault="00E14455" w:rsidP="00C3254F">
      <w:pPr>
        <w:pStyle w:val="Citas"/>
        <w:numPr>
          <w:ilvl w:val="0"/>
          <w:numId w:val="6"/>
        </w:numPr>
        <w:rPr>
          <w:color w:val="000000"/>
        </w:rPr>
      </w:pPr>
      <w:r w:rsidRPr="00AB5B4A">
        <w:lastRenderedPageBreak/>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1CC6BFEB" w14:textId="77777777" w:rsidR="00E14455" w:rsidRPr="00AB5B4A" w:rsidRDefault="00E14455" w:rsidP="00C3254F">
      <w:pPr>
        <w:pStyle w:val="Citas"/>
        <w:numPr>
          <w:ilvl w:val="0"/>
          <w:numId w:val="6"/>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0FBD6D18" w14:textId="77777777" w:rsidR="00E14455" w:rsidRPr="00AB5B4A" w:rsidRDefault="00E14455" w:rsidP="00C3254F">
      <w:pPr>
        <w:pStyle w:val="Citas"/>
        <w:numPr>
          <w:ilvl w:val="0"/>
          <w:numId w:val="6"/>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710EF993" w14:textId="77777777" w:rsidR="00E14455" w:rsidRDefault="00E14455" w:rsidP="00E14455">
      <w:pPr>
        <w:autoSpaceDE w:val="0"/>
        <w:autoSpaceDN w:val="0"/>
        <w:adjustRightInd w:val="0"/>
        <w:spacing w:line="360" w:lineRule="auto"/>
        <w:jc w:val="both"/>
        <w:rPr>
          <w:rFonts w:ascii="Palatino Linotype" w:hAnsi="Palatino Linotype" w:cs="Arial"/>
        </w:rPr>
      </w:pPr>
    </w:p>
    <w:p w14:paraId="71AA4DF4" w14:textId="77777777" w:rsidR="00E14455" w:rsidRPr="00E14455" w:rsidRDefault="00E14455" w:rsidP="00E14455">
      <w:pPr>
        <w:autoSpaceDE w:val="0"/>
        <w:autoSpaceDN w:val="0"/>
        <w:adjustRightInd w:val="0"/>
        <w:spacing w:before="240" w:line="360" w:lineRule="auto"/>
        <w:jc w:val="both"/>
        <w:rPr>
          <w:rFonts w:ascii="Palatino Linotype" w:hAnsi="Palatino Linotype"/>
          <w:color w:val="000000"/>
        </w:rPr>
      </w:pPr>
    </w:p>
    <w:p w14:paraId="4C8D7E00" w14:textId="0C5757DE" w:rsidR="00E14455" w:rsidRPr="004A57C0" w:rsidRDefault="00E14455" w:rsidP="00C3254F">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4A57C0">
        <w:rPr>
          <w:rFonts w:ascii="Palatino Linotype" w:hAnsi="Palatino Linotype"/>
          <w:color w:val="000000"/>
          <w:lang w:val="es-MX"/>
        </w:rPr>
        <w:t xml:space="preserve">Ahora bien, en referencia </w:t>
      </w:r>
      <w:r w:rsidR="004A57C0" w:rsidRPr="004A57C0">
        <w:rPr>
          <w:rFonts w:ascii="Palatino Linotype" w:hAnsi="Palatino Linotype"/>
          <w:color w:val="000000"/>
          <w:lang w:val="es-MX"/>
        </w:rPr>
        <w:t xml:space="preserve">a los puntos </w:t>
      </w:r>
      <w:r w:rsidR="004A57C0" w:rsidRPr="004A57C0">
        <w:rPr>
          <w:rFonts w:ascii="Palatino Linotype" w:hAnsi="Palatino Linotype"/>
          <w:b/>
          <w:bCs/>
          <w:color w:val="000000"/>
          <w:lang w:val="es-MX"/>
        </w:rPr>
        <w:t xml:space="preserve">1 </w:t>
      </w:r>
      <w:r w:rsidR="004A57C0" w:rsidRPr="004A57C0">
        <w:rPr>
          <w:rFonts w:ascii="Palatino Linotype" w:hAnsi="Palatino Linotype"/>
          <w:color w:val="000000"/>
          <w:lang w:val="es-MX"/>
        </w:rPr>
        <w:t xml:space="preserve">y </w:t>
      </w:r>
      <w:r w:rsidR="004A57C0" w:rsidRPr="004A57C0">
        <w:rPr>
          <w:rFonts w:ascii="Palatino Linotype" w:hAnsi="Palatino Linotype"/>
          <w:b/>
          <w:bCs/>
          <w:color w:val="000000"/>
          <w:lang w:val="es-MX"/>
        </w:rPr>
        <w:t>3,</w:t>
      </w:r>
      <w:r w:rsidRPr="004A57C0">
        <w:rPr>
          <w:rFonts w:ascii="Palatino Linotype" w:hAnsi="Palatino Linotype"/>
          <w:b/>
          <w:bCs/>
          <w:color w:val="000000"/>
          <w:lang w:val="es-MX"/>
        </w:rPr>
        <w:t xml:space="preserve"> </w:t>
      </w:r>
      <w:r w:rsidRPr="004A57C0">
        <w:rPr>
          <w:rFonts w:ascii="Palatino Linotype" w:hAnsi="Palatino Linotype"/>
          <w:color w:val="000000"/>
          <w:lang w:val="es-MX"/>
        </w:rPr>
        <w:t xml:space="preserve">se destaca que el particular no resulta experto en terminología de administración pública o transparencia, luego entonces al haber requerido </w:t>
      </w:r>
      <w:r w:rsidRPr="004A57C0">
        <w:rPr>
          <w:rFonts w:ascii="Palatino Linotype" w:hAnsi="Palatino Linotype"/>
          <w:i/>
          <w:iCs/>
          <w:color w:val="000000"/>
          <w:lang w:val="es-MX"/>
        </w:rPr>
        <w:t>“</w:t>
      </w:r>
      <w:r w:rsidR="004A57C0" w:rsidRPr="004A57C0">
        <w:rPr>
          <w:rFonts w:ascii="Palatino Linotype" w:hAnsi="Palatino Linotype"/>
          <w:i/>
          <w:iCs/>
          <w:color w:val="000000"/>
          <w:lang w:val="es-MX"/>
        </w:rPr>
        <w:t xml:space="preserve">nómina de la tesorería” </w:t>
      </w:r>
      <w:r w:rsidR="004A57C0" w:rsidRPr="004A57C0">
        <w:rPr>
          <w:rFonts w:ascii="Palatino Linotype" w:hAnsi="Palatino Linotype"/>
          <w:color w:val="000000"/>
          <w:lang w:val="es-MX"/>
        </w:rPr>
        <w:t xml:space="preserve">y </w:t>
      </w:r>
      <w:r w:rsidRPr="004A57C0">
        <w:rPr>
          <w:rFonts w:ascii="Palatino Linotype" w:hAnsi="Palatino Linotype"/>
          <w:i/>
          <w:iCs/>
          <w:color w:val="000000"/>
          <w:lang w:val="es-MX"/>
        </w:rPr>
        <w:t xml:space="preserve">nombramiento”, </w:t>
      </w:r>
      <w:r w:rsidRPr="004A57C0">
        <w:rPr>
          <w:rFonts w:ascii="Palatino Linotype" w:hAnsi="Palatino Linotype"/>
          <w:color w:val="000000"/>
          <w:lang w:val="es-MX"/>
        </w:rPr>
        <w:t>se advierte que requiere el</w:t>
      </w:r>
      <w:r w:rsidR="004A57C0" w:rsidRPr="004A57C0">
        <w:rPr>
          <w:rFonts w:ascii="Palatino Linotype" w:hAnsi="Palatino Linotype"/>
          <w:color w:val="000000"/>
          <w:lang w:val="es-MX"/>
        </w:rPr>
        <w:t xml:space="preserve"> sueldo bruto y neto mensual, así como </w:t>
      </w:r>
      <w:r w:rsidR="00E570DE" w:rsidRPr="004A57C0">
        <w:rPr>
          <w:rFonts w:ascii="Palatino Linotype" w:hAnsi="Palatino Linotype"/>
          <w:color w:val="000000"/>
          <w:lang w:val="es-MX"/>
        </w:rPr>
        <w:t>el contrato</w:t>
      </w:r>
      <w:r w:rsidRPr="004A57C0">
        <w:rPr>
          <w:rFonts w:ascii="Palatino Linotype" w:hAnsi="Palatino Linotype" w:cs="Arial"/>
        </w:rPr>
        <w:t>, nombramiento o formato único de movimientos de personal</w:t>
      </w:r>
      <w:r w:rsidR="00E570DE">
        <w:rPr>
          <w:rFonts w:ascii="Palatino Linotype" w:hAnsi="Palatino Linotype" w:cs="Arial"/>
        </w:rPr>
        <w:t xml:space="preserve"> adscrito a la tesorería. </w:t>
      </w:r>
    </w:p>
    <w:p w14:paraId="7FB6EF83" w14:textId="77777777" w:rsidR="004A57C0" w:rsidRDefault="004A57C0" w:rsidP="00A97EEF">
      <w:pPr>
        <w:spacing w:before="240" w:line="360" w:lineRule="auto"/>
        <w:jc w:val="both"/>
        <w:rPr>
          <w:rFonts w:ascii="Palatino Linotype" w:hAnsi="Palatino Linotype"/>
          <w:sz w:val="24"/>
          <w:szCs w:val="24"/>
        </w:rPr>
      </w:pPr>
    </w:p>
    <w:p w14:paraId="78D394D7" w14:textId="3E73E8CE" w:rsidR="00A97EEF" w:rsidRPr="0051062B" w:rsidRDefault="00A97EEF" w:rsidP="00A97EEF">
      <w:pPr>
        <w:spacing w:before="240" w:line="360" w:lineRule="auto"/>
        <w:jc w:val="both"/>
        <w:rPr>
          <w:rFonts w:ascii="Palatino Linotype" w:hAnsi="Palatino Linotype"/>
          <w:sz w:val="24"/>
          <w:szCs w:val="24"/>
        </w:rPr>
      </w:pPr>
      <w:r w:rsidRPr="00A44FBE">
        <w:rPr>
          <w:rFonts w:ascii="Palatino Linotype" w:hAnsi="Palatino Linotype"/>
          <w:sz w:val="24"/>
          <w:szCs w:val="24"/>
        </w:rPr>
        <w:lastRenderedPageBreak/>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6801F75C" w14:textId="77777777" w:rsidR="00A97EEF" w:rsidRPr="0051062B" w:rsidRDefault="00A97EEF" w:rsidP="00A97EE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E7B7CFC" w14:textId="77777777" w:rsidR="00A97EEF" w:rsidRPr="0051062B" w:rsidRDefault="00A97EEF" w:rsidP="00A97EEF">
      <w:pPr>
        <w:pStyle w:val="Citas"/>
        <w:rPr>
          <w:b/>
        </w:rPr>
      </w:pPr>
      <w:r w:rsidRPr="0051062B">
        <w:rPr>
          <w:b/>
        </w:rPr>
        <w:t xml:space="preserve">Artículo 181. … </w:t>
      </w:r>
    </w:p>
    <w:p w14:paraId="52768CFD" w14:textId="77777777" w:rsidR="00A97EEF" w:rsidRDefault="00A97EEF" w:rsidP="00A97EE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90B9DA7" w14:textId="77777777" w:rsidR="00A97EEF" w:rsidRDefault="00A97EEF" w:rsidP="00A97EEF">
      <w:pPr>
        <w:spacing w:before="240" w:line="360" w:lineRule="auto"/>
        <w:jc w:val="both"/>
        <w:rPr>
          <w:rFonts w:ascii="Palatino Linotype" w:hAnsi="Palatino Linotype" w:cs="Arial"/>
        </w:rPr>
      </w:pPr>
    </w:p>
    <w:p w14:paraId="3DABDE0B" w14:textId="77777777" w:rsidR="00A97EEF" w:rsidRDefault="00A97EEF" w:rsidP="00A97EEF">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787E2D2F" w14:textId="17531604" w:rsidR="00A02818" w:rsidRPr="00E14455" w:rsidRDefault="00A97EEF" w:rsidP="00C3254F">
      <w:pPr>
        <w:pStyle w:val="Citas"/>
        <w:numPr>
          <w:ilvl w:val="0"/>
          <w:numId w:val="7"/>
        </w:numPr>
        <w:ind w:right="0"/>
      </w:pPr>
      <w:bookmarkStart w:id="1" w:name="_Hlk206500229"/>
      <w:r>
        <w:rPr>
          <w:i w:val="0"/>
          <w:iCs/>
          <w:color w:val="000000"/>
          <w:sz w:val="24"/>
          <w:szCs w:val="24"/>
        </w:rPr>
        <w:t xml:space="preserve">El o los documentos donde conste </w:t>
      </w:r>
      <w:r w:rsidR="004A57C0">
        <w:rPr>
          <w:i w:val="0"/>
          <w:iCs/>
          <w:color w:val="000000"/>
          <w:sz w:val="24"/>
          <w:szCs w:val="24"/>
        </w:rPr>
        <w:t>el sueldo bruto y neto mensual</w:t>
      </w:r>
      <w:r w:rsidR="00E14455">
        <w:rPr>
          <w:i w:val="0"/>
          <w:iCs/>
          <w:color w:val="000000"/>
          <w:sz w:val="24"/>
          <w:szCs w:val="24"/>
        </w:rPr>
        <w:t xml:space="preserve"> de los servidores públicos adscritos a la tesorería municipal, </w:t>
      </w:r>
      <w:r w:rsidR="004A57C0">
        <w:rPr>
          <w:i w:val="0"/>
          <w:iCs/>
          <w:color w:val="000000"/>
          <w:sz w:val="24"/>
          <w:szCs w:val="24"/>
        </w:rPr>
        <w:t xml:space="preserve">al veintitrés de junio de dos mil veinticinco. </w:t>
      </w:r>
    </w:p>
    <w:p w14:paraId="46BC060B" w14:textId="190E3387" w:rsidR="00E14455" w:rsidRPr="00E14455" w:rsidRDefault="00E14455" w:rsidP="00C3254F">
      <w:pPr>
        <w:pStyle w:val="Citas"/>
        <w:numPr>
          <w:ilvl w:val="0"/>
          <w:numId w:val="7"/>
        </w:numPr>
        <w:ind w:right="0"/>
      </w:pPr>
      <w:r>
        <w:rPr>
          <w:i w:val="0"/>
          <w:iCs/>
          <w:color w:val="000000"/>
          <w:sz w:val="24"/>
          <w:szCs w:val="24"/>
        </w:rPr>
        <w:t>El o los documentos donde conste el organigrama de la tesorería municipal, al veintitrés de junio de dos mil veinticinco.</w:t>
      </w:r>
    </w:p>
    <w:p w14:paraId="0F4954B5" w14:textId="47F36921" w:rsidR="00E14455" w:rsidRPr="00E14455" w:rsidRDefault="00E14455" w:rsidP="00C3254F">
      <w:pPr>
        <w:pStyle w:val="Citas"/>
        <w:numPr>
          <w:ilvl w:val="0"/>
          <w:numId w:val="7"/>
        </w:numPr>
        <w:ind w:right="0"/>
      </w:pPr>
      <w:r>
        <w:rPr>
          <w:i w:val="0"/>
          <w:iCs/>
          <w:color w:val="000000"/>
          <w:sz w:val="24"/>
          <w:szCs w:val="24"/>
        </w:rPr>
        <w:t>Contrato, nombramiento o formato único de movimientos de personal de los servidores públicos adscritos a la tesorería municipal, al veintitrés de junio de dos mil veinticinco.</w:t>
      </w:r>
    </w:p>
    <w:p w14:paraId="1BE10F41" w14:textId="44C12D6A" w:rsidR="00E14455" w:rsidRPr="00E14455" w:rsidRDefault="00E14455" w:rsidP="00C3254F">
      <w:pPr>
        <w:pStyle w:val="Citas"/>
        <w:numPr>
          <w:ilvl w:val="0"/>
          <w:numId w:val="7"/>
        </w:numPr>
        <w:ind w:right="0"/>
      </w:pPr>
      <w:proofErr w:type="spellStart"/>
      <w:r>
        <w:rPr>
          <w:i w:val="0"/>
          <w:iCs/>
          <w:sz w:val="24"/>
          <w:szCs w:val="24"/>
        </w:rPr>
        <w:lastRenderedPageBreak/>
        <w:t>Curriculum</w:t>
      </w:r>
      <w:proofErr w:type="spellEnd"/>
      <w:r>
        <w:rPr>
          <w:i w:val="0"/>
          <w:iCs/>
          <w:sz w:val="24"/>
          <w:szCs w:val="24"/>
        </w:rPr>
        <w:t xml:space="preserve"> vitae y/o equivalente de los servidores públicos adscritos a la tesorería municipal, al veintitrés de junio de dos mil veinticinco. </w:t>
      </w:r>
    </w:p>
    <w:bookmarkEnd w:id="1"/>
    <w:p w14:paraId="6559E227" w14:textId="77777777" w:rsidR="00E570DE" w:rsidRDefault="00E570DE" w:rsidP="00E570DE">
      <w:pPr>
        <w:spacing w:after="0" w:line="360" w:lineRule="auto"/>
        <w:jc w:val="both"/>
        <w:rPr>
          <w:rFonts w:ascii="Palatino Linotype" w:hAnsi="Palatino Linotype"/>
          <w:iCs/>
          <w:sz w:val="24"/>
          <w:szCs w:val="24"/>
        </w:rPr>
      </w:pPr>
    </w:p>
    <w:p w14:paraId="5B69E0D3" w14:textId="0DD2A6E9" w:rsidR="00EB4095" w:rsidRDefault="005402C2" w:rsidP="00E570DE">
      <w:pPr>
        <w:spacing w:after="0" w:line="360" w:lineRule="auto"/>
        <w:jc w:val="both"/>
        <w:rPr>
          <w:rFonts w:ascii="Palatino Linotype" w:hAnsi="Palatino Linotype"/>
          <w:bCs/>
          <w:sz w:val="24"/>
          <w:szCs w:val="24"/>
        </w:rPr>
      </w:pPr>
      <w:r w:rsidRPr="002D338B">
        <w:rPr>
          <w:rFonts w:ascii="Palatino Linotype" w:hAnsi="Palatino Linotype"/>
          <w:iCs/>
          <w:sz w:val="24"/>
          <w:szCs w:val="24"/>
        </w:rPr>
        <w:t>En virtud de lo anterior</w:t>
      </w:r>
      <w:r w:rsidR="00BE0EBA" w:rsidRPr="002D338B">
        <w:rPr>
          <w:rFonts w:ascii="Palatino Linotype" w:hAnsi="Palatino Linotype"/>
          <w:iCs/>
          <w:sz w:val="24"/>
          <w:szCs w:val="24"/>
        </w:rPr>
        <w:t>,</w:t>
      </w:r>
      <w:r w:rsidR="00BE0EBA" w:rsidRPr="002D338B">
        <w:rPr>
          <w:rFonts w:ascii="Palatino Linotype" w:hAnsi="Palatino Linotype"/>
          <w:sz w:val="24"/>
          <w:szCs w:val="24"/>
        </w:rPr>
        <w:t xml:space="preserve"> con relación a</w:t>
      </w:r>
      <w:r w:rsidR="006D79B4" w:rsidRPr="002D338B">
        <w:rPr>
          <w:rFonts w:ascii="Palatino Linotype" w:hAnsi="Palatino Linotype"/>
          <w:sz w:val="24"/>
          <w:szCs w:val="24"/>
        </w:rPr>
        <w:t xml:space="preserve"> los</w:t>
      </w:r>
      <w:r w:rsidR="00BE0EBA" w:rsidRPr="002D338B">
        <w:rPr>
          <w:rFonts w:ascii="Palatino Linotype" w:hAnsi="Palatino Linotype"/>
          <w:sz w:val="24"/>
          <w:szCs w:val="24"/>
        </w:rPr>
        <w:t xml:space="preserve"> requerimiento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formulado</w:t>
      </w:r>
      <w:r w:rsidR="006D79B4" w:rsidRPr="002D338B">
        <w:rPr>
          <w:rFonts w:ascii="Palatino Linotype" w:hAnsi="Palatino Linotype"/>
          <w:sz w:val="24"/>
          <w:szCs w:val="24"/>
        </w:rPr>
        <w:t>s</w:t>
      </w:r>
      <w:r w:rsidR="00BE0EBA" w:rsidRPr="002D338B">
        <w:rPr>
          <w:rFonts w:ascii="Palatino Linotype" w:hAnsi="Palatino Linotype"/>
          <w:sz w:val="24"/>
          <w:szCs w:val="24"/>
        </w:rPr>
        <w:t xml:space="preserve"> por el particular, </w:t>
      </w:r>
      <w:r w:rsidR="00EB4095" w:rsidRPr="002D338B">
        <w:rPr>
          <w:rFonts w:ascii="Palatino Linotype" w:hAnsi="Palatino Linotype"/>
          <w:bCs/>
          <w:sz w:val="24"/>
          <w:szCs w:val="24"/>
        </w:rPr>
        <w:t xml:space="preserve">resulta oportuno traer a colación </w:t>
      </w:r>
      <w:r w:rsidR="00EB4095">
        <w:rPr>
          <w:rFonts w:ascii="Palatino Linotype" w:hAnsi="Palatino Linotype"/>
          <w:bCs/>
          <w:sz w:val="24"/>
          <w:szCs w:val="24"/>
        </w:rPr>
        <w:t xml:space="preserve">las siguientes imágenes ilustrativas, correspondientes al organigrama del </w:t>
      </w:r>
      <w:r w:rsidR="00EB4095">
        <w:rPr>
          <w:rFonts w:ascii="Palatino Linotype" w:hAnsi="Palatino Linotype"/>
          <w:b/>
          <w:bCs/>
          <w:sz w:val="24"/>
          <w:szCs w:val="24"/>
        </w:rPr>
        <w:t>Sujeto Obligado</w:t>
      </w:r>
      <w:r w:rsidR="00A359D2">
        <w:rPr>
          <w:rFonts w:ascii="Palatino Linotype" w:hAnsi="Palatino Linotype"/>
          <w:b/>
          <w:bCs/>
          <w:sz w:val="24"/>
          <w:szCs w:val="24"/>
        </w:rPr>
        <w:t>:</w:t>
      </w:r>
    </w:p>
    <w:p w14:paraId="09EA61BB" w14:textId="6FD5D5BD" w:rsidR="00EB4095" w:rsidRDefault="00E14455" w:rsidP="00BE0EBA">
      <w:pPr>
        <w:pStyle w:val="Citas"/>
        <w:ind w:left="0" w:right="0"/>
        <w:rPr>
          <w:i w:val="0"/>
          <w:sz w:val="24"/>
          <w:szCs w:val="24"/>
        </w:rPr>
      </w:pPr>
      <w:r w:rsidRPr="00A359D2">
        <w:rPr>
          <w:i w:val="0"/>
          <w:noProof/>
          <w:sz w:val="24"/>
          <w:szCs w:val="24"/>
          <w:lang w:eastAsia="es-MX"/>
        </w:rPr>
        <w:drawing>
          <wp:anchor distT="0" distB="0" distL="114300" distR="114300" simplePos="0" relativeHeight="251789300" behindDoc="0" locked="0" layoutInCell="1" allowOverlap="1" wp14:anchorId="2E815AB8" wp14:editId="29ECDB73">
            <wp:simplePos x="0" y="0"/>
            <wp:positionH relativeFrom="page">
              <wp:align>center</wp:align>
            </wp:positionH>
            <wp:positionV relativeFrom="paragraph">
              <wp:posOffset>902970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9305A93" w14:textId="73309616" w:rsidR="00E14455" w:rsidRDefault="00E14455" w:rsidP="00BE0EBA">
      <w:pPr>
        <w:pStyle w:val="Citas"/>
        <w:ind w:left="0" w:right="0"/>
        <w:rPr>
          <w:i w:val="0"/>
          <w:sz w:val="24"/>
          <w:szCs w:val="24"/>
        </w:rPr>
      </w:pPr>
    </w:p>
    <w:p w14:paraId="3F12B6ED" w14:textId="4445E422" w:rsidR="00E14455" w:rsidRDefault="00E14455" w:rsidP="00BE0EBA">
      <w:pPr>
        <w:pStyle w:val="Citas"/>
        <w:ind w:left="0" w:right="0"/>
        <w:rPr>
          <w:i w:val="0"/>
          <w:sz w:val="24"/>
          <w:szCs w:val="24"/>
        </w:rPr>
      </w:pPr>
    </w:p>
    <w:p w14:paraId="757A1E0B" w14:textId="41345E23" w:rsidR="00E14455" w:rsidRDefault="00E570DE" w:rsidP="00BE0EBA">
      <w:pPr>
        <w:pStyle w:val="Citas"/>
        <w:ind w:left="0" w:right="0"/>
        <w:rPr>
          <w:i w:val="0"/>
          <w:sz w:val="24"/>
          <w:szCs w:val="24"/>
        </w:rPr>
      </w:pPr>
      <w:r>
        <w:rPr>
          <w:i w:val="0"/>
          <w:noProof/>
          <w:sz w:val="24"/>
          <w:szCs w:val="24"/>
          <w:lang w:eastAsia="es-MX"/>
        </w:rPr>
        <w:lastRenderedPageBreak/>
        <mc:AlternateContent>
          <mc:Choice Requires="wps">
            <w:drawing>
              <wp:anchor distT="0" distB="0" distL="114300" distR="114300" simplePos="0" relativeHeight="251802613" behindDoc="0" locked="0" layoutInCell="1" allowOverlap="1" wp14:anchorId="1BFA059B" wp14:editId="2AEAD5B0">
                <wp:simplePos x="0" y="0"/>
                <wp:positionH relativeFrom="column">
                  <wp:posOffset>497205</wp:posOffset>
                </wp:positionH>
                <wp:positionV relativeFrom="paragraph">
                  <wp:posOffset>1905635</wp:posOffset>
                </wp:positionV>
                <wp:extent cx="1543050" cy="274320"/>
                <wp:effectExtent l="0" t="0" r="19050" b="11430"/>
                <wp:wrapNone/>
                <wp:docPr id="1796476078" name="Rectangle 5"/>
                <wp:cNvGraphicFramePr/>
                <a:graphic xmlns:a="http://schemas.openxmlformats.org/drawingml/2006/main">
                  <a:graphicData uri="http://schemas.microsoft.com/office/word/2010/wordprocessingShape">
                    <wps:wsp>
                      <wps:cNvSpPr/>
                      <wps:spPr>
                        <a:xfrm>
                          <a:off x="0" y="0"/>
                          <a:ext cx="1543050" cy="2743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B9A4AB7" id="Rectangle 5" o:spid="_x0000_s1026" style="position:absolute;margin-left:39.15pt;margin-top:150.05pt;width:121.5pt;height:21.6pt;z-index:2518026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" filled="f" strokecolor="#e00" strokeweight="1pt"/>
            </w:pict>
          </mc:Fallback>
        </mc:AlternateContent>
      </w:r>
      <w:r>
        <w:rPr>
          <w:i w:val="0"/>
          <w:noProof/>
          <w:sz w:val="24"/>
          <w:szCs w:val="24"/>
          <w:lang w:eastAsia="es-MX"/>
        </w:rPr>
        <mc:AlternateContent>
          <mc:Choice Requires="wps">
            <w:drawing>
              <wp:anchor distT="0" distB="0" distL="114300" distR="114300" simplePos="0" relativeHeight="251804661" behindDoc="0" locked="0" layoutInCell="1" allowOverlap="1" wp14:anchorId="5B5CF720" wp14:editId="46DBC04E">
                <wp:simplePos x="0" y="0"/>
                <wp:positionH relativeFrom="column">
                  <wp:posOffset>475615</wp:posOffset>
                </wp:positionH>
                <wp:positionV relativeFrom="paragraph">
                  <wp:posOffset>1222375</wp:posOffset>
                </wp:positionV>
                <wp:extent cx="1543050" cy="234950"/>
                <wp:effectExtent l="0" t="0" r="19050" b="12700"/>
                <wp:wrapNone/>
                <wp:docPr id="132307183" name="Rectangle 5"/>
                <wp:cNvGraphicFramePr/>
                <a:graphic xmlns:a="http://schemas.openxmlformats.org/drawingml/2006/main">
                  <a:graphicData uri="http://schemas.microsoft.com/office/word/2010/wordprocessingShape">
                    <wps:wsp>
                      <wps:cNvSpPr/>
                      <wps:spPr>
                        <a:xfrm>
                          <a:off x="0" y="0"/>
                          <a:ext cx="1543050" cy="234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6597706" id="Rectangle 5" o:spid="_x0000_s1026" style="position:absolute;margin-left:37.45pt;margin-top:96.25pt;width:121.5pt;height:18.5pt;z-index:2518046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" filled="f" strokecolor="#e00" strokeweight="1pt"/>
            </w:pict>
          </mc:Fallback>
        </mc:AlternateContent>
      </w:r>
      <w:r w:rsidRPr="00F931FB">
        <w:rPr>
          <w:i w:val="0"/>
          <w:noProof/>
          <w:sz w:val="24"/>
          <w:szCs w:val="24"/>
          <w:lang w:eastAsia="es-MX"/>
        </w:rPr>
        <w:drawing>
          <wp:anchor distT="0" distB="0" distL="114300" distR="114300" simplePos="0" relativeHeight="251798517" behindDoc="0" locked="0" layoutInCell="1" allowOverlap="1" wp14:anchorId="20796220" wp14:editId="5596ADB7">
            <wp:simplePos x="0" y="0"/>
            <wp:positionH relativeFrom="page">
              <wp:align>center</wp:align>
            </wp:positionH>
            <wp:positionV relativeFrom="paragraph">
              <wp:posOffset>64770</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1810D4E3" w:rsidR="00BE0EBA" w:rsidRDefault="00BE0EBA" w:rsidP="00BE0EBA">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A359D2">
        <w:rPr>
          <w:i w:val="0"/>
          <w:sz w:val="24"/>
          <w:szCs w:val="24"/>
        </w:rPr>
        <w:t xml:space="preserve">Dirección general de administración, </w:t>
      </w:r>
      <w:r w:rsidR="00340506">
        <w:rPr>
          <w:i w:val="0"/>
          <w:sz w:val="24"/>
          <w:szCs w:val="24"/>
        </w:rPr>
        <w:t xml:space="preserve">así como la tesorería. </w:t>
      </w:r>
      <w:r w:rsidR="0057263C">
        <w:rPr>
          <w:i w:val="0"/>
          <w:sz w:val="24"/>
          <w:szCs w:val="24"/>
        </w:rPr>
        <w:t xml:space="preserve"> </w:t>
      </w:r>
    </w:p>
    <w:p w14:paraId="17E88107" w14:textId="58D3A22C" w:rsidR="00825298" w:rsidRPr="00825298" w:rsidRDefault="001E5CBD" w:rsidP="00BE0EBA">
      <w:pPr>
        <w:pStyle w:val="Citas"/>
        <w:ind w:left="0" w:right="0"/>
        <w:rPr>
          <w:i w:val="0"/>
          <w:iCs/>
          <w:sz w:val="24"/>
          <w:szCs w:val="24"/>
        </w:rPr>
      </w:pPr>
      <w:r w:rsidRPr="004B53C1">
        <w:rPr>
          <w:i w:val="0"/>
          <w:iCs/>
          <w:sz w:val="24"/>
          <w:szCs w:val="24"/>
        </w:rPr>
        <w:t>En virtud</w:t>
      </w:r>
      <w:r w:rsidR="004B53C1" w:rsidRPr="004B53C1">
        <w:rPr>
          <w:i w:val="0"/>
          <w:iCs/>
          <w:sz w:val="24"/>
          <w:szCs w:val="24"/>
        </w:rPr>
        <w:t xml:space="preserve"> de lo anterior, para delimitar las fronteras conceptuales de las unidades administrativas en cita,</w:t>
      </w:r>
      <w:r w:rsidR="004B53C1">
        <w:rPr>
          <w:i w:val="0"/>
          <w:iCs/>
          <w:sz w:val="24"/>
          <w:szCs w:val="24"/>
        </w:rPr>
        <w:t xml:space="preserve"> </w:t>
      </w:r>
      <w:r w:rsidR="004642A1">
        <w:rPr>
          <w:i w:val="0"/>
          <w:sz w:val="24"/>
          <w:szCs w:val="24"/>
        </w:rPr>
        <w:t xml:space="preserve">se traen a colación los </w:t>
      </w:r>
      <w:r w:rsidR="0057263C">
        <w:rPr>
          <w:i w:val="0"/>
          <w:sz w:val="24"/>
          <w:szCs w:val="24"/>
        </w:rPr>
        <w:t xml:space="preserve">artículos </w:t>
      </w:r>
      <w:r w:rsidR="004A57C0">
        <w:rPr>
          <w:i w:val="0"/>
          <w:sz w:val="24"/>
          <w:szCs w:val="24"/>
        </w:rPr>
        <w:t xml:space="preserve">3.5, </w:t>
      </w:r>
      <w:r w:rsidR="00340506">
        <w:rPr>
          <w:i w:val="0"/>
          <w:sz w:val="24"/>
          <w:szCs w:val="24"/>
        </w:rPr>
        <w:t>3.40</w:t>
      </w:r>
      <w:r w:rsidR="004A57C0">
        <w:rPr>
          <w:i w:val="0"/>
          <w:sz w:val="24"/>
          <w:szCs w:val="24"/>
        </w:rPr>
        <w:t xml:space="preserve">, </w:t>
      </w:r>
      <w:r w:rsidR="00340506">
        <w:rPr>
          <w:i w:val="0"/>
          <w:sz w:val="24"/>
          <w:szCs w:val="24"/>
        </w:rPr>
        <w:t>3.41</w:t>
      </w:r>
      <w:r w:rsidR="004A57C0">
        <w:rPr>
          <w:i w:val="0"/>
          <w:sz w:val="24"/>
          <w:szCs w:val="24"/>
        </w:rPr>
        <w:t xml:space="preserve"> y 3.42 </w:t>
      </w:r>
      <w:r w:rsidR="00340506">
        <w:rPr>
          <w:i w:val="0"/>
          <w:sz w:val="24"/>
          <w:szCs w:val="24"/>
        </w:rPr>
        <w:t>del Código Reglamentario Municipal de Toluca</w:t>
      </w:r>
      <w:r w:rsidR="00825298">
        <w:rPr>
          <w:i w:val="0"/>
          <w:sz w:val="24"/>
          <w:szCs w:val="24"/>
        </w:rPr>
        <w:t xml:space="preserve">; </w:t>
      </w:r>
      <w:r w:rsidR="00340506">
        <w:rPr>
          <w:i w:val="0"/>
          <w:sz w:val="24"/>
          <w:szCs w:val="24"/>
        </w:rPr>
        <w:t>numeral 95 de la Ley Orgánica Municipal del Estado de México</w:t>
      </w:r>
      <w:r w:rsidR="00825298">
        <w:rPr>
          <w:i w:val="0"/>
          <w:sz w:val="24"/>
          <w:szCs w:val="24"/>
        </w:rPr>
        <w:t xml:space="preserve">; así como los </w:t>
      </w:r>
      <w:r w:rsidR="00825298" w:rsidRPr="00825298">
        <w:rPr>
          <w:i w:val="0"/>
          <w:iCs/>
          <w:sz w:val="24"/>
          <w:szCs w:val="24"/>
        </w:rPr>
        <w:t xml:space="preserve">artículos 45, 47, 49 y 220K de la Ley del trabajo de los </w:t>
      </w:r>
      <w:r w:rsidR="00825298" w:rsidRPr="00825298">
        <w:rPr>
          <w:i w:val="0"/>
          <w:iCs/>
          <w:sz w:val="24"/>
          <w:szCs w:val="24"/>
        </w:rPr>
        <w:lastRenderedPageBreak/>
        <w:t>servidores públicos del Estado y municipios</w:t>
      </w:r>
      <w:r w:rsidR="00825298">
        <w:rPr>
          <w:i w:val="0"/>
          <w:iCs/>
          <w:sz w:val="24"/>
          <w:szCs w:val="24"/>
        </w:rPr>
        <w:t xml:space="preserve">, porciones normativas que disponen a la literalidad lo siguiente: </w:t>
      </w:r>
    </w:p>
    <w:p w14:paraId="1670BBCD" w14:textId="57F45511" w:rsidR="00AD2280" w:rsidRPr="00AD2280" w:rsidRDefault="00AD2280" w:rsidP="00AD2280">
      <w:pPr>
        <w:pStyle w:val="Citas"/>
        <w:jc w:val="center"/>
        <w:rPr>
          <w:b/>
          <w:bCs/>
        </w:rPr>
      </w:pPr>
      <w:r w:rsidRPr="00AD2280">
        <w:rPr>
          <w:b/>
          <w:bCs/>
          <w:i w:val="0"/>
          <w:sz w:val="24"/>
          <w:szCs w:val="24"/>
        </w:rPr>
        <w:t>CÓDIGO REGLAMENTARIO MUNICIPAL DE TOLUCA</w:t>
      </w:r>
    </w:p>
    <w:p w14:paraId="1D164406" w14:textId="5911E09F" w:rsidR="004A57C0" w:rsidRDefault="00340506" w:rsidP="004A57C0">
      <w:pPr>
        <w:pStyle w:val="Citas"/>
      </w:pPr>
      <w:r>
        <w:t>“</w:t>
      </w:r>
      <w:r w:rsidR="004A57C0">
        <w:t>Artículo 3.5. Los nombramientos de la Secretaria o Secretario del Ayuntamiento, Contralora o Contralor, Directoras o Directores Generales, serán aprobados por el Ayuntamiento a propuesta del presidente municipal, quien podrá removerlos libremente por causa justificada cuando la remoción no esté determinada en algún otro ordenamiento legal. La o el titular de la Unidad de Asuntos Internos, será nombrado por el presidente municipal.</w:t>
      </w:r>
    </w:p>
    <w:p w14:paraId="2A6B202C" w14:textId="0CF1F501" w:rsidR="004A57C0" w:rsidRDefault="004A57C0" w:rsidP="004A57C0">
      <w:pPr>
        <w:pStyle w:val="Citas"/>
      </w:pPr>
      <w:r>
        <w:t>(…)</w:t>
      </w:r>
    </w:p>
    <w:p w14:paraId="5BE4D411" w14:textId="78818D4A" w:rsidR="00AD2280" w:rsidRDefault="00A359D2" w:rsidP="00AD2280">
      <w:pPr>
        <w:pStyle w:val="Citas"/>
      </w:pPr>
      <w:r w:rsidRPr="00AD2280">
        <w:t xml:space="preserve">Artículo 3.40. La o el titular de la Dirección General de Administración, tiene las siguientes atribuciones: </w:t>
      </w:r>
    </w:p>
    <w:p w14:paraId="29C8535B" w14:textId="18143FEB" w:rsidR="00A359D2" w:rsidRPr="00AD2280" w:rsidRDefault="00A359D2" w:rsidP="00AD2280">
      <w:pPr>
        <w:pStyle w:val="Citas"/>
      </w:pPr>
      <w:r w:rsidRPr="00AD2280">
        <w:t>I. Coordinar y dirigir los sistemas de reclutamiento, selección, contratación e inducción y desarrollo de personal;</w:t>
      </w:r>
    </w:p>
    <w:p w14:paraId="7B2EB62D" w14:textId="77777777" w:rsidR="00AD2280" w:rsidRDefault="0057263C" w:rsidP="00AD2280">
      <w:pPr>
        <w:pStyle w:val="Citas"/>
      </w:pPr>
      <w:r w:rsidRPr="00AD2280">
        <w:rPr>
          <w:b/>
          <w:bCs/>
          <w:u w:val="single"/>
        </w:rPr>
        <w:t>III. Autorizar las altas, bajas, cambios, permisos, licencias, comisiones del personal, entre otras, para su trámite y efectos</w:t>
      </w:r>
      <w:r w:rsidRPr="00AD2280">
        <w:t>;</w:t>
      </w:r>
    </w:p>
    <w:p w14:paraId="3FA2C898" w14:textId="74A864C4" w:rsidR="00A359D2" w:rsidRPr="00340506" w:rsidRDefault="0057263C" w:rsidP="00AD2280">
      <w:pPr>
        <w:pStyle w:val="Citas"/>
        <w:rPr>
          <w:b/>
          <w:bCs/>
          <w:u w:val="single"/>
        </w:rPr>
      </w:pPr>
      <w:r w:rsidRPr="00340506">
        <w:rPr>
          <w:b/>
          <w:bCs/>
          <w:u w:val="single"/>
        </w:rPr>
        <w:t xml:space="preserve"> IV. Autorizar la elaboración y distribución oportuna de la nómina al personal que labora en el Ayuntamiento, apegándose a la normatividad en la materia y al presupuesto autorizado;</w:t>
      </w:r>
    </w:p>
    <w:p w14:paraId="6FA2DD96" w14:textId="48E60AA8" w:rsidR="0057263C" w:rsidRPr="00AD2280" w:rsidRDefault="0057263C" w:rsidP="00AD2280">
      <w:pPr>
        <w:pStyle w:val="Citas"/>
      </w:pPr>
      <w:r w:rsidRPr="00AD2280">
        <w:t>(…)</w:t>
      </w:r>
    </w:p>
    <w:p w14:paraId="229D9ECF" w14:textId="39824C0A" w:rsidR="0057263C" w:rsidRDefault="0057263C" w:rsidP="00AD2280">
      <w:pPr>
        <w:pStyle w:val="Citas"/>
      </w:pPr>
      <w:r w:rsidRPr="00AD2280">
        <w:lastRenderedPageBreak/>
        <w:t>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19ACC829" w14:textId="587469C5" w:rsidR="004A57C0" w:rsidRDefault="004A57C0" w:rsidP="004A57C0">
      <w:pPr>
        <w:pStyle w:val="Citas"/>
      </w:pPr>
      <w:r>
        <w:t>Artículo 3.42. La o el titular de la Dirección de Recursos Humanos cuenta con las siguientes atribuciones:</w:t>
      </w:r>
    </w:p>
    <w:p w14:paraId="61F2D11F" w14:textId="477A5346" w:rsidR="004A57C0" w:rsidRDefault="004A57C0" w:rsidP="004A57C0">
      <w:pPr>
        <w:pStyle w:val="Citas"/>
      </w:pPr>
      <w:r>
        <w:t>I. Elaborar, operar y mejorar los procedimientos administrativos de control para la selección, reclutamiento, contratación, escalafón, capacitación, retiro, sanción, comisión y desarrollo del personal al servicio del Municipio;</w:t>
      </w:r>
    </w:p>
    <w:p w14:paraId="1F6D83B1" w14:textId="413C68A9" w:rsidR="001A7B38" w:rsidRDefault="004A57C0" w:rsidP="00AD2280">
      <w:pPr>
        <w:pStyle w:val="Citas"/>
        <w:rPr>
          <w:b/>
          <w:bCs/>
        </w:rPr>
      </w:pPr>
      <w:r>
        <w:rPr>
          <w:b/>
          <w:bCs/>
        </w:rPr>
        <w:t>(…)</w:t>
      </w:r>
    </w:p>
    <w:p w14:paraId="0A34235B" w14:textId="5B4F20F7" w:rsidR="004A57C0" w:rsidRDefault="004A57C0" w:rsidP="004A57C0">
      <w:pPr>
        <w:pStyle w:val="Citas"/>
        <w:rPr>
          <w:b/>
          <w:bCs/>
        </w:rPr>
      </w:pPr>
      <w:r w:rsidRPr="004A57C0">
        <w:rPr>
          <w:b/>
          <w:bCs/>
        </w:rPr>
        <w:t>VI. Coadyuvar con la Tesorería en la elaboración y distribución oportuna de la nómina</w:t>
      </w:r>
      <w:r>
        <w:rPr>
          <w:b/>
          <w:bCs/>
        </w:rPr>
        <w:t xml:space="preserve"> </w:t>
      </w:r>
      <w:r w:rsidRPr="004A57C0">
        <w:rPr>
          <w:b/>
          <w:bCs/>
        </w:rPr>
        <w:t>para el pago al personal que labora en el Ayuntamiento, apegándose al presupuesto</w:t>
      </w:r>
      <w:r>
        <w:rPr>
          <w:b/>
          <w:bCs/>
        </w:rPr>
        <w:t xml:space="preserve"> </w:t>
      </w:r>
      <w:r w:rsidRPr="004A57C0">
        <w:rPr>
          <w:b/>
          <w:bCs/>
        </w:rPr>
        <w:t>autorizado y aplicar los descuentos procedentes; así como en lo relativo a las</w:t>
      </w:r>
      <w:r>
        <w:rPr>
          <w:b/>
          <w:bCs/>
        </w:rPr>
        <w:t xml:space="preserve"> </w:t>
      </w:r>
      <w:r w:rsidRPr="004A57C0">
        <w:rPr>
          <w:b/>
          <w:bCs/>
        </w:rPr>
        <w:t>determinaciones de los impuestos y la emisión de los CFDI correspondientes una</w:t>
      </w:r>
      <w:r>
        <w:rPr>
          <w:b/>
          <w:bCs/>
        </w:rPr>
        <w:t xml:space="preserve"> </w:t>
      </w:r>
      <w:r w:rsidRPr="004A57C0">
        <w:rPr>
          <w:b/>
          <w:bCs/>
        </w:rPr>
        <w:t>vez realizado el pago</w:t>
      </w:r>
    </w:p>
    <w:p w14:paraId="6009F179" w14:textId="77777777" w:rsidR="004A57C0" w:rsidRPr="00340506" w:rsidRDefault="004A57C0" w:rsidP="004A57C0">
      <w:pPr>
        <w:pStyle w:val="Citas"/>
        <w:rPr>
          <w:b/>
          <w:bCs/>
        </w:rPr>
      </w:pPr>
    </w:p>
    <w:p w14:paraId="4F17A2C1" w14:textId="77777777" w:rsidR="00340506" w:rsidRPr="00A0321B" w:rsidRDefault="00340506" w:rsidP="00340506">
      <w:pPr>
        <w:pStyle w:val="Citas"/>
        <w:jc w:val="center"/>
        <w:rPr>
          <w:b/>
          <w:bCs/>
          <w:i w:val="0"/>
          <w:iCs/>
        </w:rPr>
      </w:pPr>
      <w:r w:rsidRPr="00A0321B">
        <w:rPr>
          <w:b/>
          <w:bCs/>
          <w:i w:val="0"/>
          <w:iCs/>
        </w:rPr>
        <w:t>LEY ORGÁNICA MUNICIPAL DEL ESTADO DE MÉXICO</w:t>
      </w:r>
    </w:p>
    <w:p w14:paraId="58CBAA37" w14:textId="77777777" w:rsidR="00340506" w:rsidRPr="00FE41D4" w:rsidRDefault="00340506" w:rsidP="00340506">
      <w:pPr>
        <w:pStyle w:val="Citas"/>
        <w:rPr>
          <w:b/>
          <w:bCs/>
          <w:u w:val="single"/>
        </w:rPr>
      </w:pPr>
      <w:r w:rsidRPr="00A0321B">
        <w:t>“</w:t>
      </w:r>
      <w:r w:rsidRPr="00FE41D4">
        <w:rPr>
          <w:b/>
          <w:bCs/>
          <w:u w:val="single"/>
        </w:rPr>
        <w:t>Artículo 95.- Son atribuciones del tesorero municipal:</w:t>
      </w:r>
    </w:p>
    <w:p w14:paraId="184DF399" w14:textId="77777777" w:rsidR="00340506" w:rsidRDefault="00340506" w:rsidP="00340506">
      <w:pPr>
        <w:pStyle w:val="Citas"/>
      </w:pPr>
      <w:r>
        <w:t>I. Administrar la hacienda pública municipal, de conformidad con las disposiciones legales aplicables;</w:t>
      </w:r>
    </w:p>
    <w:p w14:paraId="0186F27A" w14:textId="77777777" w:rsidR="00340506" w:rsidRDefault="00340506" w:rsidP="00340506">
      <w:pPr>
        <w:pStyle w:val="Citas"/>
      </w:pPr>
      <w:r>
        <w:lastRenderedPageBreak/>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3110E725" w14:textId="77777777" w:rsidR="00340506" w:rsidRDefault="00340506" w:rsidP="00340506">
      <w:pPr>
        <w:pStyle w:val="Citas"/>
      </w:pPr>
      <w:r>
        <w:t>(…)</w:t>
      </w:r>
    </w:p>
    <w:p w14:paraId="70805274" w14:textId="0B6CB6A1" w:rsidR="00340506" w:rsidRPr="00340506" w:rsidRDefault="00340506" w:rsidP="00340506">
      <w:pPr>
        <w:pStyle w:val="Citas"/>
        <w:rPr>
          <w:b/>
          <w:bCs/>
        </w:rPr>
      </w:pPr>
      <w:r>
        <w:t xml:space="preserve">IV. Llevar los registros contables, financieros y administrativos de los ingresos, egresos, e inventarios;” </w:t>
      </w:r>
      <w:r>
        <w:rPr>
          <w:b/>
          <w:bCs/>
        </w:rPr>
        <w:t>(Sic)</w:t>
      </w:r>
    </w:p>
    <w:p w14:paraId="7896ABD7" w14:textId="77777777" w:rsidR="004A57C0" w:rsidRDefault="004A57C0" w:rsidP="00BE0EBA">
      <w:pPr>
        <w:pStyle w:val="Citas"/>
        <w:ind w:left="0" w:right="0"/>
        <w:rPr>
          <w:i w:val="0"/>
          <w:sz w:val="24"/>
          <w:szCs w:val="24"/>
        </w:rPr>
      </w:pPr>
    </w:p>
    <w:p w14:paraId="242A2EEE" w14:textId="77777777" w:rsidR="00825298" w:rsidRPr="00F31D9E" w:rsidRDefault="00825298" w:rsidP="00825298">
      <w:pPr>
        <w:pStyle w:val="Citas"/>
        <w:rPr>
          <w:b/>
          <w:bCs/>
          <w:i w:val="0"/>
          <w:iCs/>
        </w:rPr>
      </w:pPr>
      <w:r w:rsidRPr="00F31D9E">
        <w:rPr>
          <w:b/>
          <w:bCs/>
          <w:i w:val="0"/>
          <w:iCs/>
        </w:rPr>
        <w:t xml:space="preserve">LEY DEL TRABAJO DE LOS SERVIDORES PÚBLICOS DEL ESTADO Y MUNICIPIOS </w:t>
      </w:r>
    </w:p>
    <w:p w14:paraId="015736C8" w14:textId="77777777" w:rsidR="00825298" w:rsidRDefault="00825298" w:rsidP="00825298">
      <w:pPr>
        <w:pStyle w:val="Citas"/>
      </w:pPr>
      <w:r>
        <w:t>“</w:t>
      </w:r>
      <w:r w:rsidRPr="00F31D9E">
        <w:t>ARTÍCULO 45.-Los servidores públicos prestarán sus servicios mediante nombramiento,</w:t>
      </w:r>
      <w:r>
        <w:t xml:space="preserve"> </w:t>
      </w:r>
      <w:r w:rsidRPr="00F31D9E">
        <w:t>contrato o formato único de Movimientos de Personal expedidos por quien estuviere facultado</w:t>
      </w:r>
      <w:r>
        <w:t xml:space="preserve"> </w:t>
      </w:r>
      <w:r w:rsidRPr="00F31D9E">
        <w:t>legalmente para extenderlo.</w:t>
      </w:r>
    </w:p>
    <w:p w14:paraId="09DD53BA" w14:textId="77777777" w:rsidR="00825298" w:rsidRDefault="00825298" w:rsidP="00825298">
      <w:pPr>
        <w:pStyle w:val="Citas"/>
      </w:pPr>
      <w:r>
        <w:t xml:space="preserve">ARTÍCULO 47. Para ingresar al servicio público se requiere: </w:t>
      </w:r>
    </w:p>
    <w:p w14:paraId="0AE1BB79" w14:textId="77777777" w:rsidR="00825298" w:rsidRDefault="00825298" w:rsidP="00825298">
      <w:pPr>
        <w:pStyle w:val="Citas"/>
      </w:pPr>
      <w:r>
        <w:t xml:space="preserve">I. Presentar una solicitud utilizando la forma oficial que se autorice por la institución pública o dependencia correspondiente; </w:t>
      </w:r>
    </w:p>
    <w:p w14:paraId="10E1D914" w14:textId="77777777" w:rsidR="00825298" w:rsidRDefault="00825298" w:rsidP="00825298">
      <w:pPr>
        <w:pStyle w:val="Citas"/>
      </w:pPr>
      <w:r>
        <w:t>II. Ser de nacionalidad mexicana, con la excepción prevista en el artículo 17 de la presente ley;</w:t>
      </w:r>
    </w:p>
    <w:p w14:paraId="4351945E" w14:textId="77777777" w:rsidR="00825298" w:rsidRDefault="00825298" w:rsidP="00825298">
      <w:pPr>
        <w:pStyle w:val="Citas"/>
      </w:pPr>
      <w:r>
        <w:t xml:space="preserve"> III. Estar en pleno ejercicio de sus derechos civiles y políticos, en su caso; </w:t>
      </w:r>
    </w:p>
    <w:p w14:paraId="2BB5AFE8" w14:textId="77777777" w:rsidR="00825298" w:rsidRDefault="00825298" w:rsidP="00825298">
      <w:pPr>
        <w:pStyle w:val="Citas"/>
      </w:pPr>
      <w:r>
        <w:t xml:space="preserve">IV. Acreditar, cuando proceda, el cumplimiento de la Ley del Servicio Militar Nacional; </w:t>
      </w:r>
    </w:p>
    <w:p w14:paraId="742A19AA" w14:textId="77777777" w:rsidR="00825298" w:rsidRPr="00D67F43" w:rsidRDefault="00825298" w:rsidP="00825298">
      <w:pPr>
        <w:pStyle w:val="Citas"/>
      </w:pPr>
      <w:r w:rsidRPr="00D67F43">
        <w:lastRenderedPageBreak/>
        <w:t xml:space="preserve">V. Derogada; </w:t>
      </w:r>
    </w:p>
    <w:p w14:paraId="0E278C6A" w14:textId="77777777" w:rsidR="00825298" w:rsidRDefault="00825298" w:rsidP="00825298">
      <w:pPr>
        <w:pStyle w:val="Citas"/>
      </w:pPr>
      <w:r>
        <w:t xml:space="preserve">VI. No haber sido separado anteriormente del servicio por las causas previstas en el artículo 93 de la presente ley; </w:t>
      </w:r>
    </w:p>
    <w:p w14:paraId="1E428983" w14:textId="77777777" w:rsidR="00825298" w:rsidRDefault="00825298" w:rsidP="00825298">
      <w:pPr>
        <w:pStyle w:val="Citas"/>
      </w:pPr>
      <w:r>
        <w:t xml:space="preserve">VII. Tener buena salud, lo que se comprobará con los certificados médicos correspondientes, en la forma en que se establezca en cada institución pública; </w:t>
      </w:r>
    </w:p>
    <w:p w14:paraId="79A2399B" w14:textId="77777777" w:rsidR="00825298" w:rsidRDefault="00825298" w:rsidP="00825298">
      <w:pPr>
        <w:pStyle w:val="Citas"/>
      </w:pPr>
      <w:r>
        <w:t xml:space="preserve">VIII. Cumplir con los requisitos que se establezcan para los diferentes puestos; </w:t>
      </w:r>
    </w:p>
    <w:p w14:paraId="5F88F966" w14:textId="77777777" w:rsidR="00825298" w:rsidRDefault="00825298" w:rsidP="00825298">
      <w:pPr>
        <w:pStyle w:val="Citas"/>
      </w:pPr>
      <w:r>
        <w:t xml:space="preserve">IX. Acreditar por medio de los exámenes correspondientes los conocimientos y aptitudes necesarios para el desempeño del puesto; y </w:t>
      </w:r>
    </w:p>
    <w:p w14:paraId="24D4B545" w14:textId="77777777" w:rsidR="00825298" w:rsidRDefault="00825298" w:rsidP="00825298">
      <w:pPr>
        <w:pStyle w:val="Citas"/>
      </w:pPr>
      <w:r>
        <w:t xml:space="preserve">X. No estar inhabilitado para el ejercicio del servicio público. </w:t>
      </w:r>
    </w:p>
    <w:p w14:paraId="0F3ACB2C" w14:textId="77777777" w:rsidR="00825298" w:rsidRDefault="00825298" w:rsidP="00825298">
      <w:pPr>
        <w:pStyle w:val="Citas"/>
      </w:pPr>
      <w:r>
        <w:t>XI. Presentar certificado expedido por la Unidad del Registro de Deudores Alimentarios Morosos en el que conste, si se encuentra inscrito o no en el mismo.</w:t>
      </w:r>
    </w:p>
    <w:p w14:paraId="5D9105D0" w14:textId="77777777" w:rsidR="00825298" w:rsidRDefault="00825298" w:rsidP="00825298">
      <w:pPr>
        <w:pStyle w:val="Citas"/>
      </w:pPr>
      <w:r>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F98EA8F" w14:textId="77777777" w:rsidR="00825298" w:rsidRPr="00F31D9E" w:rsidRDefault="00825298" w:rsidP="00825298">
      <w:pPr>
        <w:pStyle w:val="Citas"/>
      </w:pPr>
      <w:r w:rsidRPr="00F31D9E">
        <w:t>ARTÍCULO 49.- Los nombramientos, contratos o formato único de Movimientos de Personal de</w:t>
      </w:r>
      <w:r>
        <w:t xml:space="preserve"> </w:t>
      </w:r>
      <w:r w:rsidRPr="00F31D9E">
        <w:t>los servidores públicos deberán contener:</w:t>
      </w:r>
    </w:p>
    <w:p w14:paraId="486B3C4D" w14:textId="77777777" w:rsidR="00825298" w:rsidRPr="00F31D9E" w:rsidRDefault="00825298" w:rsidP="00825298">
      <w:pPr>
        <w:pStyle w:val="Citas"/>
      </w:pPr>
      <w:r w:rsidRPr="00F31D9E">
        <w:t>I. Nombre completo del servidor público;</w:t>
      </w:r>
    </w:p>
    <w:p w14:paraId="54F53355" w14:textId="77777777" w:rsidR="00825298" w:rsidRPr="00F31D9E" w:rsidRDefault="00825298" w:rsidP="00825298">
      <w:pPr>
        <w:pStyle w:val="Citas"/>
      </w:pPr>
      <w:r w:rsidRPr="00F31D9E">
        <w:t>II. Cargo para el que es designado, fecha de inicio de sus servicios y lugar de adscripción;</w:t>
      </w:r>
    </w:p>
    <w:p w14:paraId="5DBF2A28" w14:textId="77777777" w:rsidR="00825298" w:rsidRPr="00F31D9E" w:rsidRDefault="00825298" w:rsidP="00825298">
      <w:pPr>
        <w:pStyle w:val="Citas"/>
      </w:pPr>
      <w:r w:rsidRPr="00F31D9E">
        <w:lastRenderedPageBreak/>
        <w:t>III. Carácter del nombramiento, ya sea de servidores públicos generales o de confianza, así</w:t>
      </w:r>
      <w:r>
        <w:t xml:space="preserve"> </w:t>
      </w:r>
      <w:r w:rsidRPr="00F31D9E">
        <w:t>como la temporalidad del mismo;</w:t>
      </w:r>
    </w:p>
    <w:p w14:paraId="09C1180D" w14:textId="77777777" w:rsidR="00825298" w:rsidRPr="00F31D9E" w:rsidRDefault="00825298" w:rsidP="00825298">
      <w:pPr>
        <w:pStyle w:val="Citas"/>
      </w:pPr>
      <w:r w:rsidRPr="00F31D9E">
        <w:t>IV. Remuneración correspondiente al puesto;</w:t>
      </w:r>
    </w:p>
    <w:p w14:paraId="4FC46431" w14:textId="77777777" w:rsidR="00825298" w:rsidRPr="00F31D9E" w:rsidRDefault="00825298" w:rsidP="00825298">
      <w:pPr>
        <w:pStyle w:val="Citas"/>
      </w:pPr>
      <w:r w:rsidRPr="00F31D9E">
        <w:t>V. Jornada</w:t>
      </w:r>
      <w:r>
        <w:t xml:space="preserve"> </w:t>
      </w:r>
      <w:r w:rsidRPr="00F31D9E">
        <w:t>de trabajo;</w:t>
      </w:r>
    </w:p>
    <w:p w14:paraId="3C4491DB" w14:textId="77777777" w:rsidR="00825298" w:rsidRPr="00F31D9E" w:rsidRDefault="00825298" w:rsidP="00825298">
      <w:pPr>
        <w:pStyle w:val="Citas"/>
      </w:pPr>
      <w:r w:rsidRPr="00F31D9E">
        <w:t>VI. Derogada;</w:t>
      </w:r>
    </w:p>
    <w:p w14:paraId="2D9C412C" w14:textId="77777777" w:rsidR="00825298" w:rsidRDefault="00825298" w:rsidP="00825298">
      <w:pPr>
        <w:pStyle w:val="Citas"/>
      </w:pPr>
      <w:r w:rsidRPr="00F31D9E">
        <w:t>VII. Firma del servidor público autorizado para emitir el nombramiento, contrato o formato</w:t>
      </w:r>
      <w:r>
        <w:t xml:space="preserve"> </w:t>
      </w:r>
      <w:r w:rsidRPr="00F31D9E">
        <w:t>único de Movimientos de Personal, así como el fundamento legal de esa atribución</w:t>
      </w:r>
    </w:p>
    <w:p w14:paraId="5E7CFAD1" w14:textId="77777777" w:rsidR="00825298" w:rsidRPr="00F31D9E" w:rsidRDefault="00825298" w:rsidP="00825298">
      <w:pPr>
        <w:pStyle w:val="Citas"/>
      </w:pPr>
      <w:r w:rsidRPr="00F31D9E">
        <w:t>ARTÍCULO 220 K.- La institución o dependencia pública tiene la obligación de conservar y</w:t>
      </w:r>
      <w:r>
        <w:t xml:space="preserve"> </w:t>
      </w:r>
      <w:r w:rsidRPr="00F31D9E">
        <w:t>exhibir en el proceso los documentos que a continuación se precisan:</w:t>
      </w:r>
    </w:p>
    <w:p w14:paraId="7BAF08DA" w14:textId="77777777" w:rsidR="00825298" w:rsidRDefault="00825298" w:rsidP="00825298">
      <w:pPr>
        <w:pStyle w:val="Citas"/>
      </w:pPr>
      <w:r w:rsidRPr="00F31D9E">
        <w:t>I. Contratos, Nombramientos o Formato Único de Movimientos de Personal, cuando no exista</w:t>
      </w:r>
      <w:r>
        <w:t xml:space="preserve"> </w:t>
      </w:r>
      <w:r w:rsidRPr="00F31D9E">
        <w:t>Convenio de condiciones generales de trabajo aplicable</w:t>
      </w:r>
    </w:p>
    <w:p w14:paraId="04F386BD" w14:textId="77777777" w:rsidR="00825298" w:rsidRPr="00F31D9E" w:rsidRDefault="00825298" w:rsidP="00825298">
      <w:pPr>
        <w:pStyle w:val="Citas"/>
        <w:rPr>
          <w:b/>
          <w:bCs/>
        </w:rPr>
      </w:pPr>
      <w:r>
        <w:t xml:space="preserve">(…)” </w:t>
      </w:r>
      <w:r>
        <w:rPr>
          <w:b/>
          <w:bCs/>
        </w:rPr>
        <w:t>(Sic)</w:t>
      </w:r>
    </w:p>
    <w:p w14:paraId="3414860D" w14:textId="77777777" w:rsidR="00825298" w:rsidRDefault="00825298" w:rsidP="00BE0EBA">
      <w:pPr>
        <w:pStyle w:val="Citas"/>
        <w:ind w:left="0" w:right="0"/>
        <w:rPr>
          <w:i w:val="0"/>
          <w:sz w:val="24"/>
          <w:szCs w:val="24"/>
        </w:rPr>
      </w:pPr>
    </w:p>
    <w:p w14:paraId="6887BEC4" w14:textId="015C695B" w:rsidR="00AD2280" w:rsidRDefault="00120642" w:rsidP="00BE0EBA">
      <w:pPr>
        <w:pStyle w:val="Citas"/>
        <w:ind w:left="0" w:right="0"/>
        <w:rPr>
          <w:i w:val="0"/>
          <w:sz w:val="24"/>
          <w:szCs w:val="24"/>
        </w:rPr>
      </w:pPr>
      <w:r>
        <w:rPr>
          <w:i w:val="0"/>
          <w:sz w:val="24"/>
          <w:szCs w:val="24"/>
        </w:rPr>
        <w:t xml:space="preserve">Bajo este contexto, a toda luz se desprende </w:t>
      </w:r>
      <w:r w:rsidR="00340506">
        <w:rPr>
          <w:i w:val="0"/>
          <w:sz w:val="24"/>
          <w:szCs w:val="24"/>
        </w:rPr>
        <w:t xml:space="preserve">que la dirección general de administración tiene competencia en materia de altas, bajas, </w:t>
      </w:r>
      <w:r w:rsidR="00825298">
        <w:rPr>
          <w:i w:val="0"/>
          <w:sz w:val="24"/>
          <w:szCs w:val="24"/>
        </w:rPr>
        <w:t xml:space="preserve">nombramiento y/o equivalentes, </w:t>
      </w:r>
      <w:r w:rsidR="00340506">
        <w:rPr>
          <w:i w:val="0"/>
          <w:sz w:val="24"/>
          <w:szCs w:val="24"/>
        </w:rPr>
        <w:t xml:space="preserve">directorio de servidores públicos, entre otros. En contraste, la tesorería da cuenta respecto de las cuentas del Ayuntamiento, ingresos, egresos, </w:t>
      </w:r>
      <w:r w:rsidR="00825298">
        <w:rPr>
          <w:i w:val="0"/>
          <w:sz w:val="24"/>
          <w:szCs w:val="24"/>
        </w:rPr>
        <w:t xml:space="preserve">nómina, </w:t>
      </w:r>
      <w:r w:rsidR="00340506">
        <w:rPr>
          <w:i w:val="0"/>
          <w:sz w:val="24"/>
          <w:szCs w:val="24"/>
        </w:rPr>
        <w:t xml:space="preserve">así como otros tópicos. </w:t>
      </w:r>
    </w:p>
    <w:p w14:paraId="19478AEC" w14:textId="77777777" w:rsidR="00E570DE" w:rsidRDefault="00E570DE" w:rsidP="00E570D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De manera complementaria, resulta oportuno traer a colación los artículos 24 fracción XII, 92 fracciones II, VIII y XXI de la Ley de Transparencia y Acceso a la Información Pública del Estado de México y Municipios, cuyo contenido literal es el siguiente:</w:t>
      </w:r>
    </w:p>
    <w:p w14:paraId="5FF8200A" w14:textId="77777777" w:rsidR="00E570DE" w:rsidRPr="00FA7CFC" w:rsidRDefault="00E570DE" w:rsidP="00E570DE">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4CF2171A" w14:textId="77777777" w:rsidR="00E570DE" w:rsidRPr="00FA7CFC" w:rsidRDefault="00E570DE" w:rsidP="00E570DE">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E6D2E83" w14:textId="77777777" w:rsidR="00E570DE" w:rsidRDefault="00E570DE" w:rsidP="00E570DE">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D9E5146" w14:textId="77777777" w:rsidR="00E570DE" w:rsidRPr="00C36237" w:rsidRDefault="00E570DE" w:rsidP="00E570DE">
      <w:pPr>
        <w:pStyle w:val="Default"/>
        <w:spacing w:before="240" w:after="160" w:line="360" w:lineRule="auto"/>
        <w:ind w:left="851" w:right="851"/>
        <w:jc w:val="both"/>
        <w:rPr>
          <w:rFonts w:ascii="Palatino Linotype" w:hAnsi="Palatino Linotype"/>
          <w:i/>
          <w:sz w:val="22"/>
          <w:szCs w:val="22"/>
        </w:rPr>
      </w:pPr>
      <w:r w:rsidRPr="00C36237">
        <w:rPr>
          <w:rFonts w:ascii="Palatino Linotype" w:hAnsi="Palatino Linotype"/>
          <w:i/>
          <w:sz w:val="22"/>
          <w:szCs w:val="22"/>
        </w:rPr>
        <w:t>(…)</w:t>
      </w:r>
    </w:p>
    <w:p w14:paraId="7D5780CF" w14:textId="5631F43B" w:rsidR="00E570DE" w:rsidRDefault="00E570DE" w:rsidP="00E570DE">
      <w:pPr>
        <w:pStyle w:val="Citas"/>
      </w:pPr>
      <w:r w:rsidRPr="00E570DE">
        <w:t>II. Su estructura orgánica completa, en un formato que permita vincular cada parte de la estructura,</w:t>
      </w:r>
      <w:r>
        <w:t xml:space="preserve"> </w:t>
      </w:r>
      <w:r w:rsidRPr="00E570DE">
        <w:t>las atribuciones y responsabilidades que le corresponden a cada servidor público, prestador de</w:t>
      </w:r>
      <w:r>
        <w:t xml:space="preserve"> </w:t>
      </w:r>
      <w:r w:rsidRPr="00E570DE">
        <w:t>servicios profesionales o miembro de los sujetos obligados, de conformidad con las disposiciones</w:t>
      </w:r>
      <w:r>
        <w:t xml:space="preserve"> </w:t>
      </w:r>
      <w:r w:rsidRPr="00E570DE">
        <w:t>jurídicas aplicables;</w:t>
      </w:r>
    </w:p>
    <w:p w14:paraId="455EA74F" w14:textId="13897FB4" w:rsidR="00E570DE" w:rsidRDefault="00E570DE" w:rsidP="00E570DE">
      <w:pPr>
        <w:pStyle w:val="Citas"/>
      </w:pPr>
      <w:r>
        <w:t>(…)</w:t>
      </w:r>
    </w:p>
    <w:p w14:paraId="7A3E4222" w14:textId="1883BFB0" w:rsidR="00E570DE" w:rsidRDefault="00E570DE" w:rsidP="00E570DE">
      <w:pPr>
        <w:pStyle w:val="Citas"/>
      </w:pPr>
      <w:r w:rsidRPr="00E570DE">
        <w:t>VIII. La remuneración bruta y neta de todos los servidores públicos de base o de confianza, de todas</w:t>
      </w:r>
      <w:r>
        <w:t xml:space="preserve"> </w:t>
      </w:r>
      <w:r w:rsidRPr="00E570DE">
        <w:t xml:space="preserve">las percepciones, incluyendo sueldos, prestaciones, </w:t>
      </w:r>
      <w:r w:rsidRPr="00E570DE">
        <w:lastRenderedPageBreak/>
        <w:t>gratificaciones, primas, comisiones, dietas, bonos,</w:t>
      </w:r>
      <w:r>
        <w:t xml:space="preserve"> </w:t>
      </w:r>
      <w:r w:rsidRPr="00E570DE">
        <w:t>estímulos, ingresos y sistemas de compensación, señalando la periodicidad de dicha remuneración;</w:t>
      </w:r>
    </w:p>
    <w:p w14:paraId="4BBC7959" w14:textId="7C420645" w:rsidR="00E570DE" w:rsidRDefault="00E570DE" w:rsidP="00E570DE">
      <w:pPr>
        <w:pStyle w:val="Citas"/>
      </w:pPr>
      <w:r>
        <w:t>(…)</w:t>
      </w:r>
    </w:p>
    <w:p w14:paraId="2ED23BA5" w14:textId="484F05FC" w:rsidR="00E570DE" w:rsidRPr="00C36237" w:rsidRDefault="00E570DE" w:rsidP="00E570DE">
      <w:pPr>
        <w:pStyle w:val="Citas"/>
        <w:rPr>
          <w:b/>
          <w:bCs/>
        </w:rPr>
      </w:pPr>
      <w:r w:rsidRPr="00E570DE">
        <w:t>XXI. La información curricular, desde el nivel de jefe de departamento o equivalente, hasta el titular</w:t>
      </w:r>
      <w:r>
        <w:t xml:space="preserve"> </w:t>
      </w:r>
      <w:r w:rsidRPr="00E570DE">
        <w:t>del sujeto obligado, así como, en su caso, las sanciones administrativas de que haya sido objeto;</w:t>
      </w:r>
      <w:r w:rsidR="00C36237">
        <w:t xml:space="preserve">” </w:t>
      </w:r>
      <w:r w:rsidR="00C36237">
        <w:rPr>
          <w:b/>
          <w:bCs/>
        </w:rPr>
        <w:t>(Sic)</w:t>
      </w:r>
    </w:p>
    <w:p w14:paraId="03009524" w14:textId="77777777" w:rsidR="00E570DE" w:rsidRDefault="00E570DE" w:rsidP="00E570DE">
      <w:pPr>
        <w:autoSpaceDE w:val="0"/>
        <w:autoSpaceDN w:val="0"/>
        <w:adjustRightInd w:val="0"/>
        <w:spacing w:before="240" w:line="360" w:lineRule="auto"/>
        <w:jc w:val="both"/>
        <w:rPr>
          <w:rFonts w:ascii="Palatino Linotype" w:hAnsi="Palatino Linotype" w:cs="Arial"/>
          <w:sz w:val="24"/>
          <w:szCs w:val="24"/>
        </w:rPr>
      </w:pPr>
    </w:p>
    <w:p w14:paraId="55CFCB36" w14:textId="147B6DEC" w:rsidR="00E570DE" w:rsidRDefault="00E570DE" w:rsidP="00E570DE">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en el artículo 92</w:t>
      </w:r>
      <w:r>
        <w:rPr>
          <w:rFonts w:ascii="Palatino Linotype" w:eastAsia="Arial Unicode MS" w:hAnsi="Palatino Linotype" w:cs="Arial"/>
          <w:sz w:val="24"/>
          <w:szCs w:val="24"/>
        </w:rPr>
        <w:t xml:space="preserve"> fracciones II, VIII y XXI señala que la información requerida relativa a la estructura orgánica, remuneraciones e información curricular se tratan de una obligación de transparencia común. </w:t>
      </w:r>
      <w:r>
        <w:rPr>
          <w:rFonts w:ascii="Palatino Linotype" w:eastAsia="Times New Roman" w:hAnsi="Palatino Linotype" w:cs="Arial"/>
          <w:sz w:val="24"/>
          <w:szCs w:val="24"/>
        </w:rPr>
        <w:t xml:space="preserve">Esto es, información que por su naturaleza es pública y que los sujetos obligados deben poner a disposición del público de manera permanente y por tanto deberán mantenerla actualizada en los respectivos medios electrónicos, </w:t>
      </w:r>
      <w:r w:rsidRPr="0039245A">
        <w:rPr>
          <w:rFonts w:ascii="Palatino Linotype" w:eastAsia="MS Mincho" w:hAnsi="Palatino Linotype" w:cs="Times New Roman"/>
          <w:sz w:val="24"/>
          <w:szCs w:val="24"/>
        </w:rPr>
        <w:t xml:space="preserve">de acuerdo con sus facultades, atribuciones, funciones u objeto </w:t>
      </w:r>
      <w:r w:rsidRPr="00C82D1D">
        <w:rPr>
          <w:rFonts w:ascii="Palatino Linotype" w:eastAsia="MS Mincho" w:hAnsi="Palatino Linotype" w:cs="Times New Roman"/>
          <w:sz w:val="24"/>
          <w:szCs w:val="24"/>
        </w:rPr>
        <w:t xml:space="preserve">social. </w:t>
      </w:r>
    </w:p>
    <w:p w14:paraId="25E2C63F" w14:textId="77777777" w:rsidR="00E570DE" w:rsidRDefault="00E570DE" w:rsidP="00340506">
      <w:pPr>
        <w:spacing w:line="360" w:lineRule="auto"/>
        <w:jc w:val="both"/>
        <w:rPr>
          <w:rFonts w:ascii="Palatino Linotype" w:hAnsi="Palatino Linotype" w:cs="Arial"/>
          <w:sz w:val="24"/>
          <w:szCs w:val="24"/>
        </w:rPr>
      </w:pPr>
    </w:p>
    <w:p w14:paraId="55CA8142" w14:textId="5E34AD21" w:rsidR="00340506" w:rsidRDefault="00340506" w:rsidP="00340506">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Default="00340506" w:rsidP="00340506">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Default="00340506" w:rsidP="00340506">
      <w:pPr>
        <w:pStyle w:val="Citas"/>
      </w:pPr>
      <w:r>
        <w:t xml:space="preserve">Artículo 19. Se presume que la información debe existir si se refiere a las facultades, competencias y funciones que los ordenamientos jurídicos aplicables otorgan a los sujetos obligados. </w:t>
      </w:r>
    </w:p>
    <w:p w14:paraId="089E10B5" w14:textId="77777777" w:rsidR="00340506" w:rsidRDefault="00340506" w:rsidP="00340506">
      <w:pPr>
        <w:pStyle w:val="Citas"/>
      </w:pPr>
      <w:r>
        <w:t xml:space="preserve">En los casos en que ciertas facultades, competencias o funciones no se hayan ejercido, se debe motivar la respuesta en función de las causas que motiven tal circunstancia. </w:t>
      </w:r>
    </w:p>
    <w:p w14:paraId="32F3B49D" w14:textId="77777777" w:rsidR="00340506" w:rsidRPr="00407C65" w:rsidRDefault="00340506" w:rsidP="00340506">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550F691" w14:textId="77777777" w:rsidR="00E570DE" w:rsidRDefault="00E570DE" w:rsidP="00340506">
      <w:pPr>
        <w:pStyle w:val="Prrafodelista"/>
        <w:autoSpaceDE w:val="0"/>
        <w:autoSpaceDN w:val="0"/>
        <w:adjustRightInd w:val="0"/>
        <w:spacing w:before="240" w:after="160" w:line="360" w:lineRule="auto"/>
        <w:ind w:left="0"/>
        <w:jc w:val="both"/>
        <w:rPr>
          <w:rFonts w:ascii="Palatino Linotype" w:hAnsi="Palatino Linotype"/>
        </w:rPr>
      </w:pPr>
    </w:p>
    <w:p w14:paraId="2F656259" w14:textId="5C467962" w:rsidR="00E570DE" w:rsidRDefault="00340506" w:rsidP="00340506">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Ahora bien, como se mencionó en el antecedente </w:t>
      </w:r>
      <w:r w:rsidR="004168E6">
        <w:rPr>
          <w:rFonts w:ascii="Palatino Linotype" w:hAnsi="Palatino Linotype"/>
        </w:rPr>
        <w:t>segundo</w:t>
      </w:r>
      <w:r>
        <w:rPr>
          <w:rFonts w:ascii="Palatino Linotype" w:hAnsi="Palatino Linotype"/>
        </w:rPr>
        <w:t xml:space="preserve"> </w:t>
      </w:r>
      <w:r>
        <w:rPr>
          <w:rFonts w:ascii="Palatino Linotype" w:hAnsi="Palatino Linotype"/>
          <w:b/>
          <w:bCs/>
        </w:rPr>
        <w:t xml:space="preserve">El Sujeto Obligado </w:t>
      </w:r>
      <w:r>
        <w:rPr>
          <w:rFonts w:ascii="Palatino Linotype" w:hAnsi="Palatino Linotype"/>
        </w:rPr>
        <w:t xml:space="preserve">en fecha </w:t>
      </w:r>
      <w:r w:rsidR="00E570DE">
        <w:rPr>
          <w:rFonts w:ascii="Palatino Linotype" w:hAnsi="Palatino Linotype"/>
          <w:b/>
          <w:bCs/>
        </w:rPr>
        <w:t xml:space="preserve">catorce de julio de dos mil veinticinco, </w:t>
      </w:r>
      <w:r w:rsidR="00E570DE">
        <w:rPr>
          <w:rFonts w:ascii="Palatino Linotype" w:hAnsi="Palatino Linotype"/>
        </w:rPr>
        <w:t>rindió su respuesta a la solicitud de información en los siguientes términos:</w:t>
      </w:r>
    </w:p>
    <w:p w14:paraId="4E4C2DA2" w14:textId="7485AE2E" w:rsidR="00E570DE" w:rsidRPr="00E570DE" w:rsidRDefault="00E570DE" w:rsidP="00C3254F">
      <w:pPr>
        <w:pStyle w:val="Prrafodelista"/>
        <w:numPr>
          <w:ilvl w:val="0"/>
          <w:numId w:val="10"/>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 xml:space="preserve">“ORGANIGRAMA TESORERIA.pdf”: </w:t>
      </w:r>
      <w:r>
        <w:rPr>
          <w:rFonts w:ascii="Palatino Linotype" w:hAnsi="Palatino Linotype"/>
        </w:rPr>
        <w:t xml:space="preserve">Organigrama completo de la tesorería municipal expedido por la unidad de información, planeación, programación y evaluación “UIPPE”, refleja coordinaciones, unidades, delegaciones, direcciones y departamentos. </w:t>
      </w:r>
    </w:p>
    <w:p w14:paraId="700236B1" w14:textId="77777777" w:rsidR="00E570DE" w:rsidRDefault="00E570DE" w:rsidP="00E570DE">
      <w:pPr>
        <w:pStyle w:val="Prrafodelista"/>
        <w:autoSpaceDE w:val="0"/>
        <w:autoSpaceDN w:val="0"/>
        <w:adjustRightInd w:val="0"/>
        <w:spacing w:before="240" w:after="160" w:line="360" w:lineRule="auto"/>
        <w:ind w:left="720"/>
        <w:jc w:val="both"/>
        <w:rPr>
          <w:rFonts w:ascii="Palatino Linotype" w:hAnsi="Palatino Linotype"/>
          <w:b/>
          <w:bCs/>
        </w:rPr>
      </w:pPr>
    </w:p>
    <w:p w14:paraId="02F78974" w14:textId="2EC3A49F" w:rsidR="00E570DE" w:rsidRDefault="00E570DE" w:rsidP="00C3254F">
      <w:pPr>
        <w:pStyle w:val="Prrafodelista"/>
        <w:numPr>
          <w:ilvl w:val="0"/>
          <w:numId w:val="10"/>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lastRenderedPageBreak/>
        <w:t xml:space="preserve">“NOTIF. CIUDADANO S. 3611.pdf”: </w:t>
      </w:r>
      <w:r>
        <w:rPr>
          <w:rFonts w:ascii="Palatino Linotype" w:hAnsi="Palatino Linotype"/>
        </w:rPr>
        <w:t xml:space="preserve">Compila lo siguiente: </w:t>
      </w:r>
    </w:p>
    <w:p w14:paraId="56260140" w14:textId="006351CE" w:rsidR="00E570DE" w:rsidRPr="00E570DE" w:rsidRDefault="00E570DE" w:rsidP="00C3254F">
      <w:pPr>
        <w:pStyle w:val="Prrafodelista"/>
        <w:numPr>
          <w:ilvl w:val="0"/>
          <w:numId w:val="11"/>
        </w:numPr>
        <w:autoSpaceDE w:val="0"/>
        <w:autoSpaceDN w:val="0"/>
        <w:adjustRightInd w:val="0"/>
        <w:spacing w:before="240" w:after="160"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206010000/3986/2025 </w:t>
      </w:r>
      <w:r>
        <w:rPr>
          <w:rFonts w:ascii="Palatino Linotype" w:hAnsi="Palatino Linotype"/>
        </w:rPr>
        <w:t xml:space="preserve">signado por la directora general de administración, dirigido al solicitante, de fecha diez de julio de dos mil veinticinco, refiere adjuntar oficio de respuesta emitido por el servidor público habilitado adscrito a la dirección de recursos humanos. </w:t>
      </w:r>
    </w:p>
    <w:p w14:paraId="22B8AA25" w14:textId="7A5C4887" w:rsidR="00F46CD8" w:rsidRPr="00F46CD8" w:rsidRDefault="00E570DE" w:rsidP="00C3254F">
      <w:pPr>
        <w:pStyle w:val="Prrafodelista"/>
        <w:numPr>
          <w:ilvl w:val="0"/>
          <w:numId w:val="11"/>
        </w:numPr>
        <w:autoSpaceDE w:val="0"/>
        <w:autoSpaceDN w:val="0"/>
        <w:adjustRightInd w:val="0"/>
        <w:spacing w:before="240" w:after="160" w:line="360" w:lineRule="auto"/>
        <w:jc w:val="both"/>
        <w:rPr>
          <w:rFonts w:ascii="Palatino Linotype" w:hAnsi="Palatino Linotype"/>
          <w:b/>
          <w:bCs/>
        </w:rPr>
      </w:pPr>
      <w:r>
        <w:rPr>
          <w:rFonts w:ascii="Palatino Linotype" w:hAnsi="Palatino Linotype"/>
        </w:rPr>
        <w:t xml:space="preserve">Nota informativa 771/2025 signada por la directora de recursos humanos, dirigido a la directora general de administración, de fecha nueve de julio de dos mil veinticinco, </w:t>
      </w:r>
      <w:r w:rsidR="00F46CD8">
        <w:rPr>
          <w:rFonts w:ascii="Palatino Linotype" w:hAnsi="Palatino Linotype"/>
        </w:rPr>
        <w:t xml:space="preserve">en lo medular proporciona dos ligas en formato cerrado para la consulta de la información en el portal </w:t>
      </w:r>
      <w:r w:rsidR="00F46CD8" w:rsidRPr="00F46CD8">
        <w:rPr>
          <w:rFonts w:ascii="Palatino Linotype" w:hAnsi="Palatino Linotype"/>
          <w:b/>
          <w:bCs/>
        </w:rPr>
        <w:t>IPOMEX</w:t>
      </w:r>
      <w:r w:rsidR="00F46CD8">
        <w:rPr>
          <w:rFonts w:ascii="Palatino Linotype" w:hAnsi="Palatino Linotype"/>
        </w:rPr>
        <w:t xml:space="preserve">. </w:t>
      </w:r>
    </w:p>
    <w:p w14:paraId="2FA0718D" w14:textId="77777777" w:rsidR="00F46CD8" w:rsidRPr="00F46CD8" w:rsidRDefault="00F46CD8" w:rsidP="00F46CD8">
      <w:pPr>
        <w:pStyle w:val="Prrafodelista"/>
        <w:autoSpaceDE w:val="0"/>
        <w:autoSpaceDN w:val="0"/>
        <w:adjustRightInd w:val="0"/>
        <w:spacing w:before="240" w:line="360" w:lineRule="auto"/>
        <w:ind w:left="720"/>
        <w:jc w:val="both"/>
        <w:rPr>
          <w:rFonts w:ascii="Palatino Linotype" w:hAnsi="Palatino Linotype"/>
        </w:rPr>
      </w:pPr>
    </w:p>
    <w:p w14:paraId="67A5CCA7" w14:textId="652A4559" w:rsidR="00E570DE" w:rsidRPr="00F46CD8" w:rsidRDefault="00E570DE" w:rsidP="00C3254F">
      <w:pPr>
        <w:pStyle w:val="Prrafodelista"/>
        <w:numPr>
          <w:ilvl w:val="0"/>
          <w:numId w:val="10"/>
        </w:numPr>
        <w:autoSpaceDE w:val="0"/>
        <w:autoSpaceDN w:val="0"/>
        <w:adjustRightInd w:val="0"/>
        <w:spacing w:before="240" w:line="360" w:lineRule="auto"/>
        <w:jc w:val="both"/>
        <w:rPr>
          <w:rFonts w:ascii="Palatino Linotype" w:hAnsi="Palatino Linotype"/>
        </w:rPr>
      </w:pPr>
      <w:r w:rsidRPr="00F46CD8">
        <w:rPr>
          <w:rFonts w:ascii="Palatino Linotype" w:hAnsi="Palatino Linotype"/>
          <w:b/>
          <w:bCs/>
        </w:rPr>
        <w:t xml:space="preserve">“R. 03611. 2025.pdf”: </w:t>
      </w:r>
      <w:r w:rsidR="00F46CD8">
        <w:rPr>
          <w:rFonts w:ascii="Palatino Linotype" w:hAnsi="Palatino Linotype"/>
        </w:rPr>
        <w:t xml:space="preserve">Oficio sin número signado por el titular de la unidad de transparencia, dirigido al solicitante, de fecha catorce de julio de dos mil veinticinco, refiere adjuntar oficio de respuesta emitido por el servidor público habilitado adscrito a la UIPPE. </w:t>
      </w:r>
    </w:p>
    <w:p w14:paraId="052C25D7" w14:textId="3D2BBCD0" w:rsidR="00E570DE" w:rsidRDefault="00E570DE" w:rsidP="00340506">
      <w:pPr>
        <w:pStyle w:val="Prrafodelista"/>
        <w:autoSpaceDE w:val="0"/>
        <w:autoSpaceDN w:val="0"/>
        <w:adjustRightInd w:val="0"/>
        <w:spacing w:before="240" w:after="160" w:line="360" w:lineRule="auto"/>
        <w:ind w:left="0"/>
        <w:jc w:val="both"/>
        <w:rPr>
          <w:rFonts w:ascii="Palatino Linotype" w:hAnsi="Palatino Linotype"/>
        </w:rPr>
      </w:pPr>
    </w:p>
    <w:p w14:paraId="0CC297BB" w14:textId="5DE525F7" w:rsidR="009A38A9" w:rsidRDefault="009A38A9" w:rsidP="009A38A9">
      <w:pPr>
        <w:tabs>
          <w:tab w:val="left" w:pos="709"/>
        </w:tabs>
        <w:spacing w:before="240" w:line="360" w:lineRule="auto"/>
        <w:ind w:right="51"/>
        <w:jc w:val="both"/>
        <w:rPr>
          <w:rFonts w:ascii="Palatino Linotype" w:hAnsi="Palatino Linotype" w:cs="Arial"/>
          <w:sz w:val="24"/>
          <w:szCs w:val="24"/>
        </w:rPr>
      </w:pPr>
      <w:r w:rsidRPr="00B3513A">
        <w:rPr>
          <w:rFonts w:ascii="Palatino Linotype" w:hAnsi="Palatino Linotype" w:cs="Arial"/>
          <w:sz w:val="24"/>
          <w:szCs w:val="24"/>
        </w:rPr>
        <w:t xml:space="preserve">Se desprende entonces que la respuesta rendida por </w:t>
      </w:r>
      <w:r w:rsidRPr="00B3513A">
        <w:rPr>
          <w:rFonts w:ascii="Palatino Linotype" w:hAnsi="Palatino Linotype" w:cs="Arial"/>
          <w:b/>
          <w:bCs/>
          <w:sz w:val="24"/>
          <w:szCs w:val="24"/>
        </w:rPr>
        <w:t xml:space="preserve">El Sujeto Obligado </w:t>
      </w:r>
      <w:r w:rsidRPr="00B3513A">
        <w:rPr>
          <w:rFonts w:ascii="Palatino Linotype" w:hAnsi="Palatino Linotype" w:cs="Arial"/>
          <w:sz w:val="24"/>
          <w:szCs w:val="24"/>
        </w:rPr>
        <w:t xml:space="preserve">emana de </w:t>
      </w:r>
      <w:r w:rsidR="00C36237">
        <w:rPr>
          <w:rFonts w:ascii="Palatino Linotype" w:hAnsi="Palatino Linotype" w:cs="Arial"/>
          <w:sz w:val="24"/>
          <w:szCs w:val="24"/>
        </w:rPr>
        <w:t xml:space="preserve">algunos de </w:t>
      </w:r>
      <w:r w:rsidR="00222FB9">
        <w:rPr>
          <w:rFonts w:ascii="Palatino Linotype" w:hAnsi="Palatino Linotype" w:cs="Arial"/>
          <w:sz w:val="24"/>
          <w:szCs w:val="24"/>
        </w:rPr>
        <w:t>los servidores públicos estimados competentes</w:t>
      </w:r>
      <w:r>
        <w:rPr>
          <w:rFonts w:ascii="Palatino Linotype" w:hAnsi="Palatino Linotype" w:cs="Arial"/>
          <w:sz w:val="24"/>
          <w:szCs w:val="24"/>
        </w:rPr>
        <w:t xml:space="preserve">, se quiere con ello significar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observó </w:t>
      </w:r>
      <w:r w:rsidR="00C36237">
        <w:rPr>
          <w:rFonts w:ascii="Palatino Linotype" w:hAnsi="Palatino Linotype" w:cs="Arial"/>
          <w:sz w:val="24"/>
          <w:szCs w:val="24"/>
        </w:rPr>
        <w:t xml:space="preserve">parcialmente </w:t>
      </w:r>
      <w:r>
        <w:rPr>
          <w:rFonts w:ascii="Palatino Linotype" w:hAnsi="Palatino Linotype" w:cs="Arial"/>
          <w:sz w:val="24"/>
          <w:szCs w:val="24"/>
        </w:rPr>
        <w:t>el numeral 162 de la Ley de Transparencia local, cuyo contenido literal es el siguiente:</w:t>
      </w:r>
    </w:p>
    <w:p w14:paraId="20439C5B" w14:textId="77777777" w:rsidR="009A38A9" w:rsidRPr="00887BE0" w:rsidRDefault="009A38A9" w:rsidP="009A38A9">
      <w:pPr>
        <w:pStyle w:val="Citas"/>
        <w:rPr>
          <w:b/>
          <w:bCs/>
        </w:rPr>
      </w:pPr>
      <w:r>
        <w:t>“</w:t>
      </w:r>
      <w:r w:rsidRPr="00FE103B">
        <w:t xml:space="preserve">Artículo 162. Las unidades de transparencia deberán garantizar que las solicitudes se turnen a todas las Áreas competentes que cuenten con la información o deban </w:t>
      </w:r>
      <w:r w:rsidRPr="00FE103B">
        <w:lastRenderedPageBreak/>
        <w:t>tenerla de acuerdo a sus facultades, competencias y funciones, con el objeto de que realicen una búsqueda exhaustiva y razonable de la información solicitada</w:t>
      </w:r>
      <w:r>
        <w:t xml:space="preserve">.” </w:t>
      </w:r>
      <w:r>
        <w:rPr>
          <w:b/>
          <w:bCs/>
        </w:rPr>
        <w:t>(Sic)</w:t>
      </w:r>
    </w:p>
    <w:p w14:paraId="5CD2041B" w14:textId="77777777" w:rsidR="009A38A9" w:rsidRDefault="009A38A9" w:rsidP="009A38A9">
      <w:pPr>
        <w:autoSpaceDE w:val="0"/>
        <w:autoSpaceDN w:val="0"/>
        <w:adjustRightInd w:val="0"/>
        <w:spacing w:before="240" w:line="360" w:lineRule="auto"/>
        <w:jc w:val="both"/>
        <w:rPr>
          <w:rFonts w:ascii="Palatino Linotype" w:hAnsi="Palatino Linotype"/>
          <w:sz w:val="24"/>
          <w:szCs w:val="24"/>
        </w:rPr>
      </w:pPr>
    </w:p>
    <w:p w14:paraId="78D83073" w14:textId="66BBFC05" w:rsidR="00F46CD8" w:rsidRDefault="00F46CD8" w:rsidP="009A38A9">
      <w:pPr>
        <w:autoSpaceDE w:val="0"/>
        <w:autoSpaceDN w:val="0"/>
        <w:adjustRightInd w:val="0"/>
        <w:spacing w:before="240" w:line="360" w:lineRule="auto"/>
        <w:jc w:val="both"/>
        <w:rPr>
          <w:rFonts w:ascii="Palatino Linotype" w:hAnsi="Palatino Linotype"/>
          <w:sz w:val="24"/>
          <w:szCs w:val="24"/>
        </w:rPr>
      </w:pPr>
      <w:r w:rsidRPr="00F46CD8">
        <w:rPr>
          <w:rFonts w:ascii="Palatino Linotype" w:hAnsi="Palatino Linotype"/>
          <w:b/>
          <w:bCs/>
          <w:noProof/>
          <w:lang w:eastAsia="es-MX"/>
        </w:rPr>
        <w:drawing>
          <wp:anchor distT="0" distB="0" distL="114300" distR="114300" simplePos="0" relativeHeight="251812853" behindDoc="0" locked="0" layoutInCell="1" allowOverlap="1" wp14:anchorId="15988B4B" wp14:editId="093312B8">
            <wp:simplePos x="0" y="0"/>
            <wp:positionH relativeFrom="page">
              <wp:align>center</wp:align>
            </wp:positionH>
            <wp:positionV relativeFrom="paragraph">
              <wp:posOffset>1039495</wp:posOffset>
            </wp:positionV>
            <wp:extent cx="5760720" cy="754380"/>
            <wp:effectExtent l="19050" t="19050" r="11430" b="26670"/>
            <wp:wrapThrough wrapText="bothSides">
              <wp:wrapPolygon edited="0">
                <wp:start x="-71" y="-545"/>
                <wp:lineTo x="-71" y="21818"/>
                <wp:lineTo x="21571" y="21818"/>
                <wp:lineTo x="21571" y="-545"/>
                <wp:lineTo x="-71" y="-545"/>
              </wp:wrapPolygon>
            </wp:wrapThrough>
            <wp:docPr id="715988565"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88565" name="Picture 1" descr="A close up of word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60720" cy="7543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22FB9">
        <w:rPr>
          <w:rFonts w:ascii="Palatino Linotype" w:hAnsi="Palatino Linotype"/>
          <w:sz w:val="24"/>
          <w:szCs w:val="24"/>
        </w:rPr>
        <w:t>Ahora bien</w:t>
      </w:r>
      <w:r w:rsidR="009A38A9" w:rsidRPr="00107418">
        <w:rPr>
          <w:rFonts w:ascii="Palatino Linotype" w:hAnsi="Palatino Linotype"/>
          <w:sz w:val="24"/>
          <w:szCs w:val="24"/>
        </w:rPr>
        <w:t xml:space="preserve">, </w:t>
      </w:r>
      <w:r>
        <w:rPr>
          <w:rFonts w:ascii="Palatino Linotype" w:hAnsi="Palatino Linotype"/>
          <w:sz w:val="24"/>
          <w:szCs w:val="24"/>
        </w:rPr>
        <w:t xml:space="preserve">por cuanto hace a los puntos </w:t>
      </w:r>
      <w:r w:rsidRPr="00C36237">
        <w:rPr>
          <w:rFonts w:ascii="Palatino Linotype" w:hAnsi="Palatino Linotype"/>
          <w:b/>
          <w:bCs/>
          <w:sz w:val="24"/>
          <w:szCs w:val="24"/>
        </w:rPr>
        <w:t>1</w:t>
      </w:r>
      <w:r>
        <w:rPr>
          <w:rFonts w:ascii="Palatino Linotype" w:hAnsi="Palatino Linotype"/>
          <w:sz w:val="24"/>
          <w:szCs w:val="24"/>
        </w:rPr>
        <w:t xml:space="preserve"> </w:t>
      </w:r>
      <w:r>
        <w:rPr>
          <w:rFonts w:ascii="Palatino Linotype" w:hAnsi="Palatino Linotype"/>
          <w:b/>
          <w:bCs/>
          <w:sz w:val="24"/>
          <w:szCs w:val="24"/>
        </w:rPr>
        <w:t xml:space="preserve">y 4, </w:t>
      </w:r>
      <w:r w:rsidR="009A38A9" w:rsidRPr="00107418">
        <w:rPr>
          <w:rFonts w:ascii="Palatino Linotype" w:hAnsi="Palatino Linotype" w:cs="Arial"/>
          <w:noProof/>
          <w:color w:val="000000"/>
          <w:sz w:val="24"/>
          <w:szCs w:val="24"/>
          <w:lang w:val="es-ES" w:eastAsia="es-MX"/>
        </w:rPr>
        <w:t>resulta</w:t>
      </w:r>
      <w:r w:rsidR="009A38A9" w:rsidRPr="005778AD">
        <w:rPr>
          <w:rFonts w:ascii="Palatino Linotype" w:hAnsi="Palatino Linotype" w:cs="Arial"/>
          <w:noProof/>
          <w:color w:val="000000"/>
          <w:sz w:val="24"/>
          <w:lang w:val="es-ES" w:eastAsia="es-MX"/>
        </w:rPr>
        <w:t xml:space="preserve"> obice señalar que </w:t>
      </w:r>
      <w:r w:rsidR="009A38A9">
        <w:rPr>
          <w:rFonts w:ascii="Palatino Linotype" w:hAnsi="Palatino Linotype"/>
          <w:b/>
          <w:bCs/>
          <w:sz w:val="24"/>
          <w:szCs w:val="24"/>
        </w:rPr>
        <w:t xml:space="preserve">El Sujeto Obligado </w:t>
      </w:r>
      <w:r>
        <w:rPr>
          <w:rFonts w:ascii="Palatino Linotype" w:hAnsi="Palatino Linotype"/>
          <w:sz w:val="24"/>
          <w:szCs w:val="24"/>
        </w:rPr>
        <w:t xml:space="preserve">proporcionó dos ligas electrónicas en formato cerrado: </w:t>
      </w:r>
    </w:p>
    <w:p w14:paraId="3FF8041A" w14:textId="3F6978AB" w:rsidR="00F46CD8" w:rsidRPr="00C36237" w:rsidRDefault="00F46CD8" w:rsidP="009A38A9">
      <w:pPr>
        <w:autoSpaceDE w:val="0"/>
        <w:autoSpaceDN w:val="0"/>
        <w:adjustRightInd w:val="0"/>
        <w:spacing w:before="240" w:line="360" w:lineRule="auto"/>
        <w:jc w:val="both"/>
        <w:rPr>
          <w:rFonts w:ascii="Palatino Linotype" w:hAnsi="Palatino Linotype"/>
          <w:sz w:val="24"/>
          <w:szCs w:val="24"/>
        </w:rPr>
      </w:pPr>
    </w:p>
    <w:p w14:paraId="7B7C75B0" w14:textId="77777777" w:rsidR="00F46CD8" w:rsidRPr="001D6E0E" w:rsidRDefault="00F46CD8" w:rsidP="00F46CD8">
      <w:pPr>
        <w:spacing w:line="360" w:lineRule="auto"/>
        <w:jc w:val="both"/>
        <w:rPr>
          <w:rFonts w:ascii="Palatino Linotype" w:hAnsi="Palatino Linotype"/>
          <w:sz w:val="24"/>
          <w:szCs w:val="24"/>
        </w:rPr>
      </w:pPr>
      <w:r>
        <w:rPr>
          <w:rFonts w:ascii="Palatino Linotype" w:hAnsi="Palatino Linotype" w:cs="Arial"/>
          <w:sz w:val="24"/>
          <w:szCs w:val="24"/>
        </w:rPr>
        <w:t xml:space="preserve">En este sentido, debe arribarse a la premisa de que, para tener acceso a la liga proporcionada es necesario capturar la </w:t>
      </w:r>
      <w:r w:rsidRPr="001D6E0E">
        <w:rPr>
          <w:rFonts w:ascii="Palatino Linotype" w:hAnsi="Palatino Linotype"/>
          <w:sz w:val="24"/>
          <w:szCs w:val="24"/>
        </w:rPr>
        <w:t xml:space="preserve">dirección electrónica carácter por carácter, ya que el documento digitalizado a través del cual se proporcionó las ligas no permite editar, modificar o procesar su contenido, asimismo, es imprescindible mencionar que dicha liga electrónica está compuesta por diversos caracteres, así como por mayúsculas y minúsculas, por lo que no es posible distinguir, por ejemplo, entre el carácter “i” mayúscula del carácter “L” minúscula entre otras además que una de ellas se encuentra borrosa. </w:t>
      </w:r>
    </w:p>
    <w:p w14:paraId="70BBD11A" w14:textId="77777777" w:rsidR="00F46CD8" w:rsidRPr="00D70EC5" w:rsidRDefault="00F46CD8" w:rsidP="00F46CD8">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7051CF7F" w14:textId="77777777" w:rsidR="00F46CD8" w:rsidRPr="00D70EC5" w:rsidRDefault="00F46CD8" w:rsidP="00F46CD8">
      <w:pPr>
        <w:spacing w:line="360" w:lineRule="auto"/>
        <w:jc w:val="both"/>
        <w:rPr>
          <w:rFonts w:ascii="Palatino Linotype" w:hAnsi="Palatino Linotype" w:cs="Tahoma"/>
          <w:b/>
          <w:bCs/>
          <w:i/>
          <w:sz w:val="24"/>
          <w:szCs w:val="24"/>
        </w:rPr>
      </w:pPr>
      <w:r w:rsidRPr="00D70EC5">
        <w:rPr>
          <w:rFonts w:ascii="Palatino Linotype" w:eastAsia="Calibri" w:hAnsi="Palatino Linotype" w:cs="Tahoma"/>
          <w:bCs/>
          <w:sz w:val="24"/>
          <w:szCs w:val="24"/>
        </w:rPr>
        <w:lastRenderedPageBreak/>
        <w:t xml:space="preserve">Derivado de lo anterior, se considera necesario precisar que datos abiertos, conforme a la </w:t>
      </w:r>
      <w:r w:rsidRPr="00D70EC5">
        <w:rPr>
          <w:rFonts w:ascii="Palatino Linotype" w:hAnsi="Palatino Linotype" w:cs="Tahoma"/>
          <w:bCs/>
          <w:sz w:val="24"/>
          <w:szCs w:val="24"/>
        </w:rPr>
        <w:t>Carta Internacional de Datos Abiertos</w:t>
      </w:r>
      <w:r w:rsidRPr="00D70EC5">
        <w:rPr>
          <w:rStyle w:val="Refdenotaalpie"/>
          <w:rFonts w:ascii="Palatino Linotype" w:hAnsi="Palatino Linotype" w:cs="Tahoma"/>
          <w:bCs/>
          <w:sz w:val="24"/>
          <w:szCs w:val="24"/>
        </w:rPr>
        <w:footnoteReference w:id="1"/>
      </w:r>
      <w:r w:rsidRPr="00D70EC5">
        <w:rPr>
          <w:rFonts w:ascii="Palatino Linotype" w:eastAsia="Calibri" w:hAnsi="Palatino Linotype" w:cs="Tahoma"/>
          <w:bCs/>
          <w:sz w:val="24"/>
          <w:szCs w:val="24"/>
        </w:rPr>
        <w:t xml:space="preserve"> </w:t>
      </w:r>
      <w:r w:rsidRPr="00D70EC5">
        <w:rPr>
          <w:rFonts w:ascii="Palatino Linotype" w:hAnsi="Palatino Linotype" w:cs="Tahoma"/>
          <w:bCs/>
          <w:i/>
          <w:sz w:val="24"/>
          <w:szCs w:val="24"/>
        </w:rPr>
        <w:t xml:space="preserve">son datos digitales que son puestos a disposición con las características técnicas y jurídicas necesarias para que </w:t>
      </w:r>
      <w:r w:rsidRPr="00D70EC5">
        <w:rPr>
          <w:rFonts w:ascii="Palatino Linotype" w:hAnsi="Palatino Linotype" w:cs="Tahoma"/>
          <w:b/>
          <w:bCs/>
          <w:i/>
          <w:sz w:val="24"/>
          <w:szCs w:val="24"/>
        </w:rPr>
        <w:t xml:space="preserve">puedan ser </w:t>
      </w:r>
      <w:r w:rsidRPr="00D70EC5">
        <w:rPr>
          <w:rFonts w:ascii="Palatino Linotype" w:hAnsi="Palatino Linotype" w:cs="Tahoma"/>
          <w:b/>
          <w:bCs/>
          <w:i/>
          <w:sz w:val="24"/>
          <w:szCs w:val="24"/>
          <w:u w:val="single"/>
        </w:rPr>
        <w:t>usados, reutilizados y redistribuidos</w:t>
      </w:r>
      <w:r w:rsidRPr="00D70EC5">
        <w:rPr>
          <w:rFonts w:ascii="Palatino Linotype" w:hAnsi="Palatino Linotype" w:cs="Tahoma"/>
          <w:b/>
          <w:bCs/>
          <w:i/>
          <w:sz w:val="24"/>
          <w:szCs w:val="24"/>
        </w:rPr>
        <w:t xml:space="preserve"> libremente por cualquier persona, en cualquier momento y en cualquier lugar.</w:t>
      </w:r>
    </w:p>
    <w:p w14:paraId="0D92417D" w14:textId="77777777" w:rsidR="00F46CD8" w:rsidRPr="00D70EC5" w:rsidRDefault="00F46CD8" w:rsidP="00F46CD8">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EE6FFBF" w14:textId="77777777" w:rsidR="00F46CD8" w:rsidRPr="00280F8A" w:rsidRDefault="00F46CD8" w:rsidP="00F46CD8">
      <w:pPr>
        <w:pStyle w:val="Citas"/>
      </w:pPr>
      <w:r w:rsidRPr="00D70EC5">
        <w:rPr>
          <w:b/>
          <w:bCs/>
        </w:rPr>
        <w:t>“ Dato abierto</w:t>
      </w:r>
      <w:r w:rsidRPr="00280F8A">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EEE2A16" w14:textId="77777777" w:rsidR="00F46CD8" w:rsidRPr="00280F8A" w:rsidRDefault="00F46CD8" w:rsidP="00F46CD8">
      <w:pPr>
        <w:pStyle w:val="Citas"/>
      </w:pPr>
      <w:r w:rsidRPr="00D70EC5">
        <w:rPr>
          <w:b/>
          <w:bCs/>
        </w:rPr>
        <w:t>Formato accesible:</w:t>
      </w:r>
      <w:r w:rsidRPr="00280F8A">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1D176D1" w14:textId="77777777" w:rsidR="00F46CD8" w:rsidRDefault="00F46CD8" w:rsidP="00F46CD8">
      <w:pPr>
        <w:spacing w:line="360" w:lineRule="auto"/>
        <w:jc w:val="both"/>
        <w:rPr>
          <w:rFonts w:ascii="Palatino Linotype" w:hAnsi="Palatino Linotype" w:cs="Tahoma"/>
          <w:bCs/>
          <w:sz w:val="24"/>
          <w:szCs w:val="24"/>
        </w:rPr>
      </w:pPr>
    </w:p>
    <w:p w14:paraId="6BC80E2F" w14:textId="77777777" w:rsidR="00F46CD8" w:rsidRDefault="00F46CD8" w:rsidP="00F46CD8">
      <w:pPr>
        <w:spacing w:line="360" w:lineRule="auto"/>
        <w:jc w:val="both"/>
        <w:rPr>
          <w:rFonts w:ascii="Palatino Linotype" w:hAnsi="Palatino Linotype" w:cs="Tahoma"/>
          <w:bCs/>
          <w:sz w:val="24"/>
          <w:szCs w:val="24"/>
        </w:rPr>
      </w:pPr>
      <w:r w:rsidRPr="00D70EC5">
        <w:rPr>
          <w:rFonts w:ascii="Palatino Linotype" w:hAnsi="Palatino Linotype" w:cs="Tahoma"/>
          <w:bCs/>
          <w:sz w:val="24"/>
          <w:szCs w:val="24"/>
        </w:rPr>
        <w:t xml:space="preserve">En este sentido, los datos abiertos cumplen con la finalidad de poder ser utilizados, </w:t>
      </w:r>
      <w:r w:rsidRPr="00D70EC5">
        <w:rPr>
          <w:rFonts w:ascii="Palatino Linotype" w:hAnsi="Palatino Linotype" w:cs="Tahoma"/>
          <w:b/>
          <w:bCs/>
          <w:sz w:val="24"/>
          <w:szCs w:val="24"/>
          <w:u w:val="single"/>
        </w:rPr>
        <w:t xml:space="preserve">reutilizados </w:t>
      </w:r>
      <w:r w:rsidRPr="00D70EC5">
        <w:rPr>
          <w:rFonts w:ascii="Palatino Linotype" w:hAnsi="Palatino Linotype" w:cs="Tahoma"/>
          <w:bCs/>
          <w:sz w:val="24"/>
          <w:szCs w:val="24"/>
        </w:rPr>
        <w:t xml:space="preserve">y redistribuidos; y que el formato de datos abiertos, </w:t>
      </w:r>
      <w:r w:rsidRPr="00D70EC5">
        <w:rPr>
          <w:rFonts w:ascii="Palatino Linotype" w:hAnsi="Palatino Linotype" w:cs="Tahoma"/>
          <w:b/>
          <w:bCs/>
          <w:sz w:val="24"/>
          <w:szCs w:val="24"/>
        </w:rPr>
        <w:t xml:space="preserve">debe permitir la </w:t>
      </w:r>
      <w:r w:rsidRPr="00D70EC5">
        <w:rPr>
          <w:rFonts w:ascii="Palatino Linotype" w:hAnsi="Palatino Linotype" w:cs="Tahoma"/>
          <w:b/>
          <w:bCs/>
          <w:sz w:val="24"/>
          <w:szCs w:val="24"/>
        </w:rPr>
        <w:lastRenderedPageBreak/>
        <w:t>aplicación y reproducción</w:t>
      </w:r>
      <w:r w:rsidRPr="00D70EC5">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w:t>
      </w:r>
      <w:r>
        <w:rPr>
          <w:rFonts w:ascii="Palatino Linotype" w:hAnsi="Palatino Linotype" w:cs="Tahoma"/>
          <w:bCs/>
          <w:sz w:val="24"/>
          <w:szCs w:val="24"/>
        </w:rPr>
        <w:t>los</w:t>
      </w:r>
      <w:r w:rsidRPr="00D70EC5">
        <w:rPr>
          <w:rFonts w:ascii="Palatino Linotype" w:hAnsi="Palatino Linotype" w:cs="Tahoma"/>
          <w:bCs/>
          <w:sz w:val="24"/>
          <w:szCs w:val="24"/>
        </w:rPr>
        <w:t xml:space="preserve"> documento</w:t>
      </w:r>
      <w:r>
        <w:rPr>
          <w:rFonts w:ascii="Palatino Linotype" w:hAnsi="Palatino Linotype" w:cs="Tahoma"/>
          <w:bCs/>
          <w:sz w:val="24"/>
          <w:szCs w:val="24"/>
        </w:rPr>
        <w:t>s</w:t>
      </w:r>
      <w:r w:rsidRPr="00D70EC5">
        <w:rPr>
          <w:rFonts w:ascii="Palatino Linotype" w:hAnsi="Palatino Linotype" w:cs="Tahoma"/>
          <w:bCs/>
          <w:sz w:val="24"/>
          <w:szCs w:val="24"/>
        </w:rPr>
        <w:t xml:space="preserve"> entregado</w:t>
      </w:r>
      <w:r>
        <w:rPr>
          <w:rFonts w:ascii="Palatino Linotype" w:hAnsi="Palatino Linotype" w:cs="Tahoma"/>
          <w:bCs/>
          <w:sz w:val="24"/>
          <w:szCs w:val="24"/>
        </w:rPr>
        <w:t>s</w:t>
      </w:r>
      <w:r w:rsidRPr="00D70EC5">
        <w:rPr>
          <w:rFonts w:ascii="Palatino Linotype" w:hAnsi="Palatino Linotype" w:cs="Tahoma"/>
          <w:bCs/>
          <w:sz w:val="24"/>
          <w:szCs w:val="24"/>
        </w:rPr>
        <w:t xml:space="preserve"> en formato </w:t>
      </w:r>
      <w:proofErr w:type="spellStart"/>
      <w:r w:rsidRPr="00D70EC5">
        <w:rPr>
          <w:rFonts w:ascii="Palatino Linotype" w:hAnsi="Palatino Linotype" w:cs="Tahoma"/>
          <w:bCs/>
          <w:sz w:val="24"/>
          <w:szCs w:val="24"/>
        </w:rPr>
        <w:t>pdf</w:t>
      </w:r>
      <w:proofErr w:type="spellEnd"/>
      <w:r w:rsidRPr="00D70EC5">
        <w:rPr>
          <w:rFonts w:ascii="Palatino Linotype" w:hAnsi="Palatino Linotype" w:cs="Tahoma"/>
          <w:bCs/>
          <w:sz w:val="24"/>
          <w:szCs w:val="24"/>
        </w:rPr>
        <w:t>, no permite</w:t>
      </w:r>
      <w:r>
        <w:rPr>
          <w:rFonts w:ascii="Palatino Linotype" w:hAnsi="Palatino Linotype" w:cs="Tahoma"/>
          <w:bCs/>
          <w:sz w:val="24"/>
          <w:szCs w:val="24"/>
        </w:rPr>
        <w:t>n</w:t>
      </w:r>
      <w:r w:rsidRPr="00D70EC5">
        <w:rPr>
          <w:rFonts w:ascii="Palatino Linotype" w:hAnsi="Palatino Linotype" w:cs="Tahoma"/>
          <w:bCs/>
          <w:sz w:val="24"/>
          <w:szCs w:val="24"/>
        </w:rPr>
        <w:t xml:space="preserve"> seleccionar texto, copiarlo y pegarlo; por tanto, tampoco permite que la información pueda ser utilizada, reutilizada o redistribuida</w:t>
      </w:r>
      <w:r>
        <w:rPr>
          <w:rFonts w:ascii="Palatino Linotype" w:hAnsi="Palatino Linotype" w:cs="Tahoma"/>
          <w:bCs/>
          <w:sz w:val="24"/>
          <w:szCs w:val="24"/>
        </w:rPr>
        <w:t>, a tal grado que no resulta posible verificar el contenido de todas las ligas electrónicas, incluso si se intentan reproducir manualmente.</w:t>
      </w:r>
    </w:p>
    <w:p w14:paraId="74D50E3E" w14:textId="328D9679" w:rsidR="00F46CD8" w:rsidRDefault="00F46CD8" w:rsidP="00F46CD8">
      <w:pPr>
        <w:spacing w:after="0" w:line="360" w:lineRule="auto"/>
        <w:jc w:val="both"/>
        <w:rPr>
          <w:rFonts w:ascii="Palatino Linotype" w:hAnsi="Palatino Linotype" w:cs="Arial"/>
          <w:color w:val="000000"/>
          <w:sz w:val="24"/>
          <w:szCs w:val="24"/>
          <w:lang w:val="es-ES_tradnl"/>
        </w:rPr>
      </w:pPr>
      <w:r w:rsidRPr="004C4E08">
        <w:rPr>
          <w:rFonts w:ascii="Palatino Linotype" w:hAnsi="Palatino Linotype" w:cs="Arial"/>
          <w:color w:val="000000"/>
          <w:sz w:val="24"/>
          <w:szCs w:val="24"/>
          <w:lang w:val="es-ES_tradnl"/>
        </w:rPr>
        <w:t xml:space="preserve">En función de lo planteado, </w:t>
      </w:r>
      <w:r>
        <w:rPr>
          <w:rFonts w:ascii="Palatino Linotype" w:hAnsi="Palatino Linotype" w:cs="Arial"/>
          <w:color w:val="000000"/>
          <w:sz w:val="24"/>
          <w:szCs w:val="24"/>
          <w:lang w:val="es-ES_tradnl"/>
        </w:rPr>
        <w:t xml:space="preserve">con relación a los puntos </w:t>
      </w:r>
      <w:r w:rsidRPr="00F46CD8">
        <w:rPr>
          <w:rFonts w:ascii="Palatino Linotype" w:hAnsi="Palatino Linotype" w:cs="Arial"/>
          <w:b/>
          <w:bCs/>
          <w:color w:val="000000"/>
          <w:sz w:val="24"/>
          <w:szCs w:val="24"/>
          <w:lang w:val="es-ES_tradnl"/>
        </w:rPr>
        <w:t>1 y 4,</w:t>
      </w:r>
      <w:r>
        <w:rPr>
          <w:rFonts w:ascii="Palatino Linotype" w:hAnsi="Palatino Linotype" w:cs="Arial"/>
          <w:color w:val="000000"/>
          <w:sz w:val="24"/>
          <w:szCs w:val="24"/>
          <w:lang w:val="es-ES_tradnl"/>
        </w:rPr>
        <w:t xml:space="preserve"> </w:t>
      </w:r>
      <w:r w:rsidRPr="004C4E08">
        <w:rPr>
          <w:rFonts w:ascii="Palatino Linotype" w:hAnsi="Palatino Linotype" w:cs="Arial"/>
          <w:color w:val="000000"/>
          <w:sz w:val="24"/>
          <w:szCs w:val="24"/>
          <w:lang w:val="es-ES_tradnl"/>
        </w:rPr>
        <w:t xml:space="preserve">resulta óbice señalar que la orientación proporcionada no puede tenerse por válida para satisfacer el derecho de acceso a la información pública, en virtud de que </w:t>
      </w:r>
      <w:r>
        <w:rPr>
          <w:rFonts w:ascii="Palatino Linotype" w:hAnsi="Palatino Linotype" w:cs="Arial"/>
          <w:color w:val="000000"/>
          <w:sz w:val="24"/>
          <w:szCs w:val="24"/>
          <w:lang w:val="es-ES_tradnl"/>
        </w:rPr>
        <w:t xml:space="preserve">las ligas electrónicas requieren que el particular capture la liga electrónica e incluso realice una búsqueda entre todos los registros disponibles. </w:t>
      </w:r>
      <w:r w:rsidR="00C36237" w:rsidRPr="00C36237">
        <w:rPr>
          <w:rFonts w:ascii="Palatino Linotype" w:hAnsi="Palatino Linotype" w:cs="Arial"/>
          <w:b/>
          <w:bCs/>
          <w:color w:val="000000"/>
          <w:sz w:val="24"/>
          <w:szCs w:val="24"/>
          <w:u w:val="single"/>
          <w:lang w:val="es-ES_tradnl"/>
        </w:rPr>
        <w:t>Adicionalmente, las ligas electrónicas remiten a la página principal del portal IPOMEX.</w:t>
      </w:r>
      <w:r w:rsidR="00C36237">
        <w:rPr>
          <w:rFonts w:ascii="Palatino Linotype" w:hAnsi="Palatino Linotype" w:cs="Arial"/>
          <w:color w:val="000000"/>
          <w:sz w:val="24"/>
          <w:szCs w:val="24"/>
          <w:lang w:val="es-ES_tradnl"/>
        </w:rPr>
        <w:t xml:space="preserve"> </w:t>
      </w:r>
      <w:r w:rsidR="00C36237">
        <w:rPr>
          <w:rFonts w:ascii="Palatino Linotype" w:hAnsi="Palatino Linotype" w:cs="Arial"/>
          <w:color w:val="000000"/>
          <w:sz w:val="24"/>
          <w:szCs w:val="24"/>
          <w:lang w:val="es-ES_tradnl"/>
        </w:rPr>
        <w:tab/>
      </w:r>
    </w:p>
    <w:p w14:paraId="2C905364" w14:textId="77777777" w:rsidR="00F46CD8" w:rsidRPr="004C4E08" w:rsidRDefault="00F46CD8" w:rsidP="00F46CD8">
      <w:pPr>
        <w:spacing w:after="0" w:line="360" w:lineRule="auto"/>
        <w:jc w:val="both"/>
        <w:rPr>
          <w:rFonts w:ascii="Palatino Linotype" w:hAnsi="Palatino Linotype" w:cs="Arial"/>
          <w:color w:val="000000"/>
          <w:sz w:val="24"/>
          <w:szCs w:val="24"/>
          <w:lang w:val="es-ES_tradnl"/>
        </w:rPr>
      </w:pPr>
    </w:p>
    <w:p w14:paraId="37DBE857" w14:textId="77777777" w:rsidR="00F46CD8" w:rsidRPr="004C4E08" w:rsidRDefault="00F46CD8" w:rsidP="00F46CD8">
      <w:pPr>
        <w:spacing w:after="0" w:line="360" w:lineRule="auto"/>
        <w:jc w:val="both"/>
        <w:rPr>
          <w:rFonts w:ascii="Palatino Linotype" w:hAnsi="Palatino Linotype" w:cs="Arial"/>
          <w:color w:val="000000"/>
          <w:sz w:val="24"/>
          <w:szCs w:val="24"/>
          <w:lang w:val="es-ES_tradnl"/>
        </w:rPr>
      </w:pPr>
      <w:r w:rsidRPr="004C4E08">
        <w:rPr>
          <w:rFonts w:ascii="Palatino Linotype" w:hAnsi="Palatino Linotype" w:cs="Arial"/>
          <w:color w:val="000000"/>
          <w:sz w:val="24"/>
          <w:szCs w:val="24"/>
          <w:lang w:val="es-ES_tradnl"/>
        </w:rPr>
        <w:t xml:space="preserve">Visto de esta forma, la respuesta primigenia rendida por </w:t>
      </w:r>
      <w:r w:rsidRPr="004C4E08">
        <w:rPr>
          <w:rFonts w:ascii="Palatino Linotype" w:hAnsi="Palatino Linotype" w:cs="Arial"/>
          <w:b/>
          <w:bCs/>
          <w:color w:val="000000"/>
          <w:sz w:val="24"/>
          <w:szCs w:val="24"/>
          <w:lang w:val="es-ES_tradnl"/>
        </w:rPr>
        <w:t xml:space="preserve">El Sujeto Obligado </w:t>
      </w:r>
      <w:r w:rsidRPr="004C4E08">
        <w:rPr>
          <w:rFonts w:ascii="Palatino Linotype" w:hAnsi="Palatino Linotype" w:cs="Arial"/>
          <w:color w:val="000000"/>
          <w:sz w:val="24"/>
          <w:szCs w:val="24"/>
          <w:lang w:val="es-ES_tradnl"/>
        </w:rPr>
        <w:t>inobserva el numeral 161 de la Ley de Transparencia y Acceso a la Información Pública del Estado de México y Municipios, cuyo contenido dispone a la literalidad lo siguiente:</w:t>
      </w:r>
    </w:p>
    <w:p w14:paraId="0A6D1040" w14:textId="77777777" w:rsidR="00F46CD8" w:rsidRPr="00402D3F" w:rsidRDefault="00F46CD8" w:rsidP="00F46CD8">
      <w:pPr>
        <w:pStyle w:val="Citas"/>
        <w:rPr>
          <w:b/>
          <w:bCs/>
          <w:lang w:val="es-ES_tradnl"/>
        </w:rPr>
      </w:pPr>
      <w:r w:rsidRPr="004C4E08">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4C4E08">
        <w:rPr>
          <w:b/>
          <w:bCs/>
          <w:u w:val="single"/>
        </w:rPr>
        <w:t xml:space="preserve">La fuente deberá ser precisa y concreta y no debe </w:t>
      </w:r>
      <w:r w:rsidRPr="004C4E08">
        <w:rPr>
          <w:b/>
          <w:bCs/>
          <w:u w:val="single"/>
        </w:rPr>
        <w:lastRenderedPageBreak/>
        <w:t>implicar que el solicitante realice una búsqueda en toda la información que se encuentre disponible.”</w:t>
      </w:r>
      <w:r w:rsidRPr="004C4E08">
        <w:t xml:space="preserve"> </w:t>
      </w:r>
      <w:r w:rsidRPr="004C4E08">
        <w:rPr>
          <w:b/>
          <w:bCs/>
        </w:rPr>
        <w:t>(Sic)</w:t>
      </w:r>
    </w:p>
    <w:p w14:paraId="515ED002" w14:textId="77777777" w:rsidR="00F46CD8" w:rsidRDefault="00F46CD8" w:rsidP="009A38A9">
      <w:pPr>
        <w:autoSpaceDE w:val="0"/>
        <w:autoSpaceDN w:val="0"/>
        <w:adjustRightInd w:val="0"/>
        <w:spacing w:before="240" w:line="360" w:lineRule="auto"/>
        <w:jc w:val="both"/>
        <w:rPr>
          <w:rFonts w:ascii="Palatino Linotype" w:hAnsi="Palatino Linotype"/>
          <w:sz w:val="24"/>
          <w:szCs w:val="24"/>
        </w:rPr>
      </w:pPr>
    </w:p>
    <w:p w14:paraId="64CDC58F" w14:textId="258396D5" w:rsidR="00F46CD8" w:rsidRPr="00F46CD8" w:rsidRDefault="00F46CD8" w:rsidP="009A38A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Ahora bien, respecto del punto identificado con el numeral </w:t>
      </w:r>
      <w:r>
        <w:rPr>
          <w:rFonts w:ascii="Palatino Linotype" w:hAnsi="Palatino Linotype"/>
          <w:b/>
          <w:bCs/>
          <w:sz w:val="24"/>
          <w:szCs w:val="24"/>
        </w:rPr>
        <w:t xml:space="preserve">2, </w:t>
      </w:r>
      <w:r>
        <w:rPr>
          <w:rFonts w:ascii="Palatino Linotype" w:hAnsi="Palatino Linotype"/>
          <w:sz w:val="24"/>
          <w:szCs w:val="24"/>
        </w:rPr>
        <w:t xml:space="preserve">se destaca que </w:t>
      </w:r>
      <w:r>
        <w:rPr>
          <w:rFonts w:ascii="Palatino Linotype" w:hAnsi="Palatino Linotype"/>
          <w:b/>
          <w:bCs/>
          <w:sz w:val="24"/>
          <w:szCs w:val="24"/>
        </w:rPr>
        <w:t xml:space="preserve">El Sujeto Obligado </w:t>
      </w:r>
      <w:r>
        <w:rPr>
          <w:rFonts w:ascii="Palatino Linotype" w:hAnsi="Palatino Linotype"/>
          <w:sz w:val="24"/>
          <w:szCs w:val="24"/>
        </w:rPr>
        <w:t xml:space="preserve">remitió el organigrama completo y actualizado 2025-2027 de la tesorería municipal, dicho en otras palabras, atendió el requerimiento en cita en estricta observancia al numeral 166 de la Ley de Transparencia y Acceso a la Información Pública del Estado de México y Municipios, cuyo contenido dispone a la literalidad lo siguiente: </w:t>
      </w:r>
    </w:p>
    <w:p w14:paraId="19B07D78" w14:textId="06174464" w:rsidR="00F46CD8" w:rsidRPr="00F46CD8" w:rsidRDefault="00F46CD8" w:rsidP="00F46CD8">
      <w:pPr>
        <w:pStyle w:val="Citas"/>
        <w:rPr>
          <w:b/>
          <w:bCs/>
        </w:rPr>
      </w:pPr>
      <w:r>
        <w:t>“</w:t>
      </w:r>
      <w:r w:rsidRPr="00F46CD8">
        <w:t>Artículo 166. La obligación de acceso a la información pública se tendrá por cumplida cuando el</w:t>
      </w:r>
      <w:r>
        <w:t xml:space="preserve"> </w:t>
      </w:r>
      <w:r w:rsidRPr="00F46CD8">
        <w:t>solicitante tenga a su disposición la información requerida, o cuando realice la consulta de la misma en</w:t>
      </w:r>
      <w:r>
        <w:t xml:space="preserve"> </w:t>
      </w:r>
      <w:r w:rsidRPr="00F46CD8">
        <w:t>el lugar en el que ésta se localice.</w:t>
      </w:r>
      <w:r>
        <w:t xml:space="preserve">” </w:t>
      </w:r>
      <w:r>
        <w:rPr>
          <w:b/>
          <w:bCs/>
        </w:rPr>
        <w:t>(Sic)</w:t>
      </w:r>
    </w:p>
    <w:p w14:paraId="4037E31F" w14:textId="77777777" w:rsidR="00F46CD8" w:rsidRDefault="00F46CD8" w:rsidP="009A38A9">
      <w:pPr>
        <w:autoSpaceDE w:val="0"/>
        <w:autoSpaceDN w:val="0"/>
        <w:adjustRightInd w:val="0"/>
        <w:spacing w:before="240" w:line="360" w:lineRule="auto"/>
        <w:jc w:val="both"/>
        <w:rPr>
          <w:rFonts w:ascii="Palatino Linotype" w:hAnsi="Palatino Linotype"/>
          <w:sz w:val="24"/>
          <w:szCs w:val="24"/>
        </w:rPr>
      </w:pPr>
    </w:p>
    <w:p w14:paraId="4098B3EC" w14:textId="29D5D056" w:rsidR="00F46CD8" w:rsidRDefault="00F46CD8" w:rsidP="009A38A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Por cuanto hace al punto </w:t>
      </w:r>
      <w:r>
        <w:rPr>
          <w:rFonts w:ascii="Palatino Linotype" w:hAnsi="Palatino Linotype"/>
          <w:b/>
          <w:bCs/>
          <w:sz w:val="24"/>
          <w:szCs w:val="24"/>
        </w:rPr>
        <w:t xml:space="preserve">3 </w:t>
      </w:r>
      <w:r w:rsidR="000F5C19">
        <w:rPr>
          <w:rFonts w:ascii="Palatino Linotype" w:hAnsi="Palatino Linotype"/>
          <w:sz w:val="24"/>
          <w:szCs w:val="24"/>
        </w:rPr>
        <w:t xml:space="preserve">(nombramientos y/o equivalentes) </w:t>
      </w:r>
      <w:r>
        <w:rPr>
          <w:rFonts w:ascii="Palatino Linotype" w:hAnsi="Palatino Linotype"/>
          <w:sz w:val="24"/>
          <w:szCs w:val="24"/>
        </w:rPr>
        <w:t>no se tiene por atendido, bajo la premisa de que dicho requerimiento no formó parte de la respuesta</w:t>
      </w:r>
      <w:r w:rsidR="00825298">
        <w:rPr>
          <w:rFonts w:ascii="Palatino Linotype" w:hAnsi="Palatino Linotype"/>
          <w:sz w:val="24"/>
          <w:szCs w:val="24"/>
        </w:rPr>
        <w:t xml:space="preserve">. </w:t>
      </w:r>
    </w:p>
    <w:p w14:paraId="475ECB06" w14:textId="4996FDA2" w:rsidR="00F46CD8" w:rsidRPr="00825298" w:rsidRDefault="00825298" w:rsidP="009A38A9">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En suma, la respuesta únicamente es susceptible de atender el requerimiento identificado con el numeral </w:t>
      </w:r>
      <w:r>
        <w:rPr>
          <w:rFonts w:ascii="Palatino Linotype" w:hAnsi="Palatino Linotype"/>
          <w:b/>
          <w:bCs/>
          <w:sz w:val="24"/>
          <w:szCs w:val="24"/>
        </w:rPr>
        <w:t xml:space="preserve">2 -dos- </w:t>
      </w:r>
      <w:r>
        <w:rPr>
          <w:rFonts w:ascii="Palatino Linotype" w:hAnsi="Palatino Linotype"/>
          <w:sz w:val="24"/>
          <w:szCs w:val="24"/>
        </w:rPr>
        <w:t xml:space="preserve">(organigrama de la tesorería municipal). </w:t>
      </w:r>
    </w:p>
    <w:p w14:paraId="55E0A757" w14:textId="19788E33" w:rsidR="00060371" w:rsidRDefault="0017022E" w:rsidP="00586CD3">
      <w:pPr>
        <w:spacing w:before="240" w:line="360" w:lineRule="auto"/>
        <w:jc w:val="both"/>
        <w:rPr>
          <w:rFonts w:ascii="Palatino Linotype" w:hAnsi="Palatino Linotype"/>
          <w:sz w:val="24"/>
          <w:szCs w:val="24"/>
        </w:rPr>
      </w:pPr>
      <w:r w:rsidRPr="00E41CCA">
        <w:rPr>
          <w:rFonts w:ascii="Palatino Linotype" w:hAnsi="Palatino Linotype"/>
          <w:sz w:val="24"/>
          <w:szCs w:val="24"/>
        </w:rPr>
        <w:t>Inconforme con la</w:t>
      </w:r>
      <w:r w:rsidR="009A38A9">
        <w:rPr>
          <w:rFonts w:ascii="Palatino Linotype" w:hAnsi="Palatino Linotype"/>
          <w:sz w:val="24"/>
          <w:szCs w:val="24"/>
        </w:rPr>
        <w:t xml:space="preserve"> respuesta rendida por </w:t>
      </w:r>
      <w:r w:rsidR="009A38A9">
        <w:rPr>
          <w:rFonts w:ascii="Palatino Linotype" w:hAnsi="Palatino Linotype"/>
          <w:b/>
          <w:bCs/>
          <w:sz w:val="24"/>
          <w:szCs w:val="24"/>
        </w:rPr>
        <w:t xml:space="preserve">El Sujeto Obligado, El Recurrente </w:t>
      </w:r>
      <w:r w:rsidR="009A38A9">
        <w:rPr>
          <w:rFonts w:ascii="Palatino Linotype" w:hAnsi="Palatino Linotype"/>
          <w:sz w:val="24"/>
          <w:szCs w:val="24"/>
        </w:rPr>
        <w:t xml:space="preserve">interpuso recurso de revisión en fecha </w:t>
      </w:r>
      <w:r w:rsidR="00825298">
        <w:rPr>
          <w:rFonts w:ascii="Palatino Linotype" w:hAnsi="Palatino Linotype"/>
          <w:b/>
          <w:bCs/>
          <w:sz w:val="24"/>
          <w:szCs w:val="24"/>
        </w:rPr>
        <w:t xml:space="preserve">veintidós de julio, </w:t>
      </w:r>
      <w:r w:rsidR="00825298">
        <w:rPr>
          <w:rFonts w:ascii="Palatino Linotype" w:hAnsi="Palatino Linotype"/>
          <w:sz w:val="24"/>
          <w:szCs w:val="24"/>
        </w:rPr>
        <w:t xml:space="preserve">admitiéndose el </w:t>
      </w:r>
      <w:r w:rsidR="00825298">
        <w:rPr>
          <w:rFonts w:ascii="Palatino Linotype" w:hAnsi="Palatino Linotype"/>
          <w:b/>
          <w:bCs/>
          <w:sz w:val="24"/>
          <w:szCs w:val="24"/>
        </w:rPr>
        <w:t xml:space="preserve">cinco de agosto de dos mil veinticinco. </w:t>
      </w:r>
      <w:r w:rsidR="00060371">
        <w:rPr>
          <w:rFonts w:ascii="Palatino Linotype" w:hAnsi="Palatino Linotype"/>
          <w:sz w:val="24"/>
          <w:szCs w:val="24"/>
        </w:rPr>
        <w:t xml:space="preserve">Señalando </w:t>
      </w:r>
      <w:r w:rsidR="00825298">
        <w:rPr>
          <w:rFonts w:ascii="Palatino Linotype" w:hAnsi="Palatino Linotype"/>
          <w:sz w:val="24"/>
          <w:szCs w:val="24"/>
        </w:rPr>
        <w:t xml:space="preserve">las siguientes manifestaciones: </w:t>
      </w:r>
      <w:r w:rsidR="00060371">
        <w:rPr>
          <w:rFonts w:ascii="Palatino Linotype" w:hAnsi="Palatino Linotype"/>
          <w:sz w:val="24"/>
          <w:szCs w:val="24"/>
        </w:rPr>
        <w:t xml:space="preserve"> </w:t>
      </w:r>
    </w:p>
    <w:p w14:paraId="2FAE598C" w14:textId="77777777" w:rsidR="00825298" w:rsidRDefault="00825298" w:rsidP="0082529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EAE0D13" w14:textId="77777777" w:rsidR="00825298" w:rsidRPr="00F10B2F" w:rsidRDefault="00825298" w:rsidP="00825298">
      <w:pPr>
        <w:pStyle w:val="Citas"/>
        <w:rPr>
          <w:b/>
          <w:bCs/>
        </w:rPr>
      </w:pPr>
      <w:r w:rsidRPr="001940FE">
        <w:lastRenderedPageBreak/>
        <w:t>“</w:t>
      </w:r>
      <w:r w:rsidRPr="00853804">
        <w:t xml:space="preserve">La respuesta la información </w:t>
      </w:r>
      <w:proofErr w:type="spellStart"/>
      <w:r w:rsidRPr="00853804">
        <w:t>esta</w:t>
      </w:r>
      <w:proofErr w:type="spellEnd"/>
      <w:r w:rsidRPr="00853804">
        <w:t xml:space="preserve"> incompleta no atiende mi solicitud de acuerdo a lo solicitado</w:t>
      </w:r>
      <w:r w:rsidRPr="001940FE">
        <w:t>”</w:t>
      </w:r>
      <w:r w:rsidRPr="00F10B2F">
        <w:t xml:space="preserve"> </w:t>
      </w:r>
      <w:r>
        <w:rPr>
          <w:b/>
          <w:bCs/>
        </w:rPr>
        <w:t>(Sic)</w:t>
      </w:r>
    </w:p>
    <w:p w14:paraId="06387B1B" w14:textId="77777777" w:rsidR="00825298" w:rsidRDefault="00825298" w:rsidP="0082529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FD76F2F" w14:textId="77777777" w:rsidR="00825298" w:rsidRPr="00F34E34" w:rsidRDefault="00825298" w:rsidP="00825298">
      <w:pPr>
        <w:pStyle w:val="Citas"/>
      </w:pPr>
      <w:r w:rsidRPr="001940FE">
        <w:t>“</w:t>
      </w:r>
      <w:r w:rsidRPr="00853804">
        <w:t xml:space="preserve">La respuesta la información </w:t>
      </w:r>
      <w:proofErr w:type="spellStart"/>
      <w:r w:rsidRPr="00853804">
        <w:t>esta</w:t>
      </w:r>
      <w:proofErr w:type="spellEnd"/>
      <w:r w:rsidRPr="00853804">
        <w:t xml:space="preserve"> incompleta no atiende mi solicitud de acuerdo a lo solicitado</w:t>
      </w:r>
      <w:r>
        <w:t>”</w:t>
      </w:r>
      <w:r w:rsidRPr="00F34E34">
        <w:t xml:space="preserve"> (Sic)</w:t>
      </w:r>
    </w:p>
    <w:p w14:paraId="45BC2869" w14:textId="77777777" w:rsidR="00060371" w:rsidRDefault="00060371" w:rsidP="008B74DC">
      <w:pPr>
        <w:pStyle w:val="Citas"/>
        <w:ind w:left="0" w:right="0"/>
        <w:rPr>
          <w:i w:val="0"/>
          <w:sz w:val="24"/>
          <w:szCs w:val="24"/>
        </w:rPr>
      </w:pPr>
    </w:p>
    <w:p w14:paraId="2D8B8B7E" w14:textId="77777777" w:rsidR="00A7555C" w:rsidRDefault="0017022E" w:rsidP="008B74DC">
      <w:pPr>
        <w:spacing w:line="360" w:lineRule="auto"/>
        <w:contextualSpacing/>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Ahora bien, como fue mencionado en el antecedente </w:t>
      </w:r>
      <w:r w:rsidR="00DA3E66">
        <w:rPr>
          <w:rFonts w:ascii="Palatino Linotype" w:hAnsi="Palatino Linotype" w:cs="Arial"/>
          <w:noProof/>
          <w:color w:val="000000"/>
          <w:sz w:val="24"/>
          <w:lang w:eastAsia="es-MX"/>
        </w:rPr>
        <w:t>quinto</w:t>
      </w:r>
      <w:r>
        <w:rPr>
          <w:rFonts w:ascii="Palatino Linotype" w:hAnsi="Palatino Linotype" w:cs="Arial"/>
          <w:noProof/>
          <w:color w:val="000000"/>
          <w:sz w:val="24"/>
          <w:lang w:eastAsia="es-MX"/>
        </w:rPr>
        <w:t xml:space="preserve">, </w:t>
      </w:r>
      <w:r>
        <w:rPr>
          <w:rFonts w:ascii="Palatino Linotype" w:hAnsi="Palatino Linotype" w:cs="Arial"/>
          <w:b/>
          <w:noProof/>
          <w:color w:val="000000"/>
          <w:sz w:val="24"/>
          <w:lang w:eastAsia="es-MX"/>
        </w:rPr>
        <w:t xml:space="preserve">El Sujeto Obligado </w:t>
      </w:r>
      <w:r w:rsidR="00A7555C">
        <w:rPr>
          <w:rFonts w:ascii="Palatino Linotype" w:hAnsi="Palatino Linotype" w:cs="Arial"/>
          <w:noProof/>
          <w:color w:val="000000"/>
          <w:sz w:val="24"/>
          <w:lang w:eastAsia="es-MX"/>
        </w:rPr>
        <w:t>rindió su informe justificado en los siguientes términos:</w:t>
      </w:r>
    </w:p>
    <w:p w14:paraId="3CEC47AC" w14:textId="51B0DEE8" w:rsidR="00825298" w:rsidRDefault="00A7555C" w:rsidP="00C3254F">
      <w:pPr>
        <w:pStyle w:val="Prrafodelista"/>
        <w:numPr>
          <w:ilvl w:val="0"/>
          <w:numId w:val="8"/>
        </w:numPr>
        <w:spacing w:line="360" w:lineRule="auto"/>
        <w:contextualSpacing/>
        <w:jc w:val="both"/>
        <w:rPr>
          <w:rFonts w:ascii="Palatino Linotype" w:hAnsi="Palatino Linotype" w:cs="Arial"/>
          <w:noProof/>
          <w:color w:val="000000"/>
          <w:lang w:eastAsia="es-MX"/>
        </w:rPr>
      </w:pPr>
      <w:r>
        <w:rPr>
          <w:rFonts w:ascii="Palatino Linotype" w:hAnsi="Palatino Linotype" w:cs="Arial"/>
          <w:b/>
          <w:bCs/>
          <w:noProof/>
          <w:color w:val="000000"/>
          <w:lang w:eastAsia="es-MX"/>
        </w:rPr>
        <w:t>“</w:t>
      </w:r>
      <w:r w:rsidR="00825298">
        <w:rPr>
          <w:rFonts w:ascii="Palatino Linotype" w:hAnsi="Palatino Linotype" w:cs="Arial"/>
          <w:b/>
          <w:bCs/>
          <w:noProof/>
          <w:color w:val="000000"/>
          <w:lang w:eastAsia="es-MX"/>
        </w:rPr>
        <w:t xml:space="preserve">Ratificación 8990 2025.pdf”: </w:t>
      </w:r>
      <w:r w:rsidR="00825298">
        <w:rPr>
          <w:rFonts w:ascii="Palatino Linotype" w:hAnsi="Palatino Linotype" w:cs="Arial"/>
          <w:noProof/>
          <w:color w:val="000000"/>
          <w:lang w:eastAsia="es-MX"/>
        </w:rPr>
        <w:t xml:space="preserve">Oficio sin número emitido por el titular de la unidad de transparencia, dirigido al comisionado ponente, de fecha catorce de agosto de dos mil veinticinco, refiere que los servidores públicos habilitados estimados competentes ratificaron su respuesta. </w:t>
      </w:r>
    </w:p>
    <w:p w14:paraId="6A4220A4" w14:textId="77777777" w:rsidR="00825298" w:rsidRPr="00825298" w:rsidRDefault="00825298" w:rsidP="00825298">
      <w:pPr>
        <w:pStyle w:val="Prrafodelista"/>
        <w:spacing w:line="360" w:lineRule="auto"/>
        <w:ind w:left="780"/>
        <w:contextualSpacing/>
        <w:jc w:val="both"/>
        <w:rPr>
          <w:rFonts w:ascii="Palatino Linotype" w:hAnsi="Palatino Linotype" w:cs="Arial"/>
          <w:noProof/>
          <w:color w:val="000000"/>
          <w:lang w:eastAsia="es-MX"/>
        </w:rPr>
      </w:pPr>
    </w:p>
    <w:p w14:paraId="283DF940" w14:textId="6294B2DF" w:rsidR="00DA3E66" w:rsidRDefault="00825298" w:rsidP="00C3254F">
      <w:pPr>
        <w:pStyle w:val="Prrafodelista"/>
        <w:numPr>
          <w:ilvl w:val="0"/>
          <w:numId w:val="8"/>
        </w:numPr>
        <w:spacing w:line="360" w:lineRule="auto"/>
        <w:contextualSpacing/>
        <w:jc w:val="both"/>
        <w:rPr>
          <w:rFonts w:ascii="Palatino Linotype" w:hAnsi="Palatino Linotype" w:cs="Arial"/>
          <w:noProof/>
          <w:color w:val="000000"/>
          <w:lang w:eastAsia="es-MX"/>
        </w:rPr>
      </w:pPr>
      <w:r>
        <w:rPr>
          <w:rFonts w:ascii="Palatino Linotype" w:hAnsi="Palatino Linotype" w:cs="Arial"/>
          <w:b/>
          <w:bCs/>
          <w:noProof/>
          <w:color w:val="000000"/>
          <w:lang w:eastAsia="es-MX"/>
        </w:rPr>
        <w:t xml:space="preserve">“ANEXOS 8990-2025.pdf”: </w:t>
      </w:r>
      <w:r w:rsidR="00060371">
        <w:rPr>
          <w:rFonts w:ascii="Palatino Linotype" w:hAnsi="Palatino Linotype" w:cs="Arial"/>
          <w:noProof/>
          <w:color w:val="000000"/>
          <w:lang w:eastAsia="es-MX"/>
        </w:rPr>
        <w:t xml:space="preserve"> </w:t>
      </w:r>
      <w:r>
        <w:rPr>
          <w:rFonts w:ascii="Palatino Linotype" w:hAnsi="Palatino Linotype" w:cs="Arial"/>
          <w:noProof/>
          <w:color w:val="000000"/>
          <w:lang w:eastAsia="es-MX"/>
        </w:rPr>
        <w:t>Compila lo siguiente:</w:t>
      </w:r>
    </w:p>
    <w:p w14:paraId="1E672C16" w14:textId="77777777" w:rsidR="00825298" w:rsidRPr="00825298" w:rsidRDefault="00825298" w:rsidP="00825298">
      <w:pPr>
        <w:pStyle w:val="Prrafodelista"/>
        <w:rPr>
          <w:rFonts w:ascii="Palatino Linotype" w:hAnsi="Palatino Linotype" w:cs="Arial"/>
          <w:noProof/>
          <w:color w:val="000000"/>
          <w:lang w:eastAsia="es-MX"/>
        </w:rPr>
      </w:pPr>
    </w:p>
    <w:p w14:paraId="59F81C6B" w14:textId="5A0B4AF1" w:rsidR="00825298" w:rsidRDefault="00825298" w:rsidP="00C3254F">
      <w:pPr>
        <w:pStyle w:val="Prrafodelista"/>
        <w:numPr>
          <w:ilvl w:val="0"/>
          <w:numId w:val="11"/>
        </w:numPr>
        <w:spacing w:line="360" w:lineRule="auto"/>
        <w:contextualSpacing/>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Oficio número </w:t>
      </w:r>
      <w:r>
        <w:rPr>
          <w:rFonts w:ascii="Palatino Linotype" w:hAnsi="Palatino Linotype" w:cs="Arial"/>
          <w:b/>
          <w:bCs/>
          <w:noProof/>
          <w:color w:val="000000"/>
          <w:lang w:eastAsia="es-MX"/>
        </w:rPr>
        <w:t xml:space="preserve">200060100/666/2025 </w:t>
      </w:r>
      <w:r>
        <w:rPr>
          <w:rFonts w:ascii="Palatino Linotype" w:hAnsi="Palatino Linotype" w:cs="Arial"/>
          <w:noProof/>
          <w:color w:val="000000"/>
          <w:lang w:eastAsia="es-MX"/>
        </w:rPr>
        <w:t>signado por el titular de la unidad de información, planeación, programación y evaluación “UIPPE”, dirigido al titular de la unidad de transparencia, de fecha once de agosto de dos mil veinticinco, ratifica la respuesta inicial.</w:t>
      </w:r>
    </w:p>
    <w:p w14:paraId="7F17429C" w14:textId="3816A33A" w:rsidR="00825298" w:rsidRDefault="00825298" w:rsidP="00C3254F">
      <w:pPr>
        <w:pStyle w:val="Prrafodelista"/>
        <w:numPr>
          <w:ilvl w:val="0"/>
          <w:numId w:val="11"/>
        </w:numPr>
        <w:spacing w:line="360" w:lineRule="auto"/>
        <w:contextualSpacing/>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Oficio número </w:t>
      </w:r>
      <w:r>
        <w:rPr>
          <w:rFonts w:ascii="Palatino Linotype" w:hAnsi="Palatino Linotype" w:cs="Arial"/>
          <w:b/>
          <w:bCs/>
          <w:noProof/>
          <w:color w:val="000000"/>
          <w:lang w:eastAsia="es-MX"/>
        </w:rPr>
        <w:t xml:space="preserve">206010000/4599/2025 </w:t>
      </w:r>
      <w:r>
        <w:rPr>
          <w:rFonts w:ascii="Palatino Linotype" w:hAnsi="Palatino Linotype" w:cs="Arial"/>
          <w:noProof/>
          <w:color w:val="000000"/>
          <w:lang w:eastAsia="es-MX"/>
        </w:rPr>
        <w:t xml:space="preserve">signado por la directora general de administración, dirigido al titular de la unidad de transparencia, de fecha once de agosto de dos mil veinticinco, ratifica la respuesta primigenia. </w:t>
      </w:r>
    </w:p>
    <w:p w14:paraId="362BFCE8" w14:textId="77777777" w:rsidR="00060371" w:rsidRDefault="00060371" w:rsidP="00DA3E66">
      <w:pPr>
        <w:spacing w:line="360" w:lineRule="auto"/>
        <w:contextualSpacing/>
        <w:jc w:val="both"/>
        <w:rPr>
          <w:rFonts w:ascii="Palatino Linotype" w:hAnsi="Palatino Linotype"/>
          <w:sz w:val="24"/>
          <w:szCs w:val="24"/>
        </w:rPr>
      </w:pPr>
    </w:p>
    <w:p w14:paraId="6B7412B8" w14:textId="3F99D614" w:rsidR="00DA3E66" w:rsidRDefault="00DA3E66" w:rsidP="00DA3E66">
      <w:pPr>
        <w:spacing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En suma, se arriba a la conclusión de </w:t>
      </w:r>
      <w:r w:rsidRPr="00DA3E66">
        <w:rPr>
          <w:rFonts w:ascii="Palatino Linotype" w:hAnsi="Palatino Linotype"/>
          <w:sz w:val="24"/>
          <w:szCs w:val="24"/>
        </w:rPr>
        <w:t xml:space="preserve">que </w:t>
      </w:r>
      <w:r w:rsidR="00A7555C">
        <w:rPr>
          <w:rFonts w:ascii="Palatino Linotype" w:hAnsi="Palatino Linotype"/>
          <w:sz w:val="24"/>
          <w:szCs w:val="24"/>
        </w:rPr>
        <w:t xml:space="preserve">no se subsanó la violación al derecho de acceso a la información pública, </w:t>
      </w:r>
      <w:r w:rsidRPr="00DA3E66">
        <w:rPr>
          <w:rFonts w:ascii="Palatino Linotype" w:hAnsi="Palatino Linotype"/>
          <w:sz w:val="24"/>
          <w:szCs w:val="24"/>
        </w:rPr>
        <w:t>resulta</w:t>
      </w:r>
      <w:r w:rsidR="00A7555C">
        <w:rPr>
          <w:rFonts w:ascii="Palatino Linotype" w:hAnsi="Palatino Linotype"/>
          <w:sz w:val="24"/>
          <w:szCs w:val="24"/>
        </w:rPr>
        <w:t>ndo</w:t>
      </w:r>
      <w:r w:rsidRPr="00DA3E66">
        <w:rPr>
          <w:rFonts w:ascii="Palatino Linotype" w:hAnsi="Palatino Linotype"/>
          <w:sz w:val="24"/>
          <w:szCs w:val="24"/>
        </w:rPr>
        <w:t xml:space="preserve"> procedente ordenar una búsqueda exhaustiva y razonable, a efecto de hacer entrega </w:t>
      </w:r>
      <w:r w:rsidR="007D7586">
        <w:rPr>
          <w:rFonts w:ascii="Palatino Linotype" w:hAnsi="Palatino Linotype"/>
          <w:sz w:val="24"/>
          <w:szCs w:val="24"/>
        </w:rPr>
        <w:t>respecto de la siguiente información:</w:t>
      </w:r>
    </w:p>
    <w:p w14:paraId="06548ED9" w14:textId="77777777" w:rsidR="00825298" w:rsidRPr="00E14455" w:rsidRDefault="00825298" w:rsidP="00C3254F">
      <w:pPr>
        <w:pStyle w:val="Citas"/>
        <w:numPr>
          <w:ilvl w:val="0"/>
          <w:numId w:val="9"/>
        </w:numPr>
        <w:ind w:right="0"/>
      </w:pPr>
      <w:r>
        <w:rPr>
          <w:i w:val="0"/>
          <w:iCs/>
          <w:color w:val="000000"/>
          <w:sz w:val="24"/>
          <w:szCs w:val="24"/>
        </w:rPr>
        <w:t xml:space="preserve">El o los documentos donde conste el sueldo bruto y neto mensual de los servidores públicos adscritos a la tesorería municipal, al veintitrés de junio de dos mil veinticinco. </w:t>
      </w:r>
    </w:p>
    <w:p w14:paraId="0893B86D" w14:textId="77777777" w:rsidR="00825298" w:rsidRPr="00E14455" w:rsidRDefault="00825298" w:rsidP="00C3254F">
      <w:pPr>
        <w:pStyle w:val="Citas"/>
        <w:numPr>
          <w:ilvl w:val="0"/>
          <w:numId w:val="9"/>
        </w:numPr>
        <w:ind w:right="0"/>
      </w:pPr>
      <w:r>
        <w:rPr>
          <w:i w:val="0"/>
          <w:iCs/>
          <w:color w:val="000000"/>
          <w:sz w:val="24"/>
          <w:szCs w:val="24"/>
        </w:rPr>
        <w:t>Contrato, nombramiento o formato único de movimientos de personal de los servidores públicos adscritos a la tesorería municipal, al veintitrés de junio de dos mil veinticinco.</w:t>
      </w:r>
    </w:p>
    <w:p w14:paraId="2616E2E0" w14:textId="77777777" w:rsidR="00825298" w:rsidRPr="00E14455" w:rsidRDefault="00825298" w:rsidP="00C3254F">
      <w:pPr>
        <w:pStyle w:val="Citas"/>
        <w:numPr>
          <w:ilvl w:val="0"/>
          <w:numId w:val="9"/>
        </w:numPr>
        <w:ind w:right="0"/>
      </w:pPr>
      <w:proofErr w:type="spellStart"/>
      <w:r>
        <w:rPr>
          <w:i w:val="0"/>
          <w:iCs/>
          <w:sz w:val="24"/>
          <w:szCs w:val="24"/>
        </w:rPr>
        <w:t>Curriculum</w:t>
      </w:r>
      <w:proofErr w:type="spellEnd"/>
      <w:r>
        <w:rPr>
          <w:i w:val="0"/>
          <w:iCs/>
          <w:sz w:val="24"/>
          <w:szCs w:val="24"/>
        </w:rPr>
        <w:t xml:space="preserve"> vitae y/o equivalente de los servidores públicos adscritos a la tesorería municipal, al veintitrés de junio de dos mil veinticinco. </w:t>
      </w:r>
    </w:p>
    <w:p w14:paraId="43CC7331" w14:textId="77777777" w:rsidR="00DA3E66" w:rsidRDefault="00DA3E66" w:rsidP="008B74DC">
      <w:pPr>
        <w:spacing w:line="360" w:lineRule="auto"/>
        <w:contextualSpacing/>
        <w:jc w:val="both"/>
        <w:rPr>
          <w:rFonts w:ascii="Palatino Linotype" w:hAnsi="Palatino Linotype"/>
          <w:sz w:val="24"/>
          <w:szCs w:val="24"/>
        </w:rPr>
      </w:pPr>
    </w:p>
    <w:p w14:paraId="3908152F" w14:textId="77777777" w:rsidR="008265B6" w:rsidRDefault="008265B6" w:rsidP="008265B6">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32ABFC73"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B00952F"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lastRenderedPageBreak/>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3067D18A" w14:textId="77777777" w:rsidR="00903E35" w:rsidRDefault="00903E35" w:rsidP="00903E35">
      <w:pPr>
        <w:pStyle w:val="Citas"/>
      </w:pPr>
      <w:r>
        <w:rPr>
          <w:b/>
        </w:rPr>
        <w:t xml:space="preserve">“Artículo 3. </w:t>
      </w:r>
      <w:r>
        <w:t xml:space="preserve">Para los efectos de la presente Ley se entenderá por: </w:t>
      </w:r>
    </w:p>
    <w:p w14:paraId="19DE6E15" w14:textId="77777777" w:rsidR="00903E35" w:rsidRDefault="00903E35" w:rsidP="00903E35">
      <w:pPr>
        <w:pStyle w:val="Citas"/>
      </w:pPr>
      <w:r>
        <w:t>(…)</w:t>
      </w:r>
    </w:p>
    <w:p w14:paraId="0531D208" w14:textId="77777777" w:rsidR="00903E35" w:rsidRDefault="00903E35" w:rsidP="00903E35">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63532B6F" w14:textId="77777777" w:rsidR="00903E35" w:rsidRDefault="00903E35" w:rsidP="00903E35">
      <w:pPr>
        <w:pStyle w:val="Citas"/>
      </w:pPr>
      <w:r>
        <w:t>(…)</w:t>
      </w:r>
    </w:p>
    <w:p w14:paraId="08B639D0" w14:textId="77777777" w:rsidR="00903E35" w:rsidRDefault="00903E35" w:rsidP="00903E35">
      <w:pPr>
        <w:pStyle w:val="Citas"/>
      </w:pPr>
      <w:r>
        <w:rPr>
          <w:b/>
        </w:rPr>
        <w:t>XX.</w:t>
      </w:r>
      <w:r>
        <w:t xml:space="preserve"> </w:t>
      </w:r>
      <w:r>
        <w:rPr>
          <w:b/>
        </w:rPr>
        <w:t>Información clasificada:</w:t>
      </w:r>
      <w:r>
        <w:t xml:space="preserve"> Aquella considerada por la presente Ley como reservada o confidencial; </w:t>
      </w:r>
    </w:p>
    <w:p w14:paraId="51D49709" w14:textId="77777777" w:rsidR="00903E35" w:rsidRDefault="00903E35" w:rsidP="00903E35">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B31021" w14:textId="77777777" w:rsidR="00903E35" w:rsidRDefault="00903E35" w:rsidP="00903E35">
      <w:pPr>
        <w:pStyle w:val="Citas"/>
      </w:pPr>
      <w:r>
        <w:t>(…)</w:t>
      </w:r>
    </w:p>
    <w:p w14:paraId="677EB65A" w14:textId="77777777" w:rsidR="00903E35" w:rsidRDefault="00903E35" w:rsidP="00903E35">
      <w:pPr>
        <w:pStyle w:val="Citas"/>
      </w:pPr>
      <w:r>
        <w:rPr>
          <w:b/>
        </w:rPr>
        <w:t>XLV. Versión pública:</w:t>
      </w:r>
      <w:r>
        <w:t xml:space="preserve"> Documento en el que se elimine, suprime o borra la información clasificada como reservada o confidencial para permitir su acceso. </w:t>
      </w:r>
    </w:p>
    <w:p w14:paraId="032677E9" w14:textId="77777777" w:rsidR="00903E35" w:rsidRDefault="00903E35" w:rsidP="00903E35">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w:t>
      </w:r>
      <w:r>
        <w:lastRenderedPageBreak/>
        <w:t xml:space="preserve">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75D2D79E" w14:textId="77777777" w:rsidR="00903E35" w:rsidRPr="0019758F" w:rsidRDefault="00903E35" w:rsidP="00903E35">
      <w:pPr>
        <w:pStyle w:val="Citas"/>
        <w:rPr>
          <w:b/>
          <w:bCs/>
        </w:rPr>
      </w:pPr>
      <w:r>
        <w:rPr>
          <w:b/>
        </w:rPr>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34A6CE86" w14:textId="77777777" w:rsidR="00903E35" w:rsidRDefault="00903E35" w:rsidP="00903E35"/>
    <w:p w14:paraId="7E4DBA7A"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6F7C552" w14:textId="77777777" w:rsidR="00903E35" w:rsidRDefault="00903E35" w:rsidP="00903E35">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6A599CF3" w14:textId="77777777" w:rsidR="00903E35" w:rsidRDefault="00903E35" w:rsidP="00903E35">
      <w:pPr>
        <w:pStyle w:val="Citas"/>
      </w:pPr>
      <w:r>
        <w:t>El responsable podrá tratar datos personales para finalidades distintas a aquéllas establecidas en el aviso de privacidad, en los casos siguientes:</w:t>
      </w:r>
    </w:p>
    <w:p w14:paraId="0AE6FF08" w14:textId="77777777" w:rsidR="00903E35" w:rsidRDefault="00903E35" w:rsidP="00903E35">
      <w:pPr>
        <w:pStyle w:val="Citas"/>
      </w:pPr>
      <w:r>
        <w:lastRenderedPageBreak/>
        <w:t>I. Cuente con atribuciones conferidas en ley y medie el consentimiento del titular.</w:t>
      </w:r>
    </w:p>
    <w:p w14:paraId="5AD286D5" w14:textId="77777777" w:rsidR="00903E35" w:rsidRDefault="00903E35" w:rsidP="00903E35">
      <w:pPr>
        <w:pStyle w:val="Citas"/>
      </w:pPr>
      <w:r>
        <w:t>II. Se trate de una persona reportada como desaparecida, en los términos previstos en la presente Ley y demás disposiciones legales aplicables...</w:t>
      </w:r>
    </w:p>
    <w:p w14:paraId="598B8AAB" w14:textId="77777777" w:rsidR="00903E35" w:rsidRPr="0019758F" w:rsidRDefault="00903E35" w:rsidP="00903E35">
      <w:pPr>
        <w:pStyle w:val="Citas"/>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5953B489" w14:textId="77777777" w:rsidR="00903E35" w:rsidRDefault="00903E35" w:rsidP="00903E35">
      <w:pPr>
        <w:spacing w:line="360" w:lineRule="auto"/>
        <w:jc w:val="both"/>
        <w:rPr>
          <w:rFonts w:ascii="Palatino Linotype" w:hAnsi="Palatino Linotype"/>
          <w:sz w:val="24"/>
          <w:szCs w:val="24"/>
        </w:rPr>
      </w:pPr>
    </w:p>
    <w:p w14:paraId="7B41D39E"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7604B29" w14:textId="77777777" w:rsidR="00903E35" w:rsidRPr="0019758F" w:rsidRDefault="00903E35" w:rsidP="00903E35">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19758F">
        <w:rPr>
          <w:rFonts w:ascii="Palatino Linotype" w:hAnsi="Palatino Linotype"/>
          <w:sz w:val="24"/>
          <w:szCs w:val="24"/>
        </w:rPr>
        <w:lastRenderedPageBreak/>
        <w:t xml:space="preserve">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343039FD" w14:textId="77777777" w:rsidR="00903E35" w:rsidRDefault="00903E35" w:rsidP="00903E3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92D6D70" w14:textId="77777777" w:rsidR="00903E35" w:rsidRPr="001571EB" w:rsidRDefault="00903E35" w:rsidP="00903E35">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ECC22F4" w14:textId="77777777" w:rsidR="00903E35" w:rsidRPr="001571EB" w:rsidRDefault="00903E35" w:rsidP="00903E35">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865A623" w14:textId="77777777" w:rsidR="00903E35" w:rsidRDefault="00903E35" w:rsidP="00903E35">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0EA348BC" w14:textId="77777777" w:rsidR="00903E35" w:rsidRDefault="00903E35" w:rsidP="00903E3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92A1ABB"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F5047E2"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5E27BAC"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6CAF55C4"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D7A29B4" w14:textId="77777777" w:rsidR="00903E35" w:rsidRPr="00EE0180"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29EAEA3" w14:textId="77777777" w:rsidR="00903E35" w:rsidRPr="001571EB" w:rsidRDefault="00903E35" w:rsidP="00903E35">
      <w:pPr>
        <w:autoSpaceDE w:val="0"/>
        <w:autoSpaceDN w:val="0"/>
        <w:adjustRightInd w:val="0"/>
        <w:spacing w:before="120" w:after="120"/>
        <w:ind w:left="567" w:right="850"/>
        <w:jc w:val="both"/>
        <w:rPr>
          <w:rFonts w:ascii="Palatino Linotype" w:eastAsia="Times New Roman" w:hAnsi="Palatino Linotype" w:cs="Arial"/>
          <w:i/>
        </w:rPr>
      </w:pPr>
    </w:p>
    <w:p w14:paraId="4C9E91A9" w14:textId="77777777" w:rsidR="00903E35" w:rsidRPr="001571EB" w:rsidRDefault="00903E35" w:rsidP="00903E35">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7A46D057" w14:textId="77777777" w:rsidR="00903E35" w:rsidRPr="001571EB" w:rsidRDefault="00903E35" w:rsidP="00903E35">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9B3928B" w14:textId="77777777" w:rsidR="00903E35" w:rsidRDefault="00903E35" w:rsidP="00903E3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9099891" w14:textId="77777777" w:rsidR="00903E35" w:rsidRDefault="00903E35" w:rsidP="00903E3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102EC3C0"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1864C1"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5BDE2F4E"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75C9B274" w14:textId="77777777" w:rsidR="00903E35" w:rsidRPr="001571EB"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5CFF44A" w14:textId="77777777" w:rsidR="00903E35" w:rsidRPr="00151D16" w:rsidRDefault="00903E35" w:rsidP="00903E35">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4866A1C4" w14:textId="77777777" w:rsidR="00903E35" w:rsidRDefault="00903E35" w:rsidP="00903E35">
      <w:pPr>
        <w:spacing w:after="0" w:line="360" w:lineRule="auto"/>
        <w:ind w:right="51"/>
        <w:jc w:val="both"/>
        <w:rPr>
          <w:rFonts w:ascii="Palatino Linotype" w:hAnsi="Palatino Linotype"/>
          <w:sz w:val="24"/>
          <w:szCs w:val="24"/>
        </w:rPr>
      </w:pPr>
    </w:p>
    <w:p w14:paraId="13467C04" w14:textId="1A596F1F" w:rsidR="00903E35" w:rsidRDefault="00903E35" w:rsidP="00903E35">
      <w:pPr>
        <w:spacing w:after="0" w:line="360" w:lineRule="auto"/>
        <w:ind w:right="51"/>
        <w:jc w:val="both"/>
        <w:rPr>
          <w:rFonts w:ascii="Palatino Linotype" w:hAnsi="Palatino Linotype"/>
          <w:bCs/>
          <w:sz w:val="24"/>
          <w:szCs w:val="24"/>
        </w:rPr>
      </w:pPr>
      <w:r w:rsidRPr="000F5C19">
        <w:rPr>
          <w:rFonts w:ascii="Palatino Linotype" w:hAnsi="Palatino Linotype"/>
          <w:sz w:val="24"/>
          <w:szCs w:val="24"/>
        </w:rPr>
        <w:t xml:space="preserve">Por otro lado, respecto de la firma </w:t>
      </w:r>
      <w:r w:rsidRPr="000F5C19">
        <w:rPr>
          <w:rFonts w:ascii="Palatino Linotype" w:hAnsi="Palatino Linotype"/>
          <w:bCs/>
          <w:sz w:val="24"/>
          <w:szCs w:val="24"/>
        </w:rPr>
        <w:t xml:space="preserve">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w:t>
      </w:r>
      <w:r w:rsidRPr="000F5C19">
        <w:rPr>
          <w:rFonts w:ascii="Palatino Linotype" w:hAnsi="Palatino Linotype"/>
          <w:bCs/>
          <w:sz w:val="24"/>
          <w:szCs w:val="24"/>
        </w:rPr>
        <w:lastRenderedPageBreak/>
        <w:t xml:space="preserve">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E81C968" w14:textId="77777777" w:rsidR="000F5C19" w:rsidRPr="000F5C19" w:rsidRDefault="000F5C19" w:rsidP="00903E35">
      <w:pPr>
        <w:spacing w:after="0" w:line="360" w:lineRule="auto"/>
        <w:ind w:right="51"/>
        <w:jc w:val="both"/>
        <w:rPr>
          <w:rFonts w:ascii="Palatino Linotype" w:hAnsi="Palatino Linotype"/>
          <w:bCs/>
          <w:sz w:val="24"/>
          <w:szCs w:val="24"/>
        </w:rPr>
      </w:pPr>
    </w:p>
    <w:p w14:paraId="138E613B" w14:textId="77777777" w:rsidR="00903E35" w:rsidRDefault="00903E35" w:rsidP="00903E35">
      <w:pPr>
        <w:spacing w:line="360" w:lineRule="auto"/>
        <w:jc w:val="both"/>
        <w:rPr>
          <w:rFonts w:ascii="Palatino Linotype" w:hAnsi="Palatino Linotype"/>
          <w:sz w:val="24"/>
          <w:szCs w:val="24"/>
        </w:rPr>
      </w:pPr>
      <w:r w:rsidRPr="000F5C19">
        <w:rPr>
          <w:rFonts w:ascii="Palatino Linotype" w:hAnsi="Palatino Linotype"/>
          <w:sz w:val="24"/>
          <w:szCs w:val="24"/>
        </w:rPr>
        <w:t xml:space="preserve">Respecto de los </w:t>
      </w:r>
      <w:r w:rsidRPr="000F5C19">
        <w:rPr>
          <w:rFonts w:ascii="Palatino Linotype" w:hAnsi="Palatino Linotype"/>
          <w:b/>
          <w:sz w:val="24"/>
          <w:szCs w:val="24"/>
        </w:rPr>
        <w:t>préstamos o descuentos</w:t>
      </w:r>
      <w:r w:rsidRPr="000F5C19">
        <w:rPr>
          <w:rFonts w:ascii="Palatino Linotype" w:hAnsi="Palatino Linotype"/>
          <w:sz w:val="24"/>
          <w:szCs w:val="24"/>
        </w:rPr>
        <w:t xml:space="preserve"> </w:t>
      </w:r>
      <w:r w:rsidRPr="000F5C19">
        <w:rPr>
          <w:rFonts w:ascii="Palatino Linotype" w:hAnsi="Palatino Linotype"/>
          <w:b/>
          <w:sz w:val="24"/>
          <w:szCs w:val="24"/>
        </w:rPr>
        <w:t>de carácter personal</w:t>
      </w:r>
      <w:r w:rsidRPr="000F5C19">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D665996" w14:textId="77777777" w:rsidR="000F5C19" w:rsidRPr="000F5C19" w:rsidRDefault="000F5C19" w:rsidP="00903E35">
      <w:pPr>
        <w:spacing w:line="360" w:lineRule="auto"/>
        <w:jc w:val="both"/>
        <w:rPr>
          <w:rFonts w:ascii="Palatino Linotype" w:hAnsi="Palatino Linotype"/>
          <w:sz w:val="24"/>
          <w:szCs w:val="24"/>
        </w:rPr>
      </w:pPr>
    </w:p>
    <w:p w14:paraId="5834C07E" w14:textId="77777777" w:rsidR="00903E35" w:rsidRPr="00C45135" w:rsidRDefault="00903E35" w:rsidP="00903E35">
      <w:pPr>
        <w:spacing w:line="360" w:lineRule="auto"/>
        <w:jc w:val="both"/>
        <w:rPr>
          <w:rFonts w:ascii="Palatino Linotype" w:hAnsi="Palatino Linotype"/>
          <w:sz w:val="24"/>
          <w:szCs w:val="24"/>
        </w:rPr>
      </w:pPr>
      <w:r w:rsidRPr="00C45135">
        <w:rPr>
          <w:rFonts w:ascii="Palatino Linotype" w:hAnsi="Palatino Linotype"/>
          <w:sz w:val="24"/>
          <w:szCs w:val="24"/>
        </w:rPr>
        <w:t>Por su parte, el artículo 84 de la Ley del Trabajo de los Servidores Públicos del Estado y Municipios, señala:</w:t>
      </w:r>
    </w:p>
    <w:p w14:paraId="7AC9741E" w14:textId="77777777" w:rsidR="00903E35" w:rsidRPr="002639E6" w:rsidRDefault="00903E35" w:rsidP="00903E35">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1D7894A4" w14:textId="77777777" w:rsidR="00903E35" w:rsidRPr="002639E6" w:rsidRDefault="00903E35" w:rsidP="00903E35">
      <w:pPr>
        <w:pStyle w:val="Citas"/>
        <w:rPr>
          <w:noProof/>
        </w:rPr>
      </w:pPr>
      <w:r w:rsidRPr="002639E6">
        <w:rPr>
          <w:noProof/>
        </w:rPr>
        <w:t>I. Gravámenes fiscales relacionados con el sueldo;</w:t>
      </w:r>
    </w:p>
    <w:p w14:paraId="35EB273A" w14:textId="77777777" w:rsidR="00903E35" w:rsidRPr="002639E6" w:rsidRDefault="00903E35" w:rsidP="00903E35">
      <w:pPr>
        <w:pStyle w:val="Citas"/>
        <w:rPr>
          <w:noProof/>
        </w:rPr>
      </w:pPr>
      <w:r w:rsidRPr="002639E6">
        <w:rPr>
          <w:noProof/>
        </w:rPr>
        <w:t>II. Deudas contraídas con las instituciones públicas o dependencias por concepto de anticipos de sueldo, pagos hechos con exceso, errores o pérdidas debidamente comprobados;</w:t>
      </w:r>
    </w:p>
    <w:p w14:paraId="194CB922" w14:textId="77777777" w:rsidR="00903E35" w:rsidRPr="002639E6" w:rsidRDefault="00903E35" w:rsidP="00903E35">
      <w:pPr>
        <w:pStyle w:val="Citas"/>
        <w:rPr>
          <w:noProof/>
        </w:rPr>
      </w:pPr>
      <w:r w:rsidRPr="002639E6">
        <w:rPr>
          <w:noProof/>
        </w:rPr>
        <w:t>III. Cuotas sindicales;</w:t>
      </w:r>
    </w:p>
    <w:p w14:paraId="2F6717C2" w14:textId="77777777" w:rsidR="00903E35" w:rsidRPr="002639E6" w:rsidRDefault="00903E35" w:rsidP="00903E35">
      <w:pPr>
        <w:pStyle w:val="Citas"/>
        <w:rPr>
          <w:noProof/>
        </w:rPr>
      </w:pPr>
      <w:r w:rsidRPr="002639E6">
        <w:rPr>
          <w:noProof/>
        </w:rPr>
        <w:lastRenderedPageBreak/>
        <w:t>IV. Cuotas de aportación a fondos para la constitución de cooperativas y de cajas de ahorro, siempre que el servidor público hubiese manifestado previamente, de manera expresa, su conformidad;</w:t>
      </w:r>
    </w:p>
    <w:p w14:paraId="21072F1E" w14:textId="77777777" w:rsidR="00903E35" w:rsidRPr="002639E6" w:rsidRDefault="00903E35" w:rsidP="00903E35">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2BA749DF" w14:textId="77777777" w:rsidR="00903E35" w:rsidRPr="002639E6" w:rsidRDefault="00903E35" w:rsidP="00903E35">
      <w:pPr>
        <w:pStyle w:val="Citas"/>
        <w:rPr>
          <w:noProof/>
        </w:rPr>
      </w:pPr>
      <w:r w:rsidRPr="002639E6">
        <w:rPr>
          <w:noProof/>
        </w:rPr>
        <w:t>VI. Obligaciones a cargo del servidor público con las que haya consentido, derivadas de la adquisición o del uso de habitaciones consideradas como de interés social;</w:t>
      </w:r>
    </w:p>
    <w:p w14:paraId="4BC9BDC9" w14:textId="77777777" w:rsidR="00903E35" w:rsidRPr="002639E6" w:rsidRDefault="00903E35" w:rsidP="00903E35">
      <w:pPr>
        <w:pStyle w:val="Citas"/>
        <w:rPr>
          <w:noProof/>
        </w:rPr>
      </w:pPr>
      <w:r w:rsidRPr="002639E6">
        <w:rPr>
          <w:noProof/>
        </w:rPr>
        <w:t>VII. Faltas de puntualidad o de asistencia injustificadas;</w:t>
      </w:r>
    </w:p>
    <w:p w14:paraId="1582B6B1" w14:textId="77777777" w:rsidR="00903E35" w:rsidRPr="002639E6" w:rsidRDefault="00903E35" w:rsidP="00903E35">
      <w:pPr>
        <w:pStyle w:val="Citas"/>
        <w:rPr>
          <w:noProof/>
        </w:rPr>
      </w:pPr>
      <w:r w:rsidRPr="002639E6">
        <w:rPr>
          <w:noProof/>
        </w:rPr>
        <w:t>VIII. Pensiones alimenticias ordenadas por la autoridad judicial; o</w:t>
      </w:r>
    </w:p>
    <w:p w14:paraId="52A762A4" w14:textId="77777777" w:rsidR="00903E35" w:rsidRPr="002639E6" w:rsidRDefault="00903E35" w:rsidP="00903E35">
      <w:pPr>
        <w:pStyle w:val="Citas"/>
        <w:rPr>
          <w:noProof/>
        </w:rPr>
      </w:pPr>
      <w:r w:rsidRPr="002639E6">
        <w:rPr>
          <w:noProof/>
        </w:rPr>
        <w:t>IX. Cualquier otro convenido con instituciones de servicios y aceptado por el servidor público.</w:t>
      </w:r>
    </w:p>
    <w:p w14:paraId="7A800C36" w14:textId="77777777" w:rsidR="00903E35" w:rsidRPr="003F50F0" w:rsidRDefault="00903E35" w:rsidP="00903E35">
      <w:pPr>
        <w:pStyle w:val="Citas"/>
        <w:rPr>
          <w:b/>
          <w:bCs/>
        </w:rPr>
      </w:pPr>
      <w:r w:rsidRPr="002639E6">
        <w:rPr>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noProof/>
        </w:rPr>
        <w:t xml:space="preserve">” </w:t>
      </w:r>
      <w:r>
        <w:rPr>
          <w:b/>
          <w:bCs/>
          <w:noProof/>
        </w:rPr>
        <w:t>(Sic)</w:t>
      </w:r>
    </w:p>
    <w:p w14:paraId="1D615D45" w14:textId="77777777" w:rsidR="00903E35" w:rsidRPr="002639E6" w:rsidRDefault="00903E35" w:rsidP="00903E35">
      <w:pPr>
        <w:pStyle w:val="Citas"/>
        <w:rPr>
          <w:szCs w:val="24"/>
        </w:rPr>
      </w:pPr>
    </w:p>
    <w:p w14:paraId="3B43D80A" w14:textId="77777777" w:rsidR="00903E35" w:rsidRPr="003F50F0" w:rsidRDefault="00903E35" w:rsidP="00903E35">
      <w:pPr>
        <w:spacing w:line="360" w:lineRule="auto"/>
        <w:jc w:val="both"/>
        <w:rPr>
          <w:rFonts w:ascii="Palatino Linotype" w:hAnsi="Palatino Linotype"/>
          <w:sz w:val="24"/>
          <w:szCs w:val="24"/>
        </w:rPr>
      </w:pPr>
      <w:r w:rsidRPr="003F50F0">
        <w:rPr>
          <w:rFonts w:ascii="Palatino Linotype" w:hAnsi="Palatino Linotype"/>
          <w:sz w:val="24"/>
          <w:szCs w:val="24"/>
        </w:rPr>
        <w:t xml:space="preserve">Derivado de lo anterior, la Ley establece claramente cuáles son esos descuentos o gravámenes que directamente se relacionan con las obligaciones adquiridas como </w:t>
      </w:r>
      <w:r w:rsidRPr="003F50F0">
        <w:rPr>
          <w:rFonts w:ascii="Palatino Linotype" w:hAnsi="Palatino Linotype"/>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4C3C569" w14:textId="77777777" w:rsidR="00903E35" w:rsidRPr="001E20F2" w:rsidRDefault="00903E35" w:rsidP="00903E35">
      <w:pPr>
        <w:spacing w:line="360" w:lineRule="auto"/>
        <w:jc w:val="both"/>
        <w:rPr>
          <w:rFonts w:ascii="Palatino Linotype" w:hAnsi="Palatino Linotype"/>
          <w:sz w:val="24"/>
          <w:szCs w:val="24"/>
        </w:rPr>
      </w:pPr>
      <w:r w:rsidRPr="003F50F0">
        <w:rPr>
          <w:rFonts w:ascii="Palatino Linotype" w:hAnsi="Palatino Linotype"/>
          <w:sz w:val="24"/>
          <w:szCs w:val="24"/>
        </w:rPr>
        <w:t xml:space="preserve">No obstante, el denominado </w:t>
      </w:r>
      <w:r w:rsidRPr="003F50F0">
        <w:rPr>
          <w:rFonts w:ascii="Palatino Linotype" w:hAnsi="Palatino Linotype"/>
          <w:b/>
          <w:sz w:val="24"/>
          <w:szCs w:val="24"/>
        </w:rPr>
        <w:t>Sistema de Capitalización Individual</w:t>
      </w:r>
      <w:r w:rsidRPr="003F50F0">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w:t>
      </w:r>
      <w:r w:rsidRPr="001E20F2">
        <w:rPr>
          <w:rFonts w:ascii="Palatino Linotype" w:hAnsi="Palatino Linotype"/>
          <w:sz w:val="24"/>
          <w:szCs w:val="24"/>
        </w:rPr>
        <w:t>referidos en el párrafo anterior.</w:t>
      </w:r>
    </w:p>
    <w:p w14:paraId="12105D94" w14:textId="59834867" w:rsidR="00903E35" w:rsidRPr="00F02E34" w:rsidRDefault="00903E35" w:rsidP="00903E35">
      <w:pPr>
        <w:spacing w:before="240" w:line="360" w:lineRule="auto"/>
        <w:jc w:val="both"/>
        <w:rPr>
          <w:rFonts w:ascii="Palatino Linotype" w:hAnsi="Palatino Linotype"/>
          <w:sz w:val="24"/>
          <w:szCs w:val="24"/>
        </w:rPr>
      </w:pPr>
      <w:r w:rsidRPr="00F02E34">
        <w:rPr>
          <w:rFonts w:ascii="Palatino Linotype" w:hAnsi="Palatino Linotype"/>
          <w:bCs/>
          <w:sz w:val="24"/>
          <w:szCs w:val="24"/>
        </w:rPr>
        <w:t xml:space="preserve">Ahora bien, respecto de la fotografía tratándose de servidores públicos se cuenta con un espectro menor de protección a sus datos personales en comparación con cualquier otra persona física, en razón del interés público que revisten sus funciones, por lo que, </w:t>
      </w:r>
      <w:r w:rsidRPr="00F02E34">
        <w:rPr>
          <w:rFonts w:ascii="Palatino Linotype" w:hAnsi="Palatino Linotype" w:cs="Arial"/>
          <w:color w:val="444444"/>
          <w:sz w:val="24"/>
          <w:szCs w:val="2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18E2AC1E" w14:textId="77777777" w:rsidR="00903E35" w:rsidRPr="00F02E34" w:rsidRDefault="00903E35" w:rsidP="00903E35">
      <w:pPr>
        <w:spacing w:before="240" w:line="360" w:lineRule="auto"/>
        <w:jc w:val="both"/>
        <w:rPr>
          <w:rFonts w:ascii="Palatino Linotype" w:hAnsi="Palatino Linotype" w:cs="Arial"/>
          <w:color w:val="333333"/>
          <w:sz w:val="24"/>
          <w:szCs w:val="24"/>
        </w:rPr>
      </w:pPr>
      <w:r w:rsidRPr="00F02E34">
        <w:rPr>
          <w:rFonts w:ascii="Palatino Linotype" w:hAnsi="Palatino Linotype"/>
          <w:sz w:val="24"/>
          <w:szCs w:val="24"/>
        </w:rPr>
        <w:t xml:space="preserve">Conforme a lo anterior, resulta necesario señalar que el Pleno del Órgano Garante local sustentó el criterio </w:t>
      </w:r>
      <w:r w:rsidRPr="00F02E34">
        <w:rPr>
          <w:rFonts w:ascii="Palatino Linotype" w:hAnsi="Palatino Linotype"/>
          <w:b/>
          <w:bCs/>
          <w:sz w:val="24"/>
          <w:szCs w:val="24"/>
        </w:rPr>
        <w:t xml:space="preserve">03/2019 </w:t>
      </w:r>
      <w:r w:rsidRPr="00F02E34">
        <w:rPr>
          <w:rFonts w:ascii="Palatino Linotype" w:hAnsi="Palatino Linotype"/>
          <w:sz w:val="24"/>
          <w:szCs w:val="24"/>
        </w:rPr>
        <w:t xml:space="preserve">cuyo rubro dispone a la literalidad lo siguiente: </w:t>
      </w:r>
      <w:r w:rsidRPr="00F02E34">
        <w:rPr>
          <w:rFonts w:ascii="Palatino Linotype" w:hAnsi="Palatino Linotype"/>
          <w:b/>
          <w:bCs/>
          <w:i/>
          <w:iCs/>
          <w:sz w:val="24"/>
          <w:szCs w:val="24"/>
        </w:rPr>
        <w:t>“SERVIDORES PÚBLICOS CON CATEGORÍA DE MANDO MEDIO Y SUPERIOR. LA FOTOGRAFÍA DE AQUELLOS ES DE CARÁCTER PÚBLICO.</w:t>
      </w:r>
      <w:r w:rsidRPr="00F02E34">
        <w:rPr>
          <w:b/>
          <w:bCs/>
          <w:sz w:val="24"/>
          <w:szCs w:val="24"/>
        </w:rPr>
        <w:t xml:space="preserve">”, </w:t>
      </w:r>
      <w:r w:rsidRPr="00F02E34">
        <w:rPr>
          <w:rFonts w:ascii="Palatino Linotype" w:hAnsi="Palatino Linotype"/>
          <w:sz w:val="24"/>
          <w:szCs w:val="24"/>
        </w:rPr>
        <w:t xml:space="preserve">mismo que fue interrumpido en términos del artículo </w:t>
      </w:r>
      <w:r w:rsidRPr="00F02E34">
        <w:rPr>
          <w:rFonts w:ascii="Palatino Linotype" w:hAnsi="Palatino Linotype" w:cs="Arial"/>
          <w:color w:val="333333"/>
          <w:sz w:val="24"/>
          <w:szCs w:val="24"/>
        </w:rPr>
        <w:t xml:space="preserve">9, fracción XXVII del Reglamento Interior del </w:t>
      </w:r>
      <w:r w:rsidRPr="00F02E34">
        <w:rPr>
          <w:rFonts w:ascii="Palatino Linotype" w:hAnsi="Palatino Linotype" w:cs="Arial"/>
          <w:color w:val="333333"/>
          <w:sz w:val="24"/>
          <w:szCs w:val="24"/>
        </w:rPr>
        <w:lastRenderedPageBreak/>
        <w:t>Instituto de Transparencia, Acceso a la Información Pública y Protección de Datos Personales del Estado de México y Municipios.</w:t>
      </w:r>
    </w:p>
    <w:p w14:paraId="4AF1BAF6" w14:textId="77777777" w:rsidR="00903E35" w:rsidRPr="00F02E34" w:rsidRDefault="00903E35" w:rsidP="00903E35">
      <w:pPr>
        <w:spacing w:before="240" w:line="360" w:lineRule="auto"/>
        <w:jc w:val="both"/>
        <w:rPr>
          <w:rFonts w:ascii="Palatino Linotype" w:hAnsi="Palatino Linotype"/>
          <w:sz w:val="24"/>
          <w:szCs w:val="24"/>
        </w:rPr>
      </w:pPr>
      <w:r w:rsidRPr="00F02E34">
        <w:rPr>
          <w:rFonts w:ascii="Palatino Linotype" w:hAnsi="Palatino Linotype" w:cs="Arial"/>
          <w:color w:val="333333"/>
          <w:sz w:val="24"/>
          <w:szCs w:val="24"/>
        </w:rPr>
        <w:t xml:space="preserve">Debido a lo anterior, </w:t>
      </w:r>
      <w:r w:rsidRPr="00F02E34">
        <w:rPr>
          <w:rFonts w:ascii="Palatino Linotype" w:eastAsia="Calibri" w:hAnsi="Palatino Linotype" w:cs="Tahoma"/>
          <w:bCs/>
          <w:sz w:val="24"/>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02E34">
        <w:rPr>
          <w:rFonts w:ascii="Palatino Linotype" w:eastAsia="Calibri" w:hAnsi="Palatino Linotype" w:cs="Tahoma"/>
          <w:sz w:val="24"/>
          <w:szCs w:val="24"/>
        </w:rPr>
        <w:t>Cabe hacer la aclaración</w:t>
      </w:r>
      <w:r w:rsidRPr="00F02E34">
        <w:rPr>
          <w:rFonts w:ascii="Palatino Linotype" w:eastAsia="Calibri" w:hAnsi="Palatino Linotype" w:cs="Tahoma"/>
          <w:sz w:val="24"/>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369E54D2" w14:textId="77777777" w:rsidR="00903E35" w:rsidRDefault="00903E35" w:rsidP="00903E3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8050E">
        <w:rPr>
          <w:rFonts w:ascii="Palatino Linotype" w:hAnsi="Palatino Linotype" w:cs="Arial"/>
          <w:b/>
          <w:bCs/>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6CEF860" w14:textId="673EB3A3" w:rsidR="007F71AE" w:rsidRPr="007F71AE" w:rsidRDefault="008B74DC" w:rsidP="008B74DC">
      <w:pPr>
        <w:tabs>
          <w:tab w:val="left" w:pos="709"/>
        </w:tabs>
        <w:spacing w:before="240" w:line="360" w:lineRule="auto"/>
        <w:ind w:right="51"/>
        <w:jc w:val="both"/>
        <w:rPr>
          <w:rFonts w:ascii="Palatino Linotype" w:hAnsi="Palatino Linotype"/>
          <w:bCs/>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F35C78">
        <w:rPr>
          <w:rFonts w:ascii="Palatino Linotype" w:hAnsi="Palatino Linotype"/>
          <w:b/>
          <w:sz w:val="24"/>
          <w:szCs w:val="24"/>
        </w:rPr>
        <w:t>El</w:t>
      </w:r>
      <w:r>
        <w:rPr>
          <w:rFonts w:ascii="Palatino Linotype" w:hAnsi="Palatino Linotype"/>
          <w:b/>
          <w:sz w:val="24"/>
          <w:szCs w:val="24"/>
        </w:rPr>
        <w:t xml:space="preserve">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DA3E66">
        <w:rPr>
          <w:rFonts w:ascii="Palatino Linotype" w:hAnsi="Palatino Linotype"/>
          <w:b/>
          <w:sz w:val="24"/>
          <w:szCs w:val="24"/>
        </w:rPr>
        <w:t xml:space="preserve"> </w:t>
      </w:r>
      <w:r w:rsidR="00DA3E66">
        <w:rPr>
          <w:rFonts w:ascii="Palatino Linotype" w:hAnsi="Palatino Linotype"/>
          <w:bCs/>
          <w:sz w:val="24"/>
          <w:szCs w:val="24"/>
        </w:rPr>
        <w:t xml:space="preserve">la respuesta a la solicitud de información </w:t>
      </w:r>
      <w:r w:rsidR="00825298">
        <w:rPr>
          <w:rFonts w:ascii="Palatino Linotype" w:hAnsi="Palatino Linotype"/>
          <w:b/>
          <w:sz w:val="24"/>
          <w:szCs w:val="24"/>
        </w:rPr>
        <w:t>03611</w:t>
      </w:r>
      <w:r w:rsidR="007F71AE">
        <w:rPr>
          <w:rFonts w:ascii="Palatino Linotype" w:hAnsi="Palatino Linotype"/>
          <w:b/>
          <w:sz w:val="24"/>
          <w:szCs w:val="24"/>
        </w:rPr>
        <w:t xml:space="preserve">/TOLUCA/IP/2025 </w:t>
      </w:r>
      <w:r w:rsidR="007F71AE">
        <w:rPr>
          <w:rFonts w:ascii="Palatino Linotype" w:hAnsi="Palatino Linotype"/>
          <w:bCs/>
          <w:sz w:val="24"/>
          <w:szCs w:val="24"/>
        </w:rPr>
        <w:t xml:space="preserve">que ha sido materia del presente fallo. </w:t>
      </w:r>
    </w:p>
    <w:p w14:paraId="4408074B" w14:textId="68D3F4C5" w:rsidR="008B74DC" w:rsidRDefault="008B74DC" w:rsidP="008B74DC">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4B1C56" w14:textId="77777777" w:rsidR="00F35C78"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D05C83"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21D14E8" w14:textId="7D1DA7ED" w:rsidR="00F82098" w:rsidRPr="00F82098" w:rsidRDefault="00F82098" w:rsidP="00F82098">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DA3E66">
        <w:rPr>
          <w:rFonts w:ascii="Palatino Linotype" w:hAnsi="Palatino Linotype" w:cs="Arial"/>
          <w:b/>
          <w:sz w:val="24"/>
          <w:szCs w:val="24"/>
        </w:rPr>
        <w:t xml:space="preserve"> </w:t>
      </w:r>
      <w:r w:rsidR="00DA3E66">
        <w:rPr>
          <w:rFonts w:ascii="Palatino Linotype" w:hAnsi="Palatino Linotype" w:cs="Arial"/>
          <w:bCs/>
          <w:sz w:val="24"/>
          <w:szCs w:val="24"/>
        </w:rPr>
        <w:t xml:space="preserve">la respuesta a la solicitud de información número </w:t>
      </w:r>
      <w:r w:rsidR="00825298">
        <w:rPr>
          <w:rFonts w:ascii="Palatino Linotype" w:hAnsi="Palatino Linotype"/>
          <w:b/>
          <w:sz w:val="24"/>
          <w:szCs w:val="24"/>
        </w:rPr>
        <w:t>03611</w:t>
      </w:r>
      <w:r w:rsidR="007F71AE">
        <w:rPr>
          <w:rFonts w:ascii="Palatino Linotype" w:hAnsi="Palatino Linotype"/>
          <w:b/>
          <w:sz w:val="24"/>
          <w:szCs w:val="24"/>
        </w:rPr>
        <w:t xml:space="preserve">/TOLUCA/IP/2025 </w:t>
      </w:r>
      <w:r w:rsidRPr="00F82098">
        <w:rPr>
          <w:rFonts w:ascii="Palatino Linotype" w:hAnsi="Palatino Linotype" w:cs="Arial"/>
          <w:sz w:val="24"/>
          <w:szCs w:val="24"/>
        </w:rPr>
        <w:t>por resultar parcialmente fundados</w:t>
      </w:r>
      <w:r>
        <w:rPr>
          <w:rFonts w:ascii="Palatino Linotype" w:hAnsi="Palatino Linotype" w:cs="Arial"/>
        </w:rPr>
        <w:t xml:space="preserve"> </w:t>
      </w:r>
      <w:r>
        <w:rPr>
          <w:rFonts w:ascii="Palatino Linotype" w:hAnsi="Palatino Linotype" w:cs="Arial"/>
          <w:sz w:val="24"/>
        </w:rPr>
        <w:t xml:space="preserve">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de la presente resolución.</w:t>
      </w:r>
    </w:p>
    <w:p w14:paraId="564E9EDB" w14:textId="2564AA3C" w:rsidR="00F82098" w:rsidRDefault="00F82098" w:rsidP="00F82098">
      <w:pPr>
        <w:spacing w:before="240" w:line="360" w:lineRule="auto"/>
        <w:jc w:val="both"/>
        <w:rPr>
          <w:rFonts w:ascii="Palatino Linotype" w:hAnsi="Palatino Linotype" w:cs="Arial"/>
          <w:sz w:val="24"/>
        </w:rPr>
      </w:pPr>
      <w:r>
        <w:rPr>
          <w:rFonts w:ascii="Palatino Linotype" w:hAnsi="Palatino Linotype" w:cs="Arial"/>
          <w:sz w:val="24"/>
          <w:szCs w:val="24"/>
        </w:rPr>
        <w:t xml:space="preserve"> </w:t>
      </w:r>
    </w:p>
    <w:p w14:paraId="21312BB3" w14:textId="298B9208" w:rsidR="00F82098" w:rsidRPr="002A274C" w:rsidRDefault="00F82098" w:rsidP="00F82098">
      <w:pPr>
        <w:autoSpaceDE w:val="0"/>
        <w:autoSpaceDN w:val="0"/>
        <w:adjustRightInd w:val="0"/>
        <w:spacing w:before="240" w:line="360" w:lineRule="auto"/>
        <w:ind w:right="49"/>
        <w:jc w:val="both"/>
        <w:rPr>
          <w:rFonts w:ascii="Palatino Linotype" w:hAnsi="Palatino Linotype" w:cs="Arial"/>
          <w:sz w:val="24"/>
          <w:szCs w:val="24"/>
        </w:rPr>
      </w:pPr>
      <w:r w:rsidRPr="002A274C">
        <w:rPr>
          <w:rFonts w:ascii="Palatino Linotype" w:hAnsi="Palatino Linotype" w:cs="Arial"/>
          <w:b/>
          <w:sz w:val="24"/>
          <w:szCs w:val="24"/>
          <w:lang w:val="es-ES_tradnl"/>
        </w:rPr>
        <w:t>SEGUNDO.</w:t>
      </w:r>
      <w:r w:rsidRPr="002A274C">
        <w:rPr>
          <w:rFonts w:ascii="Palatino Linotype" w:hAnsi="Palatino Linotype" w:cs="Arial"/>
          <w:sz w:val="24"/>
          <w:szCs w:val="24"/>
        </w:rPr>
        <w:t xml:space="preserve"> Se </w:t>
      </w:r>
      <w:r w:rsidRPr="002A274C">
        <w:rPr>
          <w:rFonts w:ascii="Palatino Linotype" w:hAnsi="Palatino Linotype" w:cs="Arial"/>
          <w:b/>
          <w:sz w:val="24"/>
          <w:szCs w:val="24"/>
        </w:rPr>
        <w:t>ORDENA</w:t>
      </w:r>
      <w:r w:rsidRPr="002A274C">
        <w:rPr>
          <w:rFonts w:ascii="Palatino Linotype" w:hAnsi="Palatino Linotype" w:cs="Arial"/>
          <w:sz w:val="24"/>
          <w:szCs w:val="24"/>
        </w:rPr>
        <w:t xml:space="preserve"> al </w:t>
      </w:r>
      <w:r w:rsidRPr="002A274C">
        <w:rPr>
          <w:rFonts w:ascii="Palatino Linotype" w:hAnsi="Palatino Linotype" w:cs="Arial"/>
          <w:b/>
          <w:sz w:val="24"/>
          <w:szCs w:val="24"/>
        </w:rPr>
        <w:t>SUJETO OBLIGADO</w:t>
      </w:r>
      <w:r w:rsidRPr="002A274C">
        <w:rPr>
          <w:rFonts w:ascii="Palatino Linotype" w:hAnsi="Palatino Linotype" w:cs="Arial"/>
          <w:sz w:val="24"/>
          <w:szCs w:val="24"/>
        </w:rPr>
        <w:t xml:space="preserve"> realizar una búsqueda exhaustiva y razonable a fin de entregar al</w:t>
      </w:r>
      <w:r w:rsidRPr="002A274C">
        <w:rPr>
          <w:rFonts w:ascii="Palatino Linotype" w:hAnsi="Palatino Linotype" w:cs="Arial"/>
          <w:b/>
          <w:bCs/>
          <w:sz w:val="24"/>
          <w:szCs w:val="24"/>
        </w:rPr>
        <w:t xml:space="preserve"> </w:t>
      </w:r>
      <w:r w:rsidRPr="002A274C">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 xml:space="preserve">de lo siguiente: </w:t>
      </w:r>
    </w:p>
    <w:p w14:paraId="0943D6ED" w14:textId="77777777" w:rsidR="00825298" w:rsidRPr="00825298" w:rsidRDefault="00825298" w:rsidP="00C3254F">
      <w:pPr>
        <w:pStyle w:val="Citas"/>
        <w:numPr>
          <w:ilvl w:val="0"/>
          <w:numId w:val="3"/>
        </w:numPr>
        <w:ind w:right="0"/>
      </w:pPr>
      <w:r w:rsidRPr="00825298">
        <w:rPr>
          <w:color w:val="000000"/>
          <w:sz w:val="24"/>
          <w:szCs w:val="24"/>
        </w:rPr>
        <w:t xml:space="preserve">El o los documentos donde conste el sueldo bruto y neto mensual de los servidores públicos adscritos a la tesorería municipal, al veintitrés de junio de dos mil veinticinco. </w:t>
      </w:r>
    </w:p>
    <w:p w14:paraId="0A98FFFE" w14:textId="77777777" w:rsidR="00825298" w:rsidRPr="00825298" w:rsidRDefault="00825298" w:rsidP="00C3254F">
      <w:pPr>
        <w:pStyle w:val="Citas"/>
        <w:numPr>
          <w:ilvl w:val="0"/>
          <w:numId w:val="3"/>
        </w:numPr>
        <w:ind w:right="0"/>
      </w:pPr>
      <w:r w:rsidRPr="00825298">
        <w:rPr>
          <w:color w:val="000000"/>
          <w:sz w:val="24"/>
          <w:szCs w:val="24"/>
        </w:rPr>
        <w:lastRenderedPageBreak/>
        <w:t>Contrato, nombramiento o formato único de movimientos de personal de los servidores públicos adscritos a la tesorería municipal, al veintitrés de junio de dos mil veinticinco.</w:t>
      </w:r>
    </w:p>
    <w:p w14:paraId="2AA16819" w14:textId="77777777" w:rsidR="00825298" w:rsidRPr="00825298" w:rsidRDefault="00825298" w:rsidP="00C3254F">
      <w:pPr>
        <w:pStyle w:val="Citas"/>
        <w:numPr>
          <w:ilvl w:val="0"/>
          <w:numId w:val="3"/>
        </w:numPr>
        <w:ind w:right="0"/>
      </w:pPr>
      <w:proofErr w:type="spellStart"/>
      <w:r w:rsidRPr="00825298">
        <w:rPr>
          <w:sz w:val="24"/>
          <w:szCs w:val="24"/>
        </w:rPr>
        <w:t>Curriculum</w:t>
      </w:r>
      <w:proofErr w:type="spellEnd"/>
      <w:r w:rsidRPr="00825298">
        <w:rPr>
          <w:sz w:val="24"/>
          <w:szCs w:val="24"/>
        </w:rPr>
        <w:t xml:space="preserve"> vitae y/o equivalente de los servidores públicos adscritos a la tesorería municipal, al veintitrés de junio de dos mil veinticinco. </w:t>
      </w:r>
    </w:p>
    <w:p w14:paraId="6E2D6051" w14:textId="77777777" w:rsidR="007F71AE" w:rsidRPr="008265B6" w:rsidRDefault="007F71AE" w:rsidP="007F71AE">
      <w:pPr>
        <w:pStyle w:val="Prrafodelista"/>
        <w:spacing w:line="360" w:lineRule="auto"/>
        <w:ind w:left="720"/>
        <w:contextualSpacing/>
        <w:jc w:val="both"/>
        <w:rPr>
          <w:rFonts w:ascii="Palatino Linotype" w:hAnsi="Palatino Linotype"/>
          <w:i/>
          <w:iCs/>
          <w:color w:val="000000"/>
        </w:rPr>
      </w:pPr>
    </w:p>
    <w:p w14:paraId="7DAAD77C" w14:textId="7636E72E" w:rsidR="00F82098" w:rsidRDefault="00F82098" w:rsidP="00F82098">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CC61B10" w14:textId="77777777" w:rsidR="00185243" w:rsidRDefault="00185243" w:rsidP="00ED5630">
      <w:pPr>
        <w:spacing w:line="360" w:lineRule="auto"/>
        <w:jc w:val="both"/>
        <w:rPr>
          <w:rFonts w:ascii="Palatino Linotype" w:hAnsi="Palatino Linotype" w:cs="Arial"/>
          <w:b/>
          <w:sz w:val="28"/>
        </w:rPr>
      </w:pPr>
    </w:p>
    <w:p w14:paraId="6F278285" w14:textId="17A91638" w:rsidR="00ED5630" w:rsidRPr="00903E35" w:rsidRDefault="00ED5630" w:rsidP="00ED5630">
      <w:pPr>
        <w:spacing w:line="360" w:lineRule="auto"/>
        <w:jc w:val="both"/>
        <w:rPr>
          <w:rFonts w:ascii="Palatino Linotype" w:hAnsi="Palatino Linotype" w:cs="Tahoma"/>
          <w:bCs/>
          <w:sz w:val="24"/>
          <w:szCs w:val="24"/>
        </w:rPr>
      </w:pPr>
      <w:r w:rsidRPr="00903E35">
        <w:rPr>
          <w:rFonts w:ascii="Palatino Linotype" w:hAnsi="Palatino Linotype" w:cs="Arial"/>
          <w:b/>
          <w:sz w:val="24"/>
          <w:szCs w:val="24"/>
        </w:rPr>
        <w:t>TERCERO.</w:t>
      </w:r>
      <w:r w:rsidRPr="00903E35">
        <w:rPr>
          <w:rFonts w:ascii="Palatino Linotype" w:hAnsi="Palatino Linotype" w:cs="Arial"/>
          <w:sz w:val="24"/>
          <w:szCs w:val="24"/>
        </w:rPr>
        <w:t xml:space="preserve"> </w:t>
      </w:r>
      <w:r w:rsidRPr="00903E35">
        <w:rPr>
          <w:rFonts w:ascii="Palatino Linotype" w:hAnsi="Palatino Linotype" w:cs="Tahoma"/>
          <w:b/>
          <w:sz w:val="24"/>
          <w:szCs w:val="24"/>
        </w:rPr>
        <w:t xml:space="preserve">NOTIFÍQUESE </w:t>
      </w:r>
      <w:r w:rsidRPr="00903E35">
        <w:rPr>
          <w:rFonts w:ascii="Palatino Linotype" w:hAnsi="Palatino Linotype" w:cs="Arial"/>
          <w:sz w:val="24"/>
          <w:szCs w:val="24"/>
        </w:rPr>
        <w:t xml:space="preserve">a través del Sistema de Acceso a la Información Mexiquense </w:t>
      </w:r>
      <w:r w:rsidRPr="00903E35">
        <w:rPr>
          <w:rFonts w:ascii="Palatino Linotype" w:hAnsi="Palatino Linotype" w:cs="Arial"/>
          <w:b/>
          <w:sz w:val="24"/>
          <w:szCs w:val="24"/>
        </w:rPr>
        <w:t>(SAIMEX)</w:t>
      </w:r>
      <w:r w:rsidRPr="00903E35">
        <w:rPr>
          <w:rFonts w:ascii="Palatino Linotype" w:hAnsi="Palatino Linotype" w:cs="Arial"/>
          <w:sz w:val="24"/>
          <w:szCs w:val="24"/>
        </w:rPr>
        <w:t xml:space="preserve">, </w:t>
      </w:r>
      <w:r w:rsidRPr="00903E35">
        <w:rPr>
          <w:rFonts w:ascii="Palatino Linotype" w:hAnsi="Palatino Linotype" w:cs="Tahoma"/>
          <w:sz w:val="24"/>
          <w:szCs w:val="24"/>
        </w:rPr>
        <w:t xml:space="preserve">la presente Resolución al Titular de la Unidad de Transparencia del </w:t>
      </w:r>
      <w:r w:rsidRPr="00903E35">
        <w:rPr>
          <w:rFonts w:ascii="Palatino Linotype" w:hAnsi="Palatino Linotype" w:cs="Tahoma"/>
          <w:b/>
          <w:sz w:val="24"/>
          <w:szCs w:val="24"/>
        </w:rPr>
        <w:t>Sujeto Obligado</w:t>
      </w:r>
      <w:r w:rsidRPr="00903E35">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903E35">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819E0C" w14:textId="77777777" w:rsidR="00ED5630" w:rsidRDefault="00ED5630" w:rsidP="00ED5630">
      <w:pPr>
        <w:autoSpaceDE w:val="0"/>
        <w:autoSpaceDN w:val="0"/>
        <w:adjustRightInd w:val="0"/>
        <w:spacing w:line="360" w:lineRule="auto"/>
        <w:jc w:val="both"/>
        <w:rPr>
          <w:rFonts w:ascii="Palatino Linotype" w:hAnsi="Palatino Linotype" w:cs="Arial"/>
          <w:sz w:val="24"/>
          <w:szCs w:val="24"/>
        </w:rPr>
      </w:pPr>
      <w:r w:rsidRPr="00903E35">
        <w:rPr>
          <w:rFonts w:ascii="Palatino Linotype" w:hAnsi="Palatino Linotype" w:cs="Arial"/>
          <w:b/>
          <w:sz w:val="24"/>
          <w:szCs w:val="24"/>
        </w:rPr>
        <w:lastRenderedPageBreak/>
        <w:t xml:space="preserve">CUARTO. </w:t>
      </w:r>
      <w:r w:rsidRPr="00903E3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903E35">
        <w:rPr>
          <w:rFonts w:ascii="Palatino Linotype" w:hAnsi="Palatino Linotype" w:cs="Arial"/>
          <w:b/>
          <w:sz w:val="24"/>
          <w:szCs w:val="24"/>
        </w:rPr>
        <w:t>Sujeto Obligado</w:t>
      </w:r>
      <w:r w:rsidRPr="00903E35">
        <w:rPr>
          <w:rFonts w:ascii="Palatino Linotype" w:hAnsi="Palatino Linotype" w:cs="Arial"/>
          <w:sz w:val="24"/>
          <w:szCs w:val="24"/>
        </w:rPr>
        <w:t xml:space="preserve"> de manera fundada y motivada, podrá solicitar una ampliación de plazo para el cumplimiento de la presente resolución.</w:t>
      </w:r>
    </w:p>
    <w:p w14:paraId="4D1CA5BB" w14:textId="77777777" w:rsidR="000F5C19" w:rsidRPr="00903E35" w:rsidRDefault="000F5C19" w:rsidP="00ED5630">
      <w:pPr>
        <w:autoSpaceDE w:val="0"/>
        <w:autoSpaceDN w:val="0"/>
        <w:adjustRightInd w:val="0"/>
        <w:spacing w:line="360" w:lineRule="auto"/>
        <w:jc w:val="both"/>
        <w:rPr>
          <w:rFonts w:ascii="Palatino Linotype" w:hAnsi="Palatino Linotype" w:cs="Arial"/>
          <w:sz w:val="24"/>
          <w:szCs w:val="24"/>
        </w:rPr>
      </w:pPr>
    </w:p>
    <w:p w14:paraId="0DF1159F" w14:textId="77777777" w:rsidR="00ED5630" w:rsidRPr="00903E35" w:rsidRDefault="00ED5630" w:rsidP="00ED5630">
      <w:pPr>
        <w:autoSpaceDE w:val="0"/>
        <w:autoSpaceDN w:val="0"/>
        <w:adjustRightInd w:val="0"/>
        <w:spacing w:line="360" w:lineRule="auto"/>
        <w:jc w:val="both"/>
        <w:rPr>
          <w:rFonts w:ascii="Palatino Linotype" w:hAnsi="Palatino Linotype" w:cs="Arial"/>
          <w:sz w:val="24"/>
          <w:szCs w:val="24"/>
        </w:rPr>
      </w:pPr>
      <w:r w:rsidRPr="00903E35">
        <w:rPr>
          <w:rFonts w:ascii="Palatino Linotype" w:hAnsi="Palatino Linotype"/>
          <w:b/>
          <w:sz w:val="24"/>
          <w:szCs w:val="24"/>
        </w:rPr>
        <w:t xml:space="preserve">QUINTO. </w:t>
      </w:r>
      <w:r w:rsidRPr="00903E35">
        <w:rPr>
          <w:rFonts w:ascii="Palatino Linotype" w:hAnsi="Palatino Linotype" w:cs="Arial"/>
          <w:b/>
          <w:sz w:val="24"/>
          <w:szCs w:val="24"/>
        </w:rPr>
        <w:t>NOTIFÍQUESE</w:t>
      </w:r>
      <w:r w:rsidRPr="00903E35">
        <w:rPr>
          <w:rFonts w:ascii="Palatino Linotype" w:hAnsi="Palatino Linotype" w:cs="Arial"/>
          <w:sz w:val="24"/>
          <w:szCs w:val="24"/>
        </w:rPr>
        <w:t xml:space="preserve"> a través del Sistema de Acceso a la Información Mexiquense (SAIMEX), al </w:t>
      </w:r>
      <w:r w:rsidRPr="00903E35">
        <w:rPr>
          <w:rFonts w:ascii="Palatino Linotype" w:hAnsi="Palatino Linotype" w:cs="Arial"/>
          <w:b/>
          <w:sz w:val="24"/>
          <w:szCs w:val="24"/>
        </w:rPr>
        <w:t>RECURRENTE</w:t>
      </w:r>
      <w:r w:rsidRPr="00903E35">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30AA33" w14:textId="77777777" w:rsidR="00F82098" w:rsidRDefault="00F82098" w:rsidP="00F82098">
      <w:pPr>
        <w:spacing w:after="0" w:line="360" w:lineRule="auto"/>
        <w:jc w:val="both"/>
        <w:rPr>
          <w:rFonts w:ascii="Palatino Linotype" w:eastAsia="Times New Roman" w:hAnsi="Palatino Linotype" w:cs="Times New Roman"/>
          <w:color w:val="222222"/>
          <w:sz w:val="24"/>
          <w:szCs w:val="24"/>
          <w:lang w:eastAsia="es-ES"/>
        </w:rPr>
      </w:pPr>
    </w:p>
    <w:p w14:paraId="75644162" w14:textId="5DD87F40" w:rsidR="00682B40" w:rsidRPr="00705FE6" w:rsidRDefault="00682B40" w:rsidP="00682B40">
      <w:pPr>
        <w:pStyle w:val="Prrafodelista"/>
        <w:autoSpaceDE w:val="0"/>
        <w:autoSpaceDN w:val="0"/>
        <w:adjustRightInd w:val="0"/>
        <w:spacing w:before="240" w:after="160" w:line="360" w:lineRule="auto"/>
        <w:ind w:left="0"/>
        <w:jc w:val="both"/>
        <w:rPr>
          <w:rFonts w:ascii="Palatino Linotype" w:hAnsi="Palatino Linotype" w:cs="Arial"/>
          <w:lang w:val="es-MX"/>
        </w:rPr>
      </w:pPr>
      <w:r w:rsidRPr="00705FE6">
        <w:rPr>
          <w:rFonts w:ascii="Palatino Linotype" w:hAnsi="Palatino Linotype" w:cs="Arial"/>
          <w:lang w:val="es-MX"/>
        </w:rPr>
        <w:t xml:space="preserve">ASÍ LO ACORDÓ, POR UNANIMIDAD DE </w:t>
      </w:r>
      <w:r w:rsidR="00903E35" w:rsidRPr="00705FE6">
        <w:rPr>
          <w:rFonts w:ascii="Palatino Linotype" w:hAnsi="Palatino Linotype" w:cs="Arial"/>
          <w:lang w:val="es-MX"/>
        </w:rPr>
        <w:t>VOTOS, EL PLENO DEL</w:t>
      </w:r>
      <w:r w:rsidR="00903E35" w:rsidRPr="00705FE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00903E35" w:rsidRPr="00705FE6">
        <w:rPr>
          <w:rFonts w:ascii="Palatino Linotype" w:hAnsi="Palatino Linotype" w:cs="Arial"/>
          <w:lang w:val="es-MX"/>
        </w:rPr>
        <w:t xml:space="preserve">, CONFORMADO POR LOS COMISIONADOS JOSÉ MARTÍNEZ VILCHIS, MARÍA DEL ROSARIO MEJÍA AYALA, SHARON CRISTINA MORALES MARTÍNEZ, LUIS GUSTAVO PARRA NORIEGA Y GUADALUPE </w:t>
      </w:r>
      <w:r w:rsidR="003D2A25" w:rsidRPr="00705FE6">
        <w:rPr>
          <w:rFonts w:ascii="Palatino Linotype" w:hAnsi="Palatino Linotype" w:cs="Arial"/>
          <w:lang w:val="es-MX"/>
        </w:rPr>
        <w:t>RAMÍREZ PEÑA</w:t>
      </w:r>
      <w:r w:rsidR="003D2A25">
        <w:rPr>
          <w:rFonts w:ascii="Palatino Linotype" w:hAnsi="Palatino Linotype" w:cs="Arial"/>
          <w:lang w:val="es-MX"/>
        </w:rPr>
        <w:t xml:space="preserve"> (EMITIENDO VOTO PARTICULAR); </w:t>
      </w:r>
      <w:r w:rsidR="00903E35" w:rsidRPr="00705FE6">
        <w:rPr>
          <w:rFonts w:ascii="Palatino Linotype" w:hAnsi="Palatino Linotype" w:cs="Arial"/>
          <w:lang w:val="es-MX"/>
        </w:rPr>
        <w:t xml:space="preserve">EN LA </w:t>
      </w:r>
      <w:r w:rsidR="00903E35">
        <w:rPr>
          <w:rFonts w:ascii="Palatino Linotype" w:hAnsi="Palatino Linotype" w:cs="Arial"/>
          <w:lang w:val="es-MX"/>
        </w:rPr>
        <w:t xml:space="preserve">TRIGÉSIMA SESIÓN ORDINARIA CELEBRADA EL VEINTISIETE DE AGOSTO DE DOS MIL VEINTICINCO, ANTE EL </w:t>
      </w:r>
      <w:r w:rsidR="00903E35" w:rsidRPr="00705FE6">
        <w:rPr>
          <w:rFonts w:ascii="Palatino Linotype" w:hAnsi="Palatino Linotype" w:cs="Arial"/>
          <w:lang w:val="es-MX"/>
        </w:rPr>
        <w:t xml:space="preserve">SECRETARIO TÉCNICO DEL PLENO, ALEXIS TAPIA RAMÍREZ. </w:t>
      </w:r>
    </w:p>
    <w:p w14:paraId="222D3C2C" w14:textId="77777777" w:rsidR="00682B40" w:rsidRDefault="00682B40" w:rsidP="00682B40">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p w14:paraId="3A6BBA98" w14:textId="5F0EC409" w:rsidR="00F82098" w:rsidRDefault="00F82098" w:rsidP="00F82098">
      <w:pPr>
        <w:spacing w:line="360" w:lineRule="auto"/>
        <w:contextualSpacing/>
        <w:jc w:val="both"/>
        <w:rPr>
          <w:rFonts w:ascii="Palatino Linotype" w:eastAsia="MS Mincho" w:hAnsi="Palatino Linotype"/>
        </w:rPr>
      </w:pP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1ABDD" w14:textId="77777777" w:rsidR="00355C37" w:rsidRDefault="00355C37" w:rsidP="006168E4">
      <w:pPr>
        <w:spacing w:after="0" w:line="240" w:lineRule="auto"/>
      </w:pPr>
      <w:r>
        <w:separator/>
      </w:r>
    </w:p>
  </w:endnote>
  <w:endnote w:type="continuationSeparator" w:id="0">
    <w:p w14:paraId="79D1C55F" w14:textId="77777777" w:rsidR="00355C37" w:rsidRDefault="00355C3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115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C115F">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11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C115F">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673B4" w14:textId="77777777" w:rsidR="00355C37" w:rsidRDefault="00355C37" w:rsidP="006168E4">
      <w:pPr>
        <w:spacing w:after="0" w:line="240" w:lineRule="auto"/>
      </w:pPr>
      <w:r>
        <w:separator/>
      </w:r>
    </w:p>
  </w:footnote>
  <w:footnote w:type="continuationSeparator" w:id="0">
    <w:p w14:paraId="4014A370" w14:textId="77777777" w:rsidR="00355C37" w:rsidRDefault="00355C37" w:rsidP="006168E4">
      <w:pPr>
        <w:spacing w:after="0" w:line="240" w:lineRule="auto"/>
      </w:pPr>
      <w:r>
        <w:continuationSeparator/>
      </w:r>
    </w:p>
  </w:footnote>
  <w:footnote w:id="1">
    <w:p w14:paraId="15151509" w14:textId="77777777" w:rsidR="00F46CD8" w:rsidRPr="00BA61D0" w:rsidRDefault="00F46CD8" w:rsidP="00F46CD8">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9EE4C2E"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53804">
            <w:rPr>
              <w:rFonts w:ascii="Palatino Linotype" w:hAnsi="Palatino Linotype" w:cs="Arial"/>
              <w:bCs/>
              <w:sz w:val="24"/>
              <w:lang w:eastAsia="es-MX"/>
            </w:rPr>
            <w:t>8990</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C9EFACF"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53804">
            <w:rPr>
              <w:rFonts w:ascii="Palatino Linotype" w:hAnsi="Palatino Linotype" w:cs="Arial"/>
              <w:bCs/>
              <w:sz w:val="24"/>
              <w:lang w:eastAsia="es-MX"/>
            </w:rPr>
            <w:t>8990</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4E777B4"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7C115F">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DA2BE5"/>
    <w:multiLevelType w:val="hybridMultilevel"/>
    <w:tmpl w:val="4042B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5311E2"/>
    <w:multiLevelType w:val="hybridMultilevel"/>
    <w:tmpl w:val="052E3948"/>
    <w:lvl w:ilvl="0" w:tplc="06D0942A">
      <w:start w:val="1"/>
      <w:numFmt w:val="decimal"/>
      <w:lvlText w:val="%1."/>
      <w:lvlJc w:val="left"/>
      <w:pPr>
        <w:ind w:left="720" w:hanging="360"/>
      </w:pPr>
      <w:rPr>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306565"/>
    <w:multiLevelType w:val="hybridMultilevel"/>
    <w:tmpl w:val="457646CC"/>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B67DE"/>
    <w:multiLevelType w:val="hybridMultilevel"/>
    <w:tmpl w:val="532AC98A"/>
    <w:lvl w:ilvl="0" w:tplc="4CD4AFB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61F77"/>
    <w:multiLevelType w:val="hybridMultilevel"/>
    <w:tmpl w:val="19EAABFE"/>
    <w:lvl w:ilvl="0" w:tplc="86722B94">
      <w:start w:val="1"/>
      <w:numFmt w:val="bullet"/>
      <w:lvlText w:val="-"/>
      <w:lvlJc w:val="left"/>
      <w:pPr>
        <w:ind w:left="1080" w:hanging="360"/>
      </w:pPr>
      <w:rPr>
        <w:rFonts w:ascii="Palatino Linotype" w:eastAsia="Times New Roman" w:hAnsi="Palatino Linotype" w:cs="Times New Roman"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8"/>
  </w:num>
  <w:num w:numId="4">
    <w:abstractNumId w:val="9"/>
  </w:num>
  <w:num w:numId="5">
    <w:abstractNumId w:val="6"/>
  </w:num>
  <w:num w:numId="6">
    <w:abstractNumId w:val="0"/>
  </w:num>
  <w:num w:numId="7">
    <w:abstractNumId w:val="3"/>
  </w:num>
  <w:num w:numId="8">
    <w:abstractNumId w:val="5"/>
  </w:num>
  <w:num w:numId="9">
    <w:abstractNumId w:val="2"/>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464C"/>
    <w:rsid w:val="00055224"/>
    <w:rsid w:val="00056D2A"/>
    <w:rsid w:val="00057E37"/>
    <w:rsid w:val="00060371"/>
    <w:rsid w:val="000612BD"/>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B33"/>
    <w:rsid w:val="000C2602"/>
    <w:rsid w:val="000C5B8B"/>
    <w:rsid w:val="000C7ED3"/>
    <w:rsid w:val="000D0F48"/>
    <w:rsid w:val="000D1A4E"/>
    <w:rsid w:val="000D1B50"/>
    <w:rsid w:val="000D1B55"/>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5153"/>
    <w:rsid w:val="000F5C19"/>
    <w:rsid w:val="000F6D5B"/>
    <w:rsid w:val="00100C19"/>
    <w:rsid w:val="00104A18"/>
    <w:rsid w:val="00105F91"/>
    <w:rsid w:val="00106372"/>
    <w:rsid w:val="001108D8"/>
    <w:rsid w:val="00111DCD"/>
    <w:rsid w:val="00112C29"/>
    <w:rsid w:val="00114CF9"/>
    <w:rsid w:val="00116FA7"/>
    <w:rsid w:val="00120642"/>
    <w:rsid w:val="001228AB"/>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4A4B"/>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C4"/>
    <w:rsid w:val="002C1B76"/>
    <w:rsid w:val="002C254D"/>
    <w:rsid w:val="002C2C20"/>
    <w:rsid w:val="002C64CF"/>
    <w:rsid w:val="002C64E9"/>
    <w:rsid w:val="002C72D2"/>
    <w:rsid w:val="002D08E3"/>
    <w:rsid w:val="002D30CB"/>
    <w:rsid w:val="002D310D"/>
    <w:rsid w:val="002D338B"/>
    <w:rsid w:val="002D44B4"/>
    <w:rsid w:val="002D6995"/>
    <w:rsid w:val="002D7003"/>
    <w:rsid w:val="002E002A"/>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0506"/>
    <w:rsid w:val="0034179E"/>
    <w:rsid w:val="00341AC3"/>
    <w:rsid w:val="003421F9"/>
    <w:rsid w:val="0034299B"/>
    <w:rsid w:val="003430A8"/>
    <w:rsid w:val="00344259"/>
    <w:rsid w:val="003443B2"/>
    <w:rsid w:val="00344580"/>
    <w:rsid w:val="0035126E"/>
    <w:rsid w:val="003551AD"/>
    <w:rsid w:val="00355A06"/>
    <w:rsid w:val="00355C37"/>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6116"/>
    <w:rsid w:val="003C7873"/>
    <w:rsid w:val="003C78F7"/>
    <w:rsid w:val="003C7C12"/>
    <w:rsid w:val="003D153C"/>
    <w:rsid w:val="003D2A25"/>
    <w:rsid w:val="003D65C9"/>
    <w:rsid w:val="003D70D4"/>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8E6"/>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7C0"/>
    <w:rsid w:val="004A5FFD"/>
    <w:rsid w:val="004A7195"/>
    <w:rsid w:val="004A7CE2"/>
    <w:rsid w:val="004B12AF"/>
    <w:rsid w:val="004B13CF"/>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E0679"/>
    <w:rsid w:val="004E0B32"/>
    <w:rsid w:val="004E1E0C"/>
    <w:rsid w:val="004E2371"/>
    <w:rsid w:val="004E59D7"/>
    <w:rsid w:val="004E6BE9"/>
    <w:rsid w:val="004E78B8"/>
    <w:rsid w:val="004E79A4"/>
    <w:rsid w:val="004F26CF"/>
    <w:rsid w:val="004F41D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4977"/>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329C"/>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E482F"/>
    <w:rsid w:val="005E4D7C"/>
    <w:rsid w:val="005E4EB4"/>
    <w:rsid w:val="005E4ED7"/>
    <w:rsid w:val="005E7A49"/>
    <w:rsid w:val="005F048E"/>
    <w:rsid w:val="005F1073"/>
    <w:rsid w:val="005F1408"/>
    <w:rsid w:val="005F18FF"/>
    <w:rsid w:val="005F1E0B"/>
    <w:rsid w:val="005F4648"/>
    <w:rsid w:val="005F57F0"/>
    <w:rsid w:val="005F7424"/>
    <w:rsid w:val="005F7D10"/>
    <w:rsid w:val="006003FB"/>
    <w:rsid w:val="00600FB9"/>
    <w:rsid w:val="00602223"/>
    <w:rsid w:val="0060242C"/>
    <w:rsid w:val="00603C36"/>
    <w:rsid w:val="00606FDA"/>
    <w:rsid w:val="00607414"/>
    <w:rsid w:val="0061042F"/>
    <w:rsid w:val="0061096B"/>
    <w:rsid w:val="00612CE5"/>
    <w:rsid w:val="0061459B"/>
    <w:rsid w:val="00615562"/>
    <w:rsid w:val="006168E4"/>
    <w:rsid w:val="0061694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7DAE"/>
    <w:rsid w:val="00681802"/>
    <w:rsid w:val="00682225"/>
    <w:rsid w:val="006822F4"/>
    <w:rsid w:val="00682B40"/>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43B"/>
    <w:rsid w:val="006D3CD7"/>
    <w:rsid w:val="006D3F82"/>
    <w:rsid w:val="006D5719"/>
    <w:rsid w:val="006D76E2"/>
    <w:rsid w:val="006D79B4"/>
    <w:rsid w:val="006E0068"/>
    <w:rsid w:val="006E01D1"/>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5308"/>
    <w:rsid w:val="00715904"/>
    <w:rsid w:val="00716BFE"/>
    <w:rsid w:val="007234D1"/>
    <w:rsid w:val="0072640A"/>
    <w:rsid w:val="0072666C"/>
    <w:rsid w:val="00731428"/>
    <w:rsid w:val="0073157A"/>
    <w:rsid w:val="00731690"/>
    <w:rsid w:val="00735209"/>
    <w:rsid w:val="0073539D"/>
    <w:rsid w:val="00735E0F"/>
    <w:rsid w:val="00740E74"/>
    <w:rsid w:val="007444E2"/>
    <w:rsid w:val="00744D68"/>
    <w:rsid w:val="00744E29"/>
    <w:rsid w:val="00744EEF"/>
    <w:rsid w:val="007517D1"/>
    <w:rsid w:val="0075229E"/>
    <w:rsid w:val="007524CA"/>
    <w:rsid w:val="00753476"/>
    <w:rsid w:val="00754B44"/>
    <w:rsid w:val="00754CAE"/>
    <w:rsid w:val="00757992"/>
    <w:rsid w:val="00761B5E"/>
    <w:rsid w:val="007622D6"/>
    <w:rsid w:val="00763FEE"/>
    <w:rsid w:val="007658D5"/>
    <w:rsid w:val="00772BA8"/>
    <w:rsid w:val="00774266"/>
    <w:rsid w:val="0078028A"/>
    <w:rsid w:val="007806CB"/>
    <w:rsid w:val="007816FD"/>
    <w:rsid w:val="00781C64"/>
    <w:rsid w:val="007829AF"/>
    <w:rsid w:val="007848FB"/>
    <w:rsid w:val="007851D5"/>
    <w:rsid w:val="00785698"/>
    <w:rsid w:val="0078693A"/>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7A6F"/>
    <w:rsid w:val="007C115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BAB"/>
    <w:rsid w:val="007E7DCE"/>
    <w:rsid w:val="007F1347"/>
    <w:rsid w:val="007F20AC"/>
    <w:rsid w:val="007F43BD"/>
    <w:rsid w:val="007F53D4"/>
    <w:rsid w:val="007F6404"/>
    <w:rsid w:val="007F71AE"/>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7C20"/>
    <w:rsid w:val="008419A8"/>
    <w:rsid w:val="008436AD"/>
    <w:rsid w:val="00844569"/>
    <w:rsid w:val="00846539"/>
    <w:rsid w:val="0084766D"/>
    <w:rsid w:val="00847D23"/>
    <w:rsid w:val="00851545"/>
    <w:rsid w:val="00853804"/>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4658"/>
    <w:rsid w:val="008B4E07"/>
    <w:rsid w:val="008B74DC"/>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239D"/>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2818"/>
    <w:rsid w:val="00A036BE"/>
    <w:rsid w:val="00A03C4B"/>
    <w:rsid w:val="00A03DF1"/>
    <w:rsid w:val="00A04C52"/>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3501"/>
    <w:rsid w:val="00A453DC"/>
    <w:rsid w:val="00A46BDA"/>
    <w:rsid w:val="00A477E9"/>
    <w:rsid w:val="00A535E3"/>
    <w:rsid w:val="00A540E1"/>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F16C8"/>
    <w:rsid w:val="00AF5638"/>
    <w:rsid w:val="00AF74DA"/>
    <w:rsid w:val="00B006A9"/>
    <w:rsid w:val="00B00C72"/>
    <w:rsid w:val="00B01443"/>
    <w:rsid w:val="00B043FD"/>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254F"/>
    <w:rsid w:val="00C337F9"/>
    <w:rsid w:val="00C36237"/>
    <w:rsid w:val="00C36DCE"/>
    <w:rsid w:val="00C3746F"/>
    <w:rsid w:val="00C3768A"/>
    <w:rsid w:val="00C37D9D"/>
    <w:rsid w:val="00C4139D"/>
    <w:rsid w:val="00C42AC0"/>
    <w:rsid w:val="00C42E26"/>
    <w:rsid w:val="00C44901"/>
    <w:rsid w:val="00C449BF"/>
    <w:rsid w:val="00C45DE7"/>
    <w:rsid w:val="00C5122B"/>
    <w:rsid w:val="00C521CA"/>
    <w:rsid w:val="00C538D4"/>
    <w:rsid w:val="00C53A8B"/>
    <w:rsid w:val="00C562FD"/>
    <w:rsid w:val="00C56A3B"/>
    <w:rsid w:val="00C56C17"/>
    <w:rsid w:val="00C574A4"/>
    <w:rsid w:val="00C60396"/>
    <w:rsid w:val="00C615BE"/>
    <w:rsid w:val="00C6183A"/>
    <w:rsid w:val="00C659E1"/>
    <w:rsid w:val="00C7039A"/>
    <w:rsid w:val="00C718A8"/>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ADB"/>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0DE"/>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3FD1"/>
    <w:rsid w:val="00E75790"/>
    <w:rsid w:val="00E80180"/>
    <w:rsid w:val="00E8129E"/>
    <w:rsid w:val="00E814CD"/>
    <w:rsid w:val="00E81A2B"/>
    <w:rsid w:val="00E81C84"/>
    <w:rsid w:val="00E81DE2"/>
    <w:rsid w:val="00E81E42"/>
    <w:rsid w:val="00E82187"/>
    <w:rsid w:val="00E848DB"/>
    <w:rsid w:val="00E86D59"/>
    <w:rsid w:val="00E87407"/>
    <w:rsid w:val="00E91243"/>
    <w:rsid w:val="00E91D48"/>
    <w:rsid w:val="00E93E68"/>
    <w:rsid w:val="00E944BC"/>
    <w:rsid w:val="00E97676"/>
    <w:rsid w:val="00EA1CE1"/>
    <w:rsid w:val="00EA1F89"/>
    <w:rsid w:val="00EA5439"/>
    <w:rsid w:val="00EA72C0"/>
    <w:rsid w:val="00EB008E"/>
    <w:rsid w:val="00EB08A0"/>
    <w:rsid w:val="00EB117B"/>
    <w:rsid w:val="00EB2E85"/>
    <w:rsid w:val="00EB4095"/>
    <w:rsid w:val="00EB40D6"/>
    <w:rsid w:val="00EB49F7"/>
    <w:rsid w:val="00EB5F75"/>
    <w:rsid w:val="00EB685E"/>
    <w:rsid w:val="00EB7852"/>
    <w:rsid w:val="00EB79CD"/>
    <w:rsid w:val="00EB7C22"/>
    <w:rsid w:val="00EC060D"/>
    <w:rsid w:val="00EC1375"/>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F00ACE"/>
    <w:rsid w:val="00F02923"/>
    <w:rsid w:val="00F0304F"/>
    <w:rsid w:val="00F0351B"/>
    <w:rsid w:val="00F04089"/>
    <w:rsid w:val="00F05B66"/>
    <w:rsid w:val="00F06275"/>
    <w:rsid w:val="00F06472"/>
    <w:rsid w:val="00F07362"/>
    <w:rsid w:val="00F1169F"/>
    <w:rsid w:val="00F116E5"/>
    <w:rsid w:val="00F123EC"/>
    <w:rsid w:val="00F14887"/>
    <w:rsid w:val="00F15FB1"/>
    <w:rsid w:val="00F16331"/>
    <w:rsid w:val="00F20258"/>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21DE-F6A2-4C90-A843-7A84B800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47</Pages>
  <Words>9340</Words>
  <Characters>51376</Characters>
  <Application>Microsoft Office Word</Application>
  <DocSecurity>0</DocSecurity>
  <Lines>428</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2025-08-28T22:55:00Z</cp:lastPrinted>
  <dcterms:created xsi:type="dcterms:W3CDTF">2025-08-19T17:57:00Z</dcterms:created>
  <dcterms:modified xsi:type="dcterms:W3CDTF">2025-09-17T23:43:00Z</dcterms:modified>
</cp:coreProperties>
</file>