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8EBFA" w14:textId="77777777" w:rsidR="005D7A18" w:rsidRPr="00A36A81" w:rsidRDefault="00866B6B">
      <w:pPr>
        <w:spacing w:before="240" w:after="0" w:line="360" w:lineRule="auto"/>
        <w:ind w:right="49"/>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seis de marzo de dos mil veinticinco.</w:t>
      </w:r>
    </w:p>
    <w:p w14:paraId="45B19FC6" w14:textId="77777777" w:rsidR="005D7A18" w:rsidRPr="00A36A81" w:rsidRDefault="005D7A18">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p>
    <w:p w14:paraId="4A4B537C" w14:textId="77777777" w:rsidR="005D7A18" w:rsidRPr="00A36A81" w:rsidRDefault="00866B6B">
      <w:pPr>
        <w:spacing w:after="0" w:line="360" w:lineRule="auto"/>
        <w:ind w:right="51"/>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t xml:space="preserve">Visto </w:t>
      </w:r>
      <w:r w:rsidRPr="00A36A81">
        <w:rPr>
          <w:rFonts w:ascii="Palatino Linotype" w:eastAsia="Palatino Linotype" w:hAnsi="Palatino Linotype" w:cs="Palatino Linotype"/>
          <w:sz w:val="24"/>
          <w:szCs w:val="24"/>
        </w:rPr>
        <w:t xml:space="preserve">el expediente relativo al recurso de revisión </w:t>
      </w:r>
      <w:r w:rsidRPr="00A36A81">
        <w:rPr>
          <w:rFonts w:ascii="Palatino Linotype" w:eastAsia="Palatino Linotype" w:hAnsi="Palatino Linotype" w:cs="Palatino Linotype"/>
          <w:b/>
          <w:sz w:val="24"/>
          <w:szCs w:val="24"/>
        </w:rPr>
        <w:t>00604/INFOEM/IP/RR/2025</w:t>
      </w:r>
      <w:r w:rsidRPr="00A36A81">
        <w:rPr>
          <w:rFonts w:ascii="Palatino Linotype" w:eastAsia="Palatino Linotype" w:hAnsi="Palatino Linotype" w:cs="Palatino Linotype"/>
          <w:sz w:val="24"/>
          <w:szCs w:val="24"/>
        </w:rPr>
        <w:t>, interpuesto por</w:t>
      </w:r>
      <w:r w:rsidRPr="00A36A81">
        <w:rPr>
          <w:rFonts w:ascii="Palatino Linotype" w:eastAsia="Palatino Linotype" w:hAnsi="Palatino Linotype" w:cs="Palatino Linotype"/>
          <w:b/>
          <w:sz w:val="24"/>
          <w:szCs w:val="24"/>
        </w:rPr>
        <w:t xml:space="preserve"> un particular de manera anónima</w:t>
      </w:r>
      <w:r w:rsidRPr="00A36A81">
        <w:rPr>
          <w:rFonts w:ascii="Palatino Linotype" w:eastAsia="Palatino Linotype" w:hAnsi="Palatino Linotype" w:cs="Palatino Linotype"/>
          <w:sz w:val="24"/>
          <w:szCs w:val="24"/>
        </w:rPr>
        <w:t xml:space="preserve">, en lo sucesivo se le denominara </w:t>
      </w:r>
      <w:r w:rsidRPr="00A36A81">
        <w:rPr>
          <w:rFonts w:ascii="Palatino Linotype" w:eastAsia="Palatino Linotype" w:hAnsi="Palatino Linotype" w:cs="Palatino Linotype"/>
          <w:b/>
          <w:sz w:val="24"/>
          <w:szCs w:val="24"/>
        </w:rPr>
        <w:t>LA PARTE RECURRENTE</w:t>
      </w:r>
      <w:r w:rsidRPr="00A36A81">
        <w:rPr>
          <w:rFonts w:ascii="Palatino Linotype" w:eastAsia="Palatino Linotype" w:hAnsi="Palatino Linotype" w:cs="Palatino Linotype"/>
          <w:sz w:val="24"/>
          <w:szCs w:val="24"/>
        </w:rPr>
        <w:t xml:space="preserve">, en contra de la falta de respuesta a la solicitud de información con número de folio </w:t>
      </w:r>
      <w:r w:rsidRPr="00A36A81">
        <w:rPr>
          <w:rFonts w:ascii="Palatino Linotype" w:eastAsia="Palatino Linotype" w:hAnsi="Palatino Linotype" w:cs="Palatino Linotype"/>
          <w:b/>
          <w:sz w:val="24"/>
          <w:szCs w:val="24"/>
        </w:rPr>
        <w:t>00244/TOLUCA/IP/2025</w:t>
      </w:r>
      <w:r w:rsidRPr="00A36A81">
        <w:rPr>
          <w:rFonts w:ascii="Palatino Linotype" w:eastAsia="Palatino Linotype" w:hAnsi="Palatino Linotype" w:cs="Palatino Linotype"/>
          <w:sz w:val="24"/>
          <w:szCs w:val="24"/>
        </w:rPr>
        <w:t xml:space="preserve">, por parte del </w:t>
      </w:r>
      <w:r w:rsidRPr="00A36A81">
        <w:rPr>
          <w:rFonts w:ascii="Palatino Linotype" w:eastAsia="Palatino Linotype" w:hAnsi="Palatino Linotype" w:cs="Palatino Linotype"/>
          <w:b/>
          <w:sz w:val="24"/>
          <w:szCs w:val="24"/>
        </w:rPr>
        <w:t>Ayuntamiento de Toluca</w:t>
      </w:r>
      <w:r w:rsidRPr="00A36A81">
        <w:rPr>
          <w:rFonts w:ascii="Palatino Linotype" w:eastAsia="Palatino Linotype" w:hAnsi="Palatino Linotype" w:cs="Palatino Linotype"/>
          <w:sz w:val="24"/>
          <w:szCs w:val="24"/>
        </w:rPr>
        <w:t>, en lo sucesivo</w:t>
      </w:r>
      <w:r w:rsidRPr="00A36A81">
        <w:rPr>
          <w:rFonts w:ascii="Palatino Linotype" w:eastAsia="Palatino Linotype" w:hAnsi="Palatino Linotype" w:cs="Palatino Linotype"/>
          <w:b/>
          <w:sz w:val="24"/>
          <w:szCs w:val="24"/>
        </w:rPr>
        <w:t xml:space="preserve"> EL SUJETO OBLIGADO; </w:t>
      </w:r>
      <w:r w:rsidRPr="00A36A81">
        <w:rPr>
          <w:rFonts w:ascii="Palatino Linotype" w:eastAsia="Palatino Linotype" w:hAnsi="Palatino Linotype" w:cs="Palatino Linotype"/>
          <w:sz w:val="24"/>
          <w:szCs w:val="24"/>
        </w:rPr>
        <w:t>se procede a dictar la presente resolución, con base en lo siguiente.</w:t>
      </w:r>
    </w:p>
    <w:p w14:paraId="46CE8CBF" w14:textId="77777777" w:rsidR="005D7A18" w:rsidRPr="00A36A81" w:rsidRDefault="005D7A18">
      <w:pPr>
        <w:spacing w:after="0" w:line="360" w:lineRule="auto"/>
        <w:ind w:right="51"/>
        <w:jc w:val="both"/>
        <w:rPr>
          <w:rFonts w:ascii="Palatino Linotype" w:eastAsia="Palatino Linotype" w:hAnsi="Palatino Linotype" w:cs="Palatino Linotype"/>
          <w:sz w:val="24"/>
          <w:szCs w:val="24"/>
        </w:rPr>
      </w:pPr>
    </w:p>
    <w:p w14:paraId="7CFA46E9" w14:textId="77777777" w:rsidR="005D7A18" w:rsidRPr="00A36A81" w:rsidRDefault="00866B6B">
      <w:pPr>
        <w:pBdr>
          <w:top w:val="nil"/>
          <w:left w:val="nil"/>
          <w:bottom w:val="nil"/>
          <w:right w:val="nil"/>
          <w:between w:val="nil"/>
        </w:pBdr>
        <w:spacing w:after="0" w:line="360" w:lineRule="auto"/>
        <w:ind w:left="1077"/>
        <w:jc w:val="center"/>
        <w:rPr>
          <w:rFonts w:ascii="Palatino Linotype" w:eastAsia="Palatino Linotype" w:hAnsi="Palatino Linotype" w:cs="Palatino Linotype"/>
          <w:b/>
          <w:sz w:val="24"/>
          <w:szCs w:val="24"/>
        </w:rPr>
      </w:pPr>
      <w:r w:rsidRPr="00A36A81">
        <w:rPr>
          <w:rFonts w:ascii="Palatino Linotype" w:eastAsia="Palatino Linotype" w:hAnsi="Palatino Linotype" w:cs="Palatino Linotype"/>
          <w:b/>
          <w:sz w:val="24"/>
          <w:szCs w:val="24"/>
        </w:rPr>
        <w:t>A N T E C E D E N T E S:</w:t>
      </w:r>
    </w:p>
    <w:p w14:paraId="287F5C72" w14:textId="77777777" w:rsidR="005D7A18" w:rsidRPr="00A36A81" w:rsidRDefault="005D7A18">
      <w:pPr>
        <w:pBdr>
          <w:top w:val="nil"/>
          <w:left w:val="nil"/>
          <w:bottom w:val="nil"/>
          <w:right w:val="nil"/>
          <w:between w:val="nil"/>
        </w:pBdr>
        <w:spacing w:after="0" w:line="360" w:lineRule="auto"/>
        <w:ind w:left="1077"/>
        <w:rPr>
          <w:rFonts w:ascii="Palatino Linotype" w:eastAsia="Palatino Linotype" w:hAnsi="Palatino Linotype" w:cs="Palatino Linotype"/>
          <w:b/>
          <w:sz w:val="24"/>
          <w:szCs w:val="24"/>
        </w:rPr>
      </w:pPr>
    </w:p>
    <w:p w14:paraId="390A485F"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t xml:space="preserve">1. SOLICITUD DE ACCESO A LA INFORMACIÓN. </w:t>
      </w:r>
      <w:r w:rsidRPr="00A36A81">
        <w:rPr>
          <w:rFonts w:ascii="Palatino Linotype" w:eastAsia="Palatino Linotype" w:hAnsi="Palatino Linotype" w:cs="Palatino Linotype"/>
          <w:sz w:val="24"/>
          <w:szCs w:val="24"/>
        </w:rPr>
        <w:t xml:space="preserve">Con fecha </w:t>
      </w:r>
      <w:r w:rsidRPr="00A36A81">
        <w:rPr>
          <w:rFonts w:ascii="Palatino Linotype" w:eastAsia="Palatino Linotype" w:hAnsi="Palatino Linotype" w:cs="Palatino Linotype"/>
          <w:b/>
          <w:sz w:val="24"/>
          <w:szCs w:val="24"/>
        </w:rPr>
        <w:t>trece de enero de dos mil veinticinco</w:t>
      </w:r>
      <w:r w:rsidRPr="00A36A81">
        <w:rPr>
          <w:rFonts w:ascii="Palatino Linotype" w:eastAsia="Palatino Linotype" w:hAnsi="Palatino Linotype" w:cs="Palatino Linotype"/>
          <w:sz w:val="24"/>
          <w:szCs w:val="24"/>
        </w:rPr>
        <w:t xml:space="preserve">, </w:t>
      </w:r>
      <w:r w:rsidRPr="00A36A81">
        <w:rPr>
          <w:rFonts w:ascii="Palatino Linotype" w:eastAsia="Palatino Linotype" w:hAnsi="Palatino Linotype" w:cs="Palatino Linotype"/>
          <w:b/>
          <w:sz w:val="24"/>
          <w:szCs w:val="24"/>
        </w:rPr>
        <w:t>LA PARTE</w:t>
      </w:r>
      <w:r w:rsidRPr="00A36A81">
        <w:rPr>
          <w:rFonts w:ascii="Palatino Linotype" w:eastAsia="Palatino Linotype" w:hAnsi="Palatino Linotype" w:cs="Palatino Linotype"/>
          <w:sz w:val="24"/>
          <w:szCs w:val="24"/>
        </w:rPr>
        <w:t xml:space="preserve"> </w:t>
      </w:r>
      <w:r w:rsidRPr="00A36A81">
        <w:rPr>
          <w:rFonts w:ascii="Palatino Linotype" w:eastAsia="Palatino Linotype" w:hAnsi="Palatino Linotype" w:cs="Palatino Linotype"/>
          <w:b/>
          <w:sz w:val="24"/>
          <w:szCs w:val="24"/>
        </w:rPr>
        <w:t xml:space="preserve">RECURRENTE </w:t>
      </w:r>
      <w:r w:rsidRPr="00A36A81">
        <w:rPr>
          <w:rFonts w:ascii="Palatino Linotype" w:eastAsia="Palatino Linotype" w:hAnsi="Palatino Linotype" w:cs="Palatino Linotype"/>
          <w:sz w:val="24"/>
          <w:szCs w:val="24"/>
        </w:rPr>
        <w:t xml:space="preserve">formuló a través del Sistema de Acceso a la Información Mexiquense, en adelante </w:t>
      </w:r>
      <w:r w:rsidRPr="00A36A81">
        <w:rPr>
          <w:rFonts w:ascii="Palatino Linotype" w:eastAsia="Palatino Linotype" w:hAnsi="Palatino Linotype" w:cs="Palatino Linotype"/>
          <w:b/>
          <w:sz w:val="24"/>
          <w:szCs w:val="24"/>
        </w:rPr>
        <w:t>SAIMEX,</w:t>
      </w:r>
      <w:r w:rsidRPr="00A36A81">
        <w:rPr>
          <w:rFonts w:ascii="Palatino Linotype" w:eastAsia="Palatino Linotype" w:hAnsi="Palatino Linotype" w:cs="Palatino Linotype"/>
          <w:sz w:val="24"/>
          <w:szCs w:val="24"/>
        </w:rPr>
        <w:t xml:space="preserve"> solicitud de información al </w:t>
      </w:r>
      <w:r w:rsidRPr="00A36A81">
        <w:rPr>
          <w:rFonts w:ascii="Palatino Linotype" w:eastAsia="Palatino Linotype" w:hAnsi="Palatino Linotype" w:cs="Palatino Linotype"/>
          <w:b/>
          <w:sz w:val="24"/>
          <w:szCs w:val="24"/>
        </w:rPr>
        <w:t>SUJETO OBLIGADO</w:t>
      </w:r>
      <w:r w:rsidRPr="00A36A81">
        <w:rPr>
          <w:rFonts w:ascii="Palatino Linotype" w:eastAsia="Palatino Linotype" w:hAnsi="Palatino Linotype" w:cs="Palatino Linotype"/>
          <w:sz w:val="24"/>
          <w:szCs w:val="24"/>
        </w:rPr>
        <w:t xml:space="preserve"> requiriéndole lo siguiente:</w:t>
      </w:r>
    </w:p>
    <w:p w14:paraId="5A873EE0"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1183F377" w14:textId="77777777" w:rsidR="005D7A18" w:rsidRPr="00A36A81" w:rsidRDefault="00866B6B">
      <w:pPr>
        <w:pBdr>
          <w:top w:val="nil"/>
          <w:left w:val="nil"/>
          <w:bottom w:val="nil"/>
          <w:right w:val="nil"/>
          <w:between w:val="nil"/>
        </w:pBdr>
        <w:spacing w:after="0" w:line="360" w:lineRule="auto"/>
        <w:ind w:left="567" w:right="616"/>
        <w:jc w:val="both"/>
        <w:rPr>
          <w:rFonts w:ascii="Palatino Linotype" w:eastAsia="Palatino Linotype" w:hAnsi="Palatino Linotype" w:cs="Palatino Linotype"/>
          <w:i/>
          <w:sz w:val="24"/>
          <w:szCs w:val="24"/>
        </w:rPr>
      </w:pPr>
      <w:r w:rsidRPr="00A36A81">
        <w:rPr>
          <w:rFonts w:ascii="Palatino Linotype" w:eastAsia="Palatino Linotype" w:hAnsi="Palatino Linotype" w:cs="Palatino Linotype"/>
          <w:i/>
          <w:sz w:val="24"/>
          <w:szCs w:val="24"/>
        </w:rPr>
        <w:t xml:space="preserve">“El nombre de todos los servidores públicos y cabildo qué asistieron al evento de los 100 días de Claudia y los oficios de descuento del día </w:t>
      </w:r>
      <w:proofErr w:type="spellStart"/>
      <w:r w:rsidRPr="00A36A81">
        <w:rPr>
          <w:rFonts w:ascii="Palatino Linotype" w:eastAsia="Palatino Linotype" w:hAnsi="Palatino Linotype" w:cs="Palatino Linotype"/>
          <w:i/>
          <w:sz w:val="24"/>
          <w:szCs w:val="24"/>
        </w:rPr>
        <w:t>por que</w:t>
      </w:r>
      <w:proofErr w:type="spellEnd"/>
      <w:r w:rsidRPr="00A36A81">
        <w:rPr>
          <w:rFonts w:ascii="Palatino Linotype" w:eastAsia="Palatino Linotype" w:hAnsi="Palatino Linotype" w:cs="Palatino Linotype"/>
          <w:i/>
          <w:sz w:val="24"/>
          <w:szCs w:val="24"/>
        </w:rPr>
        <w:t xml:space="preserve"> al fin son servidores y cabildo los 365 días” (Sic)</w:t>
      </w:r>
    </w:p>
    <w:p w14:paraId="0E1FD8C7" w14:textId="77777777" w:rsidR="005D7A18" w:rsidRPr="00A36A81" w:rsidRDefault="005D7A18">
      <w:pPr>
        <w:pBdr>
          <w:top w:val="nil"/>
          <w:left w:val="nil"/>
          <w:bottom w:val="nil"/>
          <w:right w:val="nil"/>
          <w:between w:val="nil"/>
        </w:pBdr>
        <w:spacing w:after="0" w:line="360" w:lineRule="auto"/>
        <w:ind w:left="567" w:right="616"/>
        <w:jc w:val="both"/>
        <w:rPr>
          <w:rFonts w:ascii="Palatino Linotype" w:eastAsia="Palatino Linotype" w:hAnsi="Palatino Linotype" w:cs="Palatino Linotype"/>
          <w:i/>
          <w:sz w:val="24"/>
          <w:szCs w:val="24"/>
        </w:rPr>
      </w:pPr>
    </w:p>
    <w:p w14:paraId="76CBF4C6"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t xml:space="preserve">Modalidad elegida para la entrega de la información: </w:t>
      </w:r>
      <w:r w:rsidRPr="00A36A81">
        <w:rPr>
          <w:rFonts w:ascii="Palatino Linotype" w:eastAsia="Palatino Linotype" w:hAnsi="Palatino Linotype" w:cs="Palatino Linotype"/>
          <w:sz w:val="24"/>
          <w:szCs w:val="24"/>
        </w:rPr>
        <w:t>a través del SAIMEX.</w:t>
      </w:r>
    </w:p>
    <w:p w14:paraId="097A4FC3"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lastRenderedPageBreak/>
        <w:t xml:space="preserve">2. RESPUESTA. EL SUJETO OBLIGADO </w:t>
      </w:r>
      <w:r w:rsidRPr="00A36A81">
        <w:rPr>
          <w:rFonts w:ascii="Palatino Linotype" w:eastAsia="Palatino Linotype" w:hAnsi="Palatino Linotype" w:cs="Palatino Linotype"/>
          <w:sz w:val="24"/>
          <w:szCs w:val="24"/>
        </w:rPr>
        <w:t xml:space="preserve">fue omiso en proporcionar respuesta. </w:t>
      </w:r>
    </w:p>
    <w:p w14:paraId="34529AD2" w14:textId="77777777" w:rsidR="005D7A18" w:rsidRPr="00A36A81" w:rsidRDefault="005D7A18">
      <w:pPr>
        <w:spacing w:after="0" w:line="360" w:lineRule="auto"/>
        <w:ind w:right="51"/>
        <w:jc w:val="both"/>
        <w:rPr>
          <w:rFonts w:ascii="Palatino Linotype" w:eastAsia="Palatino Linotype" w:hAnsi="Palatino Linotype" w:cs="Palatino Linotype"/>
          <w:sz w:val="24"/>
          <w:szCs w:val="24"/>
        </w:rPr>
      </w:pPr>
    </w:p>
    <w:p w14:paraId="600A3FDB"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t xml:space="preserve">3. INTERPOSICIÓN DEL RECURSO DE REVISIÓN. </w:t>
      </w:r>
      <w:r w:rsidRPr="00A36A81">
        <w:rPr>
          <w:rFonts w:ascii="Palatino Linotype" w:eastAsia="Palatino Linotype" w:hAnsi="Palatino Linotype" w:cs="Palatino Linotype"/>
          <w:sz w:val="24"/>
          <w:szCs w:val="24"/>
        </w:rPr>
        <w:t xml:space="preserve">Inconforme la parte solicitante con la falta de respuesta del </w:t>
      </w:r>
      <w:r w:rsidRPr="00A36A81">
        <w:rPr>
          <w:rFonts w:ascii="Palatino Linotype" w:eastAsia="Palatino Linotype" w:hAnsi="Palatino Linotype" w:cs="Palatino Linotype"/>
          <w:b/>
          <w:sz w:val="24"/>
          <w:szCs w:val="24"/>
        </w:rPr>
        <w:t>SUJETO OBLIGADO</w:t>
      </w:r>
      <w:r w:rsidRPr="00A36A81">
        <w:rPr>
          <w:rFonts w:ascii="Palatino Linotype" w:eastAsia="Palatino Linotype" w:hAnsi="Palatino Linotype" w:cs="Palatino Linotype"/>
          <w:sz w:val="24"/>
          <w:szCs w:val="24"/>
        </w:rPr>
        <w:t xml:space="preserve">, interpuso recurso de revisión a través del SAIMEX en fecha </w:t>
      </w:r>
      <w:r w:rsidRPr="00A36A81">
        <w:rPr>
          <w:rFonts w:ascii="Palatino Linotype" w:eastAsia="Palatino Linotype" w:hAnsi="Palatino Linotype" w:cs="Palatino Linotype"/>
          <w:b/>
          <w:sz w:val="24"/>
          <w:szCs w:val="24"/>
        </w:rPr>
        <w:t>cinco de febrero de dos mil veinticinco</w:t>
      </w:r>
      <w:r w:rsidRPr="00A36A81">
        <w:rPr>
          <w:rFonts w:ascii="Palatino Linotype" w:eastAsia="Palatino Linotype" w:hAnsi="Palatino Linotype" w:cs="Palatino Linotype"/>
          <w:sz w:val="24"/>
          <w:szCs w:val="24"/>
        </w:rPr>
        <w:t>, expresando lo siguiente:</w:t>
      </w:r>
    </w:p>
    <w:p w14:paraId="04409F09"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3E21D404" w14:textId="77777777" w:rsidR="005D7A18" w:rsidRPr="00A36A81" w:rsidRDefault="00866B6B">
      <w:pPr>
        <w:spacing w:after="0" w:line="360" w:lineRule="auto"/>
        <w:ind w:left="567" w:right="616"/>
        <w:jc w:val="both"/>
        <w:rPr>
          <w:rFonts w:ascii="Palatino Linotype" w:eastAsia="Palatino Linotype" w:hAnsi="Palatino Linotype" w:cs="Palatino Linotype"/>
          <w:b/>
          <w:i/>
        </w:rPr>
      </w:pPr>
      <w:r w:rsidRPr="00A36A81">
        <w:rPr>
          <w:rFonts w:ascii="Palatino Linotype" w:eastAsia="Palatino Linotype" w:hAnsi="Palatino Linotype" w:cs="Palatino Linotype"/>
          <w:b/>
          <w:i/>
        </w:rPr>
        <w:t xml:space="preserve">a) Acto impugnado. </w:t>
      </w:r>
      <w:r w:rsidRPr="00A36A81">
        <w:rPr>
          <w:rFonts w:ascii="Palatino Linotype" w:eastAsia="Palatino Linotype" w:hAnsi="Palatino Linotype" w:cs="Palatino Linotype"/>
          <w:i/>
        </w:rPr>
        <w:t>“No respondieron a mi solicitud”</w:t>
      </w:r>
    </w:p>
    <w:p w14:paraId="32CF7CB0" w14:textId="77777777" w:rsidR="005D7A18" w:rsidRPr="00A36A81" w:rsidRDefault="005D7A18">
      <w:pPr>
        <w:spacing w:after="0" w:line="360" w:lineRule="auto"/>
        <w:ind w:left="567" w:right="616"/>
        <w:rPr>
          <w:rFonts w:ascii="Palatino Linotype" w:eastAsia="Palatino Linotype" w:hAnsi="Palatino Linotype" w:cs="Palatino Linotype"/>
          <w:b/>
          <w:sz w:val="24"/>
          <w:szCs w:val="24"/>
        </w:rPr>
      </w:pPr>
    </w:p>
    <w:p w14:paraId="5CEF409B" w14:textId="77777777" w:rsidR="005D7A18" w:rsidRPr="00A36A81" w:rsidRDefault="00866B6B">
      <w:pPr>
        <w:spacing w:after="0" w:line="360" w:lineRule="auto"/>
        <w:ind w:left="567" w:right="616"/>
        <w:jc w:val="both"/>
        <w:rPr>
          <w:rFonts w:ascii="Palatino Linotype" w:eastAsia="Palatino Linotype" w:hAnsi="Palatino Linotype" w:cs="Palatino Linotype"/>
        </w:rPr>
      </w:pPr>
      <w:r w:rsidRPr="00A36A81">
        <w:rPr>
          <w:rFonts w:ascii="Palatino Linotype" w:eastAsia="Palatino Linotype" w:hAnsi="Palatino Linotype" w:cs="Palatino Linotype"/>
          <w:b/>
        </w:rPr>
        <w:t xml:space="preserve">b) Motivos de inconformidad. </w:t>
      </w:r>
      <w:r w:rsidRPr="00A36A81">
        <w:rPr>
          <w:rFonts w:ascii="Palatino Linotype" w:eastAsia="Palatino Linotype" w:hAnsi="Palatino Linotype" w:cs="Palatino Linotype"/>
          <w:i/>
        </w:rPr>
        <w:t>“Falta de respuesta”</w:t>
      </w:r>
    </w:p>
    <w:p w14:paraId="618E5DE3" w14:textId="77777777" w:rsidR="005D7A18" w:rsidRPr="00A36A81" w:rsidRDefault="005D7A18">
      <w:pPr>
        <w:spacing w:after="0" w:line="360" w:lineRule="auto"/>
        <w:jc w:val="both"/>
        <w:rPr>
          <w:rFonts w:ascii="Palatino Linotype" w:eastAsia="Palatino Linotype" w:hAnsi="Palatino Linotype" w:cs="Palatino Linotype"/>
          <w:i/>
          <w:sz w:val="24"/>
          <w:szCs w:val="24"/>
        </w:rPr>
      </w:pPr>
    </w:p>
    <w:p w14:paraId="2DB4B6AA"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t xml:space="preserve">4. TURNO. </w:t>
      </w:r>
      <w:r w:rsidRPr="00A36A81">
        <w:rPr>
          <w:rFonts w:ascii="Palatino Linotype" w:eastAsia="Palatino Linotype" w:hAnsi="Palatino Linotype" w:cs="Palatino Linotype"/>
          <w:sz w:val="24"/>
          <w:szCs w:val="24"/>
        </w:rPr>
        <w:t>De conformidad con el artículo 185 Fracción I de la Ley Transparencia y Acceso a la Información Pública, el recurso de revisión número</w:t>
      </w:r>
      <w:r w:rsidRPr="00A36A81">
        <w:rPr>
          <w:rFonts w:ascii="Palatino Linotype" w:eastAsia="Palatino Linotype" w:hAnsi="Palatino Linotype" w:cs="Palatino Linotype"/>
          <w:b/>
          <w:sz w:val="24"/>
          <w:szCs w:val="24"/>
        </w:rPr>
        <w:t xml:space="preserve"> 00604/INFOEM/IP/RR/2025 </w:t>
      </w:r>
      <w:r w:rsidRPr="00A36A81">
        <w:rPr>
          <w:rFonts w:ascii="Palatino Linotype" w:eastAsia="Palatino Linotype" w:hAnsi="Palatino Linotype" w:cs="Palatino Linotype"/>
          <w:sz w:val="24"/>
          <w:szCs w:val="24"/>
        </w:rPr>
        <w:t xml:space="preserve">fue turnado a la Comisionada Ponente </w:t>
      </w:r>
      <w:r w:rsidRPr="00A36A81">
        <w:rPr>
          <w:rFonts w:ascii="Palatino Linotype" w:eastAsia="Palatino Linotype" w:hAnsi="Palatino Linotype" w:cs="Palatino Linotype"/>
          <w:b/>
          <w:sz w:val="24"/>
          <w:szCs w:val="24"/>
        </w:rPr>
        <w:t>Guadalupe Ramírez Peña</w:t>
      </w:r>
      <w:r w:rsidRPr="00A36A81">
        <w:rPr>
          <w:rFonts w:ascii="Palatino Linotype" w:eastAsia="Palatino Linotype" w:hAnsi="Palatino Linotype" w:cs="Palatino Linotype"/>
          <w:sz w:val="24"/>
          <w:szCs w:val="24"/>
        </w:rPr>
        <w:t>, a efecto de presentar al Pleno el proyecto de resolución correspondiente.</w:t>
      </w:r>
    </w:p>
    <w:p w14:paraId="08D07280" w14:textId="77777777" w:rsidR="005D7A18" w:rsidRPr="00A36A81" w:rsidRDefault="005D7A18">
      <w:pPr>
        <w:spacing w:after="0" w:line="360" w:lineRule="auto"/>
        <w:ind w:right="51"/>
        <w:jc w:val="both"/>
        <w:rPr>
          <w:rFonts w:ascii="Palatino Linotype" w:eastAsia="Palatino Linotype" w:hAnsi="Palatino Linotype" w:cs="Palatino Linotype"/>
          <w:sz w:val="24"/>
          <w:szCs w:val="24"/>
        </w:rPr>
      </w:pPr>
    </w:p>
    <w:p w14:paraId="3FC54AB4"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t xml:space="preserve">5. ADMISIÓN. </w:t>
      </w:r>
      <w:r w:rsidRPr="00A36A81">
        <w:rPr>
          <w:rFonts w:ascii="Palatino Linotype" w:eastAsia="Palatino Linotype" w:hAnsi="Palatino Linotype" w:cs="Palatino Linotype"/>
          <w:sz w:val="24"/>
          <w:szCs w:val="24"/>
        </w:rPr>
        <w:t xml:space="preserve">En fecha </w:t>
      </w:r>
      <w:r w:rsidRPr="00A36A81">
        <w:rPr>
          <w:rFonts w:ascii="Palatino Linotype" w:eastAsia="Palatino Linotype" w:hAnsi="Palatino Linotype" w:cs="Palatino Linotype"/>
          <w:b/>
          <w:sz w:val="24"/>
          <w:szCs w:val="24"/>
        </w:rPr>
        <w:t>diez de febrero de dos mil veinticinco</w:t>
      </w:r>
      <w:r w:rsidRPr="00A36A81">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admitió a trámite el recurso de revisión al rubro indicado.</w:t>
      </w:r>
    </w:p>
    <w:p w14:paraId="0ECFA9B2" w14:textId="77777777" w:rsidR="005D7A18" w:rsidRPr="00A36A81" w:rsidRDefault="005D7A18">
      <w:pPr>
        <w:rPr>
          <w:rFonts w:ascii="Palatino Linotype" w:eastAsia="Palatino Linotype" w:hAnsi="Palatino Linotype" w:cs="Palatino Linotype"/>
          <w:sz w:val="24"/>
          <w:szCs w:val="24"/>
        </w:rPr>
      </w:pPr>
    </w:p>
    <w:p w14:paraId="4FADBE05" w14:textId="77777777" w:rsidR="005D7A18" w:rsidRPr="00A36A81" w:rsidRDefault="00866B6B">
      <w:pPr>
        <w:spacing w:after="0" w:line="360" w:lineRule="auto"/>
        <w:ind w:right="49"/>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lastRenderedPageBreak/>
        <w:t>6. MANIFESTACIONES</w:t>
      </w:r>
      <w:r w:rsidRPr="00A36A81">
        <w:rPr>
          <w:rFonts w:ascii="Palatino Linotype" w:eastAsia="Palatino Linotype" w:hAnsi="Palatino Linotype" w:cs="Palatino Linotype"/>
          <w:sz w:val="24"/>
          <w:szCs w:val="24"/>
        </w:rPr>
        <w:t xml:space="preserve">. Con fecha diecinueve de febrero de dos mil veinticinco se recibió, a través del Sistema de Acceso a la Información Mexiquense (SAIMEX), el informe justificado del </w:t>
      </w:r>
      <w:r w:rsidRPr="00A36A81">
        <w:rPr>
          <w:rFonts w:ascii="Palatino Linotype" w:eastAsia="Palatino Linotype" w:hAnsi="Palatino Linotype" w:cs="Palatino Linotype"/>
          <w:b/>
          <w:sz w:val="24"/>
          <w:szCs w:val="24"/>
        </w:rPr>
        <w:t>SUJETO OBLIGADO</w:t>
      </w:r>
      <w:r w:rsidRPr="00A36A81">
        <w:rPr>
          <w:rFonts w:ascii="Palatino Linotype" w:eastAsia="Palatino Linotype" w:hAnsi="Palatino Linotype" w:cs="Palatino Linotype"/>
          <w:sz w:val="24"/>
          <w:szCs w:val="24"/>
        </w:rPr>
        <w:t>,</w:t>
      </w:r>
      <w:r w:rsidRPr="00A36A81">
        <w:rPr>
          <w:rFonts w:ascii="Palatino Linotype" w:eastAsia="Palatino Linotype" w:hAnsi="Palatino Linotype" w:cs="Palatino Linotype"/>
          <w:b/>
          <w:sz w:val="24"/>
          <w:szCs w:val="24"/>
        </w:rPr>
        <w:t xml:space="preserve"> </w:t>
      </w:r>
      <w:r w:rsidRPr="00A36A81">
        <w:rPr>
          <w:rFonts w:ascii="Palatino Linotype" w:eastAsia="Palatino Linotype" w:hAnsi="Palatino Linotype" w:cs="Palatino Linotype"/>
          <w:sz w:val="24"/>
          <w:szCs w:val="24"/>
        </w:rPr>
        <w:t xml:space="preserve">a través de los siguientes archivos electrónicos: </w:t>
      </w:r>
    </w:p>
    <w:p w14:paraId="575FB409" w14:textId="77777777" w:rsidR="005D7A18" w:rsidRPr="00A36A81" w:rsidRDefault="005D7A18">
      <w:pPr>
        <w:spacing w:after="0" w:line="360" w:lineRule="auto"/>
        <w:ind w:right="49"/>
        <w:jc w:val="both"/>
        <w:rPr>
          <w:rFonts w:ascii="Palatino Linotype" w:eastAsia="Palatino Linotype" w:hAnsi="Palatino Linotype" w:cs="Palatino Linotype"/>
          <w:sz w:val="24"/>
          <w:szCs w:val="24"/>
        </w:rPr>
      </w:pPr>
    </w:p>
    <w:p w14:paraId="0D8A9E88" w14:textId="77777777" w:rsidR="005D7A18" w:rsidRPr="00A36A81" w:rsidRDefault="00866B6B">
      <w:pPr>
        <w:spacing w:after="0" w:line="360" w:lineRule="auto"/>
        <w:ind w:right="49"/>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w:t>
      </w:r>
      <w:r w:rsidRPr="00A36A81">
        <w:rPr>
          <w:rFonts w:ascii="Palatino Linotype" w:eastAsia="Palatino Linotype" w:hAnsi="Palatino Linotype" w:cs="Palatino Linotype"/>
          <w:b/>
          <w:i/>
          <w:sz w:val="24"/>
          <w:szCs w:val="24"/>
          <w:u w:val="single"/>
        </w:rPr>
        <w:t>INFORME JUSTIFICADO RR604-2025.pdf</w:t>
      </w:r>
      <w:r w:rsidRPr="00A36A81">
        <w:rPr>
          <w:rFonts w:ascii="Palatino Linotype" w:eastAsia="Palatino Linotype" w:hAnsi="Palatino Linotype" w:cs="Palatino Linotype"/>
          <w:sz w:val="24"/>
          <w:szCs w:val="24"/>
        </w:rPr>
        <w:t xml:space="preserve">”: Oficio de fecha diecinueve de febrero de dos mil veinticinco, signado por el Titular de la Unidad de Transparencia, mediante el cual describe las constancias que obran en el SAIMEX, señalando que tuvo problemas técnicos para otorgar respuesta a la solicitud de información, especificando que la Dirección General de Administración manifestó que después de una búsqueda exhaustiva y razonable en sus archivos, no localizó la información solicitada.  </w:t>
      </w:r>
    </w:p>
    <w:p w14:paraId="19F0720B" w14:textId="77777777" w:rsidR="005D7A18" w:rsidRPr="00A36A81" w:rsidRDefault="005D7A18">
      <w:pPr>
        <w:spacing w:after="0" w:line="360" w:lineRule="auto"/>
        <w:ind w:right="49"/>
        <w:jc w:val="both"/>
        <w:rPr>
          <w:rFonts w:ascii="Palatino Linotype" w:eastAsia="Palatino Linotype" w:hAnsi="Palatino Linotype" w:cs="Palatino Linotype"/>
          <w:sz w:val="24"/>
          <w:szCs w:val="24"/>
        </w:rPr>
      </w:pPr>
    </w:p>
    <w:p w14:paraId="3853D109" w14:textId="77777777" w:rsidR="005D7A18" w:rsidRPr="00A36A81" w:rsidRDefault="00866B6B">
      <w:pPr>
        <w:spacing w:after="0" w:line="360" w:lineRule="auto"/>
        <w:ind w:right="49"/>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w:t>
      </w:r>
      <w:r w:rsidRPr="00A36A81">
        <w:rPr>
          <w:rFonts w:ascii="Palatino Linotype" w:eastAsia="Palatino Linotype" w:hAnsi="Palatino Linotype" w:cs="Palatino Linotype"/>
          <w:b/>
          <w:i/>
          <w:sz w:val="24"/>
          <w:szCs w:val="24"/>
          <w:u w:val="single"/>
        </w:rPr>
        <w:t>244-2025.pdf</w:t>
      </w:r>
      <w:r w:rsidRPr="00A36A81">
        <w:rPr>
          <w:rFonts w:ascii="Palatino Linotype" w:eastAsia="Palatino Linotype" w:hAnsi="Palatino Linotype" w:cs="Palatino Linotype"/>
          <w:sz w:val="24"/>
          <w:szCs w:val="24"/>
        </w:rPr>
        <w:t>”: Oficio de fecha cuatro de febrero de dos mil veinticinco, signado por el Titular de la Unidad de Transparencia, mediante el cual señala que la Dirección General de Administración y Servidora Pública Habilitada informó que la Dirección de Recursos Humanos de una búsqueda exhaustiva y razonable en sus archivos, manifestó que a la fecha de la solicitud, no se localizó la información solicitada</w:t>
      </w:r>
    </w:p>
    <w:p w14:paraId="0287133A" w14:textId="77777777" w:rsidR="005D7A18" w:rsidRPr="00A36A81" w:rsidRDefault="005D7A18">
      <w:pPr>
        <w:spacing w:after="0" w:line="360" w:lineRule="auto"/>
        <w:ind w:right="49"/>
        <w:jc w:val="both"/>
        <w:rPr>
          <w:rFonts w:ascii="Palatino Linotype" w:eastAsia="Palatino Linotype" w:hAnsi="Palatino Linotype" w:cs="Palatino Linotype"/>
          <w:sz w:val="24"/>
          <w:szCs w:val="24"/>
        </w:rPr>
      </w:pPr>
    </w:p>
    <w:p w14:paraId="12F93A17" w14:textId="77777777" w:rsidR="005D7A18" w:rsidRPr="00A36A81" w:rsidRDefault="00866B6B">
      <w:pPr>
        <w:spacing w:after="0" w:line="360" w:lineRule="auto"/>
        <w:ind w:right="49"/>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Documentos que se pusieron a la vista de </w:t>
      </w:r>
      <w:r w:rsidRPr="00A36A81">
        <w:rPr>
          <w:rFonts w:ascii="Palatino Linotype" w:eastAsia="Palatino Linotype" w:hAnsi="Palatino Linotype" w:cs="Palatino Linotype"/>
          <w:b/>
          <w:sz w:val="24"/>
          <w:szCs w:val="24"/>
        </w:rPr>
        <w:t xml:space="preserve">LA PARTE RECURRENTE </w:t>
      </w:r>
      <w:r w:rsidRPr="00A36A81">
        <w:rPr>
          <w:rFonts w:ascii="Palatino Linotype" w:eastAsia="Palatino Linotype" w:hAnsi="Palatino Linotype" w:cs="Palatino Linotype"/>
          <w:sz w:val="24"/>
          <w:szCs w:val="24"/>
        </w:rPr>
        <w:t xml:space="preserve">en fecha veinte de febrero de dos mil veinticinco, mismo que resultó omiso de emitir sus manifestaciones, conforme a derecho le corresponde. </w:t>
      </w:r>
    </w:p>
    <w:p w14:paraId="7E3649AA"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lastRenderedPageBreak/>
        <w:t xml:space="preserve">7. CIERRE DE INSTRUCCIÓN. </w:t>
      </w:r>
      <w:r w:rsidRPr="00A36A81">
        <w:rPr>
          <w:rFonts w:ascii="Palatino Linotype" w:eastAsia="Palatino Linotype" w:hAnsi="Palatino Linotype" w:cs="Palatino Linotype"/>
          <w:sz w:val="24"/>
          <w:szCs w:val="24"/>
        </w:rPr>
        <w:t xml:space="preserve">Una vez transcurrido el periodo otorgado a las partes para realizar sus manifestaciones y no habiendo documentos que integrar al expediente, con fecha </w:t>
      </w:r>
      <w:r w:rsidRPr="00A36A81">
        <w:rPr>
          <w:rFonts w:ascii="Palatino Linotype" w:eastAsia="Palatino Linotype" w:hAnsi="Palatino Linotype" w:cs="Palatino Linotype"/>
          <w:b/>
          <w:sz w:val="24"/>
          <w:szCs w:val="24"/>
        </w:rPr>
        <w:t>veintiséis de febrero de dos mil veinticinco</w:t>
      </w:r>
      <w:r w:rsidRPr="00A36A81">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03B4F047"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4F728E76"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78D02752" w14:textId="77777777" w:rsidR="005D7A18" w:rsidRPr="00A36A81" w:rsidRDefault="005D7A18">
      <w:pPr>
        <w:rPr>
          <w:rFonts w:ascii="Palatino Linotype" w:eastAsia="Palatino Linotype" w:hAnsi="Palatino Linotype" w:cs="Palatino Linotype"/>
          <w:sz w:val="24"/>
          <w:szCs w:val="24"/>
        </w:rPr>
      </w:pPr>
    </w:p>
    <w:p w14:paraId="6481688D" w14:textId="77777777" w:rsidR="005D7A18" w:rsidRPr="00A36A81" w:rsidRDefault="00866B6B">
      <w:pPr>
        <w:widowControl w:val="0"/>
        <w:spacing w:after="0" w:line="360" w:lineRule="auto"/>
        <w:jc w:val="center"/>
        <w:rPr>
          <w:rFonts w:ascii="Palatino Linotype" w:eastAsia="Palatino Linotype" w:hAnsi="Palatino Linotype" w:cs="Palatino Linotype"/>
          <w:b/>
          <w:sz w:val="24"/>
          <w:szCs w:val="24"/>
        </w:rPr>
      </w:pPr>
      <w:r w:rsidRPr="00A36A81">
        <w:rPr>
          <w:rFonts w:ascii="Palatino Linotype" w:eastAsia="Palatino Linotype" w:hAnsi="Palatino Linotype" w:cs="Palatino Linotype"/>
          <w:b/>
        </w:rPr>
        <w:t xml:space="preserve">C O </w:t>
      </w:r>
      <w:r w:rsidRPr="00A36A81">
        <w:rPr>
          <w:rFonts w:ascii="Palatino Linotype" w:eastAsia="Palatino Linotype" w:hAnsi="Palatino Linotype" w:cs="Palatino Linotype"/>
          <w:b/>
          <w:sz w:val="24"/>
          <w:szCs w:val="24"/>
        </w:rPr>
        <w:t>N S I D E R A N D O S</w:t>
      </w:r>
    </w:p>
    <w:p w14:paraId="5394DB7D" w14:textId="77777777" w:rsidR="005D7A18" w:rsidRPr="00A36A81" w:rsidRDefault="005D7A18">
      <w:pPr>
        <w:widowControl w:val="0"/>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10B52454"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t xml:space="preserve">PRIMERO. COMPETENCIA. </w:t>
      </w:r>
      <w:r w:rsidRPr="00A36A81">
        <w:rPr>
          <w:rFonts w:ascii="Palatino Linotype" w:eastAsia="Palatino Linotype" w:hAnsi="Palatino Linotype" w:cs="Palatino Linotype"/>
          <w:sz w:val="24"/>
          <w:szCs w:val="24"/>
        </w:rPr>
        <w:t xml:space="preserve">El Instituto de Transparencia, Acceso a la Información Pública y Protección de Datos Personales del Estado de México y Municipios, es competente para conocer y resolver el presente recurso de revisión interpuesto por </w:t>
      </w:r>
      <w:r w:rsidRPr="00A36A81">
        <w:rPr>
          <w:rFonts w:ascii="Palatino Linotype" w:eastAsia="Palatino Linotype" w:hAnsi="Palatino Linotype" w:cs="Palatino Linotype"/>
          <w:b/>
          <w:sz w:val="24"/>
          <w:szCs w:val="24"/>
        </w:rPr>
        <w:t>LA PARTE</w:t>
      </w:r>
      <w:r w:rsidRPr="00A36A81">
        <w:rPr>
          <w:rFonts w:ascii="Palatino Linotype" w:eastAsia="Palatino Linotype" w:hAnsi="Palatino Linotype" w:cs="Palatino Linotype"/>
          <w:sz w:val="24"/>
          <w:szCs w:val="24"/>
        </w:rPr>
        <w:t xml:space="preserve"> </w:t>
      </w:r>
      <w:r w:rsidRPr="00A36A81">
        <w:rPr>
          <w:rFonts w:ascii="Palatino Linotype" w:eastAsia="Palatino Linotype" w:hAnsi="Palatino Linotype" w:cs="Palatino Linotype"/>
          <w:b/>
          <w:sz w:val="24"/>
          <w:szCs w:val="24"/>
        </w:rPr>
        <w:t>RECURRENTE</w:t>
      </w:r>
      <w:r w:rsidRPr="00A36A81">
        <w:rPr>
          <w:rFonts w:ascii="Palatino Linotype" w:eastAsia="Palatino Linotype" w:hAnsi="Palatino Linotype" w:cs="Palatino Linotype"/>
          <w:sz w:val="24"/>
          <w:szCs w:val="24"/>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w:t>
      </w:r>
      <w:r w:rsidRPr="00A36A81">
        <w:rPr>
          <w:rFonts w:ascii="Palatino Linotype" w:eastAsia="Palatino Linotype" w:hAnsi="Palatino Linotype" w:cs="Palatino Linotype"/>
          <w:sz w:val="24"/>
          <w:szCs w:val="24"/>
        </w:rPr>
        <w:lastRenderedPageBreak/>
        <w:t>Acceso a la Información Pública y Protección de Datos Personales del Estado de México y Municipios.</w:t>
      </w:r>
    </w:p>
    <w:p w14:paraId="103F5CCC"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69D7AD03" w14:textId="77777777" w:rsidR="005D7A18" w:rsidRPr="00A36A81" w:rsidRDefault="00866B6B">
      <w:pPr>
        <w:spacing w:after="0" w:line="360" w:lineRule="auto"/>
        <w:jc w:val="both"/>
        <w:rPr>
          <w:rFonts w:ascii="Palatino Linotype" w:eastAsia="Palatino Linotype" w:hAnsi="Palatino Linotype" w:cs="Palatino Linotype"/>
          <w:sz w:val="24"/>
          <w:szCs w:val="24"/>
        </w:rPr>
      </w:pPr>
      <w:bookmarkStart w:id="1" w:name="_heading=h.30j0zll" w:colFirst="0" w:colLast="0"/>
      <w:bookmarkEnd w:id="1"/>
      <w:r w:rsidRPr="00A36A81">
        <w:rPr>
          <w:rFonts w:ascii="Palatino Linotype" w:eastAsia="Palatino Linotype" w:hAnsi="Palatino Linotype" w:cs="Palatino Linotype"/>
          <w:b/>
          <w:sz w:val="24"/>
          <w:szCs w:val="24"/>
        </w:rPr>
        <w:t xml:space="preserve">SEGUNDO. OPORTUNIDAD Y PROCEDIBILIDAD DEL RECURSO DE REVISIÓN. </w:t>
      </w:r>
      <w:r w:rsidRPr="00A36A81">
        <w:rPr>
          <w:rFonts w:ascii="Palatino Linotype" w:eastAsia="Palatino Linotype" w:hAnsi="Palatino Linotype" w:cs="Palatino Linotype"/>
          <w:sz w:val="24"/>
          <w:szCs w:val="24"/>
        </w:rPr>
        <w:t>Por cuanto hace a la oportunidad del recurso de revisión</w:t>
      </w:r>
      <w:r w:rsidRPr="00A36A81">
        <w:rPr>
          <w:rFonts w:ascii="Palatino Linotype" w:eastAsia="Palatino Linotype" w:hAnsi="Palatino Linotype" w:cs="Palatino Linotype"/>
          <w:b/>
          <w:sz w:val="24"/>
          <w:szCs w:val="24"/>
        </w:rPr>
        <w:t xml:space="preserve"> </w:t>
      </w:r>
      <w:r w:rsidRPr="00A36A81">
        <w:rPr>
          <w:rFonts w:ascii="Palatino Linotype" w:eastAsia="Palatino Linotype" w:hAnsi="Palatino Linotype" w:cs="Palatino Linotype"/>
          <w:sz w:val="24"/>
          <w:szCs w:val="24"/>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1215410E"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546D7E51"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Derivado de lo anterior, se constituye la figura jurídica de la </w:t>
      </w:r>
      <w:r w:rsidRPr="00A36A81">
        <w:rPr>
          <w:rFonts w:ascii="Palatino Linotype" w:eastAsia="Palatino Linotype" w:hAnsi="Palatino Linotype" w:cs="Palatino Linotype"/>
          <w:b/>
          <w:sz w:val="24"/>
          <w:szCs w:val="24"/>
        </w:rPr>
        <w:t>NEGATIVA FICTA</w:t>
      </w:r>
      <w:r w:rsidRPr="00A36A81">
        <w:rPr>
          <w:rFonts w:ascii="Palatino Linotype" w:eastAsia="Palatino Linotype" w:hAnsi="Palatino Linotype" w:cs="Palatino Linotype"/>
          <w:sz w:val="24"/>
          <w:szCs w:val="24"/>
        </w:rPr>
        <w:t>, cuya esencia consiste en atribuir un efecto negativo al silencio de la autoridad administrativa frente a las instancias y solicitudes que hagan los particulares.</w:t>
      </w:r>
    </w:p>
    <w:p w14:paraId="0793C72A"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4B4C52A6"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De tal manera, en el presente recurso de revisión se actualizó la negativa ficta por parte del </w:t>
      </w:r>
      <w:r w:rsidRPr="00A36A81">
        <w:rPr>
          <w:rFonts w:ascii="Palatino Linotype" w:eastAsia="Palatino Linotype" w:hAnsi="Palatino Linotype" w:cs="Palatino Linotype"/>
          <w:b/>
          <w:sz w:val="24"/>
          <w:szCs w:val="24"/>
        </w:rPr>
        <w:t>SUJETO OBLIGADO</w:t>
      </w:r>
      <w:r w:rsidRPr="00A36A81">
        <w:rPr>
          <w:rFonts w:ascii="Palatino Linotype" w:eastAsia="Palatino Linotype" w:hAnsi="Palatino Linotype" w:cs="Palatino Linotype"/>
          <w:sz w:val="24"/>
          <w:szCs w:val="24"/>
        </w:rPr>
        <w:t xml:space="preserve"> al no haber respondido a </w:t>
      </w:r>
      <w:r w:rsidRPr="00A36A81">
        <w:rPr>
          <w:rFonts w:ascii="Palatino Linotype" w:eastAsia="Palatino Linotype" w:hAnsi="Palatino Linotype" w:cs="Palatino Linotype"/>
          <w:b/>
          <w:sz w:val="24"/>
          <w:szCs w:val="24"/>
        </w:rPr>
        <w:t>LA PARTE</w:t>
      </w:r>
      <w:r w:rsidRPr="00A36A81">
        <w:rPr>
          <w:rFonts w:ascii="Palatino Linotype" w:eastAsia="Palatino Linotype" w:hAnsi="Palatino Linotype" w:cs="Palatino Linotype"/>
          <w:sz w:val="24"/>
          <w:szCs w:val="24"/>
        </w:rPr>
        <w:t xml:space="preserve"> </w:t>
      </w:r>
      <w:r w:rsidRPr="00A36A81">
        <w:rPr>
          <w:rFonts w:ascii="Palatino Linotype" w:eastAsia="Palatino Linotype" w:hAnsi="Palatino Linotype" w:cs="Palatino Linotype"/>
          <w:b/>
          <w:sz w:val="24"/>
          <w:szCs w:val="24"/>
        </w:rPr>
        <w:t>RECURRENTE</w:t>
      </w:r>
      <w:r w:rsidRPr="00A36A81">
        <w:rPr>
          <w:rFonts w:ascii="Palatino Linotype" w:eastAsia="Palatino Linotype" w:hAnsi="Palatino Linotype" w:cs="Palatino Linotype"/>
          <w:sz w:val="24"/>
          <w:szCs w:val="24"/>
        </w:rPr>
        <w:t xml:space="preserve"> en tiempo y forma en el plazo legal previsto para ello, en este sentido la falta de respuesta implica necesariamente que de modo fáctico se ha </w:t>
      </w:r>
      <w:r w:rsidRPr="00A36A81">
        <w:rPr>
          <w:rFonts w:ascii="Palatino Linotype" w:eastAsia="Palatino Linotype" w:hAnsi="Palatino Linotype" w:cs="Palatino Linotype"/>
          <w:sz w:val="24"/>
          <w:szCs w:val="24"/>
        </w:rPr>
        <w:lastRenderedPageBreak/>
        <w:t>negado la información por razones desconocidas, pero que el hecho simple de no responder apareja una forma por omisión de negar el acceso a la información.</w:t>
      </w:r>
    </w:p>
    <w:p w14:paraId="4A0B9394"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39297679"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Si a ello se le suma lo previsto en el párrafo segundo del artículo 178, párrafo segundo</w:t>
      </w:r>
      <w:r w:rsidRPr="00A36A81">
        <w:rPr>
          <w:rFonts w:ascii="Palatino Linotype" w:eastAsia="Palatino Linotype" w:hAnsi="Palatino Linotype" w:cs="Palatino Linotype"/>
          <w:sz w:val="24"/>
          <w:szCs w:val="24"/>
          <w:vertAlign w:val="superscript"/>
        </w:rPr>
        <w:footnoteReference w:id="1"/>
      </w:r>
      <w:r w:rsidRPr="00A36A81">
        <w:rPr>
          <w:rFonts w:ascii="Palatino Linotype" w:eastAsia="Palatino Linotype" w:hAnsi="Palatino Linotype" w:cs="Palatino Linotype"/>
          <w:sz w:val="24"/>
          <w:szCs w:val="24"/>
        </w:rPr>
        <w:t xml:space="preserve"> de la Ley de Transparencia y Acceso a la Información Pública vigente en la entidad.</w:t>
      </w:r>
    </w:p>
    <w:p w14:paraId="06B2D468"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158B4218"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1A7361EC"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57804DFC" w14:textId="77777777" w:rsidR="005D7A18" w:rsidRPr="00A36A81" w:rsidRDefault="00866B6B">
      <w:pPr>
        <w:spacing w:after="0" w:line="276" w:lineRule="auto"/>
        <w:ind w:left="567" w:right="618"/>
        <w:jc w:val="both"/>
        <w:rPr>
          <w:rFonts w:ascii="Palatino Linotype" w:eastAsia="Palatino Linotype" w:hAnsi="Palatino Linotype" w:cs="Palatino Linotype"/>
          <w:b/>
          <w:i/>
        </w:rPr>
      </w:pPr>
      <w:r w:rsidRPr="00A36A81">
        <w:rPr>
          <w:rFonts w:ascii="Palatino Linotype" w:eastAsia="Palatino Linotype" w:hAnsi="Palatino Linotype" w:cs="Palatino Linotype"/>
          <w:i/>
        </w:rPr>
        <w:t>“</w:t>
      </w:r>
      <w:r w:rsidRPr="00A36A81">
        <w:rPr>
          <w:rFonts w:ascii="Palatino Linotype" w:eastAsia="Palatino Linotype" w:hAnsi="Palatino Linotype" w:cs="Palatino Linotype"/>
          <w:b/>
          <w:i/>
        </w:rPr>
        <w:t>CRITERIO 0001-15 NEGATIVA FICTA. PLAZO PARA INTERPONER EL RECURSO DE REVISIÓN TRATÁNDOSE DE</w:t>
      </w:r>
      <w:r w:rsidRPr="00A36A81">
        <w:rPr>
          <w:rFonts w:ascii="Palatino Linotype" w:eastAsia="Palatino Linotype" w:hAnsi="Palatino Linotype" w:cs="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w:t>
      </w:r>
      <w:r w:rsidRPr="00A36A81">
        <w:rPr>
          <w:rFonts w:ascii="Palatino Linotype" w:eastAsia="Palatino Linotype" w:hAnsi="Palatino Linotype" w:cs="Palatino Linotype"/>
          <w:i/>
        </w:rPr>
        <w:lastRenderedPageBreak/>
        <w:t>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03C9FAD" w14:textId="77777777" w:rsidR="005D7A18" w:rsidRPr="00A36A81" w:rsidRDefault="005D7A18">
      <w:pPr>
        <w:spacing w:after="0" w:line="360" w:lineRule="auto"/>
        <w:ind w:left="567" w:right="851"/>
        <w:jc w:val="both"/>
        <w:rPr>
          <w:rFonts w:ascii="Palatino Linotype" w:eastAsia="Palatino Linotype" w:hAnsi="Palatino Linotype" w:cs="Palatino Linotype"/>
          <w:sz w:val="24"/>
          <w:szCs w:val="24"/>
        </w:rPr>
      </w:pPr>
    </w:p>
    <w:p w14:paraId="60C69599"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A36A81">
        <w:rPr>
          <w:rFonts w:ascii="Palatino Linotype" w:eastAsia="Palatino Linotype" w:hAnsi="Palatino Linotype" w:cs="Palatino Linotype"/>
          <w:b/>
          <w:sz w:val="24"/>
          <w:szCs w:val="24"/>
        </w:rPr>
        <w:t>LA PARTE</w:t>
      </w:r>
      <w:r w:rsidRPr="00A36A81">
        <w:rPr>
          <w:rFonts w:ascii="Palatino Linotype" w:eastAsia="Palatino Linotype" w:hAnsi="Palatino Linotype" w:cs="Palatino Linotype"/>
          <w:sz w:val="24"/>
          <w:szCs w:val="24"/>
        </w:rPr>
        <w:t xml:space="preserve"> </w:t>
      </w:r>
      <w:r w:rsidRPr="00A36A81">
        <w:rPr>
          <w:rFonts w:ascii="Palatino Linotype" w:eastAsia="Palatino Linotype" w:hAnsi="Palatino Linotype" w:cs="Palatino Linotype"/>
          <w:b/>
          <w:sz w:val="24"/>
          <w:szCs w:val="24"/>
        </w:rPr>
        <w:t>RECURRENTE</w:t>
      </w:r>
      <w:r w:rsidRPr="00A36A81">
        <w:rPr>
          <w:rFonts w:ascii="Palatino Linotype" w:eastAsia="Palatino Linotype" w:hAnsi="Palatino Linotype" w:cs="Palatino Linotype"/>
          <w:sz w:val="24"/>
          <w:szCs w:val="24"/>
        </w:rPr>
        <w:t>, no proporcionó un nombre como se advierte en el detalle de seguimiento del SAIMEX,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D660232"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0D6F1C6C" w14:textId="77777777" w:rsidR="005D7A18" w:rsidRPr="00A36A81" w:rsidRDefault="00866B6B">
      <w:pPr>
        <w:spacing w:after="0" w:line="276" w:lineRule="auto"/>
        <w:ind w:left="851" w:right="902"/>
        <w:jc w:val="both"/>
        <w:rPr>
          <w:rFonts w:ascii="Palatino Linotype" w:eastAsia="Palatino Linotype" w:hAnsi="Palatino Linotype" w:cs="Palatino Linotype"/>
          <w:b/>
          <w:i/>
        </w:rPr>
      </w:pPr>
      <w:r w:rsidRPr="00A36A81">
        <w:rPr>
          <w:rFonts w:ascii="Palatino Linotype" w:eastAsia="Palatino Linotype" w:hAnsi="Palatino Linotype" w:cs="Palatino Linotype"/>
          <w:b/>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7AA2100E" w14:textId="77777777" w:rsidR="005D7A18" w:rsidRPr="00A36A81" w:rsidRDefault="005D7A18">
      <w:pPr>
        <w:spacing w:after="0" w:line="360" w:lineRule="auto"/>
        <w:ind w:left="851" w:right="902"/>
        <w:jc w:val="both"/>
        <w:rPr>
          <w:rFonts w:ascii="Palatino Linotype" w:eastAsia="Palatino Linotype" w:hAnsi="Palatino Linotype" w:cs="Palatino Linotype"/>
          <w:sz w:val="24"/>
          <w:szCs w:val="24"/>
        </w:rPr>
      </w:pPr>
    </w:p>
    <w:p w14:paraId="364EEB76" w14:textId="77777777" w:rsidR="005D7A18" w:rsidRPr="00A36A81" w:rsidRDefault="00866B6B">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A36A81">
        <w:rPr>
          <w:rFonts w:ascii="Palatino Linotype" w:eastAsia="Palatino Linotype" w:hAnsi="Palatino Linotype" w:cs="Palatino Linotype"/>
          <w:b/>
          <w:sz w:val="24"/>
          <w:szCs w:val="24"/>
        </w:rPr>
        <w:t>EL</w:t>
      </w:r>
      <w:r w:rsidRPr="00A36A81">
        <w:rPr>
          <w:rFonts w:ascii="Palatino Linotype" w:eastAsia="Palatino Linotype" w:hAnsi="Palatino Linotype" w:cs="Palatino Linotype"/>
          <w:sz w:val="24"/>
          <w:szCs w:val="24"/>
        </w:rPr>
        <w:t xml:space="preserve"> </w:t>
      </w:r>
      <w:r w:rsidRPr="00A36A81">
        <w:rPr>
          <w:rFonts w:ascii="Palatino Linotype" w:eastAsia="Palatino Linotype" w:hAnsi="Palatino Linotype" w:cs="Palatino Linotype"/>
          <w:b/>
          <w:sz w:val="24"/>
          <w:szCs w:val="24"/>
        </w:rPr>
        <w:t>SAIMEX</w:t>
      </w:r>
      <w:r w:rsidRPr="00A36A81">
        <w:rPr>
          <w:rFonts w:ascii="Palatino Linotype" w:eastAsia="Palatino Linotype" w:hAnsi="Palatino Linotype" w:cs="Palatino Linotype"/>
          <w:sz w:val="24"/>
          <w:szCs w:val="24"/>
        </w:rPr>
        <w:t>.</w:t>
      </w:r>
    </w:p>
    <w:p w14:paraId="0CABE9CF" w14:textId="77777777" w:rsidR="005D7A18" w:rsidRPr="00A36A81" w:rsidRDefault="005D7A18">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3A3558CE"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lastRenderedPageBreak/>
        <w:t xml:space="preserve">Ahora bien, resulta procedente la interposición del recurso de revisión, según lo aducido por </w:t>
      </w:r>
      <w:r w:rsidRPr="00A36A81">
        <w:rPr>
          <w:rFonts w:ascii="Palatino Linotype" w:eastAsia="Palatino Linotype" w:hAnsi="Palatino Linotype" w:cs="Palatino Linotype"/>
          <w:b/>
          <w:sz w:val="24"/>
          <w:szCs w:val="24"/>
        </w:rPr>
        <w:t>LA PARTE</w:t>
      </w:r>
      <w:r w:rsidRPr="00A36A81">
        <w:rPr>
          <w:rFonts w:ascii="Palatino Linotype" w:eastAsia="Palatino Linotype" w:hAnsi="Palatino Linotype" w:cs="Palatino Linotype"/>
          <w:sz w:val="24"/>
          <w:szCs w:val="24"/>
        </w:rPr>
        <w:t xml:space="preserve"> </w:t>
      </w:r>
      <w:r w:rsidRPr="00A36A81">
        <w:rPr>
          <w:rFonts w:ascii="Palatino Linotype" w:eastAsia="Palatino Linotype" w:hAnsi="Palatino Linotype" w:cs="Palatino Linotype"/>
          <w:b/>
          <w:sz w:val="24"/>
          <w:szCs w:val="24"/>
        </w:rPr>
        <w:t>RECURRENTE</w:t>
      </w:r>
      <w:r w:rsidRPr="00A36A81">
        <w:rPr>
          <w:rFonts w:ascii="Palatino Linotype" w:eastAsia="Palatino Linotype" w:hAnsi="Palatino Linotype" w:cs="Palatino Linotype"/>
          <w:sz w:val="24"/>
          <w:szCs w:val="24"/>
        </w:rPr>
        <w:t>, en términos del artículo 179, fracción VII del ordenamiento legal de la materia, que a la letra dice:</w:t>
      </w:r>
    </w:p>
    <w:p w14:paraId="2B9CAFED"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3515EFD0" w14:textId="77777777" w:rsidR="005D7A18" w:rsidRPr="00A36A81" w:rsidRDefault="00866B6B">
      <w:pPr>
        <w:spacing w:after="0" w:line="276" w:lineRule="auto"/>
        <w:ind w:left="567" w:right="618"/>
        <w:jc w:val="both"/>
        <w:rPr>
          <w:rFonts w:ascii="Palatino Linotype" w:eastAsia="Palatino Linotype" w:hAnsi="Palatino Linotype" w:cs="Palatino Linotype"/>
        </w:rPr>
      </w:pPr>
      <w:r w:rsidRPr="00A36A81">
        <w:rPr>
          <w:rFonts w:ascii="Palatino Linotype" w:eastAsia="Palatino Linotype" w:hAnsi="Palatino Linotype" w:cs="Palatino Linotype"/>
          <w:i/>
        </w:rPr>
        <w:t>“</w:t>
      </w:r>
      <w:r w:rsidRPr="00A36A81">
        <w:rPr>
          <w:rFonts w:ascii="Palatino Linotype" w:eastAsia="Palatino Linotype" w:hAnsi="Palatino Linotype" w:cs="Palatino Linotype"/>
          <w:b/>
        </w:rPr>
        <w:t>Artículo 179.</w:t>
      </w:r>
      <w:r w:rsidRPr="00A36A81">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r w:rsidRPr="00A36A81">
        <w:rPr>
          <w:rFonts w:ascii="Palatino Linotype" w:eastAsia="Palatino Linotype" w:hAnsi="Palatino Linotype" w:cs="Palatino Linotype"/>
        </w:rPr>
        <w:t> </w:t>
      </w:r>
    </w:p>
    <w:p w14:paraId="259DDACD" w14:textId="77777777" w:rsidR="005D7A18" w:rsidRPr="00A36A81" w:rsidRDefault="00866B6B">
      <w:pPr>
        <w:spacing w:after="0" w:line="276" w:lineRule="auto"/>
        <w:ind w:left="567" w:right="618"/>
        <w:jc w:val="both"/>
        <w:rPr>
          <w:rFonts w:ascii="Palatino Linotype" w:eastAsia="Palatino Linotype" w:hAnsi="Palatino Linotype" w:cs="Palatino Linotype"/>
        </w:rPr>
      </w:pPr>
      <w:r w:rsidRPr="00A36A81">
        <w:rPr>
          <w:rFonts w:ascii="Palatino Linotype" w:eastAsia="Palatino Linotype" w:hAnsi="Palatino Linotype" w:cs="Palatino Linotype"/>
        </w:rPr>
        <w:t>(…)</w:t>
      </w:r>
    </w:p>
    <w:p w14:paraId="33DFB4F4" w14:textId="77777777" w:rsidR="005D7A18" w:rsidRPr="00A36A81" w:rsidRDefault="00866B6B">
      <w:pPr>
        <w:numPr>
          <w:ilvl w:val="0"/>
          <w:numId w:val="1"/>
        </w:numPr>
        <w:spacing w:after="0" w:line="276" w:lineRule="auto"/>
        <w:ind w:left="567" w:right="618" w:firstLine="0"/>
        <w:jc w:val="both"/>
        <w:rPr>
          <w:rFonts w:ascii="Palatino Linotype" w:eastAsia="Palatino Linotype" w:hAnsi="Palatino Linotype" w:cs="Palatino Linotype"/>
          <w:i/>
        </w:rPr>
      </w:pPr>
      <w:r w:rsidRPr="00A36A81">
        <w:rPr>
          <w:rFonts w:ascii="Palatino Linotype" w:eastAsia="Palatino Linotype" w:hAnsi="Palatino Linotype" w:cs="Palatino Linotype"/>
          <w:i/>
        </w:rPr>
        <w:t>La falta de respuesta a una solicitud de acceso a la información…”</w:t>
      </w:r>
    </w:p>
    <w:p w14:paraId="282DBD3F" w14:textId="77777777" w:rsidR="005D7A18" w:rsidRPr="00A36A81" w:rsidRDefault="005D7A18">
      <w:pPr>
        <w:spacing w:after="0" w:line="360" w:lineRule="auto"/>
        <w:ind w:right="1041"/>
        <w:jc w:val="both"/>
        <w:rPr>
          <w:rFonts w:ascii="Palatino Linotype" w:eastAsia="Palatino Linotype" w:hAnsi="Palatino Linotype" w:cs="Palatino Linotype"/>
          <w:i/>
          <w:sz w:val="24"/>
          <w:szCs w:val="24"/>
        </w:rPr>
      </w:pPr>
    </w:p>
    <w:p w14:paraId="7DC1F419"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t>TERCERO. ANÁLISIS DE LAS CAUSALES DE SOBRESEIMIENTO</w:t>
      </w:r>
      <w:r w:rsidRPr="00A36A81">
        <w:rPr>
          <w:rFonts w:ascii="Palatino Linotype" w:eastAsia="Palatino Linotype" w:hAnsi="Palatino Linotype" w:cs="Palatino Linotype"/>
          <w:sz w:val="24"/>
          <w:szCs w:val="24"/>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4BE5799"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65334D70"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w:t>
      </w:r>
      <w:r w:rsidRPr="00A36A81">
        <w:rPr>
          <w:rFonts w:ascii="Palatino Linotype" w:eastAsia="Palatino Linotype" w:hAnsi="Palatino Linotype" w:cs="Palatino Linotype"/>
          <w:sz w:val="24"/>
          <w:szCs w:val="24"/>
        </w:rPr>
        <w:lastRenderedPageBreak/>
        <w:t>sobreseerlo. Estudio de causales de improcedencia que no son incompatibles con el derecho de acceso a la justicia, ya que éste no se coarta por regular causas de improcedencia y sobreseimiento con tales fines.</w:t>
      </w:r>
    </w:p>
    <w:p w14:paraId="7C2EBF1D"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2866BE49" w14:textId="77777777" w:rsidR="005D7A18" w:rsidRPr="00A36A81" w:rsidRDefault="00866B6B">
      <w:pPr>
        <w:spacing w:after="0" w:line="360" w:lineRule="auto"/>
        <w:ind w:right="51"/>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De manera preliminar en el caso concreto conviene analizar si se actualiza alguna de las causales de sobreseimiento del recurso de revisión. </w:t>
      </w:r>
    </w:p>
    <w:p w14:paraId="089ECF03" w14:textId="77777777" w:rsidR="005D7A18" w:rsidRPr="00A36A81" w:rsidRDefault="005D7A18">
      <w:pPr>
        <w:spacing w:after="0" w:line="360" w:lineRule="auto"/>
        <w:ind w:right="49"/>
        <w:jc w:val="both"/>
        <w:rPr>
          <w:rFonts w:ascii="Palatino Linotype" w:eastAsia="Palatino Linotype" w:hAnsi="Palatino Linotype" w:cs="Palatino Linotype"/>
          <w:sz w:val="24"/>
          <w:szCs w:val="24"/>
        </w:rPr>
      </w:pPr>
    </w:p>
    <w:p w14:paraId="4F786D6C" w14:textId="77777777" w:rsidR="005D7A18" w:rsidRPr="00A36A81" w:rsidRDefault="00866B6B">
      <w:pPr>
        <w:spacing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Dicho lo anterior, se procede al estudio del Recurso de Revisión que ahora nos ocupan, al tenor de lo siguiente: </w:t>
      </w: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417"/>
        <w:gridCol w:w="4536"/>
      </w:tblGrid>
      <w:tr w:rsidR="00C54628" w:rsidRPr="00A36A81" w14:paraId="5CBDB5DC" w14:textId="77777777">
        <w:tc>
          <w:tcPr>
            <w:tcW w:w="3114" w:type="dxa"/>
            <w:shd w:val="clear" w:color="auto" w:fill="AEAAAA"/>
          </w:tcPr>
          <w:p w14:paraId="5A0A9F13" w14:textId="77777777" w:rsidR="005D7A18" w:rsidRPr="00A36A81" w:rsidRDefault="00866B6B">
            <w:pPr>
              <w:spacing w:line="360" w:lineRule="auto"/>
              <w:jc w:val="center"/>
              <w:rPr>
                <w:rFonts w:ascii="Palatino Linotype" w:eastAsia="Palatino Linotype" w:hAnsi="Palatino Linotype" w:cs="Palatino Linotype"/>
                <w:b/>
                <w:sz w:val="24"/>
                <w:szCs w:val="24"/>
              </w:rPr>
            </w:pPr>
            <w:r w:rsidRPr="00A36A81">
              <w:rPr>
                <w:rFonts w:ascii="Palatino Linotype" w:eastAsia="Palatino Linotype" w:hAnsi="Palatino Linotype" w:cs="Palatino Linotype"/>
                <w:b/>
                <w:sz w:val="24"/>
                <w:szCs w:val="24"/>
              </w:rPr>
              <w:t>Solicitud</w:t>
            </w:r>
          </w:p>
        </w:tc>
        <w:tc>
          <w:tcPr>
            <w:tcW w:w="1417" w:type="dxa"/>
            <w:shd w:val="clear" w:color="auto" w:fill="AEAAAA"/>
          </w:tcPr>
          <w:p w14:paraId="648589BF" w14:textId="77777777" w:rsidR="005D7A18" w:rsidRPr="00A36A81" w:rsidRDefault="00866B6B">
            <w:pPr>
              <w:spacing w:line="360" w:lineRule="auto"/>
              <w:jc w:val="center"/>
              <w:rPr>
                <w:rFonts w:ascii="Palatino Linotype" w:eastAsia="Palatino Linotype" w:hAnsi="Palatino Linotype" w:cs="Palatino Linotype"/>
                <w:b/>
                <w:sz w:val="24"/>
                <w:szCs w:val="24"/>
              </w:rPr>
            </w:pPr>
            <w:r w:rsidRPr="00A36A81">
              <w:rPr>
                <w:rFonts w:ascii="Palatino Linotype" w:eastAsia="Palatino Linotype" w:hAnsi="Palatino Linotype" w:cs="Palatino Linotype"/>
                <w:b/>
                <w:sz w:val="24"/>
                <w:szCs w:val="24"/>
              </w:rPr>
              <w:t>Respuesta</w:t>
            </w:r>
          </w:p>
        </w:tc>
        <w:tc>
          <w:tcPr>
            <w:tcW w:w="4536" w:type="dxa"/>
            <w:shd w:val="clear" w:color="auto" w:fill="AEAAAA"/>
          </w:tcPr>
          <w:p w14:paraId="7202492A" w14:textId="77777777" w:rsidR="005D7A18" w:rsidRPr="00A36A81" w:rsidRDefault="00866B6B">
            <w:pPr>
              <w:spacing w:line="360" w:lineRule="auto"/>
              <w:jc w:val="center"/>
              <w:rPr>
                <w:rFonts w:ascii="Palatino Linotype" w:eastAsia="Palatino Linotype" w:hAnsi="Palatino Linotype" w:cs="Palatino Linotype"/>
                <w:b/>
                <w:sz w:val="24"/>
                <w:szCs w:val="24"/>
              </w:rPr>
            </w:pPr>
            <w:r w:rsidRPr="00A36A81">
              <w:rPr>
                <w:rFonts w:ascii="Palatino Linotype" w:eastAsia="Palatino Linotype" w:hAnsi="Palatino Linotype" w:cs="Palatino Linotype"/>
                <w:b/>
                <w:sz w:val="24"/>
                <w:szCs w:val="24"/>
              </w:rPr>
              <w:t>Informe Justificado</w:t>
            </w:r>
          </w:p>
        </w:tc>
      </w:tr>
      <w:tr w:rsidR="005D7A18" w:rsidRPr="00A36A81" w14:paraId="5EE610C8" w14:textId="77777777">
        <w:tc>
          <w:tcPr>
            <w:tcW w:w="3114" w:type="dxa"/>
          </w:tcPr>
          <w:p w14:paraId="74F69E72" w14:textId="77777777" w:rsidR="005D7A18" w:rsidRPr="00A36A81" w:rsidRDefault="00866B6B">
            <w:pPr>
              <w:spacing w:line="276" w:lineRule="auto"/>
              <w:jc w:val="both"/>
              <w:rPr>
                <w:rFonts w:ascii="Palatino Linotype" w:eastAsia="Palatino Linotype" w:hAnsi="Palatino Linotype" w:cs="Palatino Linotype"/>
                <w:sz w:val="20"/>
                <w:szCs w:val="20"/>
              </w:rPr>
            </w:pPr>
            <w:r w:rsidRPr="00A36A81">
              <w:rPr>
                <w:rFonts w:ascii="Palatino Linotype" w:eastAsia="Palatino Linotype" w:hAnsi="Palatino Linotype" w:cs="Palatino Linotype"/>
                <w:sz w:val="20"/>
                <w:szCs w:val="20"/>
              </w:rPr>
              <w:t xml:space="preserve">El nombre de todos los servidores públicos y cabildo qué asistieron al evento de los 100 días de Claudia y los oficios de descuento del día. </w:t>
            </w:r>
          </w:p>
        </w:tc>
        <w:tc>
          <w:tcPr>
            <w:tcW w:w="1417" w:type="dxa"/>
          </w:tcPr>
          <w:p w14:paraId="34298057" w14:textId="77777777" w:rsidR="005D7A18" w:rsidRPr="00A36A81" w:rsidRDefault="00866B6B">
            <w:pPr>
              <w:spacing w:line="360" w:lineRule="auto"/>
              <w:jc w:val="both"/>
              <w:rPr>
                <w:rFonts w:ascii="Palatino Linotype" w:eastAsia="Palatino Linotype" w:hAnsi="Palatino Linotype" w:cs="Palatino Linotype"/>
                <w:sz w:val="20"/>
                <w:szCs w:val="20"/>
              </w:rPr>
            </w:pPr>
            <w:r w:rsidRPr="00A36A81">
              <w:rPr>
                <w:rFonts w:ascii="Palatino Linotype" w:eastAsia="Palatino Linotype" w:hAnsi="Palatino Linotype" w:cs="Palatino Linotype"/>
                <w:sz w:val="20"/>
                <w:szCs w:val="20"/>
              </w:rPr>
              <w:t>N/A</w:t>
            </w:r>
          </w:p>
        </w:tc>
        <w:tc>
          <w:tcPr>
            <w:tcW w:w="4536" w:type="dxa"/>
            <w:shd w:val="clear" w:color="auto" w:fill="auto"/>
          </w:tcPr>
          <w:p w14:paraId="372D4613" w14:textId="77777777" w:rsidR="005D7A18" w:rsidRPr="00A36A81" w:rsidRDefault="00866B6B">
            <w:pPr>
              <w:spacing w:line="360" w:lineRule="auto"/>
              <w:jc w:val="both"/>
              <w:rPr>
                <w:rFonts w:ascii="Palatino Linotype" w:eastAsia="Palatino Linotype" w:hAnsi="Palatino Linotype" w:cs="Palatino Linotype"/>
                <w:sz w:val="20"/>
                <w:szCs w:val="20"/>
              </w:rPr>
            </w:pPr>
            <w:r w:rsidRPr="00A36A81">
              <w:rPr>
                <w:rFonts w:ascii="Palatino Linotype" w:eastAsia="Palatino Linotype" w:hAnsi="Palatino Linotype" w:cs="Palatino Linotype"/>
                <w:sz w:val="20"/>
                <w:szCs w:val="20"/>
              </w:rPr>
              <w:t>La Dirección General de Administración y Servidora Pública Habilitada informó que la Dirección de Recursos Humanos de una búsqueda exhaustiva y razonable en sus archivos que a la fecha de la solicitud, no se localizó la información solicitada.</w:t>
            </w:r>
          </w:p>
        </w:tc>
      </w:tr>
    </w:tbl>
    <w:p w14:paraId="3B1EA63E"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21DC6D58" w14:textId="77777777" w:rsidR="005D7A18" w:rsidRPr="00A36A81" w:rsidRDefault="00866B6B">
      <w:pPr>
        <w:spacing w:after="0" w:line="360" w:lineRule="auto"/>
        <w:ind w:right="51"/>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Si bien en primera instancia, </w:t>
      </w:r>
      <w:r w:rsidRPr="00A36A81">
        <w:rPr>
          <w:rFonts w:ascii="Palatino Linotype" w:eastAsia="Palatino Linotype" w:hAnsi="Palatino Linotype" w:cs="Palatino Linotype"/>
          <w:b/>
          <w:sz w:val="24"/>
          <w:szCs w:val="24"/>
        </w:rPr>
        <w:t xml:space="preserve">EL SUJETO OBLIGADO </w:t>
      </w:r>
      <w:r w:rsidRPr="00A36A81">
        <w:rPr>
          <w:rFonts w:ascii="Palatino Linotype" w:eastAsia="Palatino Linotype" w:hAnsi="Palatino Linotype" w:cs="Palatino Linotype"/>
          <w:sz w:val="24"/>
          <w:szCs w:val="24"/>
        </w:rPr>
        <w:t>resultó omiso de emitir respuesta, se pronunció mediante informe justificado por conducto de la Dirección de Administración, quien cuenta con las siguientes atribuciones:</w:t>
      </w:r>
    </w:p>
    <w:p w14:paraId="205B9420" w14:textId="77777777" w:rsidR="005D7A18" w:rsidRPr="00A36A81" w:rsidRDefault="005D7A18">
      <w:pPr>
        <w:spacing w:after="0" w:line="360" w:lineRule="auto"/>
        <w:ind w:right="51"/>
        <w:jc w:val="both"/>
        <w:rPr>
          <w:rFonts w:ascii="Palatino Linotype" w:eastAsia="Palatino Linotype" w:hAnsi="Palatino Linotype" w:cs="Palatino Linotype"/>
          <w:sz w:val="24"/>
          <w:szCs w:val="24"/>
        </w:rPr>
      </w:pPr>
    </w:p>
    <w:p w14:paraId="744E4A37" w14:textId="77777777" w:rsidR="005D7A18" w:rsidRPr="00A36A81" w:rsidRDefault="00866B6B">
      <w:pPr>
        <w:spacing w:after="0" w:line="276" w:lineRule="auto"/>
        <w:ind w:left="851" w:right="902"/>
        <w:jc w:val="both"/>
        <w:rPr>
          <w:rFonts w:ascii="Palatino Linotype" w:eastAsia="Palatino Linotype" w:hAnsi="Palatino Linotype" w:cs="Palatino Linotype"/>
          <w:b/>
          <w:i/>
        </w:rPr>
      </w:pPr>
      <w:r w:rsidRPr="00A36A81">
        <w:rPr>
          <w:rFonts w:ascii="Palatino Linotype" w:eastAsia="Palatino Linotype" w:hAnsi="Palatino Linotype" w:cs="Palatino Linotype"/>
          <w:b/>
          <w:i/>
        </w:rPr>
        <w:t>“CÓDIGO REGLAMENTARIO MUNICIPAL DE TOLUCA</w:t>
      </w:r>
    </w:p>
    <w:p w14:paraId="7A8221D4" w14:textId="77777777" w:rsidR="005D7A18" w:rsidRPr="00A36A81" w:rsidRDefault="005D7A18">
      <w:pPr>
        <w:spacing w:after="0" w:line="276" w:lineRule="auto"/>
        <w:ind w:left="851" w:right="902"/>
        <w:jc w:val="both"/>
        <w:rPr>
          <w:rFonts w:ascii="Palatino Linotype" w:eastAsia="Palatino Linotype" w:hAnsi="Palatino Linotype" w:cs="Palatino Linotype"/>
          <w:b/>
          <w:i/>
        </w:rPr>
      </w:pPr>
    </w:p>
    <w:p w14:paraId="6D58B9F9" w14:textId="77777777" w:rsidR="005D7A18" w:rsidRPr="00A36A81" w:rsidRDefault="00866B6B">
      <w:pPr>
        <w:spacing w:after="0" w:line="276" w:lineRule="auto"/>
        <w:ind w:left="851" w:right="902"/>
        <w:jc w:val="both"/>
        <w:rPr>
          <w:rFonts w:ascii="Palatino Linotype" w:eastAsia="Palatino Linotype" w:hAnsi="Palatino Linotype" w:cs="Palatino Linotype"/>
          <w:b/>
          <w:i/>
        </w:rPr>
      </w:pPr>
      <w:r w:rsidRPr="00A36A81">
        <w:rPr>
          <w:rFonts w:ascii="Palatino Linotype" w:eastAsia="Palatino Linotype" w:hAnsi="Palatino Linotype" w:cs="Palatino Linotype"/>
          <w:b/>
          <w:i/>
        </w:rPr>
        <w:t xml:space="preserve">Artículo 3.40. </w:t>
      </w:r>
      <w:r w:rsidRPr="00A36A81">
        <w:rPr>
          <w:rFonts w:ascii="Palatino Linotype" w:eastAsia="Palatino Linotype" w:hAnsi="Palatino Linotype" w:cs="Palatino Linotype"/>
          <w:i/>
        </w:rPr>
        <w:t>La o el titular de la Dirección General de Administración, tiene las siguientes atribuciones:</w:t>
      </w:r>
    </w:p>
    <w:p w14:paraId="7FE37E50" w14:textId="77777777" w:rsidR="005D7A18" w:rsidRPr="00A36A81" w:rsidRDefault="00866B6B">
      <w:pPr>
        <w:spacing w:after="0" w:line="276" w:lineRule="auto"/>
        <w:ind w:left="851" w:right="902"/>
        <w:jc w:val="both"/>
        <w:rPr>
          <w:rFonts w:ascii="Palatino Linotype" w:eastAsia="Palatino Linotype" w:hAnsi="Palatino Linotype" w:cs="Palatino Linotype"/>
          <w:i/>
        </w:rPr>
      </w:pPr>
      <w:r w:rsidRPr="00A36A81">
        <w:rPr>
          <w:rFonts w:ascii="Palatino Linotype" w:eastAsia="Palatino Linotype" w:hAnsi="Palatino Linotype" w:cs="Palatino Linotype"/>
          <w:i/>
        </w:rPr>
        <w:lastRenderedPageBreak/>
        <w:t>(…)</w:t>
      </w:r>
    </w:p>
    <w:p w14:paraId="5571C2D0" w14:textId="77777777" w:rsidR="005D7A18" w:rsidRPr="00A36A81" w:rsidRDefault="00866B6B">
      <w:pPr>
        <w:spacing w:after="0" w:line="276" w:lineRule="auto"/>
        <w:ind w:left="851" w:right="902"/>
        <w:jc w:val="both"/>
        <w:rPr>
          <w:rFonts w:ascii="Palatino Linotype" w:eastAsia="Palatino Linotype" w:hAnsi="Palatino Linotype" w:cs="Palatino Linotype"/>
          <w:i/>
        </w:rPr>
      </w:pPr>
      <w:r w:rsidRPr="00A36A81">
        <w:rPr>
          <w:rFonts w:ascii="Palatino Linotype" w:eastAsia="Palatino Linotype" w:hAnsi="Palatino Linotype" w:cs="Palatino Linotype"/>
          <w:i/>
        </w:rPr>
        <w:t>III. Autorizar las altas, bajas, cambios, permisos, licencias, comisiones del personal, entre otras, para su trámite y efectos;</w:t>
      </w:r>
    </w:p>
    <w:p w14:paraId="084B9A3B" w14:textId="77777777" w:rsidR="005D7A18" w:rsidRPr="00A36A81" w:rsidRDefault="00866B6B">
      <w:pPr>
        <w:spacing w:after="0" w:line="276" w:lineRule="auto"/>
        <w:ind w:left="851" w:right="902"/>
        <w:jc w:val="both"/>
        <w:rPr>
          <w:rFonts w:ascii="Palatino Linotype" w:eastAsia="Palatino Linotype" w:hAnsi="Palatino Linotype" w:cs="Palatino Linotype"/>
          <w:i/>
        </w:rPr>
      </w:pPr>
      <w:r w:rsidRPr="00A36A81">
        <w:rPr>
          <w:rFonts w:ascii="Palatino Linotype" w:eastAsia="Palatino Linotype" w:hAnsi="Palatino Linotype" w:cs="Palatino Linotype"/>
          <w:i/>
        </w:rPr>
        <w:t>IV. Autorizar la elaboración y distribución oportuna de la nómina al personal que labora en el Ayuntamiento, apegándose a la normatividad en la materia y al presupuesto autorizado;”</w:t>
      </w:r>
    </w:p>
    <w:p w14:paraId="576875CA" w14:textId="77777777" w:rsidR="005D7A18" w:rsidRPr="00A36A81" w:rsidRDefault="005D7A18">
      <w:pPr>
        <w:spacing w:after="0" w:line="276" w:lineRule="auto"/>
        <w:ind w:left="851" w:right="900"/>
        <w:jc w:val="both"/>
        <w:rPr>
          <w:rFonts w:ascii="Palatino Linotype" w:eastAsia="Palatino Linotype" w:hAnsi="Palatino Linotype" w:cs="Palatino Linotype"/>
          <w:sz w:val="24"/>
          <w:szCs w:val="24"/>
        </w:rPr>
      </w:pPr>
    </w:p>
    <w:p w14:paraId="5D7BB49A" w14:textId="77777777" w:rsidR="005D7A18" w:rsidRPr="00A36A81" w:rsidRDefault="00866B6B">
      <w:pPr>
        <w:spacing w:after="0" w:line="360" w:lineRule="auto"/>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De acuerdo a lo anterior, el Director General de Administración, autoriza las altas, bajas, cambios, permisos, licencias, comisiones del personal, entre otras, para su trámite y efectos, asimismo, autoriza la elaboración y distribución oportuna de la nómina al personal que labora en el Ayuntamiento.</w:t>
      </w:r>
    </w:p>
    <w:p w14:paraId="6DCC5933" w14:textId="77777777" w:rsidR="005D7A18" w:rsidRPr="00A36A81" w:rsidRDefault="005D7A18">
      <w:pPr>
        <w:spacing w:after="0" w:line="360" w:lineRule="auto"/>
        <w:rPr>
          <w:rFonts w:ascii="Palatino Linotype" w:eastAsia="Palatino Linotype" w:hAnsi="Palatino Linotype" w:cs="Palatino Linotype"/>
          <w:sz w:val="24"/>
          <w:szCs w:val="24"/>
        </w:rPr>
      </w:pPr>
    </w:p>
    <w:p w14:paraId="5386F0E3" w14:textId="77777777" w:rsidR="005D7A18" w:rsidRPr="00A36A81" w:rsidRDefault="00866B6B">
      <w:pPr>
        <w:spacing w:after="0" w:line="360" w:lineRule="auto"/>
        <w:ind w:right="49"/>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Por ende, se determina que el informe justificado fue proporcionado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7AD41BF0" w14:textId="77777777" w:rsidR="005D7A18" w:rsidRPr="00A36A81" w:rsidRDefault="005D7A18">
      <w:pPr>
        <w:spacing w:after="0" w:line="360" w:lineRule="auto"/>
        <w:ind w:right="49"/>
        <w:jc w:val="both"/>
        <w:rPr>
          <w:rFonts w:ascii="Palatino Linotype" w:eastAsia="Palatino Linotype" w:hAnsi="Palatino Linotype" w:cs="Palatino Linotype"/>
          <w:sz w:val="24"/>
          <w:szCs w:val="24"/>
        </w:rPr>
      </w:pPr>
    </w:p>
    <w:p w14:paraId="3640C079" w14:textId="77777777" w:rsidR="005D7A18" w:rsidRPr="00A36A81" w:rsidRDefault="00866B6B">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i/>
        </w:rPr>
      </w:pPr>
      <w:r w:rsidRPr="00A36A81">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D24A637" w14:textId="77777777" w:rsidR="005D7A18" w:rsidRPr="00A36A81" w:rsidRDefault="005D7A18">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sz w:val="24"/>
          <w:szCs w:val="24"/>
        </w:rPr>
      </w:pPr>
    </w:p>
    <w:p w14:paraId="32097807" w14:textId="77777777" w:rsidR="005D7A18" w:rsidRPr="00A36A81" w:rsidRDefault="00866B6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lastRenderedPageBreak/>
        <w:t>En este orden de ideas, se advierte que efectivamente la Unidad de Transparencia cumplió con lo expresado en el artículo 162 de la Ley de Transparencia y Acceso a la Información Pública del Estado de México y Municipios, el cual menciona lo siguiente:</w:t>
      </w:r>
    </w:p>
    <w:p w14:paraId="304E7BB0" w14:textId="77777777" w:rsidR="005D7A18" w:rsidRPr="00A36A81" w:rsidRDefault="005D7A18">
      <w:pPr>
        <w:pBdr>
          <w:top w:val="nil"/>
          <w:left w:val="nil"/>
          <w:bottom w:val="nil"/>
          <w:right w:val="nil"/>
          <w:between w:val="nil"/>
        </w:pBdr>
        <w:shd w:val="clear" w:color="auto" w:fill="FFFFFF"/>
        <w:spacing w:after="0" w:line="360" w:lineRule="auto"/>
        <w:jc w:val="both"/>
        <w:rPr>
          <w:sz w:val="24"/>
          <w:szCs w:val="24"/>
        </w:rPr>
      </w:pPr>
    </w:p>
    <w:p w14:paraId="4DEBCBEE" w14:textId="77777777" w:rsidR="005D7A18" w:rsidRPr="00A36A81" w:rsidRDefault="00866B6B">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i/>
        </w:rPr>
      </w:pPr>
      <w:r w:rsidRPr="00A36A81">
        <w:rPr>
          <w:rFonts w:ascii="Palatino Linotype" w:eastAsia="Palatino Linotype" w:hAnsi="Palatino Linotype" w:cs="Palatino Linotype"/>
          <w:i/>
        </w:rPr>
        <w:t xml:space="preserve">“Artículo 162. Las unidades de transparencia deberán garantizar que las solicitudes </w:t>
      </w:r>
      <w:r w:rsidRPr="00A36A81">
        <w:rPr>
          <w:rFonts w:ascii="Palatino Linotype" w:eastAsia="Palatino Linotype" w:hAnsi="Palatino Linotype" w:cs="Palatino Linotype"/>
          <w:b/>
          <w:i/>
        </w:rPr>
        <w:t xml:space="preserve">se turnen a todas las Áreas competentes </w:t>
      </w:r>
      <w:r w:rsidRPr="00A36A81">
        <w:rPr>
          <w:rFonts w:ascii="Palatino Linotype" w:eastAsia="Palatino Linotype" w:hAnsi="Palatino Linotype" w:cs="Palatino Linotype"/>
          <w:i/>
        </w:rPr>
        <w:t>que cuenten con la información o deban tenerla de acuerdo a sus facultades, competencias y funciones, con el objeto de que realicen una búsqueda exhaustiva y razonable de la información solicitada.”</w:t>
      </w:r>
    </w:p>
    <w:p w14:paraId="69FB3DC1" w14:textId="77777777" w:rsidR="005D7A18" w:rsidRPr="00A36A81" w:rsidRDefault="005D7A18">
      <w:pPr>
        <w:pBdr>
          <w:top w:val="nil"/>
          <w:left w:val="nil"/>
          <w:bottom w:val="nil"/>
          <w:right w:val="nil"/>
          <w:between w:val="nil"/>
        </w:pBdr>
        <w:spacing w:after="0" w:line="360" w:lineRule="auto"/>
        <w:ind w:left="864" w:right="864"/>
        <w:jc w:val="both"/>
        <w:rPr>
          <w:rFonts w:ascii="Palatino Linotype" w:eastAsia="Palatino Linotype" w:hAnsi="Palatino Linotype" w:cs="Palatino Linotype"/>
          <w:sz w:val="24"/>
          <w:szCs w:val="24"/>
        </w:rPr>
      </w:pPr>
    </w:p>
    <w:p w14:paraId="667CFC36"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Por consiguiente, se tiene que el procedimiento de búsqueda de la información se ejecutó conforme a derecho.</w:t>
      </w:r>
    </w:p>
    <w:p w14:paraId="63E4A16B"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55118519"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Ahora bien, es de recordar que requiere el nombre y descuento de los servidores públicos que asistieron al evento de los 100 días de Gobierno de la Presidenta Claudia</w:t>
      </w:r>
      <w:r w:rsidRPr="00A36A81">
        <w:t xml:space="preserve"> </w:t>
      </w:r>
      <w:r w:rsidRPr="00A36A81">
        <w:rPr>
          <w:rFonts w:ascii="Palatino Linotype" w:eastAsia="Palatino Linotype" w:hAnsi="Palatino Linotype" w:cs="Palatino Linotype"/>
          <w:sz w:val="24"/>
          <w:szCs w:val="24"/>
        </w:rPr>
        <w:t>Sheinbaum Pardo, para tal efecto se adjunta la siguiente imagen:</w:t>
      </w:r>
    </w:p>
    <w:p w14:paraId="1C2BFA42" w14:textId="77777777" w:rsidR="005D7A18" w:rsidRPr="00A36A81" w:rsidRDefault="00866B6B">
      <w:pPr>
        <w:spacing w:after="0" w:line="360" w:lineRule="auto"/>
        <w:jc w:val="center"/>
        <w:rPr>
          <w:rFonts w:ascii="Palatino Linotype" w:eastAsia="Palatino Linotype" w:hAnsi="Palatino Linotype" w:cs="Palatino Linotype"/>
          <w:sz w:val="24"/>
          <w:szCs w:val="24"/>
        </w:rPr>
      </w:pPr>
      <w:r w:rsidRPr="00A36A81">
        <w:rPr>
          <w:rFonts w:ascii="Palatino Linotype" w:eastAsia="Palatino Linotype" w:hAnsi="Palatino Linotype" w:cs="Palatino Linotype"/>
          <w:noProof/>
          <w:sz w:val="24"/>
          <w:szCs w:val="24"/>
        </w:rPr>
        <w:lastRenderedPageBreak/>
        <w:drawing>
          <wp:inline distT="0" distB="0" distL="0" distR="0" wp14:anchorId="230ECF41" wp14:editId="0A31AA9D">
            <wp:extent cx="3167795" cy="3273173"/>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67795" cy="3273173"/>
                    </a:xfrm>
                    <a:prstGeom prst="rect">
                      <a:avLst/>
                    </a:prstGeom>
                    <a:ln/>
                  </pic:spPr>
                </pic:pic>
              </a:graphicData>
            </a:graphic>
          </wp:inline>
        </w:drawing>
      </w:r>
    </w:p>
    <w:p w14:paraId="5E2C7836"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De acuerdo a lo anterior, el evento en cita, se celebró el día doce de enero de dos mil veinticinco, que de acuerdo al calendario del año dos mil veinticinco oficial de la Oficialía Mayor del Gobierno del Estado de México, el día doce de enero corresponde a un día domingo como se advierte a continuación:</w:t>
      </w:r>
    </w:p>
    <w:p w14:paraId="6B0C9F55"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noProof/>
          <w:sz w:val="24"/>
          <w:szCs w:val="24"/>
        </w:rPr>
        <w:lastRenderedPageBreak/>
        <w:drawing>
          <wp:inline distT="0" distB="0" distL="0" distR="0" wp14:anchorId="2E6B03C8" wp14:editId="5A7CD2B7">
            <wp:extent cx="5612130" cy="344995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3449955"/>
                    </a:xfrm>
                    <a:prstGeom prst="rect">
                      <a:avLst/>
                    </a:prstGeom>
                    <a:ln/>
                  </pic:spPr>
                </pic:pic>
              </a:graphicData>
            </a:graphic>
          </wp:inline>
        </w:drawing>
      </w:r>
    </w:p>
    <w:p w14:paraId="5E497969"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43C3A2F6"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Para tal efecto, se dicta la siguiente normatividad:</w:t>
      </w:r>
    </w:p>
    <w:p w14:paraId="434F8DD6"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5E0115BE" w14:textId="77777777" w:rsidR="005D7A18" w:rsidRPr="00A36A81" w:rsidRDefault="00866B6B">
      <w:pPr>
        <w:spacing w:after="0" w:line="276" w:lineRule="auto"/>
        <w:ind w:left="851" w:right="902"/>
        <w:jc w:val="both"/>
        <w:rPr>
          <w:rFonts w:ascii="Palatino Linotype" w:eastAsia="Palatino Linotype" w:hAnsi="Palatino Linotype" w:cs="Palatino Linotype"/>
          <w:b/>
          <w:i/>
        </w:rPr>
      </w:pPr>
      <w:r w:rsidRPr="00A36A81">
        <w:rPr>
          <w:rFonts w:ascii="Palatino Linotype" w:eastAsia="Palatino Linotype" w:hAnsi="Palatino Linotype" w:cs="Palatino Linotype"/>
          <w:b/>
          <w:i/>
        </w:rPr>
        <w:t>“CÓDIGO REGLAMENTARIO MUNICIPAL DE TOLUCA</w:t>
      </w:r>
    </w:p>
    <w:p w14:paraId="6AAC1368" w14:textId="77777777" w:rsidR="005D7A18" w:rsidRPr="00A36A81" w:rsidRDefault="00866B6B">
      <w:pPr>
        <w:spacing w:after="0" w:line="276" w:lineRule="auto"/>
        <w:ind w:left="851" w:right="902"/>
        <w:jc w:val="both"/>
        <w:rPr>
          <w:rFonts w:ascii="Palatino Linotype" w:eastAsia="Palatino Linotype" w:hAnsi="Palatino Linotype" w:cs="Palatino Linotype"/>
          <w:i/>
        </w:rPr>
      </w:pPr>
      <w:r w:rsidRPr="00A36A81">
        <w:rPr>
          <w:rFonts w:ascii="Palatino Linotype" w:eastAsia="Palatino Linotype" w:hAnsi="Palatino Linotype" w:cs="Palatino Linotype"/>
          <w:b/>
          <w:i/>
        </w:rPr>
        <w:t>Artículo 11.75.</w:t>
      </w:r>
      <w:r w:rsidRPr="00A36A81">
        <w:rPr>
          <w:rFonts w:ascii="Palatino Linotype" w:eastAsia="Palatino Linotype" w:hAnsi="Palatino Linotype" w:cs="Palatino Linotype"/>
          <w:i/>
        </w:rPr>
        <w:t xml:space="preserve"> Los días de descanso semanal que disfrutará la o el servidor público, por cada cinco días de trabajo, serán preferentemente los sábados y los domingos. Podrá acordarse con el servidor público una modificación sobre los mismos de acuerdo a la naturaleza y necesidades del servicio.</w:t>
      </w:r>
    </w:p>
    <w:p w14:paraId="66716082" w14:textId="77777777" w:rsidR="005D7A18" w:rsidRPr="00A36A81" w:rsidRDefault="005D7A18">
      <w:pPr>
        <w:spacing w:after="0" w:line="276" w:lineRule="auto"/>
        <w:ind w:left="851" w:right="902"/>
        <w:jc w:val="both"/>
        <w:rPr>
          <w:rFonts w:ascii="Palatino Linotype" w:eastAsia="Palatino Linotype" w:hAnsi="Palatino Linotype" w:cs="Palatino Linotype"/>
          <w:i/>
        </w:rPr>
      </w:pPr>
    </w:p>
    <w:p w14:paraId="2690525D" w14:textId="77777777" w:rsidR="005D7A18" w:rsidRPr="00A36A81" w:rsidRDefault="00866B6B">
      <w:pPr>
        <w:spacing w:after="0" w:line="276" w:lineRule="auto"/>
        <w:ind w:left="851" w:right="902"/>
        <w:jc w:val="both"/>
        <w:rPr>
          <w:rFonts w:ascii="Palatino Linotype" w:eastAsia="Palatino Linotype" w:hAnsi="Palatino Linotype" w:cs="Palatino Linotype"/>
          <w:i/>
        </w:rPr>
      </w:pPr>
      <w:r w:rsidRPr="00A36A81">
        <w:rPr>
          <w:rFonts w:ascii="Palatino Linotype" w:eastAsia="Palatino Linotype" w:hAnsi="Palatino Linotype" w:cs="Palatino Linotype"/>
          <w:i/>
        </w:rPr>
        <w:t>Cuando por necesidades del servicio existan actividades que no puedan suspenderse, la Dependencia o Unidad Administrativa presentará a la Dirección General de Administración la propuesta de roles de los descansos semanales de los servidores públicos, los que, de preferencia, serán de dos días continuos.”</w:t>
      </w:r>
    </w:p>
    <w:p w14:paraId="09B48C49" w14:textId="77777777" w:rsidR="005D7A18" w:rsidRPr="00A36A81" w:rsidRDefault="005D7A18">
      <w:pPr>
        <w:spacing w:after="0" w:line="360" w:lineRule="auto"/>
        <w:jc w:val="both"/>
        <w:rPr>
          <w:rFonts w:ascii="Palatino Linotype" w:eastAsia="Palatino Linotype" w:hAnsi="Palatino Linotype" w:cs="Palatino Linotype"/>
        </w:rPr>
      </w:pPr>
    </w:p>
    <w:p w14:paraId="6E767F78"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lastRenderedPageBreak/>
        <w:t xml:space="preserve">De acuerdo a lo anterior, en el Ayuntamiento de Toluca los días de descanso semanal que disfrutará la o el servidor público, por cada cinco días de trabajo, serán preferentemente los sábados y los domingos. </w:t>
      </w:r>
    </w:p>
    <w:p w14:paraId="53050C37"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03B269EF"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Por lo que de acuerdo al pronunciamiento hecho en informe justificado por </w:t>
      </w:r>
      <w:r w:rsidRPr="00A36A81">
        <w:rPr>
          <w:rFonts w:ascii="Palatino Linotype" w:eastAsia="Palatino Linotype" w:hAnsi="Palatino Linotype" w:cs="Palatino Linotype"/>
          <w:b/>
          <w:sz w:val="24"/>
          <w:szCs w:val="24"/>
        </w:rPr>
        <w:t xml:space="preserve">EL SUJETO OBLIGADO </w:t>
      </w:r>
      <w:r w:rsidRPr="00A36A81">
        <w:rPr>
          <w:rFonts w:ascii="Palatino Linotype" w:eastAsia="Palatino Linotype" w:hAnsi="Palatino Linotype" w:cs="Palatino Linotype"/>
          <w:sz w:val="24"/>
          <w:szCs w:val="24"/>
        </w:rPr>
        <w:t xml:space="preserve">se advierte que no cuenta con algún documento que dé cuenta de lo solicitado. </w:t>
      </w:r>
    </w:p>
    <w:p w14:paraId="6E96A208"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23D2ED31"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Encontrándonos ante un hecho negativo, destacando entonces que el Pleno de este Organismo Garante, ha sostenido que ante la presencia de un hecho negativo, </w:t>
      </w:r>
      <w:r w:rsidRPr="00A36A81">
        <w:rPr>
          <w:rFonts w:ascii="Palatino Linotype" w:eastAsia="Palatino Linotype" w:hAnsi="Palatino Linotype" w:cs="Palatino Linotype"/>
          <w:b/>
          <w:sz w:val="24"/>
          <w:szCs w:val="24"/>
        </w:rPr>
        <w:t>resultaría innecesaria una declaratoria de inexistencia</w:t>
      </w:r>
      <w:r w:rsidRPr="00A36A81">
        <w:rPr>
          <w:rFonts w:ascii="Palatino Linotype" w:eastAsia="Palatino Linotype" w:hAnsi="Palatino Linotype" w:cs="Palatino Linotype"/>
          <w:sz w:val="24"/>
          <w:szCs w:val="24"/>
        </w:rPr>
        <w:t xml:space="preserve">, como es en el presente caso, en donde </w:t>
      </w:r>
      <w:r w:rsidRPr="00A36A81">
        <w:rPr>
          <w:rFonts w:ascii="Palatino Linotype" w:eastAsia="Palatino Linotype" w:hAnsi="Palatino Linotype" w:cs="Palatino Linotype"/>
          <w:b/>
          <w:sz w:val="24"/>
          <w:szCs w:val="24"/>
        </w:rPr>
        <w:t xml:space="preserve">EL SUJETO OBLIGADO </w:t>
      </w:r>
      <w:r w:rsidRPr="00A36A81">
        <w:rPr>
          <w:rFonts w:ascii="Palatino Linotype" w:eastAsia="Palatino Linotype" w:hAnsi="Palatino Linotype" w:cs="Palatino Linotype"/>
          <w:sz w:val="24"/>
          <w:szCs w:val="24"/>
        </w:rPr>
        <w:t>declaró la inexistencia de la información solicitada, sin embargo, en términos de los artículos 19, 169 y 170 de la Ley de Transparencia y Acceso a la Información Pública del Estado de México y Municipios, y ante una hecho negativo resulta aplicable la siguiente tesis:</w:t>
      </w:r>
    </w:p>
    <w:p w14:paraId="6DE23402"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19F22E4F" w14:textId="77777777" w:rsidR="005D7A18" w:rsidRPr="00A36A81" w:rsidRDefault="00866B6B">
      <w:pPr>
        <w:spacing w:after="0" w:line="276" w:lineRule="auto"/>
        <w:ind w:left="862" w:right="561"/>
        <w:jc w:val="both"/>
      </w:pPr>
      <w:r w:rsidRPr="00A36A81">
        <w:rPr>
          <w:rFonts w:ascii="Palatino Linotype" w:eastAsia="Palatino Linotype" w:hAnsi="Palatino Linotype" w:cs="Palatino Linotype"/>
          <w:b/>
          <w:i/>
        </w:rPr>
        <w:t>“HECHOS NEGATIVOS, NO SON SUSCEPTIBLES DE DEMOSTRACIÓN.</w:t>
      </w:r>
    </w:p>
    <w:p w14:paraId="7AE750A8" w14:textId="77777777" w:rsidR="005D7A18" w:rsidRPr="00A36A81" w:rsidRDefault="00866B6B">
      <w:pPr>
        <w:spacing w:after="0" w:line="276" w:lineRule="auto"/>
        <w:ind w:left="862" w:right="561"/>
        <w:jc w:val="both"/>
      </w:pPr>
      <w:r w:rsidRPr="00A36A81">
        <w:rPr>
          <w:rFonts w:ascii="Palatino Linotype" w:eastAsia="Palatino Linotype" w:hAnsi="Palatino Linotype" w:cs="Palatino Linotype"/>
          <w:i/>
        </w:rPr>
        <w:t xml:space="preserve">Tratándose de un hecho negativo, el Juez no tiene </w:t>
      </w:r>
      <w:proofErr w:type="spellStart"/>
      <w:r w:rsidRPr="00A36A81">
        <w:rPr>
          <w:rFonts w:ascii="Palatino Linotype" w:eastAsia="Palatino Linotype" w:hAnsi="Palatino Linotype" w:cs="Palatino Linotype"/>
          <w:i/>
        </w:rPr>
        <w:t>por que</w:t>
      </w:r>
      <w:proofErr w:type="spellEnd"/>
      <w:r w:rsidRPr="00A36A81">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170E3392" w14:textId="77777777" w:rsidR="005D7A18" w:rsidRPr="00A36A81" w:rsidRDefault="00866B6B">
      <w:pPr>
        <w:spacing w:after="0" w:line="276" w:lineRule="auto"/>
        <w:ind w:left="862" w:right="561"/>
        <w:jc w:val="both"/>
        <w:rPr>
          <w:rFonts w:ascii="Palatino Linotype" w:eastAsia="Palatino Linotype" w:hAnsi="Palatino Linotype" w:cs="Palatino Linotype"/>
          <w:i/>
        </w:rPr>
      </w:pPr>
      <w:r w:rsidRPr="00A36A81">
        <w:rPr>
          <w:rFonts w:ascii="Palatino Linotype" w:eastAsia="Palatino Linotype" w:hAnsi="Palatino Linotype" w:cs="Palatino Linotype"/>
          <w:i/>
        </w:rPr>
        <w:t>Amparo en revisión 2022/61. José García Florín (Menor). 9 de octubre de 1961. Cinco votos. Ponente: José Rivera Pérez Campos.”</w:t>
      </w:r>
    </w:p>
    <w:p w14:paraId="16DD294E" w14:textId="77777777" w:rsidR="005D7A18" w:rsidRPr="00A36A81" w:rsidRDefault="005D7A18">
      <w:pPr>
        <w:spacing w:after="0" w:line="276" w:lineRule="auto"/>
        <w:ind w:left="862" w:right="561"/>
        <w:jc w:val="both"/>
        <w:rPr>
          <w:rFonts w:ascii="Palatino Linotype" w:eastAsia="Palatino Linotype" w:hAnsi="Palatino Linotype" w:cs="Palatino Linotype"/>
          <w:i/>
          <w:sz w:val="24"/>
          <w:szCs w:val="24"/>
        </w:rPr>
      </w:pPr>
    </w:p>
    <w:p w14:paraId="3D8650D4"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Además, y de conformidad con lo establecido en el artículo 12 de la Ley de Transparencia y Acceso a la Información Pública del Estado de México y Municipios, </w:t>
      </w:r>
      <w:r w:rsidRPr="00A36A81">
        <w:rPr>
          <w:rFonts w:ascii="Palatino Linotype" w:eastAsia="Palatino Linotype" w:hAnsi="Palatino Linotype" w:cs="Palatino Linotype"/>
          <w:sz w:val="24"/>
          <w:szCs w:val="24"/>
        </w:rPr>
        <w:lastRenderedPageBreak/>
        <w:t xml:space="preserve">anteriormente invocado </w:t>
      </w:r>
      <w:r w:rsidRPr="00A36A81">
        <w:rPr>
          <w:rFonts w:ascii="Palatino Linotype" w:eastAsia="Palatino Linotype" w:hAnsi="Palatino Linotype" w:cs="Palatino Linotype"/>
          <w:b/>
          <w:sz w:val="24"/>
          <w:szCs w:val="24"/>
        </w:rPr>
        <w:t>EL SUJETO OBLIGADO</w:t>
      </w:r>
      <w:r w:rsidRPr="00A36A81">
        <w:rPr>
          <w:rFonts w:ascii="Palatino Linotype" w:eastAsia="Palatino Linotype" w:hAnsi="Palatino Linotype" w:cs="Palatino Linotype"/>
          <w:sz w:val="24"/>
          <w:szCs w:val="24"/>
        </w:rPr>
        <w:t xml:space="preserve"> sólo proporcionará la información que obra en sus archivos, lo que a</w:t>
      </w:r>
      <w:r w:rsidRPr="00A36A81">
        <w:rPr>
          <w:rFonts w:ascii="Palatino Linotype" w:eastAsia="Palatino Linotype" w:hAnsi="Palatino Linotype" w:cs="Palatino Linotype"/>
          <w:i/>
          <w:sz w:val="24"/>
          <w:szCs w:val="24"/>
        </w:rPr>
        <w:t xml:space="preserve"> contrario sensu</w:t>
      </w:r>
      <w:r w:rsidRPr="00A36A81">
        <w:rPr>
          <w:rFonts w:ascii="Palatino Linotype" w:eastAsia="Palatino Linotype" w:hAnsi="Palatino Linotype" w:cs="Palatino Linotype"/>
          <w:sz w:val="24"/>
          <w:szCs w:val="24"/>
        </w:rPr>
        <w:t xml:space="preserve"> significa que no se está obligado a proporcionar lo que no obre en sus archivos; motivo por el cual se colma el derecho de acceso a la información pública del particular.</w:t>
      </w:r>
    </w:p>
    <w:p w14:paraId="64D7B765"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42A38A7D"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Aunado a lo anterior, es de mencionar que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1704AD5D" w14:textId="77777777" w:rsidR="005D7A18" w:rsidRPr="00A36A81" w:rsidRDefault="005D7A18">
      <w:pPr>
        <w:tabs>
          <w:tab w:val="left" w:pos="709"/>
        </w:tabs>
        <w:spacing w:after="0" w:line="360" w:lineRule="auto"/>
        <w:ind w:right="40"/>
        <w:jc w:val="both"/>
        <w:rPr>
          <w:rFonts w:ascii="Palatino Linotype" w:eastAsia="Palatino Linotype" w:hAnsi="Palatino Linotype" w:cs="Palatino Linotype"/>
          <w:sz w:val="24"/>
          <w:szCs w:val="24"/>
        </w:rPr>
      </w:pPr>
    </w:p>
    <w:p w14:paraId="297B74FF" w14:textId="77777777" w:rsidR="005D7A18" w:rsidRPr="00A36A81" w:rsidRDefault="00866B6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14:paraId="0044148F" w14:textId="77777777" w:rsidR="005D7A18" w:rsidRPr="00A36A81" w:rsidRDefault="005D7A1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ED57516" w14:textId="77777777" w:rsidR="005D7A18" w:rsidRPr="00A36A81" w:rsidRDefault="00866B6B">
      <w:pPr>
        <w:spacing w:after="0" w:line="276" w:lineRule="auto"/>
        <w:ind w:left="567" w:right="618"/>
        <w:jc w:val="both"/>
        <w:rPr>
          <w:rFonts w:ascii="Palatino Linotype" w:eastAsia="Palatino Linotype" w:hAnsi="Palatino Linotype" w:cs="Palatino Linotype"/>
          <w:i/>
        </w:rPr>
      </w:pPr>
      <w:r w:rsidRPr="00A36A81">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A36A81">
        <w:rPr>
          <w:rFonts w:ascii="Palatino Linotype" w:eastAsia="Palatino Linotype" w:hAnsi="Palatino Linotype" w:cs="Palatino Linotype"/>
          <w:i/>
        </w:rPr>
        <w:lastRenderedPageBreak/>
        <w:t>Transparencia y Acceso a la Información Pública Gubernamental no se prevé una causal que permita al Instituto Federal de Acceso a la Información y Protección de Datos conocer, vía recurso revisión, al respecto.</w:t>
      </w:r>
    </w:p>
    <w:p w14:paraId="6DF99D3D" w14:textId="77777777" w:rsidR="005D7A18" w:rsidRPr="00A36A81" w:rsidRDefault="005D7A18">
      <w:pPr>
        <w:tabs>
          <w:tab w:val="left" w:pos="4962"/>
        </w:tabs>
        <w:spacing w:after="0" w:line="360" w:lineRule="auto"/>
        <w:jc w:val="both"/>
        <w:rPr>
          <w:rFonts w:ascii="Palatino Linotype" w:eastAsia="Palatino Linotype" w:hAnsi="Palatino Linotype" w:cs="Palatino Linotype"/>
          <w:sz w:val="24"/>
          <w:szCs w:val="24"/>
        </w:rPr>
      </w:pPr>
    </w:p>
    <w:p w14:paraId="1C1229FE" w14:textId="77777777" w:rsidR="005D7A18" w:rsidRPr="00A36A81" w:rsidRDefault="00866B6B">
      <w:pPr>
        <w:tabs>
          <w:tab w:val="left" w:pos="4962"/>
        </w:tabs>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Por lo anterior, lo procedente es </w:t>
      </w:r>
      <w:r w:rsidRPr="00A36A81">
        <w:rPr>
          <w:rFonts w:ascii="Palatino Linotype" w:eastAsia="Palatino Linotype" w:hAnsi="Palatino Linotype" w:cs="Palatino Linotype"/>
          <w:b/>
          <w:sz w:val="24"/>
          <w:szCs w:val="24"/>
        </w:rPr>
        <w:t xml:space="preserve">dar por colmado el informe justificado </w:t>
      </w:r>
      <w:r w:rsidRPr="00A36A81">
        <w:rPr>
          <w:rFonts w:ascii="Palatino Linotype" w:eastAsia="Palatino Linotype" w:hAnsi="Palatino Linotype" w:cs="Palatino Linotype"/>
          <w:sz w:val="24"/>
          <w:szCs w:val="24"/>
        </w:rPr>
        <w:t xml:space="preserve">brindado al requerimiento de información de la solicitud de información. </w:t>
      </w:r>
    </w:p>
    <w:p w14:paraId="7FE1C06C" w14:textId="77777777" w:rsidR="005D7A18" w:rsidRPr="00A36A81" w:rsidRDefault="005D7A18">
      <w:pPr>
        <w:spacing w:after="0" w:line="360" w:lineRule="auto"/>
        <w:ind w:right="49"/>
        <w:jc w:val="both"/>
        <w:rPr>
          <w:rFonts w:ascii="Palatino Linotype" w:eastAsia="Palatino Linotype" w:hAnsi="Palatino Linotype" w:cs="Palatino Linotype"/>
          <w:sz w:val="24"/>
          <w:szCs w:val="24"/>
        </w:rPr>
      </w:pPr>
    </w:p>
    <w:p w14:paraId="129FF68F" w14:textId="77777777" w:rsidR="005D7A18" w:rsidRPr="00A36A81" w:rsidRDefault="00866B6B">
      <w:pPr>
        <w:spacing w:after="0" w:line="360" w:lineRule="auto"/>
        <w:ind w:right="49"/>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Es por lo que, </w:t>
      </w:r>
      <w:r w:rsidRPr="00A36A81">
        <w:rPr>
          <w:rFonts w:ascii="Palatino Linotype" w:eastAsia="Palatino Linotype" w:hAnsi="Palatino Linotype" w:cs="Palatino Linotype"/>
          <w:b/>
          <w:sz w:val="24"/>
          <w:szCs w:val="24"/>
        </w:rPr>
        <w:t>EL SUJETO OBLIGADO</w:t>
      </w:r>
      <w:r w:rsidRPr="00A36A81">
        <w:rPr>
          <w:rFonts w:ascii="Palatino Linotype" w:eastAsia="Palatino Linotype" w:hAnsi="Palatino Linotype" w:cs="Palatino Linotype"/>
          <w:sz w:val="24"/>
          <w:szCs w:val="24"/>
        </w:rPr>
        <w:t>, al haber enviado su pronunciamiento en calidad de informe justificado, a través de la unidad administrativa competente;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1DC2813A" w14:textId="77777777" w:rsidR="005D7A18" w:rsidRPr="00A36A81" w:rsidRDefault="005D7A18">
      <w:pPr>
        <w:spacing w:after="0" w:line="360" w:lineRule="auto"/>
        <w:ind w:right="49"/>
        <w:jc w:val="both"/>
        <w:rPr>
          <w:rFonts w:ascii="Palatino Linotype" w:eastAsia="Palatino Linotype" w:hAnsi="Palatino Linotype" w:cs="Palatino Linotype"/>
          <w:sz w:val="24"/>
          <w:szCs w:val="24"/>
        </w:rPr>
      </w:pPr>
    </w:p>
    <w:p w14:paraId="49E4472A" w14:textId="77777777" w:rsidR="005D7A18" w:rsidRPr="00A36A81" w:rsidRDefault="00866B6B">
      <w:pPr>
        <w:spacing w:after="0" w:line="360" w:lineRule="auto"/>
        <w:ind w:right="900" w:firstLine="567"/>
        <w:jc w:val="both"/>
        <w:rPr>
          <w:sz w:val="24"/>
          <w:szCs w:val="24"/>
        </w:rPr>
      </w:pPr>
      <w:r w:rsidRPr="00A36A81">
        <w:rPr>
          <w:rFonts w:ascii="Palatino Linotype" w:eastAsia="Palatino Linotype" w:hAnsi="Palatino Linotype" w:cs="Palatino Linotype"/>
          <w:sz w:val="24"/>
          <w:szCs w:val="24"/>
        </w:rPr>
        <w:t>a) Cuando el sujeto obligado modifique el acto impugnado y;</w:t>
      </w:r>
    </w:p>
    <w:p w14:paraId="558AFFD5" w14:textId="77777777" w:rsidR="005D7A18" w:rsidRPr="00A36A81" w:rsidRDefault="00866B6B">
      <w:pPr>
        <w:spacing w:after="0" w:line="360" w:lineRule="auto"/>
        <w:ind w:right="900" w:firstLine="567"/>
        <w:jc w:val="both"/>
        <w:rPr>
          <w:sz w:val="24"/>
          <w:szCs w:val="24"/>
        </w:rPr>
      </w:pPr>
      <w:r w:rsidRPr="00A36A81">
        <w:rPr>
          <w:rFonts w:ascii="Palatino Linotype" w:eastAsia="Palatino Linotype" w:hAnsi="Palatino Linotype" w:cs="Palatino Linotype"/>
          <w:sz w:val="24"/>
          <w:szCs w:val="24"/>
        </w:rPr>
        <w:t>b) Cuando el sujeto obligado revoque el acto impugnado.</w:t>
      </w:r>
    </w:p>
    <w:p w14:paraId="50856598"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2897628B"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Quedando en ambos casos el acto combatido sin materia o sin efectos.</w:t>
      </w:r>
    </w:p>
    <w:p w14:paraId="52AC3EAB"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34ED0D99"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Como se observa de lo anterior, un acto impugnado es </w:t>
      </w:r>
      <w:r w:rsidRPr="00A36A81">
        <w:rPr>
          <w:rFonts w:ascii="Palatino Linotype" w:eastAsia="Palatino Linotype" w:hAnsi="Palatino Linotype" w:cs="Palatino Linotype"/>
          <w:b/>
          <w:sz w:val="24"/>
          <w:szCs w:val="24"/>
        </w:rPr>
        <w:t>modificado</w:t>
      </w:r>
      <w:r w:rsidRPr="00A36A81">
        <w:rPr>
          <w:rFonts w:ascii="Palatino Linotype" w:eastAsia="Palatino Linotype" w:hAnsi="Palatino Linotype" w:cs="Palatino Linotype"/>
          <w:sz w:val="24"/>
          <w:szCs w:val="24"/>
        </w:rPr>
        <w:t xml:space="preserve"> en aquellos casos en los que el sujeto obligado subsana las deficiencias que hubiera tenido en primer momento</w:t>
      </w:r>
      <w:r w:rsidRPr="00A36A81">
        <w:rPr>
          <w:rFonts w:ascii="Palatino Linotype" w:eastAsia="Palatino Linotype" w:hAnsi="Palatino Linotype" w:cs="Palatino Linotype"/>
          <w:b/>
          <w:sz w:val="24"/>
          <w:szCs w:val="24"/>
        </w:rPr>
        <w:t>,</w:t>
      </w:r>
      <w:r w:rsidRPr="00A36A81">
        <w:rPr>
          <w:rFonts w:ascii="Palatino Linotype" w:eastAsia="Palatino Linotype" w:hAnsi="Palatino Linotype" w:cs="Palatino Linotype"/>
          <w:sz w:val="24"/>
          <w:szCs w:val="24"/>
        </w:rPr>
        <w:t xml:space="preserve"> quedando satisfecho el derecho subjetivo accionado por la parte recurrente. </w:t>
      </w:r>
    </w:p>
    <w:p w14:paraId="052F7A81"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lastRenderedPageBreak/>
        <w:t>Por lo que hace a la</w:t>
      </w:r>
      <w:r w:rsidRPr="00A36A81">
        <w:rPr>
          <w:rFonts w:ascii="Palatino Linotype" w:eastAsia="Palatino Linotype" w:hAnsi="Palatino Linotype" w:cs="Palatino Linotype"/>
          <w:b/>
          <w:sz w:val="24"/>
          <w:szCs w:val="24"/>
        </w:rPr>
        <w:t xml:space="preserve"> revocación</w:t>
      </w:r>
      <w:r w:rsidRPr="00A36A81">
        <w:rPr>
          <w:rFonts w:ascii="Palatino Linotype" w:eastAsia="Palatino Linotype" w:hAnsi="Palatino Linotype" w:cs="Palatino Linotype"/>
          <w:sz w:val="24"/>
          <w:szCs w:val="24"/>
        </w:rPr>
        <w:t>, esta se actualiza cuando el sujeto obligado</w:t>
      </w:r>
      <w:r w:rsidRPr="00A36A81">
        <w:rPr>
          <w:rFonts w:ascii="Palatino Linotype" w:eastAsia="Palatino Linotype" w:hAnsi="Palatino Linotype" w:cs="Palatino Linotype"/>
          <w:b/>
          <w:sz w:val="24"/>
          <w:szCs w:val="24"/>
        </w:rPr>
        <w:t xml:space="preserve"> </w:t>
      </w:r>
      <w:r w:rsidRPr="00A36A81">
        <w:rPr>
          <w:rFonts w:ascii="Palatino Linotype" w:eastAsia="Palatino Linotype" w:hAnsi="Palatino Linotype" w:cs="Palatino Linotype"/>
          <w:sz w:val="24"/>
          <w:szCs w:val="24"/>
        </w:rPr>
        <w:t>deja sin efectos su actuar y en su lugar emite otra con las características y cualidades suficientes para dejar satisfecho el ejercicio del derecho al acceso a la información pública.</w:t>
      </w:r>
    </w:p>
    <w:p w14:paraId="097B6B20"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5EC9704F"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En ese tenor, un acto impugnado queda sin efectos, cuando aun existiendo jurídicamente ya no genera ninguna consecuencia legal.</w:t>
      </w:r>
    </w:p>
    <w:p w14:paraId="70E65DB0"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50A524B8" w14:textId="77777777" w:rsidR="005D7A18" w:rsidRPr="00A36A81" w:rsidRDefault="00866B6B">
      <w:pPr>
        <w:spacing w:after="0" w:line="360" w:lineRule="auto"/>
        <w:ind w:right="49"/>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En tanto, en el presente caso, toda vez que, </w:t>
      </w:r>
      <w:r w:rsidRPr="00A36A81">
        <w:rPr>
          <w:rFonts w:ascii="Palatino Linotype" w:eastAsia="Palatino Linotype" w:hAnsi="Palatino Linotype" w:cs="Palatino Linotype"/>
          <w:b/>
          <w:sz w:val="24"/>
          <w:szCs w:val="24"/>
        </w:rPr>
        <w:t>EL SUJETO OBLIGADO</w:t>
      </w:r>
      <w:r w:rsidRPr="00A36A81">
        <w:rPr>
          <w:rFonts w:ascii="Palatino Linotype" w:eastAsia="Palatino Linotype" w:hAnsi="Palatino Linotype" w:cs="Palatino Linotype"/>
          <w:sz w:val="24"/>
          <w:szCs w:val="24"/>
        </w:rPr>
        <w:t xml:space="preserve"> mediante informe justificado, a través de su unidad administrativa competente, proporcionó la información requerida por la parte Solicitante; dejó sin materia el presente recurso de revisión, actualizándose entonces la causal prevista en la fracción III del artículo 192 de la Ley de la Materia vigente en la Entidad. </w:t>
      </w:r>
    </w:p>
    <w:p w14:paraId="6A7E8361" w14:textId="77777777" w:rsidR="005D7A18" w:rsidRPr="00A36A81" w:rsidRDefault="005D7A18">
      <w:pPr>
        <w:spacing w:after="0" w:line="360" w:lineRule="auto"/>
        <w:jc w:val="both"/>
        <w:rPr>
          <w:rFonts w:ascii="Palatino Linotype" w:eastAsia="Palatino Linotype" w:hAnsi="Palatino Linotype" w:cs="Palatino Linotype"/>
          <w:b/>
          <w:sz w:val="24"/>
          <w:szCs w:val="24"/>
          <w:u w:val="single"/>
        </w:rPr>
      </w:pPr>
    </w:p>
    <w:p w14:paraId="12830698"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47A0AD57"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7A26BE51"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3B600FDA"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6F4D03B8"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7894AEC3" w14:textId="77777777" w:rsidR="005D7A18" w:rsidRPr="00A36A81" w:rsidRDefault="00866B6B">
      <w:pPr>
        <w:spacing w:after="0" w:line="360" w:lineRule="auto"/>
        <w:ind w:right="49"/>
        <w:jc w:val="center"/>
        <w:rPr>
          <w:rFonts w:ascii="Palatino Linotype" w:eastAsia="Palatino Linotype" w:hAnsi="Palatino Linotype" w:cs="Palatino Linotype"/>
          <w:b/>
          <w:sz w:val="24"/>
          <w:szCs w:val="24"/>
        </w:rPr>
      </w:pPr>
      <w:r w:rsidRPr="00A36A81">
        <w:rPr>
          <w:rFonts w:ascii="Palatino Linotype" w:eastAsia="Palatino Linotype" w:hAnsi="Palatino Linotype" w:cs="Palatino Linotype"/>
          <w:b/>
          <w:sz w:val="24"/>
          <w:szCs w:val="24"/>
        </w:rPr>
        <w:lastRenderedPageBreak/>
        <w:t>R E S U E L V E:</w:t>
      </w:r>
    </w:p>
    <w:p w14:paraId="7B017808" w14:textId="77777777" w:rsidR="005D7A18" w:rsidRPr="00A36A81" w:rsidRDefault="005D7A18">
      <w:pPr>
        <w:spacing w:after="0" w:line="360" w:lineRule="auto"/>
        <w:ind w:right="49"/>
        <w:jc w:val="both"/>
        <w:rPr>
          <w:rFonts w:ascii="Palatino Linotype" w:eastAsia="Palatino Linotype" w:hAnsi="Palatino Linotype" w:cs="Palatino Linotype"/>
          <w:sz w:val="24"/>
          <w:szCs w:val="24"/>
        </w:rPr>
      </w:pPr>
    </w:p>
    <w:p w14:paraId="0266BB3A" w14:textId="77777777" w:rsidR="005D7A18" w:rsidRPr="00A36A81" w:rsidRDefault="00866B6B">
      <w:pPr>
        <w:spacing w:after="0" w:line="360" w:lineRule="auto"/>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t xml:space="preserve">PRIMERO. </w:t>
      </w:r>
      <w:r w:rsidRPr="00A36A81">
        <w:rPr>
          <w:rFonts w:ascii="Palatino Linotype" w:eastAsia="Palatino Linotype" w:hAnsi="Palatino Linotype" w:cs="Palatino Linotype"/>
          <w:sz w:val="24"/>
          <w:szCs w:val="24"/>
        </w:rPr>
        <w:t xml:space="preserve">Se </w:t>
      </w:r>
      <w:r w:rsidRPr="00A36A81">
        <w:rPr>
          <w:rFonts w:ascii="Palatino Linotype" w:eastAsia="Palatino Linotype" w:hAnsi="Palatino Linotype" w:cs="Palatino Linotype"/>
          <w:b/>
          <w:sz w:val="24"/>
          <w:szCs w:val="24"/>
        </w:rPr>
        <w:t xml:space="preserve">SOBRESEE </w:t>
      </w:r>
      <w:r w:rsidRPr="00A36A81">
        <w:rPr>
          <w:rFonts w:ascii="Palatino Linotype" w:eastAsia="Palatino Linotype" w:hAnsi="Palatino Linotype" w:cs="Palatino Linotype"/>
          <w:sz w:val="24"/>
          <w:szCs w:val="24"/>
        </w:rPr>
        <w:t>el recurso de revisión número</w:t>
      </w:r>
      <w:r w:rsidRPr="00A36A81">
        <w:rPr>
          <w:rFonts w:ascii="Palatino Linotype" w:eastAsia="Palatino Linotype" w:hAnsi="Palatino Linotype" w:cs="Palatino Linotype"/>
          <w:b/>
          <w:sz w:val="24"/>
          <w:szCs w:val="24"/>
        </w:rPr>
        <w:t xml:space="preserve"> 00604/INFOEM/IP/RR/2025</w:t>
      </w:r>
      <w:r w:rsidRPr="00A36A81">
        <w:rPr>
          <w:rFonts w:ascii="Palatino Linotype" w:eastAsia="Palatino Linotype" w:hAnsi="Palatino Linotype" w:cs="Palatino Linotype"/>
          <w:sz w:val="24"/>
          <w:szCs w:val="24"/>
        </w:rPr>
        <w:t>, porque</w:t>
      </w:r>
      <w:r w:rsidRPr="00A36A81">
        <w:rPr>
          <w:rFonts w:ascii="Palatino Linotype" w:eastAsia="Palatino Linotype" w:hAnsi="Palatino Linotype" w:cs="Palatino Linotype"/>
          <w:b/>
          <w:sz w:val="24"/>
          <w:szCs w:val="24"/>
        </w:rPr>
        <w:t xml:space="preserve"> </w:t>
      </w:r>
      <w:r w:rsidRPr="00A36A81">
        <w:rPr>
          <w:rFonts w:ascii="Palatino Linotype" w:eastAsia="Palatino Linotype" w:hAnsi="Palatino Linotype" w:cs="Palatino Linotype"/>
          <w:sz w:val="24"/>
          <w:szCs w:val="24"/>
        </w:rPr>
        <w:t xml:space="preserve">al colmarse la pretensión de la </w:t>
      </w:r>
      <w:r w:rsidRPr="00A36A81">
        <w:rPr>
          <w:rFonts w:ascii="Palatino Linotype" w:eastAsia="Palatino Linotype" w:hAnsi="Palatino Linotype" w:cs="Palatino Linotype"/>
          <w:b/>
          <w:sz w:val="24"/>
          <w:szCs w:val="24"/>
        </w:rPr>
        <w:t xml:space="preserve">PARTE RECURRENTE, </w:t>
      </w:r>
      <w:r w:rsidRPr="00A36A81">
        <w:rPr>
          <w:rFonts w:ascii="Palatino Linotype" w:eastAsia="Palatino Linotype" w:hAnsi="Palatino Linotype" w:cs="Palatino Linotype"/>
          <w:sz w:val="24"/>
          <w:szCs w:val="24"/>
        </w:rPr>
        <w:t>mediante informe justificado, el medio de impugnación quedó sin materia, de conformidad con lo dispuesto en la fracción III del artículo 192 de la Ley de Transparencia de la Entidad, en términos del Considerando Tercero de la presente resolución.</w:t>
      </w:r>
    </w:p>
    <w:p w14:paraId="3A295E56"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6014E0E9" w14:textId="77777777" w:rsidR="005D7A18" w:rsidRPr="00A36A81" w:rsidRDefault="00866B6B">
      <w:pPr>
        <w:spacing w:after="0" w:line="360" w:lineRule="auto"/>
        <w:jc w:val="both"/>
        <w:rPr>
          <w:rFonts w:ascii="Palatino Linotype" w:eastAsia="Palatino Linotype" w:hAnsi="Palatino Linotype" w:cs="Palatino Linotype"/>
          <w:b/>
          <w:sz w:val="24"/>
          <w:szCs w:val="24"/>
        </w:rPr>
      </w:pPr>
      <w:r w:rsidRPr="00A36A81">
        <w:rPr>
          <w:rFonts w:ascii="Palatino Linotype" w:eastAsia="Palatino Linotype" w:hAnsi="Palatino Linotype" w:cs="Palatino Linotype"/>
          <w:b/>
          <w:sz w:val="24"/>
          <w:szCs w:val="24"/>
        </w:rPr>
        <w:t xml:space="preserve">SEGUNDO. Notifíquese </w:t>
      </w:r>
      <w:r w:rsidRPr="00A36A81">
        <w:rPr>
          <w:rFonts w:ascii="Palatino Linotype" w:eastAsia="Palatino Linotype" w:hAnsi="Palatino Linotype" w:cs="Palatino Linotype"/>
          <w:sz w:val="24"/>
          <w:szCs w:val="24"/>
        </w:rPr>
        <w:t xml:space="preserve">a través del Sistema de Acceso a la Información Mexiquense </w:t>
      </w:r>
      <w:r w:rsidRPr="00A36A81">
        <w:rPr>
          <w:rFonts w:ascii="Palatino Linotype" w:eastAsia="Palatino Linotype" w:hAnsi="Palatino Linotype" w:cs="Palatino Linotype"/>
          <w:b/>
          <w:sz w:val="24"/>
          <w:szCs w:val="24"/>
        </w:rPr>
        <w:t xml:space="preserve">(SAIMEX) </w:t>
      </w:r>
      <w:r w:rsidRPr="00A36A81">
        <w:rPr>
          <w:rFonts w:ascii="Palatino Linotype" w:eastAsia="Palatino Linotype" w:hAnsi="Palatino Linotype" w:cs="Palatino Linotype"/>
          <w:sz w:val="24"/>
          <w:szCs w:val="24"/>
        </w:rPr>
        <w:t>la presente resolución a la Titular de la Unidad de Transparencia del</w:t>
      </w:r>
      <w:r w:rsidRPr="00A36A81">
        <w:rPr>
          <w:rFonts w:ascii="Palatino Linotype" w:eastAsia="Palatino Linotype" w:hAnsi="Palatino Linotype" w:cs="Palatino Linotype"/>
          <w:b/>
          <w:sz w:val="24"/>
          <w:szCs w:val="24"/>
        </w:rPr>
        <w:t xml:space="preserve"> SUJETO OBLIGADO. </w:t>
      </w:r>
    </w:p>
    <w:p w14:paraId="1C05290F" w14:textId="77777777" w:rsidR="005D7A18" w:rsidRPr="00A36A81" w:rsidRDefault="005D7A18">
      <w:pPr>
        <w:spacing w:after="0" w:line="360" w:lineRule="auto"/>
        <w:jc w:val="both"/>
        <w:rPr>
          <w:rFonts w:ascii="Palatino Linotype" w:eastAsia="Palatino Linotype" w:hAnsi="Palatino Linotype" w:cs="Palatino Linotype"/>
          <w:b/>
          <w:sz w:val="24"/>
          <w:szCs w:val="24"/>
        </w:rPr>
      </w:pPr>
    </w:p>
    <w:p w14:paraId="0D04D2D5" w14:textId="77777777" w:rsidR="005D7A18" w:rsidRPr="00A36A81" w:rsidRDefault="00866B6B">
      <w:pPr>
        <w:spacing w:after="0" w:line="360" w:lineRule="auto"/>
        <w:ind w:right="51"/>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b/>
          <w:sz w:val="24"/>
          <w:szCs w:val="24"/>
        </w:rPr>
        <w:t>TERCERO. NOTIFÍQUESE </w:t>
      </w:r>
      <w:r w:rsidRPr="00A36A81">
        <w:rPr>
          <w:rFonts w:ascii="Palatino Linotype" w:eastAsia="Palatino Linotype" w:hAnsi="Palatino Linotype" w:cs="Palatino Linotype"/>
          <w:sz w:val="24"/>
          <w:szCs w:val="24"/>
        </w:rPr>
        <w:t>vía SAIMEX</w:t>
      </w:r>
      <w:r w:rsidRPr="00A36A81">
        <w:rPr>
          <w:rFonts w:ascii="Palatino Linotype" w:eastAsia="Palatino Linotype" w:hAnsi="Palatino Linotype" w:cs="Palatino Linotype"/>
          <w:b/>
          <w:sz w:val="24"/>
          <w:szCs w:val="24"/>
        </w:rPr>
        <w:t xml:space="preserve"> a LA PARTE RECURRENTE</w:t>
      </w:r>
      <w:r w:rsidRPr="00A36A81">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0D18F991" w14:textId="77777777" w:rsidR="005D7A18" w:rsidRPr="00A36A81" w:rsidRDefault="005D7A18">
      <w:pPr>
        <w:spacing w:after="0" w:line="360" w:lineRule="auto"/>
        <w:jc w:val="both"/>
        <w:rPr>
          <w:rFonts w:ascii="Palatino Linotype" w:eastAsia="Palatino Linotype" w:hAnsi="Palatino Linotype" w:cs="Palatino Linotype"/>
          <w:sz w:val="24"/>
          <w:szCs w:val="24"/>
        </w:rPr>
      </w:pPr>
    </w:p>
    <w:p w14:paraId="122AEE65" w14:textId="77777777" w:rsidR="005D7A18" w:rsidRPr="00C54628" w:rsidRDefault="00866B6B">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A36A81">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w:t>
      </w:r>
      <w:r w:rsidRPr="00A36A81">
        <w:rPr>
          <w:rFonts w:ascii="Palatino Linotype" w:eastAsia="Palatino Linotype" w:hAnsi="Palatino Linotype" w:cs="Palatino Linotype"/>
          <w:sz w:val="24"/>
          <w:szCs w:val="24"/>
        </w:rPr>
        <w:lastRenderedPageBreak/>
        <w:t>VILCHIS, MARÍA DEL ROSARIO MEJÍA AYALA, SHARON CRISTINA MORALES MARTÍNEZ, LUIS GUSTAVO PARRA NORIEGA Y GUADALUPE RAMÍREZ PEÑA; EN LA OCTAVA SESIÓN ORDINARIA CELEBRADA EL SEIS DE MARZO DE DOS MIL VEINTICINCO, ANTE EL SECRETARIO TÉCNICO DEL PLENO ALEXIS TAPIA RAMÍREZ.</w:t>
      </w:r>
    </w:p>
    <w:p w14:paraId="14084D72" w14:textId="77777777" w:rsidR="005D7A18" w:rsidRPr="00C54628" w:rsidRDefault="005D7A18">
      <w:pPr>
        <w:spacing w:after="0" w:line="360" w:lineRule="auto"/>
        <w:jc w:val="both"/>
        <w:rPr>
          <w:rFonts w:ascii="Palatino Linotype" w:eastAsia="Palatino Linotype" w:hAnsi="Palatino Linotype" w:cs="Palatino Linotype"/>
          <w:sz w:val="24"/>
          <w:szCs w:val="24"/>
        </w:rPr>
      </w:pPr>
    </w:p>
    <w:p w14:paraId="1D8FBD19"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2E5621C7"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395AA3E3"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654E1813"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7FFE7E38"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613D2B12"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02AA2DC8"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55AAF5C5"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1AA3758A"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0BE0F9FD"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50E323FE"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34E8B33F"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5E3147E9"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23A08F30"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61A1DA3C"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193E19AC"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7E6BA835" w14:textId="77777777" w:rsidR="008D438A" w:rsidRPr="00C54628" w:rsidRDefault="008D438A">
      <w:pPr>
        <w:spacing w:after="0" w:line="360" w:lineRule="auto"/>
        <w:jc w:val="both"/>
        <w:rPr>
          <w:rFonts w:ascii="Palatino Linotype" w:eastAsia="Palatino Linotype" w:hAnsi="Palatino Linotype" w:cs="Palatino Linotype"/>
          <w:sz w:val="24"/>
          <w:szCs w:val="24"/>
        </w:rPr>
      </w:pPr>
    </w:p>
    <w:p w14:paraId="0320F976" w14:textId="77777777" w:rsidR="008D438A" w:rsidRPr="00C54628" w:rsidRDefault="008D438A">
      <w:pPr>
        <w:spacing w:after="0" w:line="360" w:lineRule="auto"/>
        <w:jc w:val="both"/>
        <w:rPr>
          <w:rFonts w:ascii="Palatino Linotype" w:eastAsia="Palatino Linotype" w:hAnsi="Palatino Linotype" w:cs="Palatino Linotype"/>
          <w:sz w:val="24"/>
          <w:szCs w:val="24"/>
        </w:rPr>
      </w:pPr>
    </w:p>
    <w:sectPr w:rsidR="008D438A" w:rsidRPr="00C54628">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41BA7" w14:textId="77777777" w:rsidR="009606E1" w:rsidRDefault="009606E1">
      <w:pPr>
        <w:spacing w:after="0" w:line="240" w:lineRule="auto"/>
      </w:pPr>
      <w:r>
        <w:separator/>
      </w:r>
    </w:p>
  </w:endnote>
  <w:endnote w:type="continuationSeparator" w:id="0">
    <w:p w14:paraId="46B46377" w14:textId="77777777" w:rsidR="009606E1" w:rsidRDefault="00960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B34A" w14:textId="77777777" w:rsidR="005D7A18" w:rsidRDefault="00866B6B">
    <w:pPr>
      <w:pBdr>
        <w:top w:val="nil"/>
        <w:left w:val="nil"/>
        <w:bottom w:val="nil"/>
        <w:right w:val="nil"/>
        <w:between w:val="nil"/>
      </w:pBdr>
      <w:tabs>
        <w:tab w:val="center" w:pos="4419"/>
        <w:tab w:val="right" w:pos="8838"/>
      </w:tabs>
      <w:spacing w:after="0" w:line="240" w:lineRule="auto"/>
      <w:jc w:val="right"/>
      <w:rPr>
        <w:color w:val="000000"/>
      </w:rPr>
    </w:pPr>
    <w:r>
      <w:rPr>
        <w:rFonts w:ascii="Palatino Linotype" w:eastAsia="Palatino Linotype" w:hAnsi="Palatino Linotype" w:cs="Palatino Linotype"/>
        <w:color w:val="000000"/>
        <w:sz w:val="24"/>
        <w:szCs w:val="24"/>
      </w:rPr>
      <w:t xml:space="preserve">Página </w:t>
    </w:r>
    <w:r>
      <w:rPr>
        <w:rFonts w:ascii="Palatino Linotype" w:eastAsia="Palatino Linotype" w:hAnsi="Palatino Linotype" w:cs="Palatino Linotype"/>
        <w:color w:val="000000"/>
        <w:sz w:val="24"/>
        <w:szCs w:val="24"/>
      </w:rPr>
      <w:fldChar w:fldCharType="begin"/>
    </w:r>
    <w:r>
      <w:rPr>
        <w:rFonts w:ascii="Palatino Linotype" w:eastAsia="Palatino Linotype" w:hAnsi="Palatino Linotype" w:cs="Palatino Linotype"/>
        <w:color w:val="000000"/>
        <w:sz w:val="24"/>
        <w:szCs w:val="24"/>
      </w:rPr>
      <w:instrText>PAGE</w:instrText>
    </w:r>
    <w:r>
      <w:rPr>
        <w:rFonts w:ascii="Palatino Linotype" w:eastAsia="Palatino Linotype" w:hAnsi="Palatino Linotype" w:cs="Palatino Linotype"/>
        <w:color w:val="000000"/>
        <w:sz w:val="24"/>
        <w:szCs w:val="24"/>
      </w:rPr>
      <w:fldChar w:fldCharType="separate"/>
    </w:r>
    <w:r w:rsidR="00A36A81">
      <w:rPr>
        <w:rFonts w:ascii="Palatino Linotype" w:eastAsia="Palatino Linotype" w:hAnsi="Palatino Linotype" w:cs="Palatino Linotype"/>
        <w:noProof/>
        <w:color w:val="000000"/>
        <w:sz w:val="24"/>
        <w:szCs w:val="24"/>
      </w:rPr>
      <w:t>20</w:t>
    </w:r>
    <w:r>
      <w:rPr>
        <w:rFonts w:ascii="Palatino Linotype" w:eastAsia="Palatino Linotype" w:hAnsi="Palatino Linotype" w:cs="Palatino Linotype"/>
        <w:color w:val="000000"/>
        <w:sz w:val="24"/>
        <w:szCs w:val="24"/>
      </w:rPr>
      <w:fldChar w:fldCharType="end"/>
    </w:r>
    <w:r>
      <w:rPr>
        <w:rFonts w:ascii="Palatino Linotype" w:eastAsia="Palatino Linotype" w:hAnsi="Palatino Linotype" w:cs="Palatino Linotype"/>
        <w:color w:val="000000"/>
        <w:sz w:val="24"/>
        <w:szCs w:val="24"/>
      </w:rPr>
      <w:t xml:space="preserve"> de </w:t>
    </w:r>
    <w:r>
      <w:rPr>
        <w:rFonts w:ascii="Palatino Linotype" w:eastAsia="Palatino Linotype" w:hAnsi="Palatino Linotype" w:cs="Palatino Linotype"/>
        <w:color w:val="000000"/>
        <w:sz w:val="24"/>
        <w:szCs w:val="24"/>
      </w:rPr>
      <w:fldChar w:fldCharType="begin"/>
    </w:r>
    <w:r>
      <w:rPr>
        <w:rFonts w:ascii="Palatino Linotype" w:eastAsia="Palatino Linotype" w:hAnsi="Palatino Linotype" w:cs="Palatino Linotype"/>
        <w:color w:val="000000"/>
        <w:sz w:val="24"/>
        <w:szCs w:val="24"/>
      </w:rPr>
      <w:instrText>NUMPAGES</w:instrText>
    </w:r>
    <w:r>
      <w:rPr>
        <w:rFonts w:ascii="Palatino Linotype" w:eastAsia="Palatino Linotype" w:hAnsi="Palatino Linotype" w:cs="Palatino Linotype"/>
        <w:color w:val="000000"/>
        <w:sz w:val="24"/>
        <w:szCs w:val="24"/>
      </w:rPr>
      <w:fldChar w:fldCharType="separate"/>
    </w:r>
    <w:r w:rsidR="00A36A81">
      <w:rPr>
        <w:rFonts w:ascii="Palatino Linotype" w:eastAsia="Palatino Linotype" w:hAnsi="Palatino Linotype" w:cs="Palatino Linotype"/>
        <w:noProof/>
        <w:color w:val="000000"/>
        <w:sz w:val="24"/>
        <w:szCs w:val="24"/>
      </w:rPr>
      <w:t>20</w:t>
    </w:r>
    <w:r>
      <w:rPr>
        <w:rFonts w:ascii="Palatino Linotype" w:eastAsia="Palatino Linotype" w:hAnsi="Palatino Linotype" w:cs="Palatino Linotype"/>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DD96F" w14:textId="77777777" w:rsidR="009606E1" w:rsidRDefault="009606E1">
      <w:pPr>
        <w:spacing w:after="0" w:line="240" w:lineRule="auto"/>
      </w:pPr>
      <w:r>
        <w:separator/>
      </w:r>
    </w:p>
  </w:footnote>
  <w:footnote w:type="continuationSeparator" w:id="0">
    <w:p w14:paraId="0525A0A3" w14:textId="77777777" w:rsidR="009606E1" w:rsidRDefault="009606E1">
      <w:pPr>
        <w:spacing w:after="0" w:line="240" w:lineRule="auto"/>
      </w:pPr>
      <w:r>
        <w:continuationSeparator/>
      </w:r>
    </w:p>
  </w:footnote>
  <w:footnote w:id="1">
    <w:p w14:paraId="592FD892" w14:textId="77777777" w:rsidR="005D7A18" w:rsidRDefault="00866B6B">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1B943D98" w14:textId="77777777" w:rsidR="005D7A18" w:rsidRDefault="00866B6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210BC0EB" w14:textId="77777777" w:rsidR="005D7A18" w:rsidRDefault="00866B6B">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42B71" w14:textId="77777777" w:rsidR="005D7A18" w:rsidRDefault="005D7A18">
    <w:pPr>
      <w:widowControl w:val="0"/>
      <w:pBdr>
        <w:top w:val="nil"/>
        <w:left w:val="nil"/>
        <w:bottom w:val="nil"/>
        <w:right w:val="nil"/>
        <w:between w:val="nil"/>
      </w:pBdr>
      <w:spacing w:after="0" w:line="276" w:lineRule="auto"/>
    </w:pPr>
  </w:p>
  <w:tbl>
    <w:tblPr>
      <w:tblStyle w:val="a0"/>
      <w:tblW w:w="10538" w:type="dxa"/>
      <w:tblInd w:w="-1281" w:type="dxa"/>
      <w:tblLayout w:type="fixed"/>
      <w:tblLook w:val="0400" w:firstRow="0" w:lastRow="0" w:firstColumn="0" w:lastColumn="0" w:noHBand="0" w:noVBand="1"/>
    </w:tblPr>
    <w:tblGrid>
      <w:gridCol w:w="5660"/>
      <w:gridCol w:w="4878"/>
    </w:tblGrid>
    <w:tr w:rsidR="005D7A18" w14:paraId="0F646877" w14:textId="77777777">
      <w:trPr>
        <w:trHeight w:val="260"/>
      </w:trPr>
      <w:tc>
        <w:tcPr>
          <w:tcW w:w="5660" w:type="dxa"/>
        </w:tcPr>
        <w:p w14:paraId="04D35A7B" w14:textId="77777777" w:rsidR="005D7A18" w:rsidRDefault="00866B6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878" w:type="dxa"/>
        </w:tcPr>
        <w:p w14:paraId="3B42DEA6" w14:textId="77777777" w:rsidR="005D7A18" w:rsidRDefault="00866B6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00604/INFOEM/IP/RR/2025.</w:t>
          </w:r>
        </w:p>
      </w:tc>
    </w:tr>
    <w:tr w:rsidR="005D7A18" w14:paraId="76D5CAD4" w14:textId="77777777">
      <w:trPr>
        <w:trHeight w:val="224"/>
      </w:trPr>
      <w:tc>
        <w:tcPr>
          <w:tcW w:w="5660" w:type="dxa"/>
        </w:tcPr>
        <w:p w14:paraId="1A084EC3" w14:textId="77777777" w:rsidR="005D7A18" w:rsidRDefault="00866B6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14:paraId="4BC244CA" w14:textId="77777777" w:rsidR="005D7A18" w:rsidRDefault="005D7A18">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5D7A18" w14:paraId="07FC8CC0" w14:textId="77777777">
      <w:trPr>
        <w:trHeight w:val="278"/>
      </w:trPr>
      <w:tc>
        <w:tcPr>
          <w:tcW w:w="5660" w:type="dxa"/>
        </w:tcPr>
        <w:p w14:paraId="02D311DE" w14:textId="77777777" w:rsidR="005D7A18" w:rsidRDefault="00866B6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14:paraId="76612605" w14:textId="77777777" w:rsidR="005D7A18" w:rsidRDefault="00866B6B">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5D7A18" w14:paraId="0BD4FC94" w14:textId="77777777">
      <w:trPr>
        <w:trHeight w:val="393"/>
      </w:trPr>
      <w:tc>
        <w:tcPr>
          <w:tcW w:w="5660" w:type="dxa"/>
        </w:tcPr>
        <w:p w14:paraId="7EB060C3" w14:textId="77777777" w:rsidR="005D7A18" w:rsidRDefault="00866B6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14:paraId="4F7D0FD3" w14:textId="77777777" w:rsidR="005D7A18" w:rsidRDefault="00866B6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4EA74F7" w14:textId="77777777" w:rsidR="005D7A18" w:rsidRDefault="00866B6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31E58AC5" wp14:editId="4E096335">
          <wp:simplePos x="0" y="0"/>
          <wp:positionH relativeFrom="column">
            <wp:posOffset>-617219</wp:posOffset>
          </wp:positionH>
          <wp:positionV relativeFrom="paragraph">
            <wp:posOffset>-1416684</wp:posOffset>
          </wp:positionV>
          <wp:extent cx="7086600" cy="9561830"/>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086600" cy="95618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B84DE2"/>
    <w:multiLevelType w:val="multilevel"/>
    <w:tmpl w:val="4DFAEB8A"/>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A18"/>
    <w:rsid w:val="005D7A18"/>
    <w:rsid w:val="007025A0"/>
    <w:rsid w:val="00866B6B"/>
    <w:rsid w:val="008D438A"/>
    <w:rsid w:val="009606E1"/>
    <w:rsid w:val="00A36A81"/>
    <w:rsid w:val="00C54628"/>
    <w:rsid w:val="00D27A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AD27"/>
  <w15:docId w15:val="{E64ED709-C395-44DB-BCED-59DB165E6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43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F14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1436"/>
  </w:style>
  <w:style w:type="paragraph" w:styleId="Piedepgina">
    <w:name w:val="footer"/>
    <w:basedOn w:val="Normal"/>
    <w:link w:val="PiedepginaCar"/>
    <w:uiPriority w:val="99"/>
    <w:unhideWhenUsed/>
    <w:rsid w:val="004F14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1436"/>
  </w:style>
  <w:style w:type="table" w:customStyle="1" w:styleId="4">
    <w:name w:val="4"/>
    <w:basedOn w:val="Tablanormal"/>
    <w:rsid w:val="00D55353"/>
    <w:pPr>
      <w:spacing w:after="0" w:line="240" w:lineRule="auto"/>
    </w:pPr>
    <w:tblPr>
      <w:tblStyleRowBandSize w:val="1"/>
      <w:tblStyleColBandSize w:val="1"/>
      <w:tblInd w:w="0" w:type="nil"/>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6PCvaq7CmlcndFu2VdQMvnyzHg==">CgMxLjAyCGguZ2pkZ3hzMgloLjMwajB6bGw4AHIhMW9uVi1nRGpvYS1OV1hiUVNYUnI0WXF6Ni12M2tfREJy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3538</Words>
  <Characters>19462</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2025-03-07T21:04:00Z</cp:lastPrinted>
  <dcterms:created xsi:type="dcterms:W3CDTF">2025-03-28T19:09:00Z</dcterms:created>
  <dcterms:modified xsi:type="dcterms:W3CDTF">2025-03-28T19:09:00Z</dcterms:modified>
</cp:coreProperties>
</file>