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54C5A517" w14:textId="5684D593" w:rsidR="00076681" w:rsidRDefault="00076681" w:rsidP="004B7B1F">
          <w:pPr>
            <w:pStyle w:val="Ttulo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 xml:space="preserve">RESOLUCIÓN DEL RECURSO DE REVISIÓN </w:t>
          </w:r>
          <w:r w:rsidR="00DD4657">
            <w:rPr>
              <w:rFonts w:ascii="Palatino Linotype" w:eastAsia="Calibri" w:hAnsi="Palatino Linotype" w:cs="Tahoma"/>
              <w:color w:val="auto"/>
              <w:sz w:val="22"/>
              <w:szCs w:val="22"/>
            </w:rPr>
            <w:t>0</w:t>
          </w:r>
          <w:r w:rsidR="00135D51">
            <w:rPr>
              <w:rFonts w:ascii="Palatino Linotype" w:eastAsia="Calibri" w:hAnsi="Palatino Linotype" w:cs="Tahoma"/>
              <w:color w:val="auto"/>
              <w:sz w:val="22"/>
              <w:szCs w:val="22"/>
            </w:rPr>
            <w:t>7561</w:t>
          </w:r>
          <w:r w:rsidR="00200755" w:rsidRPr="00200755">
            <w:rPr>
              <w:rFonts w:ascii="Palatino Linotype" w:eastAsia="Calibri" w:hAnsi="Palatino Linotype" w:cs="Tahoma"/>
              <w:color w:val="auto"/>
              <w:sz w:val="22"/>
              <w:szCs w:val="22"/>
            </w:rPr>
            <w:t>/INFOEM/IP/RR/2025</w:t>
          </w:r>
        </w:p>
        <w:p w14:paraId="32E1FDFD" w14:textId="77777777" w:rsidR="001D1A22" w:rsidRPr="007216BA" w:rsidRDefault="001D1A22" w:rsidP="004B7B1F">
          <w:pPr>
            <w:spacing w:after="0" w:line="360" w:lineRule="auto"/>
            <w:rPr>
              <w:lang w:eastAsia="es-MX"/>
            </w:rPr>
          </w:pPr>
        </w:p>
        <w:p w14:paraId="678A8773" w14:textId="7B158346" w:rsidR="00057BD6" w:rsidRPr="00057BD6" w:rsidRDefault="00076681">
          <w:pPr>
            <w:pStyle w:val="TDC1"/>
            <w:rPr>
              <w:rFonts w:asciiTheme="minorHAnsi" w:eastAsiaTheme="minorEastAsia" w:hAnsiTheme="minorHAnsi" w:cstheme="minorBidi"/>
              <w:noProof/>
              <w:sz w:val="22"/>
              <w:szCs w:val="22"/>
              <w:lang w:eastAsia="es-MX"/>
            </w:rPr>
          </w:pPr>
          <w:r w:rsidRPr="007216BA">
            <w:rPr>
              <w:rFonts w:ascii="Palatino Linotype" w:hAnsi="Palatino Linotype"/>
              <w:sz w:val="22"/>
              <w:szCs w:val="22"/>
            </w:rPr>
            <w:fldChar w:fldCharType="begin"/>
          </w:r>
          <w:r w:rsidRPr="007216BA">
            <w:rPr>
              <w:rFonts w:ascii="Palatino Linotype" w:hAnsi="Palatino Linotype"/>
              <w:sz w:val="22"/>
              <w:szCs w:val="22"/>
            </w:rPr>
            <w:instrText xml:space="preserve"> TOC \o "1-3" \h \z \u </w:instrText>
          </w:r>
          <w:r w:rsidRPr="007216BA">
            <w:rPr>
              <w:rFonts w:ascii="Palatino Linotype" w:hAnsi="Palatino Linotype"/>
              <w:sz w:val="22"/>
              <w:szCs w:val="22"/>
            </w:rPr>
            <w:fldChar w:fldCharType="separate"/>
          </w:r>
          <w:hyperlink w:anchor="_Toc205478491" w:history="1">
            <w:r w:rsidR="00057BD6" w:rsidRPr="00057BD6">
              <w:rPr>
                <w:rStyle w:val="Hipervnculo"/>
                <w:rFonts w:ascii="Palatino Linotype" w:hAnsi="Palatino Linotype"/>
                <w:noProof/>
              </w:rPr>
              <w:t>A N T E C E D E N T E S</w:t>
            </w:r>
            <w:r w:rsidR="00057BD6" w:rsidRPr="00057BD6">
              <w:rPr>
                <w:noProof/>
                <w:webHidden/>
              </w:rPr>
              <w:tab/>
            </w:r>
            <w:r w:rsidR="00057BD6" w:rsidRPr="00057BD6">
              <w:rPr>
                <w:noProof/>
                <w:webHidden/>
              </w:rPr>
              <w:fldChar w:fldCharType="begin"/>
            </w:r>
            <w:r w:rsidR="00057BD6" w:rsidRPr="00057BD6">
              <w:rPr>
                <w:noProof/>
                <w:webHidden/>
              </w:rPr>
              <w:instrText xml:space="preserve"> PAGEREF _Toc205478491 \h </w:instrText>
            </w:r>
            <w:r w:rsidR="00057BD6" w:rsidRPr="00057BD6">
              <w:rPr>
                <w:noProof/>
                <w:webHidden/>
              </w:rPr>
            </w:r>
            <w:r w:rsidR="00057BD6" w:rsidRPr="00057BD6">
              <w:rPr>
                <w:noProof/>
                <w:webHidden/>
              </w:rPr>
              <w:fldChar w:fldCharType="separate"/>
            </w:r>
            <w:r w:rsidR="00824C26">
              <w:rPr>
                <w:noProof/>
                <w:webHidden/>
              </w:rPr>
              <w:t>2</w:t>
            </w:r>
            <w:r w:rsidR="00057BD6" w:rsidRPr="00057BD6">
              <w:rPr>
                <w:noProof/>
                <w:webHidden/>
              </w:rPr>
              <w:fldChar w:fldCharType="end"/>
            </w:r>
          </w:hyperlink>
        </w:p>
        <w:p w14:paraId="487B43D5" w14:textId="2EA60154"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2" w:history="1">
            <w:r w:rsidRPr="00057BD6">
              <w:rPr>
                <w:rStyle w:val="Hipervnculo"/>
                <w:rFonts w:ascii="Palatino Linotype" w:eastAsia="Calibri" w:hAnsi="Palatino Linotype"/>
                <w:noProof/>
                <w:lang w:val="es-ES"/>
              </w:rPr>
              <w:t>I. Presentación de la solicitud de información</w:t>
            </w:r>
            <w:r w:rsidRPr="00057BD6">
              <w:rPr>
                <w:noProof/>
                <w:webHidden/>
              </w:rPr>
              <w:tab/>
            </w:r>
            <w:r w:rsidRPr="00057BD6">
              <w:rPr>
                <w:noProof/>
                <w:webHidden/>
              </w:rPr>
              <w:fldChar w:fldCharType="begin"/>
            </w:r>
            <w:r w:rsidRPr="00057BD6">
              <w:rPr>
                <w:noProof/>
                <w:webHidden/>
              </w:rPr>
              <w:instrText xml:space="preserve"> PAGEREF _Toc205478492 \h </w:instrText>
            </w:r>
            <w:r w:rsidRPr="00057BD6">
              <w:rPr>
                <w:noProof/>
                <w:webHidden/>
              </w:rPr>
            </w:r>
            <w:r w:rsidRPr="00057BD6">
              <w:rPr>
                <w:noProof/>
                <w:webHidden/>
              </w:rPr>
              <w:fldChar w:fldCharType="separate"/>
            </w:r>
            <w:r w:rsidR="00824C26">
              <w:rPr>
                <w:noProof/>
                <w:webHidden/>
              </w:rPr>
              <w:t>2</w:t>
            </w:r>
            <w:r w:rsidRPr="00057BD6">
              <w:rPr>
                <w:noProof/>
                <w:webHidden/>
              </w:rPr>
              <w:fldChar w:fldCharType="end"/>
            </w:r>
          </w:hyperlink>
        </w:p>
        <w:p w14:paraId="3BE6224A" w14:textId="2631A312"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3" w:history="1">
            <w:r w:rsidRPr="00057BD6">
              <w:rPr>
                <w:rStyle w:val="Hipervnculo"/>
                <w:rFonts w:ascii="Palatino Linotype" w:eastAsia="Calibri" w:hAnsi="Palatino Linotype"/>
                <w:noProof/>
              </w:rPr>
              <w:t>II. Respuesta del Sujeto Obligado</w:t>
            </w:r>
            <w:r w:rsidRPr="00057BD6">
              <w:rPr>
                <w:noProof/>
                <w:webHidden/>
              </w:rPr>
              <w:tab/>
            </w:r>
            <w:r w:rsidRPr="00057BD6">
              <w:rPr>
                <w:noProof/>
                <w:webHidden/>
              </w:rPr>
              <w:fldChar w:fldCharType="begin"/>
            </w:r>
            <w:r w:rsidRPr="00057BD6">
              <w:rPr>
                <w:noProof/>
                <w:webHidden/>
              </w:rPr>
              <w:instrText xml:space="preserve"> PAGEREF _Toc205478493 \h </w:instrText>
            </w:r>
            <w:r w:rsidRPr="00057BD6">
              <w:rPr>
                <w:noProof/>
                <w:webHidden/>
              </w:rPr>
            </w:r>
            <w:r w:rsidRPr="00057BD6">
              <w:rPr>
                <w:noProof/>
                <w:webHidden/>
              </w:rPr>
              <w:fldChar w:fldCharType="separate"/>
            </w:r>
            <w:r w:rsidR="00824C26">
              <w:rPr>
                <w:noProof/>
                <w:webHidden/>
              </w:rPr>
              <w:t>3</w:t>
            </w:r>
            <w:r w:rsidRPr="00057BD6">
              <w:rPr>
                <w:noProof/>
                <w:webHidden/>
              </w:rPr>
              <w:fldChar w:fldCharType="end"/>
            </w:r>
          </w:hyperlink>
        </w:p>
        <w:p w14:paraId="06BE378B" w14:textId="7C32A4EB"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4" w:history="1">
            <w:r w:rsidRPr="00057BD6">
              <w:rPr>
                <w:rStyle w:val="Hipervnculo"/>
                <w:rFonts w:ascii="Palatino Linotype" w:eastAsia="Calibri" w:hAnsi="Palatino Linotype"/>
                <w:noProof/>
              </w:rPr>
              <w:t>III. Interposición del Recurso de Revisión</w:t>
            </w:r>
            <w:r w:rsidRPr="00057BD6">
              <w:rPr>
                <w:noProof/>
                <w:webHidden/>
              </w:rPr>
              <w:tab/>
            </w:r>
            <w:r w:rsidRPr="00057BD6">
              <w:rPr>
                <w:noProof/>
                <w:webHidden/>
              </w:rPr>
              <w:fldChar w:fldCharType="begin"/>
            </w:r>
            <w:r w:rsidRPr="00057BD6">
              <w:rPr>
                <w:noProof/>
                <w:webHidden/>
              </w:rPr>
              <w:instrText xml:space="preserve"> PAGEREF _Toc205478494 \h </w:instrText>
            </w:r>
            <w:r w:rsidRPr="00057BD6">
              <w:rPr>
                <w:noProof/>
                <w:webHidden/>
              </w:rPr>
            </w:r>
            <w:r w:rsidRPr="00057BD6">
              <w:rPr>
                <w:noProof/>
                <w:webHidden/>
              </w:rPr>
              <w:fldChar w:fldCharType="separate"/>
            </w:r>
            <w:r w:rsidR="00824C26">
              <w:rPr>
                <w:noProof/>
                <w:webHidden/>
              </w:rPr>
              <w:t>3</w:t>
            </w:r>
            <w:r w:rsidRPr="00057BD6">
              <w:rPr>
                <w:noProof/>
                <w:webHidden/>
              </w:rPr>
              <w:fldChar w:fldCharType="end"/>
            </w:r>
          </w:hyperlink>
        </w:p>
        <w:p w14:paraId="4A658DFC" w14:textId="6562C6D6"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5" w:history="1">
            <w:r w:rsidRPr="00057BD6">
              <w:rPr>
                <w:rStyle w:val="Hipervnculo"/>
                <w:rFonts w:ascii="Palatino Linotype" w:eastAsia="Calibri" w:hAnsi="Palatino Linotype"/>
                <w:noProof/>
              </w:rPr>
              <w:t xml:space="preserve">IV. </w:t>
            </w:r>
            <w:r w:rsidRPr="00057BD6">
              <w:rPr>
                <w:rStyle w:val="Hipervnculo"/>
                <w:rFonts w:ascii="Palatino Linotype" w:eastAsia="Batang" w:hAnsi="Palatino Linotype"/>
                <w:noProof/>
              </w:rPr>
              <w:t>Trámite del Recurso de Revisión</w:t>
            </w:r>
            <w:r w:rsidRPr="00057BD6">
              <w:rPr>
                <w:rStyle w:val="Hipervnculo"/>
                <w:rFonts w:ascii="Palatino Linotype" w:eastAsia="Calibri" w:hAnsi="Palatino Linotype"/>
                <w:noProof/>
              </w:rPr>
              <w:t xml:space="preserve"> </w:t>
            </w:r>
            <w:r w:rsidRPr="00057BD6">
              <w:rPr>
                <w:rStyle w:val="Hipervnculo"/>
                <w:rFonts w:ascii="Palatino Linotype" w:eastAsia="Batang" w:hAnsi="Palatino Linotype"/>
                <w:noProof/>
              </w:rPr>
              <w:t>ante este Instituto</w:t>
            </w:r>
            <w:r w:rsidRPr="00057BD6">
              <w:rPr>
                <w:noProof/>
                <w:webHidden/>
              </w:rPr>
              <w:tab/>
            </w:r>
            <w:r w:rsidRPr="00057BD6">
              <w:rPr>
                <w:noProof/>
                <w:webHidden/>
              </w:rPr>
              <w:fldChar w:fldCharType="begin"/>
            </w:r>
            <w:r w:rsidRPr="00057BD6">
              <w:rPr>
                <w:noProof/>
                <w:webHidden/>
              </w:rPr>
              <w:instrText xml:space="preserve"> PAGEREF _Toc205478495 \h </w:instrText>
            </w:r>
            <w:r w:rsidRPr="00057BD6">
              <w:rPr>
                <w:noProof/>
                <w:webHidden/>
              </w:rPr>
            </w:r>
            <w:r w:rsidRPr="00057BD6">
              <w:rPr>
                <w:noProof/>
                <w:webHidden/>
              </w:rPr>
              <w:fldChar w:fldCharType="separate"/>
            </w:r>
            <w:r w:rsidR="00824C26">
              <w:rPr>
                <w:noProof/>
                <w:webHidden/>
              </w:rPr>
              <w:t>4</w:t>
            </w:r>
            <w:r w:rsidRPr="00057BD6">
              <w:rPr>
                <w:noProof/>
                <w:webHidden/>
              </w:rPr>
              <w:fldChar w:fldCharType="end"/>
            </w:r>
          </w:hyperlink>
        </w:p>
        <w:p w14:paraId="3504E91E" w14:textId="68E37A56"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6" w:history="1">
            <w:r w:rsidRPr="00057BD6">
              <w:rPr>
                <w:rStyle w:val="Hipervnculo"/>
                <w:rFonts w:ascii="Palatino Linotype" w:hAnsi="Palatino Linotype"/>
                <w:noProof/>
              </w:rPr>
              <w:t>a) Turno del Medio de Impugnación.</w:t>
            </w:r>
            <w:r w:rsidRPr="00057BD6">
              <w:rPr>
                <w:noProof/>
                <w:webHidden/>
              </w:rPr>
              <w:tab/>
            </w:r>
            <w:r w:rsidRPr="00057BD6">
              <w:rPr>
                <w:noProof/>
                <w:webHidden/>
              </w:rPr>
              <w:fldChar w:fldCharType="begin"/>
            </w:r>
            <w:r w:rsidRPr="00057BD6">
              <w:rPr>
                <w:noProof/>
                <w:webHidden/>
              </w:rPr>
              <w:instrText xml:space="preserve"> PAGEREF _Toc205478496 \h </w:instrText>
            </w:r>
            <w:r w:rsidRPr="00057BD6">
              <w:rPr>
                <w:noProof/>
                <w:webHidden/>
              </w:rPr>
            </w:r>
            <w:r w:rsidRPr="00057BD6">
              <w:rPr>
                <w:noProof/>
                <w:webHidden/>
              </w:rPr>
              <w:fldChar w:fldCharType="separate"/>
            </w:r>
            <w:r w:rsidR="00824C26">
              <w:rPr>
                <w:noProof/>
                <w:webHidden/>
              </w:rPr>
              <w:t>4</w:t>
            </w:r>
            <w:r w:rsidRPr="00057BD6">
              <w:rPr>
                <w:noProof/>
                <w:webHidden/>
              </w:rPr>
              <w:fldChar w:fldCharType="end"/>
            </w:r>
          </w:hyperlink>
        </w:p>
        <w:p w14:paraId="1870054F" w14:textId="1D098668"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7" w:history="1">
            <w:r w:rsidRPr="00057BD6">
              <w:rPr>
                <w:rStyle w:val="Hipervnculo"/>
                <w:rFonts w:ascii="Palatino Linotype" w:hAnsi="Palatino Linotype"/>
                <w:noProof/>
              </w:rPr>
              <w:t>b) Admisión del Recurso de Revisión.</w:t>
            </w:r>
            <w:r w:rsidRPr="00057BD6">
              <w:rPr>
                <w:noProof/>
                <w:webHidden/>
              </w:rPr>
              <w:tab/>
            </w:r>
            <w:r w:rsidRPr="00057BD6">
              <w:rPr>
                <w:noProof/>
                <w:webHidden/>
              </w:rPr>
              <w:fldChar w:fldCharType="begin"/>
            </w:r>
            <w:r w:rsidRPr="00057BD6">
              <w:rPr>
                <w:noProof/>
                <w:webHidden/>
              </w:rPr>
              <w:instrText xml:space="preserve"> PAGEREF _Toc205478497 \h </w:instrText>
            </w:r>
            <w:r w:rsidRPr="00057BD6">
              <w:rPr>
                <w:noProof/>
                <w:webHidden/>
              </w:rPr>
            </w:r>
            <w:r w:rsidRPr="00057BD6">
              <w:rPr>
                <w:noProof/>
                <w:webHidden/>
              </w:rPr>
              <w:fldChar w:fldCharType="separate"/>
            </w:r>
            <w:r w:rsidR="00824C26">
              <w:rPr>
                <w:noProof/>
                <w:webHidden/>
              </w:rPr>
              <w:t>4</w:t>
            </w:r>
            <w:r w:rsidRPr="00057BD6">
              <w:rPr>
                <w:noProof/>
                <w:webHidden/>
              </w:rPr>
              <w:fldChar w:fldCharType="end"/>
            </w:r>
          </w:hyperlink>
        </w:p>
        <w:p w14:paraId="1C886046" w14:textId="79054955"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8" w:history="1">
            <w:r w:rsidRPr="00057BD6">
              <w:rPr>
                <w:rStyle w:val="Hipervnculo"/>
                <w:rFonts w:ascii="Palatino Linotype" w:hAnsi="Palatino Linotype"/>
                <w:noProof/>
              </w:rPr>
              <w:t>c) Informe Justificado.</w:t>
            </w:r>
            <w:r w:rsidRPr="00057BD6">
              <w:rPr>
                <w:noProof/>
                <w:webHidden/>
              </w:rPr>
              <w:tab/>
            </w:r>
            <w:r w:rsidRPr="00057BD6">
              <w:rPr>
                <w:noProof/>
                <w:webHidden/>
              </w:rPr>
              <w:fldChar w:fldCharType="begin"/>
            </w:r>
            <w:r w:rsidRPr="00057BD6">
              <w:rPr>
                <w:noProof/>
                <w:webHidden/>
              </w:rPr>
              <w:instrText xml:space="preserve"> PAGEREF _Toc205478498 \h </w:instrText>
            </w:r>
            <w:r w:rsidRPr="00057BD6">
              <w:rPr>
                <w:noProof/>
                <w:webHidden/>
              </w:rPr>
            </w:r>
            <w:r w:rsidRPr="00057BD6">
              <w:rPr>
                <w:noProof/>
                <w:webHidden/>
              </w:rPr>
              <w:fldChar w:fldCharType="separate"/>
            </w:r>
            <w:r w:rsidR="00824C26">
              <w:rPr>
                <w:noProof/>
                <w:webHidden/>
              </w:rPr>
              <w:t>4</w:t>
            </w:r>
            <w:r w:rsidRPr="00057BD6">
              <w:rPr>
                <w:noProof/>
                <w:webHidden/>
              </w:rPr>
              <w:fldChar w:fldCharType="end"/>
            </w:r>
          </w:hyperlink>
        </w:p>
        <w:p w14:paraId="36E2163A" w14:textId="24ABDD9B"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499" w:history="1">
            <w:r w:rsidRPr="00057BD6">
              <w:rPr>
                <w:rStyle w:val="Hipervnculo"/>
                <w:rFonts w:ascii="Palatino Linotype" w:hAnsi="Palatino Linotype"/>
                <w:bCs/>
                <w:noProof/>
              </w:rPr>
              <w:t>d) Cierre de instrucción.</w:t>
            </w:r>
            <w:r w:rsidRPr="00057BD6">
              <w:rPr>
                <w:noProof/>
                <w:webHidden/>
              </w:rPr>
              <w:tab/>
            </w:r>
            <w:r w:rsidRPr="00057BD6">
              <w:rPr>
                <w:noProof/>
                <w:webHidden/>
              </w:rPr>
              <w:fldChar w:fldCharType="begin"/>
            </w:r>
            <w:r w:rsidRPr="00057BD6">
              <w:rPr>
                <w:noProof/>
                <w:webHidden/>
              </w:rPr>
              <w:instrText xml:space="preserve"> PAGEREF _Toc205478499 \h </w:instrText>
            </w:r>
            <w:r w:rsidRPr="00057BD6">
              <w:rPr>
                <w:noProof/>
                <w:webHidden/>
              </w:rPr>
            </w:r>
            <w:r w:rsidRPr="00057BD6">
              <w:rPr>
                <w:noProof/>
                <w:webHidden/>
              </w:rPr>
              <w:fldChar w:fldCharType="separate"/>
            </w:r>
            <w:r w:rsidR="00824C26">
              <w:rPr>
                <w:noProof/>
                <w:webHidden/>
              </w:rPr>
              <w:t>4</w:t>
            </w:r>
            <w:r w:rsidRPr="00057BD6">
              <w:rPr>
                <w:noProof/>
                <w:webHidden/>
              </w:rPr>
              <w:fldChar w:fldCharType="end"/>
            </w:r>
          </w:hyperlink>
        </w:p>
        <w:p w14:paraId="1A7B7CC6" w14:textId="61B8328E" w:rsidR="00057BD6" w:rsidRPr="00057BD6" w:rsidRDefault="00057BD6">
          <w:pPr>
            <w:pStyle w:val="TDC1"/>
            <w:rPr>
              <w:rFonts w:asciiTheme="minorHAnsi" w:eastAsiaTheme="minorEastAsia" w:hAnsiTheme="minorHAnsi" w:cstheme="minorBidi"/>
              <w:noProof/>
              <w:sz w:val="22"/>
              <w:szCs w:val="22"/>
              <w:lang w:eastAsia="es-MX"/>
            </w:rPr>
          </w:pPr>
          <w:hyperlink w:anchor="_Toc205478500" w:history="1">
            <w:r w:rsidRPr="00057BD6">
              <w:rPr>
                <w:rStyle w:val="Hipervnculo"/>
                <w:rFonts w:ascii="Palatino Linotype" w:hAnsi="Palatino Linotype"/>
                <w:noProof/>
                <w:lang w:val="es-ES"/>
              </w:rPr>
              <w:t>C O N S I D E R A N D O S</w:t>
            </w:r>
            <w:r w:rsidRPr="00057BD6">
              <w:rPr>
                <w:noProof/>
                <w:webHidden/>
              </w:rPr>
              <w:tab/>
            </w:r>
            <w:r w:rsidRPr="00057BD6">
              <w:rPr>
                <w:noProof/>
                <w:webHidden/>
              </w:rPr>
              <w:fldChar w:fldCharType="begin"/>
            </w:r>
            <w:r w:rsidRPr="00057BD6">
              <w:rPr>
                <w:noProof/>
                <w:webHidden/>
              </w:rPr>
              <w:instrText xml:space="preserve"> PAGEREF _Toc205478500 \h </w:instrText>
            </w:r>
            <w:r w:rsidRPr="00057BD6">
              <w:rPr>
                <w:noProof/>
                <w:webHidden/>
              </w:rPr>
            </w:r>
            <w:r w:rsidRPr="00057BD6">
              <w:rPr>
                <w:noProof/>
                <w:webHidden/>
              </w:rPr>
              <w:fldChar w:fldCharType="separate"/>
            </w:r>
            <w:r w:rsidR="00824C26">
              <w:rPr>
                <w:noProof/>
                <w:webHidden/>
              </w:rPr>
              <w:t>5</w:t>
            </w:r>
            <w:r w:rsidRPr="00057BD6">
              <w:rPr>
                <w:noProof/>
                <w:webHidden/>
              </w:rPr>
              <w:fldChar w:fldCharType="end"/>
            </w:r>
          </w:hyperlink>
        </w:p>
        <w:p w14:paraId="0E6E7945" w14:textId="0C2BE3B0"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1" w:history="1">
            <w:r w:rsidRPr="00057BD6">
              <w:rPr>
                <w:rStyle w:val="Hipervnculo"/>
                <w:rFonts w:ascii="Palatino Linotype" w:eastAsia="Calibri" w:hAnsi="Palatino Linotype"/>
                <w:noProof/>
                <w:lang w:val="es-ES" w:eastAsia="es-MX"/>
              </w:rPr>
              <w:t xml:space="preserve">PRIMERO. </w:t>
            </w:r>
            <w:r w:rsidRPr="00057BD6">
              <w:rPr>
                <w:rStyle w:val="Hipervnculo"/>
                <w:rFonts w:ascii="Palatino Linotype" w:hAnsi="Palatino Linotype"/>
                <w:noProof/>
                <w:lang w:val="es-ES"/>
              </w:rPr>
              <w:t>Competencia</w:t>
            </w:r>
            <w:r w:rsidRPr="00057BD6">
              <w:rPr>
                <w:noProof/>
                <w:webHidden/>
              </w:rPr>
              <w:tab/>
            </w:r>
            <w:r w:rsidRPr="00057BD6">
              <w:rPr>
                <w:noProof/>
                <w:webHidden/>
              </w:rPr>
              <w:fldChar w:fldCharType="begin"/>
            </w:r>
            <w:r w:rsidRPr="00057BD6">
              <w:rPr>
                <w:noProof/>
                <w:webHidden/>
              </w:rPr>
              <w:instrText xml:space="preserve"> PAGEREF _Toc205478501 \h </w:instrText>
            </w:r>
            <w:r w:rsidRPr="00057BD6">
              <w:rPr>
                <w:noProof/>
                <w:webHidden/>
              </w:rPr>
            </w:r>
            <w:r w:rsidRPr="00057BD6">
              <w:rPr>
                <w:noProof/>
                <w:webHidden/>
              </w:rPr>
              <w:fldChar w:fldCharType="separate"/>
            </w:r>
            <w:r w:rsidR="00824C26">
              <w:rPr>
                <w:noProof/>
                <w:webHidden/>
              </w:rPr>
              <w:t>5</w:t>
            </w:r>
            <w:r w:rsidRPr="00057BD6">
              <w:rPr>
                <w:noProof/>
                <w:webHidden/>
              </w:rPr>
              <w:fldChar w:fldCharType="end"/>
            </w:r>
          </w:hyperlink>
        </w:p>
        <w:p w14:paraId="3F2F0E87" w14:textId="1646E087"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2" w:history="1">
            <w:r w:rsidRPr="00057BD6">
              <w:rPr>
                <w:rStyle w:val="Hipervnculo"/>
                <w:rFonts w:ascii="Palatino Linotype" w:eastAsia="Calibri" w:hAnsi="Palatino Linotype"/>
                <w:noProof/>
                <w:lang w:val="es-ES" w:eastAsia="es-MX"/>
              </w:rPr>
              <w:t xml:space="preserve">SEGUNDO. </w:t>
            </w:r>
            <w:r w:rsidRPr="00057BD6">
              <w:rPr>
                <w:rStyle w:val="Hipervnculo"/>
                <w:rFonts w:ascii="Palatino Linotype" w:hAnsi="Palatino Linotype"/>
                <w:noProof/>
                <w:lang w:val="es-ES"/>
              </w:rPr>
              <w:t>Causales de improcedencia y sobreseimiento</w:t>
            </w:r>
            <w:r w:rsidRPr="00057BD6">
              <w:rPr>
                <w:noProof/>
                <w:webHidden/>
              </w:rPr>
              <w:tab/>
            </w:r>
            <w:r w:rsidRPr="00057BD6">
              <w:rPr>
                <w:noProof/>
                <w:webHidden/>
              </w:rPr>
              <w:fldChar w:fldCharType="begin"/>
            </w:r>
            <w:r w:rsidRPr="00057BD6">
              <w:rPr>
                <w:noProof/>
                <w:webHidden/>
              </w:rPr>
              <w:instrText xml:space="preserve"> PAGEREF _Toc205478502 \h </w:instrText>
            </w:r>
            <w:r w:rsidRPr="00057BD6">
              <w:rPr>
                <w:noProof/>
                <w:webHidden/>
              </w:rPr>
            </w:r>
            <w:r w:rsidRPr="00057BD6">
              <w:rPr>
                <w:noProof/>
                <w:webHidden/>
              </w:rPr>
              <w:fldChar w:fldCharType="separate"/>
            </w:r>
            <w:r w:rsidR="00824C26">
              <w:rPr>
                <w:noProof/>
                <w:webHidden/>
              </w:rPr>
              <w:t>5</w:t>
            </w:r>
            <w:r w:rsidRPr="00057BD6">
              <w:rPr>
                <w:noProof/>
                <w:webHidden/>
              </w:rPr>
              <w:fldChar w:fldCharType="end"/>
            </w:r>
          </w:hyperlink>
        </w:p>
        <w:p w14:paraId="0B4D2F4E" w14:textId="4DC9AF73"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3" w:history="1">
            <w:r w:rsidRPr="00057BD6">
              <w:rPr>
                <w:rStyle w:val="Hipervnculo"/>
                <w:rFonts w:ascii="Palatino Linotype" w:hAnsi="Palatino Linotype"/>
                <w:noProof/>
                <w:lang w:val="es-ES"/>
              </w:rPr>
              <w:t>TERCERO. Determinación de la Controversia</w:t>
            </w:r>
            <w:r w:rsidRPr="00057BD6">
              <w:rPr>
                <w:noProof/>
                <w:webHidden/>
              </w:rPr>
              <w:tab/>
            </w:r>
            <w:r w:rsidRPr="00057BD6">
              <w:rPr>
                <w:noProof/>
                <w:webHidden/>
              </w:rPr>
              <w:fldChar w:fldCharType="begin"/>
            </w:r>
            <w:r w:rsidRPr="00057BD6">
              <w:rPr>
                <w:noProof/>
                <w:webHidden/>
              </w:rPr>
              <w:instrText xml:space="preserve"> PAGEREF _Toc205478503 \h </w:instrText>
            </w:r>
            <w:r w:rsidRPr="00057BD6">
              <w:rPr>
                <w:noProof/>
                <w:webHidden/>
              </w:rPr>
            </w:r>
            <w:r w:rsidRPr="00057BD6">
              <w:rPr>
                <w:noProof/>
                <w:webHidden/>
              </w:rPr>
              <w:fldChar w:fldCharType="separate"/>
            </w:r>
            <w:r w:rsidR="00824C26">
              <w:rPr>
                <w:noProof/>
                <w:webHidden/>
              </w:rPr>
              <w:t>7</w:t>
            </w:r>
            <w:r w:rsidRPr="00057BD6">
              <w:rPr>
                <w:noProof/>
                <w:webHidden/>
              </w:rPr>
              <w:fldChar w:fldCharType="end"/>
            </w:r>
          </w:hyperlink>
        </w:p>
        <w:p w14:paraId="2B1C8A25" w14:textId="769B089F"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4" w:history="1">
            <w:r w:rsidRPr="00057BD6">
              <w:rPr>
                <w:rStyle w:val="Hipervnculo"/>
                <w:rFonts w:ascii="Palatino Linotype" w:hAnsi="Palatino Linotype"/>
                <w:noProof/>
                <w:lang w:val="es-ES"/>
              </w:rPr>
              <w:t xml:space="preserve">CUARTO. </w:t>
            </w:r>
            <w:r w:rsidRPr="00057BD6">
              <w:rPr>
                <w:rStyle w:val="Hipervnculo"/>
                <w:rFonts w:ascii="Palatino Linotype" w:hAnsi="Palatino Linotype"/>
                <w:noProof/>
              </w:rPr>
              <w:t>Marco normativo aplicable en materia de transparencia y acceso a la información pública</w:t>
            </w:r>
            <w:r w:rsidRPr="00057BD6">
              <w:rPr>
                <w:noProof/>
                <w:webHidden/>
              </w:rPr>
              <w:tab/>
            </w:r>
            <w:r w:rsidRPr="00057BD6">
              <w:rPr>
                <w:noProof/>
                <w:webHidden/>
              </w:rPr>
              <w:fldChar w:fldCharType="begin"/>
            </w:r>
            <w:r w:rsidRPr="00057BD6">
              <w:rPr>
                <w:noProof/>
                <w:webHidden/>
              </w:rPr>
              <w:instrText xml:space="preserve"> PAGEREF _Toc205478504 \h </w:instrText>
            </w:r>
            <w:r w:rsidRPr="00057BD6">
              <w:rPr>
                <w:noProof/>
                <w:webHidden/>
              </w:rPr>
            </w:r>
            <w:r w:rsidRPr="00057BD6">
              <w:rPr>
                <w:noProof/>
                <w:webHidden/>
              </w:rPr>
              <w:fldChar w:fldCharType="separate"/>
            </w:r>
            <w:r w:rsidR="00824C26">
              <w:rPr>
                <w:noProof/>
                <w:webHidden/>
              </w:rPr>
              <w:t>9</w:t>
            </w:r>
            <w:r w:rsidRPr="00057BD6">
              <w:rPr>
                <w:noProof/>
                <w:webHidden/>
              </w:rPr>
              <w:fldChar w:fldCharType="end"/>
            </w:r>
          </w:hyperlink>
        </w:p>
        <w:p w14:paraId="00EC79DF" w14:textId="775E3453"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5" w:history="1">
            <w:r w:rsidRPr="00057BD6">
              <w:rPr>
                <w:rStyle w:val="Hipervnculo"/>
                <w:rFonts w:ascii="Palatino Linotype" w:hAnsi="Palatino Linotype"/>
                <w:noProof/>
                <w:lang w:val="es-ES"/>
              </w:rPr>
              <w:t>QUINTO. Estudio de Fondo</w:t>
            </w:r>
            <w:r w:rsidRPr="00057BD6">
              <w:rPr>
                <w:noProof/>
                <w:webHidden/>
              </w:rPr>
              <w:tab/>
            </w:r>
            <w:r w:rsidRPr="00057BD6">
              <w:rPr>
                <w:noProof/>
                <w:webHidden/>
              </w:rPr>
              <w:fldChar w:fldCharType="begin"/>
            </w:r>
            <w:r w:rsidRPr="00057BD6">
              <w:rPr>
                <w:noProof/>
                <w:webHidden/>
              </w:rPr>
              <w:instrText xml:space="preserve"> PAGEREF _Toc205478505 \h </w:instrText>
            </w:r>
            <w:r w:rsidRPr="00057BD6">
              <w:rPr>
                <w:noProof/>
                <w:webHidden/>
              </w:rPr>
            </w:r>
            <w:r w:rsidRPr="00057BD6">
              <w:rPr>
                <w:noProof/>
                <w:webHidden/>
              </w:rPr>
              <w:fldChar w:fldCharType="separate"/>
            </w:r>
            <w:r w:rsidR="00824C26">
              <w:rPr>
                <w:noProof/>
                <w:webHidden/>
              </w:rPr>
              <w:t>10</w:t>
            </w:r>
            <w:r w:rsidRPr="00057BD6">
              <w:rPr>
                <w:noProof/>
                <w:webHidden/>
              </w:rPr>
              <w:fldChar w:fldCharType="end"/>
            </w:r>
          </w:hyperlink>
        </w:p>
        <w:p w14:paraId="0B0C1DFB" w14:textId="4AD75E4B" w:rsidR="00057BD6" w:rsidRPr="00057BD6" w:rsidRDefault="00057BD6">
          <w:pPr>
            <w:pStyle w:val="TDC2"/>
            <w:tabs>
              <w:tab w:val="right" w:leader="dot" w:pos="8921"/>
            </w:tabs>
            <w:rPr>
              <w:rFonts w:asciiTheme="minorHAnsi" w:eastAsiaTheme="minorEastAsia" w:hAnsiTheme="minorHAnsi" w:cstheme="minorBidi"/>
              <w:noProof/>
              <w:sz w:val="22"/>
              <w:szCs w:val="22"/>
              <w:lang w:eastAsia="es-MX"/>
            </w:rPr>
          </w:pPr>
          <w:hyperlink w:anchor="_Toc205478506" w:history="1">
            <w:r w:rsidRPr="00057BD6">
              <w:rPr>
                <w:rStyle w:val="Hipervnculo"/>
                <w:rFonts w:ascii="Palatino Linotype" w:eastAsia="Calibri" w:hAnsi="Palatino Linotype"/>
                <w:noProof/>
              </w:rPr>
              <w:t>SEXTO. Decisión</w:t>
            </w:r>
            <w:r w:rsidRPr="00057BD6">
              <w:rPr>
                <w:noProof/>
                <w:webHidden/>
              </w:rPr>
              <w:tab/>
            </w:r>
            <w:r w:rsidRPr="00057BD6">
              <w:rPr>
                <w:noProof/>
                <w:webHidden/>
              </w:rPr>
              <w:fldChar w:fldCharType="begin"/>
            </w:r>
            <w:r w:rsidRPr="00057BD6">
              <w:rPr>
                <w:noProof/>
                <w:webHidden/>
              </w:rPr>
              <w:instrText xml:space="preserve"> PAGEREF _Toc205478506 \h </w:instrText>
            </w:r>
            <w:r w:rsidRPr="00057BD6">
              <w:rPr>
                <w:noProof/>
                <w:webHidden/>
              </w:rPr>
            </w:r>
            <w:r w:rsidRPr="00057BD6">
              <w:rPr>
                <w:noProof/>
                <w:webHidden/>
              </w:rPr>
              <w:fldChar w:fldCharType="separate"/>
            </w:r>
            <w:r w:rsidR="00824C26">
              <w:rPr>
                <w:noProof/>
                <w:webHidden/>
              </w:rPr>
              <w:t>16</w:t>
            </w:r>
            <w:r w:rsidRPr="00057BD6">
              <w:rPr>
                <w:noProof/>
                <w:webHidden/>
              </w:rPr>
              <w:fldChar w:fldCharType="end"/>
            </w:r>
          </w:hyperlink>
        </w:p>
        <w:p w14:paraId="6AE6E1FA" w14:textId="697A6087" w:rsidR="00057BD6" w:rsidRPr="00057BD6" w:rsidRDefault="00057BD6">
          <w:pPr>
            <w:pStyle w:val="TDC1"/>
            <w:rPr>
              <w:rFonts w:asciiTheme="minorHAnsi" w:eastAsiaTheme="minorEastAsia" w:hAnsiTheme="minorHAnsi" w:cstheme="minorBidi"/>
              <w:noProof/>
              <w:sz w:val="22"/>
              <w:szCs w:val="22"/>
              <w:lang w:eastAsia="es-MX"/>
            </w:rPr>
          </w:pPr>
          <w:hyperlink w:anchor="_Toc205478507" w:history="1">
            <w:r w:rsidRPr="00057BD6">
              <w:rPr>
                <w:rStyle w:val="Hipervnculo"/>
                <w:rFonts w:ascii="Palatino Linotype" w:eastAsia="Calibri" w:hAnsi="Palatino Linotype"/>
                <w:noProof/>
              </w:rPr>
              <w:t>R E S U E L V E</w:t>
            </w:r>
            <w:r w:rsidRPr="00057BD6">
              <w:rPr>
                <w:noProof/>
                <w:webHidden/>
              </w:rPr>
              <w:tab/>
            </w:r>
            <w:r w:rsidRPr="00057BD6">
              <w:rPr>
                <w:noProof/>
                <w:webHidden/>
              </w:rPr>
              <w:fldChar w:fldCharType="begin"/>
            </w:r>
            <w:r w:rsidRPr="00057BD6">
              <w:rPr>
                <w:noProof/>
                <w:webHidden/>
              </w:rPr>
              <w:instrText xml:space="preserve"> PAGEREF _Toc205478507 \h </w:instrText>
            </w:r>
            <w:r w:rsidRPr="00057BD6">
              <w:rPr>
                <w:noProof/>
                <w:webHidden/>
              </w:rPr>
            </w:r>
            <w:r w:rsidRPr="00057BD6">
              <w:rPr>
                <w:noProof/>
                <w:webHidden/>
              </w:rPr>
              <w:fldChar w:fldCharType="separate"/>
            </w:r>
            <w:r w:rsidR="00824C26">
              <w:rPr>
                <w:noProof/>
                <w:webHidden/>
              </w:rPr>
              <w:t>16</w:t>
            </w:r>
            <w:r w:rsidRPr="00057BD6">
              <w:rPr>
                <w:noProof/>
                <w:webHidden/>
              </w:rPr>
              <w:fldChar w:fldCharType="end"/>
            </w:r>
          </w:hyperlink>
        </w:p>
        <w:p w14:paraId="39113C74" w14:textId="415FA14D" w:rsidR="00076681" w:rsidRDefault="00076681" w:rsidP="004B7B1F">
          <w:pPr>
            <w:spacing w:after="0" w:line="360" w:lineRule="auto"/>
          </w:pPr>
          <w:r w:rsidRPr="007216BA">
            <w:rPr>
              <w:lang w:val="es-ES"/>
            </w:rPr>
            <w:fldChar w:fldCharType="end"/>
          </w:r>
        </w:p>
      </w:sdtContent>
    </w:sdt>
    <w:p w14:paraId="07147BF5" w14:textId="77777777" w:rsidR="008D18A9" w:rsidRDefault="008D18A9" w:rsidP="004B7B1F">
      <w:pPr>
        <w:tabs>
          <w:tab w:val="left" w:pos="8931"/>
        </w:tabs>
        <w:spacing w:after="0" w:line="360" w:lineRule="auto"/>
        <w:contextualSpacing/>
        <w:rPr>
          <w:rFonts w:cs="Tahoma"/>
          <w:bCs/>
          <w:color w:val="auto"/>
        </w:rPr>
      </w:pPr>
    </w:p>
    <w:p w14:paraId="462DC449" w14:textId="77777777" w:rsidR="008D18A9" w:rsidRDefault="008D18A9" w:rsidP="004B7B1F">
      <w:pPr>
        <w:tabs>
          <w:tab w:val="left" w:pos="8931"/>
        </w:tabs>
        <w:spacing w:after="0" w:line="360" w:lineRule="auto"/>
        <w:contextualSpacing/>
        <w:rPr>
          <w:rFonts w:cs="Tahoma"/>
          <w:bCs/>
          <w:color w:val="auto"/>
        </w:rPr>
      </w:pPr>
    </w:p>
    <w:p w14:paraId="5FDE349F" w14:textId="77777777" w:rsidR="006507A2" w:rsidRDefault="006507A2" w:rsidP="004B7B1F">
      <w:pPr>
        <w:tabs>
          <w:tab w:val="left" w:pos="8931"/>
        </w:tabs>
        <w:spacing w:after="0" w:line="360" w:lineRule="auto"/>
        <w:contextualSpacing/>
        <w:rPr>
          <w:rFonts w:cs="Tahoma"/>
          <w:bCs/>
          <w:color w:val="auto"/>
        </w:rPr>
      </w:pPr>
    </w:p>
    <w:p w14:paraId="38610E5E" w14:textId="77777777" w:rsidR="006507A2" w:rsidRDefault="006507A2" w:rsidP="004B7B1F">
      <w:pPr>
        <w:tabs>
          <w:tab w:val="left" w:pos="8931"/>
        </w:tabs>
        <w:spacing w:after="0" w:line="360" w:lineRule="auto"/>
        <w:contextualSpacing/>
        <w:rPr>
          <w:rFonts w:cs="Tahoma"/>
          <w:bCs/>
          <w:color w:val="auto"/>
        </w:rPr>
      </w:pPr>
    </w:p>
    <w:p w14:paraId="3530C0FA" w14:textId="37E4235F" w:rsidR="00DB3DC5" w:rsidRPr="009C0D40" w:rsidRDefault="00DB3DC5" w:rsidP="004B7B1F">
      <w:pPr>
        <w:tabs>
          <w:tab w:val="left" w:pos="8931"/>
        </w:tabs>
        <w:spacing w:after="0" w:line="360" w:lineRule="auto"/>
        <w:contextualSpacing/>
        <w:rPr>
          <w:rFonts w:eastAsia="Calibri" w:cs="Tahoma"/>
          <w:color w:val="auto"/>
          <w:lang w:val="es-ES"/>
        </w:rPr>
      </w:pPr>
      <w:r w:rsidRPr="009C0D40">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fecha </w:t>
      </w:r>
      <w:r w:rsidR="00DD4657">
        <w:rPr>
          <w:rFonts w:eastAsia="Calibri" w:cs="Tahoma"/>
          <w:color w:val="auto"/>
          <w:lang w:val="es-ES"/>
        </w:rPr>
        <w:t>seis de agosto</w:t>
      </w:r>
      <w:r w:rsidR="008E279B">
        <w:rPr>
          <w:rFonts w:eastAsia="Calibri" w:cs="Tahoma"/>
          <w:color w:val="auto"/>
          <w:lang w:val="es-ES"/>
        </w:rPr>
        <w:t xml:space="preserve"> de dos mil veinticinco.</w:t>
      </w:r>
      <w:r w:rsidRPr="009C0D40">
        <w:rPr>
          <w:rFonts w:eastAsia="Calibri" w:cs="Tahoma"/>
          <w:color w:val="auto"/>
          <w:lang w:val="es-ES"/>
        </w:rPr>
        <w:t xml:space="preserve"> </w:t>
      </w:r>
    </w:p>
    <w:p w14:paraId="2A681408" w14:textId="1CE12C44" w:rsidR="00DB3DC5" w:rsidRPr="00C821DD" w:rsidRDefault="00455DCB" w:rsidP="004B7B1F">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4D70B553" w:rsidR="00DB3DC5" w:rsidRPr="00200755" w:rsidRDefault="00DB3DC5" w:rsidP="004B7B1F">
      <w:pPr>
        <w:spacing w:after="0" w:line="360" w:lineRule="auto"/>
        <w:contextualSpacing/>
        <w:rPr>
          <w:rFonts w:eastAsia="Calibri" w:cs="Tahoma"/>
          <w:color w:val="auto"/>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DD4657" w:rsidRPr="00F30938">
        <w:rPr>
          <w:rFonts w:eastAsia="Calibri" w:cs="Tahoma"/>
          <w:b/>
          <w:bCs/>
          <w:color w:val="auto"/>
        </w:rPr>
        <w:t>0</w:t>
      </w:r>
      <w:r w:rsidR="00135D51" w:rsidRPr="00F30938">
        <w:rPr>
          <w:rFonts w:eastAsia="Calibri" w:cs="Tahoma"/>
          <w:b/>
          <w:bCs/>
          <w:color w:val="auto"/>
        </w:rPr>
        <w:t>7561</w:t>
      </w:r>
      <w:r w:rsidR="00DE71A5" w:rsidRPr="00F30938">
        <w:rPr>
          <w:rFonts w:eastAsia="Calibri" w:cs="Tahoma"/>
          <w:b/>
          <w:bCs/>
          <w:color w:val="auto"/>
        </w:rPr>
        <w:t>/INFOEM/IP/RR/2025</w:t>
      </w:r>
      <w:r w:rsidR="00043CDA" w:rsidRPr="00F30938">
        <w:rPr>
          <w:rFonts w:eastAsia="Calibri" w:cs="Tahoma"/>
          <w:b/>
          <w:bCs/>
          <w:color w:val="auto"/>
        </w:rPr>
        <w:t>,</w:t>
      </w:r>
      <w:r w:rsidRPr="007719F0">
        <w:rPr>
          <w:rFonts w:cs="Tahoma"/>
          <w:color w:val="auto"/>
        </w:rPr>
        <w:t xml:space="preserve"> en contra de la respuesta del Sujeto Obligado, </w:t>
      </w:r>
      <w:r w:rsidR="00135D51" w:rsidRPr="00F30938">
        <w:rPr>
          <w:b/>
          <w:bCs/>
          <w:color w:val="000000"/>
        </w:rPr>
        <w:t>Sistema Municipal para el Desarrollo Integral de la Familia de Cocotitlán</w:t>
      </w:r>
      <w:r w:rsidRPr="00F30938">
        <w:rPr>
          <w:rFonts w:cs="Tahoma"/>
          <w:b/>
          <w:bCs/>
          <w:color w:val="auto"/>
        </w:rPr>
        <w:t>,</w:t>
      </w:r>
      <w:r w:rsidRPr="007719F0">
        <w:rPr>
          <w:rFonts w:cs="Tahoma"/>
          <w:color w:val="auto"/>
        </w:rPr>
        <w:t xml:space="preserve"> a la solicitud de acceso a la información </w:t>
      </w:r>
      <w:r w:rsidR="002C3558">
        <w:rPr>
          <w:rFonts w:cs="Tahoma"/>
          <w:color w:val="auto"/>
        </w:rPr>
        <w:t xml:space="preserve">pública </w:t>
      </w:r>
      <w:r w:rsidR="00DD4657">
        <w:rPr>
          <w:rFonts w:eastAsia="Calibri" w:cs="Tahoma"/>
        </w:rPr>
        <w:t>000</w:t>
      </w:r>
      <w:r w:rsidR="00135D51">
        <w:rPr>
          <w:rFonts w:eastAsia="Calibri" w:cs="Tahoma"/>
        </w:rPr>
        <w:t>71</w:t>
      </w:r>
      <w:r w:rsidR="00DD4657">
        <w:rPr>
          <w:rFonts w:eastAsia="Calibri" w:cs="Tahoma"/>
        </w:rPr>
        <w:t>/</w:t>
      </w:r>
      <w:r w:rsidR="00135D51">
        <w:rPr>
          <w:rFonts w:eastAsia="Calibri" w:cs="Tahoma"/>
        </w:rPr>
        <w:t>DIFCOCOTITLAN</w:t>
      </w:r>
      <w:r w:rsidR="00200755">
        <w:rPr>
          <w:rFonts w:eastAsia="Calibri" w:cs="Tahoma"/>
        </w:rPr>
        <w:t xml:space="preserve">/IP/2025 </w:t>
      </w:r>
      <w:r w:rsidRPr="007719F0">
        <w:rPr>
          <w:rFonts w:cs="Tahoma"/>
          <w:color w:val="auto"/>
        </w:rPr>
        <w:t>se emite</w:t>
      </w:r>
      <w:r w:rsidRPr="007719F0">
        <w:rPr>
          <w:rFonts w:cs="Tahoma"/>
          <w:bCs/>
          <w:color w:val="auto"/>
        </w:rPr>
        <w:t xml:space="preserve"> la presente Resolución, con base en los Antecedentes y Considerandos que se exponen a continuación:</w:t>
      </w:r>
    </w:p>
    <w:p w14:paraId="134E03A6" w14:textId="5F6E8CA4" w:rsidR="00DB3DC5" w:rsidRPr="00C821DD" w:rsidRDefault="00455DCB" w:rsidP="004B7B1F">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4B7B1F">
      <w:pPr>
        <w:pStyle w:val="Ttulo1"/>
        <w:spacing w:before="0" w:line="360" w:lineRule="auto"/>
        <w:jc w:val="center"/>
        <w:rPr>
          <w:rFonts w:ascii="Palatino Linotype" w:hAnsi="Palatino Linotype"/>
          <w:b/>
          <w:color w:val="000000" w:themeColor="text1"/>
          <w:sz w:val="22"/>
          <w:szCs w:val="22"/>
        </w:rPr>
      </w:pPr>
      <w:bookmarkStart w:id="0" w:name="_Toc205478491"/>
      <w:r w:rsidRPr="00A94CDA">
        <w:rPr>
          <w:rFonts w:ascii="Palatino Linotype" w:hAnsi="Palatino Linotype"/>
          <w:b/>
          <w:color w:val="000000" w:themeColor="text1"/>
          <w:sz w:val="22"/>
          <w:szCs w:val="22"/>
        </w:rPr>
        <w:t>A N T E C E D E N T E S</w:t>
      </w:r>
      <w:bookmarkEnd w:id="0"/>
    </w:p>
    <w:p w14:paraId="09E98305" w14:textId="77777777" w:rsidR="00DB3DC5" w:rsidRPr="00CB16D3" w:rsidRDefault="00DB3DC5" w:rsidP="004B7B1F">
      <w:pPr>
        <w:spacing w:after="0" w:line="360" w:lineRule="auto"/>
        <w:contextualSpacing/>
        <w:jc w:val="center"/>
        <w:rPr>
          <w:rFonts w:eastAsia="Calibri" w:cs="Tahoma"/>
          <w:b/>
          <w:bCs/>
          <w:color w:val="auto"/>
          <w:lang w:val="es-ES"/>
        </w:rPr>
      </w:pPr>
    </w:p>
    <w:p w14:paraId="5E541408" w14:textId="7E0BBF99" w:rsidR="00DB3DC5" w:rsidRPr="00076681" w:rsidRDefault="00DB3DC5" w:rsidP="004B7B1F">
      <w:pPr>
        <w:pStyle w:val="Ttulo2"/>
        <w:spacing w:before="0" w:line="360" w:lineRule="auto"/>
        <w:rPr>
          <w:rFonts w:ascii="Palatino Linotype" w:eastAsia="Calibri" w:hAnsi="Palatino Linotype"/>
          <w:b/>
          <w:color w:val="000000" w:themeColor="text1"/>
          <w:sz w:val="22"/>
          <w:szCs w:val="22"/>
          <w:lang w:val="es-ES"/>
        </w:rPr>
      </w:pPr>
      <w:bookmarkStart w:id="1" w:name="_Toc205478492"/>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1"/>
    </w:p>
    <w:p w14:paraId="5A91601B" w14:textId="77777777" w:rsidR="00DB3DC5" w:rsidRPr="00CB16D3" w:rsidRDefault="00DB3DC5" w:rsidP="004B7B1F">
      <w:pPr>
        <w:spacing w:after="0" w:line="360" w:lineRule="auto"/>
        <w:contextualSpacing/>
        <w:rPr>
          <w:rFonts w:eastAsia="Calibri" w:cs="Tahoma"/>
          <w:b/>
          <w:bCs/>
          <w:color w:val="auto"/>
          <w:lang w:val="es-ES"/>
        </w:rPr>
      </w:pPr>
    </w:p>
    <w:p w14:paraId="1620C68D" w14:textId="47E7BC2F" w:rsidR="00DB3DC5" w:rsidRPr="00EA6588" w:rsidRDefault="00DB3DC5" w:rsidP="004B7B1F">
      <w:pPr>
        <w:spacing w:after="0" w:line="360" w:lineRule="auto"/>
        <w:contextualSpacing/>
        <w:rPr>
          <w:rFonts w:cs="Tahoma"/>
          <w:color w:val="auto"/>
        </w:rPr>
      </w:pPr>
      <w:r w:rsidRPr="00EA6588">
        <w:rPr>
          <w:rFonts w:eastAsia="Calibri" w:cs="Tahoma"/>
          <w:color w:val="auto"/>
          <w:lang w:val="es-ES"/>
        </w:rPr>
        <w:t xml:space="preserve">Con </w:t>
      </w:r>
      <w:r w:rsidR="00135D51">
        <w:rPr>
          <w:rFonts w:eastAsia="Calibri" w:cs="Tahoma"/>
          <w:color w:val="auto"/>
          <w:lang w:val="es-ES"/>
        </w:rPr>
        <w:t>fecha veintisiete de mayo</w:t>
      </w:r>
      <w:r w:rsidR="00200755">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Pr="00EA6588">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w:t>
      </w:r>
      <w:r w:rsidR="00135D51" w:rsidRPr="00135D51">
        <w:rPr>
          <w:color w:val="000000"/>
        </w:rPr>
        <w:t>Sistema Municipal para el Desarrollo Integral de la Familia de Cocotitlán</w:t>
      </w:r>
      <w:r w:rsidR="00200755" w:rsidRPr="007719F0">
        <w:rPr>
          <w:rFonts w:cs="Tahoma"/>
          <w:color w:val="auto"/>
        </w:rPr>
        <w:t>,</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4B7B1F">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4B7B1F">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75B4FFDB" w:rsidR="00087796" w:rsidRPr="00135D51" w:rsidRDefault="001D1A22" w:rsidP="004B7B1F">
      <w:pPr>
        <w:spacing w:after="0" w:line="360" w:lineRule="auto"/>
        <w:ind w:left="567" w:right="567"/>
        <w:rPr>
          <w:rFonts w:eastAsia="Times New Roman" w:cs="Times New Roman"/>
          <w:i/>
          <w:iCs/>
          <w:color w:val="auto"/>
          <w:sz w:val="20"/>
          <w:szCs w:val="20"/>
          <w:lang w:eastAsia="es-MX"/>
        </w:rPr>
      </w:pPr>
      <w:r w:rsidRPr="001D1A22">
        <w:rPr>
          <w:i/>
          <w:iCs/>
          <w:color w:val="000000"/>
          <w:sz w:val="20"/>
          <w:szCs w:val="20"/>
        </w:rPr>
        <w:t>TABULADOR DE SUELDOS DEL DIF NUEVA ADMINISTRACÓN Y ACTA DE JUNTA DE GOBIERNO DONDE FUE APRIBADO EN FORMATO LEGIBLE.</w:t>
      </w:r>
      <w:r w:rsidR="00087796" w:rsidRPr="00135D51">
        <w:rPr>
          <w:rFonts w:eastAsia="Times New Roman" w:cs="Arial"/>
          <w:bCs/>
          <w:i/>
          <w:iCs/>
          <w:color w:val="auto"/>
          <w:sz w:val="20"/>
          <w:szCs w:val="20"/>
          <w:lang w:eastAsia="es-ES"/>
        </w:rPr>
        <w:t>”</w:t>
      </w:r>
      <w:r w:rsidR="00DD4657" w:rsidRPr="00135D51">
        <w:rPr>
          <w:rFonts w:eastAsia="Times New Roman" w:cs="Arial"/>
          <w:bCs/>
          <w:i/>
          <w:iCs/>
          <w:color w:val="auto"/>
          <w:sz w:val="20"/>
          <w:szCs w:val="20"/>
          <w:lang w:eastAsia="es-ES"/>
        </w:rPr>
        <w:t>.</w:t>
      </w:r>
      <w:r w:rsidR="00087796" w:rsidRPr="00135D51">
        <w:rPr>
          <w:rFonts w:eastAsia="Times New Roman" w:cs="Arial"/>
          <w:bCs/>
          <w:i/>
          <w:iCs/>
          <w:color w:val="auto"/>
          <w:sz w:val="20"/>
          <w:szCs w:val="20"/>
          <w:lang w:eastAsia="es-ES"/>
        </w:rPr>
        <w:t xml:space="preserve"> (Sic) </w:t>
      </w:r>
    </w:p>
    <w:p w14:paraId="03420A6D" w14:textId="77777777" w:rsidR="0046538F" w:rsidRPr="00940303" w:rsidRDefault="0046538F" w:rsidP="004B7B1F">
      <w:pPr>
        <w:spacing w:after="0" w:line="360" w:lineRule="auto"/>
        <w:ind w:right="567"/>
        <w:contextualSpacing/>
        <w:rPr>
          <w:rFonts w:eastAsia="Times New Roman" w:cs="Arial"/>
          <w:bCs/>
          <w:i/>
          <w:iCs/>
          <w:color w:val="auto"/>
          <w:sz w:val="20"/>
          <w:lang w:eastAsia="es-ES"/>
        </w:rPr>
      </w:pPr>
    </w:p>
    <w:p w14:paraId="115716E2" w14:textId="77777777" w:rsidR="00087796" w:rsidRPr="00940303" w:rsidRDefault="00087796" w:rsidP="004B7B1F">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4387F950" w14:textId="71FA1462" w:rsidR="001A0F43" w:rsidRDefault="00087796" w:rsidP="004B7B1F">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1E4773A7" w14:textId="77777777" w:rsidR="004B7B1F" w:rsidRPr="00BE4B2C" w:rsidRDefault="004B7B1F" w:rsidP="004B7B1F">
      <w:pPr>
        <w:spacing w:after="0" w:line="360" w:lineRule="auto"/>
        <w:ind w:left="567" w:right="567"/>
        <w:contextualSpacing/>
        <w:rPr>
          <w:rFonts w:eastAsia="Times New Roman" w:cs="Arial"/>
          <w:bCs/>
          <w:i/>
          <w:iCs/>
          <w:color w:val="auto"/>
          <w:sz w:val="20"/>
          <w:lang w:eastAsia="es-ES"/>
        </w:rPr>
      </w:pPr>
    </w:p>
    <w:p w14:paraId="675E2DC0" w14:textId="75639D5F" w:rsidR="00DB3DC5" w:rsidRPr="00076681" w:rsidRDefault="00DB3DC5" w:rsidP="004B7B1F">
      <w:pPr>
        <w:pStyle w:val="Ttulo2"/>
        <w:spacing w:before="0" w:line="360" w:lineRule="auto"/>
        <w:rPr>
          <w:rFonts w:ascii="Palatino Linotype" w:eastAsia="Calibri" w:hAnsi="Palatino Linotype"/>
          <w:b/>
          <w:color w:val="000000" w:themeColor="text1"/>
          <w:sz w:val="22"/>
          <w:szCs w:val="22"/>
        </w:rPr>
      </w:pPr>
      <w:bookmarkStart w:id="2" w:name="_Toc205478493"/>
      <w:r w:rsidRPr="00076681">
        <w:rPr>
          <w:rFonts w:ascii="Palatino Linotype" w:eastAsia="Calibri" w:hAnsi="Palatino Linotype"/>
          <w:b/>
          <w:color w:val="000000" w:themeColor="text1"/>
          <w:sz w:val="22"/>
          <w:szCs w:val="22"/>
        </w:rPr>
        <w:lastRenderedPageBreak/>
        <w:t>II. Respuesta</w:t>
      </w:r>
      <w:r w:rsidR="00076681">
        <w:rPr>
          <w:rFonts w:ascii="Palatino Linotype" w:eastAsia="Calibri" w:hAnsi="Palatino Linotype"/>
          <w:b/>
          <w:color w:val="000000" w:themeColor="text1"/>
          <w:sz w:val="22"/>
          <w:szCs w:val="22"/>
        </w:rPr>
        <w:t xml:space="preserve"> del Sujeto Obligado</w:t>
      </w:r>
      <w:bookmarkEnd w:id="2"/>
    </w:p>
    <w:p w14:paraId="6BDD54F7" w14:textId="77777777" w:rsidR="00345BB5" w:rsidRPr="00C821DD" w:rsidRDefault="00345BB5" w:rsidP="004B7B1F">
      <w:pPr>
        <w:spacing w:after="0" w:line="360" w:lineRule="auto"/>
        <w:contextualSpacing/>
        <w:rPr>
          <w:rFonts w:eastAsia="Calibri" w:cs="Tahoma"/>
          <w:b/>
          <w:bCs/>
          <w:color w:val="FF0000"/>
        </w:rPr>
      </w:pPr>
    </w:p>
    <w:p w14:paraId="12EEC53D" w14:textId="728AB5A4" w:rsidR="00345BB5" w:rsidRPr="00183736" w:rsidRDefault="00345BB5" w:rsidP="004B7B1F">
      <w:pPr>
        <w:autoSpaceDE w:val="0"/>
        <w:autoSpaceDN w:val="0"/>
        <w:adjustRightInd w:val="0"/>
        <w:spacing w:after="0" w:line="360" w:lineRule="auto"/>
        <w:rPr>
          <w:rFonts w:cs="Tahoma"/>
          <w:bCs/>
          <w:color w:val="auto"/>
          <w:lang w:val="es-ES_tradnl"/>
        </w:rPr>
      </w:pPr>
      <w:r w:rsidRPr="00183736">
        <w:rPr>
          <w:rFonts w:cs="Tahoma"/>
          <w:bCs/>
          <w:color w:val="auto"/>
          <w:lang w:val="es-ES_tradnl"/>
        </w:rPr>
        <w:t xml:space="preserve">Con fecha </w:t>
      </w:r>
      <w:r w:rsidR="00A42D93">
        <w:rPr>
          <w:rFonts w:cs="Tahoma"/>
          <w:bCs/>
          <w:color w:val="auto"/>
          <w:lang w:val="es-ES_tradnl"/>
        </w:rPr>
        <w:t>dieci</w:t>
      </w:r>
      <w:r w:rsidR="00135D51">
        <w:rPr>
          <w:rFonts w:cs="Tahoma"/>
          <w:bCs/>
          <w:color w:val="auto"/>
          <w:lang w:val="es-ES_tradnl"/>
        </w:rPr>
        <w:t>ocho</w:t>
      </w:r>
      <w:r w:rsidR="00A42D93">
        <w:rPr>
          <w:rFonts w:cs="Tahoma"/>
          <w:bCs/>
          <w:color w:val="auto"/>
          <w:lang w:val="es-ES_tradnl"/>
        </w:rPr>
        <w:t xml:space="preserve"> de </w:t>
      </w:r>
      <w:r w:rsidR="00135D51">
        <w:rPr>
          <w:rFonts w:cs="Tahoma"/>
          <w:bCs/>
          <w:color w:val="auto"/>
          <w:lang w:val="es-ES_tradnl"/>
        </w:rPr>
        <w:t>junio</w:t>
      </w:r>
      <w:r w:rsidR="00EA276A">
        <w:rPr>
          <w:rFonts w:cs="Tahoma"/>
          <w:bCs/>
          <w:color w:val="auto"/>
          <w:lang w:val="es-ES_tradnl"/>
        </w:rPr>
        <w:t xml:space="preserve"> de dos mil</w:t>
      </w:r>
      <w:r w:rsidR="00CA0F13">
        <w:rPr>
          <w:rFonts w:cs="Tahoma"/>
          <w:bCs/>
          <w:color w:val="auto"/>
          <w:lang w:val="es-ES_tradnl"/>
        </w:rPr>
        <w:t xml:space="preserve"> veinticinco</w:t>
      </w:r>
      <w:r w:rsidRPr="00183736">
        <w:rPr>
          <w:rFonts w:cs="Tahoma"/>
          <w:bCs/>
          <w:color w:val="auto"/>
          <w:lang w:val="es-ES_tradnl"/>
        </w:rPr>
        <w:t>, el</w:t>
      </w:r>
      <w:r w:rsidR="00200755" w:rsidRPr="00200755">
        <w:rPr>
          <w:bCs/>
          <w:color w:val="000000"/>
        </w:rPr>
        <w:t xml:space="preserve"> </w:t>
      </w:r>
      <w:r w:rsidR="00135D51" w:rsidRPr="00135D51">
        <w:rPr>
          <w:color w:val="000000"/>
        </w:rPr>
        <w:t>Sistema Municipal para el Desarrollo Integral de la Familia de Cocotitlán</w:t>
      </w:r>
      <w:r w:rsidRPr="00183736">
        <w:rPr>
          <w:rFonts w:cs="Tahoma"/>
          <w:bCs/>
          <w:color w:val="auto"/>
          <w:lang w:val="es-ES_tradnl"/>
        </w:rPr>
        <w:t xml:space="preserve">, notificó la respuesta a la solicitud, a través del Sistema de Acceso a la Información Mexiquense (SAIMEX), mediante </w:t>
      </w:r>
      <w:bookmarkStart w:id="3" w:name="_Hlk101903429"/>
      <w:r w:rsidR="0046538F">
        <w:rPr>
          <w:rFonts w:cs="Tahoma"/>
          <w:bCs/>
          <w:color w:val="auto"/>
          <w:lang w:val="es-ES_tradnl"/>
        </w:rPr>
        <w:t>la digitalización de</w:t>
      </w:r>
      <w:r w:rsidR="00A42D93">
        <w:rPr>
          <w:rFonts w:cs="Tahoma"/>
          <w:bCs/>
          <w:color w:val="auto"/>
          <w:lang w:val="es-ES_tradnl"/>
        </w:rPr>
        <w:t xml:space="preserve"> los</w:t>
      </w:r>
      <w:r w:rsidR="0046538F">
        <w:rPr>
          <w:rFonts w:cs="Tahoma"/>
          <w:bCs/>
          <w:color w:val="auto"/>
          <w:lang w:val="es-ES_tradnl"/>
        </w:rPr>
        <w:t xml:space="preserve"> s</w:t>
      </w:r>
      <w:r w:rsidR="00EA276A">
        <w:rPr>
          <w:rFonts w:cs="Tahoma"/>
          <w:bCs/>
          <w:color w:val="auto"/>
          <w:lang w:val="es-ES_tradnl"/>
        </w:rPr>
        <w:t>iguiente</w:t>
      </w:r>
      <w:r w:rsidR="00A42D93">
        <w:rPr>
          <w:rFonts w:cs="Tahoma"/>
          <w:bCs/>
          <w:color w:val="auto"/>
          <w:lang w:val="es-ES_tradnl"/>
        </w:rPr>
        <w:t>s</w:t>
      </w:r>
      <w:r w:rsidR="00EA276A">
        <w:rPr>
          <w:rFonts w:cs="Tahoma"/>
          <w:bCs/>
          <w:color w:val="auto"/>
          <w:lang w:val="es-ES_tradnl"/>
        </w:rPr>
        <w:t xml:space="preserve"> documento</w:t>
      </w:r>
      <w:r w:rsidR="00A42D93">
        <w:rPr>
          <w:rFonts w:cs="Tahoma"/>
          <w:bCs/>
          <w:color w:val="auto"/>
          <w:lang w:val="es-ES_tradnl"/>
        </w:rPr>
        <w:t>s</w:t>
      </w:r>
      <w:r w:rsidR="0046538F">
        <w:rPr>
          <w:rFonts w:cs="Tahoma"/>
          <w:bCs/>
          <w:color w:val="auto"/>
          <w:lang w:val="es-ES_tradnl"/>
        </w:rPr>
        <w:t>:</w:t>
      </w:r>
    </w:p>
    <w:bookmarkEnd w:id="3"/>
    <w:p w14:paraId="18CD5E2F" w14:textId="77777777" w:rsidR="005620CE" w:rsidRDefault="005620CE" w:rsidP="004B7B1F">
      <w:pPr>
        <w:autoSpaceDE w:val="0"/>
        <w:autoSpaceDN w:val="0"/>
        <w:adjustRightInd w:val="0"/>
        <w:spacing w:after="0" w:line="360" w:lineRule="auto"/>
        <w:rPr>
          <w:rFonts w:cs="Tahoma"/>
          <w:color w:val="FF0000"/>
          <w:lang w:val="es-ES_tradnl"/>
        </w:rPr>
      </w:pPr>
    </w:p>
    <w:p w14:paraId="04996B2C" w14:textId="0C898BEC" w:rsidR="004D6903" w:rsidRPr="00550DBB" w:rsidRDefault="001D1A22" w:rsidP="004B7B1F">
      <w:pPr>
        <w:autoSpaceDE w:val="0"/>
        <w:autoSpaceDN w:val="0"/>
        <w:adjustRightInd w:val="0"/>
        <w:spacing w:after="0" w:line="360" w:lineRule="auto"/>
        <w:rPr>
          <w:i/>
          <w:color w:val="000000"/>
          <w:sz w:val="20"/>
          <w:szCs w:val="20"/>
        </w:rPr>
      </w:pPr>
      <w:r>
        <w:rPr>
          <w:rFonts w:cs="Tahoma"/>
          <w:color w:val="auto"/>
          <w:lang w:val="es-ES_tradnl"/>
        </w:rPr>
        <w:t xml:space="preserve">i) </w:t>
      </w:r>
      <w:r w:rsidR="00A42D93" w:rsidRPr="001D1A22">
        <w:rPr>
          <w:rFonts w:cs="Tahoma"/>
          <w:color w:val="auto"/>
          <w:lang w:val="es-ES_tradnl"/>
        </w:rPr>
        <w:t>Oficio</w:t>
      </w:r>
      <w:r w:rsidR="00135D51" w:rsidRPr="001D1A22">
        <w:rPr>
          <w:rFonts w:cs="Tahoma"/>
          <w:color w:val="auto"/>
          <w:lang w:val="es-ES_tradnl"/>
        </w:rPr>
        <w:t xml:space="preserve"> sin número</w:t>
      </w:r>
      <w:r w:rsidR="007047F4" w:rsidRPr="001D1A22">
        <w:rPr>
          <w:rFonts w:cs="Tahoma"/>
          <w:color w:val="auto"/>
          <w:lang w:val="es-ES_tradnl"/>
        </w:rPr>
        <w:t xml:space="preserve">, </w:t>
      </w:r>
      <w:r>
        <w:rPr>
          <w:rFonts w:cs="Tahoma"/>
          <w:color w:val="auto"/>
          <w:lang w:val="es-ES_tradnl"/>
        </w:rPr>
        <w:t>del</w:t>
      </w:r>
      <w:r w:rsidR="00A42D93" w:rsidRPr="001D1A22">
        <w:rPr>
          <w:rFonts w:cs="Tahoma"/>
          <w:color w:val="auto"/>
          <w:lang w:val="es-ES_tradnl"/>
        </w:rPr>
        <w:t xml:space="preserve"> </w:t>
      </w:r>
      <w:r w:rsidR="00135D51" w:rsidRPr="001D1A22">
        <w:rPr>
          <w:rFonts w:cs="Tahoma"/>
          <w:color w:val="auto"/>
          <w:lang w:val="es-ES_tradnl"/>
        </w:rPr>
        <w:t>diez de junio</w:t>
      </w:r>
      <w:r w:rsidR="000A6A91" w:rsidRPr="001D1A22">
        <w:rPr>
          <w:rFonts w:cs="Tahoma"/>
          <w:color w:val="auto"/>
          <w:lang w:val="es-ES_tradnl"/>
        </w:rPr>
        <w:t xml:space="preserve"> de dos mil veinticinco</w:t>
      </w:r>
      <w:r w:rsidR="0018339D" w:rsidRPr="001D1A22">
        <w:rPr>
          <w:rFonts w:cs="Tahoma"/>
          <w:color w:val="auto"/>
          <w:lang w:val="es-ES_tradnl"/>
        </w:rPr>
        <w:t>,</w:t>
      </w:r>
      <w:r w:rsidR="00135D51" w:rsidRPr="001D1A22">
        <w:rPr>
          <w:rFonts w:cs="Tahoma"/>
          <w:color w:val="auto"/>
          <w:lang w:val="es-ES_tradnl"/>
        </w:rPr>
        <w:t xml:space="preserve"> suscrito por </w:t>
      </w:r>
      <w:r>
        <w:rPr>
          <w:rFonts w:cs="Tahoma"/>
          <w:color w:val="auto"/>
          <w:lang w:val="es-ES_tradnl"/>
        </w:rPr>
        <w:t xml:space="preserve">la </w:t>
      </w:r>
      <w:r w:rsidR="00135D51" w:rsidRPr="001D1A22">
        <w:rPr>
          <w:rFonts w:cs="Tahoma"/>
          <w:color w:val="auto"/>
          <w:lang w:val="es-ES_tradnl"/>
        </w:rPr>
        <w:t>Titular de la</w:t>
      </w:r>
      <w:r w:rsidR="00A42D93" w:rsidRPr="001D1A22">
        <w:rPr>
          <w:rFonts w:cs="Tahoma"/>
          <w:color w:val="auto"/>
          <w:lang w:val="es-ES_tradnl"/>
        </w:rPr>
        <w:t xml:space="preserve"> Unidad de Transparencia </w:t>
      </w:r>
      <w:r>
        <w:rPr>
          <w:rFonts w:cs="Tahoma"/>
          <w:color w:val="auto"/>
          <w:lang w:val="es-ES_tradnl"/>
        </w:rPr>
        <w:t xml:space="preserve">y dirigido al solicitante, por medio del cual precisó remitir la información proporcionada por el área de Tesorería. </w:t>
      </w:r>
    </w:p>
    <w:p w14:paraId="0869E31E" w14:textId="3B3BDD35" w:rsidR="00C372C8" w:rsidRDefault="00C372C8" w:rsidP="004B7B1F">
      <w:pPr>
        <w:autoSpaceDE w:val="0"/>
        <w:autoSpaceDN w:val="0"/>
        <w:adjustRightInd w:val="0"/>
        <w:spacing w:after="0" w:line="360" w:lineRule="auto"/>
        <w:rPr>
          <w:rFonts w:cs="Tahoma"/>
          <w:color w:val="auto"/>
          <w:lang w:val="es-ES_tradnl"/>
        </w:rPr>
      </w:pPr>
    </w:p>
    <w:p w14:paraId="687EF754" w14:textId="3F2547F5" w:rsidR="00DD0E44" w:rsidRPr="001D1A22" w:rsidRDefault="001D1A22" w:rsidP="004B7B1F">
      <w:pPr>
        <w:autoSpaceDE w:val="0"/>
        <w:autoSpaceDN w:val="0"/>
        <w:adjustRightInd w:val="0"/>
        <w:spacing w:after="0" w:line="360" w:lineRule="auto"/>
        <w:rPr>
          <w:rFonts w:cs="Tahoma"/>
          <w:color w:val="auto"/>
          <w:lang w:val="es-ES_tradnl"/>
        </w:rPr>
      </w:pPr>
      <w:proofErr w:type="spellStart"/>
      <w:r>
        <w:rPr>
          <w:rFonts w:cs="Tahoma"/>
          <w:color w:val="auto"/>
          <w:lang w:val="es-ES_tradnl"/>
        </w:rPr>
        <w:t>ii</w:t>
      </w:r>
      <w:proofErr w:type="spellEnd"/>
      <w:r>
        <w:rPr>
          <w:rFonts w:cs="Tahoma"/>
          <w:color w:val="auto"/>
          <w:lang w:val="es-ES_tradnl"/>
        </w:rPr>
        <w:t xml:space="preserve">) PbRM-05 </w:t>
      </w:r>
      <w:r w:rsidR="00550DBB" w:rsidRPr="001D1A22">
        <w:rPr>
          <w:rFonts w:cs="Tahoma"/>
          <w:color w:val="auto"/>
          <w:lang w:val="es-ES_tradnl"/>
        </w:rPr>
        <w:t xml:space="preserve">Tabulador de Sueldos del </w:t>
      </w:r>
      <w:r>
        <w:rPr>
          <w:rFonts w:cs="Tahoma"/>
          <w:color w:val="auto"/>
          <w:lang w:val="es-ES_tradnl"/>
        </w:rPr>
        <w:t xml:space="preserve">primero de enero al treinta y uno de diciembre de dos mil veinticinco, elaborado el veinticinco de febrero de dos mil veinticinco. </w:t>
      </w:r>
    </w:p>
    <w:p w14:paraId="45376E65" w14:textId="77777777" w:rsidR="00DD0E44" w:rsidRPr="00CA0F13" w:rsidRDefault="00DD0E44" w:rsidP="004B7B1F">
      <w:pPr>
        <w:autoSpaceDE w:val="0"/>
        <w:autoSpaceDN w:val="0"/>
        <w:adjustRightInd w:val="0"/>
        <w:spacing w:after="0" w:line="360" w:lineRule="auto"/>
        <w:ind w:right="567"/>
        <w:rPr>
          <w:rFonts w:cs="Tahoma"/>
          <w:color w:val="FF0000"/>
          <w:lang w:val="es-ES_tradnl"/>
        </w:rPr>
      </w:pPr>
    </w:p>
    <w:p w14:paraId="6867D521" w14:textId="67290D74" w:rsidR="00DB3DC5" w:rsidRPr="00076681" w:rsidRDefault="00DB3DC5" w:rsidP="004B7B1F">
      <w:pPr>
        <w:pStyle w:val="Ttulo2"/>
        <w:spacing w:before="0" w:line="360" w:lineRule="auto"/>
        <w:rPr>
          <w:rFonts w:ascii="Palatino Linotype" w:eastAsia="Calibri" w:hAnsi="Palatino Linotype"/>
          <w:b/>
          <w:color w:val="000000" w:themeColor="text1"/>
          <w:sz w:val="22"/>
          <w:szCs w:val="22"/>
        </w:rPr>
      </w:pPr>
      <w:bookmarkStart w:id="4" w:name="_Toc205478494"/>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4"/>
    </w:p>
    <w:p w14:paraId="462885A3" w14:textId="77777777" w:rsidR="009A627C" w:rsidRPr="00C821DD" w:rsidRDefault="009A627C" w:rsidP="004B7B1F">
      <w:pPr>
        <w:spacing w:after="0" w:line="360" w:lineRule="auto"/>
        <w:contextualSpacing/>
        <w:rPr>
          <w:rFonts w:eastAsia="Times New Roman" w:cs="Tahoma"/>
          <w:bCs/>
          <w:color w:val="FF0000"/>
          <w:lang w:eastAsia="es-ES"/>
        </w:rPr>
      </w:pPr>
    </w:p>
    <w:p w14:paraId="240D95DA" w14:textId="594A4D92" w:rsidR="00DB3DC5" w:rsidRPr="007E364C" w:rsidRDefault="00C93E0C" w:rsidP="004B7B1F">
      <w:pPr>
        <w:widowControl w:val="0"/>
        <w:spacing w:after="0" w:line="360" w:lineRule="auto"/>
        <w:contextualSpacing/>
        <w:rPr>
          <w:rFonts w:eastAsia="Calibri" w:cs="Times New Roman"/>
          <w:bCs/>
          <w:color w:val="auto"/>
        </w:rPr>
      </w:pPr>
      <w:r>
        <w:rPr>
          <w:rFonts w:eastAsia="Calibri" w:cs="Times New Roman"/>
          <w:bCs/>
          <w:color w:val="auto"/>
        </w:rPr>
        <w:t xml:space="preserve">Con veinte de </w:t>
      </w:r>
      <w:r w:rsidR="00550DBB">
        <w:rPr>
          <w:rFonts w:eastAsia="Calibri" w:cs="Times New Roman"/>
          <w:bCs/>
          <w:color w:val="auto"/>
        </w:rPr>
        <w:t>junio</w:t>
      </w:r>
      <w:r w:rsidR="00E40ED9">
        <w:rPr>
          <w:rFonts w:eastAsia="Calibri" w:cs="Times New Roman"/>
          <w:bCs/>
          <w:color w:val="auto"/>
        </w:rPr>
        <w:t xml:space="preserve"> de dos mil veinticinco</w:t>
      </w:r>
      <w:r w:rsidR="00DB3DC5" w:rsidRPr="007E364C">
        <w:rPr>
          <w:rFonts w:eastAsia="Calibri" w:cs="Times New Roman"/>
          <w:bCs/>
          <w:color w:val="auto"/>
        </w:rPr>
        <w:t xml:space="preserve">, </w:t>
      </w:r>
      <w:r w:rsidR="00DB3DC5"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00DB3DC5"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00DB3DC5" w:rsidRPr="007E364C">
        <w:rPr>
          <w:rFonts w:eastAsia="Times New Roman" w:cs="Tahoma"/>
          <w:bCs/>
          <w:color w:val="auto"/>
          <w:lang w:val="es-ES" w:eastAsia="es-ES"/>
        </w:rPr>
        <w:t>en los siguientes términos:</w:t>
      </w:r>
    </w:p>
    <w:p w14:paraId="383A8105" w14:textId="77777777" w:rsidR="00DB3DC5" w:rsidRPr="00C821DD" w:rsidRDefault="00DB3DC5" w:rsidP="004B7B1F">
      <w:pPr>
        <w:tabs>
          <w:tab w:val="left" w:pos="4667"/>
        </w:tabs>
        <w:spacing w:after="0" w:line="360" w:lineRule="auto"/>
        <w:ind w:left="567" w:right="567"/>
        <w:contextualSpacing/>
        <w:rPr>
          <w:rFonts w:cs="Tahoma"/>
          <w:b/>
          <w:bCs/>
          <w:i/>
          <w:color w:val="FF0000"/>
          <w:sz w:val="20"/>
          <w:szCs w:val="20"/>
        </w:rPr>
      </w:pPr>
    </w:p>
    <w:p w14:paraId="0E422949" w14:textId="095DE963" w:rsidR="006A0867" w:rsidRPr="0068386C" w:rsidRDefault="006A0867" w:rsidP="004B7B1F">
      <w:pPr>
        <w:tabs>
          <w:tab w:val="left" w:pos="4667"/>
        </w:tabs>
        <w:spacing w:after="0" w:line="360" w:lineRule="auto"/>
        <w:ind w:left="567" w:right="567"/>
        <w:rPr>
          <w:b/>
          <w:i/>
          <w:iCs/>
          <w:color w:val="auto"/>
          <w:sz w:val="20"/>
          <w:szCs w:val="20"/>
        </w:rPr>
      </w:pPr>
      <w:r w:rsidRPr="0068386C">
        <w:rPr>
          <w:b/>
          <w:i/>
          <w:iCs/>
          <w:color w:val="auto"/>
          <w:sz w:val="20"/>
          <w:szCs w:val="20"/>
        </w:rPr>
        <w:t>“ACTO IMPUGNADO</w:t>
      </w:r>
    </w:p>
    <w:p w14:paraId="199F28DE" w14:textId="0C9BD045" w:rsidR="006A0867" w:rsidRPr="0068386C" w:rsidRDefault="000A0959" w:rsidP="004B7B1F">
      <w:pPr>
        <w:tabs>
          <w:tab w:val="left" w:pos="4667"/>
        </w:tabs>
        <w:spacing w:after="0" w:line="360" w:lineRule="auto"/>
        <w:ind w:left="567" w:right="567"/>
        <w:rPr>
          <w:i/>
          <w:iCs/>
          <w:color w:val="auto"/>
          <w:sz w:val="20"/>
          <w:szCs w:val="20"/>
        </w:rPr>
      </w:pPr>
      <w:r>
        <w:rPr>
          <w:i/>
          <w:color w:val="000000"/>
          <w:sz w:val="20"/>
          <w:szCs w:val="20"/>
        </w:rPr>
        <w:t>falta información</w:t>
      </w:r>
      <w:r w:rsidR="00C93E0C" w:rsidRPr="00C93E0C">
        <w:rPr>
          <w:i/>
          <w:color w:val="000000"/>
          <w:sz w:val="20"/>
          <w:szCs w:val="20"/>
        </w:rPr>
        <w:t>.</w:t>
      </w:r>
      <w:r w:rsidR="006A0867" w:rsidRPr="0068386C">
        <w:rPr>
          <w:i/>
          <w:iCs/>
          <w:color w:val="auto"/>
          <w:sz w:val="20"/>
          <w:szCs w:val="20"/>
        </w:rPr>
        <w:t>” (Sic.)</w:t>
      </w:r>
    </w:p>
    <w:p w14:paraId="349885DE" w14:textId="77777777" w:rsidR="006A0867" w:rsidRPr="00C821DD" w:rsidRDefault="006A0867" w:rsidP="004B7B1F">
      <w:pPr>
        <w:tabs>
          <w:tab w:val="left" w:pos="4667"/>
        </w:tabs>
        <w:spacing w:after="0" w:line="360" w:lineRule="auto"/>
        <w:ind w:left="567" w:right="567"/>
        <w:rPr>
          <w:rFonts w:cs="Tahoma"/>
          <w:bCs/>
          <w:i/>
          <w:color w:val="FF0000"/>
          <w:sz w:val="20"/>
          <w:szCs w:val="20"/>
        </w:rPr>
      </w:pPr>
    </w:p>
    <w:p w14:paraId="09EF88BF" w14:textId="5C3B596C" w:rsidR="006A0867" w:rsidRDefault="006A0867" w:rsidP="004B7B1F">
      <w:pPr>
        <w:tabs>
          <w:tab w:val="left" w:pos="4667"/>
        </w:tabs>
        <w:spacing w:after="0" w:line="360" w:lineRule="auto"/>
        <w:ind w:left="567" w:right="567"/>
        <w:rPr>
          <w:rFonts w:cs="Tahoma"/>
          <w:b/>
          <w:bCs/>
          <w:i/>
          <w:color w:val="auto"/>
          <w:sz w:val="20"/>
          <w:szCs w:val="20"/>
        </w:rPr>
      </w:pPr>
      <w:r w:rsidRPr="0064639F">
        <w:rPr>
          <w:rFonts w:cs="Tahoma"/>
          <w:b/>
          <w:bCs/>
          <w:i/>
          <w:color w:val="auto"/>
          <w:sz w:val="20"/>
          <w:szCs w:val="20"/>
        </w:rPr>
        <w:t>“RAZONES O MOTIVOS DE LA INCONFORMIDAD</w:t>
      </w:r>
    </w:p>
    <w:p w14:paraId="702646C1" w14:textId="4DBF46C5" w:rsidR="00667107" w:rsidRDefault="000A0959" w:rsidP="004B7B1F">
      <w:pPr>
        <w:tabs>
          <w:tab w:val="left" w:pos="4667"/>
        </w:tabs>
        <w:spacing w:after="0" w:line="360" w:lineRule="auto"/>
        <w:ind w:left="567" w:right="567"/>
        <w:rPr>
          <w:i/>
          <w:iCs/>
          <w:color w:val="auto"/>
          <w:sz w:val="20"/>
          <w:szCs w:val="20"/>
        </w:rPr>
      </w:pPr>
      <w:r w:rsidRPr="000A0959">
        <w:rPr>
          <w:i/>
          <w:iCs/>
          <w:color w:val="000000"/>
          <w:sz w:val="20"/>
          <w:szCs w:val="20"/>
        </w:rPr>
        <w:t>falto el acta que se solicitó, para poder cotejar la Información</w:t>
      </w:r>
      <w:r w:rsidR="00C93E0C" w:rsidRPr="000A0959">
        <w:rPr>
          <w:i/>
          <w:iCs/>
          <w:color w:val="000000"/>
          <w:sz w:val="20"/>
          <w:szCs w:val="20"/>
        </w:rPr>
        <w:t>.</w:t>
      </w:r>
      <w:r w:rsidR="0064639F" w:rsidRPr="000A0959">
        <w:rPr>
          <w:i/>
          <w:iCs/>
          <w:color w:val="auto"/>
          <w:sz w:val="20"/>
          <w:szCs w:val="20"/>
        </w:rPr>
        <w:t>”</w:t>
      </w:r>
      <w:r w:rsidR="0064639F" w:rsidRPr="0068386C">
        <w:rPr>
          <w:i/>
          <w:iCs/>
          <w:color w:val="auto"/>
          <w:sz w:val="20"/>
          <w:szCs w:val="20"/>
        </w:rPr>
        <w:t xml:space="preserve"> (Sic.)</w:t>
      </w:r>
    </w:p>
    <w:p w14:paraId="5EF80AD3" w14:textId="77777777" w:rsidR="00667107" w:rsidRPr="00667107" w:rsidRDefault="00667107" w:rsidP="004B7B1F">
      <w:pPr>
        <w:tabs>
          <w:tab w:val="left" w:pos="4667"/>
        </w:tabs>
        <w:spacing w:after="0" w:line="360" w:lineRule="auto"/>
        <w:ind w:right="567"/>
        <w:rPr>
          <w:i/>
          <w:iCs/>
          <w:color w:val="auto"/>
          <w:sz w:val="20"/>
          <w:szCs w:val="20"/>
        </w:rPr>
      </w:pPr>
    </w:p>
    <w:p w14:paraId="2D3CE335" w14:textId="2BF858B6" w:rsidR="00DB3DC5" w:rsidRPr="00076681" w:rsidRDefault="00DB3DC5" w:rsidP="004B7B1F">
      <w:pPr>
        <w:pStyle w:val="Ttulo2"/>
        <w:spacing w:before="0" w:line="360" w:lineRule="auto"/>
        <w:rPr>
          <w:rFonts w:ascii="Palatino Linotype" w:eastAsia="Batang" w:hAnsi="Palatino Linotype"/>
          <w:b/>
          <w:color w:val="000000" w:themeColor="text1"/>
          <w:sz w:val="22"/>
          <w:szCs w:val="22"/>
        </w:rPr>
      </w:pPr>
      <w:bookmarkStart w:id="5" w:name="_Toc205478495"/>
      <w:r w:rsidRPr="00076681">
        <w:rPr>
          <w:rFonts w:ascii="Palatino Linotype" w:eastAsia="Calibri" w:hAnsi="Palatino Linotype"/>
          <w:b/>
          <w:color w:val="000000" w:themeColor="text1"/>
          <w:sz w:val="22"/>
          <w:szCs w:val="22"/>
        </w:rPr>
        <w:lastRenderedPageBreak/>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5"/>
    </w:p>
    <w:p w14:paraId="13E537D5" w14:textId="77777777" w:rsidR="00DB3DC5" w:rsidRPr="00C821DD" w:rsidRDefault="00DB3DC5" w:rsidP="004B7B1F">
      <w:pPr>
        <w:spacing w:after="0" w:line="360" w:lineRule="auto"/>
        <w:contextualSpacing/>
        <w:rPr>
          <w:rFonts w:eastAsia="Batang" w:cs="Tahoma"/>
          <w:b/>
          <w:bCs/>
          <w:color w:val="FF0000"/>
        </w:rPr>
      </w:pPr>
    </w:p>
    <w:p w14:paraId="5B9B961B" w14:textId="4405A251" w:rsidR="00DB3DC5" w:rsidRPr="00060723" w:rsidRDefault="00DB3DC5" w:rsidP="004B7B1F">
      <w:pPr>
        <w:spacing w:after="0" w:line="360" w:lineRule="auto"/>
        <w:contextualSpacing/>
        <w:rPr>
          <w:rFonts w:eastAsia="Batang" w:cs="Tahoma"/>
          <w:b/>
          <w:bCs/>
          <w:color w:val="auto"/>
        </w:rPr>
      </w:pPr>
      <w:bookmarkStart w:id="6" w:name="_Toc205478496"/>
      <w:r w:rsidRPr="00A94CDA">
        <w:rPr>
          <w:rStyle w:val="Ttulo2Car"/>
          <w:rFonts w:ascii="Palatino Linotype" w:hAnsi="Palatino Linotype"/>
          <w:b/>
          <w:color w:val="000000" w:themeColor="text1"/>
          <w:sz w:val="22"/>
          <w:szCs w:val="22"/>
        </w:rPr>
        <w:t>a) Turno del Medio de Impugnación.</w:t>
      </w:r>
      <w:bookmarkEnd w:id="6"/>
      <w:r w:rsidRPr="00A94CDA">
        <w:rPr>
          <w:rFonts w:eastAsia="Batang" w:cs="Tahoma"/>
          <w:b/>
          <w:bCs/>
        </w:rPr>
        <w:t xml:space="preserve"> </w:t>
      </w:r>
      <w:r w:rsidRPr="00060723">
        <w:rPr>
          <w:rFonts w:eastAsia="Batang" w:cs="Tahoma"/>
          <w:bCs/>
          <w:color w:val="auto"/>
        </w:rPr>
        <w:t xml:space="preserve">El </w:t>
      </w:r>
      <w:r w:rsidR="00916D97">
        <w:rPr>
          <w:rFonts w:eastAsia="Batang" w:cs="Tahoma"/>
          <w:bCs/>
          <w:color w:val="auto"/>
        </w:rPr>
        <w:t>veinte de</w:t>
      </w:r>
      <w:r w:rsidR="000A0959">
        <w:rPr>
          <w:rFonts w:eastAsia="Batang" w:cs="Tahoma"/>
          <w:bCs/>
          <w:color w:val="auto"/>
        </w:rPr>
        <w:t xml:space="preserve"> junio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916D97">
        <w:rPr>
          <w:rFonts w:eastAsia="Calibri" w:cs="Tahoma"/>
          <w:b/>
          <w:color w:val="auto"/>
        </w:rPr>
        <w:t>0</w:t>
      </w:r>
      <w:r w:rsidR="000A0959">
        <w:rPr>
          <w:rFonts w:eastAsia="Calibri" w:cs="Tahoma"/>
          <w:b/>
          <w:color w:val="auto"/>
        </w:rPr>
        <w:t>7561</w:t>
      </w:r>
      <w:r w:rsidR="00B72749" w:rsidRPr="00031961">
        <w:rPr>
          <w:rFonts w:eastAsia="Calibri" w:cs="Tahoma"/>
          <w:b/>
          <w:color w:val="auto"/>
        </w:rPr>
        <w:t>/INFOEM/IP/RR/2025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4B7B1F">
      <w:pPr>
        <w:spacing w:after="0" w:line="360" w:lineRule="auto"/>
        <w:contextualSpacing/>
        <w:rPr>
          <w:rFonts w:eastAsia="Batang" w:cs="Tahoma"/>
          <w:bCs/>
          <w:color w:val="FF0000"/>
        </w:rPr>
      </w:pPr>
    </w:p>
    <w:p w14:paraId="2B3B5A4B" w14:textId="42FFA74A" w:rsidR="00DB3DC5" w:rsidRDefault="00DB3DC5" w:rsidP="004B7B1F">
      <w:pPr>
        <w:spacing w:after="0" w:line="360" w:lineRule="auto"/>
        <w:contextualSpacing/>
        <w:rPr>
          <w:rFonts w:eastAsia="Times New Roman" w:cs="Tahoma"/>
          <w:bCs/>
          <w:color w:val="auto"/>
          <w:lang w:val="es-ES_tradnl" w:eastAsia="es-ES"/>
        </w:rPr>
      </w:pPr>
      <w:bookmarkStart w:id="7" w:name="_Toc205478497"/>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7"/>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916D97">
        <w:rPr>
          <w:rFonts w:eastAsia="Times New Roman" w:cs="Tahoma"/>
          <w:bCs/>
          <w:color w:val="auto"/>
          <w:lang w:val="es-ES_tradnl" w:eastAsia="es-ES"/>
        </w:rPr>
        <w:t>veinti</w:t>
      </w:r>
      <w:r w:rsidR="000A0959">
        <w:rPr>
          <w:rFonts w:eastAsia="Times New Roman" w:cs="Tahoma"/>
          <w:bCs/>
          <w:color w:val="auto"/>
          <w:lang w:val="es-ES_tradnl" w:eastAsia="es-ES"/>
        </w:rPr>
        <w:t>cinco</w:t>
      </w:r>
      <w:r w:rsidR="00916D97">
        <w:rPr>
          <w:rFonts w:eastAsia="Times New Roman" w:cs="Tahoma"/>
          <w:bCs/>
          <w:color w:val="auto"/>
          <w:lang w:val="es-ES_tradnl" w:eastAsia="es-ES"/>
        </w:rPr>
        <w:t xml:space="preserve"> de </w:t>
      </w:r>
      <w:r w:rsidR="000A0959">
        <w:rPr>
          <w:rFonts w:eastAsia="Times New Roman" w:cs="Tahoma"/>
          <w:bCs/>
          <w:color w:val="auto"/>
          <w:lang w:val="es-ES_tradnl" w:eastAsia="es-ES"/>
        </w:rPr>
        <w:t>junio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parte</w:t>
      </w:r>
      <w:r w:rsidR="00A322C2">
        <w:rPr>
          <w:rFonts w:eastAsia="Times New Roman" w:cs="Tahoma"/>
          <w:bCs/>
          <w:color w:val="auto"/>
          <w:lang w:val="es-ES_tradnl" w:eastAsia="es-ES"/>
        </w:rPr>
        <w:t xml:space="preserve">s, el </w:t>
      </w:r>
      <w:r w:rsidR="00B732D1">
        <w:rPr>
          <w:rFonts w:eastAsia="Times New Roman" w:cs="Tahoma"/>
          <w:bCs/>
          <w:color w:val="auto"/>
          <w:lang w:val="es-ES_tradnl" w:eastAsia="es-ES"/>
        </w:rPr>
        <w:t>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4B7B1F">
      <w:pPr>
        <w:spacing w:after="0" w:line="360" w:lineRule="auto"/>
        <w:contextualSpacing/>
        <w:rPr>
          <w:rFonts w:eastAsia="Times New Roman" w:cs="Tahoma"/>
          <w:b/>
          <w:bCs/>
          <w:color w:val="auto"/>
          <w:lang w:eastAsia="es-ES"/>
        </w:rPr>
      </w:pPr>
    </w:p>
    <w:p w14:paraId="2950AAC1" w14:textId="1297EEA9" w:rsidR="00B456E9" w:rsidRDefault="00767EFB" w:rsidP="004B7B1F">
      <w:pPr>
        <w:tabs>
          <w:tab w:val="left" w:pos="3261"/>
        </w:tabs>
        <w:spacing w:after="0" w:line="360" w:lineRule="auto"/>
        <w:rPr>
          <w:rFonts w:cs="Tahoma"/>
          <w:bCs/>
          <w:iCs/>
          <w:lang w:val="es-ES"/>
        </w:rPr>
      </w:pPr>
      <w:bookmarkStart w:id="8" w:name="_Toc205478498"/>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A322C2" w:rsidRPr="008B2C31">
        <w:rPr>
          <w:rStyle w:val="Ttulo2Car"/>
          <w:rFonts w:ascii="Palatino Linotype" w:hAnsi="Palatino Linotype"/>
          <w:b/>
          <w:color w:val="000000" w:themeColor="text1"/>
          <w:sz w:val="22"/>
          <w:szCs w:val="22"/>
        </w:rPr>
        <w:t>.</w:t>
      </w:r>
      <w:bookmarkEnd w:id="8"/>
      <w:r w:rsidR="00CF76E0">
        <w:rPr>
          <w:rFonts w:cs="Tahoma"/>
          <w:bCs/>
          <w:iCs/>
          <w:lang w:val="es-ES"/>
        </w:rPr>
        <w:t xml:space="preserve"> </w:t>
      </w:r>
      <w:r w:rsidR="00916D97">
        <w:rPr>
          <w:rFonts w:cs="Tahoma"/>
          <w:bCs/>
          <w:iCs/>
          <w:lang w:val="es-ES"/>
        </w:rPr>
        <w:t xml:space="preserve">Las partes fueron omisas en realizar manifestaciones o alegatos </w:t>
      </w:r>
    </w:p>
    <w:p w14:paraId="69AB821D" w14:textId="77777777" w:rsidR="000A0959" w:rsidRPr="000A0959" w:rsidRDefault="000A0959" w:rsidP="004B7B1F">
      <w:pPr>
        <w:tabs>
          <w:tab w:val="left" w:pos="3261"/>
        </w:tabs>
        <w:spacing w:after="0" w:line="360" w:lineRule="auto"/>
        <w:rPr>
          <w:rFonts w:cs="Tahoma"/>
          <w:bCs/>
          <w:iCs/>
          <w:lang w:val="es-ES"/>
        </w:rPr>
      </w:pPr>
    </w:p>
    <w:p w14:paraId="403F7296" w14:textId="1DAC45A0" w:rsidR="00DB3DC5" w:rsidRPr="00DD0E44" w:rsidRDefault="000A0959" w:rsidP="004B7B1F">
      <w:pPr>
        <w:autoSpaceDE w:val="0"/>
        <w:autoSpaceDN w:val="0"/>
        <w:adjustRightInd w:val="0"/>
        <w:spacing w:after="0" w:line="360" w:lineRule="auto"/>
        <w:ind w:right="-28"/>
        <w:contextualSpacing/>
        <w:rPr>
          <w:rFonts w:eastAsia="Calibri" w:cs="Tahoma"/>
          <w:bCs/>
          <w:color w:val="auto"/>
        </w:rPr>
      </w:pPr>
      <w:bookmarkStart w:id="9" w:name="_Toc205478499"/>
      <w:r w:rsidRPr="000A0959">
        <w:rPr>
          <w:rStyle w:val="Ttulo2Car"/>
          <w:rFonts w:ascii="Palatino Linotype" w:hAnsi="Palatino Linotype"/>
          <w:b/>
          <w:bCs/>
          <w:color w:val="auto"/>
          <w:sz w:val="22"/>
          <w:szCs w:val="22"/>
        </w:rPr>
        <w:t>d</w:t>
      </w:r>
      <w:r w:rsidR="0014339D" w:rsidRPr="000A0959">
        <w:rPr>
          <w:rStyle w:val="Ttulo2Car"/>
          <w:rFonts w:ascii="Palatino Linotype" w:hAnsi="Palatino Linotype"/>
          <w:b/>
          <w:bCs/>
          <w:color w:val="auto"/>
          <w:sz w:val="22"/>
          <w:szCs w:val="22"/>
        </w:rPr>
        <w:t xml:space="preserve">) </w:t>
      </w:r>
      <w:r w:rsidR="00DB3DC5" w:rsidRPr="000A0959">
        <w:rPr>
          <w:rStyle w:val="Ttulo2Car"/>
          <w:rFonts w:ascii="Palatino Linotype" w:hAnsi="Palatino Linotype"/>
          <w:b/>
          <w:bCs/>
          <w:color w:val="auto"/>
          <w:sz w:val="22"/>
          <w:szCs w:val="22"/>
        </w:rPr>
        <w:t>Cierre de instrucción</w:t>
      </w:r>
      <w:r w:rsidR="00DB3DC5" w:rsidRPr="00DD0E44">
        <w:rPr>
          <w:rStyle w:val="Ttulo2Car"/>
          <w:rFonts w:ascii="Palatino Linotype" w:hAnsi="Palatino Linotype"/>
          <w:b/>
          <w:bCs/>
          <w:color w:val="auto"/>
          <w:sz w:val="22"/>
          <w:szCs w:val="22"/>
        </w:rPr>
        <w:t>.</w:t>
      </w:r>
      <w:bookmarkEnd w:id="9"/>
      <w:r w:rsidR="00DB3DC5" w:rsidRPr="00DD0E44">
        <w:rPr>
          <w:rFonts w:eastAsia="Times New Roman" w:cs="Tahoma"/>
          <w:color w:val="auto"/>
          <w:szCs w:val="24"/>
          <w:lang w:eastAsia="es-ES"/>
        </w:rPr>
        <w:t xml:space="preserve"> El </w:t>
      </w:r>
      <w:r>
        <w:rPr>
          <w:rFonts w:eastAsia="Times New Roman" w:cs="Tahoma"/>
          <w:color w:val="auto"/>
          <w:szCs w:val="24"/>
          <w:lang w:eastAsia="es-ES"/>
        </w:rPr>
        <w:t>quince de julio</w:t>
      </w:r>
      <w:r w:rsidR="00DD0E44">
        <w:rPr>
          <w:rFonts w:eastAsia="Times New Roman" w:cs="Tahoma"/>
          <w:color w:val="auto"/>
          <w:szCs w:val="24"/>
          <w:lang w:eastAsia="es-ES"/>
        </w:rPr>
        <w:t xml:space="preserve"> </w:t>
      </w:r>
      <w:r w:rsidR="00B732D1" w:rsidRPr="00DD0E44">
        <w:rPr>
          <w:rFonts w:eastAsia="Times New Roman" w:cs="Tahoma"/>
          <w:color w:val="auto"/>
          <w:szCs w:val="24"/>
          <w:lang w:eastAsia="es-ES"/>
        </w:rPr>
        <w:t>de dos mil veinticinco</w:t>
      </w:r>
      <w:r w:rsidR="00DB3DC5" w:rsidRPr="00DD0E4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44D053F7" w14:textId="77777777" w:rsidR="0014339D" w:rsidRPr="00CF76E0" w:rsidRDefault="0014339D" w:rsidP="004B7B1F">
      <w:pPr>
        <w:autoSpaceDE w:val="0"/>
        <w:autoSpaceDN w:val="0"/>
        <w:adjustRightInd w:val="0"/>
        <w:spacing w:after="0" w:line="360" w:lineRule="auto"/>
        <w:ind w:right="-28"/>
        <w:contextualSpacing/>
        <w:rPr>
          <w:rFonts w:eastAsia="Calibri" w:cs="Tahoma"/>
          <w:bCs/>
          <w:color w:val="auto"/>
          <w:highlight w:val="red"/>
        </w:rPr>
      </w:pPr>
    </w:p>
    <w:p w14:paraId="0A452CDE" w14:textId="54B76A07" w:rsidR="00DB3DC5" w:rsidRDefault="00DB3DC5" w:rsidP="004B7B1F">
      <w:pPr>
        <w:spacing w:after="0" w:line="360" w:lineRule="auto"/>
        <w:contextualSpacing/>
        <w:rPr>
          <w:rFonts w:eastAsia="Times New Roman" w:cs="Tahoma"/>
          <w:color w:val="auto"/>
          <w:szCs w:val="24"/>
          <w:lang w:eastAsia="es-ES"/>
        </w:rPr>
      </w:pPr>
      <w:proofErr w:type="gramStart"/>
      <w:r w:rsidRPr="00DD0E44">
        <w:rPr>
          <w:rFonts w:eastAsia="Times New Roman" w:cs="Tahoma"/>
          <w:color w:val="auto"/>
          <w:szCs w:val="24"/>
          <w:lang w:eastAsia="es-ES"/>
        </w:rPr>
        <w:t>En razón de</w:t>
      </w:r>
      <w:proofErr w:type="gramEnd"/>
      <w:r w:rsidRPr="00DD0E44">
        <w:rPr>
          <w:rFonts w:eastAsia="Times New Roman" w:cs="Tahoma"/>
          <w:color w:val="auto"/>
          <w:szCs w:val="24"/>
          <w:lang w:eastAsia="es-ES"/>
        </w:rPr>
        <w:t xml:space="preserve"> que fue debidamente sustanciado e integrado el expediente electrónico y no existe diligencia pendiente de desahogo, se emite la resolución que conforme a Derecho proceda, </w:t>
      </w:r>
      <w:proofErr w:type="gramStart"/>
      <w:r w:rsidRPr="00DD0E44">
        <w:rPr>
          <w:rFonts w:eastAsia="Times New Roman" w:cs="Tahoma"/>
          <w:color w:val="auto"/>
          <w:szCs w:val="24"/>
          <w:lang w:eastAsia="es-ES"/>
        </w:rPr>
        <w:t>de acuerdo a</w:t>
      </w:r>
      <w:proofErr w:type="gramEnd"/>
      <w:r w:rsidRPr="00DD0E44">
        <w:rPr>
          <w:rFonts w:eastAsia="Times New Roman" w:cs="Tahoma"/>
          <w:color w:val="auto"/>
          <w:szCs w:val="24"/>
          <w:lang w:eastAsia="es-ES"/>
        </w:rPr>
        <w:t xml:space="preserve"> los siguientes:</w:t>
      </w:r>
    </w:p>
    <w:p w14:paraId="5543B0AE" w14:textId="77777777" w:rsidR="002411D7" w:rsidRPr="00914A32" w:rsidRDefault="002411D7" w:rsidP="004B7B1F">
      <w:pPr>
        <w:spacing w:after="0" w:line="360" w:lineRule="auto"/>
        <w:contextualSpacing/>
        <w:rPr>
          <w:rFonts w:eastAsia="Times New Roman" w:cs="Tahoma"/>
          <w:color w:val="auto"/>
          <w:szCs w:val="24"/>
          <w:lang w:eastAsia="es-ES"/>
        </w:rPr>
      </w:pPr>
    </w:p>
    <w:p w14:paraId="1AD6FB2C" w14:textId="338C6782" w:rsidR="00DB3DC5" w:rsidRPr="00076681" w:rsidRDefault="00076681" w:rsidP="004B7B1F">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0" w:name="_Toc205478500"/>
      <w:r>
        <w:rPr>
          <w:rFonts w:ascii="Palatino Linotype" w:eastAsia="Times New Roman" w:hAnsi="Palatino Linotype"/>
          <w:b/>
          <w:color w:val="000000" w:themeColor="text1"/>
          <w:sz w:val="22"/>
          <w:szCs w:val="22"/>
          <w:lang w:val="es-ES" w:eastAsia="es-ES"/>
        </w:rPr>
        <w:t>C O N S I D E R A N D O S</w:t>
      </w:r>
      <w:bookmarkEnd w:id="10"/>
    </w:p>
    <w:p w14:paraId="446E7524" w14:textId="77777777" w:rsidR="00DB3DC5" w:rsidRPr="00767EFB" w:rsidRDefault="00DB3DC5" w:rsidP="004B7B1F">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4B7B1F">
      <w:pPr>
        <w:pStyle w:val="Ttulo2"/>
        <w:spacing w:before="0" w:line="360" w:lineRule="auto"/>
        <w:rPr>
          <w:rFonts w:ascii="Palatino Linotype" w:eastAsia="Times New Roman" w:hAnsi="Palatino Linotype"/>
          <w:b/>
          <w:color w:val="000000" w:themeColor="text1"/>
          <w:sz w:val="22"/>
          <w:szCs w:val="22"/>
          <w:lang w:val="es-ES" w:eastAsia="es-ES"/>
        </w:rPr>
      </w:pPr>
      <w:bookmarkStart w:id="11" w:name="_Toc205478501"/>
      <w:r w:rsidRPr="00076681">
        <w:rPr>
          <w:rFonts w:ascii="Palatino Linotype" w:eastAsia="Calibri" w:hAnsi="Palatino Linotype"/>
          <w:b/>
          <w:color w:val="000000" w:themeColor="text1"/>
          <w:sz w:val="22"/>
          <w:szCs w:val="22"/>
          <w:lang w:val="es-ES" w:eastAsia="es-MX"/>
        </w:rPr>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1"/>
    </w:p>
    <w:p w14:paraId="377E7349" w14:textId="77777777" w:rsidR="00DB3DC5" w:rsidRPr="00C821DD" w:rsidRDefault="00DB3DC5" w:rsidP="004B7B1F">
      <w:pPr>
        <w:autoSpaceDE w:val="0"/>
        <w:autoSpaceDN w:val="0"/>
        <w:adjustRightInd w:val="0"/>
        <w:spacing w:after="0" w:line="360" w:lineRule="auto"/>
        <w:contextualSpacing/>
        <w:rPr>
          <w:rFonts w:eastAsia="Times New Roman" w:cs="Tahoma"/>
          <w:b/>
          <w:color w:val="FF0000"/>
          <w:szCs w:val="24"/>
          <w:lang w:val="es-ES" w:eastAsia="es-ES"/>
        </w:rPr>
      </w:pPr>
    </w:p>
    <w:p w14:paraId="09199183" w14:textId="7F40C875" w:rsidR="00DB3DC5" w:rsidRPr="004F74F5" w:rsidRDefault="00732339" w:rsidP="004B7B1F">
      <w:pPr>
        <w:spacing w:after="0" w:line="360" w:lineRule="auto"/>
        <w:rPr>
          <w:rFonts w:eastAsia="Times New Roman" w:cs="Tahoma"/>
          <w:bCs/>
          <w:color w:val="auto"/>
          <w:lang w:eastAsia="es-ES"/>
        </w:rPr>
      </w:pPr>
      <w:r w:rsidRPr="0073233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4F007D6" w14:textId="77777777" w:rsidR="00DB3DC5" w:rsidRPr="004F74F5" w:rsidRDefault="00DB3DC5" w:rsidP="004B7B1F">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4B7B1F">
      <w:pPr>
        <w:pStyle w:val="Ttulo2"/>
        <w:spacing w:before="0" w:line="360" w:lineRule="auto"/>
        <w:rPr>
          <w:rFonts w:ascii="Palatino Linotype" w:eastAsia="Times New Roman" w:hAnsi="Palatino Linotype"/>
          <w:b/>
          <w:color w:val="000000" w:themeColor="text1"/>
          <w:sz w:val="22"/>
          <w:szCs w:val="22"/>
          <w:lang w:val="es-ES" w:eastAsia="es-ES"/>
        </w:rPr>
      </w:pPr>
      <w:bookmarkStart w:id="12" w:name="_Toc205478502"/>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2"/>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4B7B1F">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4B7B1F">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r w:rsidRPr="004F74F5">
        <w:rPr>
          <w:rFonts w:eastAsia="Times New Roman" w:cs="Tahoma"/>
          <w:i/>
          <w:color w:val="auto"/>
          <w:szCs w:val="24"/>
          <w:lang w:val="es-ES" w:eastAsia="es-ES"/>
        </w:rPr>
        <w:t>litis</w:t>
      </w:r>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4B7B1F">
      <w:pPr>
        <w:spacing w:after="0" w:line="360" w:lineRule="auto"/>
        <w:contextualSpacing/>
        <w:rPr>
          <w:b/>
          <w:color w:val="auto"/>
          <w:lang w:val="es-ES"/>
        </w:rPr>
      </w:pPr>
    </w:p>
    <w:p w14:paraId="7CEF4E51" w14:textId="77777777" w:rsidR="00DB3DC5" w:rsidRPr="004F74F5" w:rsidRDefault="00DB3DC5" w:rsidP="004B7B1F">
      <w:pPr>
        <w:spacing w:after="0" w:line="360" w:lineRule="auto"/>
        <w:contextualSpacing/>
        <w:rPr>
          <w:b/>
          <w:color w:val="auto"/>
          <w:lang w:val="es-ES"/>
        </w:rPr>
      </w:pPr>
      <w:r w:rsidRPr="004F74F5">
        <w:rPr>
          <w:b/>
          <w:color w:val="auto"/>
          <w:lang w:val="es-ES"/>
        </w:rPr>
        <w:t>Causales de improcedencia</w:t>
      </w:r>
    </w:p>
    <w:p w14:paraId="039C7835" w14:textId="77777777" w:rsidR="00DB3DC5" w:rsidRPr="004F74F5" w:rsidRDefault="00DB3DC5" w:rsidP="004B7B1F">
      <w:pPr>
        <w:spacing w:after="0" w:line="360" w:lineRule="auto"/>
        <w:contextualSpacing/>
        <w:rPr>
          <w:color w:val="auto"/>
        </w:rPr>
      </w:pPr>
    </w:p>
    <w:p w14:paraId="24BC499F" w14:textId="77777777" w:rsidR="00DB3DC5" w:rsidRPr="004F74F5" w:rsidRDefault="00DB3DC5" w:rsidP="004B7B1F">
      <w:pPr>
        <w:spacing w:after="0" w:line="360" w:lineRule="auto"/>
        <w:contextualSpacing/>
        <w:rPr>
          <w:rFonts w:eastAsia="Times New Roman" w:cs="Tahoma"/>
          <w:color w:val="auto"/>
          <w:lang w:eastAsia="es-ES"/>
        </w:rPr>
      </w:pPr>
      <w:r w:rsidRPr="004F74F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4B7B1F">
      <w:pPr>
        <w:spacing w:after="0" w:line="360" w:lineRule="auto"/>
        <w:contextualSpacing/>
        <w:rPr>
          <w:rFonts w:eastAsia="Times New Roman" w:cs="Tahoma"/>
          <w:color w:val="auto"/>
          <w:lang w:eastAsia="es-ES"/>
        </w:rPr>
      </w:pPr>
    </w:p>
    <w:p w14:paraId="344A6FE5" w14:textId="77777777" w:rsidR="00DB3DC5" w:rsidRPr="004F74F5" w:rsidRDefault="00DB3DC5" w:rsidP="004B7B1F">
      <w:pPr>
        <w:spacing w:after="0" w:line="360" w:lineRule="auto"/>
        <w:contextualSpacing/>
        <w:rPr>
          <w:rFonts w:eastAsia="Times New Roman" w:cs="Tahoma"/>
          <w:color w:val="auto"/>
          <w:lang w:eastAsia="es-ES"/>
        </w:rPr>
      </w:pPr>
      <w:r w:rsidRPr="004F74F5">
        <w:rPr>
          <w:rFonts w:eastAsia="Times New Roman" w:cs="Tahoma"/>
          <w:color w:val="auto"/>
          <w:lang w:eastAsia="es-ES"/>
        </w:rPr>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308760A" w14:textId="77777777" w:rsidR="00DB3DC5" w:rsidRPr="004F74F5" w:rsidRDefault="00DB3DC5" w:rsidP="004B7B1F">
      <w:pPr>
        <w:spacing w:after="0" w:line="360" w:lineRule="auto"/>
        <w:contextualSpacing/>
        <w:rPr>
          <w:rFonts w:eastAsia="Times New Roman" w:cs="Tahoma"/>
          <w:color w:val="auto"/>
          <w:lang w:val="es-ES" w:eastAsia="es-ES"/>
        </w:rPr>
      </w:pPr>
    </w:p>
    <w:p w14:paraId="33270C86" w14:textId="1A652C39" w:rsidR="00DB3DC5" w:rsidRDefault="00DB3DC5" w:rsidP="004B7B1F">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ón V</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771B61" w:rsidRPr="004F74F5">
        <w:rPr>
          <w:rFonts w:eastAsia="Times New Roman" w:cs="Tahoma"/>
          <w:bCs/>
          <w:color w:val="auto"/>
          <w:lang w:val="es-ES" w:eastAsia="es-ES"/>
        </w:rPr>
        <w:t xml:space="preserve">entrega de información </w:t>
      </w:r>
      <w:r w:rsidR="00DD0E44">
        <w:rPr>
          <w:rFonts w:eastAsia="Times New Roman" w:cs="Tahoma"/>
          <w:bCs/>
          <w:color w:val="auto"/>
          <w:lang w:val="es-ES" w:eastAsia="es-ES"/>
        </w:rPr>
        <w:t>incompleta</w:t>
      </w:r>
      <w:r w:rsidR="002F1D02">
        <w:rPr>
          <w:rFonts w:eastAsia="Times New Roman" w:cs="Tahoma"/>
          <w:bCs/>
          <w:color w:val="auto"/>
          <w:lang w:val="es-ES" w:eastAsia="es-ES"/>
        </w:rPr>
        <w:t xml:space="preserve">. </w:t>
      </w:r>
    </w:p>
    <w:p w14:paraId="2905A88C" w14:textId="77777777" w:rsidR="004B7B1F" w:rsidRPr="003E4D3B" w:rsidRDefault="004B7B1F" w:rsidP="004B7B1F">
      <w:pPr>
        <w:spacing w:after="0" w:line="360" w:lineRule="auto"/>
        <w:contextualSpacing/>
        <w:rPr>
          <w:rFonts w:eastAsia="Times New Roman" w:cs="Tahoma"/>
          <w:bCs/>
          <w:color w:val="auto"/>
          <w:lang w:val="es-ES" w:eastAsia="es-ES"/>
        </w:rPr>
      </w:pPr>
    </w:p>
    <w:p w14:paraId="1F9679C3" w14:textId="77777777" w:rsidR="0096358C" w:rsidRPr="0096358C" w:rsidRDefault="0096358C" w:rsidP="004B7B1F">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4B7B1F">
      <w:pPr>
        <w:spacing w:after="0" w:line="360" w:lineRule="auto"/>
        <w:rPr>
          <w:rFonts w:eastAsia="Palatino Linotype" w:cs="Palatino Linotype"/>
          <w:color w:val="0D0D0D"/>
          <w:lang w:eastAsia="es-MX"/>
        </w:rPr>
      </w:pPr>
    </w:p>
    <w:p w14:paraId="62B819D7" w14:textId="77777777" w:rsidR="0096358C" w:rsidRPr="0096358C" w:rsidRDefault="0096358C" w:rsidP="004B7B1F">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lastRenderedPageBreak/>
        <w:t>Por ser de previo y especial pronunciamiento, este Instituto analiza si se actualiza alguna causal de sobreseimiento.</w:t>
      </w:r>
    </w:p>
    <w:p w14:paraId="4BC430FC" w14:textId="77777777" w:rsidR="0096358C" w:rsidRPr="0096358C" w:rsidRDefault="0096358C" w:rsidP="004B7B1F">
      <w:pPr>
        <w:spacing w:after="0" w:line="360" w:lineRule="auto"/>
        <w:rPr>
          <w:rFonts w:eastAsia="Palatino Linotype" w:cs="Palatino Linotype"/>
          <w:color w:val="0D0D0D"/>
          <w:lang w:eastAsia="es-MX"/>
        </w:rPr>
      </w:pPr>
    </w:p>
    <w:p w14:paraId="40981242" w14:textId="77777777" w:rsidR="0096358C" w:rsidRPr="0096358C" w:rsidRDefault="0096358C" w:rsidP="004B7B1F">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01383C" w14:textId="77777777" w:rsidR="0096358C" w:rsidRPr="0096358C" w:rsidRDefault="0096358C" w:rsidP="004B7B1F">
      <w:pPr>
        <w:spacing w:after="0" w:line="360" w:lineRule="auto"/>
        <w:rPr>
          <w:rFonts w:eastAsia="Palatino Linotype" w:cs="Palatino Linotype"/>
          <w:color w:val="000000"/>
          <w:lang w:eastAsia="es-MX"/>
        </w:rPr>
      </w:pPr>
    </w:p>
    <w:p w14:paraId="3AD7097F" w14:textId="77777777" w:rsidR="0096358C" w:rsidRPr="0096358C" w:rsidRDefault="0096358C" w:rsidP="004B7B1F">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4B7B1F">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4B7B1F">
      <w:pPr>
        <w:pStyle w:val="Ttulo2"/>
        <w:spacing w:before="0" w:line="360" w:lineRule="auto"/>
        <w:rPr>
          <w:rFonts w:ascii="Palatino Linotype" w:eastAsia="Times New Roman" w:hAnsi="Palatino Linotype"/>
          <w:b/>
          <w:color w:val="000000" w:themeColor="text1"/>
          <w:sz w:val="22"/>
          <w:szCs w:val="22"/>
          <w:lang w:val="es-ES" w:eastAsia="es-ES"/>
        </w:rPr>
      </w:pPr>
      <w:bookmarkStart w:id="13" w:name="_Toc205478503"/>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3"/>
    </w:p>
    <w:p w14:paraId="29A4CC8A" w14:textId="77777777" w:rsidR="00DB3DC5" w:rsidRPr="00C821DD" w:rsidRDefault="00DB3DC5" w:rsidP="004B7B1F">
      <w:pPr>
        <w:autoSpaceDE w:val="0"/>
        <w:autoSpaceDN w:val="0"/>
        <w:adjustRightInd w:val="0"/>
        <w:spacing w:after="0" w:line="360" w:lineRule="auto"/>
        <w:contextualSpacing/>
        <w:rPr>
          <w:rFonts w:eastAsia="Calibri" w:cs="Tahoma"/>
          <w:color w:val="FF0000"/>
          <w:lang w:val="es-ES" w:eastAsia="es-MX"/>
        </w:rPr>
      </w:pPr>
    </w:p>
    <w:p w14:paraId="0C864300" w14:textId="5C0A6102" w:rsidR="00FD19DD" w:rsidRDefault="00D0244F" w:rsidP="004B7B1F">
      <w:pPr>
        <w:spacing w:after="0" w:line="360" w:lineRule="auto"/>
        <w:rPr>
          <w:rFonts w:cs="Tahoma"/>
          <w:color w:val="auto"/>
        </w:rPr>
      </w:pPr>
      <w:r w:rsidRPr="009C3492">
        <w:rPr>
          <w:rFonts w:eastAsia="Calibri" w:cs="Tahoma"/>
          <w:iCs/>
          <w:color w:val="auto"/>
          <w:lang w:val="es-ES" w:eastAsia="es-ES_tradnl"/>
        </w:rPr>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 xml:space="preserve">requirió </w:t>
      </w:r>
      <w:r w:rsidR="003E4D3B">
        <w:rPr>
          <w:rFonts w:cs="Tahoma"/>
          <w:color w:val="auto"/>
        </w:rPr>
        <w:t xml:space="preserve">el tabulador de sueldos de la Administración 20225-2027 del </w:t>
      </w:r>
      <w:r w:rsidR="003E4D3B" w:rsidRPr="003E4D3B">
        <w:rPr>
          <w:rFonts w:cs="Tahoma"/>
          <w:color w:val="auto"/>
        </w:rPr>
        <w:t>Sistema Municipal para el Desarrollo Integral de la Familia de Cocotitlán</w:t>
      </w:r>
      <w:r w:rsidR="00117817">
        <w:rPr>
          <w:rFonts w:cs="Tahoma"/>
          <w:color w:val="auto"/>
        </w:rPr>
        <w:t xml:space="preserve"> y el Acta de la Junta de Gobierno en que fue aprobado. </w:t>
      </w:r>
    </w:p>
    <w:p w14:paraId="6ACC4ED2" w14:textId="77777777" w:rsidR="00F87269" w:rsidRPr="00F87269" w:rsidRDefault="00F87269" w:rsidP="004B7B1F">
      <w:pPr>
        <w:spacing w:after="0" w:line="360" w:lineRule="auto"/>
        <w:rPr>
          <w:rFonts w:cs="Tahoma"/>
          <w:color w:val="auto"/>
        </w:rPr>
      </w:pPr>
    </w:p>
    <w:p w14:paraId="71EA3622" w14:textId="1367CA2C" w:rsidR="00B456E9" w:rsidRDefault="00D0244F" w:rsidP="004B7B1F">
      <w:pPr>
        <w:spacing w:after="0" w:line="360" w:lineRule="auto"/>
        <w:ind w:right="-28"/>
        <w:rPr>
          <w:rFonts w:eastAsia="Calibri" w:cs="Tahoma"/>
          <w:color w:val="auto"/>
        </w:rPr>
      </w:pPr>
      <w:r w:rsidRPr="001F22AA">
        <w:rPr>
          <w:rFonts w:cs="Tahoma"/>
          <w:bCs/>
          <w:iCs/>
          <w:color w:val="auto"/>
          <w:lang w:val="es-ES"/>
        </w:rPr>
        <w:t xml:space="preserve">En respuesta, el Sujeto Obligado, por medio de </w:t>
      </w:r>
      <w:r w:rsidR="001E59AF" w:rsidRPr="001F22AA">
        <w:rPr>
          <w:rFonts w:cs="Tahoma"/>
          <w:bCs/>
          <w:iCs/>
          <w:color w:val="auto"/>
          <w:lang w:val="es-ES"/>
        </w:rPr>
        <w:t xml:space="preserve">la </w:t>
      </w:r>
      <w:r w:rsidR="00117817">
        <w:rPr>
          <w:rFonts w:cs="Tahoma"/>
          <w:bCs/>
          <w:iCs/>
          <w:color w:val="auto"/>
          <w:lang w:val="es-ES"/>
        </w:rPr>
        <w:t>Tesorería</w:t>
      </w:r>
      <w:r w:rsidR="00F532E9">
        <w:rPr>
          <w:rFonts w:cs="Tahoma"/>
          <w:bCs/>
          <w:iCs/>
          <w:color w:val="auto"/>
          <w:lang w:val="es-ES"/>
        </w:rPr>
        <w:t xml:space="preserve"> </w:t>
      </w:r>
      <w:r w:rsidR="00117817">
        <w:rPr>
          <w:rFonts w:cs="Tahoma"/>
          <w:bCs/>
          <w:iCs/>
          <w:color w:val="auto"/>
          <w:lang w:val="es-ES"/>
        </w:rPr>
        <w:t>proporcionó el Tabulador de Sueldos del primero de enero al treinta y uno de diciembre de dos mil veinticinco</w:t>
      </w:r>
      <w:r w:rsidR="00914B0A">
        <w:rPr>
          <w:rFonts w:cs="Tahoma"/>
          <w:color w:val="auto"/>
          <w:lang w:val="es-ES"/>
        </w:rPr>
        <w:t xml:space="preserve">; ante dicha circunstancia, </w:t>
      </w:r>
      <w:r w:rsidRPr="003E5ADD">
        <w:rPr>
          <w:rFonts w:cs="Tahoma"/>
          <w:color w:val="auto"/>
          <w:lang w:val="es-ES"/>
        </w:rPr>
        <w:t xml:space="preserve">el Particular se inconformó de </w:t>
      </w:r>
      <w:r w:rsidR="003E5ADD">
        <w:rPr>
          <w:rFonts w:cs="Tahoma"/>
          <w:color w:val="auto"/>
          <w:lang w:val="es-ES"/>
        </w:rPr>
        <w:t>la</w:t>
      </w:r>
      <w:r w:rsidR="00394286">
        <w:rPr>
          <w:rFonts w:cs="Tahoma"/>
          <w:color w:val="auto"/>
          <w:lang w:val="es-ES"/>
        </w:rPr>
        <w:t xml:space="preserve"> </w:t>
      </w:r>
      <w:r w:rsidR="001C4397">
        <w:rPr>
          <w:rFonts w:cs="Tahoma"/>
          <w:color w:val="auto"/>
          <w:lang w:val="es-ES"/>
        </w:rPr>
        <w:t>información incompleta</w:t>
      </w:r>
      <w:r w:rsidR="003E5ADD">
        <w:rPr>
          <w:rFonts w:cs="Tahoma"/>
          <w:color w:val="auto"/>
          <w:lang w:val="es-ES"/>
        </w:rPr>
        <w:t>,</w:t>
      </w:r>
      <w:r w:rsidR="00117817">
        <w:rPr>
          <w:rFonts w:cs="Tahoma"/>
          <w:color w:val="auto"/>
          <w:lang w:val="es-ES"/>
        </w:rPr>
        <w:t xml:space="preserve"> al precisar que faltaba el Acta de la Junta de Gobierno en el que se aprobó el Tabulador,</w:t>
      </w:r>
      <w:r w:rsidR="003E5ADD">
        <w:rPr>
          <w:rFonts w:cs="Tahoma"/>
          <w:color w:val="auto"/>
          <w:lang w:val="es-ES"/>
        </w:rPr>
        <w:t xml:space="preserve"> </w:t>
      </w:r>
      <w:r w:rsidRPr="003E5ADD">
        <w:rPr>
          <w:rFonts w:cs="Tahoma"/>
          <w:color w:val="auto"/>
          <w:lang w:val="es-ES"/>
        </w:rPr>
        <w:t>lo cual</w:t>
      </w:r>
      <w:r w:rsidR="00117817">
        <w:rPr>
          <w:rFonts w:cs="Tahoma"/>
          <w:color w:val="auto"/>
          <w:lang w:val="es-ES"/>
        </w:rPr>
        <w:t xml:space="preserve"> </w:t>
      </w:r>
      <w:r w:rsidRPr="003E5ADD">
        <w:rPr>
          <w:rFonts w:eastAsia="Calibri" w:cs="Tahoma"/>
          <w:color w:val="auto"/>
        </w:rPr>
        <w:t xml:space="preserve"> actualiza la </w:t>
      </w:r>
      <w:r w:rsidRPr="003E5ADD">
        <w:rPr>
          <w:rFonts w:eastAsia="Calibri" w:cs="Tahoma"/>
          <w:color w:val="auto"/>
        </w:rPr>
        <w:lastRenderedPageBreak/>
        <w:t>causal de procedencia previst</w:t>
      </w:r>
      <w:r w:rsidR="001C4397">
        <w:rPr>
          <w:rFonts w:eastAsia="Calibri" w:cs="Tahoma"/>
          <w:color w:val="auto"/>
        </w:rPr>
        <w:t>a</w:t>
      </w:r>
      <w:r w:rsidRPr="003E5ADD">
        <w:rPr>
          <w:rFonts w:eastAsia="Calibri" w:cs="Tahoma"/>
          <w:color w:val="auto"/>
        </w:rPr>
        <w:t xml:space="preserve"> en la fracc</w:t>
      </w:r>
      <w:r w:rsidR="00394286">
        <w:rPr>
          <w:rFonts w:eastAsia="Calibri" w:cs="Tahoma"/>
          <w:color w:val="auto"/>
        </w:rPr>
        <w:t>i</w:t>
      </w:r>
      <w:r w:rsidR="001C4397">
        <w:rPr>
          <w:rFonts w:eastAsia="Calibri" w:cs="Tahoma"/>
          <w:color w:val="auto"/>
        </w:rPr>
        <w:t>ón V</w:t>
      </w:r>
      <w:r w:rsidR="003E5ADD" w:rsidRPr="003E5ADD">
        <w:rPr>
          <w:rFonts w:eastAsia="Calibri" w:cs="Tahoma"/>
          <w:color w:val="auto"/>
        </w:rPr>
        <w:t xml:space="preserve">, </w:t>
      </w:r>
      <w:r w:rsidRPr="003E5ADD">
        <w:rPr>
          <w:rFonts w:eastAsia="Calibri" w:cs="Tahoma"/>
          <w:color w:val="auto"/>
        </w:rPr>
        <w:t>del artículo 179 de la Ley de Transparencia y Acceso a la Información Pública del Estado de México y M</w:t>
      </w:r>
      <w:r w:rsidRPr="005C6199">
        <w:rPr>
          <w:rFonts w:eastAsia="Calibri" w:cs="Tahoma"/>
          <w:color w:val="auto"/>
        </w:rPr>
        <w:t>unicipios.</w:t>
      </w:r>
      <w:r w:rsidR="00914B0A">
        <w:rPr>
          <w:rFonts w:eastAsia="Calibri" w:cs="Tahoma"/>
          <w:color w:val="auto"/>
        </w:rPr>
        <w:t xml:space="preserve"> </w:t>
      </w:r>
    </w:p>
    <w:p w14:paraId="6CBAEA4E" w14:textId="1D61BEF2" w:rsidR="00E73B06" w:rsidRDefault="00E73B06" w:rsidP="004B7B1F">
      <w:pPr>
        <w:spacing w:after="0" w:line="360" w:lineRule="auto"/>
        <w:ind w:right="-28"/>
        <w:rPr>
          <w:rFonts w:cs="Tahoma"/>
          <w:bCs/>
          <w:iCs/>
          <w:color w:val="auto"/>
          <w:lang w:val="es-ES"/>
        </w:rPr>
      </w:pPr>
    </w:p>
    <w:p w14:paraId="0E4CEDF5" w14:textId="3937F278"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t xml:space="preserve">Conforme a lo analizado, se puede advertir que el ahora Recurrente no se </w:t>
      </w:r>
      <w:r w:rsidRPr="003E4D3B">
        <w:rPr>
          <w:rFonts w:eastAsia="Palatino Linotype" w:cs="Palatino Linotype"/>
          <w:color w:val="auto"/>
          <w:lang w:eastAsia="es-MX"/>
        </w:rPr>
        <w:t>conformó</w:t>
      </w:r>
      <w:r w:rsidRPr="003E4D3B">
        <w:rPr>
          <w:rFonts w:eastAsia="Palatino Linotype" w:cs="Palatino Linotype"/>
          <w:color w:val="000000"/>
          <w:lang w:eastAsia="es-MX"/>
        </w:rPr>
        <w:t xml:space="preserve"> </w:t>
      </w:r>
      <w:r w:rsidR="00117817" w:rsidRPr="00117817">
        <w:rPr>
          <w:rFonts w:eastAsia="Palatino Linotype" w:cs="Palatino Linotype"/>
          <w:color w:val="000000"/>
          <w:lang w:eastAsia="es-MX"/>
        </w:rPr>
        <w:t>del tabulador proporcionado</w:t>
      </w:r>
      <w:r w:rsidRPr="003E4D3B">
        <w:rPr>
          <w:rFonts w:eastAsia="Palatino Linotype" w:cs="Palatino Linotype"/>
          <w:color w:val="000000"/>
          <w:lang w:eastAsia="es-MX"/>
        </w:rPr>
        <w:t xml:space="preserve">, por lo que no se hará pronunciamiento alguno de la información previamente referida de conformidad con el artículo 195 de la Ley de Transparencia y Acceso a la Información Pública del Estado de México y Municipios, con relación con el diverso 195, fracción IV, </w:t>
      </w:r>
      <w:r w:rsidRPr="003E4D3B">
        <w:rPr>
          <w:rFonts w:eastAsia="Palatino Linotype" w:cs="Palatino Linotype"/>
          <w:color w:val="auto"/>
          <w:lang w:eastAsia="es-MX"/>
        </w:rPr>
        <w:t>del Código</w:t>
      </w:r>
      <w:r w:rsidRPr="003E4D3B">
        <w:rPr>
          <w:rFonts w:eastAsia="Palatino Linotype" w:cs="Palatino Linotype"/>
          <w:color w:val="000000"/>
          <w:lang w:eastAsia="es-MX"/>
        </w:rPr>
        <w:t xml:space="preserve">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385192D7" w14:textId="77777777" w:rsidR="003E4D3B" w:rsidRPr="003E4D3B" w:rsidRDefault="003E4D3B" w:rsidP="004B7B1F">
      <w:pPr>
        <w:widowControl w:val="0"/>
        <w:spacing w:after="0" w:line="360" w:lineRule="auto"/>
        <w:rPr>
          <w:rFonts w:eastAsia="Palatino Linotype" w:cs="Palatino Linotype"/>
          <w:color w:val="000000"/>
          <w:highlight w:val="yellow"/>
          <w:lang w:eastAsia="es-MX"/>
        </w:rPr>
      </w:pPr>
    </w:p>
    <w:p w14:paraId="2C7B1CD8" w14:textId="77777777"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A0E630A" w14:textId="77777777"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t xml:space="preserve"> </w:t>
      </w:r>
    </w:p>
    <w:p w14:paraId="64FA1E91" w14:textId="77777777"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6A7399C2" w14:textId="77777777"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lastRenderedPageBreak/>
        <w:t xml:space="preserve"> </w:t>
      </w:r>
    </w:p>
    <w:p w14:paraId="6FDE95B2" w14:textId="42E97584" w:rsidR="003E4D3B" w:rsidRPr="003E4D3B" w:rsidRDefault="003E4D3B" w:rsidP="004B7B1F">
      <w:pPr>
        <w:widowControl w:val="0"/>
        <w:spacing w:after="0" w:line="360" w:lineRule="auto"/>
        <w:rPr>
          <w:rFonts w:eastAsia="Palatino Linotype" w:cs="Palatino Linotype"/>
          <w:color w:val="000000"/>
          <w:lang w:eastAsia="es-MX"/>
        </w:rPr>
      </w:pPr>
      <w:r w:rsidRPr="003E4D3B">
        <w:rPr>
          <w:rFonts w:eastAsia="Palatino Linotype" w:cs="Palatino Linotype"/>
          <w:color w:val="000000"/>
          <w:lang w:eastAsia="es-MX"/>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w:t>
      </w:r>
      <w:r w:rsidR="00C35004" w:rsidRPr="00C35004">
        <w:rPr>
          <w:rFonts w:eastAsia="Palatino Linotype" w:cs="Palatino Linotype"/>
          <w:color w:val="000000"/>
          <w:lang w:eastAsia="es-MX"/>
        </w:rPr>
        <w:t>entrega del tabulador de sueldos</w:t>
      </w:r>
      <w:r w:rsidRPr="003E4D3B">
        <w:rPr>
          <w:rFonts w:eastAsia="Palatino Linotype" w:cs="Palatino Linotype"/>
          <w:color w:val="000000"/>
          <w:lang w:eastAsia="es-MX"/>
        </w:rPr>
        <w:t xml:space="preserve"> y únicamente se entrará al análisis del resto de la información.</w:t>
      </w:r>
      <w:r w:rsidRPr="003E4D3B">
        <w:rPr>
          <w:rFonts w:eastAsia="Palatino Linotype" w:cs="Palatino Linotype"/>
          <w:color w:val="auto"/>
          <w:lang w:eastAsia="es-MX"/>
        </w:rPr>
        <w:t xml:space="preserve"> </w:t>
      </w:r>
      <w:r w:rsidRPr="003E4D3B">
        <w:rPr>
          <w:rFonts w:eastAsia="Palatino Linotype" w:cs="Palatino Linotype"/>
          <w:color w:val="000000"/>
          <w:lang w:eastAsia="es-MX"/>
        </w:rPr>
        <w:t>Así las cosas, una vez admitido y notificado el Recurso de Revisión a las partes, estas fueron omisa</w:t>
      </w:r>
      <w:r w:rsidRPr="003E4D3B">
        <w:rPr>
          <w:rFonts w:eastAsia="Palatino Linotype" w:cs="Palatino Linotype"/>
          <w:color w:val="auto"/>
          <w:lang w:eastAsia="es-MX"/>
        </w:rPr>
        <w:t>s</w:t>
      </w:r>
      <w:r w:rsidRPr="003E4D3B">
        <w:rPr>
          <w:rFonts w:eastAsia="Palatino Linotype" w:cs="Palatino Linotype"/>
          <w:color w:val="000000"/>
          <w:lang w:eastAsia="es-MX"/>
        </w:rPr>
        <w:t xml:space="preserve"> en manifestarse. </w:t>
      </w:r>
    </w:p>
    <w:p w14:paraId="00B5CBFA" w14:textId="77777777" w:rsidR="003E4D3B" w:rsidRPr="003E5ADD" w:rsidRDefault="003E4D3B" w:rsidP="004B7B1F">
      <w:pPr>
        <w:spacing w:after="0" w:line="360" w:lineRule="auto"/>
        <w:ind w:right="-28"/>
        <w:rPr>
          <w:rFonts w:cs="Tahoma"/>
          <w:bCs/>
          <w:iCs/>
          <w:color w:val="auto"/>
          <w:lang w:val="es-ES"/>
        </w:rPr>
      </w:pPr>
    </w:p>
    <w:p w14:paraId="3A6521F2" w14:textId="558F99F8" w:rsidR="00DB3DC5" w:rsidRPr="00EB4479" w:rsidRDefault="00DB3DC5" w:rsidP="004B7B1F">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la respuesta y</w:t>
      </w:r>
      <w:r w:rsidRPr="00EB4479">
        <w:rPr>
          <w:rFonts w:eastAsia="Calibri" w:cs="Tahoma"/>
          <w:iCs/>
          <w:color w:val="auto"/>
          <w:lang w:eastAsia="es-ES_tradnl"/>
        </w:rPr>
        <w:t xml:space="preserve"> el escrito </w:t>
      </w:r>
      <w:proofErr w:type="spellStart"/>
      <w:r w:rsidRPr="00EB4479">
        <w:rPr>
          <w:rFonts w:eastAsia="Calibri" w:cs="Tahoma"/>
          <w:iCs/>
          <w:color w:val="auto"/>
          <w:lang w:eastAsia="es-ES_tradnl"/>
        </w:rPr>
        <w:t>recursal</w:t>
      </w:r>
      <w:proofErr w:type="spellEnd"/>
      <w:r w:rsidRPr="00EB4479">
        <w:rPr>
          <w:rFonts w:eastAsia="Calibri" w:cs="Tahoma"/>
          <w:iCs/>
          <w:color w:val="auto"/>
          <w:lang w:eastAsia="es-ES_tradnl"/>
        </w:rPr>
        <w:t xml:space="preserve">;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4B7B1F">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4B7B1F">
      <w:pPr>
        <w:pStyle w:val="Ttulo2"/>
        <w:spacing w:before="0" w:line="360" w:lineRule="auto"/>
        <w:rPr>
          <w:rFonts w:ascii="Palatino Linotype" w:eastAsia="Times New Roman" w:hAnsi="Palatino Linotype"/>
          <w:b/>
          <w:color w:val="000000" w:themeColor="text1"/>
          <w:sz w:val="22"/>
          <w:szCs w:val="22"/>
          <w:lang w:eastAsia="es-ES"/>
        </w:rPr>
      </w:pPr>
      <w:bookmarkStart w:id="14" w:name="_Toc205478504"/>
      <w:r w:rsidRPr="00076681">
        <w:rPr>
          <w:rFonts w:ascii="Palatino Linotype" w:eastAsia="Times New Roman" w:hAnsi="Palatino Linotype"/>
          <w:b/>
          <w:color w:val="000000" w:themeColor="text1"/>
          <w:sz w:val="22"/>
          <w:szCs w:val="22"/>
          <w:lang w:val="es-ES" w:eastAsia="es-ES"/>
        </w:rPr>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4"/>
    </w:p>
    <w:p w14:paraId="1FA9DF31" w14:textId="77777777" w:rsidR="00DB3DC5" w:rsidRPr="00C821DD" w:rsidRDefault="00DB3DC5" w:rsidP="004B7B1F">
      <w:pPr>
        <w:autoSpaceDE w:val="0"/>
        <w:autoSpaceDN w:val="0"/>
        <w:adjustRightInd w:val="0"/>
        <w:spacing w:after="0" w:line="360" w:lineRule="auto"/>
        <w:contextualSpacing/>
        <w:rPr>
          <w:rFonts w:eastAsia="Times New Roman" w:cs="Tahoma"/>
          <w:bCs/>
          <w:iCs/>
          <w:color w:val="FF0000"/>
          <w:lang w:val="es-ES" w:eastAsia="es-ES"/>
        </w:rPr>
      </w:pPr>
    </w:p>
    <w:p w14:paraId="2FBEED0F" w14:textId="6798CFA8" w:rsidR="00C35004" w:rsidRPr="00C35004" w:rsidRDefault="00C35004" w:rsidP="004B7B1F">
      <w:pPr>
        <w:spacing w:after="0" w:line="360" w:lineRule="auto"/>
        <w:rPr>
          <w:rFonts w:eastAsia="Palatino Linotype" w:cs="Palatino Linotype"/>
          <w:color w:val="000000"/>
          <w:lang w:eastAsia="es-MX"/>
        </w:rPr>
      </w:pPr>
      <w:r w:rsidRPr="00C35004">
        <w:rPr>
          <w:rFonts w:eastAsia="Palatino Linotype" w:cs="Palatino Linotype"/>
          <w:color w:val="000000"/>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A9932BD" w14:textId="77777777" w:rsidR="00C35004" w:rsidRPr="00C35004" w:rsidRDefault="00C35004" w:rsidP="004B7B1F">
      <w:pPr>
        <w:spacing w:after="0" w:line="360" w:lineRule="auto"/>
        <w:rPr>
          <w:rFonts w:eastAsia="Palatino Linotype" w:cs="Palatino Linotype"/>
          <w:color w:val="000000"/>
          <w:lang w:eastAsia="es-MX"/>
        </w:rPr>
      </w:pPr>
    </w:p>
    <w:p w14:paraId="723C51C7" w14:textId="77777777" w:rsidR="00C35004" w:rsidRPr="00C35004" w:rsidRDefault="00C35004" w:rsidP="004B7B1F">
      <w:pPr>
        <w:spacing w:after="0" w:line="360" w:lineRule="auto"/>
        <w:rPr>
          <w:rFonts w:eastAsia="Palatino Linotype" w:cs="Palatino Linotype"/>
          <w:color w:val="000000"/>
          <w:lang w:eastAsia="es-MX"/>
        </w:rPr>
      </w:pPr>
      <w:r w:rsidRPr="00C35004">
        <w:rPr>
          <w:rFonts w:eastAsia="Palatino Linotype" w:cs="Palatino Linotype"/>
          <w:color w:val="000000"/>
          <w:lang w:eastAsia="es-MX"/>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A2653" w14:textId="77777777" w:rsidR="00C35004" w:rsidRPr="00C35004" w:rsidRDefault="00C35004" w:rsidP="004B7B1F">
      <w:pPr>
        <w:spacing w:after="0" w:line="360" w:lineRule="auto"/>
        <w:rPr>
          <w:rFonts w:eastAsia="Palatino Linotype" w:cs="Palatino Linotype"/>
          <w:color w:val="000000"/>
          <w:lang w:eastAsia="es-MX"/>
        </w:rPr>
      </w:pPr>
    </w:p>
    <w:p w14:paraId="793CE855" w14:textId="77777777" w:rsidR="00C35004" w:rsidRPr="00C35004" w:rsidRDefault="00C35004" w:rsidP="004B7B1F">
      <w:pPr>
        <w:spacing w:after="0" w:line="360" w:lineRule="auto"/>
        <w:rPr>
          <w:rFonts w:eastAsia="Palatino Linotype" w:cs="Palatino Linotype"/>
          <w:color w:val="000000"/>
          <w:lang w:eastAsia="es-MX"/>
        </w:rPr>
      </w:pPr>
      <w:r w:rsidRPr="00C35004">
        <w:rPr>
          <w:rFonts w:eastAsia="Palatino Linotype" w:cs="Palatino Linotype"/>
          <w:color w:val="000000"/>
          <w:lang w:eastAsia="es-MX"/>
        </w:rPr>
        <w:t>Por su parte, la Ley de Transparencia y Acceso a la Información Pública del Estado de México y Municipios (Reglamentaria del artículo 5° de la Constitución Local), establece lo siguiente:</w:t>
      </w:r>
    </w:p>
    <w:p w14:paraId="7FEA8EF5" w14:textId="77777777" w:rsidR="00C35004" w:rsidRDefault="00C35004" w:rsidP="004B7B1F">
      <w:pPr>
        <w:spacing w:after="0" w:line="360" w:lineRule="auto"/>
        <w:contextualSpacing/>
        <w:rPr>
          <w:rFonts w:eastAsia="Times New Roman" w:cs="Tahoma"/>
          <w:bCs/>
          <w:iCs/>
          <w:color w:val="auto"/>
          <w:lang w:eastAsia="es-ES"/>
        </w:rPr>
      </w:pPr>
    </w:p>
    <w:p w14:paraId="7EF8B748" w14:textId="42BDA187" w:rsidR="00DB3DC5" w:rsidRPr="00742C37" w:rsidRDefault="00DB3DC5" w:rsidP="004B7B1F">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12, que, quienes generen, recopilen, administren, manejen, procesen, archiven o conserven información pública serán responsables de la misma.</w:t>
      </w:r>
    </w:p>
    <w:p w14:paraId="536D2FE5" w14:textId="77777777" w:rsidR="00BB36D2" w:rsidRPr="00742C37" w:rsidRDefault="00BB36D2" w:rsidP="004B7B1F">
      <w:pPr>
        <w:spacing w:after="0" w:line="360" w:lineRule="auto"/>
        <w:contextualSpacing/>
        <w:rPr>
          <w:rFonts w:eastAsia="Times New Roman" w:cs="Tahoma"/>
          <w:bCs/>
          <w:iCs/>
          <w:color w:val="auto"/>
          <w:lang w:eastAsia="es-ES"/>
        </w:rPr>
      </w:pPr>
    </w:p>
    <w:p w14:paraId="5604CF35" w14:textId="77777777" w:rsidR="00DB3DC5" w:rsidRPr="00742C37" w:rsidRDefault="00DB3DC5" w:rsidP="004B7B1F">
      <w:pPr>
        <w:widowControl w:val="0"/>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18E0238" w14:textId="77777777" w:rsidR="00DB3DC5" w:rsidRPr="00742C37" w:rsidRDefault="00DB3DC5" w:rsidP="004B7B1F">
      <w:pPr>
        <w:spacing w:after="0" w:line="360" w:lineRule="auto"/>
        <w:contextualSpacing/>
        <w:rPr>
          <w:rFonts w:eastAsia="Times New Roman" w:cs="Tahoma"/>
          <w:bCs/>
          <w:iCs/>
          <w:color w:val="auto"/>
          <w:lang w:eastAsia="es-ES"/>
        </w:rPr>
      </w:pPr>
    </w:p>
    <w:p w14:paraId="0FF7C948" w14:textId="77777777" w:rsidR="00DB3DC5" w:rsidRPr="00742C37" w:rsidRDefault="00DB3DC5" w:rsidP="004B7B1F">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C821DD" w:rsidRDefault="00DB3DC5" w:rsidP="004B7B1F">
      <w:pPr>
        <w:spacing w:after="0" w:line="360" w:lineRule="auto"/>
        <w:contextualSpacing/>
        <w:rPr>
          <w:rFonts w:cs="Tahoma"/>
          <w:bCs/>
          <w:iCs/>
          <w:color w:val="FF0000"/>
          <w:lang w:val="es-ES"/>
        </w:rPr>
      </w:pPr>
    </w:p>
    <w:p w14:paraId="3EB23114" w14:textId="33FEEC26" w:rsidR="00DB3DC5" w:rsidRPr="00076681" w:rsidRDefault="00076681" w:rsidP="004B7B1F">
      <w:pPr>
        <w:pStyle w:val="Ttulo2"/>
        <w:spacing w:before="0" w:line="360" w:lineRule="auto"/>
        <w:rPr>
          <w:rFonts w:ascii="Palatino Linotype" w:eastAsia="Times New Roman" w:hAnsi="Palatino Linotype"/>
          <w:b/>
          <w:color w:val="000000" w:themeColor="text1"/>
          <w:sz w:val="22"/>
          <w:szCs w:val="22"/>
          <w:lang w:val="es-ES" w:eastAsia="es-ES"/>
        </w:rPr>
      </w:pPr>
      <w:bookmarkStart w:id="15" w:name="_Toc205478505"/>
      <w:r w:rsidRPr="00BE3A60">
        <w:rPr>
          <w:rFonts w:ascii="Palatino Linotype" w:eastAsia="Times New Roman" w:hAnsi="Palatino Linotype"/>
          <w:b/>
          <w:color w:val="000000" w:themeColor="text1"/>
          <w:sz w:val="22"/>
          <w:szCs w:val="22"/>
          <w:lang w:val="es-ES" w:eastAsia="es-ES"/>
        </w:rPr>
        <w:t xml:space="preserve">QUINTO. </w:t>
      </w:r>
      <w:r w:rsidR="00DB3DC5" w:rsidRPr="00BE3A60">
        <w:rPr>
          <w:rFonts w:ascii="Palatino Linotype" w:eastAsia="Times New Roman" w:hAnsi="Palatino Linotype"/>
          <w:b/>
          <w:color w:val="000000" w:themeColor="text1"/>
          <w:sz w:val="22"/>
          <w:szCs w:val="22"/>
          <w:lang w:val="es-ES" w:eastAsia="es-ES"/>
        </w:rPr>
        <w:t>E</w:t>
      </w:r>
      <w:r w:rsidRPr="00BE3A60">
        <w:rPr>
          <w:rFonts w:ascii="Palatino Linotype" w:eastAsia="Times New Roman" w:hAnsi="Palatino Linotype"/>
          <w:b/>
          <w:color w:val="000000" w:themeColor="text1"/>
          <w:sz w:val="22"/>
          <w:szCs w:val="22"/>
          <w:lang w:val="es-ES" w:eastAsia="es-ES"/>
        </w:rPr>
        <w:t>studio de Fondo</w:t>
      </w:r>
      <w:bookmarkEnd w:id="15"/>
    </w:p>
    <w:p w14:paraId="5511A115" w14:textId="238AA78D" w:rsidR="00DB3DC5" w:rsidRDefault="00DB3DC5" w:rsidP="004B7B1F">
      <w:pPr>
        <w:spacing w:after="0" w:line="360" w:lineRule="auto"/>
        <w:contextualSpacing/>
        <w:rPr>
          <w:rFonts w:eastAsia="Times New Roman" w:cs="Tahoma"/>
          <w:b/>
          <w:bCs/>
          <w:iCs/>
          <w:color w:val="auto"/>
          <w:lang w:val="es-ES" w:eastAsia="es-ES"/>
        </w:rPr>
      </w:pPr>
    </w:p>
    <w:p w14:paraId="194A9F65" w14:textId="2BC33169" w:rsidR="006E26AA" w:rsidRDefault="006E26AA" w:rsidP="004B7B1F">
      <w:pPr>
        <w:spacing w:after="0" w:line="360" w:lineRule="auto"/>
        <w:contextualSpacing/>
        <w:rPr>
          <w:rFonts w:eastAsia="Times New Roman" w:cs="Tahoma"/>
          <w:iCs/>
          <w:color w:val="auto"/>
          <w:lang w:val="es-ES" w:eastAsia="es-ES"/>
        </w:rPr>
      </w:pPr>
      <w:r w:rsidRPr="006E26AA">
        <w:rPr>
          <w:rFonts w:eastAsia="Times New Roman" w:cs="Tahoma"/>
          <w:iCs/>
          <w:color w:val="auto"/>
          <w:lang w:val="es-ES" w:eastAsia="es-ES"/>
        </w:rPr>
        <w:lastRenderedPageBreak/>
        <w:t xml:space="preserve">Expuestas las posturas </w:t>
      </w:r>
      <w:r>
        <w:rPr>
          <w:rFonts w:eastAsia="Times New Roman" w:cs="Tahoma"/>
          <w:iCs/>
          <w:color w:val="auto"/>
          <w:lang w:val="es-ES" w:eastAsia="es-ES"/>
        </w:rPr>
        <w:t xml:space="preserve">de las partes, se procede al análisis del agravio hecho valer por el Recurrente, concerniente a la </w:t>
      </w:r>
      <w:r w:rsidR="00C35004">
        <w:rPr>
          <w:rFonts w:eastAsia="Times New Roman" w:cs="Tahoma"/>
          <w:iCs/>
          <w:color w:val="auto"/>
          <w:lang w:val="es-ES" w:eastAsia="es-ES"/>
        </w:rPr>
        <w:t>entrega de información incompleta</w:t>
      </w:r>
      <w:r>
        <w:rPr>
          <w:rFonts w:eastAsia="Times New Roman" w:cs="Tahoma"/>
          <w:iCs/>
          <w:color w:val="auto"/>
          <w:lang w:val="es-ES" w:eastAsia="es-ES"/>
        </w:rPr>
        <w:t xml:space="preserve">, para lo cual en principio resulta necesario contextualizar la solicitud de información. </w:t>
      </w:r>
    </w:p>
    <w:p w14:paraId="7D51D78F" w14:textId="47C78973" w:rsidR="006E26AA" w:rsidRDefault="006E26AA" w:rsidP="004B7B1F">
      <w:pPr>
        <w:spacing w:after="0" w:line="360" w:lineRule="auto"/>
        <w:contextualSpacing/>
        <w:rPr>
          <w:rFonts w:eastAsia="Times New Roman" w:cs="Tahoma"/>
          <w:iCs/>
          <w:color w:val="auto"/>
          <w:lang w:val="es-ES" w:eastAsia="es-ES"/>
        </w:rPr>
      </w:pPr>
    </w:p>
    <w:p w14:paraId="30F36ECC" w14:textId="7188A628" w:rsidR="00CA6FA9" w:rsidRDefault="00FB5667" w:rsidP="004B7B1F">
      <w:pPr>
        <w:spacing w:after="0" w:line="360" w:lineRule="auto"/>
        <w:contextualSpacing/>
        <w:rPr>
          <w:rFonts w:eastAsia="Times New Roman" w:cs="Tahoma"/>
          <w:iCs/>
          <w:color w:val="auto"/>
          <w:lang w:eastAsia="es-ES"/>
        </w:rPr>
      </w:pPr>
      <w:r w:rsidRPr="00FB5667">
        <w:rPr>
          <w:rFonts w:eastAsia="Times New Roman" w:cs="Tahoma"/>
          <w:iCs/>
          <w:color w:val="auto"/>
          <w:lang w:eastAsia="es-ES"/>
        </w:rPr>
        <w:t xml:space="preserve">Al respecto, los artículos </w:t>
      </w:r>
      <w:r w:rsidR="000914FE">
        <w:rPr>
          <w:rFonts w:eastAsia="Times New Roman" w:cs="Tahoma"/>
          <w:iCs/>
          <w:color w:val="auto"/>
          <w:lang w:eastAsia="es-ES"/>
        </w:rPr>
        <w:t>8, 11 y 12</w:t>
      </w:r>
      <w:r w:rsidRPr="00FB5667">
        <w:rPr>
          <w:rFonts w:eastAsia="Times New Roman" w:cs="Tahoma"/>
          <w:iCs/>
          <w:color w:val="auto"/>
          <w:lang w:eastAsia="es-ES"/>
        </w:rPr>
        <w:t xml:space="preserve">, de la Ley </w:t>
      </w:r>
      <w:r w:rsidR="000914FE">
        <w:rPr>
          <w:rFonts w:eastAsia="Times New Roman" w:cs="Tahoma"/>
          <w:iCs/>
          <w:color w:val="auto"/>
          <w:lang w:eastAsia="es-ES"/>
        </w:rPr>
        <w:t>que Crea los Organismos Públicos Descentralizados de Asistencia Social, de carácter Municipal, denominados “Sistemas Municipales para el Desarrollo Integral de la Familia”</w:t>
      </w:r>
      <w:r w:rsidRPr="00FB5667">
        <w:rPr>
          <w:rFonts w:eastAsia="Times New Roman" w:cs="Tahoma"/>
          <w:iCs/>
          <w:color w:val="auto"/>
          <w:lang w:eastAsia="es-ES"/>
        </w:rPr>
        <w:t>, establece</w:t>
      </w:r>
      <w:r w:rsidR="000914FE">
        <w:rPr>
          <w:rFonts w:eastAsia="Times New Roman" w:cs="Tahoma"/>
          <w:iCs/>
          <w:color w:val="auto"/>
          <w:lang w:eastAsia="es-ES"/>
        </w:rPr>
        <w:t>n</w:t>
      </w:r>
      <w:r w:rsidRPr="00FB5667">
        <w:rPr>
          <w:rFonts w:eastAsia="Times New Roman" w:cs="Tahoma"/>
          <w:iCs/>
          <w:color w:val="auto"/>
          <w:lang w:eastAsia="es-ES"/>
        </w:rPr>
        <w:t xml:space="preserve"> que </w:t>
      </w:r>
      <w:r w:rsidR="000914FE">
        <w:rPr>
          <w:rFonts w:eastAsia="Times New Roman" w:cs="Tahoma"/>
          <w:iCs/>
          <w:color w:val="auto"/>
          <w:lang w:eastAsia="es-ES"/>
        </w:rPr>
        <w:t xml:space="preserve">los Organismos Municipales deberán elaborar sus presupuestos anuales de operación e inversión debidamente autorizado por la </w:t>
      </w:r>
      <w:r w:rsidR="000914FE" w:rsidRPr="000914FE">
        <w:rPr>
          <w:rFonts w:eastAsia="Times New Roman" w:cs="Tahoma"/>
          <w:b/>
          <w:bCs/>
          <w:iCs/>
          <w:color w:val="auto"/>
          <w:lang w:eastAsia="es-ES"/>
        </w:rPr>
        <w:t>Junta de Gobierno</w:t>
      </w:r>
      <w:r w:rsidR="000914FE">
        <w:rPr>
          <w:rFonts w:eastAsia="Times New Roman" w:cs="Tahoma"/>
          <w:iCs/>
          <w:color w:val="auto"/>
          <w:lang w:eastAsia="es-ES"/>
        </w:rPr>
        <w:t xml:space="preserve">, quien será </w:t>
      </w:r>
      <w:r w:rsidR="000914FE" w:rsidRPr="000914FE">
        <w:rPr>
          <w:rFonts w:eastAsia="Times New Roman" w:cs="Tahoma"/>
          <w:b/>
          <w:bCs/>
          <w:iCs/>
          <w:color w:val="auto"/>
          <w:lang w:eastAsia="es-ES"/>
        </w:rPr>
        <w:t>el Órgano superior del organismo</w:t>
      </w:r>
      <w:r w:rsidR="000914FE">
        <w:rPr>
          <w:rFonts w:eastAsia="Times New Roman" w:cs="Tahoma"/>
          <w:iCs/>
          <w:color w:val="auto"/>
          <w:lang w:eastAsia="es-ES"/>
        </w:rPr>
        <w:t xml:space="preserve"> y se integrará con un Presidente, un Secretario, un Tesorero y dos Vocales</w:t>
      </w:r>
      <w:r w:rsidR="00B34E1A">
        <w:rPr>
          <w:rFonts w:eastAsia="Times New Roman" w:cs="Tahoma"/>
          <w:iCs/>
          <w:color w:val="auto"/>
          <w:lang w:eastAsia="es-ES"/>
        </w:rPr>
        <w:t xml:space="preserve">, recayendo </w:t>
      </w:r>
      <w:r w:rsidR="00B34E1A" w:rsidRPr="00B34E1A">
        <w:rPr>
          <w:rFonts w:eastAsia="Times New Roman" w:cs="Tahoma"/>
          <w:b/>
          <w:bCs/>
          <w:iCs/>
          <w:color w:val="auto"/>
          <w:lang w:eastAsia="es-ES"/>
        </w:rPr>
        <w:t>la Presidencia en la persona que al efecto nombre el Presidente Municipal, lo mismo el Secretario que en todo caso será el Director</w:t>
      </w:r>
      <w:r w:rsidR="00B34E1A">
        <w:rPr>
          <w:rFonts w:eastAsia="Times New Roman" w:cs="Tahoma"/>
          <w:iCs/>
          <w:color w:val="auto"/>
          <w:lang w:eastAsia="es-ES"/>
        </w:rPr>
        <w:t xml:space="preserve">, el Tesorero será la persona que designe el Presidente de la Junta de Gobierno y los Vocales serán dos funcionarios Municipales, cuya actividad se encuentre más relacionada con los objetivos del Organismo. </w:t>
      </w:r>
    </w:p>
    <w:p w14:paraId="5E774E7A" w14:textId="77777777" w:rsidR="009521F0" w:rsidRDefault="009521F0" w:rsidP="004B7B1F">
      <w:pPr>
        <w:spacing w:after="0" w:line="360" w:lineRule="auto"/>
        <w:contextualSpacing/>
        <w:rPr>
          <w:rFonts w:eastAsia="Times New Roman" w:cs="Tahoma"/>
          <w:iCs/>
          <w:color w:val="auto"/>
          <w:lang w:eastAsia="es-ES"/>
        </w:rPr>
      </w:pPr>
    </w:p>
    <w:p w14:paraId="06FB4B35" w14:textId="7857B0B7" w:rsidR="009521F0" w:rsidRDefault="009521F0" w:rsidP="004B7B1F">
      <w:pPr>
        <w:spacing w:after="0" w:line="360" w:lineRule="auto"/>
      </w:pPr>
      <w:r w:rsidRPr="00301571">
        <w:t xml:space="preserve">Asimismo, los artículos 13 y </w:t>
      </w:r>
      <w:r w:rsidR="00301571" w:rsidRPr="00301571">
        <w:t>13 Bis de la Ley previamente referida, precisan que la Junta de Gobierno</w:t>
      </w:r>
      <w:r w:rsidR="00301571">
        <w:t xml:space="preserve"> tendrá entre otras facultades, representar al Sistema Municipal y aprobar los presupuestos, informes de actividades y estados financieros anuales, y para tal efecto celebrará sesiones ordinarias por lo menos en forma bimestral y las extraordinarias que sean necesarias cuando las convoque el Presidente o la mayoría de sus miembros y el </w:t>
      </w:r>
      <w:r w:rsidR="00301571" w:rsidRPr="00CA6FA9">
        <w:rPr>
          <w:b/>
          <w:bCs/>
          <w:u w:val="single"/>
        </w:rPr>
        <w:t>Secretario de la Junta será el encargado de llevar actualizado el libro de actas que él redactará.</w:t>
      </w:r>
      <w:r w:rsidR="00301571">
        <w:t xml:space="preserve"> </w:t>
      </w:r>
    </w:p>
    <w:p w14:paraId="7F62FCE0" w14:textId="77777777" w:rsidR="00301571" w:rsidRDefault="00301571" w:rsidP="004B7B1F">
      <w:pPr>
        <w:spacing w:after="0" w:line="360" w:lineRule="auto"/>
      </w:pPr>
    </w:p>
    <w:p w14:paraId="57BD46E9" w14:textId="50533FCA" w:rsidR="00C915E8" w:rsidRDefault="00C915E8" w:rsidP="004B7B1F">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Conforme a lo anterior, este Instituto localizó el Acta de la Tercera Sesión Ordinario del Ayuntamiento de Cocotitlán, celebrada el quince de enero de dos mil veinticinco, en la que se aprobó el nombramiento de Susana Martínez Rosales como </w:t>
      </w:r>
      <w:proofErr w:type="gramStart"/>
      <w:r>
        <w:rPr>
          <w:rFonts w:eastAsia="Times New Roman" w:cs="Tahoma"/>
          <w:iCs/>
          <w:color w:val="auto"/>
          <w:lang w:eastAsia="es-ES"/>
        </w:rPr>
        <w:t>Directora</w:t>
      </w:r>
      <w:proofErr w:type="gramEnd"/>
      <w:r>
        <w:rPr>
          <w:rFonts w:eastAsia="Times New Roman" w:cs="Tahoma"/>
          <w:iCs/>
          <w:color w:val="auto"/>
          <w:lang w:eastAsia="es-ES"/>
        </w:rPr>
        <w:t xml:space="preserve"> del Sistema DIF </w:t>
      </w:r>
      <w:r>
        <w:rPr>
          <w:rFonts w:eastAsia="Times New Roman" w:cs="Tahoma"/>
          <w:iCs/>
          <w:color w:val="auto"/>
          <w:lang w:eastAsia="es-ES"/>
        </w:rPr>
        <w:lastRenderedPageBreak/>
        <w:t xml:space="preserve">Municipal de Cocotitlán, para el periodo constitucional 2025-2027, tal como se muestra en la siguiente imagen ilustrativa: </w:t>
      </w:r>
    </w:p>
    <w:p w14:paraId="53A7643C" w14:textId="77777777" w:rsidR="00C915E8" w:rsidRDefault="00C915E8" w:rsidP="004B7B1F">
      <w:pPr>
        <w:spacing w:after="0" w:line="360" w:lineRule="auto"/>
      </w:pPr>
    </w:p>
    <w:p w14:paraId="22FAA14A" w14:textId="040A4E7B" w:rsidR="00C915E8" w:rsidRDefault="00C915E8" w:rsidP="004B7B1F">
      <w:pPr>
        <w:spacing w:after="0" w:line="360" w:lineRule="auto"/>
        <w:jc w:val="center"/>
      </w:pPr>
      <w:r w:rsidRPr="00CA6FA9">
        <w:rPr>
          <w:rFonts w:eastAsia="Times New Roman" w:cs="Tahoma"/>
          <w:iCs/>
          <w:noProof/>
          <w:color w:val="auto"/>
          <w:lang w:eastAsia="es-MX"/>
        </w:rPr>
        <w:drawing>
          <wp:inline distT="0" distB="0" distL="0" distR="0" wp14:anchorId="1A7179CF" wp14:editId="1D6220A1">
            <wp:extent cx="4145280" cy="2309809"/>
            <wp:effectExtent l="0" t="0" r="7620" b="0"/>
            <wp:docPr id="1333370600" name="Imagen 1" descr="Una captura de pantalla de un 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70600" name="Imagen 1" descr="Una captura de pantalla de un celular"/>
                    <pic:cNvPicPr/>
                  </pic:nvPicPr>
                  <pic:blipFill>
                    <a:blip r:embed="rId8"/>
                    <a:stretch>
                      <a:fillRect/>
                    </a:stretch>
                  </pic:blipFill>
                  <pic:spPr>
                    <a:xfrm>
                      <a:off x="0" y="0"/>
                      <a:ext cx="4238444" cy="2361721"/>
                    </a:xfrm>
                    <a:prstGeom prst="rect">
                      <a:avLst/>
                    </a:prstGeom>
                  </pic:spPr>
                </pic:pic>
              </a:graphicData>
            </a:graphic>
          </wp:inline>
        </w:drawing>
      </w:r>
    </w:p>
    <w:p w14:paraId="54481CE2" w14:textId="77777777" w:rsidR="00C915E8" w:rsidRDefault="00C915E8" w:rsidP="004B7B1F">
      <w:pPr>
        <w:spacing w:after="0" w:line="360" w:lineRule="auto"/>
        <w:jc w:val="center"/>
      </w:pPr>
    </w:p>
    <w:p w14:paraId="6C307EF6" w14:textId="2912A7D3" w:rsidR="00B34E1A" w:rsidRDefault="00301571" w:rsidP="004B7B1F">
      <w:pPr>
        <w:spacing w:after="0" w:line="360" w:lineRule="auto"/>
      </w:pPr>
      <w:r>
        <w:t xml:space="preserve">En ese orden de ideas, el Manual de Organización del Sistema Municipal DIF Cocotitlán, </w:t>
      </w:r>
      <w:r w:rsidR="0093203B">
        <w:t xml:space="preserve">precisan que el objetivo de la Junta de Gobierno es representar al organismo legalmente, </w:t>
      </w:r>
      <w:r w:rsidR="0093203B" w:rsidRPr="0093203B">
        <w:rPr>
          <w:b/>
          <w:bCs/>
        </w:rPr>
        <w:t>autorizar</w:t>
      </w:r>
      <w:r w:rsidR="0093203B">
        <w:t xml:space="preserve"> sus planes de trabajo, sus presupuestos, los informes laborales, los estados financieros, así como su normatividad interna, además también contará con una Presidencia, encargada de ejecutar los Acuerdos disposiciones de la Junta de Gobierno y proponer a la Junta de Gobierno el Tabulador General de Sueldos</w:t>
      </w:r>
      <w:r w:rsidR="00EA4404">
        <w:t xml:space="preserve">. </w:t>
      </w:r>
    </w:p>
    <w:p w14:paraId="2CDD25F0" w14:textId="77777777" w:rsidR="00C915E8" w:rsidRPr="00EA4404" w:rsidRDefault="00C915E8" w:rsidP="004B7B1F">
      <w:pPr>
        <w:spacing w:after="0" w:line="360" w:lineRule="auto"/>
      </w:pPr>
    </w:p>
    <w:p w14:paraId="68538DEE" w14:textId="6B6E8871" w:rsidR="007B5D0A" w:rsidRDefault="007B5D0A" w:rsidP="004B7B1F">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Conforme a lo anterior, se logra vislumbrar que la pretensión del ahora </w:t>
      </w:r>
      <w:proofErr w:type="gramStart"/>
      <w:r w:rsidRPr="007B5D0A">
        <w:rPr>
          <w:rFonts w:eastAsia="Times New Roman" w:cs="Tahoma"/>
          <w:iCs/>
          <w:color w:val="auto"/>
          <w:lang w:eastAsia="es-ES"/>
        </w:rPr>
        <w:t>Recurrente,</w:t>
      </w:r>
      <w:proofErr w:type="gramEnd"/>
      <w:r w:rsidRPr="007B5D0A">
        <w:rPr>
          <w:rFonts w:eastAsia="Times New Roman" w:cs="Tahoma"/>
          <w:iCs/>
          <w:color w:val="auto"/>
          <w:lang w:eastAsia="es-ES"/>
        </w:rPr>
        <w:t xml:space="preserve"> es obtener </w:t>
      </w:r>
      <w:r w:rsidR="00EA4404">
        <w:rPr>
          <w:rFonts w:eastAsia="Times New Roman" w:cs="Tahoma"/>
          <w:iCs/>
          <w:color w:val="auto"/>
          <w:lang w:eastAsia="es-ES"/>
        </w:rPr>
        <w:t>el Acta de la Junta de Gobierno en la que se aprobó el Tabulador de Sueldos proporcionado en respuesta</w:t>
      </w:r>
      <w:r w:rsidR="004B7B1F">
        <w:rPr>
          <w:rFonts w:eastAsia="Times New Roman" w:cs="Tahoma"/>
          <w:iCs/>
          <w:color w:val="auto"/>
          <w:lang w:eastAsia="es-ES"/>
        </w:rPr>
        <w:t>.</w:t>
      </w:r>
      <w:r w:rsidR="00EA4404">
        <w:rPr>
          <w:rFonts w:eastAsia="Times New Roman" w:cs="Tahoma"/>
          <w:iCs/>
          <w:color w:val="auto"/>
          <w:lang w:eastAsia="es-ES"/>
        </w:rPr>
        <w:t xml:space="preserve"> </w:t>
      </w:r>
    </w:p>
    <w:p w14:paraId="24DB85CC" w14:textId="77777777" w:rsidR="00B46F88" w:rsidRPr="007B5D0A" w:rsidRDefault="00B46F88" w:rsidP="004B7B1F">
      <w:pPr>
        <w:spacing w:after="0" w:line="360" w:lineRule="auto"/>
        <w:contextualSpacing/>
        <w:rPr>
          <w:rFonts w:eastAsia="Times New Roman" w:cs="Tahoma"/>
          <w:iCs/>
          <w:color w:val="auto"/>
          <w:lang w:eastAsia="es-ES"/>
        </w:rPr>
      </w:pPr>
    </w:p>
    <w:p w14:paraId="6878D56D" w14:textId="55C4DD31" w:rsidR="007B5D0A" w:rsidRPr="007B5D0A" w:rsidRDefault="007B5D0A" w:rsidP="004B7B1F">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Establecida dicha circunstancia, se procede analizar la respuesta entregada, para lo cual, es de señalar que de las constancias que obran en el expediente, se logra vislumbrar que el </w:t>
      </w:r>
      <w:r w:rsidRPr="007B5D0A">
        <w:rPr>
          <w:rFonts w:eastAsia="Times New Roman" w:cs="Tahoma"/>
          <w:iCs/>
          <w:color w:val="auto"/>
          <w:lang w:eastAsia="es-ES"/>
        </w:rPr>
        <w:lastRenderedPageBreak/>
        <w:t xml:space="preserve">Sujeto Obligado turno la solicitud de información a la </w:t>
      </w:r>
      <w:r w:rsidR="00EA4404" w:rsidRPr="00C915E8">
        <w:rPr>
          <w:rFonts w:eastAsia="Times New Roman" w:cs="Tahoma"/>
          <w:b/>
          <w:bCs/>
          <w:iCs/>
          <w:color w:val="auto"/>
          <w:lang w:eastAsia="es-ES"/>
        </w:rPr>
        <w:t>Tesorería</w:t>
      </w:r>
      <w:r w:rsidRPr="007B5D0A">
        <w:rPr>
          <w:rFonts w:eastAsia="Times New Roman" w:cs="Tahoma"/>
          <w:iCs/>
          <w:color w:val="auto"/>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Pr="007B5D0A" w:rsidRDefault="007B5D0A" w:rsidP="004B7B1F">
      <w:pPr>
        <w:spacing w:after="0" w:line="360" w:lineRule="auto"/>
        <w:contextualSpacing/>
        <w:rPr>
          <w:rFonts w:eastAsia="Times New Roman" w:cs="Tahoma"/>
          <w:iCs/>
          <w:color w:val="auto"/>
          <w:lang w:eastAsia="es-ES"/>
        </w:rPr>
      </w:pPr>
    </w:p>
    <w:p w14:paraId="4AD4B711" w14:textId="7B0AB4C1" w:rsidR="00252709" w:rsidRPr="00252709" w:rsidRDefault="007B5D0A" w:rsidP="004B7B1F">
      <w:pPr>
        <w:spacing w:after="0" w:line="360" w:lineRule="auto"/>
        <w:contextualSpacing/>
        <w:rPr>
          <w:rFonts w:eastAsia="Times New Roman" w:cs="Tahoma"/>
          <w:bCs/>
          <w:iCs/>
          <w:color w:val="auto"/>
          <w:lang w:eastAsia="es-ES"/>
        </w:rPr>
      </w:pPr>
      <w:r w:rsidRPr="007B5D0A">
        <w:rPr>
          <w:rFonts w:eastAsia="Times New Roman" w:cs="Tahoma"/>
          <w:iCs/>
          <w:color w:val="auto"/>
          <w:lang w:eastAsia="es-ES"/>
        </w:rPr>
        <w:t xml:space="preserve">Conforme a lo </w:t>
      </w:r>
      <w:r w:rsidR="00252709">
        <w:rPr>
          <w:rFonts w:eastAsia="Times New Roman" w:cs="Tahoma"/>
          <w:iCs/>
          <w:color w:val="auto"/>
          <w:lang w:eastAsia="es-ES"/>
        </w:rPr>
        <w:t>expuesto en párrafos anteriores</w:t>
      </w:r>
      <w:r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 xml:space="preserve">se advierte que el Sujeto Obligado, no cumplió con el procedimiento de búsqueda previsto en el artículo 162 de la Ley de Transparencia y Acceso a la Información Pública del Estado de México y Municipios, toda vez que no turnó la solicitud de información </w:t>
      </w:r>
      <w:r w:rsidR="00EA4404">
        <w:rPr>
          <w:rFonts w:eastAsia="Times New Roman" w:cs="Tahoma"/>
          <w:bCs/>
          <w:iCs/>
          <w:color w:val="auto"/>
          <w:lang w:eastAsia="es-ES"/>
        </w:rPr>
        <w:t xml:space="preserve">a </w:t>
      </w:r>
      <w:r w:rsidR="00C915E8">
        <w:rPr>
          <w:rFonts w:eastAsia="Times New Roman" w:cs="Tahoma"/>
          <w:bCs/>
          <w:iCs/>
          <w:color w:val="auto"/>
          <w:lang w:eastAsia="es-ES"/>
        </w:rPr>
        <w:t xml:space="preserve">la </w:t>
      </w:r>
      <w:proofErr w:type="gramStart"/>
      <w:r w:rsidR="00C915E8">
        <w:rPr>
          <w:rFonts w:eastAsia="Times New Roman" w:cs="Tahoma"/>
          <w:bCs/>
          <w:iCs/>
          <w:color w:val="auto"/>
          <w:lang w:eastAsia="es-ES"/>
        </w:rPr>
        <w:t>Directora General</w:t>
      </w:r>
      <w:proofErr w:type="gramEnd"/>
      <w:r w:rsidR="00C915E8">
        <w:rPr>
          <w:rFonts w:eastAsia="Times New Roman" w:cs="Tahoma"/>
          <w:bCs/>
          <w:iCs/>
          <w:color w:val="auto"/>
          <w:lang w:eastAsia="es-ES"/>
        </w:rPr>
        <w:t xml:space="preserve">, encargada de actualizar el libro de actas que ella redactará. </w:t>
      </w:r>
    </w:p>
    <w:p w14:paraId="766732FF" w14:textId="5D7FF120" w:rsidR="007B5D0A" w:rsidRPr="007B5D0A" w:rsidRDefault="007B5D0A" w:rsidP="004B7B1F">
      <w:pPr>
        <w:spacing w:after="0" w:line="360" w:lineRule="auto"/>
        <w:contextualSpacing/>
        <w:rPr>
          <w:rFonts w:eastAsia="Times New Roman" w:cs="Tahoma"/>
          <w:iCs/>
          <w:color w:val="auto"/>
          <w:lang w:eastAsia="es-ES"/>
        </w:rPr>
      </w:pPr>
    </w:p>
    <w:p w14:paraId="56AFB135" w14:textId="56B05D87" w:rsidR="0015016B" w:rsidRPr="0015016B" w:rsidRDefault="00C915E8" w:rsidP="004B7B1F">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Ahora bien, cabe precisar que el Sujeto Obligado </w:t>
      </w:r>
      <w:r w:rsidR="007216BA">
        <w:rPr>
          <w:rFonts w:eastAsia="Times New Roman" w:cs="Tahoma"/>
          <w:iCs/>
          <w:color w:val="auto"/>
          <w:lang w:eastAsia="es-ES"/>
        </w:rPr>
        <w:t>omitió entregar</w:t>
      </w:r>
      <w:r>
        <w:rPr>
          <w:rFonts w:eastAsia="Times New Roman" w:cs="Tahoma"/>
          <w:iCs/>
          <w:color w:val="auto"/>
          <w:lang w:eastAsia="es-ES"/>
        </w:rPr>
        <w:t xml:space="preserve"> el Acta de la Junta de gobierno en la que se aprobó el Tabulador de Sueldos proporcionado en </w:t>
      </w:r>
      <w:r w:rsidR="007216BA">
        <w:rPr>
          <w:rFonts w:eastAsia="Times New Roman" w:cs="Tahoma"/>
          <w:iCs/>
          <w:color w:val="auto"/>
          <w:lang w:eastAsia="es-ES"/>
        </w:rPr>
        <w:t>respuesta, es</w:t>
      </w:r>
      <w:r w:rsidR="0015016B">
        <w:rPr>
          <w:rFonts w:eastAsia="Times New Roman" w:cs="Tahoma"/>
          <w:iCs/>
          <w:color w:val="auto"/>
          <w:lang w:eastAsia="es-ES"/>
        </w:rPr>
        <w:t xml:space="preserve"> decir no entregó la información completa</w:t>
      </w:r>
      <w:r w:rsidR="00D4442D">
        <w:rPr>
          <w:rFonts w:eastAsia="Times New Roman" w:cs="Tahoma"/>
          <w:iCs/>
          <w:color w:val="auto"/>
          <w:lang w:eastAsia="es-ES"/>
        </w:rPr>
        <w:t>;</w:t>
      </w:r>
      <w:r w:rsidR="0015016B">
        <w:rPr>
          <w:rFonts w:eastAsia="Times New Roman" w:cs="Tahoma"/>
          <w:iCs/>
          <w:color w:val="auto"/>
          <w:lang w:eastAsia="es-ES"/>
        </w:rPr>
        <w:t xml:space="preserve"> </w:t>
      </w:r>
      <w:r w:rsidR="0015016B" w:rsidRPr="0015016B">
        <w:rPr>
          <w:rFonts w:eastAsia="Times New Roman" w:cs="Tahoma"/>
          <w:bCs/>
          <w:iCs/>
          <w:color w:val="auto"/>
          <w:lang w:eastAsia="es-ES"/>
        </w:rPr>
        <w:t>sobre el tema</w:t>
      </w:r>
      <w:r w:rsidR="0015016B" w:rsidRPr="0015016B">
        <w:rPr>
          <w:rFonts w:eastAsia="Times New Roman" w:cs="Tahoma"/>
          <w:iCs/>
          <w:color w:val="auto"/>
          <w:lang w:eastAsia="es-ES"/>
        </w:rPr>
        <w:t>, el artículo 1.8, fracción XIII, del Código Administrativo del Estado de México, establece que para que tenga validez, todo acto administrativo deberá resolver todos los puntos propuestos por los interesados.</w:t>
      </w:r>
    </w:p>
    <w:p w14:paraId="2D2E3371" w14:textId="77777777" w:rsidR="0015016B" w:rsidRPr="0015016B" w:rsidRDefault="0015016B" w:rsidP="004B7B1F">
      <w:pPr>
        <w:spacing w:after="0" w:line="360" w:lineRule="auto"/>
        <w:contextualSpacing/>
        <w:rPr>
          <w:rFonts w:eastAsia="Times New Roman" w:cs="Tahoma"/>
          <w:iCs/>
          <w:color w:val="auto"/>
          <w:lang w:eastAsia="es-ES"/>
        </w:rPr>
      </w:pPr>
    </w:p>
    <w:p w14:paraId="6078532F" w14:textId="77777777" w:rsidR="0015016B" w:rsidRPr="0015016B" w:rsidRDefault="0015016B" w:rsidP="004B7B1F">
      <w:pPr>
        <w:spacing w:after="0" w:line="360" w:lineRule="auto"/>
        <w:contextualSpacing/>
        <w:rPr>
          <w:rFonts w:eastAsia="Times New Roman" w:cs="Tahoma"/>
          <w:iCs/>
          <w:color w:val="auto"/>
          <w:lang w:eastAsia="es-ES"/>
        </w:rPr>
      </w:pPr>
      <w:r w:rsidRPr="0015016B">
        <w:rPr>
          <w:rFonts w:eastAsia="Times New Roman" w:cs="Tahoma"/>
          <w:iCs/>
          <w:color w:val="auto"/>
          <w:lang w:eastAsia="es-ES"/>
        </w:rPr>
        <w:t xml:space="preserve">Situación que se robustece, con el </w:t>
      </w:r>
      <w:r w:rsidRPr="0015016B">
        <w:rPr>
          <w:rFonts w:eastAsia="Times New Roman" w:cs="Tahoma"/>
          <w:bCs/>
          <w:iCs/>
          <w:color w:val="auto"/>
          <w:lang w:val="es-ES" w:eastAsia="es-ES"/>
        </w:rPr>
        <w:t>el Criterio de Interpretación</w:t>
      </w:r>
      <w:r w:rsidRPr="0015016B">
        <w:rPr>
          <w:rFonts w:eastAsia="Times New Roman" w:cs="Tahoma"/>
          <w:bCs/>
          <w:iCs/>
          <w:color w:val="auto"/>
          <w:lang w:val="x-none" w:eastAsia="es-ES"/>
        </w:rPr>
        <w:t xml:space="preserve">, con clave de control </w:t>
      </w:r>
      <w:r w:rsidRPr="0015016B">
        <w:rPr>
          <w:rFonts w:eastAsia="Times New Roman" w:cs="Tahoma"/>
          <w:bCs/>
          <w:iCs/>
          <w:color w:val="auto"/>
          <w:lang w:val="es-ES" w:eastAsia="es-ES"/>
        </w:rPr>
        <w:t xml:space="preserve">SO/002/2017, de la Segunda Época, emitido por el Instituto Nacional de Transparencia, Acceso a la Información y Protección de Datos Personales, que </w:t>
      </w:r>
      <w:r w:rsidRPr="0015016B">
        <w:rPr>
          <w:rFonts w:eastAsia="Times New Roman" w:cs="Tahoma"/>
          <w:iCs/>
          <w:color w:val="auto"/>
          <w:lang w:eastAsia="es-ES"/>
        </w:rPr>
        <w:t xml:space="preserve">establece que todo acto administrativo debe apegarse al </w:t>
      </w:r>
      <w:r w:rsidRPr="0015016B">
        <w:rPr>
          <w:rFonts w:eastAsia="Times New Roman" w:cs="Tahoma"/>
          <w:b/>
          <w:bCs/>
          <w:iCs/>
          <w:color w:val="auto"/>
          <w:lang w:eastAsia="es-ES"/>
        </w:rPr>
        <w:t>principio de exhaustividad</w:t>
      </w:r>
      <w:r w:rsidRPr="0015016B">
        <w:rPr>
          <w:rFonts w:eastAsia="Times New Roman" w:cs="Tahoma"/>
          <w:iCs/>
          <w:color w:val="auto"/>
          <w:lang w:eastAsia="es-ES"/>
        </w:rPr>
        <w:t xml:space="preserve">, entendiendo por éste que se </w:t>
      </w:r>
      <w:r w:rsidRPr="0015016B">
        <w:rPr>
          <w:rFonts w:eastAsia="Times New Roman" w:cs="Tahoma"/>
          <w:iCs/>
          <w:color w:val="auto"/>
          <w:lang w:eastAsia="es-ES"/>
        </w:rPr>
        <w:lastRenderedPageBreak/>
        <w:t>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31C29D0" w14:textId="77777777" w:rsidR="0015016B" w:rsidRPr="0015016B" w:rsidRDefault="0015016B" w:rsidP="004B7B1F">
      <w:pPr>
        <w:spacing w:after="0" w:line="360" w:lineRule="auto"/>
        <w:contextualSpacing/>
        <w:rPr>
          <w:rFonts w:eastAsia="Times New Roman" w:cs="Tahoma"/>
          <w:bCs/>
          <w:iCs/>
          <w:color w:val="auto"/>
          <w:lang w:eastAsia="es-ES"/>
        </w:rPr>
      </w:pPr>
    </w:p>
    <w:p w14:paraId="6A7CCE14" w14:textId="2F2283FB" w:rsidR="0015016B" w:rsidRDefault="0015016B" w:rsidP="004B7B1F">
      <w:pPr>
        <w:spacing w:after="0" w:line="360" w:lineRule="auto"/>
        <w:contextualSpacing/>
        <w:rPr>
          <w:rFonts w:eastAsia="Times New Roman" w:cs="Tahoma"/>
          <w:b/>
          <w:bCs/>
          <w:iCs/>
          <w:color w:val="auto"/>
          <w:lang w:eastAsia="es-ES"/>
        </w:rPr>
      </w:pPr>
      <w:r w:rsidRPr="0015016B">
        <w:rPr>
          <w:rFonts w:eastAsia="Times New Roman" w:cs="Tahoma"/>
          <w:iCs/>
          <w:color w:val="auto"/>
          <w:lang w:eastAsia="es-ES"/>
        </w:rPr>
        <w:t xml:space="preserve">En esa tesitura, se concluye que el Sujeto Obligado, no satisfizo el derecho de acceso a la información del Solicitante, al no dar atención al requerimiento de información de manera completa, pues omitió entregar </w:t>
      </w:r>
      <w:r>
        <w:rPr>
          <w:rFonts w:eastAsia="Times New Roman" w:cs="Tahoma"/>
          <w:iCs/>
          <w:color w:val="auto"/>
          <w:lang w:eastAsia="es-ES"/>
        </w:rPr>
        <w:t xml:space="preserve">el </w:t>
      </w:r>
      <w:r w:rsidR="007216BA">
        <w:rPr>
          <w:rFonts w:eastAsia="Times New Roman" w:cs="Tahoma"/>
          <w:iCs/>
          <w:color w:val="auto"/>
          <w:lang w:eastAsia="es-ES"/>
        </w:rPr>
        <w:t>Acta de la Junta de Gobierno en la que se aprobó el Tabulador de Sueldos proporcionado en respuesta</w:t>
      </w:r>
      <w:r w:rsidRPr="0015016B">
        <w:rPr>
          <w:rFonts w:eastAsia="Times New Roman" w:cs="Tahoma"/>
          <w:iCs/>
          <w:color w:val="auto"/>
          <w:lang w:eastAsia="es-ES"/>
        </w:rPr>
        <w:t xml:space="preserve">, lo cual da como resultado que el agravio resulta </w:t>
      </w:r>
      <w:r w:rsidRPr="0015016B">
        <w:rPr>
          <w:rFonts w:eastAsia="Times New Roman" w:cs="Tahoma"/>
          <w:b/>
          <w:bCs/>
          <w:iCs/>
          <w:color w:val="auto"/>
          <w:lang w:eastAsia="es-ES"/>
        </w:rPr>
        <w:t>FUNDADO.</w:t>
      </w:r>
    </w:p>
    <w:p w14:paraId="35C837FD" w14:textId="77777777" w:rsidR="00D4442D" w:rsidRPr="0015016B" w:rsidRDefault="00D4442D" w:rsidP="004B7B1F">
      <w:pPr>
        <w:spacing w:after="0" w:line="360" w:lineRule="auto"/>
        <w:contextualSpacing/>
        <w:rPr>
          <w:rFonts w:eastAsia="Times New Roman" w:cs="Tahoma"/>
          <w:b/>
          <w:bCs/>
          <w:iCs/>
          <w:color w:val="auto"/>
          <w:lang w:eastAsia="es-ES"/>
        </w:rPr>
      </w:pPr>
    </w:p>
    <w:p w14:paraId="3CD75F14" w14:textId="5B403337" w:rsidR="0015016B" w:rsidRPr="0015016B" w:rsidRDefault="0015016B" w:rsidP="004B7B1F">
      <w:pPr>
        <w:spacing w:after="0" w:line="360" w:lineRule="auto"/>
        <w:contextualSpacing/>
        <w:rPr>
          <w:rFonts w:eastAsia="Times New Roman" w:cs="Tahoma"/>
          <w:bCs/>
          <w:iCs/>
          <w:color w:val="auto"/>
          <w:lang w:val="es-ES" w:eastAsia="es-ES"/>
        </w:rPr>
      </w:pPr>
      <w:r w:rsidRPr="0015016B">
        <w:rPr>
          <w:rFonts w:eastAsia="Times New Roman" w:cs="Tahoma"/>
          <w:bCs/>
          <w:iCs/>
          <w:color w:val="auto"/>
          <w:lang w:eastAsia="es-ES"/>
        </w:rPr>
        <w:t>Así, este Instituto considera que, para atender el requerimiento de información, el</w:t>
      </w:r>
      <w:r w:rsidRPr="0015016B">
        <w:rPr>
          <w:rFonts w:eastAsia="Times New Roman" w:cs="Tahoma"/>
          <w:bCs/>
          <w:iCs/>
          <w:color w:val="auto"/>
          <w:lang w:val="es-ES" w:eastAsia="es-ES"/>
        </w:rPr>
        <w:t xml:space="preserve"> Sujeto Obligado deberá realizar una búsqueda exhaustiva y razonable en los archivos de la </w:t>
      </w:r>
      <w:r w:rsidR="007216BA">
        <w:rPr>
          <w:rFonts w:eastAsia="Times New Roman" w:cs="Tahoma"/>
          <w:bCs/>
          <w:iCs/>
          <w:color w:val="auto"/>
          <w:lang w:val="es-ES" w:eastAsia="es-ES"/>
        </w:rPr>
        <w:t>Dirección General</w:t>
      </w:r>
      <w:r w:rsidRPr="0015016B">
        <w:rPr>
          <w:rFonts w:eastAsia="Times New Roman" w:cs="Tahoma"/>
          <w:bCs/>
          <w:iCs/>
          <w:color w:val="auto"/>
          <w:lang w:val="es-ES" w:eastAsia="es-ES"/>
        </w:rPr>
        <w:t xml:space="preserve">, a efecto de que proporcione </w:t>
      </w:r>
      <w:r w:rsidR="0030305E">
        <w:rPr>
          <w:rFonts w:eastAsia="Times New Roman" w:cs="Tahoma"/>
          <w:bCs/>
          <w:iCs/>
          <w:color w:val="auto"/>
          <w:lang w:val="es-ES" w:eastAsia="es-ES"/>
        </w:rPr>
        <w:t xml:space="preserve">el </w:t>
      </w:r>
      <w:r w:rsidR="0030305E" w:rsidRPr="0030305E">
        <w:rPr>
          <w:rFonts w:eastAsia="Times New Roman" w:cs="Tahoma"/>
          <w:iCs/>
          <w:color w:val="auto"/>
          <w:lang w:eastAsia="es-ES"/>
        </w:rPr>
        <w:t xml:space="preserve">documento donde conste </w:t>
      </w:r>
      <w:r w:rsidR="007216BA">
        <w:rPr>
          <w:rFonts w:eastAsia="Times New Roman" w:cs="Tahoma"/>
          <w:iCs/>
          <w:color w:val="auto"/>
          <w:lang w:eastAsia="es-ES"/>
        </w:rPr>
        <w:t xml:space="preserve">el Acta previamente referida. </w:t>
      </w:r>
    </w:p>
    <w:p w14:paraId="2D675344" w14:textId="77777777" w:rsidR="0015016B" w:rsidRPr="0015016B" w:rsidRDefault="0015016B" w:rsidP="004B7B1F">
      <w:pPr>
        <w:spacing w:after="0" w:line="360" w:lineRule="auto"/>
        <w:contextualSpacing/>
        <w:rPr>
          <w:rFonts w:eastAsia="Times New Roman" w:cs="Tahoma"/>
          <w:iCs/>
          <w:color w:val="auto"/>
          <w:lang w:val="es-ES" w:eastAsia="es-ES"/>
        </w:rPr>
      </w:pPr>
    </w:p>
    <w:p w14:paraId="6FF218BD" w14:textId="77777777" w:rsidR="0015016B" w:rsidRPr="0015016B" w:rsidRDefault="0015016B" w:rsidP="004B7B1F">
      <w:pPr>
        <w:spacing w:after="0" w:line="360" w:lineRule="auto"/>
        <w:contextualSpacing/>
        <w:rPr>
          <w:rFonts w:eastAsia="Times New Roman" w:cs="Tahoma"/>
          <w:iCs/>
          <w:color w:val="auto"/>
          <w:lang w:eastAsia="es-ES"/>
        </w:rPr>
      </w:pPr>
      <w:r w:rsidRPr="0015016B">
        <w:rPr>
          <w:rFonts w:eastAsia="Times New Roman" w:cs="Tahoma"/>
          <w:bCs/>
          <w:iCs/>
          <w:color w:val="auto"/>
          <w:lang w:eastAsia="es-ES"/>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ABFDFA" w14:textId="77777777" w:rsidR="0015016B" w:rsidRPr="0015016B" w:rsidRDefault="0015016B" w:rsidP="004B7B1F">
      <w:pPr>
        <w:spacing w:after="0" w:line="360" w:lineRule="auto"/>
        <w:contextualSpacing/>
        <w:rPr>
          <w:rFonts w:eastAsia="Times New Roman" w:cs="Tahoma"/>
          <w:bCs/>
          <w:iCs/>
          <w:color w:val="auto"/>
          <w:lang w:eastAsia="es-ES"/>
        </w:rPr>
      </w:pPr>
    </w:p>
    <w:p w14:paraId="2BBECAEB" w14:textId="77777777" w:rsidR="007216BA" w:rsidRDefault="0015016B" w:rsidP="004B7B1F">
      <w:pPr>
        <w:spacing w:after="0" w:line="360" w:lineRule="auto"/>
        <w:contextualSpacing/>
        <w:rPr>
          <w:rFonts w:eastAsia="Times New Roman" w:cs="Tahoma"/>
          <w:bCs/>
          <w:iCs/>
          <w:color w:val="auto"/>
          <w:lang w:eastAsia="es-ES"/>
        </w:rPr>
      </w:pPr>
      <w:r w:rsidRPr="0015016B">
        <w:rPr>
          <w:rFonts w:eastAsia="Times New Roman" w:cs="Tahoma"/>
          <w:bCs/>
          <w:iCs/>
          <w:color w:val="auto"/>
          <w:lang w:eastAsia="es-ES"/>
        </w:rPr>
        <w:lastRenderedPageBreak/>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r w:rsidR="00D4442D">
        <w:rPr>
          <w:rFonts w:eastAsia="Times New Roman" w:cs="Tahoma"/>
          <w:bCs/>
          <w:iCs/>
          <w:color w:val="auto"/>
          <w:lang w:eastAsia="es-ES"/>
        </w:rPr>
        <w:t xml:space="preserve"> </w:t>
      </w:r>
    </w:p>
    <w:p w14:paraId="06D79D9D" w14:textId="77777777" w:rsidR="007216BA" w:rsidRDefault="007216BA" w:rsidP="004B7B1F">
      <w:pPr>
        <w:spacing w:after="0" w:line="360" w:lineRule="auto"/>
        <w:contextualSpacing/>
        <w:rPr>
          <w:rFonts w:eastAsia="Times New Roman" w:cs="Tahoma"/>
          <w:bCs/>
          <w:iCs/>
          <w:color w:val="auto"/>
          <w:lang w:eastAsia="es-ES"/>
        </w:rPr>
      </w:pPr>
    </w:p>
    <w:p w14:paraId="2DE73319" w14:textId="517B6B7E" w:rsidR="0015016B" w:rsidRPr="00780EC7" w:rsidRDefault="0015016B" w:rsidP="004B7B1F">
      <w:pPr>
        <w:spacing w:after="0" w:line="360" w:lineRule="auto"/>
        <w:contextualSpacing/>
        <w:rPr>
          <w:rFonts w:eastAsia="Palatino Linotype" w:cs="Palatino Linotype"/>
          <w:color w:val="auto"/>
          <w:lang w:eastAsia="es-MX"/>
        </w:rPr>
      </w:pPr>
      <w:r w:rsidRPr="00780EC7">
        <w:rPr>
          <w:rFonts w:eastAsia="Palatino Linotype" w:cs="Palatino Linotype"/>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30305E">
        <w:rPr>
          <w:rFonts w:eastAsia="Palatino Linotype" w:cs="Palatino Linotype"/>
          <w:color w:val="auto"/>
          <w:lang w:eastAsia="es-MX"/>
        </w:rPr>
        <w:t>el documento</w:t>
      </w:r>
      <w:r w:rsidRPr="00780EC7">
        <w:rPr>
          <w:rFonts w:eastAsia="Palatino Linotype" w:cs="Palatino Linotype"/>
          <w:color w:val="auto"/>
          <w:lang w:eastAsia="es-MX"/>
        </w:rPr>
        <w:t xml:space="preserve"> que d</w:t>
      </w:r>
      <w:r w:rsidR="0030305E">
        <w:rPr>
          <w:rFonts w:eastAsia="Palatino Linotype" w:cs="Palatino Linotype"/>
          <w:color w:val="auto"/>
          <w:lang w:eastAsia="es-MX"/>
        </w:rPr>
        <w:t>é</w:t>
      </w:r>
      <w:r w:rsidRPr="00780EC7">
        <w:rPr>
          <w:rFonts w:eastAsia="Palatino Linotype" w:cs="Palatino Linotype"/>
          <w:color w:val="auto"/>
          <w:lang w:eastAsia="es-MX"/>
        </w:rPr>
        <w:t xml:space="preserve"> cuenta de lo requerido</w:t>
      </w:r>
      <w:r>
        <w:rPr>
          <w:rFonts w:eastAsia="Palatino Linotype" w:cs="Palatino Linotype"/>
          <w:color w:val="auto"/>
          <w:lang w:eastAsia="es-MX"/>
        </w:rPr>
        <w:t>.</w:t>
      </w:r>
    </w:p>
    <w:p w14:paraId="6559BC2E" w14:textId="77777777" w:rsidR="00780EC7" w:rsidRDefault="00780EC7" w:rsidP="004B7B1F">
      <w:pPr>
        <w:spacing w:after="0" w:line="360" w:lineRule="auto"/>
        <w:rPr>
          <w:rFonts w:eastAsia="Times New Roman" w:cs="Tahoma"/>
          <w:iCs/>
          <w:lang w:eastAsia="es-ES"/>
        </w:rPr>
      </w:pPr>
    </w:p>
    <w:p w14:paraId="073E996C" w14:textId="77777777" w:rsidR="007216BA" w:rsidRDefault="002A0B3A" w:rsidP="004B7B1F">
      <w:pPr>
        <w:spacing w:after="0" w:line="360" w:lineRule="auto"/>
        <w:rPr>
          <w:rFonts w:eastAsia="Calibri" w:cs="Times New Roman"/>
          <w:bCs/>
          <w:iCs/>
          <w:color w:val="auto"/>
          <w:lang w:val="es-ES"/>
        </w:rPr>
      </w:pPr>
      <w:r w:rsidRPr="00780EC7">
        <w:rPr>
          <w:rFonts w:eastAsia="Calibri" w:cs="Times New Roman"/>
          <w:bCs/>
          <w:iCs/>
          <w:color w:val="auto"/>
        </w:rPr>
        <w:t xml:space="preserve">Ahora bien, no pasa desapercibido para este Instituto que los documentos, pudieran contener datos </w:t>
      </w:r>
      <w:r w:rsidR="00D4442D">
        <w:rPr>
          <w:rFonts w:eastAsia="Calibri" w:cs="Times New Roman"/>
          <w:bCs/>
          <w:iCs/>
          <w:color w:val="auto"/>
        </w:rPr>
        <w:t>o información clasificada</w:t>
      </w:r>
      <w:r w:rsidRPr="00780EC7">
        <w:rPr>
          <w:rFonts w:eastAsia="Calibri" w:cs="Times New Roman"/>
          <w:bCs/>
          <w:iCs/>
          <w:color w:val="auto"/>
        </w:rPr>
        <w:t>; por lo que, en el supuesto, deberá elaborar la versión pública respectiva; a</w:t>
      </w:r>
      <w:r w:rsidRPr="00780EC7">
        <w:rPr>
          <w:rFonts w:eastAsia="Calibri" w:cs="Times New Roman"/>
          <w:bCs/>
          <w:iCs/>
          <w:color w:val="auto"/>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F529000" w14:textId="77777777" w:rsidR="007216BA" w:rsidRDefault="007216BA" w:rsidP="004B7B1F">
      <w:pPr>
        <w:spacing w:after="0" w:line="360" w:lineRule="auto"/>
        <w:rPr>
          <w:rFonts w:eastAsia="Calibri" w:cs="Times New Roman"/>
          <w:bCs/>
          <w:iCs/>
          <w:color w:val="auto"/>
          <w:lang w:val="es-ES"/>
        </w:rPr>
      </w:pPr>
    </w:p>
    <w:p w14:paraId="34ED85BA" w14:textId="07908BDF" w:rsidR="002A0B3A" w:rsidRDefault="002A0B3A" w:rsidP="004B7B1F">
      <w:pPr>
        <w:spacing w:after="0" w:line="360" w:lineRule="auto"/>
        <w:rPr>
          <w:rFonts w:eastAsia="Calibri" w:cs="Times New Roman"/>
          <w:bCs/>
          <w:iCs/>
          <w:color w:val="auto"/>
          <w:lang w:val="es-ES"/>
        </w:rPr>
      </w:pPr>
      <w:r w:rsidRPr="00780EC7">
        <w:rPr>
          <w:rFonts w:eastAsia="Calibri" w:cs="Times New Roman"/>
          <w:bCs/>
          <w:iCs/>
          <w:color w:val="auto"/>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780EC7" w:rsidRPr="00780EC7">
        <w:rPr>
          <w:rFonts w:eastAsia="Calibri" w:cs="Times New Roman"/>
          <w:bCs/>
          <w:iCs/>
          <w:color w:val="auto"/>
          <w:lang w:val="es-ES"/>
        </w:rPr>
        <w:t>.</w:t>
      </w:r>
    </w:p>
    <w:p w14:paraId="03B808B4" w14:textId="77777777" w:rsidR="007216BA" w:rsidRPr="007216BA" w:rsidRDefault="007216BA" w:rsidP="004B7B1F">
      <w:pPr>
        <w:spacing w:after="0" w:line="360" w:lineRule="auto"/>
        <w:rPr>
          <w:rFonts w:eastAsia="Calibri" w:cs="Times New Roman"/>
          <w:bCs/>
          <w:iCs/>
          <w:color w:val="auto"/>
          <w:lang w:val="es-ES"/>
        </w:rPr>
      </w:pPr>
    </w:p>
    <w:p w14:paraId="172FFE0D" w14:textId="0D8CB891" w:rsidR="002A0B3A" w:rsidRPr="00A94CDA" w:rsidRDefault="002A0B3A" w:rsidP="004B7B1F">
      <w:pPr>
        <w:pStyle w:val="Ttulo2"/>
        <w:spacing w:before="0" w:line="360" w:lineRule="auto"/>
        <w:rPr>
          <w:rFonts w:ascii="Palatino Linotype" w:eastAsia="Calibri" w:hAnsi="Palatino Linotype"/>
          <w:b/>
          <w:color w:val="000000" w:themeColor="text1"/>
          <w:sz w:val="22"/>
          <w:szCs w:val="22"/>
        </w:rPr>
      </w:pPr>
      <w:bookmarkStart w:id="16" w:name="_Toc205478506"/>
      <w:r w:rsidRPr="00A94CDA">
        <w:rPr>
          <w:rFonts w:ascii="Palatino Linotype" w:eastAsia="Calibri" w:hAnsi="Palatino Linotype"/>
          <w:b/>
          <w:color w:val="000000" w:themeColor="text1"/>
          <w:sz w:val="22"/>
          <w:szCs w:val="22"/>
        </w:rPr>
        <w:t>SEXTO. Decisión</w:t>
      </w:r>
      <w:bookmarkEnd w:id="16"/>
    </w:p>
    <w:p w14:paraId="2731E528" w14:textId="77777777" w:rsidR="002A0B3A" w:rsidRPr="00D42734" w:rsidRDefault="002A0B3A" w:rsidP="004B7B1F">
      <w:pPr>
        <w:spacing w:after="0" w:line="360" w:lineRule="auto"/>
        <w:contextualSpacing/>
        <w:rPr>
          <w:rFonts w:eastAsia="Calibri" w:cs="Tahoma"/>
          <w:b/>
          <w:color w:val="auto"/>
        </w:rPr>
      </w:pPr>
    </w:p>
    <w:p w14:paraId="2D2B5DA0" w14:textId="21EAF528" w:rsidR="0030305E" w:rsidRPr="0030305E" w:rsidRDefault="0030305E" w:rsidP="004B7B1F">
      <w:pPr>
        <w:spacing w:after="0" w:line="360" w:lineRule="auto"/>
        <w:contextualSpacing/>
        <w:rPr>
          <w:rFonts w:cs="Tahoma"/>
        </w:rPr>
      </w:pPr>
      <w:r w:rsidRPr="0030305E">
        <w:rPr>
          <w:rFonts w:cs="Tahoma"/>
        </w:rPr>
        <w:t xml:space="preserve">Con fundamento en el artículo 186, fracción III, de la Ley de Transparencia y Acceso a la Información Pública del Estado de México y Municipios, este Instituto considera procedente </w:t>
      </w:r>
      <w:r w:rsidRPr="0030305E">
        <w:rPr>
          <w:rFonts w:cs="Tahoma"/>
          <w:b/>
          <w:bCs/>
        </w:rPr>
        <w:t>MODIFICAR</w:t>
      </w:r>
      <w:r w:rsidRPr="0030305E">
        <w:rPr>
          <w:rFonts w:cs="Tahoma"/>
        </w:rPr>
        <w:t xml:space="preserve"> la respuesta otorgada por el Sujeto Obligado a la solicitud de información </w:t>
      </w:r>
      <w:r w:rsidR="007216BA" w:rsidRPr="007216BA">
        <w:rPr>
          <w:rFonts w:cs="Tahoma"/>
        </w:rPr>
        <w:t>00071/DIFCOCOTITLAN/IP/2025</w:t>
      </w:r>
      <w:r w:rsidRPr="0030305E">
        <w:rPr>
          <w:rFonts w:cs="Tahoma"/>
        </w:rPr>
        <w:t>, a efecto de que entregue, en versión pública, la información solicitada.</w:t>
      </w:r>
    </w:p>
    <w:p w14:paraId="329AC632" w14:textId="77777777" w:rsidR="002A0B3A" w:rsidRPr="00D42734" w:rsidRDefault="002A0B3A" w:rsidP="004B7B1F">
      <w:pPr>
        <w:spacing w:after="0" w:line="360" w:lineRule="auto"/>
        <w:contextualSpacing/>
        <w:rPr>
          <w:rFonts w:eastAsia="Times New Roman" w:cs="Tahoma"/>
          <w:color w:val="auto"/>
          <w:szCs w:val="24"/>
          <w:lang w:val="es-ES" w:eastAsia="es-ES"/>
        </w:rPr>
      </w:pPr>
    </w:p>
    <w:p w14:paraId="76B23D88" w14:textId="6CF90AC0" w:rsidR="002A0B3A" w:rsidRPr="00D42734" w:rsidRDefault="002A0B3A" w:rsidP="004B7B1F">
      <w:pPr>
        <w:spacing w:after="0" w:line="360" w:lineRule="auto"/>
        <w:contextualSpacing/>
        <w:rPr>
          <w:rFonts w:eastAsia="Calibri" w:cs="Tahoma"/>
          <w:b/>
          <w:bCs/>
          <w:color w:val="auto"/>
        </w:rPr>
      </w:pPr>
      <w:r w:rsidRPr="00D42734">
        <w:rPr>
          <w:rFonts w:eastAsia="Calibri" w:cs="Tahoma"/>
          <w:b/>
          <w:bCs/>
          <w:color w:val="auto"/>
        </w:rPr>
        <w:t>Términos de la Resolución p</w:t>
      </w:r>
      <w:r w:rsidR="006507A2">
        <w:rPr>
          <w:rFonts w:eastAsia="Calibri" w:cs="Tahoma"/>
          <w:b/>
          <w:bCs/>
          <w:color w:val="auto"/>
        </w:rPr>
        <w:t>ara conocimiento del Particular</w:t>
      </w:r>
    </w:p>
    <w:p w14:paraId="2EEF94A6" w14:textId="77777777" w:rsidR="002A0B3A" w:rsidRPr="00D42734" w:rsidRDefault="002A0B3A" w:rsidP="004B7B1F">
      <w:pPr>
        <w:spacing w:after="0" w:line="360" w:lineRule="auto"/>
        <w:contextualSpacing/>
        <w:rPr>
          <w:rFonts w:eastAsia="Calibri" w:cs="Tahoma"/>
          <w:b/>
          <w:bCs/>
          <w:color w:val="auto"/>
        </w:rPr>
      </w:pPr>
    </w:p>
    <w:p w14:paraId="387FDA94" w14:textId="17A8B78E" w:rsidR="002A0B3A" w:rsidRPr="006507A2" w:rsidRDefault="002A0B3A" w:rsidP="004B7B1F">
      <w:pPr>
        <w:spacing w:after="0" w:line="360" w:lineRule="auto"/>
      </w:pPr>
      <w:r w:rsidRPr="008623AB">
        <w:t xml:space="preserve">Se le hace del conocimiento a la persona Recurrente que, en el presente asunto, se le da la razón, pues </w:t>
      </w:r>
      <w:r w:rsidR="00780EC7">
        <w:t xml:space="preserve">el </w:t>
      </w:r>
      <w:r w:rsidR="006507A2" w:rsidRPr="007216BA">
        <w:t>Sistema Municipal para el Desarrollo Integral de la Familia de Cocotitlán</w:t>
      </w:r>
      <w:r w:rsidR="006507A2">
        <w:t xml:space="preserve">, </w:t>
      </w:r>
      <w:r w:rsidR="00780EC7">
        <w:t xml:space="preserve">no </w:t>
      </w:r>
      <w:r w:rsidR="0030305E">
        <w:t>proporcionó la información completa</w:t>
      </w:r>
      <w:r w:rsidRPr="008623AB">
        <w:t>. Por ello, usted debe recibir a través del Sistema de Acceso a la Información Mexiquense (SAIMEX)</w:t>
      </w:r>
      <w:r>
        <w:t xml:space="preserve"> la información solicitada. </w:t>
      </w:r>
      <w:r>
        <w:rPr>
          <w:color w:val="000000"/>
        </w:rPr>
        <w:t>L</w:t>
      </w:r>
      <w:r w:rsidRPr="008623AB">
        <w:rPr>
          <w:color w:val="000000"/>
        </w:rPr>
        <w:t xml:space="preserve">a labor del </w:t>
      </w:r>
      <w:proofErr w:type="gramStart"/>
      <w:r w:rsidRPr="008623AB">
        <w:rPr>
          <w:color w:val="000000"/>
        </w:rPr>
        <w:t>Instituto,</w:t>
      </w:r>
      <w:proofErr w:type="gramEnd"/>
      <w:r w:rsidRPr="008623AB">
        <w:rPr>
          <w:color w:val="000000"/>
        </w:rPr>
        <w:t xml:space="preserve"> es apoyar a la población a acceder a la información pública y garantizar la protección de sus datos personales.</w:t>
      </w:r>
    </w:p>
    <w:p w14:paraId="0B887F14" w14:textId="77777777" w:rsidR="005032B4" w:rsidRPr="005032B4" w:rsidRDefault="005032B4" w:rsidP="004B7B1F">
      <w:pPr>
        <w:spacing w:after="0" w:line="360" w:lineRule="auto"/>
      </w:pPr>
    </w:p>
    <w:p w14:paraId="1BF135B6" w14:textId="77777777" w:rsidR="002A0B3A" w:rsidRPr="00D42734" w:rsidRDefault="002A0B3A" w:rsidP="004B7B1F">
      <w:pPr>
        <w:spacing w:after="0" w:line="360" w:lineRule="auto"/>
        <w:contextualSpacing/>
        <w:rPr>
          <w:rFonts w:eastAsia="Calibri" w:cs="Tahoma"/>
          <w:bCs/>
          <w:color w:val="auto"/>
        </w:rPr>
      </w:pPr>
      <w:r w:rsidRPr="00D42734">
        <w:rPr>
          <w:rFonts w:eastAsia="Calibri" w:cs="Tahoma"/>
          <w:bCs/>
          <w:color w:val="auto"/>
        </w:rPr>
        <w:t>Por lo expuesto y fundado, este Pleno:</w:t>
      </w:r>
    </w:p>
    <w:p w14:paraId="0FA647B5" w14:textId="77777777" w:rsidR="002A0B3A" w:rsidRPr="00D42734" w:rsidRDefault="002A0B3A" w:rsidP="004B7B1F">
      <w:pPr>
        <w:spacing w:after="0" w:line="360" w:lineRule="auto"/>
        <w:contextualSpacing/>
        <w:rPr>
          <w:rFonts w:eastAsia="Calibri" w:cs="Tahoma"/>
          <w:bCs/>
          <w:color w:val="auto"/>
        </w:rPr>
      </w:pPr>
    </w:p>
    <w:p w14:paraId="7919B441" w14:textId="3E967EC1" w:rsidR="002A0B3A" w:rsidRPr="00A94CDA" w:rsidRDefault="002A0B3A" w:rsidP="004B7B1F">
      <w:pPr>
        <w:pStyle w:val="Ttulo1"/>
        <w:spacing w:before="0" w:line="360" w:lineRule="auto"/>
        <w:jc w:val="center"/>
        <w:rPr>
          <w:rFonts w:ascii="Palatino Linotype" w:eastAsia="Calibri" w:hAnsi="Palatino Linotype"/>
          <w:b/>
          <w:color w:val="000000" w:themeColor="text1"/>
          <w:sz w:val="22"/>
          <w:szCs w:val="22"/>
        </w:rPr>
      </w:pPr>
      <w:bookmarkStart w:id="17" w:name="_Toc205478507"/>
      <w:r w:rsidRPr="00A94CDA">
        <w:rPr>
          <w:rFonts w:ascii="Palatino Linotype" w:eastAsia="Calibri" w:hAnsi="Palatino Linotype"/>
          <w:b/>
          <w:color w:val="000000" w:themeColor="text1"/>
          <w:sz w:val="22"/>
          <w:szCs w:val="22"/>
        </w:rPr>
        <w:t>R E S U E L V E</w:t>
      </w:r>
      <w:bookmarkEnd w:id="17"/>
    </w:p>
    <w:p w14:paraId="6A252915" w14:textId="77777777" w:rsidR="002A0B3A" w:rsidRPr="00D42734" w:rsidRDefault="002A0B3A" w:rsidP="004B7B1F">
      <w:pPr>
        <w:spacing w:after="0" w:line="360" w:lineRule="auto"/>
        <w:ind w:right="-91"/>
        <w:contextualSpacing/>
        <w:jc w:val="center"/>
        <w:rPr>
          <w:rFonts w:eastAsia="Calibri" w:cs="Tahoma"/>
          <w:b/>
          <w:bCs/>
          <w:color w:val="auto"/>
        </w:rPr>
      </w:pPr>
    </w:p>
    <w:p w14:paraId="61131763" w14:textId="395EBDB0" w:rsidR="0030305E" w:rsidRPr="0030305E" w:rsidRDefault="0030305E" w:rsidP="004B7B1F">
      <w:pPr>
        <w:spacing w:after="0" w:line="360" w:lineRule="auto"/>
      </w:pPr>
      <w:r w:rsidRPr="0030305E">
        <w:rPr>
          <w:b/>
        </w:rPr>
        <w:t xml:space="preserve">PRIMERO. </w:t>
      </w:r>
      <w:r w:rsidRPr="0030305E">
        <w:t xml:space="preserve">Se </w:t>
      </w:r>
      <w:r w:rsidRPr="0030305E">
        <w:rPr>
          <w:b/>
        </w:rPr>
        <w:t xml:space="preserve">MODIFICA </w:t>
      </w:r>
      <w:r w:rsidRPr="0030305E">
        <w:t xml:space="preserve">la respuesta entregada por el </w:t>
      </w:r>
      <w:r w:rsidR="007216BA" w:rsidRPr="007216BA">
        <w:t>Sistema Municipal para el Desarrollo Integral de la Familia de Cocotitlán</w:t>
      </w:r>
      <w:r w:rsidRPr="0030305E">
        <w:t xml:space="preserve">, a la solicitud de información </w:t>
      </w:r>
      <w:r w:rsidR="007216BA" w:rsidRPr="007216BA">
        <w:t>00071/DIFCOCOTITLAN/IP/2025</w:t>
      </w:r>
      <w:r w:rsidRPr="0030305E">
        <w:rPr>
          <w:color w:val="000000"/>
        </w:rPr>
        <w:t>,</w:t>
      </w:r>
      <w:r w:rsidRPr="0030305E">
        <w:t xml:space="preserve"> por resultar</w:t>
      </w:r>
      <w:r>
        <w:t xml:space="preserve"> </w:t>
      </w:r>
      <w:r w:rsidRPr="0030305E">
        <w:rPr>
          <w:b/>
          <w:bCs/>
        </w:rPr>
        <w:t>FUNDADAS</w:t>
      </w:r>
      <w:r w:rsidRPr="0030305E">
        <w:rPr>
          <w:b/>
        </w:rPr>
        <w:t xml:space="preserve"> </w:t>
      </w:r>
      <w:r w:rsidRPr="0030305E">
        <w:t xml:space="preserve">las razones o motivos de </w:t>
      </w:r>
      <w:r w:rsidRPr="0030305E">
        <w:lastRenderedPageBreak/>
        <w:t>inconformidad hechos valer por la persona Recurrente, en términos de los considerandos QUINTO y SEXTO de la presente Resolución.</w:t>
      </w:r>
    </w:p>
    <w:p w14:paraId="34750A35" w14:textId="77777777" w:rsidR="0030305E" w:rsidRPr="0030305E" w:rsidRDefault="0030305E" w:rsidP="004B7B1F">
      <w:pPr>
        <w:spacing w:after="0" w:line="360" w:lineRule="auto"/>
      </w:pPr>
    </w:p>
    <w:p w14:paraId="0915538C" w14:textId="2999A468" w:rsidR="0030305E" w:rsidRPr="0030305E" w:rsidRDefault="0030305E" w:rsidP="004B7B1F">
      <w:pPr>
        <w:spacing w:after="0" w:line="360" w:lineRule="auto"/>
        <w:rPr>
          <w:rFonts w:eastAsia="Times New Roman" w:cs="Tahoma"/>
          <w:iCs/>
          <w:color w:val="auto"/>
        </w:rPr>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a efecto de que previa búsqueda exhaustiva y razonable en los archivos de las unidades administrativas competentes, entregue a través del Sistema de Acceso a la Información Mexiquense (SAIMEX), en</w:t>
      </w:r>
      <w:r w:rsidR="007216BA">
        <w:t xml:space="preserve"> su caso en</w:t>
      </w:r>
      <w:r w:rsidRPr="0030305E">
        <w:t xml:space="preserve"> versión pública,</w:t>
      </w:r>
      <w:r w:rsidRPr="0030305E">
        <w:rPr>
          <w:rFonts w:cs="Tahoma"/>
          <w:bCs/>
        </w:rPr>
        <w:t xml:space="preserve"> </w:t>
      </w:r>
      <w:r w:rsidR="004B7B1F">
        <w:rPr>
          <w:rFonts w:cs="Tahoma"/>
          <w:bCs/>
        </w:rPr>
        <w:t xml:space="preserve">el documento con el que contara al veintisiete de mayo de dos mil veinticinco, que dé cuenta de </w:t>
      </w:r>
      <w:r w:rsidRPr="0030305E">
        <w:rPr>
          <w:rFonts w:eastAsia="Times New Roman" w:cs="Tahoma"/>
          <w:iCs/>
          <w:color w:val="auto"/>
        </w:rPr>
        <w:t>lo siguiente:</w:t>
      </w:r>
    </w:p>
    <w:p w14:paraId="1232CF7E" w14:textId="77777777" w:rsidR="0030305E" w:rsidRPr="0030305E" w:rsidRDefault="0030305E" w:rsidP="004B7B1F">
      <w:pPr>
        <w:spacing w:after="0" w:line="360" w:lineRule="auto"/>
        <w:ind w:right="-30"/>
        <w:textAlignment w:val="baseline"/>
        <w:rPr>
          <w:rFonts w:eastAsia="Times New Roman" w:cs="Times New Roman"/>
          <w:color w:val="auto"/>
        </w:rPr>
      </w:pPr>
    </w:p>
    <w:p w14:paraId="424EE000" w14:textId="25990D32" w:rsidR="0030305E" w:rsidRPr="0030305E" w:rsidRDefault="00D4442D" w:rsidP="004B7B1F">
      <w:pPr>
        <w:numPr>
          <w:ilvl w:val="0"/>
          <w:numId w:val="29"/>
        </w:numPr>
        <w:spacing w:after="0" w:line="360" w:lineRule="auto"/>
        <w:contextualSpacing/>
        <w:rPr>
          <w:rFonts w:eastAsia="Times New Roman" w:cs="Times New Roman"/>
          <w:bCs/>
          <w:iCs/>
          <w:szCs w:val="20"/>
          <w:lang w:val="es-ES" w:eastAsia="es-ES"/>
        </w:rPr>
      </w:pPr>
      <w:r>
        <w:rPr>
          <w:color w:val="000000"/>
        </w:rPr>
        <w:t>E</w:t>
      </w:r>
      <w:r w:rsidR="0030305E">
        <w:rPr>
          <w:color w:val="000000"/>
        </w:rPr>
        <w:t xml:space="preserve">l </w:t>
      </w:r>
      <w:r w:rsidR="007216BA">
        <w:rPr>
          <w:color w:val="000000"/>
        </w:rPr>
        <w:t>Acta de la Junta de Gobierno en la que se aprobó el Tabulador de sueldos proporcionado en respuesta</w:t>
      </w:r>
      <w:r w:rsidR="004B7B1F">
        <w:rPr>
          <w:color w:val="000000"/>
        </w:rPr>
        <w:t>.</w:t>
      </w:r>
    </w:p>
    <w:p w14:paraId="66F447EC" w14:textId="77777777" w:rsidR="0030305E" w:rsidRPr="0030305E" w:rsidRDefault="0030305E" w:rsidP="004B7B1F">
      <w:pPr>
        <w:spacing w:after="0" w:line="360" w:lineRule="auto"/>
        <w:ind w:left="720" w:right="-28"/>
        <w:contextualSpacing/>
        <w:rPr>
          <w:rFonts w:cs="Tahoma"/>
          <w:bCs/>
          <w:iCs/>
          <w:lang w:eastAsia="es-ES"/>
        </w:rPr>
      </w:pPr>
    </w:p>
    <w:p w14:paraId="44782677" w14:textId="77777777" w:rsidR="0030305E" w:rsidRPr="0030305E" w:rsidRDefault="0030305E" w:rsidP="004B7B1F">
      <w:pPr>
        <w:spacing w:after="0" w:line="360" w:lineRule="auto"/>
        <w:rPr>
          <w:rFonts w:cs="Tahoma"/>
          <w:bCs/>
          <w:iCs/>
          <w:lang w:eastAsia="es-ES"/>
        </w:rPr>
      </w:pPr>
      <w:r w:rsidRPr="0030305E">
        <w:rPr>
          <w:rFonts w:cs="Tahoma"/>
          <w:bCs/>
          <w:iCs/>
          <w:lang w:eastAsia="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50687520" w14:textId="77777777" w:rsidR="0030305E" w:rsidRPr="0030305E" w:rsidRDefault="0030305E" w:rsidP="004B7B1F">
      <w:pPr>
        <w:spacing w:after="0" w:line="360" w:lineRule="auto"/>
      </w:pPr>
    </w:p>
    <w:p w14:paraId="52623AEB" w14:textId="77777777" w:rsidR="0030305E" w:rsidRPr="0030305E" w:rsidRDefault="0030305E" w:rsidP="004B7B1F">
      <w:pPr>
        <w:spacing w:after="0" w:line="360" w:lineRule="auto"/>
        <w:ind w:right="-28"/>
        <w:rPr>
          <w:b/>
          <w:lang w:eastAsia="es-MX"/>
        </w:rPr>
      </w:pPr>
      <w:r w:rsidRPr="0030305E">
        <w:rPr>
          <w:b/>
          <w:lang w:eastAsia="es-MX"/>
        </w:rPr>
        <w:t xml:space="preserve">TERCERO. NOTIFÍQUESE POR SAIMEX </w:t>
      </w:r>
      <w:r w:rsidRPr="0030305E">
        <w:rPr>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30305E">
        <w:rPr>
          <w:lang w:eastAsia="es-MX"/>
        </w:rPr>
        <w:lastRenderedPageBreak/>
        <w:t>conformidad con lo previsto en los artículos 198, 200, fracción III, 214, 215 y 216 de la Ley referida.</w:t>
      </w:r>
    </w:p>
    <w:p w14:paraId="1D7B3199" w14:textId="77777777" w:rsidR="0030305E" w:rsidRPr="0030305E" w:rsidRDefault="0030305E" w:rsidP="004B7B1F">
      <w:pPr>
        <w:spacing w:after="0" w:line="360" w:lineRule="auto"/>
        <w:ind w:right="-28"/>
        <w:rPr>
          <w:color w:val="000000"/>
          <w:lang w:eastAsia="es-MX"/>
        </w:rPr>
      </w:pPr>
    </w:p>
    <w:p w14:paraId="1A2A8776" w14:textId="518110D9" w:rsidR="0030305E" w:rsidRPr="0030305E" w:rsidRDefault="0030305E" w:rsidP="004B7B1F">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4B7B1F">
      <w:pPr>
        <w:spacing w:after="0" w:line="360" w:lineRule="auto"/>
        <w:rPr>
          <w:color w:val="000000"/>
          <w:lang w:eastAsia="es-MX"/>
        </w:rPr>
      </w:pPr>
    </w:p>
    <w:p w14:paraId="23D54297" w14:textId="77777777" w:rsidR="0030305E" w:rsidRPr="0030305E" w:rsidRDefault="0030305E" w:rsidP="004B7B1F">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4B7B1F">
      <w:pPr>
        <w:spacing w:after="0" w:line="360" w:lineRule="auto"/>
        <w:rPr>
          <w:rFonts w:eastAsia="Calibri" w:cs="Tahoma"/>
          <w:bCs/>
        </w:rPr>
      </w:pPr>
    </w:p>
    <w:p w14:paraId="079D640A" w14:textId="07DC46F5" w:rsidR="0030305E" w:rsidRPr="0030305E" w:rsidRDefault="0030305E" w:rsidP="004B7B1F">
      <w:pPr>
        <w:spacing w:after="0" w:line="360" w:lineRule="auto"/>
        <w:rPr>
          <w:rFonts w:eastAsia="Calibri" w:cs="Tahoma"/>
          <w:bCs/>
        </w:rPr>
      </w:pPr>
      <w:r w:rsidRPr="0030305E">
        <w:rPr>
          <w:rFonts w:eastAsia="Calibri" w:cs="Tahoma"/>
          <w:bCs/>
        </w:rPr>
        <w:t xml:space="preserve">ASÍ LO RESUELVE, POR </w:t>
      </w:r>
      <w:r w:rsidRPr="0030305E">
        <w:rPr>
          <w:rFonts w:eastAsia="Calibri" w:cs="Tahoma"/>
          <w:b/>
        </w:rPr>
        <w:t>UNANIMIDAD</w:t>
      </w:r>
      <w:r w:rsidRPr="0030305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216BA">
        <w:rPr>
          <w:rFonts w:eastAsia="Calibri" w:cs="Tahoma"/>
          <w:bCs/>
        </w:rPr>
        <w:t xml:space="preserve">VIGÉSIMA SÉPTIMA </w:t>
      </w:r>
      <w:r w:rsidRPr="0030305E">
        <w:rPr>
          <w:rFonts w:eastAsia="Calibri" w:cs="Tahoma"/>
          <w:bCs/>
        </w:rPr>
        <w:t xml:space="preserve">SESIÓN ORDINARIA, CELEBRADA EL </w:t>
      </w:r>
      <w:r w:rsidR="007216BA">
        <w:rPr>
          <w:rFonts w:eastAsia="Calibri" w:cs="Tahoma"/>
          <w:bCs/>
        </w:rPr>
        <w:t>SEIS DE AGOSTO</w:t>
      </w:r>
      <w:r w:rsidRPr="0030305E">
        <w:rPr>
          <w:rFonts w:eastAsia="Calibri" w:cs="Tahoma"/>
          <w:bCs/>
        </w:rPr>
        <w:t xml:space="preserve"> DE DOS MIL VEINTICINCO, ANTE EL SECRETARIO TÉCNICO DEL PLENO, ALEXIS TAPIA RAMÍREZ.</w:t>
      </w:r>
    </w:p>
    <w:p w14:paraId="258403CC" w14:textId="77777777" w:rsidR="00B65D21" w:rsidRPr="00C821DD" w:rsidRDefault="00B65D21" w:rsidP="004B7B1F">
      <w:pPr>
        <w:spacing w:after="0" w:line="360" w:lineRule="auto"/>
        <w:contextualSpacing/>
        <w:rPr>
          <w:rFonts w:eastAsia="Calibri"/>
          <w:color w:val="FF0000"/>
        </w:rPr>
      </w:pPr>
    </w:p>
    <w:p w14:paraId="3EC3E9BD" w14:textId="77777777" w:rsidR="00CE7148" w:rsidRDefault="00CE7148" w:rsidP="004B7B1F">
      <w:pPr>
        <w:spacing w:after="0" w:line="360" w:lineRule="auto"/>
        <w:rPr>
          <w:color w:val="FF0000"/>
        </w:rPr>
      </w:pPr>
    </w:p>
    <w:p w14:paraId="4F4CCF40" w14:textId="77777777" w:rsidR="00A9056D" w:rsidRDefault="00A9056D" w:rsidP="004B7B1F">
      <w:pPr>
        <w:spacing w:after="0" w:line="360" w:lineRule="auto"/>
        <w:rPr>
          <w:color w:val="FF0000"/>
        </w:rPr>
      </w:pPr>
    </w:p>
    <w:p w14:paraId="30C2B0A8" w14:textId="77777777" w:rsidR="00A9056D" w:rsidRDefault="00A9056D" w:rsidP="004B7B1F">
      <w:pPr>
        <w:spacing w:after="0" w:line="360" w:lineRule="auto"/>
        <w:rPr>
          <w:color w:val="FF0000"/>
        </w:rPr>
      </w:pPr>
    </w:p>
    <w:p w14:paraId="70E8439B" w14:textId="77777777" w:rsidR="00A9056D" w:rsidRDefault="00A9056D" w:rsidP="004B7B1F">
      <w:pPr>
        <w:spacing w:after="0" w:line="360" w:lineRule="auto"/>
        <w:rPr>
          <w:color w:val="FF0000"/>
        </w:rPr>
      </w:pPr>
    </w:p>
    <w:p w14:paraId="7146A7F6" w14:textId="77777777" w:rsidR="00A9056D" w:rsidRDefault="00A9056D" w:rsidP="004B7B1F">
      <w:pPr>
        <w:spacing w:after="0" w:line="360" w:lineRule="auto"/>
        <w:rPr>
          <w:color w:val="FF0000"/>
        </w:rPr>
      </w:pPr>
    </w:p>
    <w:p w14:paraId="15A13D10" w14:textId="77777777" w:rsidR="00A9056D" w:rsidRDefault="00A9056D" w:rsidP="004B7B1F">
      <w:pPr>
        <w:spacing w:after="0" w:line="360" w:lineRule="auto"/>
        <w:rPr>
          <w:color w:val="FF0000"/>
        </w:rPr>
      </w:pPr>
    </w:p>
    <w:p w14:paraId="36F176C9" w14:textId="77777777" w:rsidR="00A9056D" w:rsidRDefault="00A9056D" w:rsidP="004B7B1F">
      <w:pPr>
        <w:spacing w:after="0" w:line="360" w:lineRule="auto"/>
        <w:rPr>
          <w:color w:val="FF0000"/>
        </w:rPr>
      </w:pPr>
    </w:p>
    <w:p w14:paraId="4D86D97F" w14:textId="77777777" w:rsidR="00A9056D" w:rsidRDefault="00A9056D" w:rsidP="004B7B1F">
      <w:pPr>
        <w:spacing w:after="0" w:line="360" w:lineRule="auto"/>
        <w:rPr>
          <w:color w:val="FF0000"/>
        </w:rPr>
      </w:pPr>
    </w:p>
    <w:p w14:paraId="06DD7401" w14:textId="77777777" w:rsidR="00A9056D" w:rsidRDefault="00A9056D" w:rsidP="004B7B1F">
      <w:pPr>
        <w:spacing w:after="0" w:line="360" w:lineRule="auto"/>
        <w:rPr>
          <w:color w:val="FF0000"/>
        </w:rPr>
      </w:pPr>
    </w:p>
    <w:p w14:paraId="436CEB7B" w14:textId="77777777" w:rsidR="00A9056D" w:rsidRDefault="00A9056D" w:rsidP="004B7B1F">
      <w:pPr>
        <w:spacing w:after="0" w:line="360" w:lineRule="auto"/>
        <w:rPr>
          <w:color w:val="FF0000"/>
        </w:rPr>
      </w:pPr>
    </w:p>
    <w:p w14:paraId="465D31F1" w14:textId="77777777" w:rsidR="00A9056D" w:rsidRPr="00C821DD" w:rsidRDefault="00A9056D" w:rsidP="004B7B1F">
      <w:pPr>
        <w:spacing w:after="0" w:line="360" w:lineRule="auto"/>
        <w:rPr>
          <w:color w:val="FF0000"/>
        </w:rPr>
      </w:pPr>
    </w:p>
    <w:sectPr w:rsidR="00A9056D" w:rsidRPr="00C821DD" w:rsidSect="00647DF2">
      <w:headerReference w:type="even" r:id="rId9"/>
      <w:headerReference w:type="default" r:id="rId10"/>
      <w:footerReference w:type="even" r:id="rId11"/>
      <w:footerReference w:type="default" r:id="rId12"/>
      <w:headerReference w:type="first" r:id="rId13"/>
      <w:footerReference w:type="first" r:id="rId14"/>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99AB" w14:textId="77777777" w:rsidR="00467FB9" w:rsidRDefault="00467FB9" w:rsidP="00DB3DC5">
      <w:pPr>
        <w:spacing w:after="0" w:line="240" w:lineRule="auto"/>
      </w:pPr>
      <w:r>
        <w:separator/>
      </w:r>
    </w:p>
  </w:endnote>
  <w:endnote w:type="continuationSeparator" w:id="0">
    <w:p w14:paraId="18405743" w14:textId="77777777" w:rsidR="00467FB9" w:rsidRDefault="00467FB9"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9180"/>
      <w:docPartObj>
        <w:docPartGallery w:val="Page Numbers (Bottom of Page)"/>
        <w:docPartUnique/>
      </w:docPartObj>
    </w:sdtPr>
    <w:sdtContent>
      <w:sdt>
        <w:sdtPr>
          <w:id w:val="1684393491"/>
          <w:docPartObj>
            <w:docPartGallery w:val="Page Numbers (Top of Page)"/>
            <w:docPartUnique/>
          </w:docPartObj>
        </w:sdtPr>
        <w:sdtContent>
          <w:p w14:paraId="271EF021" w14:textId="77777777" w:rsidR="0034777F" w:rsidRDefault="003477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68EED6E3" w14:textId="77777777" w:rsidR="0034777F" w:rsidRDefault="003477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1549"/>
      <w:docPartObj>
        <w:docPartGallery w:val="Page Numbers (Bottom of Page)"/>
        <w:docPartUnique/>
      </w:docPartObj>
    </w:sdtPr>
    <w:sdtContent>
      <w:sdt>
        <w:sdtPr>
          <w:id w:val="-125931169"/>
          <w:docPartObj>
            <w:docPartGallery w:val="Page Numbers (Top of Page)"/>
            <w:docPartUnique/>
          </w:docPartObj>
        </w:sdtPr>
        <w:sdtContent>
          <w:p w14:paraId="54AF1A6A" w14:textId="77777777" w:rsidR="0034777F" w:rsidRDefault="003477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7BD6">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7BD6">
              <w:rPr>
                <w:b/>
                <w:bCs/>
                <w:noProof/>
              </w:rPr>
              <w:t>19</w:t>
            </w:r>
            <w:r>
              <w:rPr>
                <w:b/>
                <w:bCs/>
                <w:sz w:val="24"/>
                <w:szCs w:val="24"/>
              </w:rPr>
              <w:fldChar w:fldCharType="end"/>
            </w:r>
          </w:p>
        </w:sdtContent>
      </w:sdt>
    </w:sdtContent>
  </w:sdt>
  <w:p w14:paraId="5C9540ED" w14:textId="77777777" w:rsidR="0034777F" w:rsidRDefault="003477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15167"/>
      <w:docPartObj>
        <w:docPartGallery w:val="Page Numbers (Bottom of Page)"/>
        <w:docPartUnique/>
      </w:docPartObj>
    </w:sdtPr>
    <w:sdtContent>
      <w:sdt>
        <w:sdtPr>
          <w:id w:val="101382918"/>
          <w:docPartObj>
            <w:docPartGallery w:val="Page Numbers (Top of Page)"/>
            <w:docPartUnique/>
          </w:docPartObj>
        </w:sdtPr>
        <w:sdtContent>
          <w:p w14:paraId="4208A12E" w14:textId="77777777" w:rsidR="0034777F" w:rsidRDefault="003477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7B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7BD6">
              <w:rPr>
                <w:b/>
                <w:bCs/>
                <w:noProof/>
              </w:rPr>
              <w:t>19</w:t>
            </w:r>
            <w:r>
              <w:rPr>
                <w:b/>
                <w:bCs/>
                <w:sz w:val="24"/>
                <w:szCs w:val="24"/>
              </w:rPr>
              <w:fldChar w:fldCharType="end"/>
            </w:r>
          </w:p>
        </w:sdtContent>
      </w:sdt>
    </w:sdtContent>
  </w:sdt>
  <w:p w14:paraId="601C40B8" w14:textId="77777777" w:rsidR="0034777F" w:rsidRDefault="00347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CF71" w14:textId="77777777" w:rsidR="00467FB9" w:rsidRDefault="00467FB9" w:rsidP="00DB3DC5">
      <w:pPr>
        <w:spacing w:after="0" w:line="240" w:lineRule="auto"/>
      </w:pPr>
      <w:r>
        <w:separator/>
      </w:r>
    </w:p>
  </w:footnote>
  <w:footnote w:type="continuationSeparator" w:id="0">
    <w:p w14:paraId="3A637409" w14:textId="77777777" w:rsidR="00467FB9" w:rsidRDefault="00467FB9"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34777F" w:rsidRPr="00E152D8" w14:paraId="04B090CA" w14:textId="77777777" w:rsidTr="00347876">
      <w:trPr>
        <w:trHeight w:val="132"/>
      </w:trPr>
      <w:tc>
        <w:tcPr>
          <w:tcW w:w="2691" w:type="dxa"/>
        </w:tcPr>
        <w:p w14:paraId="476D4D83" w14:textId="77777777" w:rsidR="0034777F" w:rsidRPr="00E152D8" w:rsidRDefault="0034777F"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34777F" w:rsidRPr="00EE1572" w:rsidRDefault="0034777F" w:rsidP="00347876">
          <w:pPr>
            <w:tabs>
              <w:tab w:val="right" w:pos="8838"/>
            </w:tabs>
            <w:ind w:left="-28" w:right="-32"/>
            <w:rPr>
              <w:rFonts w:eastAsia="Calibri" w:cs="Tahoma"/>
            </w:rPr>
          </w:pPr>
          <w:r w:rsidRPr="00EE1572">
            <w:rPr>
              <w:rFonts w:eastAsia="Calibri" w:cs="Tahoma"/>
            </w:rPr>
            <w:t>03846/INFOEM/IP/RR/2020</w:t>
          </w:r>
        </w:p>
      </w:tc>
    </w:tr>
    <w:tr w:rsidR="0034777F" w:rsidRPr="00E152D8" w14:paraId="1A944E3B" w14:textId="77777777" w:rsidTr="00347876">
      <w:trPr>
        <w:trHeight w:val="261"/>
      </w:trPr>
      <w:tc>
        <w:tcPr>
          <w:tcW w:w="2691" w:type="dxa"/>
        </w:tcPr>
        <w:p w14:paraId="04AF3D79" w14:textId="77777777" w:rsidR="0034777F" w:rsidRPr="00E152D8" w:rsidRDefault="0034777F"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34777F" w:rsidRPr="00EE1572" w:rsidRDefault="0034777F" w:rsidP="00347876">
          <w:pPr>
            <w:tabs>
              <w:tab w:val="right" w:pos="8838"/>
            </w:tabs>
            <w:ind w:right="-32"/>
            <w:rPr>
              <w:rFonts w:eastAsia="Calibri" w:cs="Tahoma"/>
              <w:lang w:val="es-MX"/>
            </w:rPr>
          </w:pPr>
          <w:r w:rsidRPr="00EE1572">
            <w:rPr>
              <w:rFonts w:eastAsia="Calibri" w:cs="Tahoma"/>
              <w:lang w:val="es-MX"/>
            </w:rPr>
            <w:t>Ayuntamiento de Temascalcingo</w:t>
          </w:r>
        </w:p>
      </w:tc>
    </w:tr>
    <w:tr w:rsidR="0034777F" w:rsidRPr="00E152D8" w14:paraId="51F43EE6" w14:textId="77777777" w:rsidTr="00347876">
      <w:trPr>
        <w:trHeight w:val="261"/>
      </w:trPr>
      <w:tc>
        <w:tcPr>
          <w:tcW w:w="2691" w:type="dxa"/>
        </w:tcPr>
        <w:p w14:paraId="4689E914" w14:textId="77777777" w:rsidR="0034777F" w:rsidRPr="00E152D8" w:rsidRDefault="0034777F"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34777F" w:rsidRPr="00E152D8" w:rsidRDefault="0034777F"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34777F" w:rsidRDefault="00000000">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EF7B" w14:textId="2348EBA9" w:rsidR="0034777F" w:rsidRPr="00D4442D" w:rsidRDefault="0034777F" w:rsidP="00D4442D">
    <w:pPr>
      <w:tabs>
        <w:tab w:val="left" w:pos="3913"/>
      </w:tabs>
      <w:rPr>
        <w:sz w:val="2"/>
        <w:szCs w:val="2"/>
      </w:rPr>
    </w:pPr>
    <w:r>
      <w:tab/>
    </w:r>
  </w:p>
  <w:tbl>
    <w:tblPr>
      <w:tblStyle w:val="Tablaconcuadrcula"/>
      <w:tblW w:w="680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34777F" w:rsidRPr="00E152D8" w14:paraId="6AD70801" w14:textId="77777777" w:rsidTr="00FD19DD">
      <w:trPr>
        <w:trHeight w:val="138"/>
      </w:trPr>
      <w:tc>
        <w:tcPr>
          <w:tcW w:w="2551" w:type="dxa"/>
          <w:vAlign w:val="center"/>
        </w:tcPr>
        <w:p w14:paraId="4714C583" w14:textId="77777777" w:rsidR="0034777F" w:rsidRPr="00E152D8" w:rsidRDefault="0034777F"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37383F19" w:rsidR="0034777F" w:rsidRPr="00DD4657" w:rsidRDefault="0034777F" w:rsidP="00DD4657">
          <w:pPr>
            <w:tabs>
              <w:tab w:val="right" w:pos="8838"/>
            </w:tabs>
            <w:ind w:left="-113" w:right="57"/>
            <w:rPr>
              <w:rFonts w:eastAsia="Calibri" w:cs="Tahoma"/>
              <w:color w:val="auto"/>
            </w:rPr>
          </w:pPr>
          <w:r>
            <w:rPr>
              <w:rFonts w:eastAsia="Calibri" w:cs="Tahoma"/>
              <w:color w:val="auto"/>
            </w:rPr>
            <w:t>0</w:t>
          </w:r>
          <w:r w:rsidR="00135D51">
            <w:rPr>
              <w:rFonts w:eastAsia="Calibri" w:cs="Tahoma"/>
              <w:color w:val="auto"/>
            </w:rPr>
            <w:t>7561</w:t>
          </w:r>
          <w:r w:rsidRPr="00DE71A5">
            <w:rPr>
              <w:rFonts w:eastAsia="Calibri" w:cs="Tahoma"/>
              <w:color w:val="auto"/>
            </w:rPr>
            <w:t>/INFOEM/IP/RR/2025</w:t>
          </w:r>
        </w:p>
      </w:tc>
    </w:tr>
    <w:tr w:rsidR="0034777F" w:rsidRPr="00E152D8" w14:paraId="7FF5EABC" w14:textId="77777777" w:rsidTr="00FD19DD">
      <w:trPr>
        <w:trHeight w:val="273"/>
      </w:trPr>
      <w:tc>
        <w:tcPr>
          <w:tcW w:w="2551" w:type="dxa"/>
        </w:tcPr>
        <w:p w14:paraId="565B10D1" w14:textId="77777777" w:rsidR="0034777F" w:rsidRPr="00E152D8" w:rsidRDefault="0034777F"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1EEDFB42" w:rsidR="0034777F" w:rsidRPr="00051642" w:rsidRDefault="00135D51" w:rsidP="00DD4657">
          <w:pPr>
            <w:tabs>
              <w:tab w:val="left" w:pos="2728"/>
              <w:tab w:val="right" w:pos="8838"/>
            </w:tabs>
            <w:ind w:left="-113" w:right="1450"/>
            <w:rPr>
              <w:rFonts w:eastAsia="Calibri" w:cs="Tahoma"/>
              <w:lang w:val="es-MX"/>
            </w:rPr>
          </w:pPr>
          <w:r w:rsidRPr="00135D51">
            <w:rPr>
              <w:color w:val="000000"/>
            </w:rPr>
            <w:t>Sistema Municipal para el Desarrollo Integral de la Familia de Cocotitlán</w:t>
          </w:r>
        </w:p>
      </w:tc>
    </w:tr>
    <w:tr w:rsidR="0034777F" w:rsidRPr="00E152D8" w14:paraId="3156BE5F" w14:textId="77777777" w:rsidTr="00FD19DD">
      <w:trPr>
        <w:trHeight w:val="273"/>
      </w:trPr>
      <w:tc>
        <w:tcPr>
          <w:tcW w:w="2551" w:type="dxa"/>
        </w:tcPr>
        <w:p w14:paraId="183B2F1A" w14:textId="77777777" w:rsidR="0034777F" w:rsidRPr="00E152D8" w:rsidRDefault="0034777F" w:rsidP="00347876">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34777F" w:rsidRPr="00E152D8" w:rsidRDefault="0034777F"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34777F" w:rsidRDefault="00000000"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4777F" w:rsidRPr="00E152D8" w14:paraId="773597DE" w14:textId="77777777" w:rsidTr="00AD6680">
      <w:trPr>
        <w:trHeight w:val="132"/>
      </w:trPr>
      <w:tc>
        <w:tcPr>
          <w:tcW w:w="2551" w:type="dxa"/>
        </w:tcPr>
        <w:p w14:paraId="4FCB3AA3" w14:textId="77777777" w:rsidR="0034777F" w:rsidRPr="00E152D8" w:rsidRDefault="0034777F" w:rsidP="00347876">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42955DA0" w14:textId="66F0E882" w:rsidR="0034777F" w:rsidRPr="00051642" w:rsidRDefault="0034777F" w:rsidP="001A3A3E">
          <w:pPr>
            <w:tabs>
              <w:tab w:val="right" w:pos="8838"/>
            </w:tabs>
            <w:ind w:left="-113" w:right="-32"/>
            <w:rPr>
              <w:rFonts w:eastAsia="Calibri" w:cs="Tahoma"/>
            </w:rPr>
          </w:pPr>
          <w:r>
            <w:rPr>
              <w:rFonts w:eastAsia="Calibri" w:cs="Tahoma"/>
              <w:color w:val="auto"/>
            </w:rPr>
            <w:t>0</w:t>
          </w:r>
          <w:r w:rsidR="00135D51">
            <w:rPr>
              <w:rFonts w:eastAsia="Calibri" w:cs="Tahoma"/>
              <w:color w:val="auto"/>
            </w:rPr>
            <w:t>7561</w:t>
          </w:r>
          <w:r w:rsidRPr="00DE71A5">
            <w:rPr>
              <w:rFonts w:eastAsia="Calibri" w:cs="Tahoma"/>
              <w:color w:val="auto"/>
            </w:rPr>
            <w:t>/INFOEM/IP/RR/2025</w:t>
          </w:r>
        </w:p>
      </w:tc>
    </w:tr>
    <w:tr w:rsidR="0034777F" w:rsidRPr="00E152D8" w14:paraId="202FB661" w14:textId="77777777" w:rsidTr="00AD6680">
      <w:trPr>
        <w:trHeight w:val="132"/>
      </w:trPr>
      <w:tc>
        <w:tcPr>
          <w:tcW w:w="2551" w:type="dxa"/>
        </w:tcPr>
        <w:p w14:paraId="5E100A32" w14:textId="77777777" w:rsidR="0034777F" w:rsidRPr="00E152D8" w:rsidRDefault="0034777F"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Pr>
        <w:p w14:paraId="28640565" w14:textId="1A37CFC0" w:rsidR="0034777F" w:rsidRPr="00E21446" w:rsidRDefault="0034777F" w:rsidP="007F149A">
          <w:pPr>
            <w:tabs>
              <w:tab w:val="right" w:pos="8838"/>
            </w:tabs>
            <w:rPr>
              <w:rFonts w:eastAsia="Calibri" w:cs="Tahoma"/>
              <w:lang w:val="es-MX"/>
            </w:rPr>
          </w:pPr>
        </w:p>
      </w:tc>
    </w:tr>
    <w:tr w:rsidR="0034777F" w:rsidRPr="00E152D8" w14:paraId="1BA9B09B" w14:textId="77777777" w:rsidTr="00AD6680">
      <w:trPr>
        <w:trHeight w:val="261"/>
      </w:trPr>
      <w:tc>
        <w:tcPr>
          <w:tcW w:w="2551" w:type="dxa"/>
        </w:tcPr>
        <w:p w14:paraId="6174740A" w14:textId="77777777" w:rsidR="0034777F" w:rsidRPr="00E152D8" w:rsidRDefault="0034777F"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4B948471" w14:textId="2B7CEB06" w:rsidR="0034777F" w:rsidRPr="00135D51" w:rsidRDefault="00135D51" w:rsidP="00DD4657">
          <w:pPr>
            <w:tabs>
              <w:tab w:val="right" w:pos="8838"/>
            </w:tabs>
            <w:ind w:left="-113" w:right="33"/>
            <w:rPr>
              <w:rFonts w:eastAsia="Calibri" w:cs="Tahoma"/>
              <w:lang w:val="es-MX"/>
            </w:rPr>
          </w:pPr>
          <w:r w:rsidRPr="00135D51">
            <w:rPr>
              <w:color w:val="000000"/>
            </w:rPr>
            <w:t>Sistema Municipal para el Desarrollo Integral de la Familia de Cocotitlán</w:t>
          </w:r>
        </w:p>
      </w:tc>
    </w:tr>
    <w:tr w:rsidR="0034777F" w:rsidRPr="00E152D8" w14:paraId="3F18AACD" w14:textId="77777777" w:rsidTr="00AD6680">
      <w:trPr>
        <w:trHeight w:val="261"/>
      </w:trPr>
      <w:tc>
        <w:tcPr>
          <w:tcW w:w="2551" w:type="dxa"/>
        </w:tcPr>
        <w:p w14:paraId="57E8DDB5" w14:textId="77777777" w:rsidR="0034777F" w:rsidRPr="00E152D8" w:rsidRDefault="0034777F" w:rsidP="00347876">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1B8E59D3" w14:textId="77777777" w:rsidR="0034777F" w:rsidRPr="00E152D8" w:rsidRDefault="0034777F"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34777F" w:rsidRDefault="00000000"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6371D68"/>
    <w:multiLevelType w:val="hybridMultilevel"/>
    <w:tmpl w:val="C75A3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0D57D6"/>
    <w:multiLevelType w:val="hybridMultilevel"/>
    <w:tmpl w:val="5DB2E8E4"/>
    <w:lvl w:ilvl="0" w:tplc="388EF6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94015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105155">
    <w:abstractNumId w:val="5"/>
  </w:num>
  <w:num w:numId="3" w16cid:durableId="507138032">
    <w:abstractNumId w:val="30"/>
  </w:num>
  <w:num w:numId="4" w16cid:durableId="835652198">
    <w:abstractNumId w:val="6"/>
  </w:num>
  <w:num w:numId="5" w16cid:durableId="776483030">
    <w:abstractNumId w:val="12"/>
  </w:num>
  <w:num w:numId="6" w16cid:durableId="1905288748">
    <w:abstractNumId w:val="8"/>
  </w:num>
  <w:num w:numId="7" w16cid:durableId="1976376709">
    <w:abstractNumId w:val="15"/>
  </w:num>
  <w:num w:numId="8" w16cid:durableId="2100061960">
    <w:abstractNumId w:val="17"/>
  </w:num>
  <w:num w:numId="9" w16cid:durableId="470711805">
    <w:abstractNumId w:val="14"/>
  </w:num>
  <w:num w:numId="10" w16cid:durableId="227114403">
    <w:abstractNumId w:val="18"/>
  </w:num>
  <w:num w:numId="11" w16cid:durableId="847909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9415897">
    <w:abstractNumId w:val="24"/>
  </w:num>
  <w:num w:numId="13" w16cid:durableId="1771123810">
    <w:abstractNumId w:val="27"/>
  </w:num>
  <w:num w:numId="14" w16cid:durableId="467937502">
    <w:abstractNumId w:val="29"/>
  </w:num>
  <w:num w:numId="15" w16cid:durableId="2130586040">
    <w:abstractNumId w:val="13"/>
  </w:num>
  <w:num w:numId="16" w16cid:durableId="386341657">
    <w:abstractNumId w:val="11"/>
  </w:num>
  <w:num w:numId="17" w16cid:durableId="1374772193">
    <w:abstractNumId w:val="16"/>
  </w:num>
  <w:num w:numId="18" w16cid:durableId="288050758">
    <w:abstractNumId w:val="0"/>
  </w:num>
  <w:num w:numId="19" w16cid:durableId="875849770">
    <w:abstractNumId w:val="21"/>
  </w:num>
  <w:num w:numId="20" w16cid:durableId="198208404">
    <w:abstractNumId w:val="25"/>
  </w:num>
  <w:num w:numId="21" w16cid:durableId="496387744">
    <w:abstractNumId w:val="20"/>
  </w:num>
  <w:num w:numId="22" w16cid:durableId="1685665281">
    <w:abstractNumId w:val="23"/>
  </w:num>
  <w:num w:numId="23" w16cid:durableId="204147945">
    <w:abstractNumId w:val="22"/>
  </w:num>
  <w:num w:numId="24" w16cid:durableId="570775409">
    <w:abstractNumId w:val="19"/>
  </w:num>
  <w:num w:numId="25" w16cid:durableId="2043624099">
    <w:abstractNumId w:val="9"/>
  </w:num>
  <w:num w:numId="26" w16cid:durableId="529225052">
    <w:abstractNumId w:val="3"/>
  </w:num>
  <w:num w:numId="27" w16cid:durableId="1143886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1718884">
    <w:abstractNumId w:val="2"/>
  </w:num>
  <w:num w:numId="29" w16cid:durableId="4599969">
    <w:abstractNumId w:val="4"/>
  </w:num>
  <w:num w:numId="30" w16cid:durableId="993804203">
    <w:abstractNumId w:val="28"/>
  </w:num>
  <w:num w:numId="31" w16cid:durableId="265387237">
    <w:abstractNumId w:val="7"/>
  </w:num>
  <w:num w:numId="32" w16cid:durableId="12982860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2991"/>
    <w:rsid w:val="00003D94"/>
    <w:rsid w:val="000045A6"/>
    <w:rsid w:val="00006636"/>
    <w:rsid w:val="00031961"/>
    <w:rsid w:val="0003316E"/>
    <w:rsid w:val="000362D0"/>
    <w:rsid w:val="0004161E"/>
    <w:rsid w:val="00041844"/>
    <w:rsid w:val="00042509"/>
    <w:rsid w:val="00043CDA"/>
    <w:rsid w:val="00050DBA"/>
    <w:rsid w:val="000539BD"/>
    <w:rsid w:val="00053BC6"/>
    <w:rsid w:val="000558EC"/>
    <w:rsid w:val="00057BD6"/>
    <w:rsid w:val="00060685"/>
    <w:rsid w:val="00060723"/>
    <w:rsid w:val="00063884"/>
    <w:rsid w:val="000716E3"/>
    <w:rsid w:val="000750F3"/>
    <w:rsid w:val="00076681"/>
    <w:rsid w:val="00080393"/>
    <w:rsid w:val="00081ABD"/>
    <w:rsid w:val="000821F8"/>
    <w:rsid w:val="00087796"/>
    <w:rsid w:val="000914FE"/>
    <w:rsid w:val="00094584"/>
    <w:rsid w:val="000A0959"/>
    <w:rsid w:val="000A0A70"/>
    <w:rsid w:val="000A2D13"/>
    <w:rsid w:val="000A6A91"/>
    <w:rsid w:val="000B2239"/>
    <w:rsid w:val="000B24CC"/>
    <w:rsid w:val="000B70D0"/>
    <w:rsid w:val="000C1FDB"/>
    <w:rsid w:val="000D4873"/>
    <w:rsid w:val="000D49DD"/>
    <w:rsid w:val="000F5268"/>
    <w:rsid w:val="000F74C0"/>
    <w:rsid w:val="00104D0A"/>
    <w:rsid w:val="00110D4D"/>
    <w:rsid w:val="00112825"/>
    <w:rsid w:val="001140A5"/>
    <w:rsid w:val="00117817"/>
    <w:rsid w:val="00123ADD"/>
    <w:rsid w:val="0013015C"/>
    <w:rsid w:val="001334D1"/>
    <w:rsid w:val="00135D51"/>
    <w:rsid w:val="0014339D"/>
    <w:rsid w:val="00147F38"/>
    <w:rsid w:val="0015016B"/>
    <w:rsid w:val="00153932"/>
    <w:rsid w:val="00155A01"/>
    <w:rsid w:val="0015730E"/>
    <w:rsid w:val="001609BD"/>
    <w:rsid w:val="00166789"/>
    <w:rsid w:val="0018101A"/>
    <w:rsid w:val="0018339D"/>
    <w:rsid w:val="0018355D"/>
    <w:rsid w:val="00183736"/>
    <w:rsid w:val="00191491"/>
    <w:rsid w:val="00195CF5"/>
    <w:rsid w:val="001A0F43"/>
    <w:rsid w:val="001A2B03"/>
    <w:rsid w:val="001A3275"/>
    <w:rsid w:val="001A3A3E"/>
    <w:rsid w:val="001B2442"/>
    <w:rsid w:val="001B6F42"/>
    <w:rsid w:val="001C137C"/>
    <w:rsid w:val="001C4397"/>
    <w:rsid w:val="001C7AC2"/>
    <w:rsid w:val="001D1A22"/>
    <w:rsid w:val="001E3C40"/>
    <w:rsid w:val="001E59AF"/>
    <w:rsid w:val="001E7C66"/>
    <w:rsid w:val="001F22AA"/>
    <w:rsid w:val="001F3934"/>
    <w:rsid w:val="001F5C0B"/>
    <w:rsid w:val="00200755"/>
    <w:rsid w:val="00202D93"/>
    <w:rsid w:val="00203961"/>
    <w:rsid w:val="0020547F"/>
    <w:rsid w:val="00207046"/>
    <w:rsid w:val="0021099E"/>
    <w:rsid w:val="00213634"/>
    <w:rsid w:val="00222A22"/>
    <w:rsid w:val="00223665"/>
    <w:rsid w:val="00230BC7"/>
    <w:rsid w:val="002353CB"/>
    <w:rsid w:val="002411D7"/>
    <w:rsid w:val="002415DE"/>
    <w:rsid w:val="00243A71"/>
    <w:rsid w:val="002470F9"/>
    <w:rsid w:val="00250655"/>
    <w:rsid w:val="0025077A"/>
    <w:rsid w:val="00251B33"/>
    <w:rsid w:val="00252709"/>
    <w:rsid w:val="00254457"/>
    <w:rsid w:val="00254F36"/>
    <w:rsid w:val="00264675"/>
    <w:rsid w:val="00264FC7"/>
    <w:rsid w:val="00267FB5"/>
    <w:rsid w:val="002705C2"/>
    <w:rsid w:val="00271E47"/>
    <w:rsid w:val="00275938"/>
    <w:rsid w:val="00293277"/>
    <w:rsid w:val="00293C56"/>
    <w:rsid w:val="00297A5A"/>
    <w:rsid w:val="002A0B3A"/>
    <w:rsid w:val="002A3F0C"/>
    <w:rsid w:val="002A40A0"/>
    <w:rsid w:val="002C19D9"/>
    <w:rsid w:val="002C3558"/>
    <w:rsid w:val="002D117D"/>
    <w:rsid w:val="002F1D02"/>
    <w:rsid w:val="002F4410"/>
    <w:rsid w:val="002F5805"/>
    <w:rsid w:val="002F6AF8"/>
    <w:rsid w:val="00301571"/>
    <w:rsid w:val="0030305E"/>
    <w:rsid w:val="0030377D"/>
    <w:rsid w:val="00306FB6"/>
    <w:rsid w:val="00313596"/>
    <w:rsid w:val="003145F9"/>
    <w:rsid w:val="0032289C"/>
    <w:rsid w:val="00331F46"/>
    <w:rsid w:val="0033782D"/>
    <w:rsid w:val="00344846"/>
    <w:rsid w:val="00345BB5"/>
    <w:rsid w:val="0034777F"/>
    <w:rsid w:val="00347876"/>
    <w:rsid w:val="003556D5"/>
    <w:rsid w:val="0036051C"/>
    <w:rsid w:val="00363DED"/>
    <w:rsid w:val="00365137"/>
    <w:rsid w:val="003727BC"/>
    <w:rsid w:val="00382B56"/>
    <w:rsid w:val="003837EE"/>
    <w:rsid w:val="00387E7C"/>
    <w:rsid w:val="003905B1"/>
    <w:rsid w:val="00390BA0"/>
    <w:rsid w:val="00394286"/>
    <w:rsid w:val="00394344"/>
    <w:rsid w:val="00397810"/>
    <w:rsid w:val="003A123A"/>
    <w:rsid w:val="003B04E1"/>
    <w:rsid w:val="003B3103"/>
    <w:rsid w:val="003B3DC8"/>
    <w:rsid w:val="003B5DA8"/>
    <w:rsid w:val="003C74A7"/>
    <w:rsid w:val="003E4D3B"/>
    <w:rsid w:val="003E5ADD"/>
    <w:rsid w:val="003E6429"/>
    <w:rsid w:val="003E678B"/>
    <w:rsid w:val="003F5B7E"/>
    <w:rsid w:val="003F5EB5"/>
    <w:rsid w:val="003F63DA"/>
    <w:rsid w:val="00411430"/>
    <w:rsid w:val="00415BBC"/>
    <w:rsid w:val="00415F0B"/>
    <w:rsid w:val="004327D0"/>
    <w:rsid w:val="00444157"/>
    <w:rsid w:val="004500E2"/>
    <w:rsid w:val="004552D8"/>
    <w:rsid w:val="00455DCB"/>
    <w:rsid w:val="00456B51"/>
    <w:rsid w:val="00460FFC"/>
    <w:rsid w:val="004610AE"/>
    <w:rsid w:val="0046538F"/>
    <w:rsid w:val="00467FB9"/>
    <w:rsid w:val="004714D3"/>
    <w:rsid w:val="004724CB"/>
    <w:rsid w:val="004908D0"/>
    <w:rsid w:val="0049737D"/>
    <w:rsid w:val="004A5AD5"/>
    <w:rsid w:val="004B4B36"/>
    <w:rsid w:val="004B52B2"/>
    <w:rsid w:val="004B7B1F"/>
    <w:rsid w:val="004D1BD8"/>
    <w:rsid w:val="004D6903"/>
    <w:rsid w:val="004E5AB1"/>
    <w:rsid w:val="004F74F5"/>
    <w:rsid w:val="005032B4"/>
    <w:rsid w:val="00505C1F"/>
    <w:rsid w:val="0050623A"/>
    <w:rsid w:val="0052177C"/>
    <w:rsid w:val="005225BB"/>
    <w:rsid w:val="005235E8"/>
    <w:rsid w:val="00524ED6"/>
    <w:rsid w:val="00530E22"/>
    <w:rsid w:val="00537251"/>
    <w:rsid w:val="005400EE"/>
    <w:rsid w:val="00540E22"/>
    <w:rsid w:val="00550A53"/>
    <w:rsid w:val="00550DBB"/>
    <w:rsid w:val="00561B10"/>
    <w:rsid w:val="005620CE"/>
    <w:rsid w:val="005634C6"/>
    <w:rsid w:val="0057282C"/>
    <w:rsid w:val="0057545A"/>
    <w:rsid w:val="00576536"/>
    <w:rsid w:val="005811D2"/>
    <w:rsid w:val="00581D38"/>
    <w:rsid w:val="0058439E"/>
    <w:rsid w:val="00585FFB"/>
    <w:rsid w:val="00587799"/>
    <w:rsid w:val="005902EF"/>
    <w:rsid w:val="00596D1D"/>
    <w:rsid w:val="00597282"/>
    <w:rsid w:val="005A538C"/>
    <w:rsid w:val="005A6BEC"/>
    <w:rsid w:val="005A7DC1"/>
    <w:rsid w:val="005C2558"/>
    <w:rsid w:val="005C459D"/>
    <w:rsid w:val="005C53C7"/>
    <w:rsid w:val="005C6124"/>
    <w:rsid w:val="005C6199"/>
    <w:rsid w:val="005D04FC"/>
    <w:rsid w:val="005D2E38"/>
    <w:rsid w:val="005D3D54"/>
    <w:rsid w:val="005E6D9C"/>
    <w:rsid w:val="00606D94"/>
    <w:rsid w:val="00614F87"/>
    <w:rsid w:val="00623947"/>
    <w:rsid w:val="006343FA"/>
    <w:rsid w:val="00635352"/>
    <w:rsid w:val="006400F1"/>
    <w:rsid w:val="0064639F"/>
    <w:rsid w:val="00647DF2"/>
    <w:rsid w:val="006507A2"/>
    <w:rsid w:val="0065109B"/>
    <w:rsid w:val="006513E1"/>
    <w:rsid w:val="00653139"/>
    <w:rsid w:val="00655864"/>
    <w:rsid w:val="00662953"/>
    <w:rsid w:val="006651F1"/>
    <w:rsid w:val="00667107"/>
    <w:rsid w:val="00672292"/>
    <w:rsid w:val="00673579"/>
    <w:rsid w:val="006760A0"/>
    <w:rsid w:val="006778B9"/>
    <w:rsid w:val="0068386C"/>
    <w:rsid w:val="006945D2"/>
    <w:rsid w:val="006A0867"/>
    <w:rsid w:val="006A12A6"/>
    <w:rsid w:val="006A19AF"/>
    <w:rsid w:val="006A5843"/>
    <w:rsid w:val="006A5BCA"/>
    <w:rsid w:val="006B1CAC"/>
    <w:rsid w:val="006B5874"/>
    <w:rsid w:val="006B6340"/>
    <w:rsid w:val="006C3439"/>
    <w:rsid w:val="006D6FB5"/>
    <w:rsid w:val="006E26AA"/>
    <w:rsid w:val="006E5BE2"/>
    <w:rsid w:val="006E6293"/>
    <w:rsid w:val="006F52E8"/>
    <w:rsid w:val="007047F4"/>
    <w:rsid w:val="00711A43"/>
    <w:rsid w:val="00714349"/>
    <w:rsid w:val="007146FE"/>
    <w:rsid w:val="007216BA"/>
    <w:rsid w:val="007309C0"/>
    <w:rsid w:val="00732339"/>
    <w:rsid w:val="00734447"/>
    <w:rsid w:val="0073758B"/>
    <w:rsid w:val="00737CF6"/>
    <w:rsid w:val="00742C37"/>
    <w:rsid w:val="00760E91"/>
    <w:rsid w:val="00761C2B"/>
    <w:rsid w:val="00763706"/>
    <w:rsid w:val="00767EFB"/>
    <w:rsid w:val="007719F0"/>
    <w:rsid w:val="00771B61"/>
    <w:rsid w:val="00780EC7"/>
    <w:rsid w:val="00784C5C"/>
    <w:rsid w:val="007850C7"/>
    <w:rsid w:val="007911D8"/>
    <w:rsid w:val="007948E1"/>
    <w:rsid w:val="00795C9D"/>
    <w:rsid w:val="007A0FD6"/>
    <w:rsid w:val="007B1834"/>
    <w:rsid w:val="007B5D0A"/>
    <w:rsid w:val="007C11CD"/>
    <w:rsid w:val="007C35E6"/>
    <w:rsid w:val="007C5098"/>
    <w:rsid w:val="007D1412"/>
    <w:rsid w:val="007D4B1B"/>
    <w:rsid w:val="007E364C"/>
    <w:rsid w:val="007F08B3"/>
    <w:rsid w:val="007F149A"/>
    <w:rsid w:val="007F179C"/>
    <w:rsid w:val="007F271C"/>
    <w:rsid w:val="007F30B4"/>
    <w:rsid w:val="007F313E"/>
    <w:rsid w:val="007F316D"/>
    <w:rsid w:val="00810125"/>
    <w:rsid w:val="00811A30"/>
    <w:rsid w:val="00812FC7"/>
    <w:rsid w:val="00814335"/>
    <w:rsid w:val="00824C26"/>
    <w:rsid w:val="00826E2F"/>
    <w:rsid w:val="00827355"/>
    <w:rsid w:val="00833F45"/>
    <w:rsid w:val="00837B92"/>
    <w:rsid w:val="00842679"/>
    <w:rsid w:val="00852BB1"/>
    <w:rsid w:val="0085311A"/>
    <w:rsid w:val="00854F21"/>
    <w:rsid w:val="00871B37"/>
    <w:rsid w:val="00876B0D"/>
    <w:rsid w:val="0088315D"/>
    <w:rsid w:val="0088326C"/>
    <w:rsid w:val="00885D3F"/>
    <w:rsid w:val="0089704B"/>
    <w:rsid w:val="008A119D"/>
    <w:rsid w:val="008A310A"/>
    <w:rsid w:val="008B092D"/>
    <w:rsid w:val="008B2C31"/>
    <w:rsid w:val="008C3E58"/>
    <w:rsid w:val="008D18A9"/>
    <w:rsid w:val="008D1B96"/>
    <w:rsid w:val="008E279B"/>
    <w:rsid w:val="008E777E"/>
    <w:rsid w:val="008F42E3"/>
    <w:rsid w:val="00903956"/>
    <w:rsid w:val="0090575C"/>
    <w:rsid w:val="00906BD3"/>
    <w:rsid w:val="00910720"/>
    <w:rsid w:val="00914A32"/>
    <w:rsid w:val="00914B0A"/>
    <w:rsid w:val="00916D97"/>
    <w:rsid w:val="00920C0F"/>
    <w:rsid w:val="0093203B"/>
    <w:rsid w:val="00937303"/>
    <w:rsid w:val="00940303"/>
    <w:rsid w:val="00950B98"/>
    <w:rsid w:val="009521F0"/>
    <w:rsid w:val="0096358C"/>
    <w:rsid w:val="00963FF5"/>
    <w:rsid w:val="0097330C"/>
    <w:rsid w:val="00974A6B"/>
    <w:rsid w:val="00985A2C"/>
    <w:rsid w:val="00986D27"/>
    <w:rsid w:val="009923AC"/>
    <w:rsid w:val="00992875"/>
    <w:rsid w:val="00992B43"/>
    <w:rsid w:val="00993137"/>
    <w:rsid w:val="00994337"/>
    <w:rsid w:val="009966A3"/>
    <w:rsid w:val="00997B21"/>
    <w:rsid w:val="009A3161"/>
    <w:rsid w:val="009A3569"/>
    <w:rsid w:val="009A627C"/>
    <w:rsid w:val="009B365B"/>
    <w:rsid w:val="009B51EF"/>
    <w:rsid w:val="009B6275"/>
    <w:rsid w:val="009C0D40"/>
    <w:rsid w:val="009C1C46"/>
    <w:rsid w:val="009C3492"/>
    <w:rsid w:val="009C7586"/>
    <w:rsid w:val="009E6D19"/>
    <w:rsid w:val="009F13CF"/>
    <w:rsid w:val="009F4EA5"/>
    <w:rsid w:val="00A1763C"/>
    <w:rsid w:val="00A234A1"/>
    <w:rsid w:val="00A305C7"/>
    <w:rsid w:val="00A322C2"/>
    <w:rsid w:val="00A4013F"/>
    <w:rsid w:val="00A42D93"/>
    <w:rsid w:val="00A447FF"/>
    <w:rsid w:val="00A5086A"/>
    <w:rsid w:val="00A555FF"/>
    <w:rsid w:val="00A63EA5"/>
    <w:rsid w:val="00A85B94"/>
    <w:rsid w:val="00A87DB7"/>
    <w:rsid w:val="00A9056D"/>
    <w:rsid w:val="00A9339B"/>
    <w:rsid w:val="00A94AFB"/>
    <w:rsid w:val="00A94CDA"/>
    <w:rsid w:val="00AA08E2"/>
    <w:rsid w:val="00AA2962"/>
    <w:rsid w:val="00AA53B5"/>
    <w:rsid w:val="00AA7588"/>
    <w:rsid w:val="00AC0DB0"/>
    <w:rsid w:val="00AD3CF8"/>
    <w:rsid w:val="00AD6680"/>
    <w:rsid w:val="00AE1F48"/>
    <w:rsid w:val="00AE2855"/>
    <w:rsid w:val="00AE490F"/>
    <w:rsid w:val="00AE6AB4"/>
    <w:rsid w:val="00B000C5"/>
    <w:rsid w:val="00B06616"/>
    <w:rsid w:val="00B12570"/>
    <w:rsid w:val="00B17F6D"/>
    <w:rsid w:val="00B26046"/>
    <w:rsid w:val="00B30DD4"/>
    <w:rsid w:val="00B34338"/>
    <w:rsid w:val="00B34E1A"/>
    <w:rsid w:val="00B417C3"/>
    <w:rsid w:val="00B456E9"/>
    <w:rsid w:val="00B46F88"/>
    <w:rsid w:val="00B557DF"/>
    <w:rsid w:val="00B60C67"/>
    <w:rsid w:val="00B60D25"/>
    <w:rsid w:val="00B6148C"/>
    <w:rsid w:val="00B65D21"/>
    <w:rsid w:val="00B67328"/>
    <w:rsid w:val="00B7094E"/>
    <w:rsid w:val="00B72749"/>
    <w:rsid w:val="00B732D1"/>
    <w:rsid w:val="00B7788B"/>
    <w:rsid w:val="00B7798E"/>
    <w:rsid w:val="00B83462"/>
    <w:rsid w:val="00B83636"/>
    <w:rsid w:val="00B841F8"/>
    <w:rsid w:val="00B86C3D"/>
    <w:rsid w:val="00BA7F47"/>
    <w:rsid w:val="00BB0202"/>
    <w:rsid w:val="00BB36D2"/>
    <w:rsid w:val="00BB54A2"/>
    <w:rsid w:val="00BC29F2"/>
    <w:rsid w:val="00BD7749"/>
    <w:rsid w:val="00BE3A60"/>
    <w:rsid w:val="00BE4762"/>
    <w:rsid w:val="00BE4B2C"/>
    <w:rsid w:val="00BF53E4"/>
    <w:rsid w:val="00BF54B7"/>
    <w:rsid w:val="00BF77B7"/>
    <w:rsid w:val="00C14171"/>
    <w:rsid w:val="00C14C5B"/>
    <w:rsid w:val="00C17EBF"/>
    <w:rsid w:val="00C2129B"/>
    <w:rsid w:val="00C213A5"/>
    <w:rsid w:val="00C337E5"/>
    <w:rsid w:val="00C35004"/>
    <w:rsid w:val="00C372C8"/>
    <w:rsid w:val="00C53CDF"/>
    <w:rsid w:val="00C54015"/>
    <w:rsid w:val="00C57B5B"/>
    <w:rsid w:val="00C66273"/>
    <w:rsid w:val="00C764ED"/>
    <w:rsid w:val="00C821DD"/>
    <w:rsid w:val="00C8279F"/>
    <w:rsid w:val="00C8608C"/>
    <w:rsid w:val="00C915E8"/>
    <w:rsid w:val="00C92204"/>
    <w:rsid w:val="00C93E0C"/>
    <w:rsid w:val="00C977DC"/>
    <w:rsid w:val="00CA0F13"/>
    <w:rsid w:val="00CA13E3"/>
    <w:rsid w:val="00CA6FA9"/>
    <w:rsid w:val="00CB0D27"/>
    <w:rsid w:val="00CB16D3"/>
    <w:rsid w:val="00CB2FA4"/>
    <w:rsid w:val="00CC450F"/>
    <w:rsid w:val="00CD1E3A"/>
    <w:rsid w:val="00CD369E"/>
    <w:rsid w:val="00CE67CA"/>
    <w:rsid w:val="00CE7148"/>
    <w:rsid w:val="00CF039D"/>
    <w:rsid w:val="00CF76E0"/>
    <w:rsid w:val="00D0244F"/>
    <w:rsid w:val="00D03F17"/>
    <w:rsid w:val="00D07290"/>
    <w:rsid w:val="00D10B74"/>
    <w:rsid w:val="00D3439C"/>
    <w:rsid w:val="00D42759"/>
    <w:rsid w:val="00D4442D"/>
    <w:rsid w:val="00D46D56"/>
    <w:rsid w:val="00D526D5"/>
    <w:rsid w:val="00D57224"/>
    <w:rsid w:val="00D60E83"/>
    <w:rsid w:val="00D71C64"/>
    <w:rsid w:val="00D74C1C"/>
    <w:rsid w:val="00D77576"/>
    <w:rsid w:val="00D87FBC"/>
    <w:rsid w:val="00D91A72"/>
    <w:rsid w:val="00D9398F"/>
    <w:rsid w:val="00D95C1D"/>
    <w:rsid w:val="00D95D2D"/>
    <w:rsid w:val="00D96AF9"/>
    <w:rsid w:val="00DA7473"/>
    <w:rsid w:val="00DB3DC5"/>
    <w:rsid w:val="00DC3EDC"/>
    <w:rsid w:val="00DC42DF"/>
    <w:rsid w:val="00DD0E44"/>
    <w:rsid w:val="00DD2397"/>
    <w:rsid w:val="00DD2E0C"/>
    <w:rsid w:val="00DD4657"/>
    <w:rsid w:val="00DD6EB5"/>
    <w:rsid w:val="00DE71A5"/>
    <w:rsid w:val="00DF083F"/>
    <w:rsid w:val="00DF096A"/>
    <w:rsid w:val="00DF1B85"/>
    <w:rsid w:val="00DF4490"/>
    <w:rsid w:val="00DF5EAA"/>
    <w:rsid w:val="00E00696"/>
    <w:rsid w:val="00E0202E"/>
    <w:rsid w:val="00E063FC"/>
    <w:rsid w:val="00E118B0"/>
    <w:rsid w:val="00E128CD"/>
    <w:rsid w:val="00E306BC"/>
    <w:rsid w:val="00E406AF"/>
    <w:rsid w:val="00E40ED9"/>
    <w:rsid w:val="00E4792C"/>
    <w:rsid w:val="00E5000A"/>
    <w:rsid w:val="00E50298"/>
    <w:rsid w:val="00E50564"/>
    <w:rsid w:val="00E558A0"/>
    <w:rsid w:val="00E73B06"/>
    <w:rsid w:val="00E75F0E"/>
    <w:rsid w:val="00E808E0"/>
    <w:rsid w:val="00E9083F"/>
    <w:rsid w:val="00E91037"/>
    <w:rsid w:val="00EA2599"/>
    <w:rsid w:val="00EA276A"/>
    <w:rsid w:val="00EA3D68"/>
    <w:rsid w:val="00EA4404"/>
    <w:rsid w:val="00EA6588"/>
    <w:rsid w:val="00EB4479"/>
    <w:rsid w:val="00EB5363"/>
    <w:rsid w:val="00EC210C"/>
    <w:rsid w:val="00EC55FF"/>
    <w:rsid w:val="00EC7BE9"/>
    <w:rsid w:val="00EE0DB6"/>
    <w:rsid w:val="00EF404F"/>
    <w:rsid w:val="00EF5567"/>
    <w:rsid w:val="00EF74BA"/>
    <w:rsid w:val="00F063F0"/>
    <w:rsid w:val="00F11FC0"/>
    <w:rsid w:val="00F263CA"/>
    <w:rsid w:val="00F26F2D"/>
    <w:rsid w:val="00F30938"/>
    <w:rsid w:val="00F3234B"/>
    <w:rsid w:val="00F444A2"/>
    <w:rsid w:val="00F467D3"/>
    <w:rsid w:val="00F532E9"/>
    <w:rsid w:val="00F6023B"/>
    <w:rsid w:val="00F61205"/>
    <w:rsid w:val="00F653FF"/>
    <w:rsid w:val="00F75544"/>
    <w:rsid w:val="00F760F9"/>
    <w:rsid w:val="00F8681C"/>
    <w:rsid w:val="00F87269"/>
    <w:rsid w:val="00F87FF3"/>
    <w:rsid w:val="00F92554"/>
    <w:rsid w:val="00F938F7"/>
    <w:rsid w:val="00FA48AE"/>
    <w:rsid w:val="00FB3AE3"/>
    <w:rsid w:val="00FB5667"/>
    <w:rsid w:val="00FB6AB3"/>
    <w:rsid w:val="00FB750B"/>
    <w:rsid w:val="00FC3D54"/>
    <w:rsid w:val="00FD19DD"/>
    <w:rsid w:val="00FD1A74"/>
    <w:rsid w:val="00FE2A49"/>
    <w:rsid w:val="00FE35DF"/>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58136642">
      <w:bodyDiv w:val="1"/>
      <w:marLeft w:val="0"/>
      <w:marRight w:val="0"/>
      <w:marTop w:val="0"/>
      <w:marBottom w:val="0"/>
      <w:divBdr>
        <w:top w:val="none" w:sz="0" w:space="0" w:color="auto"/>
        <w:left w:val="none" w:sz="0" w:space="0" w:color="auto"/>
        <w:bottom w:val="none" w:sz="0" w:space="0" w:color="auto"/>
        <w:right w:val="none" w:sz="0" w:space="0" w:color="auto"/>
      </w:divBdr>
    </w:div>
    <w:div w:id="109787713">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05808365">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91CF-B1F1-40C8-AAE0-D48CB74D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4230</Words>
  <Characters>23266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4</cp:revision>
  <cp:lastPrinted>2025-08-08T05:46:00Z</cp:lastPrinted>
  <dcterms:created xsi:type="dcterms:W3CDTF">2025-08-08T05:46:00Z</dcterms:created>
  <dcterms:modified xsi:type="dcterms:W3CDTF">2025-08-08T05:46:00Z</dcterms:modified>
</cp:coreProperties>
</file>