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264" w:rsidRPr="004F247E" w:rsidRDefault="00EC4A9A" w:rsidP="008F6D40">
      <w:pPr>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veintitrés de abril de dos mil veinticinco.</w:t>
      </w:r>
    </w:p>
    <w:p w:rsidR="00C53264" w:rsidRPr="004F247E" w:rsidRDefault="00C53264" w:rsidP="008F6D40">
      <w:pPr>
        <w:spacing w:line="360" w:lineRule="auto"/>
        <w:jc w:val="both"/>
        <w:rPr>
          <w:rFonts w:ascii="Palatino Linotype" w:eastAsia="Palatino Linotype" w:hAnsi="Palatino Linotype" w:cs="Palatino Linotype"/>
          <w:b/>
        </w:rPr>
      </w:pPr>
    </w:p>
    <w:p w:rsidR="00C53264" w:rsidRPr="004F247E" w:rsidRDefault="00EC4A9A" w:rsidP="008F6D40">
      <w:pPr>
        <w:spacing w:line="360" w:lineRule="auto"/>
        <w:jc w:val="both"/>
        <w:rPr>
          <w:rFonts w:ascii="Palatino Linotype" w:eastAsia="Palatino Linotype" w:hAnsi="Palatino Linotype" w:cs="Palatino Linotype"/>
        </w:rPr>
      </w:pPr>
      <w:bookmarkStart w:id="0" w:name="_heading=h.gjdgxs" w:colFirst="0" w:colLast="0"/>
      <w:bookmarkEnd w:id="0"/>
      <w:r w:rsidRPr="004F247E">
        <w:rPr>
          <w:rFonts w:ascii="Palatino Linotype" w:eastAsia="Palatino Linotype" w:hAnsi="Palatino Linotype" w:cs="Palatino Linotype"/>
          <w:b/>
        </w:rPr>
        <w:t>VISTOS</w:t>
      </w:r>
      <w:r w:rsidRPr="004F247E">
        <w:rPr>
          <w:rFonts w:ascii="Palatino Linotype" w:eastAsia="Palatino Linotype" w:hAnsi="Palatino Linotype" w:cs="Palatino Linotype"/>
        </w:rPr>
        <w:t xml:space="preserve"> los expedientes electrónicos formados con motivo de los Recursos de Revisión </w:t>
      </w:r>
      <w:r w:rsidRPr="004F247E">
        <w:rPr>
          <w:rFonts w:ascii="Palatino Linotype" w:eastAsia="Palatino Linotype" w:hAnsi="Palatino Linotype" w:cs="Palatino Linotype"/>
          <w:b/>
        </w:rPr>
        <w:t>02843/INFOEM/IP/RR</w:t>
      </w:r>
      <w:r w:rsidR="0016419E" w:rsidRPr="004F247E">
        <w:rPr>
          <w:rFonts w:ascii="Palatino Linotype" w:eastAsia="Palatino Linotype" w:hAnsi="Palatino Linotype" w:cs="Palatino Linotype"/>
          <w:b/>
        </w:rPr>
        <w:t>/2025 y 02844/INFOEM/IP/RR/2025</w:t>
      </w:r>
      <w:r w:rsidRPr="004F247E">
        <w:rPr>
          <w:rFonts w:ascii="Palatino Linotype" w:eastAsia="Palatino Linotype" w:hAnsi="Palatino Linotype" w:cs="Palatino Linotype"/>
        </w:rPr>
        <w:t>, promovidos por  </w:t>
      </w:r>
      <w:r w:rsidRPr="004F247E">
        <w:rPr>
          <w:rFonts w:ascii="Palatino Linotype" w:eastAsia="Palatino Linotype" w:hAnsi="Palatino Linotype" w:cs="Palatino Linotype"/>
          <w:b/>
        </w:rPr>
        <w:t>una persona que no proporciona datos de identificación</w:t>
      </w:r>
      <w:r w:rsidRPr="004F247E">
        <w:rPr>
          <w:rFonts w:ascii="Palatino Linotype" w:eastAsia="Palatino Linotype" w:hAnsi="Palatino Linotype" w:cs="Palatino Linotype"/>
        </w:rPr>
        <w:t xml:space="preserve">, a través del Sistema de Acceso a la Información Mexiquense (SAIMEX) a quien en lo sucesivo se le identificará como </w:t>
      </w:r>
      <w:r w:rsidRPr="004F247E">
        <w:rPr>
          <w:rFonts w:ascii="Palatino Linotype" w:eastAsia="Palatino Linotype" w:hAnsi="Palatino Linotype" w:cs="Palatino Linotype"/>
          <w:b/>
        </w:rPr>
        <w:t>EL RECURRENTE</w:t>
      </w:r>
      <w:r w:rsidRPr="004F247E">
        <w:rPr>
          <w:rFonts w:ascii="Palatino Linotype" w:eastAsia="Palatino Linotype" w:hAnsi="Palatino Linotype" w:cs="Palatino Linotype"/>
        </w:rPr>
        <w:t xml:space="preserve">, en contra de las respuestas del </w:t>
      </w:r>
      <w:r w:rsidRPr="004F247E">
        <w:rPr>
          <w:rFonts w:ascii="Palatino Linotype" w:eastAsia="Palatino Linotype" w:hAnsi="Palatino Linotype" w:cs="Palatino Linotype"/>
          <w:b/>
        </w:rPr>
        <w:t>Ayuntamiento de Toluca</w:t>
      </w:r>
      <w:r w:rsidRPr="004F247E">
        <w:rPr>
          <w:rFonts w:ascii="Palatino Linotype" w:eastAsia="Palatino Linotype" w:hAnsi="Palatino Linotype" w:cs="Palatino Linotype"/>
        </w:rPr>
        <w:t xml:space="preserve">, en adelante </w:t>
      </w:r>
      <w:r w:rsidRPr="004F247E">
        <w:rPr>
          <w:rFonts w:ascii="Palatino Linotype" w:eastAsia="Palatino Linotype" w:hAnsi="Palatino Linotype" w:cs="Palatino Linotype"/>
          <w:b/>
        </w:rPr>
        <w:t>EL SUJETO OBLIGADO</w:t>
      </w:r>
      <w:r w:rsidRPr="004F247E">
        <w:rPr>
          <w:rFonts w:ascii="Palatino Linotype" w:eastAsia="Palatino Linotype" w:hAnsi="Palatino Linotype" w:cs="Palatino Linotype"/>
        </w:rPr>
        <w:t>, se procede a dictar la presente resolución, con base en los siguientes:</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spacing w:line="360" w:lineRule="auto"/>
        <w:jc w:val="center"/>
        <w:rPr>
          <w:rFonts w:ascii="Palatino Linotype" w:eastAsia="Palatino Linotype" w:hAnsi="Palatino Linotype" w:cs="Palatino Linotype"/>
          <w:b/>
        </w:rPr>
      </w:pPr>
      <w:r w:rsidRPr="004F247E">
        <w:rPr>
          <w:rFonts w:ascii="Palatino Linotype" w:eastAsia="Palatino Linotype" w:hAnsi="Palatino Linotype" w:cs="Palatino Linotype"/>
          <w:b/>
        </w:rPr>
        <w:t>A N T E C E D E N T E S</w:t>
      </w:r>
    </w:p>
    <w:p w:rsidR="00C53264" w:rsidRPr="004F247E" w:rsidRDefault="00C53264" w:rsidP="008F6D40">
      <w:pPr>
        <w:spacing w:line="360" w:lineRule="auto"/>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El día </w:t>
      </w:r>
      <w:r w:rsidRPr="004F247E">
        <w:rPr>
          <w:rFonts w:ascii="Palatino Linotype" w:eastAsia="Palatino Linotype" w:hAnsi="Palatino Linotype" w:cs="Palatino Linotype"/>
          <w:b/>
        </w:rPr>
        <w:t xml:space="preserve">seis de febrero de dos mil veinticinco, </w:t>
      </w:r>
      <w:r w:rsidRPr="004F247E">
        <w:rPr>
          <w:rFonts w:ascii="Palatino Linotype" w:eastAsia="Palatino Linotype" w:hAnsi="Palatino Linotype" w:cs="Palatino Linotype"/>
        </w:rPr>
        <w:t xml:space="preserve">se presentó ante el </w:t>
      </w:r>
      <w:r w:rsidRPr="004F247E">
        <w:rPr>
          <w:rFonts w:ascii="Palatino Linotype" w:eastAsia="Palatino Linotype" w:hAnsi="Palatino Linotype" w:cs="Palatino Linotype"/>
          <w:b/>
        </w:rPr>
        <w:t>SUJETO OBLIGADO</w:t>
      </w:r>
      <w:r w:rsidRPr="004F247E">
        <w:rPr>
          <w:rFonts w:ascii="Palatino Linotype" w:eastAsia="Palatino Linotype" w:hAnsi="Palatino Linotype" w:cs="Palatino Linotype"/>
        </w:rPr>
        <w:t xml:space="preserve"> vía </w:t>
      </w:r>
      <w:r w:rsidRPr="004F247E">
        <w:rPr>
          <w:rFonts w:ascii="Palatino Linotype" w:eastAsia="Palatino Linotype" w:hAnsi="Palatino Linotype" w:cs="Palatino Linotype"/>
          <w:b/>
        </w:rPr>
        <w:t>SAIMEX</w:t>
      </w:r>
      <w:r w:rsidRPr="004F247E">
        <w:rPr>
          <w:rFonts w:ascii="Palatino Linotype" w:eastAsia="Palatino Linotype" w:hAnsi="Palatino Linotype" w:cs="Palatino Linotype"/>
        </w:rPr>
        <w:t>, las solicitudes de información pública registradas con los números</w:t>
      </w:r>
      <w:r w:rsidRPr="004F247E">
        <w:rPr>
          <w:rFonts w:ascii="Palatino Linotype" w:eastAsia="Palatino Linotype" w:hAnsi="Palatino Linotype" w:cs="Palatino Linotype"/>
          <w:b/>
          <w:color w:val="000000"/>
        </w:rPr>
        <w:t xml:space="preserve"> </w:t>
      </w:r>
      <w:r w:rsidRPr="004F247E">
        <w:rPr>
          <w:rFonts w:ascii="Palatino Linotype" w:eastAsia="Palatino Linotype" w:hAnsi="Palatino Linotype" w:cs="Palatino Linotype"/>
          <w:b/>
        </w:rPr>
        <w:t xml:space="preserve"> 00700/TOLUCA/IP/2025 y 00701/TOLUCA/IP/2025</w:t>
      </w:r>
      <w:r w:rsidRPr="004F247E">
        <w:rPr>
          <w:rFonts w:ascii="Palatino Linotype" w:eastAsia="Palatino Linotype" w:hAnsi="Palatino Linotype" w:cs="Palatino Linotype"/>
          <w:b/>
          <w:color w:val="000000"/>
        </w:rPr>
        <w:t xml:space="preserve">, </w:t>
      </w:r>
      <w:r w:rsidRPr="004F247E">
        <w:rPr>
          <w:rFonts w:ascii="Palatino Linotype" w:eastAsia="Palatino Linotype" w:hAnsi="Palatino Linotype" w:cs="Palatino Linotype"/>
        </w:rPr>
        <w:t>mediante las cuales se solicitó la siguiente información:</w:t>
      </w:r>
    </w:p>
    <w:tbl>
      <w:tblPr>
        <w:tblStyle w:val="a"/>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390"/>
      </w:tblGrid>
      <w:tr w:rsidR="00C53264" w:rsidRPr="004F247E">
        <w:tc>
          <w:tcPr>
            <w:tcW w:w="438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Solicitud de información</w:t>
            </w:r>
          </w:p>
        </w:tc>
        <w:tc>
          <w:tcPr>
            <w:tcW w:w="439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Información solicitada</w:t>
            </w:r>
          </w:p>
        </w:tc>
      </w:tr>
      <w:tr w:rsidR="00C53264" w:rsidRPr="004F247E">
        <w:tc>
          <w:tcPr>
            <w:tcW w:w="438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Solicitud  00700/TOLUCA/IP/2025</w:t>
            </w:r>
          </w:p>
        </w:tc>
        <w:tc>
          <w:tcPr>
            <w:tcW w:w="439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“Los programas sociales que se otorgaron durante la administración 2022a 2024 y aquí se bendición cual fue el beneficio..”</w:t>
            </w:r>
          </w:p>
          <w:p w:rsidR="00C53264" w:rsidRPr="004F247E" w:rsidRDefault="00C53264" w:rsidP="008F6D40">
            <w:pPr>
              <w:jc w:val="both"/>
              <w:rPr>
                <w:rFonts w:ascii="Palatino Linotype" w:eastAsia="Palatino Linotype" w:hAnsi="Palatino Linotype" w:cs="Palatino Linotype"/>
                <w:i/>
              </w:rPr>
            </w:pPr>
          </w:p>
        </w:tc>
      </w:tr>
      <w:tr w:rsidR="00C53264" w:rsidRPr="004F247E">
        <w:tc>
          <w:tcPr>
            <w:tcW w:w="438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Solicitud 00701/TOLUCA/IP/2025:</w:t>
            </w:r>
          </w:p>
        </w:tc>
        <w:tc>
          <w:tcPr>
            <w:tcW w:w="439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“Los programas sociales que dará este 2025 y como puede ser beneficiado.”</w:t>
            </w:r>
          </w:p>
        </w:tc>
      </w:tr>
    </w:tbl>
    <w:p w:rsidR="00C53264" w:rsidRPr="004F247E" w:rsidRDefault="00EC4A9A" w:rsidP="008F6D40">
      <w:pPr>
        <w:numPr>
          <w:ilvl w:val="0"/>
          <w:numId w:val="7"/>
        </w:numPr>
        <w:spacing w:line="360" w:lineRule="auto"/>
        <w:ind w:left="0"/>
        <w:jc w:val="both"/>
        <w:rPr>
          <w:rFonts w:ascii="Palatino Linotype" w:eastAsia="Palatino Linotype" w:hAnsi="Palatino Linotype" w:cs="Palatino Linotype"/>
        </w:rPr>
      </w:pPr>
      <w:r w:rsidRPr="004F247E">
        <w:rPr>
          <w:rFonts w:ascii="Palatino Linotype" w:eastAsia="Palatino Linotype" w:hAnsi="Palatino Linotype" w:cs="Palatino Linotype"/>
          <w:b/>
        </w:rPr>
        <w:lastRenderedPageBreak/>
        <w:t>Modalidad de entrega</w:t>
      </w:r>
      <w:r w:rsidRPr="004F247E">
        <w:rPr>
          <w:rFonts w:ascii="Palatino Linotype" w:eastAsia="Palatino Linotype" w:hAnsi="Palatino Linotype" w:cs="Palatino Linotype"/>
        </w:rPr>
        <w:t>: por medio del Sistema de Acceso a la Información.</w:t>
      </w:r>
    </w:p>
    <w:p w:rsidR="00C53264" w:rsidRPr="004F247E" w:rsidRDefault="00C53264" w:rsidP="008F6D40">
      <w:pPr>
        <w:spacing w:line="360" w:lineRule="auto"/>
        <w:jc w:val="both"/>
        <w:rPr>
          <w:rFonts w:ascii="Palatino Linotype" w:eastAsia="Palatino Linotype" w:hAnsi="Palatino Linotype" w:cs="Palatino Linotype"/>
          <w:i/>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El </w:t>
      </w:r>
      <w:r w:rsidRPr="004F247E">
        <w:rPr>
          <w:rFonts w:ascii="Palatino Linotype" w:eastAsia="Palatino Linotype" w:hAnsi="Palatino Linotype" w:cs="Palatino Linotype"/>
          <w:b/>
        </w:rPr>
        <w:t xml:space="preserve">seis de febrero de dos mil veinticinco, </w:t>
      </w:r>
      <w:r w:rsidRPr="004F247E">
        <w:rPr>
          <w:rFonts w:ascii="Palatino Linotype" w:eastAsia="Palatino Linotype" w:hAnsi="Palatino Linotype" w:cs="Palatino Linotype"/>
        </w:rPr>
        <w:t xml:space="preserve">el </w:t>
      </w:r>
      <w:r w:rsidRPr="004F247E">
        <w:rPr>
          <w:rFonts w:ascii="Palatino Linotype" w:eastAsia="Palatino Linotype" w:hAnsi="Palatino Linotype" w:cs="Palatino Linotype"/>
          <w:b/>
        </w:rPr>
        <w:t xml:space="preserve">SUJETO OBLIGADO </w:t>
      </w:r>
      <w:r w:rsidRPr="004F247E">
        <w:rPr>
          <w:rFonts w:ascii="Palatino Linotype" w:eastAsia="Palatino Linotype" w:hAnsi="Palatino Linotype" w:cs="Palatino Linotype"/>
        </w:rPr>
        <w:t>giro los requerimientos de información para que fueran atendidas la</w:t>
      </w:r>
      <w:r w:rsidR="0016419E" w:rsidRPr="004F247E">
        <w:rPr>
          <w:rFonts w:ascii="Palatino Linotype" w:eastAsia="Palatino Linotype" w:hAnsi="Palatino Linotype" w:cs="Palatino Linotype"/>
        </w:rPr>
        <w:t>s</w:t>
      </w:r>
      <w:r w:rsidRPr="004F247E">
        <w:rPr>
          <w:rFonts w:ascii="Palatino Linotype" w:eastAsia="Palatino Linotype" w:hAnsi="Palatino Linotype" w:cs="Palatino Linotype"/>
        </w:rPr>
        <w:t xml:space="preserve"> solicitudes de información </w:t>
      </w:r>
      <w:r w:rsidRPr="004F247E">
        <w:rPr>
          <w:rFonts w:ascii="Palatino Linotype" w:eastAsia="Palatino Linotype" w:hAnsi="Palatino Linotype" w:cs="Palatino Linotype"/>
          <w:b/>
        </w:rPr>
        <w:t xml:space="preserve">00700/TOLUCA/IP/2025  y 00701/TOLUCA/IP/2025. </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De lo anterior, en fecha </w:t>
      </w:r>
      <w:r w:rsidRPr="004F247E">
        <w:rPr>
          <w:rFonts w:ascii="Palatino Linotype" w:eastAsia="Palatino Linotype" w:hAnsi="Palatino Linotype" w:cs="Palatino Linotype"/>
          <w:b/>
        </w:rPr>
        <w:t xml:space="preserve">veintisiete de febrero de dos mil veinticinco, </w:t>
      </w:r>
      <w:r w:rsidRPr="004F247E">
        <w:rPr>
          <w:rFonts w:ascii="Palatino Linotype" w:eastAsia="Palatino Linotype" w:hAnsi="Palatino Linotype" w:cs="Palatino Linotype"/>
        </w:rPr>
        <w:t xml:space="preserve">el </w:t>
      </w:r>
      <w:r w:rsidRPr="004F247E">
        <w:rPr>
          <w:rFonts w:ascii="Palatino Linotype" w:eastAsia="Palatino Linotype" w:hAnsi="Palatino Linotype" w:cs="Palatino Linotype"/>
          <w:b/>
        </w:rPr>
        <w:t xml:space="preserve">SUJETO OBLIGADO </w:t>
      </w:r>
      <w:r w:rsidRPr="004F247E">
        <w:rPr>
          <w:rFonts w:ascii="Palatino Linotype" w:eastAsia="Palatino Linotype" w:hAnsi="Palatino Linotype" w:cs="Palatino Linotype"/>
        </w:rPr>
        <w:t xml:space="preserve">dio respuesta a las solicitudes de información </w:t>
      </w:r>
      <w:r w:rsidRPr="004F247E">
        <w:rPr>
          <w:rFonts w:ascii="Palatino Linotype" w:eastAsia="Palatino Linotype" w:hAnsi="Palatino Linotype" w:cs="Palatino Linotype"/>
          <w:b/>
        </w:rPr>
        <w:t xml:space="preserve"> 00700/TOLUCA/IP/2025  y 00701/TOLUCA/IP/2025, </w:t>
      </w:r>
      <w:r w:rsidRPr="004F247E">
        <w:rPr>
          <w:rFonts w:ascii="Palatino Linotype" w:eastAsia="Palatino Linotype" w:hAnsi="Palatino Linotype" w:cs="Palatino Linotype"/>
        </w:rPr>
        <w:t xml:space="preserve">con los siguientes documentos cuyo contenido grosso modo es: </w:t>
      </w:r>
    </w:p>
    <w:tbl>
      <w:tblPr>
        <w:tblStyle w:val="a0"/>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390"/>
      </w:tblGrid>
      <w:tr w:rsidR="00C53264" w:rsidRPr="004F247E">
        <w:tc>
          <w:tcPr>
            <w:tcW w:w="438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Solicitud de información</w:t>
            </w:r>
          </w:p>
        </w:tc>
        <w:tc>
          <w:tcPr>
            <w:tcW w:w="4390" w:type="dxa"/>
          </w:tcPr>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i/>
              </w:rPr>
              <w:t xml:space="preserve">Respuesta del </w:t>
            </w:r>
            <w:r w:rsidRPr="004F247E">
              <w:rPr>
                <w:rFonts w:ascii="Palatino Linotype" w:eastAsia="Palatino Linotype" w:hAnsi="Palatino Linotype" w:cs="Palatino Linotype"/>
                <w:b/>
                <w:i/>
              </w:rPr>
              <w:t xml:space="preserve">SUJETO OBLIGADO </w:t>
            </w:r>
          </w:p>
        </w:tc>
      </w:tr>
      <w:tr w:rsidR="00C53264" w:rsidRPr="004F247E">
        <w:tc>
          <w:tcPr>
            <w:tcW w:w="438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Solicitud  00700/TOLUCA/IP/2025</w:t>
            </w:r>
          </w:p>
        </w:tc>
        <w:tc>
          <w:tcPr>
            <w:tcW w:w="439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 xml:space="preserve">RESPUESTA 700. 2025.pdf: </w:t>
            </w:r>
            <w:r w:rsidRPr="004F247E">
              <w:rPr>
                <w:rFonts w:ascii="Palatino Linotype" w:eastAsia="Palatino Linotype" w:hAnsi="Palatino Linotype" w:cs="Palatino Linotype"/>
                <w:i/>
              </w:rPr>
              <w:t xml:space="preserve">oficio del Titular de la Unidad de Transparencia, mediante el cual informa que la Dirección General de Bienestar  Social, refiere que para el año dos mil veintidós se ejecutó el programa social “Programa Municipal Vida Alimentaria”, del cual remite una liga electrónica, de la cual al consultarla manda a error.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Por cuanto hace a los años dos mil veintitrés y dos mil veinticuatro, informa que no se realizó ningún tipo de apoyo </w:t>
            </w:r>
          </w:p>
        </w:tc>
      </w:tr>
      <w:tr w:rsidR="00C53264" w:rsidRPr="004F247E">
        <w:tc>
          <w:tcPr>
            <w:tcW w:w="438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Solicitud 00701/TOLUCA/IP/2025:</w:t>
            </w:r>
          </w:p>
        </w:tc>
        <w:tc>
          <w:tcPr>
            <w:tcW w:w="439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RESPUESTA</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 xml:space="preserve">701. 2025.pdf: </w:t>
            </w:r>
            <w:r w:rsidRPr="004F247E">
              <w:rPr>
                <w:rFonts w:ascii="Palatino Linotype" w:eastAsia="Palatino Linotype" w:hAnsi="Palatino Linotype" w:cs="Palatino Linotype"/>
                <w:i/>
              </w:rPr>
              <w:t xml:space="preserve">oficio del Titular de la Unidad de Transparencia, mediante el cual informa que la Dirección General de Bienestar Social, se encuentra realizando las gestiones necesarias para planear, impulsar, operar programas, </w:t>
            </w:r>
            <w:r w:rsidRPr="004F247E">
              <w:rPr>
                <w:rFonts w:ascii="Palatino Linotype" w:eastAsia="Palatino Linotype" w:hAnsi="Palatino Linotype" w:cs="Palatino Linotype"/>
                <w:i/>
              </w:rPr>
              <w:lastRenderedPageBreak/>
              <w:t>proyectos y acciones para garantizar el pleno ejercicio de los derechos sociales</w:t>
            </w:r>
          </w:p>
        </w:tc>
      </w:tr>
    </w:tbl>
    <w:p w:rsidR="00C53264" w:rsidRPr="004F247E" w:rsidRDefault="00C53264" w:rsidP="008F6D40">
      <w:pPr>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El </w:t>
      </w:r>
      <w:r w:rsidRPr="004F247E">
        <w:rPr>
          <w:rFonts w:ascii="Palatino Linotype" w:eastAsia="Palatino Linotype" w:hAnsi="Palatino Linotype" w:cs="Palatino Linotype"/>
          <w:b/>
        </w:rPr>
        <w:t>doce de marzo de dos mil veinticinco</w:t>
      </w:r>
      <w:r w:rsidRPr="004F247E">
        <w:rPr>
          <w:rFonts w:ascii="Palatino Linotype" w:eastAsia="Palatino Linotype" w:hAnsi="Palatino Linotype" w:cs="Palatino Linotype"/>
        </w:rPr>
        <w:t xml:space="preserve">, el solicitante interpuso recurso de revisión en las solicitudes de información </w:t>
      </w:r>
      <w:r w:rsidRPr="004F247E">
        <w:rPr>
          <w:rFonts w:ascii="Palatino Linotype" w:eastAsia="Palatino Linotype" w:hAnsi="Palatino Linotype" w:cs="Palatino Linotype"/>
          <w:b/>
        </w:rPr>
        <w:t xml:space="preserve"> 00700/TOLUCA/IP/2025  y 00701/TOLUCA/IP/2025 </w:t>
      </w:r>
      <w:r w:rsidRPr="004F247E">
        <w:rPr>
          <w:rFonts w:ascii="Palatino Linotype" w:eastAsia="Palatino Linotype" w:hAnsi="Palatino Linotype" w:cs="Palatino Linotype"/>
          <w:b/>
          <w:color w:val="000000"/>
        </w:rPr>
        <w:t xml:space="preserve">, </w:t>
      </w:r>
      <w:r w:rsidRPr="004F247E">
        <w:rPr>
          <w:rFonts w:ascii="Palatino Linotype" w:eastAsia="Palatino Linotype" w:hAnsi="Palatino Linotype" w:cs="Palatino Linotype"/>
        </w:rPr>
        <w:t xml:space="preserve">en contra de las respuestas emitidas a las por el </w:t>
      </w:r>
      <w:r w:rsidRPr="004F247E">
        <w:rPr>
          <w:rFonts w:ascii="Palatino Linotype" w:eastAsia="Palatino Linotype" w:hAnsi="Palatino Linotype" w:cs="Palatino Linotype"/>
          <w:b/>
        </w:rPr>
        <w:t>SUJETO OBLIGADO</w:t>
      </w:r>
      <w:r w:rsidRPr="004F247E">
        <w:rPr>
          <w:rFonts w:ascii="Palatino Linotype" w:eastAsia="Palatino Linotype" w:hAnsi="Palatino Linotype" w:cs="Palatino Linotype"/>
        </w:rPr>
        <w:t>, señalando las siguientes razones o motivos de inconformidad:</w:t>
      </w:r>
    </w:p>
    <w:p w:rsidR="00385C61" w:rsidRPr="004F247E" w:rsidRDefault="00385C61" w:rsidP="00385C61">
      <w:pPr>
        <w:spacing w:line="360" w:lineRule="auto"/>
        <w:jc w:val="both"/>
        <w:rPr>
          <w:rFonts w:ascii="Palatino Linotype" w:eastAsia="Palatino Linotype" w:hAnsi="Palatino Linotype" w:cs="Palatino Linotype"/>
        </w:rPr>
      </w:pPr>
    </w:p>
    <w:tbl>
      <w:tblPr>
        <w:tblStyle w:val="a1"/>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390"/>
      </w:tblGrid>
      <w:tr w:rsidR="00C53264" w:rsidRPr="004F247E">
        <w:tc>
          <w:tcPr>
            <w:tcW w:w="438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Recurso de revisión y solicitud de información</w:t>
            </w:r>
          </w:p>
        </w:tc>
        <w:tc>
          <w:tcPr>
            <w:tcW w:w="4390" w:type="dxa"/>
          </w:tcPr>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i/>
              </w:rPr>
              <w:t xml:space="preserve">Respuesta del </w:t>
            </w:r>
            <w:r w:rsidRPr="004F247E">
              <w:rPr>
                <w:rFonts w:ascii="Palatino Linotype" w:eastAsia="Palatino Linotype" w:hAnsi="Palatino Linotype" w:cs="Palatino Linotype"/>
                <w:b/>
                <w:i/>
              </w:rPr>
              <w:t xml:space="preserve">SUJETO OBLIGADO </w:t>
            </w:r>
          </w:p>
        </w:tc>
      </w:tr>
      <w:tr w:rsidR="00C53264" w:rsidRPr="004F247E">
        <w:tc>
          <w:tcPr>
            <w:tcW w:w="4389" w:type="dxa"/>
          </w:tcPr>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Solicitud  00700/TOLUCA/IP/2025</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Recurso de Revisión 02843/INFOEM/IP/RR/2025</w:t>
            </w:r>
          </w:p>
        </w:tc>
        <w:tc>
          <w:tcPr>
            <w:tcW w:w="439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 xml:space="preserve">Acto impugnado: </w:t>
            </w:r>
            <w:r w:rsidRPr="004F247E">
              <w:rPr>
                <w:rFonts w:ascii="Palatino Linotype" w:eastAsia="Palatino Linotype" w:hAnsi="Palatino Linotype" w:cs="Palatino Linotype"/>
                <w:i/>
              </w:rPr>
              <w:t>“La respuesta incompleta dan una liga y se solicita por saimex la información”</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Razones o Motivos de inconformidad:</w:t>
            </w:r>
            <w:r w:rsidRPr="004F247E">
              <w:rPr>
                <w:rFonts w:ascii="Palatino Linotype" w:eastAsia="Palatino Linotype" w:hAnsi="Palatino Linotype" w:cs="Palatino Linotype"/>
                <w:i/>
              </w:rPr>
              <w:t xml:space="preserve"> “Dan una liga y se solicita por saimex la información por que en su liga no esta todo lo que se pide”</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 </w:t>
            </w:r>
          </w:p>
        </w:tc>
      </w:tr>
      <w:tr w:rsidR="00C53264" w:rsidRPr="004F247E">
        <w:tc>
          <w:tcPr>
            <w:tcW w:w="4389" w:type="dxa"/>
          </w:tcPr>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Solicitud 00701/TOLUCA/IP/2025:</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Recurso de Revisión 02844/INFOEM/IP/RR/2025</w:t>
            </w:r>
          </w:p>
        </w:tc>
        <w:tc>
          <w:tcPr>
            <w:tcW w:w="439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 xml:space="preserve">Acto impugnado: </w:t>
            </w:r>
            <w:r w:rsidRPr="004F247E">
              <w:rPr>
                <w:rFonts w:ascii="Palatino Linotype" w:eastAsia="Palatino Linotype" w:hAnsi="Palatino Linotype" w:cs="Palatino Linotype"/>
                <w:i/>
              </w:rPr>
              <w:t>“Niega la información”</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Razones o Motivos de inconformidad:</w:t>
            </w:r>
            <w:r w:rsidRPr="004F247E">
              <w:rPr>
                <w:rFonts w:ascii="Palatino Linotype" w:eastAsia="Palatino Linotype" w:hAnsi="Palatino Linotype" w:cs="Palatino Linotype"/>
                <w:i/>
              </w:rPr>
              <w:t xml:space="preserve"> “La negativa de la información”</w:t>
            </w:r>
          </w:p>
          <w:p w:rsidR="00C53264" w:rsidRPr="004F247E" w:rsidRDefault="00C53264" w:rsidP="008F6D40">
            <w:pPr>
              <w:jc w:val="both"/>
              <w:rPr>
                <w:rFonts w:ascii="Palatino Linotype" w:eastAsia="Palatino Linotype" w:hAnsi="Palatino Linotype" w:cs="Palatino Linotype"/>
                <w:i/>
              </w:rPr>
            </w:pPr>
          </w:p>
        </w:tc>
      </w:tr>
    </w:tbl>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i/>
        </w:rPr>
      </w:pPr>
      <w:bookmarkStart w:id="1" w:name="_heading=h.30j0zll" w:colFirst="0" w:colLast="0"/>
      <w:bookmarkEnd w:id="1"/>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Consecutivamente</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rPr>
        <w:t xml:space="preserve">con fundamento en lo dispuesto por el artículo 185 fracción I de la Ley de Transparencia y Acceso a la Información Pública del Estado de </w:t>
      </w:r>
      <w:r w:rsidRPr="004F247E">
        <w:rPr>
          <w:rFonts w:ascii="Palatino Linotype" w:eastAsia="Palatino Linotype" w:hAnsi="Palatino Linotype" w:cs="Palatino Linotype"/>
          <w:color w:val="000000"/>
        </w:rPr>
        <w:t>México</w:t>
      </w:r>
      <w:r w:rsidRPr="004F247E">
        <w:rPr>
          <w:rFonts w:ascii="Palatino Linotype" w:eastAsia="Palatino Linotype" w:hAnsi="Palatino Linotype" w:cs="Palatino Linotype"/>
        </w:rPr>
        <w:t xml:space="preserve"> y Municipios, los recursos de referencia, fueron turnados</w:t>
      </w:r>
      <w:r w:rsidRPr="004F247E">
        <w:rPr>
          <w:rFonts w:ascii="Palatino Linotype" w:eastAsia="Palatino Linotype" w:hAnsi="Palatino Linotype" w:cs="Palatino Linotype"/>
          <w:b/>
        </w:rPr>
        <w:t xml:space="preserve"> </w:t>
      </w:r>
      <w:r w:rsidRPr="004F247E">
        <w:rPr>
          <w:rFonts w:ascii="Palatino Linotype" w:eastAsia="Palatino Linotype" w:hAnsi="Palatino Linotype" w:cs="Palatino Linotype"/>
        </w:rPr>
        <w:t>a las Comisionadas</w:t>
      </w:r>
      <w:r w:rsidRPr="004F247E">
        <w:rPr>
          <w:rFonts w:ascii="Palatino Linotype" w:eastAsia="Palatino Linotype" w:hAnsi="Palatino Linotype" w:cs="Palatino Linotype"/>
          <w:b/>
        </w:rPr>
        <w:t xml:space="preserve"> María del Rosario Mejía Ayala y Guadalupe Ramírez Peña</w:t>
      </w:r>
      <w:r w:rsidRPr="004F247E">
        <w:rPr>
          <w:rFonts w:ascii="Palatino Linotype" w:eastAsia="Palatino Linotype" w:hAnsi="Palatino Linotype" w:cs="Palatino Linotype"/>
        </w:rPr>
        <w:t>, respectivamente,</w:t>
      </w:r>
      <w:r w:rsidRPr="004F247E">
        <w:rPr>
          <w:rFonts w:ascii="Palatino Linotype" w:eastAsia="Palatino Linotype" w:hAnsi="Palatino Linotype" w:cs="Palatino Linotype"/>
          <w:b/>
        </w:rPr>
        <w:t xml:space="preserve"> </w:t>
      </w:r>
      <w:r w:rsidRPr="004F247E">
        <w:rPr>
          <w:rFonts w:ascii="Palatino Linotype" w:eastAsia="Palatino Linotype" w:hAnsi="Palatino Linotype" w:cs="Palatino Linotype"/>
        </w:rPr>
        <w:t xml:space="preserve">para su análisis. </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lastRenderedPageBreak/>
        <w:t xml:space="preserve">Los Comisionados Ponentes de origen con fundamento en lo dispuesto por el artículo 185 </w:t>
      </w:r>
      <w:r w:rsidRPr="004F247E">
        <w:rPr>
          <w:rFonts w:ascii="Palatino Linotype" w:eastAsia="Palatino Linotype" w:hAnsi="Palatino Linotype" w:cs="Palatino Linotype"/>
        </w:rPr>
        <w:t>fracción</w:t>
      </w:r>
      <w:r w:rsidRPr="004F247E">
        <w:rPr>
          <w:rFonts w:ascii="Palatino Linotype" w:eastAsia="Palatino Linotype" w:hAnsi="Palatino Linotype" w:cs="Palatino Linotype"/>
          <w:color w:val="000000"/>
        </w:rPr>
        <w:t xml:space="preserve"> II de la ley de la materia, a través de los </w:t>
      </w:r>
      <w:r w:rsidRPr="004F247E">
        <w:rPr>
          <w:rFonts w:ascii="Palatino Linotype" w:eastAsia="Palatino Linotype" w:hAnsi="Palatino Linotype" w:cs="Palatino Linotype"/>
          <w:b/>
          <w:color w:val="000000"/>
        </w:rPr>
        <w:t xml:space="preserve">acuerdos de admisión </w:t>
      </w:r>
      <w:r w:rsidRPr="004F247E">
        <w:rPr>
          <w:rFonts w:ascii="Palatino Linotype" w:eastAsia="Palatino Linotype" w:hAnsi="Palatino Linotype" w:cs="Palatino Linotype"/>
          <w:color w:val="000000"/>
        </w:rPr>
        <w:t xml:space="preserve">de fecha </w:t>
      </w:r>
      <w:r w:rsidRPr="004F247E">
        <w:rPr>
          <w:rFonts w:ascii="Palatino Linotype" w:eastAsia="Palatino Linotype" w:hAnsi="Palatino Linotype" w:cs="Palatino Linotype"/>
          <w:b/>
        </w:rPr>
        <w:t xml:space="preserve">trece y dieciocho de marzo de dos mil </w:t>
      </w:r>
      <w:r w:rsidR="0016419E" w:rsidRPr="004F247E">
        <w:rPr>
          <w:rFonts w:ascii="Palatino Linotype" w:eastAsia="Palatino Linotype" w:hAnsi="Palatino Linotype" w:cs="Palatino Linotype"/>
          <w:b/>
        </w:rPr>
        <w:t>veinticinco</w:t>
      </w:r>
      <w:r w:rsidRPr="004F247E">
        <w:rPr>
          <w:rFonts w:ascii="Palatino Linotype" w:eastAsia="Palatino Linotype" w:hAnsi="Palatino Linotype" w:cs="Palatino Linotype"/>
          <w:color w:val="000000"/>
        </w:rPr>
        <w:t xml:space="preserve">, pusieron a disposición de las partes el expediente electrónico vía SAIMEX a efecto de que en un plazo máximo de siete días </w:t>
      </w:r>
      <w:r w:rsidRPr="004F247E">
        <w:rPr>
          <w:rFonts w:ascii="Palatino Linotype" w:eastAsia="Palatino Linotype" w:hAnsi="Palatino Linotype" w:cs="Palatino Linotype"/>
        </w:rPr>
        <w:t>manifestara</w:t>
      </w:r>
      <w:r w:rsidRPr="004F247E">
        <w:rPr>
          <w:rFonts w:ascii="Palatino Linotype" w:eastAsia="Palatino Linotype" w:hAnsi="Palatino Linotype" w:cs="Palatino Linotype"/>
          <w:color w:val="000000"/>
        </w:rPr>
        <w:t xml:space="preserve"> lo que a su derecho conviniera, </w:t>
      </w:r>
      <w:r w:rsidRPr="004F247E">
        <w:rPr>
          <w:rFonts w:ascii="Palatino Linotype" w:eastAsia="Palatino Linotype" w:hAnsi="Palatino Linotype" w:cs="Palatino Linotype"/>
        </w:rPr>
        <w:t>ofreciera</w:t>
      </w:r>
      <w:r w:rsidRPr="004F247E">
        <w:rPr>
          <w:rFonts w:ascii="Palatino Linotype" w:eastAsia="Palatino Linotype" w:hAnsi="Palatino Linotype" w:cs="Palatino Linotype"/>
          <w:color w:val="000000"/>
        </w:rPr>
        <w:t xml:space="preserve"> pruebas y alegatos según corresponda al caso concreto, de esta forma para que el </w:t>
      </w:r>
      <w:r w:rsidRPr="004F247E">
        <w:rPr>
          <w:rFonts w:ascii="Palatino Linotype" w:eastAsia="Palatino Linotype" w:hAnsi="Palatino Linotype" w:cs="Palatino Linotype"/>
          <w:b/>
          <w:color w:val="000000"/>
        </w:rPr>
        <w:t xml:space="preserve">SUJETO OBLIGADO </w:t>
      </w:r>
      <w:r w:rsidRPr="004F247E">
        <w:rPr>
          <w:rFonts w:ascii="Palatino Linotype" w:eastAsia="Palatino Linotype" w:hAnsi="Palatino Linotype" w:cs="Palatino Linotype"/>
        </w:rPr>
        <w:t>presentará</w:t>
      </w:r>
      <w:r w:rsidRPr="004F247E">
        <w:rPr>
          <w:rFonts w:ascii="Palatino Linotype" w:eastAsia="Palatino Linotype" w:hAnsi="Palatino Linotype" w:cs="Palatino Linotype"/>
          <w:color w:val="000000"/>
        </w:rPr>
        <w:t xml:space="preserve"> el Informe Justificado procedente.</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Posteriormente el Pleno de este Órgano Autónomo, en la</w:t>
      </w:r>
      <w:r w:rsidRPr="004F247E">
        <w:rPr>
          <w:rFonts w:ascii="Palatino Linotype" w:eastAsia="Palatino Linotype" w:hAnsi="Palatino Linotype" w:cs="Palatino Linotype"/>
          <w:b/>
        </w:rPr>
        <w:t xml:space="preserve"> Décima Sesión Ordinaria </w:t>
      </w:r>
      <w:r w:rsidRPr="004F247E">
        <w:rPr>
          <w:rFonts w:ascii="Palatino Linotype" w:eastAsia="Palatino Linotype" w:hAnsi="Palatino Linotype" w:cs="Palatino Linotype"/>
        </w:rPr>
        <w:t>de fecha</w:t>
      </w:r>
      <w:r w:rsidRPr="004F247E">
        <w:rPr>
          <w:rFonts w:ascii="Palatino Linotype" w:eastAsia="Palatino Linotype" w:hAnsi="Palatino Linotype" w:cs="Palatino Linotype"/>
          <w:b/>
        </w:rPr>
        <w:t xml:space="preserve"> veinte de marzo de dos mil veinticinco</w:t>
      </w:r>
      <w:r w:rsidRPr="004F247E">
        <w:rPr>
          <w:rFonts w:ascii="Palatino Linotype" w:eastAsia="Palatino Linotype" w:hAnsi="Palatino Linotype" w:cs="Palatino Linotype"/>
        </w:rPr>
        <w:t xml:space="preserve">; se ordenó la acumulación de los recursos de revisión de mérito, a efecto de que la Ponencia de la </w:t>
      </w:r>
      <w:r w:rsidRPr="004F247E">
        <w:rPr>
          <w:rFonts w:ascii="Palatino Linotype" w:eastAsia="Palatino Linotype" w:hAnsi="Palatino Linotype" w:cs="Palatino Linotype"/>
          <w:b/>
        </w:rPr>
        <w:t xml:space="preserve">Comisionada María del Rosario Mejía Ayala </w:t>
      </w:r>
      <w:r w:rsidRPr="004F247E">
        <w:rPr>
          <w:rFonts w:ascii="Palatino Linotype" w:eastAsia="Palatino Linotype" w:hAnsi="Palatino Linotype" w:cs="Palatino Linotype"/>
        </w:rPr>
        <w:t>formulará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4F247E">
        <w:rPr>
          <w:rFonts w:ascii="Palatino Linotype" w:eastAsia="Palatino Linotype" w:hAnsi="Palatino Linotype" w:cs="Palatino Linotype"/>
          <w:i/>
          <w:vertAlign w:val="superscript"/>
        </w:rPr>
        <w:footnoteReference w:id="1"/>
      </w:r>
      <w:r w:rsidRPr="004F247E">
        <w:rPr>
          <w:rFonts w:ascii="Palatino Linotype" w:eastAsia="Palatino Linotype" w:hAnsi="Palatino Linotype" w:cs="Palatino Linotype"/>
        </w:rPr>
        <w:t>, que señala:</w:t>
      </w:r>
    </w:p>
    <w:p w:rsidR="00C53264" w:rsidRPr="004F247E" w:rsidRDefault="00EC4A9A" w:rsidP="008F6D40">
      <w:pPr>
        <w:tabs>
          <w:tab w:val="left" w:pos="0"/>
          <w:tab w:val="left" w:pos="1134"/>
          <w:tab w:val="left" w:pos="7938"/>
        </w:tabs>
        <w:jc w:val="both"/>
        <w:rPr>
          <w:rFonts w:ascii="Palatino Linotype" w:eastAsia="Palatino Linotype" w:hAnsi="Palatino Linotype" w:cs="Palatino Linotype"/>
          <w:i/>
        </w:rPr>
      </w:pPr>
      <w:r w:rsidRPr="004F247E">
        <w:rPr>
          <w:rFonts w:ascii="Palatino Linotype" w:eastAsia="Palatino Linotype" w:hAnsi="Palatino Linotype" w:cs="Palatino Linotype"/>
          <w:b/>
          <w:i/>
        </w:rPr>
        <w:t>“ONCE.</w:t>
      </w:r>
      <w:r w:rsidRPr="004F247E">
        <w:rPr>
          <w:rFonts w:ascii="Palatino Linotype" w:eastAsia="Palatino Linotype" w:hAnsi="Palatino Linotype" w:cs="Palatino Linotype"/>
          <w:i/>
        </w:rPr>
        <w:t xml:space="preserve"> El Instituto, para mejor resolver y evitar la emisión de resoluciones contradictorias, podrá acordar la acumulación de los expedientes de recursos de revisión, de oficio o a petición de parte cuando:</w:t>
      </w:r>
    </w:p>
    <w:p w:rsidR="00C53264" w:rsidRPr="004F247E" w:rsidRDefault="00EC4A9A" w:rsidP="008F6D40">
      <w:pPr>
        <w:tabs>
          <w:tab w:val="left" w:pos="0"/>
          <w:tab w:val="left" w:pos="426"/>
          <w:tab w:val="left" w:pos="7938"/>
        </w:tabs>
        <w:ind w:firstLine="567"/>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r w:rsidRPr="004F247E">
        <w:rPr>
          <w:rFonts w:ascii="Palatino Linotype" w:eastAsia="Palatino Linotype" w:hAnsi="Palatino Linotype" w:cs="Palatino Linotype"/>
          <w:i/>
        </w:rPr>
        <w:tab/>
      </w:r>
    </w:p>
    <w:p w:rsidR="00C53264" w:rsidRPr="004F247E" w:rsidRDefault="00EC4A9A" w:rsidP="008F6D40">
      <w:pPr>
        <w:tabs>
          <w:tab w:val="left" w:pos="0"/>
          <w:tab w:val="left" w:pos="426"/>
          <w:tab w:val="left" w:pos="7938"/>
        </w:tabs>
        <w:ind w:firstLine="567"/>
        <w:jc w:val="both"/>
        <w:rPr>
          <w:rFonts w:ascii="Palatino Linotype" w:eastAsia="Palatino Linotype" w:hAnsi="Palatino Linotype" w:cs="Palatino Linotype"/>
          <w:i/>
        </w:rPr>
      </w:pPr>
      <w:r w:rsidRPr="004F247E">
        <w:rPr>
          <w:rFonts w:ascii="Palatino Linotype" w:eastAsia="Palatino Linotype" w:hAnsi="Palatino Linotype" w:cs="Palatino Linotype"/>
          <w:i/>
        </w:rPr>
        <w:t>b) Las partes o los actos impugnados sean iguales</w:t>
      </w:r>
    </w:p>
    <w:p w:rsidR="00C53264" w:rsidRPr="004F247E" w:rsidRDefault="00EC4A9A" w:rsidP="008F6D40">
      <w:pPr>
        <w:tabs>
          <w:tab w:val="left" w:pos="0"/>
          <w:tab w:val="left" w:pos="7938"/>
        </w:tabs>
        <w:jc w:val="both"/>
        <w:rPr>
          <w:rFonts w:ascii="Palatino Linotype" w:eastAsia="Palatino Linotype" w:hAnsi="Palatino Linotype" w:cs="Palatino Linotype"/>
          <w:i/>
        </w:rPr>
      </w:pPr>
      <w:r w:rsidRPr="004F247E">
        <w:rPr>
          <w:rFonts w:ascii="Palatino Linotype" w:eastAsia="Palatino Linotype" w:hAnsi="Palatino Linotype" w:cs="Palatino Linotype"/>
          <w:i/>
        </w:rPr>
        <w:t>c) Cuando se trate del mismo solicitante, el mismo SUJETO OBLIGADO, aunque se trate de solicitudes diversas;</w:t>
      </w:r>
    </w:p>
    <w:p w:rsidR="00C53264" w:rsidRPr="004F247E" w:rsidRDefault="00EC4A9A" w:rsidP="008F6D40">
      <w:pPr>
        <w:tabs>
          <w:tab w:val="left" w:pos="0"/>
          <w:tab w:val="left" w:pos="426"/>
          <w:tab w:val="left" w:pos="7938"/>
        </w:tabs>
        <w:ind w:firstLine="567"/>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p>
    <w:p w:rsidR="00C53264" w:rsidRPr="004F247E" w:rsidRDefault="00EC4A9A" w:rsidP="008F6D40">
      <w:pPr>
        <w:tabs>
          <w:tab w:val="left" w:pos="0"/>
          <w:tab w:val="left" w:pos="426"/>
        </w:tabs>
        <w:ind w:firstLine="567"/>
        <w:jc w:val="both"/>
        <w:rPr>
          <w:rFonts w:ascii="Palatino Linotype" w:eastAsia="Palatino Linotype" w:hAnsi="Palatino Linotype" w:cs="Palatino Linotype"/>
          <w:i/>
        </w:rPr>
      </w:pPr>
      <w:r w:rsidRPr="004F247E">
        <w:rPr>
          <w:rFonts w:ascii="Palatino Linotype" w:eastAsia="Palatino Linotype" w:hAnsi="Palatino Linotype" w:cs="Palatino Linotype"/>
          <w:i/>
        </w:rPr>
        <w:lastRenderedPageBreak/>
        <w:t>(Énfasis añadido)</w:t>
      </w:r>
    </w:p>
    <w:p w:rsidR="00C53264" w:rsidRPr="004F247E" w:rsidRDefault="00C53264" w:rsidP="008F6D40">
      <w:pPr>
        <w:tabs>
          <w:tab w:val="left" w:pos="0"/>
          <w:tab w:val="left" w:pos="426"/>
        </w:tabs>
        <w:ind w:firstLine="567"/>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Es así que,</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Código de Procedimientos Administrativos del Estado de México.</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“Artículo 18.-</w:t>
      </w:r>
      <w:r w:rsidRPr="004F247E">
        <w:rPr>
          <w:rFonts w:ascii="Palatino Linotype" w:eastAsia="Palatino Linotype" w:hAnsi="Palatino Linotype" w:cs="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Ley de Transparencia y Acceso a la Información Pública del Estado de México y Municipios</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“Artículo 195.</w:t>
      </w:r>
      <w:r w:rsidRPr="004F247E">
        <w:rPr>
          <w:rFonts w:ascii="Palatino Linotype" w:eastAsia="Palatino Linotype" w:hAnsi="Palatino Linotype" w:cs="Palatino Linotype"/>
          <w:i/>
        </w:rPr>
        <w:t xml:space="preserve"> En la tramitación del recurso de revisión se aplicarán supletoriamente las disposiciones contenidas en el Código de Procedimientos Administrativos del Estado de México.”</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(Énfasis añadido)</w:t>
      </w:r>
    </w:p>
    <w:p w:rsidR="00C53264" w:rsidRPr="004F247E" w:rsidRDefault="00C53264" w:rsidP="008F6D40">
      <w:pPr>
        <w:ind w:firstLine="360"/>
        <w:rPr>
          <w:rFonts w:ascii="Palatino Linotype" w:hAnsi="Palatino Linotype"/>
          <w:i/>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i/>
        </w:rPr>
      </w:pPr>
      <w:r w:rsidRPr="004F247E">
        <w:rPr>
          <w:rFonts w:ascii="Palatino Linotype" w:eastAsia="Palatino Linotype" w:hAnsi="Palatino Linotype" w:cs="Palatino Linotype"/>
        </w:rPr>
        <w:t xml:space="preserve">De lo anterior,  el </w:t>
      </w:r>
      <w:r w:rsidRPr="004F247E">
        <w:rPr>
          <w:rFonts w:ascii="Palatino Linotype" w:eastAsia="Palatino Linotype" w:hAnsi="Palatino Linotype" w:cs="Palatino Linotype"/>
          <w:b/>
        </w:rPr>
        <w:t xml:space="preserve">SUJETO OBLIGADO </w:t>
      </w:r>
      <w:r w:rsidRPr="004F247E">
        <w:rPr>
          <w:rFonts w:ascii="Palatino Linotype" w:eastAsia="Palatino Linotype" w:hAnsi="Palatino Linotype" w:cs="Palatino Linotype"/>
        </w:rPr>
        <w:t xml:space="preserve">realizó en cada recurso de revisión sus respectivos informes justificados, mediante los cuales grosso modo ratifico la respuesta inicial. </w:t>
      </w:r>
    </w:p>
    <w:p w:rsidR="00C53264" w:rsidRPr="004F247E" w:rsidRDefault="00C53264" w:rsidP="008F6D40">
      <w:pPr>
        <w:spacing w:line="360" w:lineRule="auto"/>
        <w:jc w:val="both"/>
        <w:rPr>
          <w:rFonts w:ascii="Palatino Linotype" w:eastAsia="Palatino Linotype" w:hAnsi="Palatino Linotype" w:cs="Palatino Linotype"/>
          <w:b/>
          <w:color w:val="000000"/>
        </w:rPr>
      </w:pPr>
      <w:bookmarkStart w:id="2" w:name="_heading=h.3znysh7" w:colFirst="0" w:colLast="0"/>
      <w:bookmarkEnd w:id="2"/>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lastRenderedPageBreak/>
        <w:t>Finalmente, la Comisionada Ponente mediante acuerdo de fecha</w:t>
      </w:r>
      <w:r w:rsidRPr="004F247E">
        <w:rPr>
          <w:rFonts w:ascii="Palatino Linotype" w:eastAsia="Palatino Linotype" w:hAnsi="Palatino Linotype" w:cs="Palatino Linotype"/>
          <w:b/>
        </w:rPr>
        <w:t xml:space="preserve"> once de abril de dos mil veinticinco</w:t>
      </w:r>
      <w:r w:rsidRPr="004F247E">
        <w:rPr>
          <w:rFonts w:ascii="Palatino Linotype" w:eastAsia="Palatino Linotype" w:hAnsi="Palatino Linotype" w:cs="Palatino Linotype"/>
        </w:rPr>
        <w:t>, decretó el cierre de instrucción de los expedientes, por lo que no habiendo más que hacer constar, y --------------------------------------------</w:t>
      </w:r>
      <w:r w:rsidR="0016419E" w:rsidRPr="004F247E">
        <w:rPr>
          <w:rFonts w:ascii="Palatino Linotype" w:eastAsia="Palatino Linotype" w:hAnsi="Palatino Linotype" w:cs="Palatino Linotype"/>
        </w:rPr>
        <w:t>--------------------</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spacing w:line="360" w:lineRule="auto"/>
        <w:jc w:val="center"/>
        <w:rPr>
          <w:rFonts w:ascii="Palatino Linotype" w:eastAsia="Palatino Linotype" w:hAnsi="Palatino Linotype" w:cs="Palatino Linotype"/>
          <w:b/>
          <w:color w:val="000000"/>
        </w:rPr>
      </w:pPr>
      <w:r w:rsidRPr="004F247E">
        <w:rPr>
          <w:rFonts w:ascii="Palatino Linotype" w:eastAsia="Palatino Linotype" w:hAnsi="Palatino Linotype" w:cs="Palatino Linotype"/>
          <w:b/>
          <w:color w:val="000000"/>
        </w:rPr>
        <w:t>C O N S I D E R A N D O</w:t>
      </w:r>
    </w:p>
    <w:p w:rsidR="00C53264" w:rsidRPr="004F247E" w:rsidRDefault="00C53264" w:rsidP="008F6D40">
      <w:pPr>
        <w:spacing w:line="360" w:lineRule="auto"/>
        <w:jc w:val="center"/>
        <w:rPr>
          <w:rFonts w:ascii="Palatino Linotype" w:eastAsia="Palatino Linotype" w:hAnsi="Palatino Linotype" w:cs="Palatino Linotype"/>
          <w:b/>
        </w:rPr>
      </w:pPr>
    </w:p>
    <w:p w:rsidR="00C53264" w:rsidRPr="004F247E" w:rsidRDefault="00EC4A9A" w:rsidP="008F6D40">
      <w:pPr>
        <w:keepNext/>
        <w:keepLines/>
        <w:spacing w:line="360" w:lineRule="auto"/>
        <w:rPr>
          <w:rFonts w:ascii="Palatino Linotype" w:eastAsia="Palatino Linotype" w:hAnsi="Palatino Linotype" w:cs="Palatino Linotype"/>
          <w:b/>
        </w:rPr>
      </w:pPr>
      <w:bookmarkStart w:id="3" w:name="_heading=h.2et92p0" w:colFirst="0" w:colLast="0"/>
      <w:bookmarkEnd w:id="3"/>
      <w:r w:rsidRPr="004F247E">
        <w:rPr>
          <w:rFonts w:ascii="Palatino Linotype" w:eastAsia="Palatino Linotype" w:hAnsi="Palatino Linotype" w:cs="Palatino Linotype"/>
          <w:b/>
        </w:rPr>
        <w:t>PRIMERO. De la competencia</w:t>
      </w: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bookmarkStart w:id="4" w:name="_heading=h.3dy6vkm" w:colFirst="0" w:colLast="0"/>
      <w:bookmarkEnd w:id="4"/>
      <w:r w:rsidRPr="004F247E">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tabs>
          <w:tab w:val="left" w:pos="426"/>
        </w:tabs>
        <w:spacing w:line="360" w:lineRule="auto"/>
        <w:jc w:val="both"/>
        <w:rPr>
          <w:rFonts w:ascii="Palatino Linotype" w:eastAsia="Palatino Linotype" w:hAnsi="Palatino Linotype" w:cs="Palatino Linotype"/>
          <w:b/>
          <w:color w:val="000000"/>
        </w:rPr>
      </w:pPr>
      <w:r w:rsidRPr="004F247E">
        <w:rPr>
          <w:rFonts w:ascii="Palatino Linotype" w:eastAsia="Palatino Linotype" w:hAnsi="Palatino Linotype" w:cs="Palatino Linotype"/>
          <w:b/>
          <w:color w:val="000000"/>
        </w:rPr>
        <w:t>SEGUNDO. De la oportunidad y procedencia.</w:t>
      </w: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bookmarkStart w:id="5" w:name="_heading=h.1t3h5sf" w:colFirst="0" w:colLast="0"/>
      <w:bookmarkEnd w:id="5"/>
      <w:r w:rsidRPr="004F247E">
        <w:rPr>
          <w:rFonts w:ascii="Palatino Linotype" w:eastAsia="Palatino Linotype" w:hAnsi="Palatino Linotype" w:cs="Palatino Linotype"/>
        </w:rPr>
        <w:t xml:space="preserve">Los medios de impugnación fueron presentados a través del </w:t>
      </w:r>
      <w:r w:rsidRPr="004F247E">
        <w:rPr>
          <w:rFonts w:ascii="Palatino Linotype" w:eastAsia="Palatino Linotype" w:hAnsi="Palatino Linotype" w:cs="Palatino Linotype"/>
          <w:b/>
        </w:rPr>
        <w:t>SAIMEX,</w:t>
      </w:r>
      <w:r w:rsidRPr="004F247E">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4F247E">
        <w:rPr>
          <w:rFonts w:ascii="Palatino Linotype" w:eastAsia="Palatino Linotype" w:hAnsi="Palatino Linotype" w:cs="Palatino Linotype"/>
          <w:b/>
        </w:rPr>
        <w:t>SUJETO OBLIGADO</w:t>
      </w:r>
      <w:r w:rsidRPr="004F247E">
        <w:rPr>
          <w:rFonts w:ascii="Palatino Linotype" w:eastAsia="Palatino Linotype" w:hAnsi="Palatino Linotype" w:cs="Palatino Linotype"/>
        </w:rPr>
        <w:t xml:space="preserve"> entregó sus respuestas el </w:t>
      </w:r>
      <w:r w:rsidRPr="004F247E">
        <w:rPr>
          <w:rFonts w:ascii="Palatino Linotype" w:eastAsia="Palatino Linotype" w:hAnsi="Palatino Linotype" w:cs="Palatino Linotype"/>
          <w:b/>
        </w:rPr>
        <w:t>veintisiete de febrero de dos mil veinticinco</w:t>
      </w:r>
      <w:r w:rsidRPr="004F247E">
        <w:rPr>
          <w:rFonts w:ascii="Palatino Linotype" w:eastAsia="Palatino Linotype" w:hAnsi="Palatino Linotype" w:cs="Palatino Linotype"/>
        </w:rPr>
        <w:t xml:space="preserve">, de tal forma que </w:t>
      </w:r>
      <w:r w:rsidRPr="004F247E">
        <w:rPr>
          <w:rFonts w:ascii="Palatino Linotype" w:eastAsia="Palatino Linotype" w:hAnsi="Palatino Linotype" w:cs="Palatino Linotype"/>
        </w:rPr>
        <w:lastRenderedPageBreak/>
        <w:t xml:space="preserve">el plazo para interponer el recurso de revisión transcurrió del </w:t>
      </w:r>
      <w:r w:rsidRPr="004F247E">
        <w:rPr>
          <w:rFonts w:ascii="Palatino Linotype" w:eastAsia="Palatino Linotype" w:hAnsi="Palatino Linotype" w:cs="Palatino Linotype"/>
          <w:b/>
        </w:rPr>
        <w:t>veintiocho de febrero al veinticuatro de marzo de dos mil veinticinco</w:t>
      </w:r>
      <w:r w:rsidRPr="004F247E">
        <w:rPr>
          <w:rFonts w:ascii="Palatino Linotype" w:eastAsia="Palatino Linotype" w:hAnsi="Palatino Linotype" w:cs="Palatino Linotype"/>
        </w:rPr>
        <w:t xml:space="preserve">; en consecuencia, el ahora </w:t>
      </w:r>
      <w:r w:rsidRPr="004F247E">
        <w:rPr>
          <w:rFonts w:ascii="Palatino Linotype" w:eastAsia="Palatino Linotype" w:hAnsi="Palatino Linotype" w:cs="Palatino Linotype"/>
          <w:b/>
        </w:rPr>
        <w:t>RECURRENTE</w:t>
      </w:r>
      <w:r w:rsidRPr="004F247E">
        <w:rPr>
          <w:rFonts w:ascii="Palatino Linotype" w:eastAsia="Palatino Linotype" w:hAnsi="Palatino Linotype" w:cs="Palatino Linotype"/>
        </w:rPr>
        <w:t xml:space="preserve"> presentó sus inconformidades el </w:t>
      </w:r>
      <w:r w:rsidRPr="004F247E">
        <w:rPr>
          <w:rFonts w:ascii="Palatino Linotype" w:eastAsia="Palatino Linotype" w:hAnsi="Palatino Linotype" w:cs="Palatino Linotype"/>
          <w:b/>
        </w:rPr>
        <w:t>doce de marzo de dos mil veinticinco</w:t>
      </w:r>
      <w:r w:rsidRPr="004F247E">
        <w:rPr>
          <w:rFonts w:ascii="Palatino Linotype" w:eastAsia="Palatino Linotype" w:hAnsi="Palatino Linotype" w:cs="Palatino Linotype"/>
        </w:rPr>
        <w:t>; es decir dentro del lapso legalmente establecido para tal efecto.</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Por </w:t>
      </w:r>
      <w:r w:rsidRPr="004F247E">
        <w:rPr>
          <w:rFonts w:ascii="Palatino Linotype" w:eastAsia="Palatino Linotype" w:hAnsi="Palatino Linotype" w:cs="Palatino Linotype"/>
        </w:rPr>
        <w:t>otro</w:t>
      </w:r>
      <w:r w:rsidRPr="004F247E">
        <w:rPr>
          <w:rFonts w:ascii="Palatino Linotype" w:eastAsia="Palatino Linotype" w:hAnsi="Palatino Linotype" w:cs="Palatino Linotype"/>
          <w:color w:val="000000"/>
        </w:rPr>
        <w:t xml:space="preserve">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r w:rsidRPr="004F247E">
        <w:rPr>
          <w:rFonts w:ascii="Palatino Linotype" w:eastAsia="Palatino Linotype" w:hAnsi="Palatino Linotype" w:cs="Palatino Linotype"/>
          <w:b/>
          <w:i/>
        </w:rPr>
        <w:t>Las solicitudes anónimas</w:t>
      </w:r>
      <w:r w:rsidRPr="004F247E">
        <w:rPr>
          <w:rFonts w:ascii="Palatino Linotype" w:eastAsia="Palatino Linotype" w:hAnsi="Palatino Linotype" w:cs="Palatino Linotype"/>
          <w:i/>
        </w:rPr>
        <w:t xml:space="preserve">, con nombre incompleto o seudónimo </w:t>
      </w:r>
      <w:r w:rsidRPr="004F247E">
        <w:rPr>
          <w:rFonts w:ascii="Palatino Linotype" w:eastAsia="Palatino Linotype" w:hAnsi="Palatino Linotype" w:cs="Palatino Linotype"/>
          <w:b/>
          <w:i/>
        </w:rPr>
        <w:t>serán procedentes para su trámite por parte del sujeto obligado ante quien se presente</w:t>
      </w:r>
      <w:r w:rsidRPr="004F247E">
        <w:rPr>
          <w:rFonts w:ascii="Palatino Linotype" w:eastAsia="Palatino Linotype" w:hAnsi="Palatino Linotype" w:cs="Palatino Linotype"/>
          <w:i/>
        </w:rPr>
        <w:t>. No podrá requerirse información adicional con motivo del nombre proporcionado por el solicitante."</w:t>
      </w:r>
    </w:p>
    <w:p w:rsidR="00C53264" w:rsidRPr="004F247E" w:rsidRDefault="00C53264" w:rsidP="008F6D40">
      <w:pPr>
        <w:spacing w:line="360" w:lineRule="auto"/>
        <w:jc w:val="right"/>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rPr>
        <w:t>Robusteciendo</w:t>
      </w:r>
      <w:r w:rsidRPr="004F247E">
        <w:rPr>
          <w:rFonts w:ascii="Palatino Linotype" w:eastAsia="Palatino Linotype" w:hAnsi="Palatino Linotype" w:cs="Palatino Linotype"/>
          <w:color w:val="000000"/>
        </w:rPr>
        <w:t xml:space="preserve"> lo anterior se encuentra lo dispuesto en el artículo 6, Apartado A, fracciones III de la Constitución Política de los Estados Unidos Mexicanos que establece:</w:t>
      </w:r>
    </w:p>
    <w:p w:rsidR="00C53264" w:rsidRPr="004F247E" w:rsidRDefault="00C53264" w:rsidP="008F6D40">
      <w:pPr>
        <w:spacing w:line="360" w:lineRule="auto"/>
        <w:ind w:firstLine="1134"/>
        <w:jc w:val="both"/>
        <w:rPr>
          <w:rFonts w:ascii="Palatino Linotype" w:eastAsia="Palatino Linotype" w:hAnsi="Palatino Linotype" w:cs="Palatino Linotype"/>
          <w:i/>
        </w:rPr>
      </w:pP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r w:rsidRPr="004F247E">
        <w:rPr>
          <w:rFonts w:ascii="Palatino Linotype" w:eastAsia="Palatino Linotype" w:hAnsi="Palatino Linotype" w:cs="Palatino Linotype"/>
          <w:b/>
          <w:i/>
        </w:rPr>
        <w:t>Artículo 6.-</w:t>
      </w:r>
      <w:r w:rsidRPr="004F247E">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Para efectos de lo dispuesto en el presente artículo se observará lo siguiente:</w:t>
      </w:r>
    </w:p>
    <w:p w:rsidR="00C53264" w:rsidRPr="004F247E" w:rsidRDefault="00C53264" w:rsidP="008F6D40">
      <w:pPr>
        <w:ind w:firstLine="1134"/>
        <w:jc w:val="both"/>
        <w:rPr>
          <w:rFonts w:ascii="Palatino Linotype" w:eastAsia="Palatino Linotype" w:hAnsi="Palatino Linotype" w:cs="Palatino Linotype"/>
          <w:i/>
        </w:rPr>
      </w:pP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lastRenderedPageBreak/>
        <w:t>A. Para el ejercicio del derecho de acceso a la información, la Federación, los Estados y el Distrito Federal, en el ámbito de sus respectivas competencias, se regirán por los siguientes principios y bases:</w:t>
      </w:r>
    </w:p>
    <w:p w:rsidR="00C53264" w:rsidRPr="004F247E" w:rsidRDefault="00C53264" w:rsidP="008F6D40">
      <w:pPr>
        <w:ind w:firstLine="1134"/>
        <w:jc w:val="both"/>
        <w:rPr>
          <w:rFonts w:ascii="Palatino Linotype" w:eastAsia="Palatino Linotype" w:hAnsi="Palatino Linotype" w:cs="Palatino Linotype"/>
          <w:i/>
        </w:rPr>
      </w:pP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4F247E">
        <w:rPr>
          <w:rFonts w:ascii="Palatino Linotype" w:eastAsia="Palatino Linotype" w:hAnsi="Palatino Linotype" w:cs="Palatino Linotype"/>
        </w:rPr>
        <w:t>(Sic)</w:t>
      </w:r>
    </w:p>
    <w:p w:rsidR="00C53264" w:rsidRPr="004F247E" w:rsidRDefault="00C53264" w:rsidP="008F6D40">
      <w:pPr>
        <w:spacing w:line="360" w:lineRule="auto"/>
        <w:jc w:val="both"/>
        <w:rPr>
          <w:rFonts w:ascii="Palatino Linotype" w:eastAsia="Palatino Linotype" w:hAnsi="Palatino Linotype" w:cs="Palatino Linotype"/>
          <w:i/>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C53264" w:rsidRPr="004F247E" w:rsidRDefault="00C53264" w:rsidP="008F6D40">
      <w:pPr>
        <w:spacing w:line="360" w:lineRule="auto"/>
        <w:jc w:val="both"/>
        <w:rPr>
          <w:rFonts w:ascii="Palatino Linotype" w:eastAsia="Palatino Linotype" w:hAnsi="Palatino Linotype" w:cs="Palatino Linotype"/>
          <w:i/>
        </w:rPr>
      </w:pP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r w:rsidRPr="004F247E">
        <w:rPr>
          <w:rFonts w:ascii="Palatino Linotype" w:eastAsia="Palatino Linotype" w:hAnsi="Palatino Linotype" w:cs="Palatino Linotype"/>
          <w:b/>
          <w:i/>
        </w:rPr>
        <w:t>Artículo 5.-</w:t>
      </w:r>
      <w:r w:rsidRPr="004F247E">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4F247E">
        <w:rPr>
          <w:rFonts w:ascii="Palatino Linotype" w:eastAsia="Palatino Linotype" w:hAnsi="Palatino Linotype" w:cs="Palatino Linotype"/>
        </w:rPr>
        <w:t>(Sic)</w:t>
      </w:r>
    </w:p>
    <w:p w:rsidR="00C53264" w:rsidRPr="004F247E" w:rsidRDefault="00C53264" w:rsidP="008F6D40">
      <w:pPr>
        <w:spacing w:line="360" w:lineRule="auto"/>
        <w:jc w:val="both"/>
        <w:rPr>
          <w:rFonts w:ascii="Palatino Linotype" w:eastAsia="Palatino Linotype" w:hAnsi="Palatino Linotype" w:cs="Palatino Linotype"/>
          <w:i/>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Por </w:t>
      </w:r>
      <w:r w:rsidRPr="004F247E">
        <w:rPr>
          <w:rFonts w:ascii="Palatino Linotype" w:eastAsia="Palatino Linotype" w:hAnsi="Palatino Linotype" w:cs="Palatino Linotype"/>
        </w:rPr>
        <w:t>otra</w:t>
      </w:r>
      <w:r w:rsidRPr="004F247E">
        <w:rPr>
          <w:rFonts w:ascii="Palatino Linotype" w:eastAsia="Palatino Linotype" w:hAnsi="Palatino Linotype" w:cs="Palatino Linotype"/>
          <w:color w:val="000000"/>
        </w:rPr>
        <w:t xml:space="preserve"> parte, del contenido del artículo 1 de la Constitución Política de los Estados Unidos mexicanos, se destaca lo siguiente:</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r w:rsidRPr="004F247E">
        <w:rPr>
          <w:rFonts w:ascii="Palatino Linotype" w:eastAsia="Palatino Linotype" w:hAnsi="Palatino Linotype" w:cs="Palatino Linotype"/>
          <w:b/>
          <w:i/>
        </w:rPr>
        <w:t>Artículo 1</w:t>
      </w:r>
      <w:r w:rsidRPr="004F247E">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C53264" w:rsidRPr="004F247E" w:rsidRDefault="00C53264" w:rsidP="008F6D40">
      <w:pPr>
        <w:spacing w:line="360" w:lineRule="auto"/>
        <w:jc w:val="both"/>
        <w:rPr>
          <w:rFonts w:ascii="Palatino Linotype" w:eastAsia="Palatino Linotype" w:hAnsi="Palatino Linotype" w:cs="Palatino Linotype"/>
          <w:i/>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4F247E">
        <w:rPr>
          <w:rFonts w:ascii="Palatino Linotype" w:eastAsia="Palatino Linotype" w:hAnsi="Palatino Linotype" w:cs="Palatino Linotype"/>
          <w:i/>
        </w:rPr>
        <w:t>derecho fundamental exime a quien lo ejerce</w:t>
      </w:r>
      <w:r w:rsidRPr="004F247E">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En consecuencia, dado lo expuesto y fundado con anterioridad, se estima que el requisito relativo al nombre del </w:t>
      </w:r>
      <w:r w:rsidRPr="004F247E">
        <w:rPr>
          <w:rFonts w:ascii="Palatino Linotype" w:eastAsia="Palatino Linotype" w:hAnsi="Palatino Linotype" w:cs="Palatino Linotype"/>
          <w:b/>
        </w:rPr>
        <w:t>RECURRENTE</w:t>
      </w:r>
      <w:r w:rsidRPr="004F247E">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C53264" w:rsidRPr="004F247E" w:rsidRDefault="00C53264" w:rsidP="008F6D40">
      <w:pPr>
        <w:jc w:val="both"/>
        <w:rPr>
          <w:rFonts w:ascii="Palatino Linotype" w:eastAsia="Palatino Linotype" w:hAnsi="Palatino Linotype" w:cs="Palatino Linotype"/>
          <w:i/>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53264" w:rsidRPr="004F247E" w:rsidRDefault="00C53264" w:rsidP="008F6D40">
      <w:pPr>
        <w:spacing w:line="360" w:lineRule="auto"/>
        <w:rPr>
          <w:rFonts w:ascii="Palatino Linotype" w:eastAsia="Palatino Linotype" w:hAnsi="Palatino Linotype" w:cs="Palatino Linotype"/>
        </w:rPr>
      </w:pPr>
    </w:p>
    <w:p w:rsidR="00C53264" w:rsidRPr="004F247E" w:rsidRDefault="00EC4A9A" w:rsidP="008F6D40">
      <w:pPr>
        <w:keepNext/>
        <w:keepLines/>
        <w:spacing w:line="360" w:lineRule="auto"/>
        <w:rPr>
          <w:rFonts w:ascii="Palatino Linotype" w:eastAsia="Palatino Linotype" w:hAnsi="Palatino Linotype" w:cs="Palatino Linotype"/>
          <w:b/>
          <w:color w:val="000000"/>
        </w:rPr>
      </w:pPr>
      <w:bookmarkStart w:id="6" w:name="_heading=h.4d34og8" w:colFirst="0" w:colLast="0"/>
      <w:bookmarkEnd w:id="6"/>
      <w:r w:rsidRPr="004F247E">
        <w:rPr>
          <w:rFonts w:ascii="Palatino Linotype" w:eastAsia="Palatino Linotype" w:hAnsi="Palatino Linotype" w:cs="Palatino Linotype"/>
          <w:b/>
          <w:color w:val="000000"/>
        </w:rPr>
        <w:t xml:space="preserve">TERCERO. Del planteamiento de la </w:t>
      </w:r>
      <w:r w:rsidRPr="004F247E">
        <w:rPr>
          <w:rFonts w:ascii="Palatino Linotype" w:eastAsia="Palatino Linotype" w:hAnsi="Palatino Linotype" w:cs="Palatino Linotype"/>
          <w:b/>
          <w:i/>
          <w:color w:val="000000"/>
        </w:rPr>
        <w:t>Litis</w:t>
      </w:r>
      <w:r w:rsidRPr="004F247E">
        <w:rPr>
          <w:rFonts w:ascii="Palatino Linotype" w:eastAsia="Palatino Linotype" w:hAnsi="Palatino Linotype" w:cs="Palatino Linotype"/>
          <w:b/>
          <w:color w:val="000000"/>
        </w:rPr>
        <w:t>.</w:t>
      </w: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b/>
        </w:rPr>
      </w:pPr>
      <w:r w:rsidRPr="004F247E">
        <w:rPr>
          <w:rFonts w:ascii="Palatino Linotype" w:eastAsia="Palatino Linotype" w:hAnsi="Palatino Linotype" w:cs="Palatino Linotype"/>
        </w:rPr>
        <w:t>De las constancias en el expediente al rubro indicado, se desprende que el particular solicitó la información que a continuación se desagrega:</w:t>
      </w:r>
    </w:p>
    <w:p w:rsidR="00C53264" w:rsidRPr="004F247E" w:rsidRDefault="00EC4A9A" w:rsidP="008F6D40">
      <w:pPr>
        <w:spacing w:line="360" w:lineRule="auto"/>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Recurso de Revisión 02843/INFOEM/IP/RR/2025</w:t>
      </w:r>
    </w:p>
    <w:p w:rsidR="00C53264" w:rsidRPr="004F247E" w:rsidRDefault="00EC4A9A" w:rsidP="008F6D40">
      <w:pPr>
        <w:numPr>
          <w:ilvl w:val="0"/>
          <w:numId w:val="4"/>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rPr>
      </w:pPr>
      <w:r w:rsidRPr="004F247E">
        <w:rPr>
          <w:rFonts w:ascii="Palatino Linotype" w:eastAsia="Palatino Linotype" w:hAnsi="Palatino Linotype" w:cs="Palatino Linotype"/>
          <w:b/>
          <w:i/>
          <w:color w:val="000000"/>
        </w:rPr>
        <w:lastRenderedPageBreak/>
        <w:t xml:space="preserve">Programas sociales que se otorgaron durante la administración 2022-2024, a quién se benefició y cuál fue el beneficio. </w:t>
      </w:r>
    </w:p>
    <w:p w:rsidR="00C53264" w:rsidRPr="004F247E" w:rsidRDefault="00EC4A9A" w:rsidP="008F6D40">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4F247E">
        <w:rPr>
          <w:rFonts w:ascii="Palatino Linotype" w:eastAsia="Palatino Linotype" w:hAnsi="Palatino Linotype" w:cs="Palatino Linotype"/>
          <w:b/>
          <w:i/>
          <w:color w:val="000000"/>
        </w:rPr>
        <w:t>Recurso de Revisión 02844/INFOEM/IP/RR/2025</w:t>
      </w:r>
    </w:p>
    <w:p w:rsidR="00C53264" w:rsidRPr="004F247E" w:rsidRDefault="00EC4A9A" w:rsidP="008F6D40">
      <w:pPr>
        <w:numPr>
          <w:ilvl w:val="0"/>
          <w:numId w:val="4"/>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rPr>
      </w:pPr>
      <w:r w:rsidRPr="004F247E">
        <w:rPr>
          <w:rFonts w:ascii="Palatino Linotype" w:eastAsia="Palatino Linotype" w:hAnsi="Palatino Linotype" w:cs="Palatino Linotype"/>
          <w:b/>
          <w:i/>
          <w:color w:val="000000"/>
        </w:rPr>
        <w:t>Programas sociales para el año 2025 y como se puede ser beneficiado</w:t>
      </w:r>
    </w:p>
    <w:p w:rsidR="00C53264" w:rsidRPr="004F247E" w:rsidRDefault="00C53264" w:rsidP="008F6D40">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En respuesta, el </w:t>
      </w:r>
      <w:r w:rsidRPr="004F247E">
        <w:rPr>
          <w:rFonts w:ascii="Palatino Linotype" w:eastAsia="Palatino Linotype" w:hAnsi="Palatino Linotype" w:cs="Palatino Linotype"/>
          <w:b/>
        </w:rPr>
        <w:t xml:space="preserve">SUJETO OBLIGADO </w:t>
      </w:r>
      <w:r w:rsidRPr="004F247E">
        <w:rPr>
          <w:rFonts w:ascii="Palatino Linotype" w:eastAsia="Palatino Linotype" w:hAnsi="Palatino Linotype" w:cs="Palatino Linotype"/>
        </w:rPr>
        <w:t xml:space="preserve">remitió un archivo en formato pdf, por cada recurso de revisión, cuyo contenido toral es el siguiente: </w:t>
      </w:r>
    </w:p>
    <w:tbl>
      <w:tblPr>
        <w:tblStyle w:val="a2"/>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390"/>
      </w:tblGrid>
      <w:tr w:rsidR="00C53264" w:rsidRPr="004F247E">
        <w:tc>
          <w:tcPr>
            <w:tcW w:w="438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Solicitud de información</w:t>
            </w:r>
          </w:p>
        </w:tc>
        <w:tc>
          <w:tcPr>
            <w:tcW w:w="4390" w:type="dxa"/>
          </w:tcPr>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i/>
              </w:rPr>
              <w:t xml:space="preserve">Respuesta del </w:t>
            </w:r>
            <w:r w:rsidRPr="004F247E">
              <w:rPr>
                <w:rFonts w:ascii="Palatino Linotype" w:eastAsia="Palatino Linotype" w:hAnsi="Palatino Linotype" w:cs="Palatino Linotype"/>
                <w:b/>
                <w:i/>
              </w:rPr>
              <w:t xml:space="preserve">SUJETO OBLIGADO </w:t>
            </w:r>
          </w:p>
        </w:tc>
      </w:tr>
      <w:tr w:rsidR="00C53264" w:rsidRPr="004F247E">
        <w:tc>
          <w:tcPr>
            <w:tcW w:w="438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Solicitud  00700/TOLUCA/IP/2025</w:t>
            </w:r>
          </w:p>
        </w:tc>
        <w:tc>
          <w:tcPr>
            <w:tcW w:w="439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 xml:space="preserve">RESPUESTA 700. 2025.pdf: </w:t>
            </w:r>
            <w:r w:rsidRPr="004F247E">
              <w:rPr>
                <w:rFonts w:ascii="Palatino Linotype" w:eastAsia="Palatino Linotype" w:hAnsi="Palatino Linotype" w:cs="Palatino Linotype"/>
                <w:i/>
              </w:rPr>
              <w:t xml:space="preserve">oficio del Titular de la Unidad de Transparencia, mediante el cual informa que la Dirección General de Bienestar  Social, refiere que para el año dos mil veintidós se ejecutó el programa social “Programa Municipal Vida Alimentaria”, del cual remite una liga electrónica, de la cual al consultarla manda a error.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Por cuanto hace a los años dos mil veintitrés y dos mil veinticuatro, informa que no se realizó ningún tipo de apoyo </w:t>
            </w:r>
          </w:p>
        </w:tc>
      </w:tr>
      <w:tr w:rsidR="00C53264" w:rsidRPr="004F247E">
        <w:tc>
          <w:tcPr>
            <w:tcW w:w="438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Solicitud 00701/TOLUCA/IP/2025:</w:t>
            </w:r>
          </w:p>
        </w:tc>
        <w:tc>
          <w:tcPr>
            <w:tcW w:w="439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RESPUESTA</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 xml:space="preserve">701. 2025.pdf: </w:t>
            </w:r>
            <w:r w:rsidRPr="004F247E">
              <w:rPr>
                <w:rFonts w:ascii="Palatino Linotype" w:eastAsia="Palatino Linotype" w:hAnsi="Palatino Linotype" w:cs="Palatino Linotype"/>
                <w:i/>
              </w:rPr>
              <w:t>oficio del Titular de la Unidad de Transparencia, mediante el cual informa que la Dirección General de Bienestar Social, se encuentra realizando las gestiones necesarias para planear, impulsar, operar programas, proyectos y acciones para garantizar el pleno ejercicio de los derechos sociales</w:t>
            </w:r>
          </w:p>
        </w:tc>
      </w:tr>
    </w:tbl>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lastRenderedPageBreak/>
        <w:t xml:space="preserve">En dichas condiciones, la </w:t>
      </w:r>
      <w:r w:rsidRPr="004F247E">
        <w:rPr>
          <w:rFonts w:ascii="Palatino Linotype" w:eastAsia="Palatino Linotype" w:hAnsi="Palatino Linotype" w:cs="Palatino Linotype"/>
          <w:i/>
        </w:rPr>
        <w:t>Litis</w:t>
      </w:r>
      <w:r w:rsidRPr="004F247E">
        <w:rPr>
          <w:rFonts w:ascii="Palatino Linotype" w:eastAsia="Palatino Linotype" w:hAnsi="Palatino Linotype" w:cs="Palatino Linotype"/>
        </w:rPr>
        <w:t xml:space="preserve"> a resolver en este recurso se circunscribe a determinar si se actualizan las causales de procedencia previstas en el artículo 179, </w:t>
      </w:r>
      <w:r w:rsidRPr="004F247E">
        <w:rPr>
          <w:rFonts w:ascii="Palatino Linotype" w:eastAsia="Palatino Linotype" w:hAnsi="Palatino Linotype" w:cs="Palatino Linotype"/>
          <w:b/>
        </w:rPr>
        <w:t xml:space="preserve">fracciones I y V </w:t>
      </w:r>
      <w:r w:rsidRPr="004F247E">
        <w:rPr>
          <w:rFonts w:ascii="Palatino Linotype" w:eastAsia="Palatino Linotype" w:hAnsi="Palatino Linotype" w:cs="Palatino Linotype"/>
        </w:rPr>
        <w:t>de la</w:t>
      </w:r>
      <w:r w:rsidRPr="004F247E">
        <w:rPr>
          <w:rFonts w:ascii="Palatino Linotype" w:eastAsia="Palatino Linotype" w:hAnsi="Palatino Linotype" w:cs="Palatino Linotype"/>
          <w:color w:val="000000"/>
        </w:rPr>
        <w:t xml:space="preserve"> Ley</w:t>
      </w:r>
      <w:r w:rsidRPr="004F247E">
        <w:rPr>
          <w:rFonts w:ascii="Palatino Linotype" w:eastAsia="Palatino Linotype" w:hAnsi="Palatino Linotype" w:cs="Palatino Linotype"/>
          <w:b/>
        </w:rPr>
        <w:t xml:space="preserve"> de Transparencia y Acceso a la Información Pública del Estado de </w:t>
      </w:r>
      <w:r w:rsidRPr="004F247E">
        <w:rPr>
          <w:rFonts w:ascii="Palatino Linotype" w:eastAsia="Palatino Linotype" w:hAnsi="Palatino Linotype" w:cs="Palatino Linotype"/>
        </w:rPr>
        <w:t>México</w:t>
      </w:r>
      <w:r w:rsidRPr="004F247E">
        <w:rPr>
          <w:rFonts w:ascii="Palatino Linotype" w:eastAsia="Palatino Linotype" w:hAnsi="Palatino Linotype" w:cs="Palatino Linotype"/>
          <w:b/>
        </w:rPr>
        <w:t xml:space="preserve"> y Municipios</w:t>
      </w:r>
      <w:r w:rsidRPr="004F247E">
        <w:rPr>
          <w:rFonts w:ascii="Palatino Linotype" w:eastAsia="Palatino Linotype" w:hAnsi="Palatino Linotype" w:cs="Palatino Linotype"/>
        </w:rPr>
        <w:t xml:space="preserve">; </w:t>
      </w:r>
      <w:r w:rsidRPr="004F247E">
        <w:rPr>
          <w:rFonts w:ascii="Palatino Linotype" w:eastAsia="Palatino Linotype" w:hAnsi="Palatino Linotype" w:cs="Palatino Linotype"/>
          <w:color w:val="000000"/>
        </w:rPr>
        <w:t xml:space="preserve">fracciones que </w:t>
      </w:r>
      <w:r w:rsidRPr="004F247E">
        <w:rPr>
          <w:rFonts w:ascii="Palatino Linotype" w:eastAsia="Palatino Linotype" w:hAnsi="Palatino Linotype" w:cs="Palatino Linotype"/>
        </w:rPr>
        <w:t>determinan</w:t>
      </w:r>
      <w:r w:rsidRPr="004F247E">
        <w:rPr>
          <w:rFonts w:ascii="Palatino Linotype" w:eastAsia="Palatino Linotype" w:hAnsi="Palatino Linotype" w:cs="Palatino Linotype"/>
          <w:color w:val="000000"/>
        </w:rPr>
        <w:t xml:space="preserve"> las hipótesis jurídica relativa a la negativa de información solicitada y a la entrega de información incompleta; </w:t>
      </w:r>
      <w:r w:rsidRPr="004F247E">
        <w:rPr>
          <w:rFonts w:ascii="Palatino Linotype" w:eastAsia="Palatino Linotype" w:hAnsi="Palatino Linotype" w:cs="Palatino Linotype"/>
        </w:rPr>
        <w:t xml:space="preserve">contexto del cual se dolió </w:t>
      </w:r>
      <w:r w:rsidRPr="004F247E">
        <w:rPr>
          <w:rFonts w:ascii="Palatino Linotype" w:eastAsia="Palatino Linotype" w:hAnsi="Palatino Linotype" w:cs="Palatino Linotype"/>
          <w:b/>
        </w:rPr>
        <w:t xml:space="preserve">EL RECURRENTE </w:t>
      </w:r>
      <w:r w:rsidRPr="004F247E">
        <w:rPr>
          <w:rFonts w:ascii="Palatino Linotype" w:eastAsia="Palatino Linotype" w:hAnsi="Palatino Linotype" w:cs="Palatino Linotype"/>
        </w:rPr>
        <w:t>al momento de interponer su inconformidad.</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color w:val="000000"/>
        </w:rPr>
        <w:t xml:space="preserve">De modo tal que los recursos de revisión se abocaran en determinar si el </w:t>
      </w:r>
      <w:r w:rsidRPr="004F247E">
        <w:rPr>
          <w:rFonts w:ascii="Palatino Linotype" w:eastAsia="Palatino Linotype" w:hAnsi="Palatino Linotype" w:cs="Palatino Linotype"/>
          <w:b/>
        </w:rPr>
        <w:t>SUJETO</w:t>
      </w:r>
      <w:r w:rsidRPr="004F247E">
        <w:rPr>
          <w:rFonts w:ascii="Palatino Linotype" w:eastAsia="Palatino Linotype" w:hAnsi="Palatino Linotype" w:cs="Palatino Linotype"/>
          <w:b/>
          <w:color w:val="000000"/>
        </w:rPr>
        <w:t xml:space="preserve"> OBLIGADO</w:t>
      </w:r>
      <w:r w:rsidRPr="004F247E">
        <w:rPr>
          <w:rFonts w:ascii="Palatino Linotype" w:eastAsia="Palatino Linotype" w:hAnsi="Palatino Linotype" w:cs="Palatino Linotype"/>
          <w:color w:val="000000"/>
        </w:rPr>
        <w:t xml:space="preserve"> con sus respuestas ciertamente actualiza la causal de procedencia</w:t>
      </w:r>
      <w:r w:rsidRPr="004F247E">
        <w:rPr>
          <w:rFonts w:ascii="Palatino Linotype" w:eastAsia="Palatino Linotype" w:hAnsi="Palatino Linotype" w:cs="Palatino Linotype"/>
          <w:b/>
          <w:color w:val="000000"/>
        </w:rPr>
        <w:t xml:space="preserve"> </w:t>
      </w:r>
      <w:r w:rsidRPr="004F247E">
        <w:rPr>
          <w:rFonts w:ascii="Palatino Linotype" w:eastAsia="Palatino Linotype" w:hAnsi="Palatino Linotype" w:cs="Palatino Linotype"/>
          <w:color w:val="000000"/>
        </w:rPr>
        <w:t>antes señaladas;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C53264" w:rsidRPr="004F247E" w:rsidRDefault="00C53264" w:rsidP="008F6D40">
      <w:pPr>
        <w:spacing w:line="360" w:lineRule="auto"/>
        <w:rPr>
          <w:rFonts w:ascii="Palatino Linotype" w:eastAsia="Palatino Linotype" w:hAnsi="Palatino Linotype" w:cs="Palatino Linotype"/>
        </w:rPr>
      </w:pPr>
    </w:p>
    <w:p w:rsidR="00C53264" w:rsidRPr="004F247E" w:rsidRDefault="00EC4A9A" w:rsidP="008F6D40">
      <w:pPr>
        <w:keepNext/>
        <w:keepLines/>
        <w:spacing w:line="360" w:lineRule="auto"/>
        <w:rPr>
          <w:rFonts w:ascii="Palatino Linotype" w:eastAsia="Palatino Linotype" w:hAnsi="Palatino Linotype" w:cs="Palatino Linotype"/>
          <w:b/>
          <w:color w:val="000000"/>
        </w:rPr>
      </w:pPr>
      <w:r w:rsidRPr="004F247E">
        <w:rPr>
          <w:rFonts w:ascii="Palatino Linotype" w:eastAsia="Palatino Linotype" w:hAnsi="Palatino Linotype" w:cs="Palatino Linotype"/>
          <w:b/>
          <w:color w:val="000000"/>
        </w:rPr>
        <w:t>CUARTO. Del estudio y resolución del asunto</w:t>
      </w:r>
    </w:p>
    <w:p w:rsidR="00C53264" w:rsidRPr="004F247E" w:rsidRDefault="00EC4A9A" w:rsidP="008F6D40">
      <w:pPr>
        <w:keepNext/>
        <w:keepLines/>
        <w:numPr>
          <w:ilvl w:val="0"/>
          <w:numId w:val="1"/>
        </w:numPr>
        <w:spacing w:after="240" w:line="360" w:lineRule="auto"/>
        <w:ind w:left="0"/>
        <w:rPr>
          <w:rFonts w:ascii="Palatino Linotype" w:eastAsia="Palatino Linotype" w:hAnsi="Palatino Linotype" w:cs="Palatino Linotype"/>
          <w:b/>
        </w:rPr>
      </w:pPr>
      <w:bookmarkStart w:id="7" w:name="_heading=h.2s8eyo1" w:colFirst="0" w:colLast="0"/>
      <w:bookmarkEnd w:id="7"/>
      <w:r w:rsidRPr="004F247E">
        <w:rPr>
          <w:rFonts w:ascii="Palatino Linotype" w:eastAsia="Palatino Linotype" w:hAnsi="Palatino Linotype" w:cs="Palatino Linotype"/>
          <w:b/>
        </w:rPr>
        <w:t>Del derecho de acceso a la información.</w:t>
      </w:r>
    </w:p>
    <w:p w:rsidR="00C53264" w:rsidRPr="004F247E" w:rsidRDefault="00EC4A9A" w:rsidP="008F6D40">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Definiendo el Derecho de Acceso a la Información Pública como: </w:t>
      </w:r>
      <w:r w:rsidRPr="004F247E">
        <w:rPr>
          <w:rFonts w:ascii="Palatino Linotype" w:eastAsia="Palatino Linotype" w:hAnsi="Palatino Linotype" w:cs="Palatino Linotype"/>
          <w:i/>
          <w:color w:val="000000"/>
        </w:rPr>
        <w:t>La igualdad de oportunidades para recibir, buscar e impartir información</w:t>
      </w:r>
      <w:r w:rsidRPr="004F247E">
        <w:rPr>
          <w:rFonts w:ascii="Palatino Linotype" w:eastAsia="Palatino Linotype" w:hAnsi="Palatino Linotype" w:cs="Palatino Linotype"/>
          <w:i/>
          <w:vertAlign w:val="superscript"/>
        </w:rPr>
        <w:footnoteReference w:id="2"/>
      </w:r>
      <w:r w:rsidRPr="004F247E">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F247E">
        <w:rPr>
          <w:rFonts w:ascii="Palatino Linotype" w:eastAsia="Palatino Linotype" w:hAnsi="Palatino Linotype" w:cs="Palatino Linotype"/>
          <w:i/>
          <w:vertAlign w:val="superscript"/>
        </w:rPr>
        <w:footnoteReference w:id="3"/>
      </w:r>
      <w:r w:rsidRPr="004F247E">
        <w:rPr>
          <w:rFonts w:ascii="Palatino Linotype" w:eastAsia="Palatino Linotype" w:hAnsi="Palatino Linotype" w:cs="Palatino Linotype"/>
          <w:color w:val="000000"/>
        </w:rPr>
        <w:t>que se constituye como una herramienta fundamental para ejercer</w:t>
      </w:r>
      <w:r w:rsidRPr="004F247E">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4F247E">
        <w:rPr>
          <w:rFonts w:ascii="Palatino Linotype" w:eastAsia="Palatino Linotype" w:hAnsi="Palatino Linotype" w:cs="Palatino Linotype"/>
          <w:i/>
          <w:vertAlign w:val="superscript"/>
        </w:rPr>
        <w:footnoteReference w:id="4"/>
      </w:r>
      <w:r w:rsidRPr="004F247E">
        <w:rPr>
          <w:rFonts w:ascii="Palatino Linotype" w:eastAsia="Palatino Linotype" w:hAnsi="Palatino Linotype" w:cs="Palatino Linotype"/>
          <w:color w:val="000000"/>
        </w:rPr>
        <w:t>fomentando</w:t>
      </w:r>
      <w:r w:rsidRPr="004F247E">
        <w:rPr>
          <w:rFonts w:ascii="Palatino Linotype" w:eastAsia="Palatino Linotype" w:hAnsi="Palatino Linotype" w:cs="Palatino Linotype"/>
          <w:i/>
          <w:color w:val="000000"/>
        </w:rPr>
        <w:t xml:space="preserve"> la transparencia de las actividades estatales y </w:t>
      </w:r>
      <w:r w:rsidRPr="004F247E">
        <w:rPr>
          <w:rFonts w:ascii="Palatino Linotype" w:eastAsia="Palatino Linotype" w:hAnsi="Palatino Linotype" w:cs="Palatino Linotype"/>
          <w:color w:val="000000"/>
        </w:rPr>
        <w:t>promoviendo</w:t>
      </w:r>
      <w:r w:rsidRPr="004F247E">
        <w:rPr>
          <w:rFonts w:ascii="Palatino Linotype" w:eastAsia="Palatino Linotype" w:hAnsi="Palatino Linotype" w:cs="Palatino Linotype"/>
          <w:i/>
          <w:color w:val="000000"/>
        </w:rPr>
        <w:t xml:space="preserve"> la responsabilidad de los funcionarios sobre su gestión pública,</w:t>
      </w:r>
      <w:r w:rsidRPr="004F247E">
        <w:rPr>
          <w:rFonts w:ascii="Palatino Linotype" w:eastAsia="Palatino Linotype" w:hAnsi="Palatino Linotype" w:cs="Palatino Linotype"/>
          <w:i/>
          <w:vertAlign w:val="superscript"/>
        </w:rPr>
        <w:footnoteReference w:id="5"/>
      </w:r>
      <w:r w:rsidRPr="004F247E">
        <w:rPr>
          <w:rFonts w:ascii="Palatino Linotype" w:eastAsia="Palatino Linotype" w:hAnsi="Palatino Linotype" w:cs="Palatino Linotype"/>
          <w:color w:val="000000"/>
        </w:rPr>
        <w:t>que permite</w:t>
      </w:r>
      <w:r w:rsidRPr="004F247E">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r w:rsidRPr="004F247E">
        <w:rPr>
          <w:rFonts w:ascii="Palatino Linotype" w:eastAsia="Palatino Linotype" w:hAnsi="Palatino Linotype" w:cs="Palatino Linotype"/>
          <w:b/>
          <w:i/>
        </w:rPr>
        <w:t>Artículo 1.-</w:t>
      </w:r>
      <w:r w:rsidRPr="004F247E">
        <w:rPr>
          <w:rFonts w:ascii="Palatino Linotype" w:eastAsia="Palatino Linotype" w:hAnsi="Palatino Linotype" w:cs="Palatino Linotype"/>
          <w:i/>
        </w:rPr>
        <w:t xml:space="preserve">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Todas las</w:t>
      </w:r>
      <w:r w:rsidRPr="004F247E">
        <w:rPr>
          <w:rFonts w:ascii="Palatino Linotype" w:eastAsia="Palatino Linotype" w:hAnsi="Palatino Linotype" w:cs="Palatino Linotype"/>
        </w:rPr>
        <w:t xml:space="preserve"> </w:t>
      </w:r>
      <w:r w:rsidRPr="004F247E">
        <w:rPr>
          <w:rFonts w:ascii="Palatino Linotype" w:eastAsia="Palatino Linotype" w:hAnsi="Palatino Linotype" w:cs="Palatino Linotype"/>
          <w:i/>
        </w:rPr>
        <w:t xml:space="preserve">autoridades, en el ámbito de sus competencias, tienen la obligación de promover, respetar, proteger y garantizar los derechos humanos de conformidad con los principios de universalidad, interdependencia, indivisibilidad y progresividad. En consecuencia, el Estado </w:t>
      </w:r>
      <w:r w:rsidRPr="004F247E">
        <w:rPr>
          <w:rFonts w:ascii="Palatino Linotype" w:eastAsia="Palatino Linotype" w:hAnsi="Palatino Linotype" w:cs="Palatino Linotype"/>
          <w:i/>
        </w:rPr>
        <w:lastRenderedPageBreak/>
        <w:t>deberá prevenir, investigar, sancionar y reparar las violaciones a los derechos humanos, en los términos que establezca la ley.</w:t>
      </w:r>
    </w:p>
    <w:p w:rsidR="00C53264" w:rsidRPr="004F247E" w:rsidRDefault="00EC4A9A" w:rsidP="008F6D40">
      <w:pPr>
        <w:jc w:val="both"/>
        <w:rPr>
          <w:rFonts w:ascii="Palatino Linotype" w:eastAsia="Palatino Linotype" w:hAnsi="Palatino Linotype" w:cs="Palatino Linotype"/>
        </w:rPr>
      </w:pPr>
      <w:r w:rsidRPr="004F247E">
        <w:rPr>
          <w:rFonts w:ascii="Palatino Linotype" w:eastAsia="Palatino Linotype" w:hAnsi="Palatino Linotype" w:cs="Palatino Linotype"/>
          <w:i/>
        </w:rPr>
        <w:t>(…)</w:t>
      </w:r>
      <w:r w:rsidRPr="004F247E">
        <w:rPr>
          <w:rFonts w:ascii="Palatino Linotype" w:eastAsia="Palatino Linotype" w:hAnsi="Palatino Linotype" w:cs="Palatino Linotype"/>
        </w:rPr>
        <w:t>”.</w:t>
      </w:r>
    </w:p>
    <w:p w:rsidR="00C53264" w:rsidRPr="004F247E" w:rsidRDefault="00C53264" w:rsidP="008F6D40">
      <w:pPr>
        <w:jc w:val="both"/>
        <w:rPr>
          <w:rFonts w:ascii="Palatino Linotype" w:eastAsia="Palatino Linotype" w:hAnsi="Palatino Linotype" w:cs="Palatino Linotype"/>
          <w:b/>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C53264" w:rsidRPr="004F247E" w:rsidRDefault="00EC4A9A" w:rsidP="008F6D40">
      <w:pPr>
        <w:tabs>
          <w:tab w:val="left" w:pos="7938"/>
        </w:tabs>
        <w:spacing w:after="240"/>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Constitución Política de los Estados Unidos Mexicanos</w:t>
      </w:r>
    </w:p>
    <w:p w:rsidR="00C53264" w:rsidRPr="004F247E" w:rsidRDefault="00EC4A9A" w:rsidP="008F6D40">
      <w:pPr>
        <w:tabs>
          <w:tab w:val="left" w:pos="7938"/>
        </w:tabs>
        <w:spacing w:before="240" w:after="240"/>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“Artículo 6.</w:t>
      </w:r>
    </w:p>
    <w:p w:rsidR="00C53264" w:rsidRPr="004F247E" w:rsidRDefault="00EC4A9A" w:rsidP="008F6D40">
      <w:pPr>
        <w:tabs>
          <w:tab w:val="left" w:pos="7938"/>
        </w:tabs>
        <w:spacing w:before="240" w:after="240"/>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p>
    <w:p w:rsidR="00C53264" w:rsidRPr="004F247E" w:rsidRDefault="00EC4A9A" w:rsidP="008F6D40">
      <w:pPr>
        <w:tabs>
          <w:tab w:val="left" w:pos="7938"/>
        </w:tabs>
        <w:spacing w:before="240" w:after="240"/>
        <w:jc w:val="both"/>
        <w:rPr>
          <w:rFonts w:ascii="Palatino Linotype" w:eastAsia="Palatino Linotype" w:hAnsi="Palatino Linotype" w:cs="Palatino Linotype"/>
          <w:i/>
        </w:rPr>
      </w:pPr>
      <w:r w:rsidRPr="004F247E">
        <w:rPr>
          <w:rFonts w:ascii="Palatino Linotype" w:eastAsia="Palatino Linotype" w:hAnsi="Palatino Linotype" w:cs="Palatino Linotype"/>
          <w:i/>
        </w:rPr>
        <w:t>Para efectos de lo dispuesto en el presente artículo se observará lo siguiente:</w:t>
      </w:r>
    </w:p>
    <w:p w:rsidR="00C53264" w:rsidRPr="004F247E" w:rsidRDefault="00EC4A9A" w:rsidP="008F6D40">
      <w:pPr>
        <w:tabs>
          <w:tab w:val="left" w:pos="7938"/>
        </w:tabs>
        <w:spacing w:before="240" w:after="240"/>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A</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Para el ejercicio del derecho de acceso a la información</w:t>
      </w:r>
      <w:r w:rsidRPr="004F247E">
        <w:rPr>
          <w:rFonts w:ascii="Palatino Linotype" w:eastAsia="Palatino Linotype" w:hAnsi="Palatino Linotype" w:cs="Palatino Linotype"/>
          <w:i/>
        </w:rPr>
        <w:t xml:space="preserve">, la Federación y </w:t>
      </w:r>
      <w:r w:rsidRPr="004F247E">
        <w:rPr>
          <w:rFonts w:ascii="Palatino Linotype" w:eastAsia="Palatino Linotype" w:hAnsi="Palatino Linotype" w:cs="Palatino Linotype"/>
          <w:b/>
          <w:i/>
        </w:rPr>
        <w:t>las entidades federativas, en el ámbito de sus respectivas competencias, se regirán por los siguientes principios y bases:</w:t>
      </w:r>
    </w:p>
    <w:p w:rsidR="00C53264" w:rsidRPr="004F247E" w:rsidRDefault="00EC4A9A" w:rsidP="008F6D40">
      <w:pPr>
        <w:tabs>
          <w:tab w:val="left" w:pos="7938"/>
        </w:tabs>
        <w:spacing w:before="240" w:after="240"/>
        <w:jc w:val="both"/>
        <w:rPr>
          <w:rFonts w:ascii="Palatino Linotype" w:eastAsia="Palatino Linotype" w:hAnsi="Palatino Linotype" w:cs="Palatino Linotype"/>
          <w:i/>
        </w:rPr>
      </w:pPr>
      <w:r w:rsidRPr="004F247E">
        <w:rPr>
          <w:rFonts w:ascii="Palatino Linotype" w:eastAsia="Palatino Linotype" w:hAnsi="Palatino Linotype" w:cs="Palatino Linotype"/>
          <w:b/>
          <w:i/>
        </w:rPr>
        <w:t>I. Toda la información en posesión de cualquier</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autoridad</w:t>
      </w:r>
      <w:r w:rsidRPr="004F247E">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F247E">
        <w:rPr>
          <w:rFonts w:ascii="Palatino Linotype" w:eastAsia="Palatino Linotype" w:hAnsi="Palatino Linotype" w:cs="Palatino Linotype"/>
          <w:b/>
          <w:i/>
        </w:rPr>
        <w:t>municipal</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lastRenderedPageBreak/>
        <w:t>es pública</w:t>
      </w:r>
      <w:r w:rsidRPr="004F247E">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4F247E">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4F247E">
        <w:rPr>
          <w:rFonts w:ascii="Palatino Linotype" w:eastAsia="Palatino Linotype" w:hAnsi="Palatino Linotype" w:cs="Palatino Linotype"/>
          <w:i/>
        </w:rPr>
        <w:t>, la ley determinará los supuestos específicos bajo los cuales procederá la declaración de inexistencia de la información.”</w:t>
      </w:r>
    </w:p>
    <w:p w:rsidR="00C53264" w:rsidRPr="004F247E" w:rsidRDefault="00C53264" w:rsidP="008F6D40">
      <w:pPr>
        <w:tabs>
          <w:tab w:val="left" w:pos="567"/>
          <w:tab w:val="left" w:pos="7938"/>
        </w:tabs>
        <w:spacing w:before="240"/>
        <w:jc w:val="both"/>
        <w:rPr>
          <w:rFonts w:ascii="Palatino Linotype" w:eastAsia="Palatino Linotype" w:hAnsi="Palatino Linotype" w:cs="Palatino Linotype"/>
          <w:b/>
          <w:i/>
        </w:rPr>
      </w:pPr>
    </w:p>
    <w:p w:rsidR="00C53264" w:rsidRPr="004F247E" w:rsidRDefault="00EC4A9A" w:rsidP="008F6D40">
      <w:pPr>
        <w:tabs>
          <w:tab w:val="left" w:pos="7938"/>
        </w:tabs>
        <w:spacing w:after="240"/>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Constitución Política del Estado Libre y Soberano de México</w:t>
      </w:r>
    </w:p>
    <w:p w:rsidR="00C53264" w:rsidRPr="004F247E" w:rsidRDefault="00EC4A9A" w:rsidP="008F6D40">
      <w:pPr>
        <w:tabs>
          <w:tab w:val="left" w:pos="7938"/>
        </w:tabs>
        <w:spacing w:before="240" w:after="240"/>
        <w:jc w:val="both"/>
        <w:rPr>
          <w:rFonts w:ascii="Palatino Linotype" w:eastAsia="Palatino Linotype" w:hAnsi="Palatino Linotype" w:cs="Palatino Linotype"/>
          <w:i/>
        </w:rPr>
      </w:pPr>
      <w:r w:rsidRPr="004F247E">
        <w:rPr>
          <w:rFonts w:ascii="Palatino Linotype" w:eastAsia="Palatino Linotype" w:hAnsi="Palatino Linotype" w:cs="Palatino Linotype"/>
          <w:b/>
          <w:i/>
        </w:rPr>
        <w:t>“Artículo 5</w:t>
      </w:r>
      <w:r w:rsidRPr="004F247E">
        <w:rPr>
          <w:rFonts w:ascii="Palatino Linotype" w:eastAsia="Palatino Linotype" w:hAnsi="Palatino Linotype" w:cs="Palatino Linotype"/>
          <w:i/>
        </w:rPr>
        <w:t xml:space="preserve">.- </w:t>
      </w:r>
    </w:p>
    <w:p w:rsidR="00C53264" w:rsidRPr="004F247E" w:rsidRDefault="00EC4A9A" w:rsidP="008F6D40">
      <w:pPr>
        <w:tabs>
          <w:tab w:val="left" w:pos="7938"/>
        </w:tabs>
        <w:spacing w:before="240" w:after="240"/>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p>
    <w:p w:rsidR="00C53264" w:rsidRPr="004F247E" w:rsidRDefault="00EC4A9A" w:rsidP="008F6D40">
      <w:pPr>
        <w:tabs>
          <w:tab w:val="left" w:pos="7938"/>
        </w:tabs>
        <w:spacing w:before="240" w:after="240"/>
        <w:jc w:val="both"/>
        <w:rPr>
          <w:rFonts w:ascii="Palatino Linotype" w:eastAsia="Palatino Linotype" w:hAnsi="Palatino Linotype" w:cs="Palatino Linotype"/>
          <w:i/>
        </w:rPr>
      </w:pPr>
      <w:r w:rsidRPr="004F247E">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4F247E">
        <w:rPr>
          <w:rFonts w:ascii="Palatino Linotype" w:eastAsia="Palatino Linotype" w:hAnsi="Palatino Linotype" w:cs="Palatino Linotype"/>
          <w:i/>
        </w:rPr>
        <w:t>.</w:t>
      </w:r>
    </w:p>
    <w:p w:rsidR="00C53264" w:rsidRPr="004F247E" w:rsidRDefault="00EC4A9A" w:rsidP="008F6D40">
      <w:pPr>
        <w:tabs>
          <w:tab w:val="left" w:pos="7938"/>
        </w:tabs>
        <w:spacing w:before="240" w:after="240"/>
        <w:jc w:val="both"/>
        <w:rPr>
          <w:rFonts w:ascii="Palatino Linotype" w:eastAsia="Palatino Linotype" w:hAnsi="Palatino Linotype" w:cs="Palatino Linotype"/>
          <w:i/>
        </w:rPr>
      </w:pPr>
      <w:r w:rsidRPr="004F247E">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53264" w:rsidRPr="004F247E" w:rsidRDefault="00EC4A9A" w:rsidP="008F6D40">
      <w:pPr>
        <w:tabs>
          <w:tab w:val="left" w:pos="7938"/>
        </w:tabs>
        <w:spacing w:before="240" w:after="240"/>
        <w:jc w:val="both"/>
        <w:rPr>
          <w:rFonts w:ascii="Palatino Linotype" w:eastAsia="Palatino Linotype" w:hAnsi="Palatino Linotype" w:cs="Palatino Linotype"/>
          <w:i/>
        </w:rPr>
      </w:pPr>
      <w:r w:rsidRPr="004F247E">
        <w:rPr>
          <w:rFonts w:ascii="Palatino Linotype" w:eastAsia="Palatino Linotype" w:hAnsi="Palatino Linotype" w:cs="Palatino Linotype"/>
          <w:b/>
          <w:i/>
        </w:rPr>
        <w:t>Este derecho se regirá por los principios y bases siguientes</w:t>
      </w:r>
      <w:r w:rsidRPr="004F247E">
        <w:rPr>
          <w:rFonts w:ascii="Palatino Linotype" w:eastAsia="Palatino Linotype" w:hAnsi="Palatino Linotype" w:cs="Palatino Linotype"/>
          <w:i/>
        </w:rPr>
        <w:t>:</w:t>
      </w:r>
    </w:p>
    <w:p w:rsidR="00C53264" w:rsidRPr="004F247E" w:rsidRDefault="00EC4A9A" w:rsidP="008F6D40">
      <w:pPr>
        <w:tabs>
          <w:tab w:val="left" w:pos="7938"/>
        </w:tabs>
        <w:spacing w:before="240" w:after="240"/>
        <w:jc w:val="both"/>
        <w:rPr>
          <w:rFonts w:ascii="Palatino Linotype" w:eastAsia="Palatino Linotype" w:hAnsi="Palatino Linotype" w:cs="Palatino Linotype"/>
          <w:i/>
        </w:rPr>
      </w:pPr>
      <w:r w:rsidRPr="004F247E">
        <w:rPr>
          <w:rFonts w:ascii="Palatino Linotype" w:eastAsia="Palatino Linotype" w:hAnsi="Palatino Linotype" w:cs="Palatino Linotype"/>
          <w:b/>
          <w:i/>
        </w:rPr>
        <w:t>I. Toda la información en posesión de cualquier autoridad, entidad, órgano y organismos de los</w:t>
      </w:r>
      <w:r w:rsidRPr="004F247E">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4F247E">
        <w:rPr>
          <w:rFonts w:ascii="Palatino Linotype" w:eastAsia="Palatino Linotype" w:hAnsi="Palatino Linotype" w:cs="Palatino Linotype"/>
          <w:b/>
          <w:i/>
        </w:rPr>
        <w:t>municipales</w:t>
      </w:r>
      <w:r w:rsidRPr="004F247E">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F247E">
        <w:rPr>
          <w:rFonts w:ascii="Palatino Linotype" w:eastAsia="Palatino Linotype" w:hAnsi="Palatino Linotype" w:cs="Palatino Linotype"/>
          <w:b/>
          <w:i/>
        </w:rPr>
        <w:t>es pública</w:t>
      </w:r>
      <w:r w:rsidRPr="004F247E">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4F247E">
        <w:rPr>
          <w:rFonts w:ascii="Palatino Linotype" w:eastAsia="Palatino Linotype" w:hAnsi="Palatino Linotype" w:cs="Palatino Linotype"/>
          <w:b/>
          <w:i/>
        </w:rPr>
        <w:t>En la interpretación de este derecho deberá prevalecer el principio de máxima publicidad</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Los sujetos obligados deberán documentar todo acto que derive del ejercicio de sus facultades, competencias o funciones</w:t>
      </w:r>
      <w:r w:rsidRPr="004F247E">
        <w:rPr>
          <w:rFonts w:ascii="Palatino Linotype" w:eastAsia="Palatino Linotype" w:hAnsi="Palatino Linotype" w:cs="Palatino Linotype"/>
          <w:i/>
        </w:rPr>
        <w:t>, la ley determinará los supuestos específicos bajo los cuales procederá la declaración de inexistencia de la información.”</w:t>
      </w:r>
    </w:p>
    <w:p w:rsidR="00C53264" w:rsidRPr="004F247E" w:rsidRDefault="00C53264" w:rsidP="008F6D40">
      <w:pPr>
        <w:tabs>
          <w:tab w:val="left" w:pos="567"/>
        </w:tabs>
        <w:spacing w:before="240" w:after="240"/>
        <w:jc w:val="both"/>
        <w:rPr>
          <w:rFonts w:ascii="Palatino Linotype" w:eastAsia="Palatino Linotype" w:hAnsi="Palatino Linotype" w:cs="Palatino Linotype"/>
          <w:b/>
          <w:i/>
        </w:rPr>
      </w:pPr>
    </w:p>
    <w:p w:rsidR="00C53264" w:rsidRPr="004F247E" w:rsidRDefault="00EC4A9A" w:rsidP="008F6D40">
      <w:pPr>
        <w:numPr>
          <w:ilvl w:val="0"/>
          <w:numId w:val="10"/>
        </w:numPr>
        <w:spacing w:before="240"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4F247E">
        <w:rPr>
          <w:rFonts w:ascii="Palatino Linotype" w:eastAsia="Palatino Linotype" w:hAnsi="Palatino Linotype" w:cs="Palatino Linotype"/>
          <w:i/>
        </w:rPr>
        <w:t>por los principios de simplicidad, rapidez gratuidad del procedimiento, auxilio y orientación a los particulares</w:t>
      </w:r>
      <w:r w:rsidRPr="004F247E">
        <w:rPr>
          <w:rFonts w:ascii="Palatino Linotype" w:eastAsia="Palatino Linotype" w:hAnsi="Palatino Linotype" w:cs="Palatino Linotype"/>
        </w:rPr>
        <w:t>, contemplando el derecho de las personas con discapacidad y hablantes de lengua indígena.</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El Derecho de Acceso a la Información se garantiza y respeta oportunamente, y según lo que dispone la Ley, las </w:t>
      </w:r>
      <w:r w:rsidRPr="004F247E">
        <w:rPr>
          <w:rFonts w:ascii="Palatino Linotype" w:eastAsia="Palatino Linotype" w:hAnsi="Palatino Linotype" w:cs="Palatino Linotype"/>
          <w:i/>
        </w:rPr>
        <w:t>solicitudes de acceso a la información</w:t>
      </w:r>
      <w:r w:rsidRPr="004F247E">
        <w:rPr>
          <w:rFonts w:ascii="Palatino Linotype" w:eastAsia="Palatino Linotype" w:hAnsi="Palatino Linotype" w:cs="Palatino Linotype"/>
        </w:rPr>
        <w:t>.</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bookmarkStart w:id="8" w:name="_heading=h.17dp8vu" w:colFirst="0" w:colLast="0"/>
      <w:bookmarkEnd w:id="8"/>
      <w:r w:rsidRPr="004F247E">
        <w:rPr>
          <w:rFonts w:ascii="Palatino Linotype" w:eastAsia="Palatino Linotype" w:hAnsi="Palatino Linotype" w:cs="Palatino Linotype"/>
        </w:rPr>
        <w:t xml:space="preserve">Así entonces, se procede analizar, en primer lugar, si el </w:t>
      </w:r>
      <w:r w:rsidRPr="004F247E">
        <w:rPr>
          <w:rFonts w:ascii="Palatino Linotype" w:eastAsia="Palatino Linotype" w:hAnsi="Palatino Linotype" w:cs="Palatino Linotype"/>
          <w:b/>
        </w:rPr>
        <w:t>SUJETO OBLIGADO</w:t>
      </w:r>
      <w:r w:rsidRPr="004F247E">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keepNext/>
        <w:keepLines/>
        <w:spacing w:after="240" w:line="360" w:lineRule="auto"/>
        <w:rPr>
          <w:rFonts w:ascii="Palatino Linotype" w:eastAsia="Palatino Linotype" w:hAnsi="Palatino Linotype" w:cs="Palatino Linotype"/>
          <w:b/>
        </w:rPr>
      </w:pPr>
      <w:bookmarkStart w:id="9" w:name="_heading=h.3rdcrjn" w:colFirst="0" w:colLast="0"/>
      <w:bookmarkEnd w:id="9"/>
      <w:r w:rsidRPr="004F247E">
        <w:rPr>
          <w:rFonts w:ascii="Palatino Linotype" w:eastAsia="Palatino Linotype" w:hAnsi="Palatino Linotype" w:cs="Palatino Linotype"/>
          <w:b/>
        </w:rPr>
        <w:t>II. De la información solicitada y la respuesta del SUJETO OBLIGADO</w:t>
      </w: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Ahora bien, en el siguiente cuadro se analizara la información solicitada, la respuesta del </w:t>
      </w:r>
      <w:r w:rsidRPr="004F247E">
        <w:rPr>
          <w:rFonts w:ascii="Palatino Linotype" w:eastAsia="Palatino Linotype" w:hAnsi="Palatino Linotype" w:cs="Palatino Linotype"/>
          <w:b/>
        </w:rPr>
        <w:t xml:space="preserve">SUJETO OBLIGADO </w:t>
      </w:r>
      <w:r w:rsidRPr="004F247E">
        <w:rPr>
          <w:rFonts w:ascii="Palatino Linotype" w:eastAsia="Palatino Linotype" w:hAnsi="Palatino Linotype" w:cs="Palatino Linotype"/>
        </w:rPr>
        <w:t xml:space="preserve">y si con la misma fue colmado el derecho de acceso a la información del </w:t>
      </w:r>
      <w:r w:rsidRPr="004F247E">
        <w:rPr>
          <w:rFonts w:ascii="Palatino Linotype" w:eastAsia="Palatino Linotype" w:hAnsi="Palatino Linotype" w:cs="Palatino Linotype"/>
          <w:b/>
        </w:rPr>
        <w:t xml:space="preserve">RECURRENTE. </w:t>
      </w:r>
    </w:p>
    <w:p w:rsidR="00310ECB" w:rsidRPr="004F247E" w:rsidRDefault="00310ECB" w:rsidP="00310ECB">
      <w:pPr>
        <w:spacing w:line="360" w:lineRule="auto"/>
        <w:jc w:val="both"/>
        <w:rPr>
          <w:rFonts w:ascii="Palatino Linotype" w:eastAsia="Palatino Linotype" w:hAnsi="Palatino Linotype" w:cs="Palatino Linotype"/>
        </w:rPr>
      </w:pPr>
    </w:p>
    <w:p w:rsidR="00310ECB" w:rsidRPr="004F247E" w:rsidRDefault="00310ECB" w:rsidP="00310ECB">
      <w:pPr>
        <w:spacing w:line="360" w:lineRule="auto"/>
        <w:jc w:val="both"/>
        <w:rPr>
          <w:rFonts w:ascii="Palatino Linotype" w:eastAsia="Palatino Linotype" w:hAnsi="Palatino Linotype" w:cs="Palatino Linotype"/>
        </w:rPr>
      </w:pPr>
    </w:p>
    <w:tbl>
      <w:tblPr>
        <w:tblStyle w:val="a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409"/>
        <w:gridCol w:w="1418"/>
        <w:gridCol w:w="2410"/>
      </w:tblGrid>
      <w:tr w:rsidR="00C53264" w:rsidRPr="004F247E" w:rsidTr="00310ECB">
        <w:tc>
          <w:tcPr>
            <w:tcW w:w="3256"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lastRenderedPageBreak/>
              <w:t>Información solicitada</w:t>
            </w:r>
          </w:p>
        </w:tc>
        <w:tc>
          <w:tcPr>
            <w:tcW w:w="240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Respuesta inicial</w:t>
            </w:r>
          </w:p>
        </w:tc>
        <w:tc>
          <w:tcPr>
            <w:tcW w:w="1418"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Informe justificado </w:t>
            </w:r>
          </w:p>
        </w:tc>
        <w:tc>
          <w:tcPr>
            <w:tcW w:w="241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Colma </w:t>
            </w:r>
          </w:p>
        </w:tc>
      </w:tr>
      <w:tr w:rsidR="00C53264" w:rsidRPr="004F247E" w:rsidTr="00310ECB">
        <w:tc>
          <w:tcPr>
            <w:tcW w:w="3256" w:type="dxa"/>
          </w:tcPr>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Recurso de Revisión 02843/INFOEM/IP/RR/2025</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 xml:space="preserve">Programas sociales que se otorgaron durante la administración 2022-2024, a quién se benefició y cuál fue el beneficio. </w:t>
            </w:r>
          </w:p>
          <w:p w:rsidR="00C53264" w:rsidRPr="004F247E" w:rsidRDefault="00C53264" w:rsidP="008F6D40">
            <w:pPr>
              <w:jc w:val="both"/>
              <w:rPr>
                <w:rFonts w:ascii="Palatino Linotype" w:eastAsia="Palatino Linotype" w:hAnsi="Palatino Linotype" w:cs="Palatino Linotype"/>
                <w:i/>
              </w:rPr>
            </w:pPr>
          </w:p>
        </w:tc>
        <w:tc>
          <w:tcPr>
            <w:tcW w:w="240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 xml:space="preserve">RESPUESTA 700. 2025.pdf: </w:t>
            </w:r>
            <w:r w:rsidRPr="004F247E">
              <w:rPr>
                <w:rFonts w:ascii="Palatino Linotype" w:eastAsia="Palatino Linotype" w:hAnsi="Palatino Linotype" w:cs="Palatino Linotype"/>
                <w:i/>
              </w:rPr>
              <w:t xml:space="preserve">oficio del Titular de la Unidad de Transparencia, mediante el cual informa que la Dirección General de Bienestar  Social, refiere que para el año dos mil veintidós se ejecutó el programa social “Programa Municipal Vida Alimentaria”, del cual remite una liga electrónica, de la cual al consultarla manda a error.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Por cuanto hace a los años dos mil veintitrés y dos mil veinticuatro, informa que no se realizó ningún tipo de apoyo</w:t>
            </w:r>
          </w:p>
        </w:tc>
        <w:tc>
          <w:tcPr>
            <w:tcW w:w="1418"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Ratifica </w:t>
            </w:r>
          </w:p>
        </w:tc>
        <w:tc>
          <w:tcPr>
            <w:tcW w:w="241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No colma, toda vez que del </w:t>
            </w:r>
            <w:r w:rsidR="00310ECB" w:rsidRPr="004F247E">
              <w:rPr>
                <w:rFonts w:ascii="Palatino Linotype" w:eastAsia="Palatino Linotype" w:hAnsi="Palatino Linotype" w:cs="Palatino Linotype"/>
                <w:i/>
              </w:rPr>
              <w:t>análisis</w:t>
            </w:r>
            <w:r w:rsidRPr="004F247E">
              <w:rPr>
                <w:rFonts w:ascii="Palatino Linotype" w:eastAsia="Palatino Linotype" w:hAnsi="Palatino Linotype" w:cs="Palatino Linotype"/>
                <w:i/>
              </w:rPr>
              <w:t xml:space="preserve"> al link remitido, no se puede obtener información.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Por otro lado se localizó</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 información a programas realizados por el Ayuntamiento de Toluca en los años dos mil veintitrés y dos mil veinticuatro, de otra Dirección, situación por la cual, se colige que el </w:t>
            </w:r>
            <w:r w:rsidRPr="004F247E">
              <w:rPr>
                <w:rFonts w:ascii="Palatino Linotype" w:eastAsia="Palatino Linotype" w:hAnsi="Palatino Linotype" w:cs="Palatino Linotype"/>
                <w:b/>
                <w:i/>
              </w:rPr>
              <w:t xml:space="preserve">SUJETO OBLIGADO </w:t>
            </w:r>
            <w:r w:rsidRPr="004F247E">
              <w:rPr>
                <w:rFonts w:ascii="Palatino Linotype" w:eastAsia="Palatino Linotype" w:hAnsi="Palatino Linotype" w:cs="Palatino Linotype"/>
                <w:i/>
              </w:rPr>
              <w:t xml:space="preserve">no turno la solicitud d de información a todas las áreas que pudieran tener la información solicitado. </w:t>
            </w:r>
          </w:p>
        </w:tc>
      </w:tr>
      <w:tr w:rsidR="00C53264" w:rsidRPr="004F247E" w:rsidTr="00310ECB">
        <w:tc>
          <w:tcPr>
            <w:tcW w:w="3256" w:type="dxa"/>
          </w:tcPr>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Recurso de Revisión 02844/INFOEM/IP/RR/2025</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Programas sociales para el año 2025 y como se puede ser beneficiado</w:t>
            </w:r>
          </w:p>
          <w:p w:rsidR="00C53264" w:rsidRPr="004F247E" w:rsidRDefault="00C53264" w:rsidP="008F6D40">
            <w:pPr>
              <w:jc w:val="both"/>
              <w:rPr>
                <w:rFonts w:ascii="Palatino Linotype" w:eastAsia="Palatino Linotype" w:hAnsi="Palatino Linotype" w:cs="Palatino Linotype"/>
                <w:i/>
              </w:rPr>
            </w:pPr>
          </w:p>
        </w:tc>
        <w:tc>
          <w:tcPr>
            <w:tcW w:w="240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RESPUESTA</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 xml:space="preserve">701. 2025.pdf: </w:t>
            </w:r>
            <w:r w:rsidRPr="004F247E">
              <w:rPr>
                <w:rFonts w:ascii="Palatino Linotype" w:eastAsia="Palatino Linotype" w:hAnsi="Palatino Linotype" w:cs="Palatino Linotype"/>
                <w:i/>
              </w:rPr>
              <w:t xml:space="preserve">oficio del Titular de la Unidad de Transparencia, mediante el cual informa que la Dirección General de Bienestar Social, se encuentra realizando </w:t>
            </w:r>
            <w:r w:rsidRPr="004F247E">
              <w:rPr>
                <w:rFonts w:ascii="Palatino Linotype" w:eastAsia="Palatino Linotype" w:hAnsi="Palatino Linotype" w:cs="Palatino Linotype"/>
                <w:i/>
              </w:rPr>
              <w:lastRenderedPageBreak/>
              <w:t>las gestiones necesarias para planear, impulsar, operar programas, proyectos y acciones para garantizar el pleno ejercicio de los derechos sociales</w:t>
            </w:r>
          </w:p>
        </w:tc>
        <w:tc>
          <w:tcPr>
            <w:tcW w:w="1418"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lastRenderedPageBreak/>
              <w:t xml:space="preserve">Ratifica </w:t>
            </w:r>
          </w:p>
        </w:tc>
        <w:tc>
          <w:tcPr>
            <w:tcW w:w="241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No colma, toda vez que la solicitud de información no fue turnada a todas las áreas habilitadas. </w:t>
            </w:r>
          </w:p>
          <w:p w:rsidR="00C53264" w:rsidRPr="004F247E" w:rsidRDefault="00C53264" w:rsidP="008F6D40">
            <w:pPr>
              <w:jc w:val="both"/>
              <w:rPr>
                <w:rFonts w:ascii="Palatino Linotype" w:eastAsia="Palatino Linotype" w:hAnsi="Palatino Linotype" w:cs="Palatino Linotype"/>
                <w:i/>
              </w:rPr>
            </w:pPr>
          </w:p>
        </w:tc>
      </w:tr>
    </w:tbl>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De la tabla anterior, se fija que el </w:t>
      </w:r>
      <w:r w:rsidRPr="004F247E">
        <w:rPr>
          <w:rFonts w:ascii="Palatino Linotype" w:eastAsia="Palatino Linotype" w:hAnsi="Palatino Linotype" w:cs="Palatino Linotype"/>
          <w:b/>
        </w:rPr>
        <w:t xml:space="preserve">SUJETO OBLIGADO </w:t>
      </w:r>
      <w:r w:rsidRPr="004F247E">
        <w:rPr>
          <w:rFonts w:ascii="Palatino Linotype" w:eastAsia="Palatino Linotype" w:hAnsi="Palatino Linotype" w:cs="Palatino Linotype"/>
        </w:rPr>
        <w:t xml:space="preserve">no colmo el derecho de acceso a la información del </w:t>
      </w:r>
      <w:r w:rsidRPr="004F247E">
        <w:rPr>
          <w:rFonts w:ascii="Palatino Linotype" w:eastAsia="Palatino Linotype" w:hAnsi="Palatino Linotype" w:cs="Palatino Linotype"/>
          <w:b/>
        </w:rPr>
        <w:t xml:space="preserve">RECURRENTE, </w:t>
      </w:r>
      <w:r w:rsidRPr="004F247E">
        <w:rPr>
          <w:rFonts w:ascii="Palatino Linotype" w:eastAsia="Palatino Linotype" w:hAnsi="Palatino Linotype" w:cs="Palatino Linotype"/>
        </w:rPr>
        <w:t xml:space="preserve">situación por la cual se hace el siguiente </w:t>
      </w:r>
      <w:r w:rsidR="00310ECB" w:rsidRPr="004F247E">
        <w:rPr>
          <w:rFonts w:ascii="Palatino Linotype" w:eastAsia="Palatino Linotype" w:hAnsi="Palatino Linotype" w:cs="Palatino Linotype"/>
        </w:rPr>
        <w:t>análisis</w:t>
      </w:r>
      <w:r w:rsidRPr="004F247E">
        <w:rPr>
          <w:rFonts w:ascii="Palatino Linotype" w:eastAsia="Palatino Linotype" w:hAnsi="Palatino Linotype" w:cs="Palatino Linotype"/>
        </w:rPr>
        <w:t xml:space="preserve"> para cada recurso de revisión. </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Ahora bien, por cuanto hace al recurso de revisión </w:t>
      </w:r>
      <w:r w:rsidRPr="004F247E">
        <w:rPr>
          <w:rFonts w:ascii="Palatino Linotype" w:eastAsia="Palatino Linotype" w:hAnsi="Palatino Linotype" w:cs="Palatino Linotype"/>
          <w:b/>
        </w:rPr>
        <w:t>02843/INFOEM/IP/RR/2025</w:t>
      </w:r>
      <w:r w:rsidRPr="004F247E">
        <w:rPr>
          <w:rFonts w:ascii="Palatino Linotype" w:eastAsia="Palatino Linotype" w:hAnsi="Palatino Linotype" w:cs="Palatino Linotype"/>
        </w:rPr>
        <w:t xml:space="preserve">, se tiene que el </w:t>
      </w:r>
      <w:r w:rsidRPr="004F247E">
        <w:rPr>
          <w:rFonts w:ascii="Palatino Linotype" w:eastAsia="Palatino Linotype" w:hAnsi="Palatino Linotype" w:cs="Palatino Linotype"/>
          <w:b/>
        </w:rPr>
        <w:t xml:space="preserve">SUJETO OBLIGADO </w:t>
      </w:r>
      <w:r w:rsidRPr="004F247E">
        <w:rPr>
          <w:rFonts w:ascii="Palatino Linotype" w:eastAsia="Palatino Linotype" w:hAnsi="Palatino Linotype" w:cs="Palatino Linotype"/>
        </w:rPr>
        <w:t xml:space="preserve">entrego la siguiente información. </w:t>
      </w:r>
    </w:p>
    <w:tbl>
      <w:tblPr>
        <w:tblStyle w:val="a4"/>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409"/>
        <w:gridCol w:w="1418"/>
        <w:gridCol w:w="2410"/>
      </w:tblGrid>
      <w:tr w:rsidR="00C53264" w:rsidRPr="004F247E" w:rsidTr="00310ECB">
        <w:tc>
          <w:tcPr>
            <w:tcW w:w="3256" w:type="dxa"/>
          </w:tcPr>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Recurso de Revisión 02843/INFOEM/IP/RR/2025</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 xml:space="preserve">Programas sociales que se otorgaron durante la administración 2022-2024, a quién se benefició y cuál fue el beneficio. </w:t>
            </w:r>
          </w:p>
          <w:p w:rsidR="00C53264" w:rsidRPr="004F247E" w:rsidRDefault="00C53264" w:rsidP="008F6D40">
            <w:pPr>
              <w:jc w:val="both"/>
              <w:rPr>
                <w:rFonts w:ascii="Palatino Linotype" w:eastAsia="Palatino Linotype" w:hAnsi="Palatino Linotype" w:cs="Palatino Linotype"/>
                <w:i/>
              </w:rPr>
            </w:pPr>
          </w:p>
        </w:tc>
        <w:tc>
          <w:tcPr>
            <w:tcW w:w="2409"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 xml:space="preserve">RESPUESTA 700. 2025.pdf: </w:t>
            </w:r>
            <w:r w:rsidRPr="004F247E">
              <w:rPr>
                <w:rFonts w:ascii="Palatino Linotype" w:eastAsia="Palatino Linotype" w:hAnsi="Palatino Linotype" w:cs="Palatino Linotype"/>
                <w:i/>
              </w:rPr>
              <w:t xml:space="preserve">oficio del Titular de la Unidad de Transparencia, mediante el cual informa que la Dirección General de Bienestar  Social, refiere que para el año dos mil veintidós se ejecutó el programa social “Programa Municipal Vida Alimentaria”, del cual remite una liga electrónica, de la cual </w:t>
            </w:r>
            <w:r w:rsidRPr="004F247E">
              <w:rPr>
                <w:rFonts w:ascii="Palatino Linotype" w:eastAsia="Palatino Linotype" w:hAnsi="Palatino Linotype" w:cs="Palatino Linotype"/>
                <w:i/>
              </w:rPr>
              <w:lastRenderedPageBreak/>
              <w:t xml:space="preserve">al consultarla manda a error.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Por cuanto hace a los años dos mil veintitrés y dos mil veinticuatro, informa que no se realizó ningún tipo de apoyo</w:t>
            </w:r>
          </w:p>
        </w:tc>
        <w:tc>
          <w:tcPr>
            <w:tcW w:w="1418"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lastRenderedPageBreak/>
              <w:t xml:space="preserve">Ratifica </w:t>
            </w:r>
          </w:p>
        </w:tc>
        <w:tc>
          <w:tcPr>
            <w:tcW w:w="2410"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No colma, toda vez que del </w:t>
            </w:r>
            <w:r w:rsidR="00310ECB" w:rsidRPr="004F247E">
              <w:rPr>
                <w:rFonts w:ascii="Palatino Linotype" w:eastAsia="Palatino Linotype" w:hAnsi="Palatino Linotype" w:cs="Palatino Linotype"/>
                <w:i/>
              </w:rPr>
              <w:t>análisis</w:t>
            </w:r>
            <w:r w:rsidRPr="004F247E">
              <w:rPr>
                <w:rFonts w:ascii="Palatino Linotype" w:eastAsia="Palatino Linotype" w:hAnsi="Palatino Linotype" w:cs="Palatino Linotype"/>
                <w:i/>
              </w:rPr>
              <w:t xml:space="preserve"> al link remitido, no se puede obtener información.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Por otro lado se localizó información a programas realizados por el Ayuntamiento de Toluca en los años dos mil veintitrés y dos mil veinticuatro, de otra Dirección, situación por la cual, se colige que el </w:t>
            </w:r>
            <w:r w:rsidRPr="004F247E">
              <w:rPr>
                <w:rFonts w:ascii="Palatino Linotype" w:eastAsia="Palatino Linotype" w:hAnsi="Palatino Linotype" w:cs="Palatino Linotype"/>
                <w:b/>
                <w:i/>
              </w:rPr>
              <w:t xml:space="preserve">SUJETO OBLIGADO </w:t>
            </w:r>
            <w:r w:rsidRPr="004F247E">
              <w:rPr>
                <w:rFonts w:ascii="Palatino Linotype" w:eastAsia="Palatino Linotype" w:hAnsi="Palatino Linotype" w:cs="Palatino Linotype"/>
                <w:i/>
              </w:rPr>
              <w:t xml:space="preserve">no </w:t>
            </w:r>
            <w:r w:rsidRPr="004F247E">
              <w:rPr>
                <w:rFonts w:ascii="Palatino Linotype" w:eastAsia="Palatino Linotype" w:hAnsi="Palatino Linotype" w:cs="Palatino Linotype"/>
                <w:i/>
              </w:rPr>
              <w:lastRenderedPageBreak/>
              <w:t xml:space="preserve">turno la solicitud d de información a todas las áreas que pudieran tener la información solicitado. </w:t>
            </w:r>
          </w:p>
        </w:tc>
      </w:tr>
    </w:tbl>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En esa línea, en primer punto se debe de analizar si la solicitud de información fue turnada al área habilitada. </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 De lo anterior, de acuerdo con el Bando Municipal de la administración pública 2022-2024, el </w:t>
      </w:r>
      <w:r w:rsidRPr="004F247E">
        <w:rPr>
          <w:rFonts w:ascii="Palatino Linotype" w:eastAsia="Palatino Linotype" w:hAnsi="Palatino Linotype" w:cs="Palatino Linotype"/>
          <w:b/>
        </w:rPr>
        <w:t xml:space="preserve">SUJETO OBLIGADO </w:t>
      </w:r>
      <w:r w:rsidRPr="004F247E">
        <w:rPr>
          <w:rFonts w:ascii="Palatino Linotype" w:eastAsia="Palatino Linotype" w:hAnsi="Palatino Linotype" w:cs="Palatino Linotype"/>
        </w:rPr>
        <w:t xml:space="preserve">se integraba de la siguiente manera. </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Artículo 23. Para la consulta, estudio, planeación y despacho de los asuntos en los diversos ramos de la Administración Pública Municipal, la o el </w:t>
      </w:r>
      <w:r w:rsidRPr="004F247E">
        <w:rPr>
          <w:rFonts w:ascii="Palatino Linotype" w:eastAsia="Palatino Linotype" w:hAnsi="Palatino Linotype" w:cs="Palatino Linotype"/>
          <w:b/>
          <w:i/>
        </w:rPr>
        <w:t>Presidente Municipal</w:t>
      </w:r>
      <w:r w:rsidRPr="004F247E">
        <w:rPr>
          <w:rFonts w:ascii="Palatino Linotype" w:eastAsia="Palatino Linotype" w:hAnsi="Palatino Linotype" w:cs="Palatino Linotype"/>
          <w:i/>
        </w:rPr>
        <w:t xml:space="preserve"> se auxiliará de la Secretaría del Ayuntamiento y de las siguientes: </w:t>
      </w:r>
    </w:p>
    <w:p w:rsidR="00C53264" w:rsidRPr="004F247E" w:rsidRDefault="00EC4A9A" w:rsidP="008F6D40">
      <w:pPr>
        <w:jc w:val="both"/>
        <w:rPr>
          <w:rFonts w:ascii="Palatino Linotype" w:hAnsi="Palatino Linotype"/>
          <w:i/>
        </w:rPr>
      </w:pPr>
      <w:r w:rsidRPr="004F247E">
        <w:rPr>
          <w:rFonts w:ascii="Palatino Linotype" w:hAnsi="Palatino Linotype"/>
          <w:i/>
        </w:rPr>
        <w:t xml:space="preserve">I. DEPENDENCIAS: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1. Tesorería Municipal;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2. Contraloría;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3. Dirección General de Gobierno;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4. Dirección General de Seguridad y Protección;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5. Dirección General de Administración; </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 xml:space="preserve">6. Dirección General de Medio Ambiente;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7. Dirección General de Servicios Públicos;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8. Dirección General de Desarrollo Urbano, Ordenamiento Territorial y Obras Públicas; </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 xml:space="preserve">9. Dirección General de Desarrollo Económico; y </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10. Dirección General de Desarrollo Social.</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En esa línea, se debe de referir que localizo la siguiente información de programas de la Dirección de Desarrollo Económico, Dirección General de Medio </w:t>
      </w:r>
      <w:r w:rsidRPr="004F247E">
        <w:rPr>
          <w:rFonts w:ascii="Palatino Linotype" w:eastAsia="Palatino Linotype" w:hAnsi="Palatino Linotype" w:cs="Palatino Linotype"/>
        </w:rPr>
        <w:lastRenderedPageBreak/>
        <w:t>Ambiente y la Coordinación de Cultura y Turismo que forma parte de la estructura de la Presidencia Municipal.</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jc w:val="center"/>
        <w:rPr>
          <w:rFonts w:ascii="Palatino Linotype" w:eastAsia="Palatino Linotype" w:hAnsi="Palatino Linotype" w:cs="Palatino Linotype"/>
          <w:color w:val="000000"/>
        </w:rPr>
      </w:pPr>
    </w:p>
    <w:p w:rsidR="00C53264" w:rsidRPr="004F247E" w:rsidRDefault="00310ECB" w:rsidP="008F6D40">
      <w:pPr>
        <w:pBdr>
          <w:top w:val="nil"/>
          <w:left w:val="nil"/>
          <w:bottom w:val="nil"/>
          <w:right w:val="nil"/>
          <w:between w:val="nil"/>
        </w:pBdr>
        <w:jc w:val="center"/>
        <w:rPr>
          <w:rFonts w:ascii="Palatino Linotype" w:eastAsia="Palatino Linotype" w:hAnsi="Palatino Linotype" w:cs="Palatino Linotype"/>
          <w:color w:val="000000"/>
        </w:rPr>
      </w:pPr>
      <w:r w:rsidRPr="004F247E">
        <w:rPr>
          <w:rFonts w:ascii="Palatino Linotype" w:hAnsi="Palatino Linotype"/>
          <w:noProof/>
        </w:rPr>
        <w:drawing>
          <wp:anchor distT="0" distB="0" distL="114300" distR="114300" simplePos="0" relativeHeight="251660288" behindDoc="0" locked="0" layoutInCell="1" hidden="0" allowOverlap="1">
            <wp:simplePos x="0" y="0"/>
            <wp:positionH relativeFrom="column">
              <wp:posOffset>2783205</wp:posOffset>
            </wp:positionH>
            <wp:positionV relativeFrom="paragraph">
              <wp:posOffset>187325</wp:posOffset>
            </wp:positionV>
            <wp:extent cx="3382645" cy="5313045"/>
            <wp:effectExtent l="0" t="0" r="8255" b="1905"/>
            <wp:wrapNone/>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382645" cy="5313045"/>
                    </a:xfrm>
                    <a:prstGeom prst="rect">
                      <a:avLst/>
                    </a:prstGeom>
                    <a:ln/>
                  </pic:spPr>
                </pic:pic>
              </a:graphicData>
            </a:graphic>
          </wp:anchor>
        </w:drawing>
      </w:r>
      <w:r w:rsidRPr="004F247E">
        <w:rPr>
          <w:rFonts w:ascii="Palatino Linotype" w:hAnsi="Palatino Linotype"/>
          <w:noProof/>
        </w:rPr>
        <w:drawing>
          <wp:anchor distT="0" distB="0" distL="114300" distR="114300" simplePos="0" relativeHeight="251659264" behindDoc="0" locked="0" layoutInCell="1" hidden="0" allowOverlap="1">
            <wp:simplePos x="0" y="0"/>
            <wp:positionH relativeFrom="column">
              <wp:posOffset>-713105</wp:posOffset>
            </wp:positionH>
            <wp:positionV relativeFrom="paragraph">
              <wp:posOffset>149860</wp:posOffset>
            </wp:positionV>
            <wp:extent cx="3218180" cy="4938395"/>
            <wp:effectExtent l="0" t="0" r="1270" b="0"/>
            <wp:wrapNone/>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218180" cy="4938395"/>
                    </a:xfrm>
                    <a:prstGeom prst="rect">
                      <a:avLst/>
                    </a:prstGeom>
                    <a:ln/>
                  </pic:spPr>
                </pic:pic>
              </a:graphicData>
            </a:graphic>
          </wp:anchor>
        </w:drawing>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jc w:val="cente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jc w:val="cente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jc w:val="cente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jc w:val="cente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jc w:val="cente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jc w:val="center"/>
        <w:rPr>
          <w:rFonts w:ascii="Palatino Linotype" w:eastAsia="Palatino Linotype" w:hAnsi="Palatino Linotype" w:cs="Palatino Linotype"/>
          <w:color w:val="000000"/>
        </w:rPr>
      </w:pPr>
    </w:p>
    <w:p w:rsidR="00C53264" w:rsidRPr="004F247E" w:rsidRDefault="00C53264" w:rsidP="008F6D40">
      <w:pPr>
        <w:pBdr>
          <w:top w:val="nil"/>
          <w:left w:val="nil"/>
          <w:bottom w:val="nil"/>
          <w:right w:val="nil"/>
          <w:between w:val="nil"/>
        </w:pBdr>
        <w:jc w:val="center"/>
        <w:rPr>
          <w:rFonts w:ascii="Palatino Linotype" w:eastAsia="Palatino Linotype" w:hAnsi="Palatino Linotype" w:cs="Palatino Linotype"/>
          <w:color w:val="000000"/>
        </w:rPr>
      </w:pPr>
    </w:p>
    <w:p w:rsidR="00C53264" w:rsidRPr="004F247E" w:rsidRDefault="00310ECB" w:rsidP="008F6D40">
      <w:pPr>
        <w:spacing w:line="360" w:lineRule="auto"/>
        <w:jc w:val="both"/>
        <w:rPr>
          <w:rFonts w:ascii="Palatino Linotype" w:eastAsia="Palatino Linotype" w:hAnsi="Palatino Linotype" w:cs="Palatino Linotype"/>
        </w:rPr>
      </w:pPr>
      <w:r w:rsidRPr="004F247E">
        <w:rPr>
          <w:rFonts w:ascii="Palatino Linotype" w:hAnsi="Palatino Linotype"/>
          <w:noProof/>
        </w:rPr>
        <w:drawing>
          <wp:anchor distT="0" distB="0" distL="114300" distR="114300" simplePos="0" relativeHeight="251662336" behindDoc="0" locked="0" layoutInCell="1" hidden="0" allowOverlap="1">
            <wp:simplePos x="0" y="0"/>
            <wp:positionH relativeFrom="column">
              <wp:posOffset>2809875</wp:posOffset>
            </wp:positionH>
            <wp:positionV relativeFrom="paragraph">
              <wp:posOffset>198755</wp:posOffset>
            </wp:positionV>
            <wp:extent cx="3719195" cy="4425315"/>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719195" cy="4425315"/>
                    </a:xfrm>
                    <a:prstGeom prst="rect">
                      <a:avLst/>
                    </a:prstGeom>
                    <a:ln/>
                  </pic:spPr>
                </pic:pic>
              </a:graphicData>
            </a:graphic>
          </wp:anchor>
        </w:drawing>
      </w:r>
      <w:r w:rsidRPr="004F247E">
        <w:rPr>
          <w:rFonts w:ascii="Palatino Linotype" w:hAnsi="Palatino Linotype"/>
          <w:noProof/>
        </w:rPr>
        <w:drawing>
          <wp:anchor distT="0" distB="0" distL="114300" distR="114300" simplePos="0" relativeHeight="251661312" behindDoc="0" locked="0" layoutInCell="1" hidden="0" allowOverlap="1">
            <wp:simplePos x="0" y="0"/>
            <wp:positionH relativeFrom="column">
              <wp:posOffset>-800100</wp:posOffset>
            </wp:positionH>
            <wp:positionV relativeFrom="paragraph">
              <wp:posOffset>205740</wp:posOffset>
            </wp:positionV>
            <wp:extent cx="3281680" cy="412369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281680" cy="4123690"/>
                    </a:xfrm>
                    <a:prstGeom prst="rect">
                      <a:avLst/>
                    </a:prstGeom>
                    <a:ln/>
                  </pic:spPr>
                </pic:pic>
              </a:graphicData>
            </a:graphic>
          </wp:anchor>
        </w:drawing>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310ECB" w:rsidP="008F6D40">
      <w:pPr>
        <w:spacing w:line="360" w:lineRule="auto"/>
        <w:jc w:val="both"/>
        <w:rPr>
          <w:rFonts w:ascii="Palatino Linotype" w:eastAsia="Palatino Linotype" w:hAnsi="Palatino Linotype" w:cs="Palatino Linotype"/>
        </w:rPr>
      </w:pPr>
      <w:r w:rsidRPr="004F247E">
        <w:rPr>
          <w:rFonts w:ascii="Palatino Linotype" w:hAnsi="Palatino Linotype"/>
          <w:noProof/>
        </w:rPr>
        <w:lastRenderedPageBreak/>
        <w:drawing>
          <wp:anchor distT="0" distB="0" distL="114300" distR="114300" simplePos="0" relativeHeight="251663360" behindDoc="0" locked="0" layoutInCell="1" hidden="0" allowOverlap="1">
            <wp:simplePos x="0" y="0"/>
            <wp:positionH relativeFrom="column">
              <wp:posOffset>-287020</wp:posOffset>
            </wp:positionH>
            <wp:positionV relativeFrom="paragraph">
              <wp:posOffset>55245</wp:posOffset>
            </wp:positionV>
            <wp:extent cx="3654425" cy="3136265"/>
            <wp:effectExtent l="0" t="0" r="3175" b="6985"/>
            <wp:wrapNone/>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654425" cy="3136265"/>
                    </a:xfrm>
                    <a:prstGeom prst="rect">
                      <a:avLst/>
                    </a:prstGeom>
                    <a:ln/>
                  </pic:spPr>
                </pic:pic>
              </a:graphicData>
            </a:graphic>
          </wp:anchor>
        </w:drawing>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310ECB" w:rsidP="008F6D40">
      <w:pPr>
        <w:spacing w:line="360" w:lineRule="auto"/>
        <w:jc w:val="both"/>
        <w:rPr>
          <w:rFonts w:ascii="Palatino Linotype" w:eastAsia="Palatino Linotype" w:hAnsi="Palatino Linotype" w:cs="Palatino Linotype"/>
        </w:rPr>
      </w:pPr>
      <w:r w:rsidRPr="004F247E">
        <w:rPr>
          <w:rFonts w:ascii="Palatino Linotype" w:hAnsi="Palatino Linotype"/>
          <w:noProof/>
        </w:rPr>
        <w:drawing>
          <wp:anchor distT="0" distB="0" distL="114300" distR="114300" simplePos="0" relativeHeight="251664384" behindDoc="0" locked="0" layoutInCell="1" hidden="0" allowOverlap="1">
            <wp:simplePos x="0" y="0"/>
            <wp:positionH relativeFrom="column">
              <wp:posOffset>2402205</wp:posOffset>
            </wp:positionH>
            <wp:positionV relativeFrom="paragraph">
              <wp:posOffset>73025</wp:posOffset>
            </wp:positionV>
            <wp:extent cx="3404870" cy="4279265"/>
            <wp:effectExtent l="0" t="0" r="5080" b="6985"/>
            <wp:wrapNone/>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404870" cy="4279265"/>
                    </a:xfrm>
                    <a:prstGeom prst="rect">
                      <a:avLst/>
                    </a:prstGeom>
                    <a:ln/>
                  </pic:spPr>
                </pic:pic>
              </a:graphicData>
            </a:graphic>
          </wp:anchor>
        </w:drawing>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De las imágenes insertadas, se observa que el Ayuntamiento de Toluca durante la administración 2022-2024, si realizo distintos programas entre los cuales se encuentran Diversas áreas de la administración, por lo que, se colige que hay hechos notorios de la información solicitada por el </w:t>
      </w:r>
      <w:r w:rsidRPr="004F247E">
        <w:rPr>
          <w:rFonts w:ascii="Palatino Linotype" w:eastAsia="Palatino Linotype" w:hAnsi="Palatino Linotype" w:cs="Palatino Linotype"/>
          <w:b/>
        </w:rPr>
        <w:t xml:space="preserve">RECURRENTE, </w:t>
      </w:r>
      <w:r w:rsidRPr="004F247E">
        <w:rPr>
          <w:rFonts w:ascii="Palatino Linotype" w:eastAsia="Palatino Linotype" w:hAnsi="Palatino Linotype" w:cs="Palatino Linotype"/>
        </w:rPr>
        <w:t>situación por la cual es aplicable lo siguiente.</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b/>
          <w:i/>
        </w:rPr>
      </w:pPr>
      <w:r w:rsidRPr="004F247E">
        <w:rPr>
          <w:rFonts w:ascii="Palatino Linotype" w:eastAsia="Palatino Linotype" w:hAnsi="Palatino Linotype" w:cs="Palatino Linotype"/>
        </w:rPr>
        <w:t>”</w:t>
      </w:r>
      <w:r w:rsidRPr="004F247E">
        <w:rPr>
          <w:rFonts w:ascii="Palatino Linotype" w:eastAsia="Palatino Linotype" w:hAnsi="Palatino Linotype" w:cs="Palatino Linotype"/>
          <w:b/>
          <w:i/>
        </w:rPr>
        <w:t>HECHOS NOTORIOS. CONCEPTOS GENERAL Y JURÍDICO</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Conforme al artículo </w:t>
      </w:r>
      <w:hyperlink r:id="rId14">
        <w:r w:rsidRPr="004F247E">
          <w:rPr>
            <w:rFonts w:ascii="Palatino Linotype" w:eastAsia="Palatino Linotype" w:hAnsi="Palatino Linotype" w:cs="Palatino Linotype"/>
            <w:i/>
          </w:rPr>
          <w:t>88 del Código Federal de Procedimientos Civiles</w:t>
        </w:r>
      </w:hyperlink>
      <w:r w:rsidRPr="004F247E">
        <w:rPr>
          <w:rFonts w:ascii="Palatino Linotype" w:eastAsia="Palatino Linotype" w:hAnsi="Palatino Linotype" w:cs="Palatino Linotype"/>
          <w:i/>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rsidR="00C53264" w:rsidRPr="004F247E" w:rsidRDefault="00C53264" w:rsidP="008F6D40">
      <w:pPr>
        <w:jc w:val="both"/>
        <w:rPr>
          <w:rFonts w:ascii="Palatino Linotype" w:eastAsia="Palatino Linotype" w:hAnsi="Palatino Linotype" w:cs="Palatino Linotype"/>
          <w:i/>
        </w:rPr>
      </w:pP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PÁGINAS WEB O ELECTRÓNICAS. SU CONTENIDO ES UN HECHO NOTORIO Y SUSCEPTIBLE DE SER VALORADO EN UNA DECISIÓN JUDICIAL.</w:t>
      </w:r>
      <w:r w:rsidRPr="004F247E">
        <w:rPr>
          <w:rFonts w:ascii="Palatino Linotype" w:eastAsia="Palatino Linotype" w:hAnsi="Palatino Linotype" w:cs="Palatino Linotype"/>
          <w:i/>
        </w:rPr>
        <w:t xml:space="preserve"> Los datos publicados en documentos o páginas situados en redes informáticas constituyen un hecho notorio por formar parte del conocimiento público a través de tales medios al momento en que se dicta </w:t>
      </w:r>
      <w:r w:rsidRPr="004F247E">
        <w:rPr>
          <w:rFonts w:ascii="Palatino Linotype" w:eastAsia="Palatino Linotype" w:hAnsi="Palatino Linotype" w:cs="Palatino Linotype"/>
          <w:i/>
        </w:rPr>
        <w:lastRenderedPageBreak/>
        <w:t xml:space="preserve">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TERCER TRIBUNAL COLEGIADO EN MATERIA CIVIL DEL PRIMER CIRCUITO. Amparo en revisión 365/2012. Mardygras, S.A. de C.V. 7 de diciembre de 2012. Unanimidad de votos. Ponente: Neófito López Ramos. Secretaria: Ana Lilia Osorno Arroyo. </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En esa línea, al existir hechos notorios de que la administración si realizo diferentes apoyos, es que se debe de establecer que el </w:t>
      </w:r>
      <w:r w:rsidRPr="004F247E">
        <w:rPr>
          <w:rFonts w:ascii="Palatino Linotype" w:eastAsia="Palatino Linotype" w:hAnsi="Palatino Linotype" w:cs="Palatino Linotype"/>
          <w:b/>
        </w:rPr>
        <w:t xml:space="preserve">SUJETO OBLIGADO </w:t>
      </w:r>
      <w:r w:rsidRPr="004F247E">
        <w:rPr>
          <w:rFonts w:ascii="Palatino Linotype" w:eastAsia="Palatino Linotype" w:hAnsi="Palatino Linotype" w:cs="Palatino Linotype"/>
        </w:rPr>
        <w:t xml:space="preserve">no turno la solicitud de información a todas las áreas que pudieran ser poseedoras de la información solicitada por el </w:t>
      </w:r>
      <w:r w:rsidRPr="004F247E">
        <w:rPr>
          <w:rFonts w:ascii="Palatino Linotype" w:eastAsia="Palatino Linotype" w:hAnsi="Palatino Linotype" w:cs="Palatino Linotype"/>
          <w:b/>
        </w:rPr>
        <w:t xml:space="preserve">RECURRENTE, </w:t>
      </w:r>
      <w:r w:rsidRPr="004F247E">
        <w:rPr>
          <w:rFonts w:ascii="Palatino Linotype" w:eastAsia="Palatino Linotype" w:hAnsi="Palatino Linotype" w:cs="Palatino Linotype"/>
        </w:rPr>
        <w:t xml:space="preserve">situación por la cual se establecen las atribuciones de las direcciones de las cuales se encontró información. </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 En esa línea, se debe de establecer que la información solicitada es de la administración 2022-2024, por lo cual se hace el </w:t>
      </w:r>
      <w:r w:rsidR="00310ECB" w:rsidRPr="004F247E">
        <w:rPr>
          <w:rFonts w:ascii="Palatino Linotype" w:eastAsia="Palatino Linotype" w:hAnsi="Palatino Linotype" w:cs="Palatino Linotype"/>
        </w:rPr>
        <w:t>análisis</w:t>
      </w:r>
      <w:r w:rsidRPr="004F247E">
        <w:rPr>
          <w:rFonts w:ascii="Palatino Linotype" w:eastAsia="Palatino Linotype" w:hAnsi="Palatino Linotype" w:cs="Palatino Linotype"/>
        </w:rPr>
        <w:t xml:space="preserve"> de las funciones de la Dirección General de Desarrollo Económico, de conformidad con el Manual de Organización de la propia dirección.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lastRenderedPageBreak/>
        <w:t xml:space="preserve">Artículo 3.56. La o el titular de la Dirección General de Desarrollo Económico, tendrá las siguientes atribuciones: </w:t>
      </w:r>
    </w:p>
    <w:p w:rsidR="00C53264" w:rsidRPr="004F247E" w:rsidRDefault="00EC4A9A" w:rsidP="008F6D40">
      <w:pPr>
        <w:numPr>
          <w:ilvl w:val="0"/>
          <w:numId w:val="5"/>
        </w:numPr>
        <w:pBdr>
          <w:top w:val="nil"/>
          <w:left w:val="nil"/>
          <w:bottom w:val="nil"/>
          <w:right w:val="nil"/>
          <w:between w:val="nil"/>
        </w:pBdr>
        <w:ind w:left="0" w:firstLine="0"/>
        <w:jc w:val="both"/>
        <w:rPr>
          <w:rFonts w:ascii="Palatino Linotype" w:eastAsia="Palatino Linotype" w:hAnsi="Palatino Linotype" w:cs="Palatino Linotype"/>
          <w:b/>
          <w:i/>
          <w:color w:val="000000"/>
        </w:rPr>
      </w:pPr>
      <w:r w:rsidRPr="004F247E">
        <w:rPr>
          <w:rFonts w:ascii="Palatino Linotype" w:eastAsia="Palatino Linotype" w:hAnsi="Palatino Linotype" w:cs="Palatino Linotype"/>
          <w:b/>
          <w:i/>
          <w:color w:val="000000"/>
        </w:rPr>
        <w:t>Planear y proponer al presidente municipal las políticas y programas relativos al fomento de las actividades industriales, empresariales, comerciales, de servicios y de desarrollo rural sustentable;</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 II. </w:t>
      </w:r>
      <w:r w:rsidRPr="004F247E">
        <w:rPr>
          <w:rFonts w:ascii="Palatino Linotype" w:eastAsia="Palatino Linotype" w:hAnsi="Palatino Linotype" w:cs="Palatino Linotype"/>
          <w:b/>
          <w:i/>
          <w:color w:val="000000"/>
        </w:rPr>
        <w:t>Promover, coordinar, ejecutar y vigilar los programas de fomento y promoción económica, productiva y comercial para el desarrollo del municipio</w:t>
      </w:r>
      <w:r w:rsidRPr="004F247E">
        <w:rPr>
          <w:rFonts w:ascii="Palatino Linotype" w:eastAsia="Palatino Linotype" w:hAnsi="Palatino Linotype" w:cs="Palatino Linotype"/>
          <w:i/>
          <w:color w:val="000000"/>
        </w:rPr>
        <w:t xml:space="preserve">;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III. Promover y fortalecer el crecimiento de empresas y servicios que apoyen el incremento de la productividad municipal;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IV. Organizar y operar el servicio municipal de empleo;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V. Preservar y fomentar las actividades de las micro industrias con base en el Plan de Desarrollo Municipal;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VI. Establecer políticas de operación para la mejora del funcionamiento del rastro municipal;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VII. Fomentar la creación de fuentes de empleo, impulsando el establecimiento de micro, pequeña y mediana empresa, comercio y servicios sustentables;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b/>
          <w:color w:val="000000"/>
        </w:rPr>
      </w:pPr>
      <w:r w:rsidRPr="004F247E">
        <w:rPr>
          <w:rFonts w:ascii="Palatino Linotype" w:eastAsia="Palatino Linotype" w:hAnsi="Palatino Linotype" w:cs="Palatino Linotype"/>
          <w:b/>
          <w:i/>
          <w:color w:val="000000"/>
        </w:rPr>
        <w:t xml:space="preserve">VIII. Apoyar y fomentar la creación de agroindustrias e impulsar, coordinar y apoyar actividades que generen desarrollo rural sustentable;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IX. Promover la realización de ferias y exposiciones comerciales e industriales en el territorio municipal;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 Impulsar la celebración de convenios con autoridades estatales y federales, así como con la iniciativa privada, que contribuyan al desarrollo económico del municipio;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b/>
          <w:color w:val="000000"/>
        </w:rPr>
      </w:pPr>
      <w:r w:rsidRPr="004F247E">
        <w:rPr>
          <w:rFonts w:ascii="Palatino Linotype" w:eastAsia="Palatino Linotype" w:hAnsi="Palatino Linotype" w:cs="Palatino Linotype"/>
          <w:b/>
          <w:i/>
          <w:color w:val="000000"/>
        </w:rPr>
        <w:t xml:space="preserve">XI. Apoyar y promover la producción y desarrollo agropecuario;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b/>
          <w:color w:val="000000"/>
        </w:rPr>
      </w:pPr>
      <w:r w:rsidRPr="004F247E">
        <w:rPr>
          <w:rFonts w:ascii="Palatino Linotype" w:eastAsia="Palatino Linotype" w:hAnsi="Palatino Linotype" w:cs="Palatino Linotype"/>
          <w:b/>
          <w:i/>
          <w:color w:val="000000"/>
        </w:rPr>
        <w:t xml:space="preserve">XII. Apoyar en el diseño y ejecución de los programas de política del desarrollo económico de las mujeres en el municipio, que impulsen el emprendimiento de las mismas;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b/>
          <w:color w:val="000000"/>
        </w:rPr>
      </w:pPr>
      <w:r w:rsidRPr="004F247E">
        <w:rPr>
          <w:rFonts w:ascii="Palatino Linotype" w:eastAsia="Palatino Linotype" w:hAnsi="Palatino Linotype" w:cs="Palatino Linotype"/>
          <w:b/>
          <w:i/>
          <w:color w:val="000000"/>
        </w:rPr>
        <w:t>XIII. Apoyar el crecimiento económico a través de la actividad de los microempresarios y de nuevos negocios, así como la expansión de los existentes;</w:t>
      </w:r>
      <w:r w:rsidRPr="004F247E">
        <w:rPr>
          <w:rFonts w:ascii="Palatino Linotype" w:hAnsi="Palatino Linotype"/>
          <w:b/>
          <w:color w:val="000000"/>
        </w:rPr>
        <w:t xml:space="preserve">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XIV. Generar oportunidades y espacios para el fortalecimiento de la economía popular, incentivando los procesos de producción, distribución, circulación, financiamiento, comercialización y consumo de bienes y servicios;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XV. Gestionar ante las instancias públicas y privadas, nacionales o extranjeras, la obtención de recursos para el fortalecimiento de las actividades económicas del municipio;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XVI. Fomentar y promover la actividad comercial, incentivando su desarrollo ordenado y equilibrado, para la obtención de una cultura de negocios coadyuvantes de la seguridad y prevención ciudadana, protección a la biodiversidad y abasto de buena calidad en el Municipio;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lastRenderedPageBreak/>
        <w:t xml:space="preserve">XVII. Identificar, promover y formular estrategias que impulsen la inversión productiva;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XVIII. Promover y difundir, las ventajas competitivas que se ofrecen en la localidad a la inversión productiva, en los ámbitos estatales, nacionales e internacionales;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XIX. Verificar el cumplimiento de las medidas emitidas por la autoridad sanitaria competente, con el objeto de combatir las enfermedades transmisibles;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XX. Crear y mantener actualizado el registro de unidades económicas que cuenten con Dictamen de Giro;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XXI. Autorizar, registrar y controlar la placa que estipula la fracción XVIII del Artículo 74 de la Ley de Competitividad y Ordenamiento Comercial del Estado de México, la cual debe tener la leyenda “Esta Unidad Económica cuenta con Dictamen de Giro y la licencia de funcionamiento que autoriza la venta de bebidas alcohólicas” y publicar en la página electrónica oficial el folio asignado; y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XXII. Planear y proponer al presidente municipal las políticas y programas relativos a la regulación de las actividades comerciales;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XXIII. Dirigir las actividades que se realizan en la ventanilla única para el otorgamiento de licencias de funcionamiento y permisos provisionales a los establecimientos que realizan actividades comerciales, industriales y de prestación de servicios en el municipio;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XXIV. Expedir el Catálogo de Eventos Públicos, especificando las diferentes denominaciones, modalidades, licencias y autorizaciones requeridas para cada tipo de evento, así como las reglas, condiciones y prohibiciones que considere conveniente imponer;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XXV. Notificar a la Coordinación General de Protección Civil del Gobierno del Estado de México sobre la realización de eventos públicos previstos en la Ley de la materia;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 xml:space="preserve">XXVI. Impulsar y vigilar el funcionamiento de los mercados públicos y promover la creación de nuevos mercados, para satisfacer las necesidades de la población; y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i/>
          <w:color w:val="000000"/>
        </w:rPr>
        <w:t>XXVII. Las demás que le confieran otros ordenamientos jurídicos, el H. Ayuntamiento y el presidente municipal. Para el ejercicio de sus atribuciones la Dirección General de Desarrollo Económico se auxiliará de la Dirección de Atención al Comercio, Dirección de Promoción Económica y Empleo y de la Dirección de Impulso Agropecuario.</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Por cuanta hace a la Dirección General de Medio de Ambiente, de conformidad con el Manual General de Organización del Ayuntamiento de Toluca, cuenta con las siguientes atribuciones.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lastRenderedPageBreak/>
        <w:t xml:space="preserve">207010000 Dirección General de Medio Ambiente Objetivo Planear, organizar, dirigir, controlar y evaluar la ejecución de programas que permitan mantener el equilibrio ecológico, la preservación, restauración, mejoramiento, protección y control del medio ambiente, flora y fauna, así como impulsar proyectos y acciones de educación y cultura ambiental en el Municipio de Toluca. Funciones: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1. Planear, instrumentar, dirigir y evaluar los programas ambientales y acciones en materia de protección de los recursos naturales como bosques, áreas verdes, agua, suelo, aire y atmósfera, necesarios para promover el desarrollo sustentable y vigilar que se realicen adecuadamente por las áreas involucradas;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2. Efectuar los convenios necesarios con instituciones, empresas, dependencias gubernamentales o particulares para garantizar la aplicación de la política, normatividad y programas ambientales establecidos;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3. Desarrollar estrategias, programas y proyectos integrales de mitigación de las emisiones de gases de efecto invernadero, con base en las prioridades establecidas en la estimación de índices contaminantes en el municipio;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4. Analizar, documentar, integrar y presentar el diagnóstico situacional municipal en materia de medio ambiente, para definir la política y los programas ambientales que promuevan un desarrollo sustentable;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5. Emitir, divulgar y aplicar las disposiciones reglamentarias para la prevención de la contaminación, protección y conservación de los recursos naturales;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6. Recibir, analizar, dictaminar y en su caso, otorgar el visto bueno a los proyectos ambientales que presenten las empresas desarrolladoras de fraccionamientos y conjuntos urbanos;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7. Planear, instrumentar y dirigir los programas de educación ambiental que promuevan el desarrollo sostenible;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8. Vigilar que la política y acciones ambientales propuestas, mantengan una alineación transversal con las políticas e instrumentos estatales y federales en la materia;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9. Planear, organizar, dirigir y evaluar la implementación del Sistema Municipal de Manejo Ambiental (SIMMA) a efecto de desarrollar y ejecutar acciones de mitigación de impacto ambiental en la operación de las dependencias y órganos de la administración pública municipal; </w:t>
      </w:r>
    </w:p>
    <w:p w:rsidR="00C53264" w:rsidRPr="004F247E" w:rsidRDefault="00EC4A9A" w:rsidP="008F6D40">
      <w:pPr>
        <w:jc w:val="both"/>
        <w:rPr>
          <w:rFonts w:ascii="Palatino Linotype" w:hAnsi="Palatino Linotype"/>
          <w:i/>
        </w:rPr>
      </w:pPr>
      <w:r w:rsidRPr="004F247E">
        <w:rPr>
          <w:rFonts w:ascii="Palatino Linotype" w:eastAsia="Palatino Linotype" w:hAnsi="Palatino Linotype" w:cs="Palatino Linotype"/>
          <w:i/>
        </w:rPr>
        <w:t>10. Controlar y supervisar la emisión de registros ambientales mediante sistemas de verificación administrativa, para el cumplimiento de la normatividad sobre fuentes emisoras de contaminantes al medio ambiente que se generan en el municipio;</w:t>
      </w:r>
      <w:r w:rsidRPr="004F247E">
        <w:rPr>
          <w:rFonts w:ascii="Palatino Linotype" w:hAnsi="Palatino Linotype"/>
          <w:i/>
        </w:rPr>
        <w:t xml:space="preserve">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11. Planear, dirigir y controlar el desarrollo de las campañas de forestación y reforestación del Municipio de Toluca, así como coadyuvar con los proyectos propuestos por los distintos sectores de la sociedad;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lastRenderedPageBreak/>
        <w:t xml:space="preserve">12. Implementar programas para regular la recolección, separación, transportación, almacenamiento, valorización y disposición final de los residuos sólidos reciclables, para su aprovechamiento, en observancia de la normatividad aplicable; </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 xml:space="preserve">13. Planear, dirigir y controlar el desarrollo e implementación de los programas tendientes a promover una cultura de respeto, tenencia responsable y protección de animales de compañía;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14. Planear, dirigir, controlar y evaluar las acciones y programas relativos a garantizar las libertades de los animales domésticos y de compañía, promoviendo las 5 libertades de estos, las cuales son: libre de hambre, sed y desnutrición; libre de temor y angustia; libre de molestias físicas y térmicas; libre de dolor, de lesión y enfermedad; y libre de manifestar un comportamiento natural;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15. Organizar, dirigir y controlar las visitas de inspección en materia ambiental en el territorio municipal, así como aplicar las medidas de apremio preventivas y de seguridad, conforme a las disposiciones legales;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16. Autorizar y emitir la documentación necesaria para la identificación del personal de inspección y/o verificación adscrito a la Dirección General de Medio Ambiente; </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 xml:space="preserve">17. Impulsar la conformación e instalación del Consejo Municipal de Protección a la Biodiversidad y Desarrollo Sustentable; el Consejo Municipal Forestal y Vegetal; así como el Consejo Municipal de Control y Bienestar Animal, de conformidad a la normatividad jurídica aplicable;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18. Expedir la autorización necesaria para la poda, derribo, trasplante o sustitución de árboles derivado de la ejecución de alguna obra, o que pongan en riesgo la integridad física de personas, bienes o la infraestructura urbana, o bien que se encuentren muertos o tengan enfermedad o plaga severa; porque sea de utilidad pública, o afecten significativamente la imagen urbana del municipio, así mismo, se sancionará a quienes realicen las acciones mencionadas sin contar con dicho requisito;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19. Vigilar el cumplimiento de la normatividad ambiental aplicable en el Municipio de Toluca;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20. Emitir las autorizaciones correspondientes para la utilización de las áreas naturales protegidas: Parque Matlatzincas “El Calvario” y Parque Estatal San José de la Pila “Parque Alameda 2000”; 2</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De lo anterior, se colige que la Dirección General de Medio Ambiente dirige y controla el desarrollo e implementación de los </w:t>
      </w:r>
      <w:r w:rsidRPr="004F247E">
        <w:rPr>
          <w:rFonts w:ascii="Palatino Linotype" w:eastAsia="Palatino Linotype" w:hAnsi="Palatino Linotype" w:cs="Palatino Linotype"/>
          <w:b/>
        </w:rPr>
        <w:t>programas tendientes</w:t>
      </w:r>
      <w:r w:rsidRPr="004F247E">
        <w:rPr>
          <w:rFonts w:ascii="Palatino Linotype" w:eastAsia="Palatino Linotype" w:hAnsi="Palatino Linotype" w:cs="Palatino Linotype"/>
        </w:rPr>
        <w:t xml:space="preserve"> a promover una </w:t>
      </w:r>
      <w:r w:rsidRPr="004F247E">
        <w:rPr>
          <w:rFonts w:ascii="Palatino Linotype" w:eastAsia="Palatino Linotype" w:hAnsi="Palatino Linotype" w:cs="Palatino Linotype"/>
        </w:rPr>
        <w:lastRenderedPageBreak/>
        <w:t xml:space="preserve">cultura de respeto, tenencia responsable y protección de animales, entre los que destacan las campañas de vacunación y esterilización, de las cuales los dueños de los animales son beneficiados. </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Ahora bien, por cuanto hace a la Coordinación de Cultura y Turismo, que forma parte de la estructura de la Presidencia Municipal, se observa que tiene las siguientes atribuciones de conformidad con el Manual de Organización de la Presidencia Municipal. </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200001000 Coordinación de Cultura y Turismo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Objetivo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Planear, organizar, dirigir, coordinar y evaluar políticas públicas para la preservación, fomento, vinculación, difusión, democratización e impulso a la cultura, las artes y el turismo en el Municipio de Toluca, a través de la participación activa de la población, generando las condiciones necesarias para que las y los ciudadanos tengan libre acceso a actividades artísticas y culturales, dentro de un marco de respeto y tolerancia a la diversidad, fortaleciendo las tradiciones, la identidad e invitando a crear nuevas manifestaciones.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Funciones: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1. Elaborar e implementar políticas públicas para la preservación, fomento, vinculación, difusión e impulso a la cultura, las artes y el turismo;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b/>
          <w:i/>
          <w:color w:val="000000"/>
        </w:rPr>
      </w:pPr>
      <w:r w:rsidRPr="004F247E">
        <w:rPr>
          <w:rFonts w:ascii="Palatino Linotype" w:eastAsia="Palatino Linotype" w:hAnsi="Palatino Linotype" w:cs="Palatino Linotype"/>
          <w:b/>
          <w:i/>
          <w:color w:val="000000"/>
        </w:rPr>
        <w:t xml:space="preserve">2. Planear, organizar, dirigir y evaluar programas y proyectos a efecto de fomentar y difundir las actividades artísticas culturales;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3. Fomentar y promover la recreación, la cultura, las tradiciones y fiestas populares en el ámbito municipal;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b/>
          <w:i/>
          <w:color w:val="000000"/>
        </w:rPr>
      </w:pPr>
      <w:r w:rsidRPr="004F247E">
        <w:rPr>
          <w:rFonts w:ascii="Palatino Linotype" w:eastAsia="Palatino Linotype" w:hAnsi="Palatino Linotype" w:cs="Palatino Linotype"/>
          <w:b/>
          <w:i/>
          <w:color w:val="000000"/>
        </w:rPr>
        <w:t xml:space="preserve">4. Promover productos artísticos, mediante expresiones como: música, danza, teatro, literatura, artes plásticas y cine;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5. Gestionar y proporcionar espacios a la ciudadanía que sirvan de plataforma para el desarrollo de las expresiones culturales;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6. Brindar apoyo a las diversas áreas de la administración municipal, en la prestación de servicios culturales;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lastRenderedPageBreak/>
        <w:t xml:space="preserve">7. Establecer y mantener los vínculos con el gobierno federal, estatal y municipal, así como con la iniciativa privada para celebrar convenios de desarrollo de proyectos culturales;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b/>
          <w:i/>
          <w:color w:val="000000"/>
        </w:rPr>
      </w:pPr>
      <w:r w:rsidRPr="004F247E">
        <w:rPr>
          <w:rFonts w:ascii="Palatino Linotype" w:eastAsia="Palatino Linotype" w:hAnsi="Palatino Linotype" w:cs="Palatino Linotype"/>
          <w:b/>
          <w:i/>
          <w:color w:val="000000"/>
        </w:rPr>
        <w:t xml:space="preserve">8. Establecer comunicación con instituciones gubernamentales y no gubernamentales, para apoyar y estimular el talento artístico y fortalecer la integración de la comunidad;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9. Privilegiar las relaciones interinstitucionales para el mejor desarrollo del trabajo de la Coordinación de Cultura y Turismo;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10. Diseñar, fomentar e impulsar actividades que fortalezcan y preserven la cultura en el municipio a través de la celebración de acuerdos con instituciones y organismos del sector público, privado y social de ámbito estatal, nacional o internacional;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11. Integrar, organizar, editar y publicar mensualmente la agenda de actividades culturales; </w:t>
      </w:r>
    </w:p>
    <w:p w:rsidR="00C53264" w:rsidRPr="004F247E" w:rsidRDefault="00EC4A9A" w:rsidP="008F6D40">
      <w:pPr>
        <w:pBdr>
          <w:top w:val="nil"/>
          <w:left w:val="nil"/>
          <w:bottom w:val="nil"/>
          <w:right w:val="nil"/>
          <w:between w:val="nil"/>
        </w:pBdr>
        <w:jc w:val="both"/>
        <w:rPr>
          <w:rFonts w:ascii="Palatino Linotype" w:hAnsi="Palatino Linotype"/>
          <w:i/>
          <w:color w:val="000000"/>
        </w:rPr>
      </w:pPr>
      <w:r w:rsidRPr="004F247E">
        <w:rPr>
          <w:rFonts w:ascii="Palatino Linotype" w:eastAsia="Palatino Linotype" w:hAnsi="Palatino Linotype" w:cs="Palatino Linotype"/>
          <w:i/>
          <w:color w:val="000000"/>
        </w:rPr>
        <w:t>12. Proponer, ejecutar y supervisar actividades para el rescate, preservación y difusión del patrimonio cultural del municipio, así como el conocimiento del devenir histórico y cultural;</w:t>
      </w:r>
      <w:r w:rsidRPr="004F247E">
        <w:rPr>
          <w:rFonts w:ascii="Palatino Linotype" w:hAnsi="Palatino Linotype"/>
          <w:i/>
          <w:color w:val="000000"/>
        </w:rPr>
        <w:t xml:space="preserve">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hAnsi="Palatino Linotype"/>
          <w:i/>
          <w:color w:val="000000"/>
        </w:rPr>
        <w:t>1</w:t>
      </w:r>
      <w:r w:rsidRPr="004F247E">
        <w:rPr>
          <w:rFonts w:ascii="Palatino Linotype" w:eastAsia="Palatino Linotype" w:hAnsi="Palatino Linotype" w:cs="Palatino Linotype"/>
          <w:i/>
          <w:color w:val="000000"/>
        </w:rPr>
        <w:t xml:space="preserve">3. Proponer, elaborar y dirigir proyectos y programas que promuevan el rescate y preservación del patrimonio arqueológico del municipio;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14. Implementar una etapa de exploración arqueológica para convertir el actual Cerro del Toloche en un centro recreativo y emblemático por visitar;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15. Administrar, organizar y supervisar el funcionamiento de las bibliotecas municipales;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16. Proponer, supervisar y fomentar actividades de lectura en las bibliotecas municipales;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17. Organizar y vigilar los programas editoriales de apoyo a proyectos literarios de los autores del municipio;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18. Coordinar, organizar y supervisar las actividades artísticas de la Banda Municipal, Orquesta Filarmónica de Toluca y demás grupos propios del ayuntamiento;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19. Coordinar, organizar, programar y supervisar actividades culturales y exposiciones artísticas en los Museos y Casas de Cultura del ayuntamiento;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20. Coordinar, organizar y supervisar las actividades de la oficina de la crónica municipal;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21. Difundir historia y tradiciones a través de la crónica municipal;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22. Proponer y operar la vinculación de los proyectos culturales municipales con la Agenda 2030 para el desarrollo sustentable;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23. Planear y evaluar los talleres de profesionalización artística y cultural;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24. Coordinar y supervisar las actividades relacionadas con la orientación y atención a los Centros Sociales y Religiosos, aplicando la Ley de Asociaciones Religiosas y Culto Público;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25. Promover la presencia internacional del municipio a través de ejes estratégicos en las dimensiones económica, política, social y cultural, así como el fortalecimiento de los lazos de fraternidad con ciudades hermanas;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lastRenderedPageBreak/>
        <w:t xml:space="preserve">26. Promover, difundir y manejar los atractivos y recursos turísticos con los que cuenta el municipio;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27. Diseñar y promover acciones de impulso turístico en colaboración con los sectores público, privado y social del ámbito estatal, nacional e internacional;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28. Promover y supervisar que las autoridades auxiliares y consejos de participación ciudadana realicen acciones de turismo cultural con identidad toluqueña;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29. Evaluar y establecer políticas, normas y lineamientos para la oferta de los servicios turísticos;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30. Diseñar y promover acciones para potenciar la cultura culinaria como patrimonio cultural inmaterial; y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31. Realizar todas aquellas actividades que sean inherentes y aplicables al área de su competencia.</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De lo anterior, se colige que dicha Coordinación de Cultura y Turismo, tiene la función de realizar programas, mediante los cuales los diferentes artistas reciban apoyos, por lo que se colige que si hay información relacionada con lo solicitado por el </w:t>
      </w:r>
      <w:r w:rsidRPr="004F247E">
        <w:rPr>
          <w:rFonts w:ascii="Palatino Linotype" w:eastAsia="Palatino Linotype" w:hAnsi="Palatino Linotype" w:cs="Palatino Linotype"/>
          <w:b/>
        </w:rPr>
        <w:t xml:space="preserve">RECURRENTE, </w:t>
      </w:r>
      <w:r w:rsidRPr="004F247E">
        <w:rPr>
          <w:rFonts w:ascii="Palatino Linotype" w:eastAsia="Palatino Linotype" w:hAnsi="Palatino Linotype" w:cs="Palatino Linotype"/>
        </w:rPr>
        <w:t xml:space="preserve">toda vez que como se </w:t>
      </w:r>
      <w:r w:rsidR="00310ECB" w:rsidRPr="004F247E">
        <w:rPr>
          <w:rFonts w:ascii="Palatino Linotype" w:eastAsia="Palatino Linotype" w:hAnsi="Palatino Linotype" w:cs="Palatino Linotype"/>
        </w:rPr>
        <w:t>precisó</w:t>
      </w:r>
      <w:r w:rsidRPr="004F247E">
        <w:rPr>
          <w:rFonts w:ascii="Palatino Linotype" w:eastAsia="Palatino Linotype" w:hAnsi="Palatino Linotype" w:cs="Palatino Linotype"/>
        </w:rPr>
        <w:t xml:space="preserve"> en el estudio de hechos notorios, se </w:t>
      </w:r>
      <w:r w:rsidR="00310ECB" w:rsidRPr="004F247E">
        <w:rPr>
          <w:rFonts w:ascii="Palatino Linotype" w:eastAsia="Palatino Linotype" w:hAnsi="Palatino Linotype" w:cs="Palatino Linotype"/>
        </w:rPr>
        <w:t>realizó</w:t>
      </w:r>
      <w:r w:rsidRPr="004F247E">
        <w:rPr>
          <w:rFonts w:ascii="Palatino Linotype" w:eastAsia="Palatino Linotype" w:hAnsi="Palatino Linotype" w:cs="Palatino Linotype"/>
        </w:rPr>
        <w:t xml:space="preserve"> un programa en que </w:t>
      </w:r>
      <w:r w:rsidR="00310ECB" w:rsidRPr="004F247E">
        <w:rPr>
          <w:rFonts w:ascii="Palatino Linotype" w:eastAsia="Palatino Linotype" w:hAnsi="Palatino Linotype" w:cs="Palatino Linotype"/>
        </w:rPr>
        <w:t>él</w:t>
      </w:r>
      <w:r w:rsidRPr="004F247E">
        <w:rPr>
          <w:rFonts w:ascii="Palatino Linotype" w:eastAsia="Palatino Linotype" w:hAnsi="Palatino Linotype" w:cs="Palatino Linotype"/>
        </w:rPr>
        <w:t xml:space="preserve"> se beneficia que diversos artistas pudieran presentar su música en las diversas áreas del Centro de Toluca, para que estos no fueran retirados por personal de la Dirección de Seguridad. </w:t>
      </w:r>
    </w:p>
    <w:p w:rsidR="00C53264" w:rsidRPr="004F247E" w:rsidRDefault="00EC4A9A" w:rsidP="008F6D40">
      <w:pPr>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 </w:t>
      </w: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Ahora bien, no debe perderse de vista que la hoy Dirección General de Bienestar, antes la Dirección General de Desarrollo Social, refirió en respuesta que para el año dos mil veintidós, realizo el “Programa Municipal Vida Alimentaria”, del cual proporciono una liga electrónica en formato abierta, misma que de su consulta la página marca error, situación por la cual deberá de remitir la información relacionada de las personas beneficiadas y establecer cuál fue el  beneficio.</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lastRenderedPageBreak/>
        <w:t xml:space="preserve">De lo anterior, se debe perderse de vista que cuando los </w:t>
      </w:r>
      <w:r w:rsidRPr="004F247E">
        <w:rPr>
          <w:rFonts w:ascii="Palatino Linotype" w:eastAsia="Palatino Linotype" w:hAnsi="Palatino Linotype" w:cs="Palatino Linotype"/>
          <w:b/>
        </w:rPr>
        <w:t xml:space="preserve">sujetos obligados remitan </w:t>
      </w:r>
      <w:r w:rsidRPr="004F247E">
        <w:rPr>
          <w:rFonts w:ascii="Palatino Linotype" w:eastAsia="Palatino Linotype" w:hAnsi="Palatino Linotype" w:cs="Palatino Linotype"/>
        </w:rPr>
        <w:t xml:space="preserve">información mediante ligas electrónicas están deben de ser en formato abierto y asegurarse de que la información solicitada se encuentre en el link, situación por la cual la respuesta de la Dirección General de Bienestar Social, no se puede tener por validada. </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En esa línea, se determina </w:t>
      </w:r>
      <w:r w:rsidRPr="004F247E">
        <w:rPr>
          <w:rFonts w:ascii="Palatino Linotype" w:eastAsia="Palatino Linotype" w:hAnsi="Palatino Linotype" w:cs="Palatino Linotype"/>
          <w:b/>
        </w:rPr>
        <w:t xml:space="preserve">MODIFICAR </w:t>
      </w:r>
      <w:r w:rsidRPr="004F247E">
        <w:rPr>
          <w:rFonts w:ascii="Palatino Linotype" w:eastAsia="Palatino Linotype" w:hAnsi="Palatino Linotype" w:cs="Palatino Linotype"/>
        </w:rPr>
        <w:t xml:space="preserve">el recurso de revisión </w:t>
      </w:r>
      <w:r w:rsidRPr="004F247E">
        <w:rPr>
          <w:rFonts w:ascii="Palatino Linotype" w:eastAsia="Palatino Linotype" w:hAnsi="Palatino Linotype" w:cs="Palatino Linotype"/>
          <w:b/>
        </w:rPr>
        <w:t xml:space="preserve">02843/INFOEM/IP/RR/2025, </w:t>
      </w:r>
      <w:r w:rsidRPr="004F247E">
        <w:rPr>
          <w:rFonts w:ascii="Palatino Linotype" w:eastAsia="Palatino Linotype" w:hAnsi="Palatino Linotype" w:cs="Palatino Linotype"/>
        </w:rPr>
        <w:t xml:space="preserve">toda vez que fueron encontrados hechos notorios de los programas que de manera enunciativa más no limitativa realizo el Ayuntamiento de Toluca, en beneficio de los ciudadanos. </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Ahora bien, por cuanto hace a recurso de revisión </w:t>
      </w:r>
      <w:r w:rsidRPr="004F247E">
        <w:rPr>
          <w:rFonts w:ascii="Palatino Linotype" w:eastAsia="Palatino Linotype" w:hAnsi="Palatino Linotype" w:cs="Palatino Linotype"/>
          <w:b/>
        </w:rPr>
        <w:t xml:space="preserve">02844/INFOEM/IP/RR/2025, </w:t>
      </w:r>
      <w:r w:rsidRPr="004F247E">
        <w:rPr>
          <w:rFonts w:ascii="Palatino Linotype" w:eastAsia="Palatino Linotype" w:hAnsi="Palatino Linotype" w:cs="Palatino Linotype"/>
        </w:rPr>
        <w:t xml:space="preserve">se hace el siguiente </w:t>
      </w:r>
      <w:r w:rsidR="00310ECB" w:rsidRPr="004F247E">
        <w:rPr>
          <w:rFonts w:ascii="Palatino Linotype" w:eastAsia="Palatino Linotype" w:hAnsi="Palatino Linotype" w:cs="Palatino Linotype"/>
        </w:rPr>
        <w:t>análisis</w:t>
      </w:r>
      <w:r w:rsidRPr="004F247E">
        <w:rPr>
          <w:rFonts w:ascii="Palatino Linotype" w:eastAsia="Palatino Linotype" w:hAnsi="Palatino Linotype" w:cs="Palatino Linotype"/>
        </w:rPr>
        <w:t xml:space="preserve">. </w:t>
      </w:r>
    </w:p>
    <w:tbl>
      <w:tblPr>
        <w:tblStyle w:val="a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268"/>
        <w:gridCol w:w="1313"/>
        <w:gridCol w:w="2514"/>
      </w:tblGrid>
      <w:tr w:rsidR="00C53264" w:rsidRPr="004F247E" w:rsidTr="00310ECB">
        <w:tc>
          <w:tcPr>
            <w:tcW w:w="3256" w:type="dxa"/>
          </w:tcPr>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Recurso de Revisión 02844/INFOEM/IP/RR/2025</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Programas sociales para el año 2025 y como se puede ser beneficiado</w:t>
            </w:r>
          </w:p>
          <w:p w:rsidR="00C53264" w:rsidRPr="004F247E" w:rsidRDefault="00C53264" w:rsidP="008F6D40">
            <w:pPr>
              <w:jc w:val="both"/>
              <w:rPr>
                <w:rFonts w:ascii="Palatino Linotype" w:eastAsia="Palatino Linotype" w:hAnsi="Palatino Linotype" w:cs="Palatino Linotype"/>
                <w:i/>
              </w:rPr>
            </w:pPr>
          </w:p>
        </w:tc>
        <w:tc>
          <w:tcPr>
            <w:tcW w:w="2268"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RESPUESTA</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 xml:space="preserve">701. 2025.pdf: </w:t>
            </w:r>
            <w:r w:rsidRPr="004F247E">
              <w:rPr>
                <w:rFonts w:ascii="Palatino Linotype" w:eastAsia="Palatino Linotype" w:hAnsi="Palatino Linotype" w:cs="Palatino Linotype"/>
                <w:i/>
              </w:rPr>
              <w:t xml:space="preserve">oficio del Titular de la Unidad de Transparencia, mediante el cual informa que la Dirección General de Bienestar Social, se encuentra realizando las gestiones necesarias para planear, impulsar, operar programas, proyectos y acciones para garantizar el </w:t>
            </w:r>
            <w:r w:rsidRPr="004F247E">
              <w:rPr>
                <w:rFonts w:ascii="Palatino Linotype" w:eastAsia="Palatino Linotype" w:hAnsi="Palatino Linotype" w:cs="Palatino Linotype"/>
                <w:i/>
              </w:rPr>
              <w:lastRenderedPageBreak/>
              <w:t>pleno ejercicio de los derechos sociales</w:t>
            </w:r>
          </w:p>
        </w:tc>
        <w:tc>
          <w:tcPr>
            <w:tcW w:w="1313"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lastRenderedPageBreak/>
              <w:t xml:space="preserve">Ratifica </w:t>
            </w:r>
          </w:p>
        </w:tc>
        <w:tc>
          <w:tcPr>
            <w:tcW w:w="2514" w:type="dxa"/>
          </w:tcPr>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No colma, toda vez que la solicitud de información no fue turnada a todas las áreas habilitadas. </w:t>
            </w:r>
          </w:p>
          <w:p w:rsidR="00C53264" w:rsidRPr="004F247E" w:rsidRDefault="00C53264" w:rsidP="008F6D40">
            <w:pPr>
              <w:jc w:val="both"/>
              <w:rPr>
                <w:rFonts w:ascii="Palatino Linotype" w:eastAsia="Palatino Linotype" w:hAnsi="Palatino Linotype" w:cs="Palatino Linotype"/>
                <w:i/>
              </w:rPr>
            </w:pPr>
          </w:p>
        </w:tc>
      </w:tr>
    </w:tbl>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Como se observa del cuadro anterior, la Dirección General de Bienestar Social, informo que a la fecha de la solicitud de información se encuentra realizando las gestiones necesarias para determinar los programas sociales a desempeñar en el año 2025, situación por la cual no es posible que sea atendida la solicitud de información. </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En esa, línea se debe de precisar que como sucedió  en el recurso de revisión </w:t>
      </w:r>
      <w:r w:rsidRPr="004F247E">
        <w:rPr>
          <w:rFonts w:ascii="Palatino Linotype" w:eastAsia="Palatino Linotype" w:hAnsi="Palatino Linotype" w:cs="Palatino Linotype"/>
          <w:b/>
        </w:rPr>
        <w:t xml:space="preserve">02843/INFOEM/IP/RR/2025, el SUJETO OBLIGADO </w:t>
      </w:r>
      <w:r w:rsidRPr="004F247E">
        <w:rPr>
          <w:rFonts w:ascii="Palatino Linotype" w:eastAsia="Palatino Linotype" w:hAnsi="Palatino Linotype" w:cs="Palatino Linotype"/>
        </w:rPr>
        <w:t xml:space="preserve">solo turno la solicitud de información a la Dirección General de Bienestar Social, situación por la cual tendrá que turnar la solicitud de información a las áreas del Ayuntamiento que por sus funciones tengan las de implementar programas en beneficio de los ciudadanos, entre las que se encuentran de manera enunciativa más no limitativa la Dirección  General de Desarrollo Económico, la Dirección General de Medio Ambiente y la Coordinación de Cultura y Turismo. </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Ahora bien, no debe de perderse de vista que la información solicitada también puede encontrarse en el Presupuesto de Egresos e Ingresos, situación por la cual se establece que otra área habilitada puede ser la Tesorería Municipal, toda vez que es el área que se encarga de los egresos e ingresos para entregar el Presupuesto ante el Órgano Superior de Fiscalización del Estado de México, situación por la cual se analiza lo siguiente. </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lastRenderedPageBreak/>
        <w:t xml:space="preserve">Derivado de lo anterior, es importante traer a contexto el artículo 115 fracción IV, párrafo tercero de la Constitución Política de los Estados Unidos Mexicanos establece que: </w:t>
      </w:r>
    </w:p>
    <w:p w:rsidR="00C53264" w:rsidRPr="004F247E" w:rsidRDefault="00C53264" w:rsidP="008F6D40">
      <w:pPr>
        <w:jc w:val="both"/>
        <w:rPr>
          <w:rFonts w:ascii="Palatino Linotype" w:eastAsia="Palatino Linotype" w:hAnsi="Palatino Linotype" w:cs="Palatino Linotype"/>
          <w:color w:val="000000"/>
        </w:rPr>
      </w:pP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w:t>
      </w:r>
      <w:r w:rsidRPr="004F247E">
        <w:rPr>
          <w:rFonts w:ascii="Palatino Linotype" w:eastAsia="Palatino Linotype" w:hAnsi="Palatino Linotype" w:cs="Palatino Linotype"/>
          <w:b/>
          <w:i/>
          <w:color w:val="000000"/>
        </w:rPr>
        <w:t>Artículo 115.</w:t>
      </w:r>
      <w:r w:rsidRPr="004F247E">
        <w:rPr>
          <w:rFonts w:ascii="Palatino Linotype" w:eastAsia="Palatino Linotype" w:hAnsi="Palatino Linotype" w:cs="Palatino Linotype"/>
          <w:i/>
          <w:color w:val="00000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w:t>
      </w: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IV.</w:t>
      </w: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w:t>
      </w: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Las legislaturas de los Estados aprobarán las leyes de ingresos de los municipios, revisarán y fiscalizarán sus cuentas públicas. </w:t>
      </w:r>
      <w:r w:rsidRPr="004F247E">
        <w:rPr>
          <w:rFonts w:ascii="Palatino Linotype" w:eastAsia="Palatino Linotype" w:hAnsi="Palatino Linotype" w:cs="Palatino Linotype"/>
          <w:b/>
          <w:i/>
          <w:color w:val="000000"/>
        </w:rPr>
        <w:t>Los presupuestos de egresos serán aprobados por los ayuntamientos con base en sus ingresos disponibles, y deberán incluir en los mismos, los tabuladores desglosados de las remuneraciones que perciban los servidores públicos municipales</w:t>
      </w:r>
      <w:r w:rsidRPr="004F247E">
        <w:rPr>
          <w:rFonts w:ascii="Palatino Linotype" w:eastAsia="Palatino Linotype" w:hAnsi="Palatino Linotype" w:cs="Palatino Linotype"/>
          <w:i/>
          <w:color w:val="000000"/>
        </w:rPr>
        <w:t xml:space="preserve">, sujetándose a lo dispuesto en el artículo 127 de esta Constitución” </w:t>
      </w: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(Énfasis añadido)</w:t>
      </w:r>
    </w:p>
    <w:p w:rsidR="00C53264" w:rsidRPr="004F247E" w:rsidRDefault="00C53264" w:rsidP="008F6D40">
      <w:pPr>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Asimismo, en el artículo 125 cuarto y quinto párrafos de la Constitución Política del Estado Libre y Soberano de México, dispone: </w:t>
      </w:r>
    </w:p>
    <w:p w:rsidR="00C53264" w:rsidRPr="004F247E" w:rsidRDefault="00C53264" w:rsidP="008F6D40">
      <w:pPr>
        <w:jc w:val="both"/>
        <w:rPr>
          <w:rFonts w:ascii="Palatino Linotype" w:eastAsia="Palatino Linotype" w:hAnsi="Palatino Linotype" w:cs="Palatino Linotype"/>
          <w:color w:val="000000"/>
        </w:rPr>
      </w:pP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w:t>
      </w:r>
      <w:r w:rsidRPr="004F247E">
        <w:rPr>
          <w:rFonts w:ascii="Palatino Linotype" w:eastAsia="Palatino Linotype" w:hAnsi="Palatino Linotype" w:cs="Palatino Linotype"/>
          <w:b/>
          <w:i/>
          <w:color w:val="000000"/>
        </w:rPr>
        <w:t>Artículo 125.-</w:t>
      </w:r>
      <w:r w:rsidRPr="004F247E">
        <w:rPr>
          <w:rFonts w:ascii="Palatino Linotype" w:eastAsia="Palatino Linotype" w:hAnsi="Palatino Linotype" w:cs="Palatino Linotype"/>
          <w:i/>
          <w:color w:val="000000"/>
        </w:rPr>
        <w:t xml:space="preserve"> Los municipios administrarán libremente su hacienda, la cual se formará de los rendimientos de los bienes que les pertenezcan, así como de las contribuciones y otros ingresos que la ley establezca, y en todo caso:</w:t>
      </w: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w:t>
      </w: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 xml:space="preserve">Los Ayuntamientos podrán celebrar sesiones extraordinarias de cabildo cuando la Ley de ingresos aprobada por la Legislatura, implique adecuaciones a su Presupuesto de Egresos, </w:t>
      </w:r>
      <w:r w:rsidR="00C71A83" w:rsidRPr="004F247E">
        <w:rPr>
          <w:rFonts w:ascii="Palatino Linotype" w:eastAsia="Palatino Linotype" w:hAnsi="Palatino Linotype" w:cs="Palatino Linotype"/>
          <w:i/>
          <w:color w:val="000000"/>
        </w:rPr>
        <w:t>así</w:t>
      </w:r>
      <w:r w:rsidRPr="004F247E">
        <w:rPr>
          <w:rFonts w:ascii="Palatino Linotype" w:eastAsia="Palatino Linotype" w:hAnsi="Palatino Linotype" w:cs="Palatino Linotype"/>
          <w:i/>
          <w:color w:val="000000"/>
        </w:rPr>
        <w:t xml:space="preserve"> como por la asignación de las participaciones y aportaciones federales y estatales. Estas sesiones tendrán como único objeto concordar con el Presupuesto de Egresos. </w:t>
      </w:r>
      <w:r w:rsidRPr="004F247E">
        <w:rPr>
          <w:rFonts w:ascii="Palatino Linotype" w:eastAsia="Palatino Linotype" w:hAnsi="Palatino Linotype" w:cs="Palatino Linotype"/>
          <w:b/>
          <w:i/>
          <w:color w:val="000000"/>
        </w:rPr>
        <w:t>La Presidenta o el Presidente Municipal, promulgará y publicará el Presupuesto de Egresos Municipal, a más tardar el día 25 de febrero de cada año debiendo enviarlo al Órgano Superior de Fiscalización en la misma fecha</w:t>
      </w:r>
      <w:r w:rsidRPr="004F247E">
        <w:rPr>
          <w:rFonts w:ascii="Palatino Linotype" w:eastAsia="Palatino Linotype" w:hAnsi="Palatino Linotype" w:cs="Palatino Linotype"/>
          <w:i/>
          <w:color w:val="000000"/>
        </w:rPr>
        <w:t xml:space="preserve">. </w:t>
      </w: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lastRenderedPageBreak/>
        <w:t xml:space="preserve">El Presupuesto deberá incluir los tabuladores desglosados de las remuneraciones que perciban las y los servidores públicos municipales, sujetándose a lo dispuesto en el artículo 147 de esta Constitución.” </w:t>
      </w: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(Énfasis añadido)</w:t>
      </w:r>
    </w:p>
    <w:p w:rsidR="00C53264" w:rsidRPr="004F247E" w:rsidRDefault="00C53264" w:rsidP="008F6D40">
      <w:pPr>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Por su parte, el artículo 47 de la Ley de Fiscalización Superior del Estado de México indica que:</w:t>
      </w:r>
    </w:p>
    <w:p w:rsidR="00C53264" w:rsidRPr="004F247E" w:rsidRDefault="00C53264" w:rsidP="008F6D40">
      <w:pPr>
        <w:tabs>
          <w:tab w:val="left" w:pos="851"/>
        </w:tabs>
        <w:jc w:val="both"/>
        <w:rPr>
          <w:rFonts w:ascii="Palatino Linotype" w:eastAsia="Palatino Linotype" w:hAnsi="Palatino Linotype" w:cs="Palatino Linotype"/>
          <w:i/>
          <w:color w:val="000000"/>
        </w:rPr>
      </w:pP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w:t>
      </w:r>
      <w:r w:rsidRPr="004F247E">
        <w:rPr>
          <w:rFonts w:ascii="Palatino Linotype" w:eastAsia="Palatino Linotype" w:hAnsi="Palatino Linotype" w:cs="Palatino Linotype"/>
          <w:b/>
          <w:i/>
          <w:color w:val="000000"/>
        </w:rPr>
        <w:t>Artículo 47.-</w:t>
      </w:r>
      <w:r w:rsidRPr="004F247E">
        <w:rPr>
          <w:rFonts w:ascii="Palatino Linotype" w:eastAsia="Palatino Linotype" w:hAnsi="Palatino Linotype" w:cs="Palatino Linotype"/>
          <w:i/>
          <w:color w:val="000000"/>
        </w:rPr>
        <w:t xml:space="preserve"> </w:t>
      </w:r>
      <w:r w:rsidRPr="004F247E">
        <w:rPr>
          <w:rFonts w:ascii="Palatino Linotype" w:eastAsia="Palatino Linotype" w:hAnsi="Palatino Linotype" w:cs="Palatino Linotype"/>
          <w:b/>
          <w:i/>
          <w:color w:val="000000"/>
        </w:rPr>
        <w:t>Los</w:t>
      </w:r>
      <w:r w:rsidRPr="004F247E">
        <w:rPr>
          <w:rFonts w:ascii="Palatino Linotype" w:eastAsia="Palatino Linotype" w:hAnsi="Palatino Linotype" w:cs="Palatino Linotype"/>
          <w:i/>
          <w:color w:val="000000"/>
        </w:rPr>
        <w:t xml:space="preserve"> </w:t>
      </w:r>
      <w:r w:rsidRPr="004F247E">
        <w:rPr>
          <w:rFonts w:ascii="Palatino Linotype" w:eastAsia="Palatino Linotype" w:hAnsi="Palatino Linotype" w:cs="Palatino Linotype"/>
          <w:b/>
          <w:i/>
          <w:color w:val="000000"/>
        </w:rPr>
        <w:t>Presidentes Municipales y los Síndicos estarán obligados a informar al Órgano Superior, a más tardar el 25 de febrero de cada año, el Presupuesto de Egresos Municipal que haya aprobado el Ayuntamiento correspondiente</w:t>
      </w:r>
      <w:r w:rsidRPr="004F247E">
        <w:rPr>
          <w:rFonts w:ascii="Palatino Linotype" w:eastAsia="Palatino Linotype" w:hAnsi="Palatino Linotype" w:cs="Palatino Linotype"/>
          <w:i/>
          <w:color w:val="000000"/>
        </w:rPr>
        <w:t xml:space="preserve">.” </w:t>
      </w: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(Énfasis añadido)</w:t>
      </w:r>
    </w:p>
    <w:p w:rsidR="00C53264" w:rsidRPr="004F247E" w:rsidRDefault="00C53264" w:rsidP="008F6D40">
      <w:pPr>
        <w:tabs>
          <w:tab w:val="left" w:pos="851"/>
        </w:tabs>
        <w:jc w:val="both"/>
        <w:rPr>
          <w:rFonts w:ascii="Palatino Linotype" w:eastAsia="Palatino Linotype" w:hAnsi="Palatino Linotype" w:cs="Palatino Linotype"/>
          <w:i/>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Aunado a lo anterior, el artículo 351 segundo párrafo del Código Financiero del Estado de México y Municipios establece que:</w:t>
      </w:r>
    </w:p>
    <w:p w:rsidR="00C53264" w:rsidRPr="004F247E" w:rsidRDefault="00C53264" w:rsidP="008F6D40">
      <w:pPr>
        <w:tabs>
          <w:tab w:val="left" w:pos="851"/>
        </w:tabs>
        <w:jc w:val="both"/>
        <w:rPr>
          <w:rFonts w:ascii="Palatino Linotype" w:eastAsia="Palatino Linotype" w:hAnsi="Palatino Linotype" w:cs="Palatino Linotype"/>
        </w:rPr>
      </w:pP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w:t>
      </w:r>
      <w:r w:rsidRPr="004F247E">
        <w:rPr>
          <w:rFonts w:ascii="Palatino Linotype" w:eastAsia="Palatino Linotype" w:hAnsi="Palatino Linotype" w:cs="Palatino Linotype"/>
          <w:b/>
          <w:i/>
          <w:color w:val="000000"/>
        </w:rPr>
        <w:t>Artículo 351.-</w:t>
      </w:r>
      <w:r w:rsidRPr="004F247E">
        <w:rPr>
          <w:rFonts w:ascii="Palatino Linotype" w:eastAsia="Palatino Linotype" w:hAnsi="Palatino Linotype" w:cs="Palatino Linotype"/>
          <w:i/>
          <w:color w:val="000000"/>
        </w:rPr>
        <w:t xml:space="preserve"> …</w:t>
      </w: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b/>
          <w:i/>
          <w:color w:val="000000"/>
        </w:rPr>
        <w:t xml:space="preserve">Los Ayuntamientos al aprobar en forma definitiva su presupuesto de egresos, deberán publicar en la "Gaceta Municipal" </w:t>
      </w:r>
      <w:r w:rsidRPr="004F247E">
        <w:rPr>
          <w:rFonts w:ascii="Palatino Linotype" w:eastAsia="Palatino Linotype" w:hAnsi="Palatino Linotype" w:cs="Palatino Linotype"/>
          <w:i/>
          <w:color w:val="000000"/>
        </w:rPr>
        <w:t xml:space="preserve">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w:t>
      </w:r>
      <w:r w:rsidRPr="004F247E">
        <w:rPr>
          <w:rFonts w:ascii="Palatino Linotype" w:eastAsia="Palatino Linotype" w:hAnsi="Palatino Linotype" w:cs="Palatino Linotype"/>
          <w:b/>
          <w:i/>
          <w:color w:val="000000"/>
        </w:rPr>
        <w:t>el 25 de febrero del año</w:t>
      </w:r>
      <w:r w:rsidRPr="004F247E">
        <w:rPr>
          <w:rFonts w:ascii="Palatino Linotype" w:eastAsia="Palatino Linotype" w:hAnsi="Palatino Linotype" w:cs="Palatino Linotype"/>
          <w:i/>
          <w:color w:val="000000"/>
        </w:rPr>
        <w:t xml:space="preserve"> para el cual habrá de aplicar dicho presupuesto.” </w:t>
      </w:r>
    </w:p>
    <w:p w:rsidR="00C53264" w:rsidRPr="004F247E" w:rsidRDefault="00EC4A9A" w:rsidP="008F6D40">
      <w:pPr>
        <w:tabs>
          <w:tab w:val="left" w:pos="851"/>
        </w:tabs>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(Énfasis añadido)</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De lo anterior, se puede advertir que el presupuesto de egreso municipal será aprobado por los Ayuntamientos con base a los ingresos disponibles, así como de los egresos que contemple el Ayuntamiento de Toluca para su ejecución, en este caso de los programas, sin embargo, no debe perderse de vista que la Presidenta o Presidente Municipal promulgaran y publicara el Presupuesto de Egresos e Ingresos Municipal a </w:t>
      </w:r>
      <w:r w:rsidRPr="004F247E">
        <w:rPr>
          <w:rFonts w:ascii="Palatino Linotype" w:eastAsia="Palatino Linotype" w:hAnsi="Palatino Linotype" w:cs="Palatino Linotype"/>
          <w:color w:val="000000"/>
        </w:rPr>
        <w:lastRenderedPageBreak/>
        <w:t xml:space="preserve">más tardar el </w:t>
      </w:r>
      <w:r w:rsidRPr="004F247E">
        <w:rPr>
          <w:rFonts w:ascii="Palatino Linotype" w:eastAsia="Palatino Linotype" w:hAnsi="Palatino Linotype" w:cs="Palatino Linotype"/>
          <w:b/>
          <w:color w:val="000000"/>
        </w:rPr>
        <w:t>veinticinco de febrero de cada año</w:t>
      </w:r>
      <w:r w:rsidRPr="004F247E">
        <w:rPr>
          <w:rFonts w:ascii="Palatino Linotype" w:eastAsia="Palatino Linotype" w:hAnsi="Palatino Linotype" w:cs="Palatino Linotype"/>
          <w:color w:val="000000"/>
        </w:rPr>
        <w:t xml:space="preserve"> debiendo enviar el mismo al Órgano Superior de Fiscalización, el cual deberá ser publicado en la Gaceta Municipal. </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Situación por la cual de ser el caso que a la fecha de la solicitud no se cuente con los programas sociales y la dinámica para poder participar de ellos, por no haberse contemplado a la fecha de la solicitud, bastará con que el </w:t>
      </w:r>
      <w:r w:rsidRPr="004F247E">
        <w:rPr>
          <w:rFonts w:ascii="Palatino Linotype" w:eastAsia="Palatino Linotype" w:hAnsi="Palatino Linotype" w:cs="Palatino Linotype"/>
          <w:b/>
          <w:color w:val="000000"/>
        </w:rPr>
        <w:t xml:space="preserve">SUJETO OBLIGADO </w:t>
      </w:r>
      <w:r w:rsidRPr="004F247E">
        <w:rPr>
          <w:rFonts w:ascii="Palatino Linotype" w:eastAsia="Palatino Linotype" w:hAnsi="Palatino Linotype" w:cs="Palatino Linotype"/>
          <w:color w:val="000000"/>
        </w:rPr>
        <w:t xml:space="preserve">lo haga del conocimiento del </w:t>
      </w:r>
      <w:r w:rsidRPr="004F247E">
        <w:rPr>
          <w:rFonts w:ascii="Palatino Linotype" w:eastAsia="Palatino Linotype" w:hAnsi="Palatino Linotype" w:cs="Palatino Linotype"/>
          <w:b/>
          <w:color w:val="000000"/>
        </w:rPr>
        <w:t xml:space="preserve">RECURRENTE </w:t>
      </w:r>
      <w:r w:rsidRPr="004F247E">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Por último, por cuanto hace al punto de la solicitud de información “como se puede ser beneficiado”, se debe de precisar que lo solicitado puede ser colmado por los requisitos o convocatorias que se emiten, situación por la cual se colige que el </w:t>
      </w:r>
      <w:r w:rsidRPr="004F247E">
        <w:rPr>
          <w:rFonts w:ascii="Palatino Linotype" w:eastAsia="Palatino Linotype" w:hAnsi="Palatino Linotype" w:cs="Palatino Linotype"/>
          <w:b/>
          <w:color w:val="000000"/>
        </w:rPr>
        <w:t xml:space="preserve">SUJETO OBLIGADO </w:t>
      </w:r>
      <w:r w:rsidRPr="004F247E">
        <w:rPr>
          <w:rFonts w:ascii="Palatino Linotype" w:eastAsia="Palatino Linotype" w:hAnsi="Palatino Linotype" w:cs="Palatino Linotype"/>
          <w:color w:val="000000"/>
        </w:rPr>
        <w:t xml:space="preserve">de ser el caso que ya hubiera emitido apoyos a la población, deberá de entregar dicha información. </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De lo anteriormente expuesto, se determina </w:t>
      </w:r>
      <w:r w:rsidRPr="004F247E">
        <w:rPr>
          <w:rFonts w:ascii="Palatino Linotype" w:eastAsia="Palatino Linotype" w:hAnsi="Palatino Linotype" w:cs="Palatino Linotype"/>
          <w:b/>
          <w:color w:val="000000"/>
        </w:rPr>
        <w:t xml:space="preserve">MODIFICAR </w:t>
      </w:r>
      <w:r w:rsidRPr="004F247E">
        <w:rPr>
          <w:rFonts w:ascii="Palatino Linotype" w:eastAsia="Palatino Linotype" w:hAnsi="Palatino Linotype" w:cs="Palatino Linotype"/>
          <w:color w:val="000000"/>
        </w:rPr>
        <w:t xml:space="preserve">la respuesta del </w:t>
      </w:r>
      <w:r w:rsidRPr="004F247E">
        <w:rPr>
          <w:rFonts w:ascii="Palatino Linotype" w:eastAsia="Palatino Linotype" w:hAnsi="Palatino Linotype" w:cs="Palatino Linotype"/>
          <w:b/>
          <w:color w:val="000000"/>
        </w:rPr>
        <w:t xml:space="preserve">SUJETO OBLIGADO </w:t>
      </w:r>
      <w:r w:rsidRPr="004F247E">
        <w:rPr>
          <w:rFonts w:ascii="Palatino Linotype" w:eastAsia="Palatino Linotype" w:hAnsi="Palatino Linotype" w:cs="Palatino Linotype"/>
          <w:color w:val="000000"/>
        </w:rPr>
        <w:t>para que previa búsqueda exhaustiva y razonable de turne la solicitud de información a las áreas del Ayuntamiento que pudieran ser poseedoras de la misma.</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Ahora bien, no debe perderse de vista que la solicitud de información tiene relación con programas sociales y beneficiarios, por lo que se hace el siguiente </w:t>
      </w:r>
      <w:r w:rsidR="00310ECB" w:rsidRPr="004F247E">
        <w:rPr>
          <w:rFonts w:ascii="Palatino Linotype" w:eastAsia="Palatino Linotype" w:hAnsi="Palatino Linotype" w:cs="Palatino Linotype"/>
        </w:rPr>
        <w:t>análisis</w:t>
      </w:r>
      <w:r w:rsidRPr="004F247E">
        <w:rPr>
          <w:rFonts w:ascii="Palatino Linotype" w:eastAsia="Palatino Linotype" w:hAnsi="Palatino Linotype" w:cs="Palatino Linotype"/>
        </w:rPr>
        <w:t xml:space="preserve">. </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lastRenderedPageBreak/>
        <w:t xml:space="preserve">En esa línea, se debe de referir que la información solicitada por la </w:t>
      </w:r>
      <w:r w:rsidRPr="004F247E">
        <w:rPr>
          <w:rFonts w:ascii="Palatino Linotype" w:eastAsia="Palatino Linotype" w:hAnsi="Palatino Linotype" w:cs="Palatino Linotype"/>
          <w:b/>
          <w:color w:val="000000"/>
        </w:rPr>
        <w:t xml:space="preserve">RECURRENTE </w:t>
      </w:r>
      <w:r w:rsidRPr="004F247E">
        <w:rPr>
          <w:rFonts w:ascii="Palatino Linotype" w:eastAsia="Palatino Linotype" w:hAnsi="Palatino Linotype" w:cs="Palatino Linotype"/>
          <w:color w:val="000000"/>
        </w:rPr>
        <w:t>forma parte de las obligaciones de transparencia</w:t>
      </w:r>
      <w:r w:rsidR="00310ECB" w:rsidRPr="004F247E">
        <w:rPr>
          <w:rFonts w:ascii="Palatino Linotype" w:eastAsia="Palatino Linotype" w:hAnsi="Palatino Linotype" w:cs="Palatino Linotype"/>
          <w:color w:val="000000"/>
        </w:rPr>
        <w:t xml:space="preserve">, </w:t>
      </w:r>
      <w:r w:rsidRPr="004F247E">
        <w:rPr>
          <w:rFonts w:ascii="Palatino Linotype" w:eastAsia="Palatino Linotype" w:hAnsi="Palatino Linotype" w:cs="Palatino Linotype"/>
          <w:color w:val="000000"/>
        </w:rPr>
        <w:t xml:space="preserve">dicho argumento está regulado por el artículo 92 de la Ley de Transparencia y Acceso a la Información Pública del Estado de México y Municipios, mismo que refiere lo siguiente. </w:t>
      </w:r>
    </w:p>
    <w:p w:rsidR="00C53264" w:rsidRPr="004F247E" w:rsidRDefault="00EC4A9A" w:rsidP="008F6D40">
      <w:pPr>
        <w:pBdr>
          <w:top w:val="nil"/>
          <w:left w:val="nil"/>
          <w:bottom w:val="nil"/>
          <w:right w:val="nil"/>
          <w:between w:val="nil"/>
        </w:pBdr>
        <w:jc w:val="both"/>
        <w:rPr>
          <w:rFonts w:ascii="Palatino Linotype" w:eastAsia="Calibri" w:hAnsi="Palatino Linotype" w:cs="Calibri"/>
          <w:i/>
        </w:rPr>
      </w:pPr>
      <w:r w:rsidRPr="004F247E">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4F247E">
        <w:rPr>
          <w:rFonts w:ascii="Palatino Linotype" w:eastAsia="Calibri" w:hAnsi="Palatino Linotype" w:cs="Calibri"/>
          <w:i/>
        </w:rPr>
        <w:t xml:space="preserve"> </w:t>
      </w:r>
    </w:p>
    <w:p w:rsidR="00C53264" w:rsidRPr="004F247E" w:rsidRDefault="00EC4A9A" w:rsidP="008F6D40">
      <w:pPr>
        <w:pBdr>
          <w:top w:val="nil"/>
          <w:left w:val="nil"/>
          <w:bottom w:val="nil"/>
          <w:right w:val="nil"/>
          <w:between w:val="nil"/>
        </w:pBd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p) Padrón de beneficiarios mismo que deberá contener los siguientes datos: </w:t>
      </w:r>
      <w:r w:rsidRPr="004F247E">
        <w:rPr>
          <w:rFonts w:ascii="Palatino Linotype" w:eastAsia="Palatino Linotype" w:hAnsi="Palatino Linotype" w:cs="Palatino Linotype"/>
          <w:b/>
          <w:i/>
        </w:rPr>
        <w:t>nombre de la persona física o denominación social de las personas jurídicas colectivas beneficiadas, el monto, recurso, beneficio o apoyo otorgado para cada una de ellas, unidad territorial, en su caso, edad y sexo.</w:t>
      </w:r>
    </w:p>
    <w:p w:rsidR="00C53264" w:rsidRPr="004F247E" w:rsidRDefault="00C53264" w:rsidP="008F6D40">
      <w:pPr>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Ahora bien, se debe de mencionar que puede ser el caso que la información pública se encuentre sujeta a un régimen estricto de restricción, y una de sus causas, es el Derecho a la Protección de Datos Personales, lo cual es contemplado por la los lineamientos antes citados, que indican que no debe ser pública de los beneficiarios que sean </w:t>
      </w:r>
      <w:r w:rsidRPr="004F247E">
        <w:rPr>
          <w:rFonts w:ascii="Palatino Linotype" w:eastAsia="Palatino Linotype" w:hAnsi="Palatino Linotype" w:cs="Palatino Linotype"/>
          <w:b/>
          <w:i/>
        </w:rPr>
        <w:t xml:space="preserve">un(a) niño(a), adolescente o víctima del delito. </w:t>
      </w:r>
      <w:r w:rsidRPr="004F247E">
        <w:rPr>
          <w:rFonts w:ascii="Palatino Linotype" w:eastAsia="Palatino Linotype" w:hAnsi="Palatino Linotype" w:cs="Palatino Linotype"/>
          <w:b/>
        </w:rPr>
        <w:t xml:space="preserve">En esos casos, debe prevalecer la confidencialidad de la información que identifique o haga identificable a la persona, conforme a lo que establecen </w:t>
      </w:r>
      <w:r w:rsidRPr="004F247E">
        <w:rPr>
          <w:rFonts w:ascii="Palatino Linotype" w:eastAsia="Palatino Linotype" w:hAnsi="Palatino Linotype" w:cs="Palatino Linotype"/>
        </w:rPr>
        <w:t>los artículos 3 fracción IX, 143 fracción I, de la Ley de Transparencia y Acceso a la Información Pública del Estado de México y Municipios, así como el artículo 4, fracción XI y XII de la Ley de Protección de Datos Personales en Posesión de los Sujetos Obligados del Estado de México y Municipios, los cuales disponen lo siguiente:</w:t>
      </w:r>
    </w:p>
    <w:p w:rsidR="00C53264" w:rsidRPr="004F247E" w:rsidRDefault="00C53264" w:rsidP="008F6D40">
      <w:pPr>
        <w:rPr>
          <w:rFonts w:ascii="Palatino Linotype" w:eastAsia="Palatino Linotype" w:hAnsi="Palatino Linotype" w:cs="Palatino Linotype"/>
        </w:rPr>
      </w:pPr>
    </w:p>
    <w:p w:rsidR="00C53264" w:rsidRPr="004F247E" w:rsidRDefault="00EC4A9A" w:rsidP="008F6D40">
      <w:pPr>
        <w:numPr>
          <w:ilvl w:val="0"/>
          <w:numId w:val="8"/>
        </w:numPr>
        <w:ind w:left="0" w:hanging="425"/>
        <w:rPr>
          <w:rFonts w:ascii="Palatino Linotype" w:eastAsia="Palatino Linotype" w:hAnsi="Palatino Linotype" w:cs="Palatino Linotype"/>
        </w:rPr>
      </w:pPr>
      <w:r w:rsidRPr="004F247E">
        <w:rPr>
          <w:rFonts w:ascii="Palatino Linotype" w:eastAsia="Palatino Linotype" w:hAnsi="Palatino Linotype" w:cs="Palatino Linotype"/>
        </w:rPr>
        <w:t>Ley de Transparencia y Acceso a la Información Pública del Estado de México y Municipios</w:t>
      </w:r>
    </w:p>
    <w:p w:rsidR="00C53264" w:rsidRPr="004F247E" w:rsidRDefault="00C53264" w:rsidP="008F6D40">
      <w:pPr>
        <w:rPr>
          <w:rFonts w:ascii="Palatino Linotype" w:eastAsia="Palatino Linotype" w:hAnsi="Palatino Linotype" w:cs="Palatino Linotype"/>
        </w:rPr>
      </w:pP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Artículo 3. Para los efectos de la presente Ley se entenderá por:</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IX. Datos personales: La información concerniente a una persona, identificada o identificable según lo dispuesto por la Ley de Protección de Datos Personales del Estado de México;</w:t>
      </w:r>
    </w:p>
    <w:p w:rsidR="00C53264" w:rsidRPr="004F247E" w:rsidRDefault="00C53264" w:rsidP="008F6D40">
      <w:pPr>
        <w:jc w:val="both"/>
        <w:rPr>
          <w:rFonts w:ascii="Palatino Linotype" w:eastAsia="Palatino Linotype" w:hAnsi="Palatino Linotype" w:cs="Palatino Linotype"/>
          <w:i/>
        </w:rPr>
      </w:pP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Artículo 143. Para los efectos de esta Ley se considera información confidencial, la clasificada como tal, de manera permanente, por su naturaleza, cuando:</w:t>
      </w:r>
    </w:p>
    <w:p w:rsidR="00C53264" w:rsidRPr="004F247E" w:rsidRDefault="00C53264" w:rsidP="008F6D40">
      <w:pPr>
        <w:jc w:val="both"/>
        <w:rPr>
          <w:rFonts w:ascii="Palatino Linotype" w:eastAsia="Palatino Linotype" w:hAnsi="Palatino Linotype" w:cs="Palatino Linotype"/>
          <w:i/>
        </w:rPr>
      </w:pPr>
    </w:p>
    <w:p w:rsidR="00C53264" w:rsidRPr="004F247E" w:rsidRDefault="00EC4A9A" w:rsidP="008F6D40">
      <w:pPr>
        <w:numPr>
          <w:ilvl w:val="1"/>
          <w:numId w:val="6"/>
        </w:numPr>
        <w:ind w:left="0" w:hanging="382"/>
        <w:jc w:val="both"/>
        <w:rPr>
          <w:rFonts w:ascii="Palatino Linotype" w:eastAsia="Palatino Linotype" w:hAnsi="Palatino Linotype" w:cs="Palatino Linotype"/>
          <w:i/>
        </w:rPr>
      </w:pPr>
      <w:r w:rsidRPr="004F247E">
        <w:rPr>
          <w:rFonts w:ascii="Palatino Linotype" w:eastAsia="Palatino Linotype" w:hAnsi="Palatino Linotype" w:cs="Palatino Linotype"/>
          <w:i/>
        </w:rPr>
        <w:t>Se refiera a la información privada y los datos personales concernientes a una persona física o jurídico colectiva identificada o identificable;</w:t>
      </w:r>
    </w:p>
    <w:p w:rsidR="00C53264" w:rsidRPr="004F247E" w:rsidRDefault="00C53264" w:rsidP="008F6D40">
      <w:pPr>
        <w:jc w:val="both"/>
        <w:rPr>
          <w:rFonts w:ascii="Palatino Linotype" w:eastAsia="Palatino Linotype" w:hAnsi="Palatino Linotype" w:cs="Palatino Linotype"/>
          <w:i/>
        </w:rPr>
      </w:pPr>
    </w:p>
    <w:p w:rsidR="00C53264" w:rsidRPr="004F247E" w:rsidRDefault="00EC4A9A" w:rsidP="008F6D40">
      <w:pPr>
        <w:numPr>
          <w:ilvl w:val="0"/>
          <w:numId w:val="8"/>
        </w:numPr>
        <w:ind w:left="0"/>
        <w:jc w:val="both"/>
        <w:rPr>
          <w:rFonts w:ascii="Palatino Linotype" w:eastAsia="Palatino Linotype" w:hAnsi="Palatino Linotype" w:cs="Palatino Linotype"/>
          <w:i/>
        </w:rPr>
      </w:pPr>
      <w:r w:rsidRPr="004F247E">
        <w:rPr>
          <w:rFonts w:ascii="Palatino Linotype" w:eastAsia="Palatino Linotype" w:hAnsi="Palatino Linotype" w:cs="Palatino Linotype"/>
        </w:rPr>
        <w:t>Ley de Protección de Datos Personales en Posesión de los Sujetos Obligados del Estado de México y Municipios</w:t>
      </w:r>
    </w:p>
    <w:p w:rsidR="00C53264" w:rsidRPr="004F247E" w:rsidRDefault="00C53264" w:rsidP="008F6D40">
      <w:pPr>
        <w:jc w:val="both"/>
        <w:rPr>
          <w:rFonts w:ascii="Palatino Linotype" w:eastAsia="Palatino Linotype" w:hAnsi="Palatino Linotype" w:cs="Palatino Linotype"/>
          <w:i/>
        </w:rPr>
      </w:pPr>
    </w:p>
    <w:p w:rsidR="00C53264" w:rsidRPr="004F247E" w:rsidRDefault="00EC4A9A" w:rsidP="008F6D40">
      <w:pPr>
        <w:spacing w:after="160"/>
        <w:jc w:val="both"/>
        <w:rPr>
          <w:rFonts w:ascii="Palatino Linotype" w:eastAsia="Palatino Linotype" w:hAnsi="Palatino Linotype" w:cs="Palatino Linotype"/>
          <w:i/>
        </w:rPr>
      </w:pPr>
      <w:r w:rsidRPr="004F247E">
        <w:rPr>
          <w:rFonts w:ascii="Palatino Linotype" w:eastAsia="Palatino Linotype" w:hAnsi="Palatino Linotype" w:cs="Palatino Linotype"/>
          <w:i/>
        </w:rPr>
        <w:t>Artículo 4. Para los efectos de esta Ley se entenderá por:</w:t>
      </w:r>
    </w:p>
    <w:p w:rsidR="00C53264" w:rsidRPr="004F247E" w:rsidRDefault="00EC4A9A" w:rsidP="008F6D40">
      <w:pPr>
        <w:spacing w:after="160"/>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p>
    <w:p w:rsidR="00C53264" w:rsidRPr="004F247E" w:rsidRDefault="00EC4A9A" w:rsidP="008F6D40">
      <w:pPr>
        <w:spacing w:after="160"/>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rsidR="00C53264" w:rsidRPr="004F247E" w:rsidRDefault="00C53264" w:rsidP="008F6D40">
      <w:pPr>
        <w:spacing w:after="160"/>
        <w:jc w:val="both"/>
        <w:rPr>
          <w:rFonts w:ascii="Palatino Linotype" w:eastAsia="Palatino Linotype" w:hAnsi="Palatino Linotype" w:cs="Palatino Linotype"/>
          <w:i/>
        </w:rPr>
      </w:pPr>
    </w:p>
    <w:p w:rsidR="00C53264" w:rsidRPr="004F247E" w:rsidRDefault="00EC4A9A" w:rsidP="008F6D40">
      <w:pPr>
        <w:spacing w:after="160"/>
        <w:jc w:val="both"/>
        <w:rPr>
          <w:rFonts w:ascii="Palatino Linotype" w:eastAsia="Palatino Linotype" w:hAnsi="Palatino Linotype" w:cs="Palatino Linotype"/>
          <w:b/>
          <w:i/>
        </w:rPr>
      </w:pPr>
      <w:r w:rsidRPr="004F247E">
        <w:rPr>
          <w:rFonts w:ascii="Palatino Linotype" w:eastAsia="Palatino Linotype" w:hAnsi="Palatino Linotype" w:cs="Palatino Linotype"/>
          <w:i/>
        </w:rPr>
        <w:t xml:space="preserve">XII. Datos personales sensibles: </w:t>
      </w:r>
      <w:r w:rsidRPr="004F247E">
        <w:rPr>
          <w:rFonts w:ascii="Palatino Linotype" w:eastAsia="Palatino Linotype" w:hAnsi="Palatino Linotype" w:cs="Palatino Linotype"/>
          <w:b/>
          <w:i/>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C53264" w:rsidRPr="004F247E" w:rsidRDefault="00EC4A9A" w:rsidP="008F6D40">
      <w:pPr>
        <w:spacing w:after="160"/>
        <w:jc w:val="both"/>
        <w:rPr>
          <w:rFonts w:ascii="Palatino Linotype" w:eastAsia="Palatino Linotype" w:hAnsi="Palatino Linotype" w:cs="Palatino Linotype"/>
          <w:b/>
          <w:i/>
        </w:rPr>
      </w:pPr>
      <w:r w:rsidRPr="004F247E">
        <w:rPr>
          <w:rFonts w:ascii="Palatino Linotype" w:eastAsia="Palatino Linotype" w:hAnsi="Palatino Linotype" w:cs="Palatino Linotype"/>
          <w:i/>
        </w:rPr>
        <w:t>(</w:t>
      </w:r>
      <w:r w:rsidR="00C71A83" w:rsidRPr="004F247E">
        <w:rPr>
          <w:rFonts w:ascii="Palatino Linotype" w:eastAsia="Palatino Linotype" w:hAnsi="Palatino Linotype" w:cs="Palatino Linotype"/>
          <w:i/>
        </w:rPr>
        <w:t>Énfasis</w:t>
      </w:r>
      <w:r w:rsidRPr="004F247E">
        <w:rPr>
          <w:rFonts w:ascii="Palatino Linotype" w:eastAsia="Palatino Linotype" w:hAnsi="Palatino Linotype" w:cs="Palatino Linotype"/>
          <w:i/>
        </w:rPr>
        <w:t xml:space="preserve"> añadido)</w:t>
      </w:r>
    </w:p>
    <w:p w:rsidR="00C53264" w:rsidRPr="004F247E" w:rsidRDefault="00C53264" w:rsidP="008F6D40">
      <w:pPr>
        <w:spacing w:after="160" w:line="259" w:lineRule="auto"/>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lastRenderedPageBreak/>
        <w:t xml:space="preserve">Es así que, si bien hay una normatividad que establece la publicidad de la información relativa a los beneficiarios de estímulos, </w:t>
      </w:r>
      <w:r w:rsidRPr="004F247E">
        <w:rPr>
          <w:rFonts w:ascii="Palatino Linotype" w:eastAsia="Palatino Linotype" w:hAnsi="Palatino Linotype" w:cs="Palatino Linotype"/>
          <w:b/>
        </w:rPr>
        <w:t>apoyos</w:t>
      </w:r>
      <w:r w:rsidRPr="004F247E">
        <w:rPr>
          <w:rFonts w:ascii="Palatino Linotype" w:eastAsia="Palatino Linotype" w:hAnsi="Palatino Linotype" w:cs="Palatino Linotype"/>
        </w:rPr>
        <w:t xml:space="preserve"> o subsidios, pero también lo es que, en los casos en que los beneficiarios correspondan a, niños, adolescentes o víctimas de delitos, debe prevalecer la protección de datos personales, así como de las personas de la tercera edad, personas discapacitadas y/o de grupos vulnerables, puesto que en estos casos, se refiere a datos personales sensibles, dado a que su utilización indebida puede dar origen a discriminación.</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Sirve de sustento el criterio 04/19 del Instituto de Transparencia, Acceso a la Información Pública y Protección de Datos Personales del Estado de México y Municipios:</w:t>
      </w:r>
    </w:p>
    <w:p w:rsidR="00C53264" w:rsidRPr="004F247E" w:rsidRDefault="00C53264" w:rsidP="008F6D40">
      <w:pPr>
        <w:rPr>
          <w:rFonts w:ascii="Palatino Linotype" w:eastAsia="Palatino Linotype" w:hAnsi="Palatino Linotype" w:cs="Palatino Linotype"/>
        </w:rPr>
      </w:pPr>
    </w:p>
    <w:p w:rsidR="00C53264" w:rsidRPr="004F247E" w:rsidRDefault="00EC4A9A" w:rsidP="008F6D40">
      <w:pPr>
        <w:spacing w:after="160"/>
        <w:jc w:val="both"/>
        <w:rPr>
          <w:rFonts w:ascii="Palatino Linotype" w:eastAsia="Palatino Linotype" w:hAnsi="Palatino Linotype" w:cs="Palatino Linotype"/>
          <w:i/>
        </w:rPr>
      </w:pPr>
      <w:r w:rsidRPr="004F247E">
        <w:rPr>
          <w:rFonts w:ascii="Palatino Linotype" w:eastAsia="Palatino Linotype" w:hAnsi="Palatino Linotype" w:cs="Palatino Linotype"/>
          <w:b/>
          <w:i/>
        </w:rPr>
        <w:t xml:space="preserve">PADRÓN DE BENEFICIARIOS EN POSESIÓN DE SUJETOS OBLIGADOS. EXCEPCIONES PARA LA PUBLICACIÓN DE DATOS PERSONALES CONTENIDOS EN AQUÉL. </w:t>
      </w:r>
      <w:r w:rsidRPr="004F247E">
        <w:rPr>
          <w:rFonts w:ascii="Palatino Linotype" w:eastAsia="Palatino Linotype" w:hAnsi="Palatino Linotype" w:cs="Palatino Linotype"/>
          <w:i/>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w:t>
      </w:r>
      <w:r w:rsidRPr="004F247E">
        <w:rPr>
          <w:rFonts w:ascii="Palatino Linotype" w:eastAsia="Palatino Linotype" w:hAnsi="Palatino Linotype" w:cs="Palatino Linotype"/>
          <w:i/>
        </w:rPr>
        <w:lastRenderedPageBreak/>
        <w:t>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rsidR="00C53264" w:rsidRPr="004F247E" w:rsidRDefault="00C53264" w:rsidP="008F6D40">
      <w:pPr>
        <w:spacing w:after="160"/>
        <w:jc w:val="both"/>
        <w:rPr>
          <w:rFonts w:ascii="Palatino Linotype" w:eastAsia="Palatino Linotype" w:hAnsi="Palatino Linotype" w:cs="Palatino Linotype"/>
          <w:b/>
          <w:i/>
        </w:rPr>
      </w:pPr>
    </w:p>
    <w:p w:rsidR="00C53264" w:rsidRPr="004F247E" w:rsidRDefault="00EC4A9A" w:rsidP="008F6D40">
      <w:pPr>
        <w:spacing w:after="160"/>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 xml:space="preserve">Precedentes: </w:t>
      </w:r>
    </w:p>
    <w:p w:rsidR="00C53264" w:rsidRPr="004F247E" w:rsidRDefault="00EC4A9A" w:rsidP="008F6D40">
      <w:pPr>
        <w:numPr>
          <w:ilvl w:val="0"/>
          <w:numId w:val="9"/>
        </w:numPr>
        <w:ind w:left="0"/>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En materia de acceso a la información pública. 03182/INFOEM/IP/RR/2019. Aprobado por unanimidad de votos. Ayuntamiento de Toluca. Comisionada Ponente Eva Abaid Yapur. </w:t>
      </w:r>
    </w:p>
    <w:p w:rsidR="00C53264" w:rsidRPr="004F247E" w:rsidRDefault="00EC4A9A" w:rsidP="008F6D40">
      <w:pPr>
        <w:numPr>
          <w:ilvl w:val="0"/>
          <w:numId w:val="9"/>
        </w:numPr>
        <w:ind w:left="0"/>
        <w:jc w:val="both"/>
        <w:rPr>
          <w:rFonts w:ascii="Palatino Linotype" w:eastAsia="Palatino Linotype" w:hAnsi="Palatino Linotype" w:cs="Palatino Linotype"/>
          <w:i/>
        </w:rPr>
      </w:pPr>
      <w:r w:rsidRPr="004F247E">
        <w:rPr>
          <w:rFonts w:ascii="Palatino Linotype" w:eastAsia="Palatino Linotype" w:hAnsi="Palatino Linotype" w:cs="Palatino Linotype"/>
          <w:i/>
        </w:rPr>
        <w:t>En materia de acceso a la información pública.</w:t>
      </w:r>
      <w:r w:rsidRPr="004F247E">
        <w:rPr>
          <w:rFonts w:ascii="Palatino Linotype" w:hAnsi="Palatino Linotype"/>
          <w:i/>
        </w:rPr>
        <w:t xml:space="preserve"> </w:t>
      </w:r>
      <w:r w:rsidRPr="004F247E">
        <w:rPr>
          <w:rFonts w:ascii="Palatino Linotype" w:eastAsia="Palatino Linotype" w:hAnsi="Palatino Linotype" w:cs="Palatino Linotype"/>
          <w:i/>
        </w:rPr>
        <w:t xml:space="preserve">02878/INFOEM/IP/RR/2019. Aprobado por unanimidad de votos. Ayuntamiento de Valle de Chalco Solidaridad. Comisionado Ponente José Guadalupe Luna Hernández. </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En materia de acceso a la información pública. 01869/INFOEM/IP/RR/2019. Aprobado por unanimidad de votos, emitiendo voto particular José Guadalupe Luna Hernández. Ayuntamiento de Tecámac. Comisionado Ponente Javier Martínez Cruz</w:t>
      </w:r>
    </w:p>
    <w:p w:rsidR="00C53264" w:rsidRPr="004F247E" w:rsidRDefault="00C53264" w:rsidP="008F6D40">
      <w:pPr>
        <w:jc w:val="both"/>
        <w:rPr>
          <w:rFonts w:ascii="Palatino Linotype" w:eastAsia="Palatino Linotype" w:hAnsi="Palatino Linotype" w:cs="Palatino Linotype"/>
          <w:i/>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lastRenderedPageBreak/>
        <w:t>De lo anterior, se colige que de ser el caso que dentro de los beneficiarios de la jornada existan nombres de menores de edad o personas relacionadas con delitos, el Comité de Transparencia deberá emitir el Acuerdo mediante el cual de manera fundada y motivada establezca las razones de la confidencialidad de la información.</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Ahora bien, de la información solicitada, se colige que pueden obrar datos que deban de ser clasificados como confidenciales, datos que manera enunciativa más no limitativa pueden ser los siguientes. </w:t>
      </w:r>
    </w:p>
    <w:p w:rsidR="00C53264" w:rsidRPr="004F247E" w:rsidRDefault="00C53264" w:rsidP="008F6D40">
      <w:pPr>
        <w:spacing w:line="360" w:lineRule="auto"/>
        <w:jc w:val="both"/>
        <w:rPr>
          <w:rFonts w:ascii="Palatino Linotype" w:eastAsia="Palatino Linotype" w:hAnsi="Palatino Linotype" w:cs="Palatino Linotype"/>
          <w:b/>
          <w:color w:val="0D0D0D"/>
        </w:rPr>
      </w:pPr>
    </w:p>
    <w:p w:rsidR="00C53264" w:rsidRPr="004F247E" w:rsidRDefault="00EC4A9A" w:rsidP="008F6D40">
      <w:pPr>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b/>
          <w:color w:val="000000"/>
        </w:rPr>
        <w:t>Registro Federal de Contribuyentes</w:t>
      </w:r>
      <w:r w:rsidRPr="004F247E">
        <w:rPr>
          <w:rFonts w:ascii="Palatino Linotype" w:eastAsia="Palatino Linotype" w:hAnsi="Palatino Linotype" w:cs="Palatino Linotype"/>
          <w:color w:val="000000"/>
        </w:rPr>
        <w:t xml:space="preserve"> (RFC)</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rPr>
        <w:t>Conforme</w:t>
      </w:r>
      <w:r w:rsidRPr="004F247E">
        <w:rPr>
          <w:rFonts w:ascii="Palatino Linotype" w:eastAsia="Palatino Linotype" w:hAnsi="Palatino Linotype" w:cs="Palatino Linotype"/>
          <w:color w:val="000000"/>
        </w:rPr>
        <w:t xml:space="preserv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rPr>
        <w:t>Lo</w:t>
      </w:r>
      <w:r w:rsidRPr="004F247E">
        <w:rPr>
          <w:rFonts w:ascii="Palatino Linotype" w:eastAsia="Palatino Linotype" w:hAnsi="Palatino Linotype" w:cs="Palatino Linotype"/>
          <w:color w:val="000000"/>
        </w:rPr>
        <w:t xml:space="preserve"> anterior, resulta congruente con el Criterio 19/17 emitido por el Instituto Nacional de Transparencia, Acceso a la Información y Protección de Datos Personales, en el cual se señala lo siguiente:</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i/>
          <w:color w:val="000000"/>
        </w:rPr>
        <w:t>“</w:t>
      </w:r>
      <w:r w:rsidRPr="004F247E">
        <w:rPr>
          <w:rFonts w:ascii="Palatino Linotype" w:eastAsia="Palatino Linotype" w:hAnsi="Palatino Linotype" w:cs="Palatino Linotype"/>
          <w:b/>
          <w:i/>
          <w:color w:val="000000"/>
        </w:rPr>
        <w:t>Registro Federal de Contribuyentes (RFC) de personas físicas</w:t>
      </w:r>
      <w:r w:rsidRPr="004F247E">
        <w:rPr>
          <w:rFonts w:ascii="Palatino Linotype" w:eastAsia="Palatino Linotype" w:hAnsi="Palatino Linotype" w:cs="Palatino Linotype"/>
          <w:i/>
          <w:color w:val="000000"/>
        </w:rPr>
        <w:t>. El RFC es una clave de carácter fiscal, única e irrepetible, que permite identificar al titular, su edad y fecha de nacimiento, por lo que es un dato personal de carácter confidencial.”</w:t>
      </w:r>
    </w:p>
    <w:p w:rsidR="00C53264" w:rsidRPr="004F247E" w:rsidRDefault="00C53264" w:rsidP="008F6D40">
      <w:pPr>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w:t>
      </w:r>
      <w:r w:rsidRPr="004F247E">
        <w:rPr>
          <w:rFonts w:ascii="Palatino Linotype" w:eastAsia="Palatino Linotype" w:hAnsi="Palatino Linotype" w:cs="Palatino Linotype"/>
          <w:color w:val="000000"/>
        </w:rPr>
        <w:lastRenderedPageBreak/>
        <w:t>confidencial al actualizar el supuesto normativo del artículo 143, fracción I de la Ley de Transparencia y Acceso a la Información Pública del Estado de México y Municipios.</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spacing w:line="360" w:lineRule="auto"/>
        <w:jc w:val="both"/>
        <w:rPr>
          <w:rFonts w:ascii="Palatino Linotype" w:eastAsia="Palatino Linotype" w:hAnsi="Palatino Linotype" w:cs="Palatino Linotype"/>
          <w:b/>
          <w:color w:val="000000"/>
        </w:rPr>
      </w:pPr>
      <w:r w:rsidRPr="004F247E">
        <w:rPr>
          <w:rFonts w:ascii="Palatino Linotype" w:eastAsia="Palatino Linotype" w:hAnsi="Palatino Linotype" w:cs="Palatino Linotype"/>
          <w:b/>
          <w:color w:val="000000"/>
        </w:rPr>
        <w:t>Clave única de Registro de Población –CURP-.</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Acorde con lo anterior, el artículo 22 del Reglamento Interior de la Secretaría de </w:t>
      </w:r>
      <w:r w:rsidRPr="004F247E">
        <w:rPr>
          <w:rFonts w:ascii="Palatino Linotype" w:eastAsia="Palatino Linotype" w:hAnsi="Palatino Linotype" w:cs="Palatino Linotype"/>
        </w:rPr>
        <w:t>Gobernación</w:t>
      </w:r>
      <w:r w:rsidRPr="004F247E">
        <w:rPr>
          <w:rFonts w:ascii="Palatino Linotype" w:eastAsia="Palatino Linotype" w:hAnsi="Palatino Linotype" w:cs="Palatino Linotype"/>
          <w:color w:val="000000"/>
        </w:rPr>
        <w:t>,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C53264" w:rsidRPr="004F247E" w:rsidRDefault="00C53264" w:rsidP="008F6D40">
      <w:pPr>
        <w:spacing w:line="360" w:lineRule="auto"/>
        <w:jc w:val="both"/>
        <w:rPr>
          <w:rFonts w:ascii="Palatino Linotype" w:eastAsia="Palatino Linotype" w:hAnsi="Palatino Linotype" w:cs="Palatino Linotype"/>
          <w:b/>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De conformidad con lo precisado por la propia Secretaría de Gobernación en la </w:t>
      </w:r>
      <w:r w:rsidRPr="004F247E">
        <w:rPr>
          <w:rFonts w:ascii="Palatino Linotype" w:eastAsia="Palatino Linotype" w:hAnsi="Palatino Linotype" w:cs="Palatino Linotype"/>
        </w:rPr>
        <w:t>dirección</w:t>
      </w:r>
      <w:r w:rsidRPr="004F247E">
        <w:rPr>
          <w:rFonts w:ascii="Palatino Linotype" w:eastAsia="Palatino Linotype" w:hAnsi="Palatino Linotype" w:cs="Palatino Linotype"/>
          <w:color w:val="000000"/>
        </w:rPr>
        <w:t xml:space="preserve"> </w:t>
      </w:r>
      <w:hyperlink r:id="rId15">
        <w:r w:rsidRPr="004F247E">
          <w:rPr>
            <w:rFonts w:ascii="Palatino Linotype" w:eastAsia="Palatino Linotype" w:hAnsi="Palatino Linotype" w:cs="Palatino Linotype"/>
            <w:color w:val="0563C1"/>
            <w:u w:val="single"/>
          </w:rPr>
          <w:t>https://consultas.curp.gob.mx/CurpSP/html/informacionecurpPS.html</w:t>
        </w:r>
      </w:hyperlink>
      <w:r w:rsidRPr="004F247E">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w:t>
      </w:r>
      <w:r w:rsidRPr="004F247E">
        <w:rPr>
          <w:rFonts w:ascii="Palatino Linotype" w:eastAsia="Palatino Linotype" w:hAnsi="Palatino Linotype" w:cs="Palatino Linotype"/>
          <w:color w:val="000000"/>
        </w:rPr>
        <w:lastRenderedPageBreak/>
        <w:t xml:space="preserve">que residen en el extranjero y se compone de dieciocho elementos, representados por letras y números, que </w:t>
      </w:r>
      <w:r w:rsidRPr="004F247E">
        <w:rPr>
          <w:rFonts w:ascii="Palatino Linotype" w:eastAsia="Palatino Linotype" w:hAnsi="Palatino Linotype" w:cs="Palatino Linotype"/>
          <w:b/>
          <w:color w:val="000000"/>
        </w:rPr>
        <w:t xml:space="preserve">se generan a partir de los datos contenidos en el documento probatorio de la identidad del interesado </w:t>
      </w:r>
      <w:r w:rsidRPr="004F247E">
        <w:rPr>
          <w:rFonts w:ascii="Palatino Linotype" w:eastAsia="Palatino Linotype" w:hAnsi="Palatino Linotype" w:cs="Palatino Linotype"/>
          <w:color w:val="000000"/>
        </w:rPr>
        <w:t>(acta de nacimiento, carta de naturalización o documento migratorio) de la siguiente forma:</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 • El primero y segundo apellidos, así como al nombre de pila.</w:t>
      </w:r>
    </w:p>
    <w:p w:rsidR="00C53264" w:rsidRPr="004F247E" w:rsidRDefault="00EC4A9A" w:rsidP="008F6D40">
      <w:pPr>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 • La fecha de nacimiento.</w:t>
      </w:r>
    </w:p>
    <w:p w:rsidR="00C53264" w:rsidRPr="004F247E" w:rsidRDefault="00EC4A9A" w:rsidP="008F6D40">
      <w:pPr>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 • El sexo.</w:t>
      </w:r>
    </w:p>
    <w:p w:rsidR="00C53264" w:rsidRPr="004F247E" w:rsidRDefault="00EC4A9A" w:rsidP="008F6D40">
      <w:pPr>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 • La entidad federativa de nacimiento.</w:t>
      </w:r>
    </w:p>
    <w:p w:rsidR="00C53264" w:rsidRPr="004F247E" w:rsidRDefault="00EC4A9A" w:rsidP="008F6D40">
      <w:pPr>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Los dos últimos elementos de la CURP evitan la duplicidad de la Clave y garantizan su correcta integración.</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rPr>
        <w:t>Como</w:t>
      </w:r>
      <w:r w:rsidRPr="004F247E">
        <w:rPr>
          <w:rFonts w:ascii="Palatino Linotype" w:eastAsia="Palatino Linotype" w:hAnsi="Palatino Linotype" w:cs="Palatino Linotype"/>
          <w:color w:val="000000"/>
        </w:rPr>
        <w:t xml:space="preserve">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rPr>
        <w:t>Resulta</w:t>
      </w:r>
      <w:r w:rsidRPr="004F247E">
        <w:rPr>
          <w:rFonts w:ascii="Palatino Linotype" w:eastAsia="Palatino Linotype" w:hAnsi="Palatino Linotype" w:cs="Palatino Linotype"/>
          <w:color w:val="000000"/>
        </w:rPr>
        <w:t xml:space="preserve"> aplicable en la especie, como argumento orientador, el Criterio 3/10, emitido por el INAI.</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jc w:val="both"/>
        <w:rPr>
          <w:rFonts w:ascii="Palatino Linotype" w:eastAsia="Palatino Linotype" w:hAnsi="Palatino Linotype" w:cs="Palatino Linotype"/>
          <w:i/>
          <w:color w:val="000000"/>
        </w:rPr>
      </w:pPr>
      <w:r w:rsidRPr="004F247E">
        <w:rPr>
          <w:rFonts w:ascii="Palatino Linotype" w:eastAsia="Palatino Linotype" w:hAnsi="Palatino Linotype" w:cs="Palatino Linotype"/>
          <w:b/>
          <w:i/>
          <w:color w:val="000000"/>
        </w:rPr>
        <w:t xml:space="preserve">Clave Única de Registro de Población (CURP) es un dato personal confidencial. </w:t>
      </w:r>
      <w:r w:rsidRPr="004F247E">
        <w:rPr>
          <w:rFonts w:ascii="Palatino Linotype" w:eastAsia="Palatino Linotype" w:hAnsi="Palatino Linotype" w:cs="Palatino Linotype"/>
          <w:i/>
          <w:color w:val="000000"/>
        </w:rPr>
        <w:t xml:space="preserve">De conformidad con lo establecido en el artículo 3, fracción II de la Ley Federal de Transparencia y Acceso a la Información Pública Gubernamental, dato personal es toda aquella información </w:t>
      </w:r>
      <w:r w:rsidRPr="004F247E">
        <w:rPr>
          <w:rFonts w:ascii="Palatino Linotype" w:eastAsia="Palatino Linotype" w:hAnsi="Palatino Linotype" w:cs="Palatino Linotype"/>
          <w:i/>
          <w:color w:val="000000"/>
        </w:rPr>
        <w:lastRenderedPageBreak/>
        <w:t xml:space="preserve">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C53264" w:rsidRPr="004F247E" w:rsidRDefault="00C53264" w:rsidP="008F6D40">
      <w:pPr>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rPr>
        <w:t>De</w:t>
      </w:r>
      <w:r w:rsidRPr="004F247E">
        <w:rPr>
          <w:rFonts w:ascii="Palatino Linotype" w:eastAsia="Palatino Linotype" w:hAnsi="Palatino Linotype" w:cs="Palatino Linotype"/>
          <w:color w:val="000000"/>
        </w:rPr>
        <w:t xml:space="preserve"> acuerdo con lo anterior, se la clave CURP, es un dato personal confidencial, en términos del artículo 143, fracción I, de la Ley de Transparencia y Acceso a la Información Pública del Estado de México y Municipios.</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spacing w:line="360" w:lineRule="auto"/>
        <w:jc w:val="both"/>
        <w:rPr>
          <w:rFonts w:ascii="Palatino Linotype" w:eastAsia="Palatino Linotype" w:hAnsi="Palatino Linotype" w:cs="Palatino Linotype"/>
          <w:b/>
          <w:color w:val="000000"/>
        </w:rPr>
      </w:pPr>
      <w:r w:rsidRPr="004F247E">
        <w:rPr>
          <w:rFonts w:ascii="Palatino Linotype" w:eastAsia="Palatino Linotype" w:hAnsi="Palatino Linotype" w:cs="Palatino Linotype"/>
          <w:b/>
          <w:color w:val="000000"/>
        </w:rPr>
        <w:t>Domicilio</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rPr>
        <w:t>De</w:t>
      </w:r>
      <w:r w:rsidRPr="004F247E">
        <w:rPr>
          <w:rFonts w:ascii="Palatino Linotype" w:eastAsia="Palatino Linotype" w:hAnsi="Palatino Linotype" w:cs="Palatino Linotype"/>
          <w:color w:val="000000"/>
        </w:rPr>
        <w:t xml:space="preserv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4F247E">
        <w:rPr>
          <w:rFonts w:ascii="Palatino Linotype" w:eastAsia="Palatino Linotype" w:hAnsi="Palatino Linotype" w:cs="Palatino Linotype"/>
          <w:b/>
          <w:color w:val="000000"/>
        </w:rPr>
        <w:t>el domicilio particular</w:t>
      </w:r>
      <w:r w:rsidRPr="004F247E">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rsidR="00C53264" w:rsidRPr="004F247E" w:rsidRDefault="00C53264" w:rsidP="008F6D40">
      <w:pPr>
        <w:spacing w:line="360" w:lineRule="auto"/>
        <w:jc w:val="both"/>
        <w:rPr>
          <w:rFonts w:ascii="Palatino Linotype" w:eastAsia="Palatino Linotype" w:hAnsi="Palatino Linotype" w:cs="Palatino Linotype"/>
          <w:color w:val="000000"/>
        </w:rPr>
      </w:pPr>
    </w:p>
    <w:p w:rsidR="00C53264" w:rsidRPr="004F247E" w:rsidRDefault="00EC4A9A" w:rsidP="008F6D40">
      <w:pPr>
        <w:spacing w:line="360" w:lineRule="auto"/>
        <w:jc w:val="both"/>
        <w:rPr>
          <w:rFonts w:ascii="Palatino Linotype" w:eastAsia="Palatino Linotype" w:hAnsi="Palatino Linotype" w:cs="Palatino Linotype"/>
          <w:b/>
        </w:rPr>
      </w:pPr>
      <w:r w:rsidRPr="004F247E">
        <w:rPr>
          <w:rFonts w:ascii="Palatino Linotype" w:eastAsia="Palatino Linotype" w:hAnsi="Palatino Linotype" w:cs="Palatino Linotype"/>
          <w:b/>
        </w:rPr>
        <w:t>Estado civil.</w:t>
      </w:r>
    </w:p>
    <w:p w:rsidR="00C53264" w:rsidRPr="004F247E" w:rsidRDefault="00C53264" w:rsidP="008F6D40">
      <w:pPr>
        <w:spacing w:line="360" w:lineRule="auto"/>
        <w:jc w:val="both"/>
        <w:rPr>
          <w:rFonts w:ascii="Palatino Linotype" w:eastAsia="Palatino Linotype" w:hAnsi="Palatino Linotype" w:cs="Palatino Linotype"/>
          <w:b/>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b/>
        </w:rPr>
        <w:t>Teléfono y celular particular.</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En ese sentido, se colige que si bien fue proporcionado por la ahora servidora pública que ocupa el cargo de Titular de la Unidad de Transparencia, lo cierto es que fue proporcionado como número contacto, para poder ser localizada de manera </w:t>
      </w:r>
      <w:r w:rsidRPr="004F247E">
        <w:rPr>
          <w:rFonts w:ascii="Palatino Linotype" w:eastAsia="Palatino Linotype" w:hAnsi="Palatino Linotype" w:cs="Palatino Linotype"/>
        </w:rPr>
        <w:lastRenderedPageBreak/>
        <w:t>privada; por lo que, la titularidad de este, al igual que el correo electrónico analizado, corresponde a la persona física en su calidad de particular y no como servidor público.</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En tales consideraciones, dicho dato personal es susceptible de ser clasificado como confidencial, con fundamento en el artículo 143, fracción I de la Ley de Transparencia y Acceso a la Información Pública.</w:t>
      </w:r>
    </w:p>
    <w:p w:rsidR="00C53264" w:rsidRPr="004F247E" w:rsidRDefault="00C53264" w:rsidP="008F6D40">
      <w:pPr>
        <w:spacing w:line="360" w:lineRule="auto"/>
        <w:jc w:val="both"/>
        <w:rPr>
          <w:rFonts w:ascii="Palatino Linotype" w:eastAsia="Palatino Linotype" w:hAnsi="Palatino Linotype" w:cs="Palatino Linotype"/>
          <w:b/>
          <w:color w:val="000000"/>
        </w:rPr>
      </w:pP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En consecuencia, </w:t>
      </w:r>
      <w:r w:rsidRPr="004F247E">
        <w:rPr>
          <w:rFonts w:ascii="Palatino Linotype" w:eastAsia="Palatino Linotype" w:hAnsi="Palatino Linotype" w:cs="Palatino Linotype"/>
          <w:b/>
        </w:rPr>
        <w:t>EL SUJETO OBLIGADO</w:t>
      </w:r>
      <w:r w:rsidRPr="004F247E">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Ley de Transparencia y Acceso a la Información Pública del Estado de México y Municipios</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w:t>
      </w:r>
      <w:r w:rsidRPr="004F247E">
        <w:rPr>
          <w:rFonts w:ascii="Palatino Linotype" w:eastAsia="Palatino Linotype" w:hAnsi="Palatino Linotype" w:cs="Palatino Linotype"/>
          <w:b/>
          <w:i/>
        </w:rPr>
        <w:t xml:space="preserve">Artículo 49. </w:t>
      </w:r>
      <w:r w:rsidRPr="004F247E">
        <w:rPr>
          <w:rFonts w:ascii="Palatino Linotype" w:eastAsia="Palatino Linotype" w:hAnsi="Palatino Linotype" w:cs="Palatino Linotype"/>
          <w:i/>
        </w:rPr>
        <w:t>Los Comités de Transparencia tendrán las siguientes atribuciones:</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VIII.</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Aprobar</w:t>
      </w:r>
      <w:r w:rsidRPr="004F247E">
        <w:rPr>
          <w:rFonts w:ascii="Palatino Linotype" w:eastAsia="Palatino Linotype" w:hAnsi="Palatino Linotype" w:cs="Palatino Linotype"/>
          <w:i/>
        </w:rPr>
        <w:t>, modificar o revocar la clasificación de la información;</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Artículo 132.</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La clasificación de la información se llevará a cabo en el momento en que:</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II.</w:t>
      </w:r>
      <w:r w:rsidRPr="004F247E">
        <w:rPr>
          <w:rFonts w:ascii="Palatino Linotype" w:eastAsia="Palatino Linotype" w:hAnsi="Palatino Linotype" w:cs="Palatino Linotype"/>
          <w:i/>
        </w:rPr>
        <w:t xml:space="preserve"> Se determine mediante resolución de autoridad competente; o</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III</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Se generen versiones públicas para dar cumplimiento a las obligaciones de transparencia previstas en esta Ley</w:t>
      </w:r>
      <w:r w:rsidRPr="004F247E">
        <w:rPr>
          <w:rFonts w:ascii="Palatino Linotype" w:eastAsia="Palatino Linotype" w:hAnsi="Palatino Linotype" w:cs="Palatino Linotype"/>
          <w:i/>
        </w:rPr>
        <w:t>.”</w:t>
      </w:r>
    </w:p>
    <w:p w:rsidR="00C53264" w:rsidRPr="004F247E" w:rsidRDefault="00EC4A9A" w:rsidP="008F6D40">
      <w:pPr>
        <w:jc w:val="both"/>
        <w:rPr>
          <w:rFonts w:ascii="Palatino Linotype" w:eastAsia="Palatino Linotype" w:hAnsi="Palatino Linotype" w:cs="Palatino Linotype"/>
          <w:b/>
          <w:i/>
        </w:rPr>
      </w:pPr>
      <w:r w:rsidRPr="004F247E">
        <w:rPr>
          <w:rFonts w:ascii="Palatino Linotype" w:eastAsia="Palatino Linotype" w:hAnsi="Palatino Linotype" w:cs="Palatino Linotype"/>
          <w:b/>
          <w:i/>
        </w:rPr>
        <w:t>Lineamientos Generales en materia de Clasificación y Desclasificación de la Información</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lastRenderedPageBreak/>
        <w:t>“</w:t>
      </w:r>
      <w:r w:rsidRPr="004F247E">
        <w:rPr>
          <w:rFonts w:ascii="Palatino Linotype" w:eastAsia="Palatino Linotype" w:hAnsi="Palatino Linotype" w:cs="Palatino Linotype"/>
          <w:b/>
          <w:i/>
        </w:rPr>
        <w:t>Segundo.-</w:t>
      </w:r>
      <w:r w:rsidRPr="004F247E">
        <w:rPr>
          <w:rFonts w:ascii="Palatino Linotype" w:eastAsia="Palatino Linotype" w:hAnsi="Palatino Linotype" w:cs="Palatino Linotype"/>
          <w:i/>
        </w:rPr>
        <w:t xml:space="preserve"> Para efectos de los presentes Lineamientos Generales, se entenderá por:</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XVIII.</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Versión pública:</w:t>
      </w:r>
      <w:r w:rsidRPr="004F247E">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4F247E">
        <w:rPr>
          <w:rFonts w:ascii="Palatino Linotype" w:eastAsia="Palatino Linotype" w:hAnsi="Palatino Linotype" w:cs="Palatino Linotype"/>
          <w:b/>
          <w:i/>
        </w:rPr>
        <w:t>fundando y motivando la</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reserva</w:t>
      </w:r>
      <w:r w:rsidRPr="004F247E">
        <w:rPr>
          <w:rFonts w:ascii="Palatino Linotype" w:eastAsia="Palatino Linotype" w:hAnsi="Palatino Linotype" w:cs="Palatino Linotype"/>
          <w:i/>
        </w:rPr>
        <w:t xml:space="preserve"> o confidencialidad, a través de la resolución que para tal efecto emita el Comité de Transparencia.</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Cuarto.</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Para clasificar la información como</w:t>
      </w:r>
      <w:r w:rsidRPr="004F247E">
        <w:rPr>
          <w:rFonts w:ascii="Palatino Linotype" w:eastAsia="Palatino Linotype" w:hAnsi="Palatino Linotype" w:cs="Palatino Linotype"/>
          <w:i/>
        </w:rPr>
        <w:t xml:space="preserve"> </w:t>
      </w:r>
      <w:r w:rsidRPr="004F247E">
        <w:rPr>
          <w:rFonts w:ascii="Palatino Linotype" w:eastAsia="Palatino Linotype" w:hAnsi="Palatino Linotype" w:cs="Palatino Linotype"/>
          <w:b/>
          <w:i/>
        </w:rPr>
        <w:t>reservada o confidencial, de manera total o parcial, el titular del área del sujeto obligado deberá atender lo dispuesto por el Título Sexto de la Ley General</w:t>
      </w:r>
      <w:r w:rsidRPr="004F247E">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Quinto.</w:t>
      </w:r>
      <w:r w:rsidRPr="004F247E">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Sexto.</w:t>
      </w:r>
      <w:r w:rsidRPr="004F247E">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Séptimo.</w:t>
      </w:r>
      <w:r w:rsidRPr="004F247E">
        <w:rPr>
          <w:rFonts w:ascii="Palatino Linotype" w:eastAsia="Palatino Linotype" w:hAnsi="Palatino Linotype" w:cs="Palatino Linotype"/>
          <w:i/>
        </w:rPr>
        <w:t xml:space="preserve"> La clasificación de la información se llevará a cabo en el momento en que:</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I.</w:t>
      </w:r>
      <w:r w:rsidRPr="004F247E">
        <w:rPr>
          <w:rFonts w:ascii="Palatino Linotype" w:eastAsia="Palatino Linotype" w:hAnsi="Palatino Linotype" w:cs="Palatino Linotype"/>
          <w:i/>
        </w:rPr>
        <w:t xml:space="preserve"> Se reciba una solicitud de acceso a la información;</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II.</w:t>
      </w:r>
      <w:r w:rsidRPr="004F247E">
        <w:rPr>
          <w:rFonts w:ascii="Palatino Linotype" w:eastAsia="Palatino Linotype" w:hAnsi="Palatino Linotype" w:cs="Palatino Linotype"/>
          <w:i/>
        </w:rPr>
        <w:t xml:space="preserve"> Se determine mediante resolución de autoridad competente, o</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III.</w:t>
      </w:r>
      <w:r w:rsidRPr="004F247E">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Octavo.</w:t>
      </w:r>
      <w:r w:rsidRPr="004F247E">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lastRenderedPageBreak/>
        <w:t>Para motivar la clasificación se deberán señalar las razones o circunstancias especiales que lo llevaron a concluir que el caso particular se ajusta al supuesto previsto por la norma legal invocada como fundamento.</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 xml:space="preserve">En caso de referirse </w:t>
      </w:r>
      <w:r w:rsidRPr="004F247E">
        <w:rPr>
          <w:rFonts w:ascii="Palatino Linotype" w:eastAsia="Palatino Linotype" w:hAnsi="Palatino Linotype" w:cs="Palatino Linotype"/>
          <w:b/>
          <w:i/>
        </w:rPr>
        <w:t>a información reservada</w:t>
      </w:r>
      <w:r w:rsidRPr="004F247E">
        <w:rPr>
          <w:rFonts w:ascii="Palatino Linotype" w:eastAsia="Palatino Linotype" w:hAnsi="Palatino Linotype" w:cs="Palatino Linotype"/>
          <w:i/>
        </w:rPr>
        <w:t>, la motivación de la clasificación también deberá comprender las circunstancias que justifican el establecimiento de determinado plazo de reserva.</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Noveno.</w:t>
      </w:r>
      <w:r w:rsidRPr="004F247E">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Décimo.</w:t>
      </w:r>
      <w:r w:rsidRPr="004F247E">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rsidR="00C53264" w:rsidRPr="004F247E" w:rsidRDefault="00EC4A9A" w:rsidP="008F6D40">
      <w:pPr>
        <w:jc w:val="both"/>
        <w:rPr>
          <w:rFonts w:ascii="Palatino Linotype" w:eastAsia="Palatino Linotype" w:hAnsi="Palatino Linotype" w:cs="Palatino Linotype"/>
          <w:i/>
        </w:rPr>
      </w:pPr>
      <w:r w:rsidRPr="004F247E">
        <w:rPr>
          <w:rFonts w:ascii="Palatino Linotype" w:eastAsia="Palatino Linotype" w:hAnsi="Palatino Linotype" w:cs="Palatino Linotype"/>
          <w:b/>
          <w:i/>
        </w:rPr>
        <w:t>Décimo primero.</w:t>
      </w:r>
      <w:r w:rsidRPr="004F247E">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53264" w:rsidRPr="004F247E" w:rsidRDefault="00C53264" w:rsidP="008F6D40">
      <w:pPr>
        <w:jc w:val="both"/>
        <w:rPr>
          <w:rFonts w:ascii="Palatino Linotype" w:eastAsia="Palatino Linotype" w:hAnsi="Palatino Linotype" w:cs="Palatino Linotype"/>
          <w:i/>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i/>
        </w:rPr>
      </w:pPr>
      <w:r w:rsidRPr="004F247E">
        <w:rPr>
          <w:rFonts w:ascii="Palatino Linotype" w:eastAsia="Palatino Linotype" w:hAnsi="Palatino Linotype" w:cs="Palatino Linotype"/>
        </w:rPr>
        <w:t xml:space="preserve">De lo anterior, el </w:t>
      </w:r>
      <w:r w:rsidRPr="004F247E">
        <w:rPr>
          <w:rFonts w:ascii="Palatino Linotype" w:eastAsia="Palatino Linotype" w:hAnsi="Palatino Linotype" w:cs="Palatino Linotype"/>
          <w:b/>
        </w:rPr>
        <w:t xml:space="preserve">SUJETO OBLIGADO </w:t>
      </w:r>
      <w:r w:rsidRPr="004F247E">
        <w:rPr>
          <w:rFonts w:ascii="Palatino Linotype" w:eastAsia="Palatino Linotype" w:hAnsi="Palatino Linotype" w:cs="Palatino Linotype"/>
        </w:rPr>
        <w:t>deberá de analizar la información que se remita para colmar el derecho de acceso a la información y verificar si la misma no contiene datos que deban de ser clasificados como confidenciales.</w:t>
      </w:r>
    </w:p>
    <w:p w:rsidR="00C53264" w:rsidRPr="004F247E" w:rsidRDefault="00C53264" w:rsidP="008F6D40">
      <w:pPr>
        <w:spacing w:line="360" w:lineRule="auto"/>
        <w:jc w:val="both"/>
        <w:rPr>
          <w:rFonts w:ascii="Palatino Linotype" w:eastAsia="Palatino Linotype" w:hAnsi="Palatino Linotype" w:cs="Palatino Linotype"/>
          <w:i/>
        </w:rPr>
      </w:pPr>
    </w:p>
    <w:p w:rsidR="00C53264" w:rsidRPr="004F247E" w:rsidRDefault="00C53264" w:rsidP="008F6D40">
      <w:pPr>
        <w:rPr>
          <w:rFonts w:ascii="Palatino Linotype" w:eastAsia="Palatino Linotype" w:hAnsi="Palatino Linotype" w:cs="Palatino Linotype"/>
        </w:rPr>
      </w:pPr>
      <w:bookmarkStart w:id="10" w:name="_heading=h.v16ktsa3ujla" w:colFirst="0" w:colLast="0"/>
      <w:bookmarkEnd w:id="10"/>
    </w:p>
    <w:p w:rsidR="00C53264" w:rsidRPr="004F247E" w:rsidRDefault="00EC4A9A" w:rsidP="008F6D40">
      <w:pPr>
        <w:keepNext/>
        <w:keepLines/>
        <w:spacing w:after="160" w:line="360" w:lineRule="auto"/>
        <w:rPr>
          <w:rFonts w:ascii="Palatino Linotype" w:eastAsia="Palatino Linotype" w:hAnsi="Palatino Linotype" w:cs="Palatino Linotype"/>
          <w:b/>
          <w:color w:val="000000"/>
        </w:rPr>
      </w:pPr>
      <w:r w:rsidRPr="004F247E">
        <w:rPr>
          <w:rFonts w:ascii="Palatino Linotype" w:eastAsia="Palatino Linotype" w:hAnsi="Palatino Linotype" w:cs="Palatino Linotype"/>
          <w:b/>
          <w:color w:val="000000"/>
        </w:rPr>
        <w:lastRenderedPageBreak/>
        <w:t>QUINTO. De la versión pública.</w:t>
      </w:r>
    </w:p>
    <w:p w:rsidR="00C53264" w:rsidRPr="004F247E" w:rsidRDefault="00EC4A9A" w:rsidP="008F6D40">
      <w:pPr>
        <w:keepNext/>
        <w:keepLines/>
        <w:numPr>
          <w:ilvl w:val="0"/>
          <w:numId w:val="2"/>
        </w:numPr>
        <w:tabs>
          <w:tab w:val="left" w:pos="284"/>
        </w:tabs>
        <w:spacing w:after="160" w:line="360" w:lineRule="auto"/>
        <w:ind w:left="0" w:firstLine="0"/>
        <w:rPr>
          <w:rFonts w:ascii="Palatino Linotype" w:eastAsia="Palatino Linotype" w:hAnsi="Palatino Linotype" w:cs="Palatino Linotype"/>
          <w:b/>
          <w:color w:val="000000"/>
        </w:rPr>
      </w:pPr>
      <w:r w:rsidRPr="004F247E">
        <w:rPr>
          <w:rFonts w:ascii="Palatino Linotype" w:eastAsia="Palatino Linotype" w:hAnsi="Palatino Linotype" w:cs="Palatino Linotype"/>
          <w:b/>
          <w:color w:val="000000"/>
        </w:rPr>
        <w:t xml:space="preserve">Nociones generales. </w:t>
      </w: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Debe destacarse, que debido a la información solicitada por el </w:t>
      </w:r>
      <w:r w:rsidRPr="004F247E">
        <w:rPr>
          <w:rFonts w:ascii="Palatino Linotype" w:eastAsia="Palatino Linotype" w:hAnsi="Palatino Linotype" w:cs="Palatino Linotype"/>
          <w:b/>
          <w:color w:val="000000"/>
        </w:rPr>
        <w:t xml:space="preserve">RECURRENTE, pueden obrar </w:t>
      </w:r>
      <w:r w:rsidRPr="004F247E">
        <w:rPr>
          <w:rFonts w:ascii="Palatino Linotype" w:eastAsia="Palatino Linotype" w:hAnsi="Palatino Linotype" w:cs="Palatino Linotype"/>
          <w:color w:val="000000"/>
        </w:rPr>
        <w:t xml:space="preserve">datos personales susceptibles de protegerse, así como información susceptible de clasificarse como confidencial,  por lo que el </w:t>
      </w:r>
      <w:r w:rsidRPr="004F247E">
        <w:rPr>
          <w:rFonts w:ascii="Palatino Linotype" w:eastAsia="Palatino Linotype" w:hAnsi="Palatino Linotype" w:cs="Palatino Linotype"/>
          <w:b/>
          <w:color w:val="000000"/>
        </w:rPr>
        <w:t xml:space="preserve">SUJETO OBLIGADO </w:t>
      </w:r>
      <w:r w:rsidRPr="004F247E">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C53264" w:rsidRPr="004F247E" w:rsidRDefault="00C53264" w:rsidP="008F6D40">
      <w:pPr>
        <w:tabs>
          <w:tab w:val="left" w:pos="0"/>
          <w:tab w:val="left" w:pos="284"/>
        </w:tabs>
        <w:spacing w:line="360" w:lineRule="auto"/>
        <w:jc w:val="both"/>
        <w:rPr>
          <w:rFonts w:ascii="Palatino Linotype" w:eastAsia="Palatino Linotype" w:hAnsi="Palatino Linotype" w:cs="Palatino Linotype"/>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No pasa desapercibido para este Órgano Garante que los sujetos obligados</w:t>
      </w:r>
      <w:r w:rsidRPr="004F247E">
        <w:rPr>
          <w:rFonts w:ascii="Palatino Linotype" w:eastAsia="Palatino Linotype" w:hAnsi="Palatino Linotype" w:cs="Palatino Linotype"/>
          <w:b/>
          <w:color w:val="000000"/>
        </w:rPr>
        <w:t xml:space="preserve"> </w:t>
      </w:r>
      <w:r w:rsidRPr="004F247E">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53264" w:rsidRPr="004F247E" w:rsidRDefault="00C53264" w:rsidP="008F6D40">
      <w:pPr>
        <w:tabs>
          <w:tab w:val="left" w:pos="284"/>
        </w:tabs>
        <w:spacing w:after="160" w:line="360" w:lineRule="auto"/>
        <w:jc w:val="both"/>
        <w:rPr>
          <w:rFonts w:ascii="Palatino Linotype" w:eastAsia="Palatino Linotype" w:hAnsi="Palatino Linotype" w:cs="Palatino Linotype"/>
          <w:color w:val="000000"/>
        </w:rPr>
      </w:pPr>
    </w:p>
    <w:tbl>
      <w:tblPr>
        <w:tblStyle w:val="a6"/>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C53264" w:rsidRPr="004F247E">
        <w:tc>
          <w:tcPr>
            <w:tcW w:w="2689" w:type="dxa"/>
          </w:tcPr>
          <w:p w:rsidR="00C53264" w:rsidRPr="004F247E" w:rsidRDefault="00EC4A9A" w:rsidP="008F6D40">
            <w:pPr>
              <w:tabs>
                <w:tab w:val="left" w:pos="284"/>
              </w:tabs>
              <w:spacing w:line="360" w:lineRule="auto"/>
              <w:rPr>
                <w:rFonts w:ascii="Palatino Linotype" w:eastAsia="Palatino Linotype" w:hAnsi="Palatino Linotype" w:cs="Palatino Linotype"/>
              </w:rPr>
            </w:pPr>
            <w:r w:rsidRPr="004F247E">
              <w:rPr>
                <w:rFonts w:ascii="Palatino Linotype" w:eastAsia="Palatino Linotype" w:hAnsi="Palatino Linotype" w:cs="Palatino Linotype"/>
              </w:rPr>
              <w:t>a) Requisitos previos.</w:t>
            </w:r>
          </w:p>
        </w:tc>
        <w:tc>
          <w:tcPr>
            <w:tcW w:w="6520" w:type="dxa"/>
          </w:tcPr>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lastRenderedPageBreak/>
              <w:t>Al hacerlo tienen que precisar de qué información se trata, señalando el supuesto de clasificación (confidencialidad o reserva).</w:t>
            </w:r>
          </w:p>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C53264" w:rsidRPr="004F247E" w:rsidRDefault="00EC4A9A" w:rsidP="008F6D40">
            <w:pPr>
              <w:tabs>
                <w:tab w:val="left" w:pos="284"/>
              </w:tabs>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4F247E">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4F247E">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C53264" w:rsidRPr="004F247E">
        <w:tc>
          <w:tcPr>
            <w:tcW w:w="2689" w:type="dxa"/>
          </w:tcPr>
          <w:p w:rsidR="00C53264" w:rsidRPr="004F247E" w:rsidRDefault="00EC4A9A" w:rsidP="008F6D40">
            <w:pPr>
              <w:tabs>
                <w:tab w:val="left" w:pos="284"/>
              </w:tabs>
              <w:spacing w:line="360" w:lineRule="auto"/>
              <w:rPr>
                <w:rFonts w:ascii="Palatino Linotype" w:eastAsia="Palatino Linotype" w:hAnsi="Palatino Linotype" w:cs="Palatino Linotype"/>
              </w:rPr>
            </w:pPr>
            <w:r w:rsidRPr="004F247E">
              <w:rPr>
                <w:rFonts w:ascii="Palatino Linotype" w:eastAsia="Palatino Linotype" w:hAnsi="Palatino Linotype" w:cs="Palatino Linotype"/>
              </w:rPr>
              <w:lastRenderedPageBreak/>
              <w:t>b) Supuestos de clasificación.</w:t>
            </w:r>
          </w:p>
        </w:tc>
        <w:tc>
          <w:tcPr>
            <w:tcW w:w="6520" w:type="dxa"/>
          </w:tcPr>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w:t>
            </w:r>
            <w:r w:rsidRPr="004F247E">
              <w:rPr>
                <w:rFonts w:ascii="Palatino Linotype" w:eastAsia="Palatino Linotype" w:hAnsi="Palatino Linotype" w:cs="Palatino Linotype"/>
                <w:color w:val="000000"/>
              </w:rPr>
              <w:lastRenderedPageBreak/>
              <w:t>limitada, por lo que debe acreditarse que se cumple con esta condición y no se pueden ampliar las excepciones o supuestos de clasificación aduciendo analogía o mayoría de razón.</w:t>
            </w:r>
          </w:p>
          <w:p w:rsidR="00C53264" w:rsidRPr="004F247E" w:rsidRDefault="00EC4A9A" w:rsidP="008F6D40">
            <w:pPr>
              <w:tabs>
                <w:tab w:val="left" w:pos="284"/>
              </w:tabs>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color w:val="000000"/>
              </w:rPr>
              <w:t xml:space="preserve">El </w:t>
            </w:r>
            <w:r w:rsidRPr="004F247E">
              <w:rPr>
                <w:rFonts w:ascii="Palatino Linotype" w:eastAsia="Palatino Linotype" w:hAnsi="Palatino Linotype" w:cs="Palatino Linotype"/>
                <w:b/>
                <w:color w:val="000000"/>
              </w:rPr>
              <w:t>Sujeto Obligado</w:t>
            </w:r>
            <w:r w:rsidRPr="004F247E">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53264" w:rsidRPr="004F247E">
        <w:tc>
          <w:tcPr>
            <w:tcW w:w="2689" w:type="dxa"/>
          </w:tcPr>
          <w:p w:rsidR="00C53264" w:rsidRPr="004F247E" w:rsidRDefault="00EC4A9A" w:rsidP="008F6D40">
            <w:pPr>
              <w:tabs>
                <w:tab w:val="left" w:pos="284"/>
              </w:tabs>
              <w:spacing w:line="360" w:lineRule="auto"/>
              <w:rPr>
                <w:rFonts w:ascii="Palatino Linotype" w:eastAsia="Palatino Linotype" w:hAnsi="Palatino Linotype" w:cs="Palatino Linotype"/>
              </w:rPr>
            </w:pPr>
            <w:r w:rsidRPr="004F247E">
              <w:rPr>
                <w:rFonts w:ascii="Palatino Linotype" w:eastAsia="Palatino Linotype" w:hAnsi="Palatino Linotype" w:cs="Palatino Linotype"/>
              </w:rPr>
              <w:lastRenderedPageBreak/>
              <w:t>c) Formalidades para emitir el acuerdo de clasificación.</w:t>
            </w:r>
          </w:p>
        </w:tc>
        <w:tc>
          <w:tcPr>
            <w:tcW w:w="6520" w:type="dxa"/>
          </w:tcPr>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Es necesario que </w:t>
            </w:r>
            <w:r w:rsidRPr="004F247E">
              <w:rPr>
                <w:rFonts w:ascii="Palatino Linotype" w:eastAsia="Palatino Linotype" w:hAnsi="Palatino Linotype" w:cs="Palatino Linotype"/>
                <w:b/>
                <w:color w:val="000000"/>
                <w:u w:val="single"/>
              </w:rPr>
              <w:t>el acto reúna con los requisitos elementales</w:t>
            </w:r>
            <w:r w:rsidRPr="004F247E">
              <w:rPr>
                <w:rFonts w:ascii="Palatino Linotype" w:eastAsia="Palatino Linotype" w:hAnsi="Palatino Linotype" w:cs="Palatino Linotype"/>
                <w:color w:val="000000"/>
              </w:rPr>
              <w:t>, entre ellos, que la autoridad que va a emitir el acto de autoridad sea la legalmente facultada para ello.</w:t>
            </w:r>
          </w:p>
          <w:p w:rsidR="00C53264" w:rsidRPr="004F247E" w:rsidRDefault="00EC4A9A" w:rsidP="008F6D40">
            <w:pPr>
              <w:tabs>
                <w:tab w:val="left" w:pos="284"/>
              </w:tabs>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w:t>
            </w:r>
            <w:r w:rsidRPr="004F247E">
              <w:rPr>
                <w:rFonts w:ascii="Palatino Linotype" w:eastAsia="Palatino Linotype" w:hAnsi="Palatino Linotype" w:cs="Palatino Linotype"/>
                <w:color w:val="000000"/>
              </w:rPr>
              <w:lastRenderedPageBreak/>
              <w:t>a partir de las decisiones adoptadas previamente por los titulares de áreas y que son sujetas a control, en primera instancia, por el Comité de Transparencia.</w:t>
            </w:r>
          </w:p>
        </w:tc>
      </w:tr>
      <w:tr w:rsidR="00C53264" w:rsidRPr="004F247E">
        <w:tc>
          <w:tcPr>
            <w:tcW w:w="2689" w:type="dxa"/>
          </w:tcPr>
          <w:p w:rsidR="00C53264" w:rsidRPr="004F247E" w:rsidRDefault="00C53264" w:rsidP="008F6D40">
            <w:pPr>
              <w:tabs>
                <w:tab w:val="left" w:pos="284"/>
              </w:tabs>
              <w:spacing w:line="360" w:lineRule="auto"/>
              <w:rPr>
                <w:rFonts w:ascii="Palatino Linotype" w:eastAsia="Palatino Linotype" w:hAnsi="Palatino Linotype" w:cs="Palatino Linotype"/>
              </w:rPr>
            </w:pPr>
          </w:p>
          <w:p w:rsidR="00C53264" w:rsidRPr="004F247E" w:rsidRDefault="00EC4A9A" w:rsidP="008F6D40">
            <w:pPr>
              <w:tabs>
                <w:tab w:val="left" w:pos="284"/>
              </w:tabs>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color w:val="000000"/>
              </w:rPr>
              <w:t xml:space="preserve">d) Requisitos de fondo del acuerdo de clasificación. </w:t>
            </w:r>
          </w:p>
        </w:tc>
        <w:tc>
          <w:tcPr>
            <w:tcW w:w="6520" w:type="dxa"/>
          </w:tcPr>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F247E">
              <w:rPr>
                <w:rFonts w:ascii="Palatino Linotype" w:eastAsia="Palatino Linotype" w:hAnsi="Palatino Linotype" w:cs="Palatino Linotype"/>
                <w:b/>
                <w:color w:val="000000"/>
              </w:rPr>
              <w:t>Sujetos Obligados</w:t>
            </w:r>
            <w:r w:rsidRPr="004F247E">
              <w:rPr>
                <w:rFonts w:ascii="Palatino Linotype" w:eastAsia="Palatino Linotype" w:hAnsi="Palatino Linotype" w:cs="Palatino Linotype"/>
                <w:color w:val="000000"/>
              </w:rPr>
              <w:t xml:space="preserve">, por lo que deberán fundar y motivar debidamente la clasificación. </w:t>
            </w:r>
          </w:p>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De lo anterior, se desprende que para una correcta </w:t>
            </w:r>
            <w:r w:rsidRPr="004F247E">
              <w:rPr>
                <w:rFonts w:ascii="Palatino Linotype" w:eastAsia="Palatino Linotype" w:hAnsi="Palatino Linotype" w:cs="Palatino Linotype"/>
                <w:b/>
                <w:color w:val="000000"/>
              </w:rPr>
              <w:t>clasificación total o parcial</w:t>
            </w:r>
            <w:r w:rsidRPr="004F247E">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w:t>
            </w:r>
            <w:r w:rsidRPr="004F247E">
              <w:rPr>
                <w:rFonts w:ascii="Palatino Linotype" w:eastAsia="Palatino Linotype" w:hAnsi="Palatino Linotype" w:cs="Palatino Linotype"/>
                <w:color w:val="000000"/>
              </w:rPr>
              <w:lastRenderedPageBreak/>
              <w:t>autoridad para adecuar el hecho a los fundamentos de derecho. De este modo, la persona que se sienta afectada pueda impugnar la decisión, permitiéndole una real y auténtica defensa.</w:t>
            </w:r>
          </w:p>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Ahora bien, </w:t>
            </w:r>
            <w:r w:rsidRPr="004F247E">
              <w:rPr>
                <w:rFonts w:ascii="Palatino Linotype" w:eastAsia="Palatino Linotype" w:hAnsi="Palatino Linotype" w:cs="Palatino Linotype"/>
                <w:b/>
                <w:color w:val="000000"/>
                <w:u w:val="single"/>
              </w:rPr>
              <w:t>para cada caso además de fundar y motivar</w:t>
            </w:r>
            <w:r w:rsidRPr="004F247E">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53264" w:rsidRPr="004F247E">
        <w:tc>
          <w:tcPr>
            <w:tcW w:w="2689" w:type="dxa"/>
          </w:tcPr>
          <w:p w:rsidR="00C53264" w:rsidRPr="004F247E" w:rsidRDefault="00EC4A9A" w:rsidP="008F6D40">
            <w:pPr>
              <w:tabs>
                <w:tab w:val="left" w:pos="284"/>
              </w:tabs>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rPr>
              <w:lastRenderedPageBreak/>
              <w:t xml:space="preserve">e) Condiciones especiales de la clasificación de la información como confidencial. </w:t>
            </w:r>
          </w:p>
        </w:tc>
        <w:tc>
          <w:tcPr>
            <w:tcW w:w="6520" w:type="dxa"/>
          </w:tcPr>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C53264" w:rsidRPr="004F247E" w:rsidRDefault="00EC4A9A" w:rsidP="008F6D40">
            <w:pPr>
              <w:tabs>
                <w:tab w:val="left" w:pos="284"/>
              </w:tabs>
              <w:spacing w:line="360" w:lineRule="auto"/>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En el caso de lo señalado en la fracción IV, será el Instituto quien deba aplicar la prueba de interés público, </w:t>
            </w:r>
            <w:r w:rsidRPr="004F247E">
              <w:rPr>
                <w:rFonts w:ascii="Palatino Linotype" w:eastAsia="Palatino Linotype" w:hAnsi="Palatino Linotype" w:cs="Palatino Linotype"/>
                <w:color w:val="000000"/>
              </w:rPr>
              <w:lastRenderedPageBreak/>
              <w:t xml:space="preserve">considerando también que como recientemente ha discutido la Suprema Corte de Justicia de la Nación, los servidores públicos nos encontramos sujetos a un régimen menor de protección. </w:t>
            </w:r>
          </w:p>
          <w:p w:rsidR="00C53264" w:rsidRPr="004F247E" w:rsidRDefault="00EC4A9A" w:rsidP="008F6D40">
            <w:pPr>
              <w:tabs>
                <w:tab w:val="left" w:pos="284"/>
              </w:tabs>
              <w:spacing w:line="360" w:lineRule="auto"/>
              <w:rPr>
                <w:rFonts w:ascii="Palatino Linotype" w:eastAsia="Palatino Linotype" w:hAnsi="Palatino Linotype" w:cs="Palatino Linotype"/>
              </w:rPr>
            </w:pPr>
            <w:r w:rsidRPr="004F247E">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53264" w:rsidRPr="004F247E" w:rsidRDefault="00C53264" w:rsidP="008F6D40">
      <w:pPr>
        <w:tabs>
          <w:tab w:val="left" w:pos="284"/>
        </w:tabs>
        <w:spacing w:line="360" w:lineRule="auto"/>
        <w:jc w:val="both"/>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rPr>
      </w:pPr>
      <w:r w:rsidRPr="004F247E">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numPr>
          <w:ilvl w:val="0"/>
          <w:numId w:val="10"/>
        </w:numPr>
        <w:spacing w:line="360" w:lineRule="auto"/>
        <w:ind w:left="0" w:firstLine="0"/>
        <w:jc w:val="both"/>
        <w:rPr>
          <w:rFonts w:ascii="Palatino Linotype" w:eastAsia="Palatino Linotype" w:hAnsi="Palatino Linotype" w:cs="Palatino Linotype"/>
          <w:color w:val="000000"/>
        </w:rPr>
      </w:pPr>
      <w:r w:rsidRPr="004F247E">
        <w:rPr>
          <w:rFonts w:ascii="Palatino Linotype" w:eastAsia="Palatino Linotype" w:hAnsi="Palatino Linotype" w:cs="Palatino Linotype"/>
          <w:color w:val="000000"/>
        </w:rPr>
        <w:t xml:space="preserve">Por lo anteriormente expuesto y fundado, este </w:t>
      </w:r>
      <w:r w:rsidRPr="004F247E">
        <w:rPr>
          <w:rFonts w:ascii="Palatino Linotype" w:eastAsia="Palatino Linotype" w:hAnsi="Palatino Linotype" w:cs="Palatino Linotype"/>
          <w:b/>
          <w:color w:val="000000"/>
        </w:rPr>
        <w:t>ÓRGANO GARANTE</w:t>
      </w:r>
      <w:r w:rsidRPr="004F247E">
        <w:rPr>
          <w:rFonts w:ascii="Palatino Linotype" w:eastAsia="Palatino Linotype" w:hAnsi="Palatino Linotype" w:cs="Palatino Linotype"/>
          <w:color w:val="000000"/>
        </w:rPr>
        <w:t xml:space="preserve"> emite los siguientes:</w:t>
      </w:r>
    </w:p>
    <w:p w:rsidR="00C53264" w:rsidRPr="004F247E" w:rsidRDefault="00C53264" w:rsidP="008F6D40">
      <w:pPr>
        <w:pBdr>
          <w:top w:val="nil"/>
          <w:left w:val="nil"/>
          <w:bottom w:val="nil"/>
          <w:right w:val="nil"/>
          <w:between w:val="nil"/>
        </w:pBdr>
        <w:rPr>
          <w:rFonts w:ascii="Palatino Linotype" w:eastAsia="Palatino Linotype" w:hAnsi="Palatino Linotype" w:cs="Palatino Linotype"/>
          <w:color w:val="000000"/>
        </w:rPr>
      </w:pPr>
    </w:p>
    <w:p w:rsidR="00C53264" w:rsidRPr="004F247E" w:rsidRDefault="00EC4A9A" w:rsidP="008F6D40">
      <w:pPr>
        <w:keepNext/>
        <w:keepLines/>
        <w:spacing w:line="360" w:lineRule="auto"/>
        <w:jc w:val="center"/>
        <w:rPr>
          <w:rFonts w:ascii="Palatino Linotype" w:eastAsia="Palatino Linotype" w:hAnsi="Palatino Linotype" w:cs="Palatino Linotype"/>
          <w:b/>
          <w:color w:val="000000"/>
        </w:rPr>
      </w:pPr>
      <w:bookmarkStart w:id="11" w:name="_heading=h.35nkun2" w:colFirst="0" w:colLast="0"/>
      <w:bookmarkEnd w:id="11"/>
      <w:r w:rsidRPr="004F247E">
        <w:rPr>
          <w:rFonts w:ascii="Palatino Linotype" w:eastAsia="Palatino Linotype" w:hAnsi="Palatino Linotype" w:cs="Palatino Linotype"/>
          <w:b/>
          <w:color w:val="000000"/>
        </w:rPr>
        <w:t xml:space="preserve">R E S O L U T I V O S </w:t>
      </w:r>
    </w:p>
    <w:p w:rsidR="00C53264" w:rsidRPr="004F247E" w:rsidRDefault="00C53264" w:rsidP="008F6D40">
      <w:pPr>
        <w:spacing w:line="360" w:lineRule="auto"/>
        <w:rPr>
          <w:rFonts w:ascii="Palatino Linotype" w:eastAsia="Palatino Linotype" w:hAnsi="Palatino Linotype" w:cs="Palatino Linotype"/>
        </w:rPr>
      </w:pPr>
    </w:p>
    <w:p w:rsidR="00C53264" w:rsidRPr="004F247E" w:rsidRDefault="00EC4A9A" w:rsidP="008F6D40">
      <w:pPr>
        <w:spacing w:line="360" w:lineRule="auto"/>
        <w:jc w:val="both"/>
        <w:rPr>
          <w:rFonts w:ascii="Palatino Linotype" w:eastAsia="Palatino Linotype" w:hAnsi="Palatino Linotype" w:cs="Palatino Linotype"/>
          <w:b/>
        </w:rPr>
      </w:pPr>
      <w:r w:rsidRPr="004F247E">
        <w:rPr>
          <w:rFonts w:ascii="Palatino Linotype" w:eastAsia="Palatino Linotype" w:hAnsi="Palatino Linotype" w:cs="Palatino Linotype"/>
          <w:b/>
        </w:rPr>
        <w:t>PRIMERO</w:t>
      </w:r>
      <w:r w:rsidRPr="004F247E">
        <w:rPr>
          <w:rFonts w:ascii="Palatino Linotype" w:eastAsia="Palatino Linotype" w:hAnsi="Palatino Linotype" w:cs="Palatino Linotype"/>
        </w:rPr>
        <w:t>. Resultan fundadas las razones o motivos de inconformidad hechos valer en l</w:t>
      </w:r>
      <w:r w:rsidR="00310ECB" w:rsidRPr="004F247E">
        <w:rPr>
          <w:rFonts w:ascii="Palatino Linotype" w:eastAsia="Palatino Linotype" w:hAnsi="Palatino Linotype" w:cs="Palatino Linotype"/>
        </w:rPr>
        <w:t>os</w:t>
      </w:r>
      <w:r w:rsidRPr="004F247E">
        <w:rPr>
          <w:rFonts w:ascii="Palatino Linotype" w:eastAsia="Palatino Linotype" w:hAnsi="Palatino Linotype" w:cs="Palatino Linotype"/>
        </w:rPr>
        <w:t xml:space="preserve"> Recursos de Revisión </w:t>
      </w:r>
      <w:r w:rsidRPr="004F247E">
        <w:rPr>
          <w:rFonts w:ascii="Palatino Linotype" w:eastAsia="Palatino Linotype" w:hAnsi="Palatino Linotype" w:cs="Palatino Linotype"/>
          <w:b/>
        </w:rPr>
        <w:t xml:space="preserve">02843/INFOEM/IP/RR/2025 y 02844/INFOEM/IP/RR/2025, </w:t>
      </w:r>
      <w:r w:rsidRPr="004F247E">
        <w:rPr>
          <w:rFonts w:ascii="Palatino Linotype" w:eastAsia="Palatino Linotype" w:hAnsi="Palatino Linotype" w:cs="Palatino Linotype"/>
        </w:rPr>
        <w:t xml:space="preserve">en términos de los Considerandos </w:t>
      </w:r>
      <w:r w:rsidRPr="004F247E">
        <w:rPr>
          <w:rFonts w:ascii="Palatino Linotype" w:eastAsia="Palatino Linotype" w:hAnsi="Palatino Linotype" w:cs="Palatino Linotype"/>
          <w:b/>
        </w:rPr>
        <w:t xml:space="preserve">Cuarto y Quinto </w:t>
      </w:r>
      <w:r w:rsidRPr="004F247E">
        <w:rPr>
          <w:rFonts w:ascii="Palatino Linotype" w:eastAsia="Palatino Linotype" w:hAnsi="Palatino Linotype" w:cs="Palatino Linotype"/>
        </w:rPr>
        <w:t xml:space="preserve">de la presente resolución. </w:t>
      </w:r>
    </w:p>
    <w:p w:rsidR="00C53264" w:rsidRPr="004F247E" w:rsidRDefault="00C53264" w:rsidP="008F6D40">
      <w:pPr>
        <w:spacing w:line="360" w:lineRule="auto"/>
        <w:jc w:val="both"/>
        <w:rPr>
          <w:rFonts w:ascii="Palatino Linotype" w:eastAsia="Palatino Linotype" w:hAnsi="Palatino Linotype" w:cs="Palatino Linotype"/>
        </w:rPr>
      </w:pPr>
    </w:p>
    <w:p w:rsidR="00310ECB" w:rsidRPr="004F247E" w:rsidRDefault="00310ECB" w:rsidP="008F6D40">
      <w:pPr>
        <w:spacing w:line="360" w:lineRule="auto"/>
        <w:jc w:val="both"/>
        <w:rPr>
          <w:rFonts w:ascii="Palatino Linotype" w:eastAsia="Palatino Linotype" w:hAnsi="Palatino Linotype" w:cs="Palatino Linotype"/>
          <w:b/>
        </w:rPr>
      </w:pPr>
      <w:bookmarkStart w:id="12" w:name="_heading=h.26in1rg" w:colFirst="0" w:colLast="0"/>
      <w:bookmarkEnd w:id="12"/>
    </w:p>
    <w:p w:rsidR="00C53264" w:rsidRPr="004F247E" w:rsidRDefault="00EC4A9A" w:rsidP="008F6D40">
      <w:pPr>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b/>
        </w:rPr>
        <w:t xml:space="preserve">SEGUNDO. </w:t>
      </w:r>
      <w:r w:rsidRPr="004F247E">
        <w:rPr>
          <w:rFonts w:ascii="Palatino Linotype" w:eastAsia="Palatino Linotype" w:hAnsi="Palatino Linotype" w:cs="Palatino Linotype"/>
          <w:color w:val="000000"/>
        </w:rPr>
        <w:t xml:space="preserve">Se </w:t>
      </w:r>
      <w:r w:rsidRPr="004F247E">
        <w:rPr>
          <w:rFonts w:ascii="Palatino Linotype" w:eastAsia="Palatino Linotype" w:hAnsi="Palatino Linotype" w:cs="Palatino Linotype"/>
          <w:b/>
          <w:color w:val="000000"/>
        </w:rPr>
        <w:t xml:space="preserve">MODIFICAN  </w:t>
      </w:r>
      <w:r w:rsidRPr="004F247E">
        <w:rPr>
          <w:rFonts w:ascii="Palatino Linotype" w:eastAsia="Palatino Linotype" w:hAnsi="Palatino Linotype" w:cs="Palatino Linotype"/>
          <w:color w:val="000000"/>
        </w:rPr>
        <w:t xml:space="preserve">las respuestas emitidas por el </w:t>
      </w:r>
      <w:r w:rsidRPr="004F247E">
        <w:rPr>
          <w:rFonts w:ascii="Palatino Linotype" w:eastAsia="Palatino Linotype" w:hAnsi="Palatino Linotype" w:cs="Palatino Linotype"/>
          <w:b/>
          <w:color w:val="000000"/>
        </w:rPr>
        <w:t xml:space="preserve">Ayuntamiento de Toluca </w:t>
      </w:r>
      <w:r w:rsidRPr="004F247E">
        <w:rPr>
          <w:rFonts w:ascii="Palatino Linotype" w:eastAsia="Palatino Linotype" w:hAnsi="Palatino Linotype" w:cs="Palatino Linotype"/>
          <w:color w:val="000000"/>
        </w:rPr>
        <w:t xml:space="preserve">y se </w:t>
      </w:r>
      <w:r w:rsidRPr="004F247E">
        <w:rPr>
          <w:rFonts w:ascii="Palatino Linotype" w:eastAsia="Palatino Linotype" w:hAnsi="Palatino Linotype" w:cs="Palatino Linotype"/>
          <w:b/>
          <w:color w:val="000000"/>
        </w:rPr>
        <w:t>ORDENA</w:t>
      </w:r>
      <w:r w:rsidRPr="004F247E">
        <w:rPr>
          <w:rFonts w:ascii="Palatino Linotype" w:eastAsia="Palatino Linotype" w:hAnsi="Palatino Linotype" w:cs="Palatino Linotype"/>
          <w:color w:val="000000"/>
        </w:rPr>
        <w:t xml:space="preserve"> entregar vía Sistema de Acceso a la Información Mexiquense </w:t>
      </w:r>
      <w:r w:rsidRPr="004F247E">
        <w:rPr>
          <w:rFonts w:ascii="Palatino Linotype" w:eastAsia="Palatino Linotype" w:hAnsi="Palatino Linotype" w:cs="Palatino Linotype"/>
          <w:b/>
          <w:color w:val="000000"/>
        </w:rPr>
        <w:t>(SAIMEX)</w:t>
      </w:r>
      <w:r w:rsidRPr="004F247E">
        <w:rPr>
          <w:rFonts w:ascii="Palatino Linotype" w:eastAsia="Palatino Linotype" w:hAnsi="Palatino Linotype" w:cs="Palatino Linotype"/>
          <w:color w:val="000000"/>
        </w:rPr>
        <w:t xml:space="preserve">, previa búsqueda exhaustiva y razonable, la siguiente información, de ser el caso en versión pública. </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spacing w:line="360" w:lineRule="auto"/>
        <w:jc w:val="both"/>
        <w:rPr>
          <w:rFonts w:ascii="Palatino Linotype" w:eastAsia="Palatino Linotype" w:hAnsi="Palatino Linotype" w:cs="Palatino Linotype"/>
          <w:b/>
        </w:rPr>
      </w:pPr>
      <w:r w:rsidRPr="004F247E">
        <w:rPr>
          <w:rFonts w:ascii="Palatino Linotype" w:eastAsia="Palatino Linotype" w:hAnsi="Palatino Linotype" w:cs="Palatino Linotype"/>
          <w:b/>
        </w:rPr>
        <w:t>Recursos de Revisión 02843/INFOEM/IP/RR/2025</w:t>
      </w:r>
    </w:p>
    <w:p w:rsidR="00C53264" w:rsidRPr="004F247E" w:rsidRDefault="00C53264" w:rsidP="00385C61">
      <w:pPr>
        <w:spacing w:line="360" w:lineRule="auto"/>
        <w:ind w:left="284"/>
        <w:jc w:val="both"/>
        <w:rPr>
          <w:rFonts w:ascii="Palatino Linotype" w:eastAsia="Palatino Linotype" w:hAnsi="Palatino Linotype" w:cs="Palatino Linotype"/>
          <w:b/>
        </w:rPr>
      </w:pPr>
    </w:p>
    <w:p w:rsidR="00C53264" w:rsidRPr="004F247E" w:rsidRDefault="00EC4A9A" w:rsidP="00385C61">
      <w:pPr>
        <w:numPr>
          <w:ilvl w:val="0"/>
          <w:numId w:val="3"/>
        </w:numPr>
        <w:pBdr>
          <w:top w:val="nil"/>
          <w:left w:val="nil"/>
          <w:bottom w:val="nil"/>
          <w:right w:val="nil"/>
          <w:between w:val="nil"/>
        </w:pBdr>
        <w:spacing w:line="360" w:lineRule="auto"/>
        <w:ind w:left="284"/>
        <w:jc w:val="both"/>
        <w:rPr>
          <w:rFonts w:ascii="Palatino Linotype" w:eastAsia="Palatino Linotype" w:hAnsi="Palatino Linotype" w:cs="Palatino Linotype"/>
          <w:b/>
          <w:color w:val="000000"/>
        </w:rPr>
      </w:pPr>
      <w:r w:rsidRPr="004F247E">
        <w:rPr>
          <w:rFonts w:ascii="Palatino Linotype" w:eastAsia="Palatino Linotype" w:hAnsi="Palatino Linotype" w:cs="Palatino Linotype"/>
          <w:b/>
          <w:i/>
          <w:color w:val="000000"/>
        </w:rPr>
        <w:t>Documentos donde conste</w:t>
      </w:r>
      <w:r w:rsidRPr="004F247E">
        <w:rPr>
          <w:rFonts w:ascii="Palatino Linotype" w:eastAsia="Palatino Linotype" w:hAnsi="Palatino Linotype" w:cs="Palatino Linotype"/>
          <w:b/>
          <w:i/>
        </w:rPr>
        <w:t>n</w:t>
      </w:r>
      <w:r w:rsidRPr="004F247E">
        <w:rPr>
          <w:rFonts w:ascii="Palatino Linotype" w:eastAsia="Palatino Linotype" w:hAnsi="Palatino Linotype" w:cs="Palatino Linotype"/>
          <w:b/>
          <w:i/>
          <w:color w:val="000000"/>
        </w:rPr>
        <w:t xml:space="preserve"> o se adviertan los</w:t>
      </w:r>
      <w:r w:rsidRPr="004F247E">
        <w:rPr>
          <w:rFonts w:ascii="Palatino Linotype" w:eastAsia="Palatino Linotype" w:hAnsi="Palatino Linotype" w:cs="Palatino Linotype"/>
          <w:b/>
          <w:color w:val="000000"/>
        </w:rPr>
        <w:t xml:space="preserve">  </w:t>
      </w:r>
      <w:r w:rsidRPr="004F247E">
        <w:rPr>
          <w:rFonts w:ascii="Palatino Linotype" w:eastAsia="Palatino Linotype" w:hAnsi="Palatino Linotype" w:cs="Palatino Linotype"/>
          <w:b/>
          <w:i/>
          <w:color w:val="000000"/>
        </w:rPr>
        <w:t>Programas Sociales otorgados durante la administración 2022-2024, así como su  beneficio;</w:t>
      </w:r>
    </w:p>
    <w:p w:rsidR="00C53264" w:rsidRPr="004F247E" w:rsidRDefault="00C53264" w:rsidP="00385C61">
      <w:pPr>
        <w:pBdr>
          <w:top w:val="nil"/>
          <w:left w:val="nil"/>
          <w:bottom w:val="nil"/>
          <w:right w:val="nil"/>
          <w:between w:val="nil"/>
        </w:pBdr>
        <w:spacing w:line="360" w:lineRule="auto"/>
        <w:ind w:left="284"/>
        <w:jc w:val="both"/>
        <w:rPr>
          <w:rFonts w:ascii="Palatino Linotype" w:eastAsia="Palatino Linotype" w:hAnsi="Palatino Linotype" w:cs="Palatino Linotype"/>
          <w:b/>
          <w:i/>
        </w:rPr>
      </w:pPr>
    </w:p>
    <w:p w:rsidR="00C53264" w:rsidRPr="004F247E" w:rsidRDefault="00EC4A9A" w:rsidP="00385C61">
      <w:pPr>
        <w:numPr>
          <w:ilvl w:val="0"/>
          <w:numId w:val="3"/>
        </w:numPr>
        <w:pBdr>
          <w:top w:val="nil"/>
          <w:left w:val="nil"/>
          <w:bottom w:val="nil"/>
          <w:right w:val="nil"/>
          <w:between w:val="nil"/>
        </w:pBdr>
        <w:spacing w:line="360" w:lineRule="auto"/>
        <w:ind w:left="284"/>
        <w:jc w:val="both"/>
        <w:rPr>
          <w:rFonts w:ascii="Palatino Linotype" w:eastAsia="Palatino Linotype" w:hAnsi="Palatino Linotype" w:cs="Palatino Linotype"/>
          <w:b/>
          <w:color w:val="000000"/>
        </w:rPr>
      </w:pPr>
      <w:r w:rsidRPr="004F247E">
        <w:rPr>
          <w:rFonts w:ascii="Palatino Linotype" w:eastAsia="Palatino Linotype" w:hAnsi="Palatino Linotype" w:cs="Palatino Linotype"/>
          <w:b/>
          <w:i/>
          <w:color w:val="000000"/>
        </w:rPr>
        <w:t xml:space="preserve">Documento donde conste o se advierta el beneficio del Programa referido en respuesta por la Dirección General de Bienestar Social, en la solicitud de información 00700/TOLUCA/IP/2025. </w:t>
      </w:r>
    </w:p>
    <w:p w:rsidR="00C53264" w:rsidRPr="004F247E" w:rsidRDefault="00C53264" w:rsidP="008F6D4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C53264" w:rsidRPr="004F247E" w:rsidRDefault="00EC4A9A" w:rsidP="008F6D4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4F247E">
        <w:rPr>
          <w:rFonts w:ascii="Palatino Linotype" w:eastAsia="Palatino Linotype" w:hAnsi="Palatino Linotype" w:cs="Palatino Linotype"/>
          <w:b/>
          <w:color w:val="000000"/>
        </w:rPr>
        <w:t>Recursos de Revisión 02844/INFOEM/IP/RR/2025</w:t>
      </w:r>
    </w:p>
    <w:p w:rsidR="00C53264" w:rsidRPr="004F247E" w:rsidRDefault="00C53264" w:rsidP="00385C61">
      <w:pPr>
        <w:pBdr>
          <w:top w:val="nil"/>
          <w:left w:val="nil"/>
          <w:bottom w:val="nil"/>
          <w:right w:val="nil"/>
          <w:between w:val="nil"/>
        </w:pBdr>
        <w:spacing w:line="360" w:lineRule="auto"/>
        <w:ind w:left="284"/>
        <w:jc w:val="both"/>
        <w:rPr>
          <w:rFonts w:ascii="Palatino Linotype" w:eastAsia="Palatino Linotype" w:hAnsi="Palatino Linotype" w:cs="Palatino Linotype"/>
          <w:b/>
          <w:color w:val="000000"/>
        </w:rPr>
      </w:pPr>
    </w:p>
    <w:p w:rsidR="00C53264" w:rsidRPr="004F247E" w:rsidRDefault="00EC4A9A" w:rsidP="00385C61">
      <w:pPr>
        <w:numPr>
          <w:ilvl w:val="0"/>
          <w:numId w:val="11"/>
        </w:numPr>
        <w:pBdr>
          <w:top w:val="nil"/>
          <w:left w:val="nil"/>
          <w:bottom w:val="nil"/>
          <w:right w:val="nil"/>
          <w:between w:val="nil"/>
        </w:pBdr>
        <w:spacing w:line="360" w:lineRule="auto"/>
        <w:ind w:left="284"/>
        <w:jc w:val="both"/>
        <w:rPr>
          <w:rFonts w:ascii="Palatino Linotype" w:eastAsia="Palatino Linotype" w:hAnsi="Palatino Linotype" w:cs="Palatino Linotype"/>
          <w:b/>
          <w:color w:val="000000"/>
        </w:rPr>
      </w:pPr>
      <w:r w:rsidRPr="004F247E">
        <w:rPr>
          <w:rFonts w:ascii="Palatino Linotype" w:eastAsia="Palatino Linotype" w:hAnsi="Palatino Linotype" w:cs="Palatino Linotype"/>
          <w:b/>
          <w:i/>
          <w:color w:val="000000"/>
        </w:rPr>
        <w:t xml:space="preserve">Documento donde consten o se adviertan los Programas Sociales para el año 2025 y los requisitos para participar. </w:t>
      </w:r>
    </w:p>
    <w:p w:rsidR="00310ECB" w:rsidRPr="004F247E" w:rsidRDefault="00310ECB" w:rsidP="00310ECB">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C53264" w:rsidRPr="004F247E" w:rsidRDefault="00EC4A9A" w:rsidP="008F6D40">
      <w:pPr>
        <w:tabs>
          <w:tab w:val="left" w:pos="8080"/>
        </w:tabs>
        <w:spacing w:line="360" w:lineRule="auto"/>
        <w:jc w:val="both"/>
        <w:rPr>
          <w:rFonts w:ascii="Palatino Linotype" w:eastAsia="Palatino Linotype" w:hAnsi="Palatino Linotype" w:cs="Palatino Linotype"/>
          <w:b/>
        </w:rPr>
      </w:pPr>
      <w:r w:rsidRPr="004F247E">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w:t>
      </w:r>
      <w:r w:rsidRPr="004F247E">
        <w:rPr>
          <w:rFonts w:ascii="Palatino Linotype" w:eastAsia="Palatino Linotype" w:hAnsi="Palatino Linotype" w:cs="Palatino Linotype"/>
        </w:rPr>
        <w:lastRenderedPageBreak/>
        <w:t xml:space="preserve">motive las razones sobre los datos que se supriman o eliminen dentro del soporte documental respectivo objeto de las versiones públicas que se formulen y se pongan a disposición del </w:t>
      </w:r>
      <w:r w:rsidRPr="004F247E">
        <w:rPr>
          <w:rFonts w:ascii="Palatino Linotype" w:eastAsia="Palatino Linotype" w:hAnsi="Palatino Linotype" w:cs="Palatino Linotype"/>
          <w:b/>
        </w:rPr>
        <w:t>RECURRENTE.</w:t>
      </w:r>
    </w:p>
    <w:p w:rsidR="00C53264" w:rsidRPr="004F247E" w:rsidRDefault="00C53264" w:rsidP="008F6D40">
      <w:pPr>
        <w:tabs>
          <w:tab w:val="left" w:pos="8080"/>
        </w:tabs>
        <w:spacing w:line="360" w:lineRule="auto"/>
        <w:jc w:val="both"/>
        <w:rPr>
          <w:rFonts w:ascii="Palatino Linotype" w:eastAsia="Palatino Linotype" w:hAnsi="Palatino Linotype" w:cs="Palatino Linotype"/>
          <w:b/>
        </w:rPr>
      </w:pPr>
    </w:p>
    <w:p w:rsidR="00C53264" w:rsidRPr="004F247E" w:rsidRDefault="00EC4A9A" w:rsidP="008F6D40">
      <w:pPr>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rPr>
        <w:t>De ser el caso que la información solicitada en el inciso c), no se hubiera generado poseído o administrado</w:t>
      </w:r>
      <w:r w:rsidRPr="004F247E">
        <w:rPr>
          <w:rFonts w:ascii="Palatino Linotype" w:eastAsia="Palatino Linotype" w:hAnsi="Palatino Linotype" w:cs="Palatino Linotype"/>
          <w:b/>
        </w:rPr>
        <w:t xml:space="preserve">, por no haber generado información a la fecha de la solicitud, </w:t>
      </w:r>
      <w:r w:rsidRPr="004F247E">
        <w:rPr>
          <w:rFonts w:ascii="Palatino Linotype" w:eastAsia="Palatino Linotype" w:hAnsi="Palatino Linotype" w:cs="Palatino Linotype"/>
        </w:rPr>
        <w:t xml:space="preserve">bastará con que el </w:t>
      </w:r>
      <w:r w:rsidRPr="004F247E">
        <w:rPr>
          <w:rFonts w:ascii="Palatino Linotype" w:eastAsia="Palatino Linotype" w:hAnsi="Palatino Linotype" w:cs="Palatino Linotype"/>
          <w:b/>
        </w:rPr>
        <w:t xml:space="preserve">SUJETO OBLIGADO </w:t>
      </w:r>
      <w:r w:rsidRPr="004F247E">
        <w:rPr>
          <w:rFonts w:ascii="Palatino Linotype" w:eastAsia="Palatino Linotype" w:hAnsi="Palatino Linotype" w:cs="Palatino Linotype"/>
        </w:rPr>
        <w:t xml:space="preserve">lo haga del conocimiento del </w:t>
      </w:r>
      <w:r w:rsidRPr="004F247E">
        <w:rPr>
          <w:rFonts w:ascii="Palatino Linotype" w:eastAsia="Palatino Linotype" w:hAnsi="Palatino Linotype" w:cs="Palatino Linotype"/>
          <w:b/>
        </w:rPr>
        <w:t>RECURRENTE,</w:t>
      </w:r>
      <w:r w:rsidRPr="004F247E">
        <w:rPr>
          <w:rFonts w:ascii="Palatino Linotype" w:eastAsia="Palatino Linotype" w:hAnsi="Palatino Linotype" w:cs="Palatino Linotype"/>
        </w:rPr>
        <w:t xml:space="preserve"> en términos del artículo 19 párrafo segundo de la ley de la materia.</w:t>
      </w:r>
    </w:p>
    <w:p w:rsidR="00C53264" w:rsidRPr="004F247E" w:rsidRDefault="00C53264" w:rsidP="008F6D40">
      <w:pPr>
        <w:rPr>
          <w:rFonts w:ascii="Palatino Linotype" w:hAnsi="Palatino Linotype"/>
        </w:rPr>
      </w:pPr>
    </w:p>
    <w:p w:rsidR="00C53264" w:rsidRPr="004F247E" w:rsidRDefault="00EC4A9A" w:rsidP="008F6D40">
      <w:pPr>
        <w:spacing w:line="360" w:lineRule="auto"/>
        <w:jc w:val="both"/>
        <w:rPr>
          <w:rFonts w:ascii="Palatino Linotype" w:eastAsia="Palatino Linotype" w:hAnsi="Palatino Linotype" w:cs="Palatino Linotype"/>
          <w:b/>
        </w:rPr>
      </w:pPr>
      <w:r w:rsidRPr="004F247E">
        <w:rPr>
          <w:rFonts w:ascii="Palatino Linotype" w:eastAsia="Palatino Linotype" w:hAnsi="Palatino Linotype" w:cs="Palatino Linotype"/>
          <w:b/>
        </w:rPr>
        <w:t xml:space="preserve">TERCERO. NOTIFÍQUESE </w:t>
      </w:r>
      <w:r w:rsidRPr="004F247E">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C53264" w:rsidRPr="004F247E" w:rsidRDefault="00C53264" w:rsidP="008F6D40">
      <w:pPr>
        <w:spacing w:line="360" w:lineRule="auto"/>
        <w:jc w:val="both"/>
        <w:rPr>
          <w:rFonts w:ascii="Palatino Linotype" w:eastAsia="Palatino Linotype" w:hAnsi="Palatino Linotype" w:cs="Palatino Linotype"/>
          <w:b/>
        </w:rPr>
      </w:pPr>
    </w:p>
    <w:p w:rsidR="00C53264" w:rsidRPr="004F247E" w:rsidRDefault="00EC4A9A" w:rsidP="008F6D40">
      <w:pPr>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b/>
        </w:rPr>
        <w:t xml:space="preserve">CUARTO. </w:t>
      </w:r>
      <w:r w:rsidRPr="004F247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F247E">
        <w:rPr>
          <w:rFonts w:ascii="Palatino Linotype" w:eastAsia="Palatino Linotype" w:hAnsi="Palatino Linotype" w:cs="Palatino Linotype"/>
          <w:b/>
        </w:rPr>
        <w:t>SUJETO OBLIGADO</w:t>
      </w:r>
      <w:r w:rsidRPr="004F247E">
        <w:rPr>
          <w:rFonts w:ascii="Palatino Linotype" w:eastAsia="Palatino Linotype" w:hAnsi="Palatino Linotype" w:cs="Palatino Linotype"/>
        </w:rPr>
        <w:t xml:space="preserve"> de manera fundada y motivada, podrá solicitar una ampliación de plazo para el cumplimiento de la presente resolución.</w:t>
      </w:r>
    </w:p>
    <w:p w:rsidR="00C53264" w:rsidRPr="004F247E" w:rsidRDefault="00C53264" w:rsidP="008F6D40">
      <w:pPr>
        <w:spacing w:line="360" w:lineRule="auto"/>
        <w:jc w:val="both"/>
        <w:rPr>
          <w:rFonts w:ascii="Palatino Linotype" w:eastAsia="Palatino Linotype" w:hAnsi="Palatino Linotype" w:cs="Palatino Linotype"/>
        </w:rPr>
      </w:pPr>
    </w:p>
    <w:p w:rsidR="00C53264" w:rsidRPr="004F247E" w:rsidRDefault="00EC4A9A" w:rsidP="008F6D40">
      <w:pPr>
        <w:tabs>
          <w:tab w:val="left" w:pos="8080"/>
        </w:tabs>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b/>
        </w:rPr>
        <w:t xml:space="preserve">QUINTO. </w:t>
      </w:r>
      <w:r w:rsidRPr="004F247E">
        <w:rPr>
          <w:rFonts w:ascii="Palatino Linotype" w:eastAsia="Palatino Linotype" w:hAnsi="Palatino Linotype" w:cs="Palatino Linotype"/>
        </w:rPr>
        <w:t xml:space="preserve">Notifíquese a </w:t>
      </w:r>
      <w:r w:rsidRPr="004F247E">
        <w:rPr>
          <w:rFonts w:ascii="Palatino Linotype" w:eastAsia="Palatino Linotype" w:hAnsi="Palatino Linotype" w:cs="Palatino Linotype"/>
          <w:b/>
        </w:rPr>
        <w:t>EL RECURRENTE</w:t>
      </w:r>
      <w:r w:rsidRPr="004F247E">
        <w:rPr>
          <w:rFonts w:ascii="Palatino Linotype" w:eastAsia="Palatino Linotype" w:hAnsi="Palatino Linotype" w:cs="Palatino Linotype"/>
        </w:rPr>
        <w:t xml:space="preserve"> la presente resolución, vía SAIMEX.</w:t>
      </w:r>
    </w:p>
    <w:p w:rsidR="00C53264" w:rsidRPr="004F247E" w:rsidRDefault="00C53264" w:rsidP="008F6D40">
      <w:pPr>
        <w:tabs>
          <w:tab w:val="left" w:pos="8080"/>
        </w:tabs>
        <w:spacing w:line="360" w:lineRule="auto"/>
        <w:jc w:val="both"/>
        <w:rPr>
          <w:rFonts w:ascii="Palatino Linotype" w:eastAsia="Palatino Linotype" w:hAnsi="Palatino Linotype" w:cs="Palatino Linotype"/>
        </w:rPr>
      </w:pPr>
    </w:p>
    <w:p w:rsidR="00C53264" w:rsidRPr="004F247E" w:rsidRDefault="00EC4A9A" w:rsidP="008F6D40">
      <w:pPr>
        <w:shd w:val="clear" w:color="auto" w:fill="FFFFFF"/>
        <w:spacing w:line="360" w:lineRule="auto"/>
        <w:jc w:val="both"/>
        <w:rPr>
          <w:rFonts w:ascii="Palatino Linotype" w:eastAsia="Palatino Linotype" w:hAnsi="Palatino Linotype" w:cs="Palatino Linotype"/>
        </w:rPr>
      </w:pPr>
      <w:r w:rsidRPr="004F247E">
        <w:rPr>
          <w:rFonts w:ascii="Palatino Linotype" w:eastAsia="Palatino Linotype" w:hAnsi="Palatino Linotype" w:cs="Palatino Linotype"/>
          <w:b/>
        </w:rPr>
        <w:t>SEXTO.</w:t>
      </w:r>
      <w:r w:rsidRPr="004F247E">
        <w:rPr>
          <w:rFonts w:ascii="Palatino Linotype" w:eastAsia="Palatino Linotype" w:hAnsi="Palatino Linotype" w:cs="Palatino Linotype"/>
        </w:rPr>
        <w:t xml:space="preserve"> Se hace del conocimiento de </w:t>
      </w:r>
      <w:r w:rsidRPr="004F247E">
        <w:rPr>
          <w:rFonts w:ascii="Palatino Linotype" w:eastAsia="Palatino Linotype" w:hAnsi="Palatino Linotype" w:cs="Palatino Linotype"/>
          <w:b/>
        </w:rPr>
        <w:t>EL RECURRENTE</w:t>
      </w:r>
      <w:r w:rsidRPr="004F247E">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C53264" w:rsidRPr="004F247E" w:rsidRDefault="00C53264" w:rsidP="008F6D40">
      <w:pPr>
        <w:shd w:val="clear" w:color="auto" w:fill="FFFFFF"/>
        <w:tabs>
          <w:tab w:val="left" w:pos="284"/>
        </w:tabs>
        <w:spacing w:line="360" w:lineRule="auto"/>
        <w:jc w:val="both"/>
        <w:rPr>
          <w:rFonts w:ascii="Palatino Linotype" w:eastAsia="Palatino Linotype" w:hAnsi="Palatino Linotype" w:cs="Palatino Linotype"/>
        </w:rPr>
      </w:pPr>
    </w:p>
    <w:p w:rsidR="00C53264" w:rsidRDefault="00310ECB" w:rsidP="008F6D40">
      <w:pPr>
        <w:spacing w:before="240" w:after="240" w:line="360" w:lineRule="auto"/>
        <w:ind w:firstLine="1"/>
        <w:jc w:val="both"/>
        <w:rPr>
          <w:rFonts w:ascii="Palatino Linotype" w:eastAsia="Palatino Linotype" w:hAnsi="Palatino Linotype" w:cs="Palatino Linotype"/>
        </w:rPr>
      </w:pPr>
      <w:r w:rsidRPr="004F247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VEINTITRÉS (23) DE ABRIL DE DOS MIL VEINTICINCO, ANTE EL SECRETARIO TÉCNICO DEL PLENO ALEXIS TAPIA RAMÍREZ.-----------------------------------------------------------------------------------------------------------------------------------------------------------------------------------------------------------------------</w:t>
      </w:r>
      <w:bookmarkStart w:id="13" w:name="_GoBack"/>
      <w:bookmarkEnd w:id="13"/>
    </w:p>
    <w:p w:rsidR="00310ECB" w:rsidRPr="008F6D40" w:rsidRDefault="00310ECB" w:rsidP="008F6D40">
      <w:pPr>
        <w:spacing w:before="240" w:after="240" w:line="360" w:lineRule="auto"/>
        <w:ind w:firstLine="1"/>
        <w:jc w:val="both"/>
        <w:rPr>
          <w:rFonts w:ascii="Palatino Linotype" w:eastAsia="Palatino Linotype" w:hAnsi="Palatino Linotype" w:cs="Palatino Linotype"/>
          <w:b/>
        </w:rPr>
      </w:pPr>
    </w:p>
    <w:p w:rsidR="00C53264" w:rsidRPr="008F6D40" w:rsidRDefault="00C53264" w:rsidP="008F6D40">
      <w:pPr>
        <w:spacing w:line="360" w:lineRule="auto"/>
        <w:jc w:val="both"/>
        <w:rPr>
          <w:rFonts w:ascii="Palatino Linotype" w:eastAsia="Palatino Linotype" w:hAnsi="Palatino Linotype" w:cs="Palatino Linotype"/>
        </w:rPr>
      </w:pPr>
    </w:p>
    <w:p w:rsidR="00C53264" w:rsidRPr="008F6D40" w:rsidRDefault="00C53264" w:rsidP="008F6D40">
      <w:pPr>
        <w:spacing w:line="360" w:lineRule="auto"/>
        <w:jc w:val="both"/>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p w:rsidR="00C53264" w:rsidRPr="008F6D40" w:rsidRDefault="00C53264" w:rsidP="008F6D40">
      <w:pPr>
        <w:spacing w:line="360" w:lineRule="auto"/>
        <w:rPr>
          <w:rFonts w:ascii="Palatino Linotype" w:eastAsia="Palatino Linotype" w:hAnsi="Palatino Linotype" w:cs="Palatino Linotype"/>
        </w:rPr>
      </w:pPr>
    </w:p>
    <w:sectPr w:rsidR="00C53264" w:rsidRPr="008F6D40" w:rsidSect="008F6D40">
      <w:headerReference w:type="default" r:id="rId16"/>
      <w:footerReference w:type="default" r:id="rId17"/>
      <w:headerReference w:type="first" r:id="rId18"/>
      <w:footerReference w:type="first" r:id="rId19"/>
      <w:pgSz w:w="12240" w:h="15840"/>
      <w:pgMar w:top="2410" w:right="1325"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968" w:rsidRDefault="00286968">
      <w:r>
        <w:separator/>
      </w:r>
    </w:p>
  </w:endnote>
  <w:endnote w:type="continuationSeparator" w:id="0">
    <w:p w:rsidR="00286968" w:rsidRDefault="00286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9E" w:rsidRDefault="0016419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F247E">
      <w:rPr>
        <w:rFonts w:ascii="Arial" w:eastAsia="Arial" w:hAnsi="Arial" w:cs="Arial"/>
        <w:b/>
        <w:noProof/>
        <w:color w:val="000000"/>
        <w:sz w:val="20"/>
        <w:szCs w:val="20"/>
      </w:rPr>
      <w:t>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F247E">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rsidR="0016419E" w:rsidRDefault="0016419E">
    <w:pPr>
      <w:pBdr>
        <w:top w:val="nil"/>
        <w:left w:val="nil"/>
        <w:bottom w:val="nil"/>
        <w:right w:val="nil"/>
        <w:between w:val="nil"/>
      </w:pBdr>
      <w:tabs>
        <w:tab w:val="center" w:pos="4252"/>
        <w:tab w:val="right" w:pos="8504"/>
      </w:tabs>
      <w:rPr>
        <w:color w:val="000000"/>
      </w:rPr>
    </w:pPr>
  </w:p>
  <w:p w:rsidR="0016419E" w:rsidRDefault="0016419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9E" w:rsidRDefault="0016419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F247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F247E">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rsidR="0016419E" w:rsidRDefault="0016419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968" w:rsidRDefault="00286968">
      <w:r>
        <w:separator/>
      </w:r>
    </w:p>
  </w:footnote>
  <w:footnote w:type="continuationSeparator" w:id="0">
    <w:p w:rsidR="00286968" w:rsidRDefault="00286968">
      <w:r>
        <w:continuationSeparator/>
      </w:r>
    </w:p>
  </w:footnote>
  <w:footnote w:id="1">
    <w:p w:rsidR="0016419E" w:rsidRDefault="0016419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16419E" w:rsidRDefault="0016419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3">
    <w:p w:rsidR="0016419E" w:rsidRDefault="0016419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4">
    <w:p w:rsidR="0016419E" w:rsidRDefault="0016419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5">
    <w:p w:rsidR="0016419E" w:rsidRDefault="0016419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9E" w:rsidRDefault="004F247E">
    <w:pPr>
      <w:widowControl w:val="0"/>
      <w:pBdr>
        <w:top w:val="nil"/>
        <w:left w:val="nil"/>
        <w:bottom w:val="nil"/>
        <w:right w:val="nil"/>
        <w:between w:val="nil"/>
      </w:pBdr>
      <w:spacing w:line="276" w:lineRule="auto"/>
      <w:rPr>
        <w:rFonts w:ascii="Calibri" w:eastAsia="Calibri" w:hAnsi="Calibri" w:cs="Calibri"/>
        <w:color w:val="000000"/>
        <w:sz w:val="20"/>
        <w:szCs w:val="20"/>
      </w:rPr>
    </w:pPr>
    <w:r>
      <w:rPr>
        <w:noProof/>
      </w:rPr>
      <w:drawing>
        <wp:anchor distT="0" distB="0" distL="0" distR="0" simplePos="0" relativeHeight="251660288" behindDoc="1" locked="0" layoutInCell="1" hidden="0" allowOverlap="1" wp14:anchorId="7B13107F" wp14:editId="256CCE60">
          <wp:simplePos x="0" y="0"/>
          <wp:positionH relativeFrom="margin">
            <wp:posOffset>-1038860</wp:posOffset>
          </wp:positionH>
          <wp:positionV relativeFrom="paragraph">
            <wp:posOffset>-413121</wp:posOffset>
          </wp:positionV>
          <wp:extent cx="7813085" cy="10170000"/>
          <wp:effectExtent l="0" t="0" r="0" b="3175"/>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7"/>
      <w:tblW w:w="7655" w:type="dxa"/>
      <w:tblInd w:w="1843" w:type="dxa"/>
      <w:tblLayout w:type="fixed"/>
      <w:tblLook w:val="0400" w:firstRow="0" w:lastRow="0" w:firstColumn="0" w:lastColumn="0" w:noHBand="0" w:noVBand="1"/>
    </w:tblPr>
    <w:tblGrid>
      <w:gridCol w:w="2835"/>
      <w:gridCol w:w="4820"/>
    </w:tblGrid>
    <w:tr w:rsidR="0016419E" w:rsidRPr="008F6D40" w:rsidTr="008F6D40">
      <w:tc>
        <w:tcPr>
          <w:tcW w:w="2835" w:type="dxa"/>
          <w:vAlign w:val="center"/>
        </w:tcPr>
        <w:p w:rsidR="0016419E" w:rsidRPr="008F6D40" w:rsidRDefault="0016419E">
          <w:pPr>
            <w:rPr>
              <w:rFonts w:ascii="Palatino Linotype" w:eastAsia="Palatino Linotype" w:hAnsi="Palatino Linotype" w:cs="Palatino Linotype"/>
              <w:b/>
            </w:rPr>
          </w:pPr>
          <w:r w:rsidRPr="008F6D40">
            <w:rPr>
              <w:rFonts w:ascii="Palatino Linotype" w:eastAsia="Palatino Linotype" w:hAnsi="Palatino Linotype" w:cs="Palatino Linotype"/>
              <w:b/>
            </w:rPr>
            <w:t>Recurso de Revisión:</w:t>
          </w:r>
        </w:p>
      </w:tc>
      <w:tc>
        <w:tcPr>
          <w:tcW w:w="4820" w:type="dxa"/>
          <w:vAlign w:val="center"/>
        </w:tcPr>
        <w:p w:rsidR="0016419E" w:rsidRPr="008F6D40" w:rsidRDefault="0016419E">
          <w:pPr>
            <w:ind w:right="-1235"/>
            <w:rPr>
              <w:rFonts w:ascii="Palatino Linotype" w:eastAsia="Palatino Linotype" w:hAnsi="Palatino Linotype" w:cs="Palatino Linotype"/>
            </w:rPr>
          </w:pPr>
          <w:r w:rsidRPr="008F6D40">
            <w:rPr>
              <w:rFonts w:ascii="Palatino Linotype" w:eastAsia="Palatino Linotype" w:hAnsi="Palatino Linotype" w:cs="Palatino Linotype"/>
            </w:rPr>
            <w:t>02843/INFOEM/IP/RR/2025 y Acumulado</w:t>
          </w:r>
        </w:p>
      </w:tc>
    </w:tr>
    <w:tr w:rsidR="0016419E" w:rsidRPr="008F6D40" w:rsidTr="008F6D40">
      <w:trPr>
        <w:trHeight w:val="228"/>
      </w:trPr>
      <w:tc>
        <w:tcPr>
          <w:tcW w:w="2835" w:type="dxa"/>
          <w:vAlign w:val="center"/>
        </w:tcPr>
        <w:p w:rsidR="0016419E" w:rsidRPr="008F6D40" w:rsidRDefault="0016419E">
          <w:pPr>
            <w:rPr>
              <w:rFonts w:ascii="Palatino Linotype" w:eastAsia="Palatino Linotype" w:hAnsi="Palatino Linotype" w:cs="Palatino Linotype"/>
              <w:b/>
            </w:rPr>
          </w:pPr>
          <w:r w:rsidRPr="008F6D40">
            <w:rPr>
              <w:rFonts w:ascii="Palatino Linotype" w:eastAsia="Palatino Linotype" w:hAnsi="Palatino Linotype" w:cs="Palatino Linotype"/>
              <w:b/>
            </w:rPr>
            <w:t>Sujeto Obligado:</w:t>
          </w:r>
        </w:p>
      </w:tc>
      <w:tc>
        <w:tcPr>
          <w:tcW w:w="4820" w:type="dxa"/>
          <w:vAlign w:val="center"/>
        </w:tcPr>
        <w:p w:rsidR="0016419E" w:rsidRPr="008F6D40" w:rsidRDefault="0016419E">
          <w:pPr>
            <w:ind w:right="-1235"/>
            <w:rPr>
              <w:rFonts w:ascii="Palatino Linotype" w:eastAsia="Palatino Linotype" w:hAnsi="Palatino Linotype" w:cs="Palatino Linotype"/>
            </w:rPr>
          </w:pPr>
          <w:r w:rsidRPr="008F6D40">
            <w:rPr>
              <w:rFonts w:ascii="Palatino Linotype" w:eastAsia="Palatino Linotype" w:hAnsi="Palatino Linotype" w:cs="Palatino Linotype"/>
              <w:color w:val="000000"/>
            </w:rPr>
            <w:t>Ayuntamiento de Toluca</w:t>
          </w:r>
        </w:p>
      </w:tc>
    </w:tr>
    <w:tr w:rsidR="0016419E" w:rsidRPr="008F6D40" w:rsidTr="008F6D40">
      <w:tc>
        <w:tcPr>
          <w:tcW w:w="2835" w:type="dxa"/>
          <w:vAlign w:val="center"/>
        </w:tcPr>
        <w:p w:rsidR="0016419E" w:rsidRPr="008F6D40" w:rsidRDefault="0016419E">
          <w:pPr>
            <w:rPr>
              <w:rFonts w:ascii="Palatino Linotype" w:eastAsia="Palatino Linotype" w:hAnsi="Palatino Linotype" w:cs="Palatino Linotype"/>
              <w:b/>
            </w:rPr>
          </w:pPr>
          <w:r w:rsidRPr="008F6D40">
            <w:rPr>
              <w:rFonts w:ascii="Palatino Linotype" w:eastAsia="Palatino Linotype" w:hAnsi="Palatino Linotype" w:cs="Palatino Linotype"/>
              <w:b/>
            </w:rPr>
            <w:t>Comisionada Ponente:</w:t>
          </w:r>
        </w:p>
      </w:tc>
      <w:tc>
        <w:tcPr>
          <w:tcW w:w="4820" w:type="dxa"/>
          <w:vAlign w:val="center"/>
        </w:tcPr>
        <w:p w:rsidR="0016419E" w:rsidRPr="008F6D40" w:rsidRDefault="0016419E">
          <w:pPr>
            <w:ind w:right="-1235"/>
            <w:rPr>
              <w:rFonts w:ascii="Palatino Linotype" w:eastAsia="Palatino Linotype" w:hAnsi="Palatino Linotype" w:cs="Palatino Linotype"/>
            </w:rPr>
          </w:pPr>
          <w:r w:rsidRPr="008F6D40">
            <w:rPr>
              <w:rFonts w:ascii="Palatino Linotype" w:eastAsia="Palatino Linotype" w:hAnsi="Palatino Linotype" w:cs="Palatino Linotype"/>
            </w:rPr>
            <w:t>María del Rosario Mejía Ayala</w:t>
          </w:r>
        </w:p>
      </w:tc>
    </w:tr>
  </w:tbl>
  <w:p w:rsidR="0016419E" w:rsidRDefault="0016419E">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9E" w:rsidRDefault="0016419E">
    <w:pPr>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p>
  <w:tbl>
    <w:tblPr>
      <w:tblStyle w:val="a8"/>
      <w:tblW w:w="7513" w:type="dxa"/>
      <w:tblInd w:w="2410" w:type="dxa"/>
      <w:tblLayout w:type="fixed"/>
      <w:tblLook w:val="0400" w:firstRow="0" w:lastRow="0" w:firstColumn="0" w:lastColumn="0" w:noHBand="0" w:noVBand="1"/>
    </w:tblPr>
    <w:tblGrid>
      <w:gridCol w:w="2835"/>
      <w:gridCol w:w="4678"/>
    </w:tblGrid>
    <w:tr w:rsidR="0016419E" w:rsidRPr="008F6D40" w:rsidTr="008F6D40">
      <w:tc>
        <w:tcPr>
          <w:tcW w:w="2835" w:type="dxa"/>
          <w:vAlign w:val="center"/>
        </w:tcPr>
        <w:p w:rsidR="0016419E" w:rsidRPr="008F6D40" w:rsidRDefault="0016419E">
          <w:pPr>
            <w:rPr>
              <w:rFonts w:ascii="Palatino Linotype" w:eastAsia="Palatino Linotype" w:hAnsi="Palatino Linotype" w:cs="Palatino Linotype"/>
              <w:b/>
            </w:rPr>
          </w:pPr>
          <w:r w:rsidRPr="008F6D40">
            <w:rPr>
              <w:rFonts w:ascii="Palatino Linotype" w:eastAsia="Palatino Linotype" w:hAnsi="Palatino Linotype" w:cs="Palatino Linotype"/>
              <w:b/>
            </w:rPr>
            <w:t>Recurso de Revisión:</w:t>
          </w:r>
        </w:p>
      </w:tc>
      <w:tc>
        <w:tcPr>
          <w:tcW w:w="4678" w:type="dxa"/>
          <w:vAlign w:val="center"/>
        </w:tcPr>
        <w:p w:rsidR="0016419E" w:rsidRPr="008F6D40" w:rsidRDefault="0016419E">
          <w:pPr>
            <w:ind w:right="-1235"/>
            <w:rPr>
              <w:rFonts w:ascii="Palatino Linotype" w:eastAsia="Palatino Linotype" w:hAnsi="Palatino Linotype" w:cs="Palatino Linotype"/>
            </w:rPr>
          </w:pPr>
          <w:r w:rsidRPr="008F6D40">
            <w:rPr>
              <w:rFonts w:ascii="Palatino Linotype" w:eastAsia="Palatino Linotype" w:hAnsi="Palatino Linotype" w:cs="Palatino Linotype"/>
            </w:rPr>
            <w:t>02843/INFOEM/IP/RR/2025 y Acumulado</w:t>
          </w:r>
        </w:p>
      </w:tc>
    </w:tr>
    <w:tr w:rsidR="0016419E" w:rsidRPr="008F6D40" w:rsidTr="008F6D40">
      <w:tc>
        <w:tcPr>
          <w:tcW w:w="2835" w:type="dxa"/>
          <w:vAlign w:val="center"/>
        </w:tcPr>
        <w:p w:rsidR="0016419E" w:rsidRPr="008F6D40" w:rsidRDefault="0016419E">
          <w:pPr>
            <w:ind w:left="35" w:hanging="35"/>
            <w:rPr>
              <w:rFonts w:ascii="Palatino Linotype" w:eastAsia="Palatino Linotype" w:hAnsi="Palatino Linotype" w:cs="Palatino Linotype"/>
              <w:b/>
            </w:rPr>
          </w:pPr>
          <w:r w:rsidRPr="008F6D40">
            <w:rPr>
              <w:rFonts w:ascii="Palatino Linotype" w:eastAsia="Palatino Linotype" w:hAnsi="Palatino Linotype" w:cs="Palatino Linotype"/>
              <w:b/>
            </w:rPr>
            <w:t>Recurrente:</w:t>
          </w:r>
        </w:p>
      </w:tc>
      <w:tc>
        <w:tcPr>
          <w:tcW w:w="4678" w:type="dxa"/>
          <w:vAlign w:val="center"/>
        </w:tcPr>
        <w:p w:rsidR="0016419E" w:rsidRPr="008F6D40" w:rsidRDefault="0016419E">
          <w:pPr>
            <w:ind w:right="-1235"/>
            <w:rPr>
              <w:rFonts w:ascii="Palatino Linotype" w:eastAsia="Palatino Linotype" w:hAnsi="Palatino Linotype" w:cs="Palatino Linotype"/>
            </w:rPr>
          </w:pPr>
          <w:r>
            <w:rPr>
              <w:noProof/>
            </w:rPr>
            <w:drawing>
              <wp:anchor distT="0" distB="0" distL="0" distR="0" simplePos="0" relativeHeight="251658240" behindDoc="1" locked="0" layoutInCell="1" hidden="0" allowOverlap="1">
                <wp:simplePos x="0" y="0"/>
                <wp:positionH relativeFrom="column">
                  <wp:posOffset>-4753610</wp:posOffset>
                </wp:positionH>
                <wp:positionV relativeFrom="paragraph">
                  <wp:posOffset>-831215</wp:posOffset>
                </wp:positionV>
                <wp:extent cx="8020050" cy="10169525"/>
                <wp:effectExtent l="0" t="0" r="0" b="3175"/>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020050" cy="10169525"/>
                        </a:xfrm>
                        <a:prstGeom prst="rect">
                          <a:avLst/>
                        </a:prstGeom>
                        <a:ln/>
                      </pic:spPr>
                    </pic:pic>
                  </a:graphicData>
                </a:graphic>
                <wp14:sizeRelH relativeFrom="margin">
                  <wp14:pctWidth>0</wp14:pctWidth>
                </wp14:sizeRelH>
                <wp14:sizeRelV relativeFrom="margin">
                  <wp14:pctHeight>0</wp14:pctHeight>
                </wp14:sizeRelV>
              </wp:anchor>
            </w:drawing>
          </w:r>
        </w:p>
      </w:tc>
    </w:tr>
    <w:tr w:rsidR="0016419E" w:rsidRPr="008F6D40" w:rsidTr="008F6D40">
      <w:trPr>
        <w:trHeight w:val="228"/>
      </w:trPr>
      <w:tc>
        <w:tcPr>
          <w:tcW w:w="2835" w:type="dxa"/>
          <w:vAlign w:val="center"/>
        </w:tcPr>
        <w:p w:rsidR="0016419E" w:rsidRPr="008F6D40" w:rsidRDefault="0016419E">
          <w:pPr>
            <w:rPr>
              <w:rFonts w:ascii="Palatino Linotype" w:eastAsia="Palatino Linotype" w:hAnsi="Palatino Linotype" w:cs="Palatino Linotype"/>
              <w:b/>
            </w:rPr>
          </w:pPr>
          <w:r w:rsidRPr="008F6D40">
            <w:rPr>
              <w:rFonts w:ascii="Palatino Linotype" w:eastAsia="Palatino Linotype" w:hAnsi="Palatino Linotype" w:cs="Palatino Linotype"/>
              <w:b/>
            </w:rPr>
            <w:t>Sujeto Obligado:</w:t>
          </w:r>
        </w:p>
      </w:tc>
      <w:tc>
        <w:tcPr>
          <w:tcW w:w="4678" w:type="dxa"/>
          <w:vAlign w:val="center"/>
        </w:tcPr>
        <w:p w:rsidR="0016419E" w:rsidRPr="008F6D40" w:rsidRDefault="0016419E">
          <w:pPr>
            <w:ind w:left="35" w:right="-1235" w:hanging="35"/>
            <w:rPr>
              <w:rFonts w:ascii="Palatino Linotype" w:eastAsia="Palatino Linotype" w:hAnsi="Palatino Linotype" w:cs="Palatino Linotype"/>
            </w:rPr>
          </w:pPr>
          <w:r w:rsidRPr="008F6D40">
            <w:rPr>
              <w:rFonts w:ascii="Palatino Linotype" w:eastAsia="Palatino Linotype" w:hAnsi="Palatino Linotype" w:cs="Palatino Linotype"/>
              <w:color w:val="000000"/>
            </w:rPr>
            <w:t>Ayuntamiento de Toluca</w:t>
          </w:r>
        </w:p>
      </w:tc>
    </w:tr>
    <w:tr w:rsidR="0016419E" w:rsidRPr="008F6D40" w:rsidTr="008F6D40">
      <w:tc>
        <w:tcPr>
          <w:tcW w:w="2835" w:type="dxa"/>
          <w:vAlign w:val="center"/>
        </w:tcPr>
        <w:p w:rsidR="0016419E" w:rsidRPr="008F6D40" w:rsidRDefault="0016419E">
          <w:pPr>
            <w:rPr>
              <w:rFonts w:ascii="Palatino Linotype" w:eastAsia="Palatino Linotype" w:hAnsi="Palatino Linotype" w:cs="Palatino Linotype"/>
              <w:b/>
            </w:rPr>
          </w:pPr>
          <w:r w:rsidRPr="008F6D40">
            <w:rPr>
              <w:rFonts w:ascii="Palatino Linotype" w:eastAsia="Palatino Linotype" w:hAnsi="Palatino Linotype" w:cs="Palatino Linotype"/>
              <w:b/>
            </w:rPr>
            <w:t>Comisionada Ponente:</w:t>
          </w:r>
        </w:p>
      </w:tc>
      <w:tc>
        <w:tcPr>
          <w:tcW w:w="4678" w:type="dxa"/>
          <w:vAlign w:val="center"/>
        </w:tcPr>
        <w:p w:rsidR="0016419E" w:rsidRPr="008F6D40" w:rsidRDefault="0016419E">
          <w:pPr>
            <w:ind w:right="-1235"/>
            <w:rPr>
              <w:rFonts w:ascii="Palatino Linotype" w:eastAsia="Palatino Linotype" w:hAnsi="Palatino Linotype" w:cs="Palatino Linotype"/>
            </w:rPr>
          </w:pPr>
          <w:r w:rsidRPr="008F6D40">
            <w:rPr>
              <w:rFonts w:ascii="Palatino Linotype" w:eastAsia="Palatino Linotype" w:hAnsi="Palatino Linotype" w:cs="Palatino Linotype"/>
            </w:rPr>
            <w:t>María del Rosario Mejía Ayala</w:t>
          </w:r>
        </w:p>
      </w:tc>
    </w:tr>
  </w:tbl>
  <w:p w:rsidR="0016419E" w:rsidRDefault="0016419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C293A"/>
    <w:multiLevelType w:val="multilevel"/>
    <w:tmpl w:val="C2F6F7F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nsid w:val="22F247A8"/>
    <w:multiLevelType w:val="multilevel"/>
    <w:tmpl w:val="946A2C56"/>
    <w:lvl w:ilvl="0">
      <w:start w:val="1"/>
      <w:numFmt w:val="upperRoman"/>
      <w:lvlText w:val="%1."/>
      <w:lvlJc w:val="left"/>
      <w:pPr>
        <w:ind w:left="6816" w:hanging="720"/>
      </w:pPr>
    </w:lvl>
    <w:lvl w:ilvl="1">
      <w:start w:val="1"/>
      <w:numFmt w:val="lowerLetter"/>
      <w:lvlText w:val="%2."/>
      <w:lvlJc w:val="left"/>
      <w:pPr>
        <w:ind w:left="7176" w:hanging="360"/>
      </w:pPr>
    </w:lvl>
    <w:lvl w:ilvl="2">
      <w:start w:val="1"/>
      <w:numFmt w:val="lowerRoman"/>
      <w:lvlText w:val="%3."/>
      <w:lvlJc w:val="right"/>
      <w:pPr>
        <w:ind w:left="7896" w:hanging="180"/>
      </w:pPr>
    </w:lvl>
    <w:lvl w:ilvl="3">
      <w:start w:val="1"/>
      <w:numFmt w:val="decimal"/>
      <w:lvlText w:val="%4."/>
      <w:lvlJc w:val="left"/>
      <w:pPr>
        <w:ind w:left="8616" w:hanging="360"/>
      </w:pPr>
    </w:lvl>
    <w:lvl w:ilvl="4">
      <w:start w:val="1"/>
      <w:numFmt w:val="lowerLetter"/>
      <w:lvlText w:val="%5."/>
      <w:lvlJc w:val="left"/>
      <w:pPr>
        <w:ind w:left="9336" w:hanging="360"/>
      </w:pPr>
    </w:lvl>
    <w:lvl w:ilvl="5">
      <w:start w:val="1"/>
      <w:numFmt w:val="lowerRoman"/>
      <w:lvlText w:val="%6."/>
      <w:lvlJc w:val="right"/>
      <w:pPr>
        <w:ind w:left="10056" w:hanging="180"/>
      </w:pPr>
    </w:lvl>
    <w:lvl w:ilvl="6">
      <w:start w:val="1"/>
      <w:numFmt w:val="decimal"/>
      <w:lvlText w:val="%7."/>
      <w:lvlJc w:val="left"/>
      <w:pPr>
        <w:ind w:left="10776" w:hanging="360"/>
      </w:pPr>
    </w:lvl>
    <w:lvl w:ilvl="7">
      <w:start w:val="1"/>
      <w:numFmt w:val="lowerLetter"/>
      <w:lvlText w:val="%8."/>
      <w:lvlJc w:val="left"/>
      <w:pPr>
        <w:ind w:left="11496" w:hanging="360"/>
      </w:pPr>
    </w:lvl>
    <w:lvl w:ilvl="8">
      <w:start w:val="1"/>
      <w:numFmt w:val="lowerRoman"/>
      <w:lvlText w:val="%9."/>
      <w:lvlJc w:val="right"/>
      <w:pPr>
        <w:ind w:left="12216" w:hanging="180"/>
      </w:pPr>
    </w:lvl>
  </w:abstractNum>
  <w:abstractNum w:abstractNumId="2">
    <w:nsid w:val="33D82AD6"/>
    <w:multiLevelType w:val="multilevel"/>
    <w:tmpl w:val="27DEFADC"/>
    <w:lvl w:ilvl="0">
      <w:start w:val="1"/>
      <w:numFmt w:val="decimal"/>
      <w:lvlText w:val="%1."/>
      <w:lvlJc w:val="left"/>
      <w:pPr>
        <w:ind w:left="433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40A7581"/>
    <w:multiLevelType w:val="multilevel"/>
    <w:tmpl w:val="A320A1DA"/>
    <w:lvl w:ilvl="0">
      <w:start w:val="1"/>
      <w:numFmt w:val="lowerLetter"/>
      <w:lvlText w:val="%1)"/>
      <w:lvlJc w:val="left"/>
      <w:pPr>
        <w:ind w:left="778" w:hanging="360"/>
      </w:pPr>
      <w:rPr>
        <w:rFonts w:ascii="Palatino Linotype" w:eastAsia="Palatino Linotype" w:hAnsi="Palatino Linotype" w:cs="Palatino Linotype"/>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4">
    <w:nsid w:val="4A392A83"/>
    <w:multiLevelType w:val="multilevel"/>
    <w:tmpl w:val="17682E2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
    <w:nsid w:val="4ECD5C2F"/>
    <w:multiLevelType w:val="multilevel"/>
    <w:tmpl w:val="64F6956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55E90B61"/>
    <w:multiLevelType w:val="multilevel"/>
    <w:tmpl w:val="92F0AFF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682489C"/>
    <w:multiLevelType w:val="multilevel"/>
    <w:tmpl w:val="B3B258A2"/>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6A87E11"/>
    <w:multiLevelType w:val="multilevel"/>
    <w:tmpl w:val="2640DE1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9">
    <w:nsid w:val="77D87087"/>
    <w:multiLevelType w:val="multilevel"/>
    <w:tmpl w:val="8DFC7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F2742D6"/>
    <w:multiLevelType w:val="multilevel"/>
    <w:tmpl w:val="A320A1DA"/>
    <w:lvl w:ilvl="0">
      <w:start w:val="1"/>
      <w:numFmt w:val="lowerLetter"/>
      <w:lvlText w:val="%1)"/>
      <w:lvlJc w:val="left"/>
      <w:pPr>
        <w:ind w:left="778" w:hanging="360"/>
      </w:pPr>
      <w:rPr>
        <w:rFonts w:ascii="Palatino Linotype" w:eastAsia="Palatino Linotype" w:hAnsi="Palatino Linotype" w:cs="Palatino Linotype"/>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abstractNumId w:val="8"/>
  </w:num>
  <w:num w:numId="2">
    <w:abstractNumId w:val="6"/>
  </w:num>
  <w:num w:numId="3">
    <w:abstractNumId w:val="10"/>
  </w:num>
  <w:num w:numId="4">
    <w:abstractNumId w:val="5"/>
  </w:num>
  <w:num w:numId="5">
    <w:abstractNumId w:val="1"/>
  </w:num>
  <w:num w:numId="6">
    <w:abstractNumId w:val="2"/>
  </w:num>
  <w:num w:numId="7">
    <w:abstractNumId w:val="4"/>
  </w:num>
  <w:num w:numId="8">
    <w:abstractNumId w:val="0"/>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264"/>
    <w:rsid w:val="00034FCD"/>
    <w:rsid w:val="001067F5"/>
    <w:rsid w:val="0016419E"/>
    <w:rsid w:val="00286968"/>
    <w:rsid w:val="00310ECB"/>
    <w:rsid w:val="00341467"/>
    <w:rsid w:val="00385C61"/>
    <w:rsid w:val="00392BDD"/>
    <w:rsid w:val="003E51BB"/>
    <w:rsid w:val="004F247E"/>
    <w:rsid w:val="008F6D40"/>
    <w:rsid w:val="00C53264"/>
    <w:rsid w:val="00C71A83"/>
    <w:rsid w:val="00EC4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5E59C5-0C0B-407C-9797-07204B68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9B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styleId="Hipervnculo">
    <w:name w:val="Hyperlink"/>
    <w:basedOn w:val="Fuentedeprrafopredeter"/>
    <w:uiPriority w:val="99"/>
    <w:unhideWhenUsed/>
    <w:rsid w:val="00CE49B6"/>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E49B6"/>
    <w:pPr>
      <w:ind w:left="720"/>
      <w:contextualSpacing/>
    </w:pPr>
  </w:style>
  <w:style w:type="table" w:styleId="Tablaconcuadrcula">
    <w:name w:val="Table Grid"/>
    <w:basedOn w:val="Tablanormal"/>
    <w:uiPriority w:val="39"/>
    <w:rsid w:val="00CE49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E49B6"/>
    <w:pPr>
      <w:tabs>
        <w:tab w:val="center" w:pos="4419"/>
        <w:tab w:val="right" w:pos="8838"/>
      </w:tabs>
    </w:pPr>
  </w:style>
  <w:style w:type="character" w:customStyle="1" w:styleId="EncabezadoCar">
    <w:name w:val="Encabezado Car"/>
    <w:basedOn w:val="Fuentedeprrafopredeter"/>
    <w:link w:val="Encabezado"/>
    <w:uiPriority w:val="99"/>
    <w:rsid w:val="00CE49B6"/>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CE49B6"/>
    <w:pPr>
      <w:tabs>
        <w:tab w:val="center" w:pos="4419"/>
        <w:tab w:val="right" w:pos="8838"/>
      </w:tabs>
    </w:pPr>
  </w:style>
  <w:style w:type="character" w:customStyle="1" w:styleId="PiedepginaCar">
    <w:name w:val="Pie de página Car"/>
    <w:basedOn w:val="Fuentedeprrafopredeter"/>
    <w:link w:val="Piedepgina"/>
    <w:uiPriority w:val="99"/>
    <w:rsid w:val="00CE49B6"/>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E73FC4"/>
    <w:rPr>
      <w:i/>
      <w:iC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02CCD"/>
    <w:rPr>
      <w:rFonts w:ascii="Times New Roman" w:eastAsia="Times New Roman" w:hAnsi="Times New Roman" w:cs="Times New Roman"/>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4GZIjN8TnLNMkXezEWbaAKxqwA==">CgMxLjAyCGguZ2pkZ3hzMgloLjMwajB6bGwyCWguM3pueXNoNzIJaC4yZXQ5MnAwMgloLjNkeTZ2a20yCWguMXQzaDVzZjIJaC40ZDM0b2c4MgloLjJzOGV5bzEyCWguMTdkcDh2dTIJaC4zcmRjcmpuMg5oLnYxNmt0c2EzdWpsYTIJaC4zNW5rdW4yMgloLjI2aW4xcmc4AHIhMTRIX19Wcm53bnZGNHBxNG1vdi1uNU9RMGJMQmFYWHRn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59</Pages>
  <Words>14326</Words>
  <Characters>78799</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INFOEM416</cp:lastModifiedBy>
  <cp:revision>7</cp:revision>
  <cp:lastPrinted>2025-04-24T17:13:00Z</cp:lastPrinted>
  <dcterms:created xsi:type="dcterms:W3CDTF">2025-04-21T18:23:00Z</dcterms:created>
  <dcterms:modified xsi:type="dcterms:W3CDTF">2025-04-24T17:13:00Z</dcterms:modified>
</cp:coreProperties>
</file>