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D6C"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México, a </w:t>
      </w:r>
      <w:r w:rsidR="00EA0737" w:rsidRPr="00EA0737">
        <w:rPr>
          <w:rFonts w:eastAsia="Palatino Linotype" w:cs="Palatino Linotype"/>
          <w:color w:val="000000"/>
          <w:szCs w:val="24"/>
        </w:rPr>
        <w:t>diez de diciembre de dos mil veinticinco.</w:t>
      </w:r>
    </w:p>
    <w:p w:rsidR="00EA0737" w:rsidRPr="00E2546F" w:rsidRDefault="00EA0737" w:rsidP="00D22D6C">
      <w:pPr>
        <w:pBdr>
          <w:top w:val="nil"/>
          <w:left w:val="nil"/>
          <w:bottom w:val="nil"/>
          <w:right w:val="nil"/>
          <w:between w:val="nil"/>
        </w:pBdr>
        <w:contextualSpacing/>
        <w:rPr>
          <w:rFonts w:eastAsia="Palatino Linotype" w:cs="Palatino Linotype"/>
          <w:color w:val="000000"/>
          <w:szCs w:val="24"/>
        </w:rPr>
      </w:pPr>
    </w:p>
    <w:p w:rsidR="00D22D6C"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b/>
          <w:color w:val="000000"/>
          <w:szCs w:val="24"/>
        </w:rPr>
        <w:t>VISTO</w:t>
      </w:r>
      <w:r w:rsidRPr="00E2546F">
        <w:rPr>
          <w:rFonts w:eastAsia="Palatino Linotype" w:cs="Palatino Linotype"/>
          <w:color w:val="000000"/>
          <w:szCs w:val="24"/>
        </w:rPr>
        <w:t xml:space="preserve"> el expediente electrónico formado con motivo del recurso de revisión número </w:t>
      </w:r>
      <w:bookmarkStart w:id="0" w:name="_GoBack"/>
      <w:r w:rsidR="004C7A6F">
        <w:rPr>
          <w:rFonts w:eastAsia="Palatino Linotype" w:cs="Palatino Linotype"/>
          <w:b/>
          <w:color w:val="000000"/>
          <w:szCs w:val="24"/>
        </w:rPr>
        <w:t>12</w:t>
      </w:r>
      <w:r w:rsidR="00605607">
        <w:rPr>
          <w:rFonts w:eastAsia="Palatino Linotype" w:cs="Palatino Linotype"/>
          <w:b/>
          <w:color w:val="000000"/>
          <w:szCs w:val="24"/>
        </w:rPr>
        <w:t>270</w:t>
      </w:r>
      <w:r w:rsidRPr="00E2546F">
        <w:rPr>
          <w:rFonts w:eastAsia="Palatino Linotype" w:cs="Palatino Linotype"/>
          <w:b/>
          <w:color w:val="000000"/>
          <w:szCs w:val="24"/>
        </w:rPr>
        <w:t>/INFOEM/IP/RR/2025</w:t>
      </w:r>
      <w:bookmarkEnd w:id="0"/>
      <w:r w:rsidRPr="00E2546F">
        <w:rPr>
          <w:rFonts w:eastAsia="Palatino Linotype" w:cs="Palatino Linotype"/>
          <w:color w:val="000000"/>
          <w:szCs w:val="24"/>
        </w:rPr>
        <w:t>, interpuesto por</w:t>
      </w:r>
      <w:r w:rsidRPr="00E2546F">
        <w:rPr>
          <w:rFonts w:cs="Arial"/>
          <w:b/>
          <w:szCs w:val="24"/>
        </w:rPr>
        <w:t xml:space="preserve"> </w:t>
      </w:r>
      <w:r>
        <w:rPr>
          <w:rFonts w:cs="Arial"/>
          <w:b/>
          <w:szCs w:val="24"/>
        </w:rPr>
        <w:t>un particular que no proporciono nombre</w:t>
      </w:r>
      <w:r w:rsidRPr="00E2546F">
        <w:rPr>
          <w:rFonts w:cs="Arial"/>
          <w:szCs w:val="24"/>
        </w:rPr>
        <w:t xml:space="preserve">, </w:t>
      </w:r>
      <w:r w:rsidRPr="00E2546F">
        <w:rPr>
          <w:rFonts w:eastAsia="Palatino Linotype" w:cs="Palatino Linotype"/>
          <w:color w:val="000000"/>
          <w:szCs w:val="24"/>
        </w:rPr>
        <w:t xml:space="preserve">en lo sucesivo el </w:t>
      </w:r>
      <w:r w:rsidRPr="00E2546F">
        <w:rPr>
          <w:rFonts w:eastAsia="Palatino Linotype" w:cs="Palatino Linotype"/>
          <w:b/>
          <w:color w:val="000000"/>
          <w:szCs w:val="24"/>
        </w:rPr>
        <w:t>Recurrente</w:t>
      </w:r>
      <w:r w:rsidRPr="00E2546F">
        <w:rPr>
          <w:rFonts w:eastAsia="Palatino Linotype" w:cs="Palatino Linotype"/>
          <w:color w:val="000000"/>
          <w:szCs w:val="24"/>
        </w:rPr>
        <w:t>, en contra de la respuesta del</w:t>
      </w:r>
      <w:r w:rsidRPr="00E2546F">
        <w:rPr>
          <w:rFonts w:eastAsia="Palatino Linotype" w:cs="Palatino Linotype"/>
          <w:b/>
          <w:color w:val="000000"/>
          <w:szCs w:val="24"/>
        </w:rPr>
        <w:t xml:space="preserve"> </w:t>
      </w:r>
      <w:r w:rsidR="00540B7F" w:rsidRPr="00540B7F">
        <w:rPr>
          <w:b/>
          <w:bCs/>
          <w:color w:val="000000"/>
          <w:szCs w:val="24"/>
        </w:rPr>
        <w:t>Consejo Estatal para el Desarrollo Integral de Los Pueblos Indígenas del Estado de México</w:t>
      </w:r>
      <w:r w:rsidRPr="00E2546F">
        <w:rPr>
          <w:rFonts w:eastAsia="Palatino Linotype" w:cs="Palatino Linotype"/>
          <w:color w:val="000000"/>
          <w:szCs w:val="24"/>
        </w:rPr>
        <w:t>, en lo subsecuente</w:t>
      </w:r>
      <w:r w:rsidRPr="00E2546F">
        <w:rPr>
          <w:rFonts w:eastAsia="Palatino Linotype" w:cs="Palatino Linotype"/>
          <w:b/>
          <w:color w:val="000000"/>
          <w:szCs w:val="24"/>
        </w:rPr>
        <w:t xml:space="preserve"> </w:t>
      </w:r>
      <w:r w:rsidRPr="00E2546F">
        <w:rPr>
          <w:rFonts w:eastAsia="Palatino Linotype" w:cs="Palatino Linotype"/>
          <w:color w:val="000000"/>
          <w:szCs w:val="24"/>
        </w:rPr>
        <w:t>el</w:t>
      </w:r>
      <w:r w:rsidRPr="00E2546F">
        <w:rPr>
          <w:rFonts w:eastAsia="Palatino Linotype" w:cs="Palatino Linotype"/>
          <w:b/>
          <w:color w:val="000000"/>
          <w:szCs w:val="24"/>
        </w:rPr>
        <w:t xml:space="preserve"> Sujeto Obligado, </w:t>
      </w:r>
      <w:r w:rsidRPr="00E2546F">
        <w:rPr>
          <w:rFonts w:eastAsia="Palatino Linotype" w:cs="Palatino Linotype"/>
          <w:color w:val="000000"/>
          <w:szCs w:val="24"/>
        </w:rPr>
        <w:t>se procede a dictar la presente resolución.</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p>
    <w:p w:rsidR="00D22D6C" w:rsidRPr="00E2546F" w:rsidRDefault="00D22D6C" w:rsidP="00D22D6C">
      <w:pPr>
        <w:pStyle w:val="Ttulo1"/>
        <w:jc w:val="center"/>
        <w:rPr>
          <w:rFonts w:ascii="Palatino Linotype" w:eastAsia="Palatino Linotype" w:hAnsi="Palatino Linotype"/>
          <w:b/>
          <w:bCs/>
          <w:color w:val="auto"/>
          <w:sz w:val="28"/>
          <w:szCs w:val="28"/>
        </w:rPr>
      </w:pPr>
      <w:r w:rsidRPr="00E2546F">
        <w:rPr>
          <w:rFonts w:ascii="Palatino Linotype" w:eastAsia="Palatino Linotype" w:hAnsi="Palatino Linotype"/>
          <w:b/>
          <w:bCs/>
          <w:color w:val="auto"/>
          <w:sz w:val="28"/>
          <w:szCs w:val="28"/>
        </w:rPr>
        <w:t>A N T E C E D E N T E S</w:t>
      </w:r>
    </w:p>
    <w:p w:rsidR="00D22D6C" w:rsidRPr="00E2546F" w:rsidRDefault="00D22D6C" w:rsidP="00D22D6C">
      <w:pPr>
        <w:pBdr>
          <w:top w:val="nil"/>
          <w:left w:val="nil"/>
          <w:bottom w:val="nil"/>
          <w:right w:val="nil"/>
          <w:between w:val="nil"/>
        </w:pBdr>
        <w:contextualSpacing/>
        <w:rPr>
          <w:rFonts w:eastAsia="Palatino Linotype" w:cs="Palatino Linotype"/>
          <w:b/>
          <w:bCs/>
          <w:szCs w:val="24"/>
        </w:rPr>
      </w:pPr>
    </w:p>
    <w:p w:rsidR="00D22D6C" w:rsidRPr="00E2546F" w:rsidRDefault="00D22D6C" w:rsidP="00D22D6C">
      <w:pPr>
        <w:pStyle w:val="Ttulo2"/>
        <w:rPr>
          <w:rFonts w:eastAsia="Palatino Linotype"/>
          <w:b/>
          <w:bCs/>
        </w:rPr>
      </w:pPr>
      <w:r w:rsidRPr="00E2546F">
        <w:rPr>
          <w:rFonts w:ascii="Palatino Linotype" w:eastAsia="Palatino Linotype" w:hAnsi="Palatino Linotype"/>
          <w:b/>
          <w:bCs/>
          <w:color w:val="auto"/>
          <w:sz w:val="24"/>
          <w:szCs w:val="24"/>
        </w:rPr>
        <w:t>PRIMERO. De la Solicitud de Información</w:t>
      </w:r>
      <w:r w:rsidRPr="00E2546F">
        <w:rPr>
          <w:rFonts w:eastAsia="Palatino Linotype"/>
          <w:b/>
          <w:bCs/>
        </w:rPr>
        <w:t>.</w:t>
      </w:r>
    </w:p>
    <w:p w:rsidR="00D22D6C"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 xml:space="preserve">Con fecha </w:t>
      </w:r>
      <w:r w:rsidR="00047478">
        <w:rPr>
          <w:rFonts w:eastAsia="Palatino Linotype" w:cs="Palatino Linotype"/>
          <w:color w:val="000000"/>
          <w:szCs w:val="24"/>
        </w:rPr>
        <w:t>veintidós</w:t>
      </w:r>
      <w:r w:rsidR="00490D3D">
        <w:rPr>
          <w:rFonts w:eastAsia="Palatino Linotype" w:cs="Palatino Linotype"/>
          <w:color w:val="000000"/>
          <w:szCs w:val="24"/>
        </w:rPr>
        <w:t xml:space="preserve"> de septiembre</w:t>
      </w:r>
      <w:r w:rsidRPr="00E2546F">
        <w:rPr>
          <w:rFonts w:eastAsia="Palatino Linotype" w:cs="Palatino Linotype"/>
          <w:color w:val="000000"/>
          <w:szCs w:val="24"/>
        </w:rPr>
        <w:t xml:space="preserve"> de dos mil veinticinco, el Recurrente presentó mediante el Sistema de Acceso a la Información Mexiquense (SAIMEX), solicitud de información registrada con el número de </w:t>
      </w:r>
      <w:r w:rsidRPr="00E2546F">
        <w:rPr>
          <w:rFonts w:eastAsia="Palatino Linotype" w:cs="Palatino Linotype"/>
          <w:szCs w:val="24"/>
        </w:rPr>
        <w:t>expediente</w:t>
      </w:r>
      <w:r w:rsidRPr="00E2546F">
        <w:rPr>
          <w:b/>
          <w:bCs/>
        </w:rPr>
        <w:t> </w:t>
      </w:r>
      <w:r w:rsidR="00047478" w:rsidRPr="00047478">
        <w:rPr>
          <w:b/>
          <w:bCs/>
        </w:rPr>
        <w:t>00070/CEDIPIEM/IP/2025</w:t>
      </w:r>
      <w:r w:rsidRPr="00E2546F">
        <w:rPr>
          <w:rFonts w:eastAsia="Palatino Linotype" w:cs="Palatino Linotype"/>
          <w:szCs w:val="24"/>
        </w:rPr>
        <w:t>,</w:t>
      </w:r>
      <w:r w:rsidRPr="00E2546F">
        <w:rPr>
          <w:rFonts w:eastAsia="Palatino Linotype" w:cs="Palatino Linotype"/>
          <w:b/>
          <w:szCs w:val="24"/>
        </w:rPr>
        <w:t xml:space="preserve"> </w:t>
      </w:r>
      <w:r w:rsidRPr="00E2546F">
        <w:rPr>
          <w:rFonts w:eastAsia="Palatino Linotype" w:cs="Palatino Linotype"/>
          <w:color w:val="000000"/>
          <w:szCs w:val="24"/>
        </w:rPr>
        <w:t>mediante la cual solicitó información en el tenor siguiente:</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p>
    <w:p w:rsidR="00D22D6C" w:rsidRPr="00E2546F" w:rsidRDefault="00D22D6C" w:rsidP="00D22D6C">
      <w:pPr>
        <w:pStyle w:val="Fundamentos"/>
        <w:spacing w:line="360" w:lineRule="auto"/>
        <w:rPr>
          <w:sz w:val="24"/>
        </w:rPr>
      </w:pPr>
      <w:r w:rsidRPr="00E2546F">
        <w:rPr>
          <w:sz w:val="24"/>
        </w:rPr>
        <w:t>“</w:t>
      </w:r>
      <w:r w:rsidR="00047478" w:rsidRPr="00047478">
        <w:rPr>
          <w:sz w:val="24"/>
        </w:rPr>
        <w:t>Solicito las convocatorias publicadas en 2024 y 2025 del programa Desarrollo Indígena con Bienestar” y Bienestar Cultural Indígena</w:t>
      </w:r>
      <w:r w:rsidR="00490D3D" w:rsidRPr="00490D3D">
        <w:rPr>
          <w:sz w:val="24"/>
        </w:rPr>
        <w:t>.</w:t>
      </w:r>
      <w:r w:rsidRPr="00E2546F">
        <w:rPr>
          <w:sz w:val="24"/>
        </w:rPr>
        <w:t>”  (Sic)</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p>
    <w:p w:rsidR="00D22D6C" w:rsidRPr="00D22D6C" w:rsidRDefault="00D22D6C" w:rsidP="00D22D6C">
      <w:pPr>
        <w:pBdr>
          <w:top w:val="nil"/>
          <w:left w:val="nil"/>
          <w:bottom w:val="nil"/>
          <w:right w:val="nil"/>
          <w:between w:val="nil"/>
        </w:pBdr>
        <w:contextualSpacing/>
        <w:rPr>
          <w:rFonts w:eastAsia="Palatino Linotype" w:cs="Palatino Linotype"/>
          <w:b/>
          <w:color w:val="000000"/>
          <w:szCs w:val="24"/>
        </w:rPr>
      </w:pPr>
      <w:r w:rsidRPr="00E2546F">
        <w:rPr>
          <w:rFonts w:eastAsia="Palatino Linotype" w:cs="Palatino Linotype"/>
          <w:color w:val="000000"/>
          <w:szCs w:val="24"/>
        </w:rPr>
        <w:lastRenderedPageBreak/>
        <w:t xml:space="preserve">Modalidad de entrega: </w:t>
      </w:r>
      <w:r w:rsidRPr="00E2546F">
        <w:rPr>
          <w:rFonts w:eastAsia="Palatino Linotype" w:cs="Palatino Linotype"/>
          <w:b/>
          <w:color w:val="000000"/>
          <w:szCs w:val="24"/>
        </w:rPr>
        <w:t>A través del SAIMEX</w:t>
      </w:r>
      <w:r w:rsidRPr="00E2546F">
        <w:rPr>
          <w:rFonts w:eastAsia="Palatino Linotype" w:cs="Palatino Linotype"/>
          <w:color w:val="000000"/>
          <w:szCs w:val="24"/>
        </w:rPr>
        <w:t>.</w:t>
      </w:r>
    </w:p>
    <w:p w:rsidR="00D22D6C" w:rsidRPr="00E2546F" w:rsidRDefault="00D22D6C" w:rsidP="00D22D6C">
      <w:pPr>
        <w:pStyle w:val="Ttulo2"/>
        <w:rPr>
          <w:rFonts w:ascii="Palatino Linotype" w:eastAsia="Palatino Linotype" w:hAnsi="Palatino Linotype"/>
          <w:b/>
          <w:bCs/>
          <w:color w:val="auto"/>
          <w:sz w:val="28"/>
          <w:szCs w:val="28"/>
        </w:rPr>
      </w:pPr>
      <w:r w:rsidRPr="00E2546F">
        <w:rPr>
          <w:rFonts w:ascii="Palatino Linotype" w:eastAsia="Palatino Linotype" w:hAnsi="Palatino Linotype"/>
          <w:b/>
          <w:bCs/>
          <w:color w:val="auto"/>
          <w:sz w:val="28"/>
          <w:szCs w:val="28"/>
        </w:rPr>
        <w:t>SEGUNDO. De la respuesta del Sujeto Obligado.</w:t>
      </w:r>
    </w:p>
    <w:p w:rsidR="009D6C69"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 xml:space="preserve">De las constancias que obran en el expediente electrónico, se observa que el día </w:t>
      </w:r>
      <w:r w:rsidR="00047478">
        <w:rPr>
          <w:rFonts w:eastAsia="Palatino Linotype" w:cs="Palatino Linotype"/>
          <w:color w:val="000000"/>
          <w:szCs w:val="24"/>
        </w:rPr>
        <w:t>trece</w:t>
      </w:r>
      <w:r>
        <w:rPr>
          <w:rFonts w:eastAsia="Palatino Linotype" w:cs="Palatino Linotype"/>
          <w:color w:val="000000"/>
          <w:szCs w:val="24"/>
        </w:rPr>
        <w:t xml:space="preserve"> de </w:t>
      </w:r>
      <w:r w:rsidR="009D6C69">
        <w:rPr>
          <w:rFonts w:eastAsia="Palatino Linotype" w:cs="Palatino Linotype"/>
          <w:color w:val="000000"/>
          <w:szCs w:val="24"/>
        </w:rPr>
        <w:t>octubre</w:t>
      </w:r>
      <w:r w:rsidRPr="00E2546F">
        <w:rPr>
          <w:rFonts w:eastAsia="Palatino Linotype" w:cs="Palatino Linotype"/>
          <w:color w:val="000000"/>
          <w:szCs w:val="24"/>
        </w:rPr>
        <w:t xml:space="preserve"> de dos mil veinticinco, el Sujeto Obligado dio respuesta a la sol</w:t>
      </w:r>
      <w:r>
        <w:rPr>
          <w:rFonts w:eastAsia="Palatino Linotype" w:cs="Palatino Linotype"/>
          <w:color w:val="000000"/>
          <w:szCs w:val="24"/>
        </w:rPr>
        <w:t xml:space="preserve">icitud de información </w:t>
      </w:r>
      <w:r w:rsidR="009D6C69">
        <w:rPr>
          <w:rFonts w:eastAsia="Palatino Linotype" w:cs="Palatino Linotype"/>
          <w:color w:val="000000"/>
          <w:szCs w:val="24"/>
        </w:rPr>
        <w:t>manifestando a través del SAIMEX, de manera literal lo siguiente:</w:t>
      </w:r>
    </w:p>
    <w:p w:rsidR="009D6C69" w:rsidRDefault="009D6C69" w:rsidP="00D22D6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 </w:t>
      </w:r>
    </w:p>
    <w:p w:rsidR="00047478" w:rsidRDefault="009D6C69" w:rsidP="00047478">
      <w:pPr>
        <w:pBdr>
          <w:top w:val="nil"/>
          <w:left w:val="nil"/>
          <w:bottom w:val="nil"/>
          <w:right w:val="nil"/>
          <w:between w:val="nil"/>
        </w:pBdr>
        <w:spacing w:line="276" w:lineRule="auto"/>
        <w:ind w:left="851" w:right="849"/>
        <w:contextualSpacing/>
        <w:jc w:val="right"/>
        <w:rPr>
          <w:rFonts w:eastAsia="Palatino Linotype" w:cs="Palatino Linotype"/>
          <w:i/>
          <w:color w:val="000000"/>
          <w:szCs w:val="24"/>
        </w:rPr>
      </w:pPr>
      <w:r>
        <w:rPr>
          <w:rFonts w:eastAsia="Palatino Linotype" w:cs="Palatino Linotype"/>
          <w:color w:val="000000"/>
          <w:szCs w:val="24"/>
        </w:rPr>
        <w:t>“</w:t>
      </w:r>
      <w:r w:rsidR="00047478" w:rsidRPr="00047478">
        <w:rPr>
          <w:rFonts w:eastAsia="Palatino Linotype" w:cs="Palatino Linotype"/>
          <w:i/>
          <w:color w:val="000000"/>
          <w:szCs w:val="24"/>
        </w:rPr>
        <w:t>Folio de la solicitud: 00070/CEDIPIEM/IP/2025</w:t>
      </w:r>
    </w:p>
    <w:p w:rsidR="00047478" w:rsidRPr="00047478" w:rsidRDefault="00047478" w:rsidP="00047478">
      <w:pPr>
        <w:pBdr>
          <w:top w:val="nil"/>
          <w:left w:val="nil"/>
          <w:bottom w:val="nil"/>
          <w:right w:val="nil"/>
          <w:between w:val="nil"/>
        </w:pBdr>
        <w:spacing w:line="276" w:lineRule="auto"/>
        <w:ind w:left="851" w:right="849"/>
        <w:contextualSpacing/>
        <w:jc w:val="right"/>
        <w:rPr>
          <w:rFonts w:eastAsia="Palatino Linotype" w:cs="Palatino Linotype"/>
          <w:i/>
          <w:color w:val="000000"/>
          <w:szCs w:val="24"/>
        </w:rPr>
      </w:pPr>
    </w:p>
    <w:p w:rsidR="00047478" w:rsidRPr="00047478" w:rsidRDefault="00047478" w:rsidP="00047478">
      <w:pPr>
        <w:pBdr>
          <w:top w:val="nil"/>
          <w:left w:val="nil"/>
          <w:bottom w:val="nil"/>
          <w:right w:val="nil"/>
          <w:between w:val="nil"/>
        </w:pBdr>
        <w:spacing w:line="276" w:lineRule="auto"/>
        <w:ind w:left="851" w:right="849"/>
        <w:contextualSpacing/>
        <w:rPr>
          <w:rFonts w:eastAsia="Palatino Linotype" w:cs="Palatino Linotype"/>
          <w:i/>
          <w:color w:val="000000"/>
          <w:szCs w:val="24"/>
        </w:rPr>
      </w:pPr>
      <w:r w:rsidRPr="00047478">
        <w:rPr>
          <w:rFonts w:eastAsia="Palatino Linotype" w:cs="Palatino Linotype"/>
          <w:i/>
          <w:color w:val="000000"/>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47478" w:rsidRDefault="00047478" w:rsidP="00047478">
      <w:pPr>
        <w:pBdr>
          <w:top w:val="nil"/>
          <w:left w:val="nil"/>
          <w:bottom w:val="nil"/>
          <w:right w:val="nil"/>
          <w:between w:val="nil"/>
        </w:pBdr>
        <w:spacing w:line="276" w:lineRule="auto"/>
        <w:ind w:left="851" w:right="849"/>
        <w:contextualSpacing/>
        <w:rPr>
          <w:rFonts w:eastAsia="Palatino Linotype" w:cs="Palatino Linotype"/>
          <w:i/>
          <w:color w:val="000000"/>
          <w:szCs w:val="24"/>
        </w:rPr>
      </w:pPr>
      <w:r w:rsidRPr="00047478">
        <w:rPr>
          <w:rFonts w:eastAsia="Palatino Linotype" w:cs="Palatino Linotype"/>
          <w:i/>
          <w:color w:val="000000"/>
          <w:szCs w:val="24"/>
        </w:rPr>
        <w:t>Se anexa oficio número 229 C0101000300S/708/2025.</w:t>
      </w:r>
    </w:p>
    <w:p w:rsidR="00047478" w:rsidRPr="00047478" w:rsidRDefault="00047478" w:rsidP="00047478">
      <w:pPr>
        <w:pBdr>
          <w:top w:val="nil"/>
          <w:left w:val="nil"/>
          <w:bottom w:val="nil"/>
          <w:right w:val="nil"/>
          <w:between w:val="nil"/>
        </w:pBdr>
        <w:spacing w:line="276" w:lineRule="auto"/>
        <w:ind w:left="851" w:right="849"/>
        <w:contextualSpacing/>
        <w:rPr>
          <w:rFonts w:eastAsia="Palatino Linotype" w:cs="Palatino Linotype"/>
          <w:i/>
          <w:color w:val="000000"/>
          <w:szCs w:val="24"/>
        </w:rPr>
      </w:pPr>
    </w:p>
    <w:p w:rsidR="00047478" w:rsidRPr="00047478" w:rsidRDefault="00047478" w:rsidP="00047478">
      <w:pPr>
        <w:pBdr>
          <w:top w:val="nil"/>
          <w:left w:val="nil"/>
          <w:bottom w:val="nil"/>
          <w:right w:val="nil"/>
          <w:between w:val="nil"/>
        </w:pBdr>
        <w:spacing w:line="276" w:lineRule="auto"/>
        <w:ind w:left="851" w:right="849"/>
        <w:contextualSpacing/>
        <w:rPr>
          <w:rFonts w:eastAsia="Palatino Linotype" w:cs="Palatino Linotype"/>
          <w:i/>
          <w:color w:val="000000"/>
          <w:szCs w:val="24"/>
        </w:rPr>
      </w:pPr>
      <w:r w:rsidRPr="00047478">
        <w:rPr>
          <w:rFonts w:eastAsia="Palatino Linotype" w:cs="Palatino Linotype"/>
          <w:i/>
          <w:color w:val="000000"/>
          <w:szCs w:val="24"/>
        </w:rPr>
        <w:t>ATENTAMENTE</w:t>
      </w:r>
    </w:p>
    <w:p w:rsidR="009D6C69" w:rsidRDefault="00047478" w:rsidP="00047478">
      <w:pPr>
        <w:pBdr>
          <w:top w:val="nil"/>
          <w:left w:val="nil"/>
          <w:bottom w:val="nil"/>
          <w:right w:val="nil"/>
          <w:between w:val="nil"/>
        </w:pBdr>
        <w:spacing w:line="276" w:lineRule="auto"/>
        <w:ind w:left="851" w:right="849"/>
        <w:contextualSpacing/>
        <w:rPr>
          <w:rFonts w:eastAsia="Palatino Linotype" w:cs="Palatino Linotype"/>
          <w:color w:val="000000"/>
          <w:szCs w:val="24"/>
        </w:rPr>
      </w:pPr>
      <w:r w:rsidRPr="00047478">
        <w:rPr>
          <w:rFonts w:eastAsia="Palatino Linotype" w:cs="Palatino Linotype"/>
          <w:i/>
          <w:color w:val="000000"/>
          <w:szCs w:val="24"/>
        </w:rPr>
        <w:t>Mtro. Carmelo Rosales Valle</w:t>
      </w:r>
      <w:r w:rsidR="009D6C69">
        <w:rPr>
          <w:rFonts w:eastAsia="Palatino Linotype" w:cs="Palatino Linotype"/>
          <w:color w:val="000000"/>
          <w:szCs w:val="24"/>
        </w:rPr>
        <w:t>”</w:t>
      </w:r>
    </w:p>
    <w:p w:rsidR="009D6C69" w:rsidRDefault="009D6C69" w:rsidP="00D22D6C">
      <w:pPr>
        <w:pBdr>
          <w:top w:val="nil"/>
          <w:left w:val="nil"/>
          <w:bottom w:val="nil"/>
          <w:right w:val="nil"/>
          <w:between w:val="nil"/>
        </w:pBdr>
        <w:contextualSpacing/>
        <w:rPr>
          <w:rFonts w:eastAsia="Palatino Linotype" w:cs="Palatino Linotype"/>
          <w:color w:val="000000"/>
          <w:szCs w:val="24"/>
        </w:rPr>
      </w:pPr>
    </w:p>
    <w:p w:rsidR="00D22D6C" w:rsidRPr="00D22D6C" w:rsidRDefault="00ED4944" w:rsidP="00D22D6C">
      <w:pPr>
        <w:pBdr>
          <w:top w:val="nil"/>
          <w:left w:val="nil"/>
          <w:bottom w:val="nil"/>
          <w:right w:val="nil"/>
          <w:between w:val="nil"/>
        </w:pBdr>
        <w:contextualSpacing/>
        <w:rPr>
          <w:rFonts w:cs="Arial"/>
          <w:b/>
          <w:bCs/>
          <w:szCs w:val="24"/>
        </w:rPr>
      </w:pPr>
      <w:r>
        <w:rPr>
          <w:rFonts w:eastAsia="Palatino Linotype" w:cs="Palatino Linotype"/>
          <w:color w:val="000000"/>
          <w:szCs w:val="24"/>
        </w:rPr>
        <w:t xml:space="preserve">El Sujeto Obligado </w:t>
      </w:r>
      <w:r w:rsidR="00047478">
        <w:rPr>
          <w:rFonts w:eastAsia="Palatino Linotype" w:cs="Palatino Linotype"/>
          <w:color w:val="000000"/>
          <w:szCs w:val="24"/>
        </w:rPr>
        <w:t xml:space="preserve">a manera de complemento a su respuesta admitida por el SAIMEX, hace llegar el documento </w:t>
      </w:r>
      <w:r w:rsidR="003A4DE5">
        <w:rPr>
          <w:rFonts w:eastAsia="Palatino Linotype" w:cs="Palatino Linotype"/>
          <w:color w:val="000000"/>
          <w:szCs w:val="24"/>
        </w:rPr>
        <w:t>denominado “</w:t>
      </w:r>
      <w:r w:rsidR="003A4DE5" w:rsidRPr="003A4DE5">
        <w:rPr>
          <w:rFonts w:eastAsia="Palatino Linotype" w:cs="Palatino Linotype"/>
          <w:b/>
          <w:i/>
          <w:color w:val="000000"/>
          <w:szCs w:val="24"/>
        </w:rPr>
        <w:t>OTUT 70.pdf</w:t>
      </w:r>
      <w:r w:rsidR="003A4DE5">
        <w:rPr>
          <w:rFonts w:eastAsia="Palatino Linotype" w:cs="Palatino Linotype"/>
          <w:color w:val="000000"/>
          <w:szCs w:val="24"/>
        </w:rPr>
        <w:t>”</w:t>
      </w:r>
      <w:r w:rsidR="00B0567E">
        <w:rPr>
          <w:rFonts w:eastAsia="Palatino Linotype" w:cs="Palatino Linotype"/>
          <w:color w:val="000000"/>
          <w:szCs w:val="24"/>
        </w:rPr>
        <w:t>, mismo que es del conocimiento de las partes y su contenido se detalla en la parte de estudio correspondiente.</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p>
    <w:p w:rsidR="00D22D6C" w:rsidRPr="00E2546F" w:rsidRDefault="00D22D6C" w:rsidP="00D22D6C">
      <w:pPr>
        <w:pStyle w:val="Ttulo2"/>
        <w:rPr>
          <w:rFonts w:ascii="Palatino Linotype" w:eastAsia="Palatino Linotype" w:hAnsi="Palatino Linotype"/>
          <w:color w:val="auto"/>
          <w:sz w:val="28"/>
          <w:szCs w:val="28"/>
        </w:rPr>
      </w:pPr>
      <w:r w:rsidRPr="00E2546F">
        <w:rPr>
          <w:rFonts w:ascii="Palatino Linotype" w:eastAsia="Palatino Linotype" w:hAnsi="Palatino Linotype"/>
          <w:b/>
          <w:bCs/>
          <w:color w:val="auto"/>
          <w:sz w:val="28"/>
          <w:szCs w:val="28"/>
        </w:rPr>
        <w:t>TERCERO. Del recurso de revisión</w:t>
      </w:r>
      <w:r w:rsidRPr="00E2546F">
        <w:rPr>
          <w:rFonts w:ascii="Palatino Linotype" w:eastAsia="Palatino Linotype" w:hAnsi="Palatino Linotype"/>
          <w:color w:val="auto"/>
          <w:sz w:val="28"/>
          <w:szCs w:val="28"/>
        </w:rPr>
        <w:t>.</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 xml:space="preserve">Inconforme con la respuesta emitida por el Sujeto Obligado, el Recurrente interpuso el presente recurso de revisión el día </w:t>
      </w:r>
      <w:r w:rsidR="00B0567E">
        <w:rPr>
          <w:rFonts w:eastAsia="Palatino Linotype" w:cs="Palatino Linotype"/>
          <w:b/>
          <w:color w:val="000000"/>
          <w:szCs w:val="24"/>
        </w:rPr>
        <w:t>veintisiete de octubre</w:t>
      </w:r>
      <w:r w:rsidRPr="00E2546F">
        <w:rPr>
          <w:rFonts w:eastAsia="Palatino Linotype" w:cs="Palatino Linotype"/>
          <w:b/>
          <w:color w:val="000000"/>
          <w:szCs w:val="24"/>
        </w:rPr>
        <w:t xml:space="preserve"> de dos mil veinticinco</w:t>
      </w:r>
      <w:r w:rsidRPr="00E2546F">
        <w:rPr>
          <w:rFonts w:eastAsia="Palatino Linotype" w:cs="Palatino Linotype"/>
          <w:color w:val="000000"/>
          <w:szCs w:val="24"/>
        </w:rPr>
        <w:t xml:space="preserve">, el cual </w:t>
      </w:r>
      <w:r w:rsidRPr="00E2546F">
        <w:rPr>
          <w:rFonts w:eastAsia="Palatino Linotype" w:cs="Palatino Linotype"/>
          <w:color w:val="000000"/>
          <w:szCs w:val="24"/>
        </w:rPr>
        <w:lastRenderedPageBreak/>
        <w:t xml:space="preserve">se registró con el expediente número </w:t>
      </w:r>
      <w:r w:rsidR="00ED4944">
        <w:rPr>
          <w:rFonts w:eastAsia="Palatino Linotype" w:cs="Palatino Linotype"/>
          <w:b/>
          <w:color w:val="000000"/>
          <w:szCs w:val="24"/>
        </w:rPr>
        <w:t>12</w:t>
      </w:r>
      <w:r w:rsidR="00EA31EE">
        <w:rPr>
          <w:rFonts w:eastAsia="Palatino Linotype" w:cs="Palatino Linotype"/>
          <w:b/>
          <w:color w:val="000000"/>
          <w:szCs w:val="24"/>
        </w:rPr>
        <w:t>27</w:t>
      </w:r>
      <w:r w:rsidR="00ED4944">
        <w:rPr>
          <w:rFonts w:eastAsia="Palatino Linotype" w:cs="Palatino Linotype"/>
          <w:b/>
          <w:color w:val="000000"/>
          <w:szCs w:val="24"/>
        </w:rPr>
        <w:t>0</w:t>
      </w:r>
      <w:r w:rsidRPr="00E2546F">
        <w:rPr>
          <w:rFonts w:eastAsia="Palatino Linotype" w:cs="Palatino Linotype"/>
          <w:b/>
          <w:color w:val="000000"/>
          <w:szCs w:val="24"/>
        </w:rPr>
        <w:t>/INFOEM/IP/RR/2025</w:t>
      </w:r>
      <w:r w:rsidRPr="00E2546F">
        <w:rPr>
          <w:rFonts w:eastAsia="Palatino Linotype" w:cs="Palatino Linotype"/>
          <w:color w:val="000000"/>
          <w:szCs w:val="24"/>
        </w:rPr>
        <w:t>, manifestando lo siguiente:</w:t>
      </w:r>
    </w:p>
    <w:p w:rsidR="00D22D6C" w:rsidRPr="00E2546F" w:rsidRDefault="00D22D6C" w:rsidP="00D22D6C">
      <w:pPr>
        <w:contextualSpacing/>
        <w:rPr>
          <w:rFonts w:eastAsia="Palatino Linotype" w:cs="Palatino Linotype"/>
          <w:b/>
        </w:rPr>
      </w:pPr>
      <w:r w:rsidRPr="00E2546F">
        <w:rPr>
          <w:rFonts w:eastAsia="Palatino Linotype" w:cs="Palatino Linotype"/>
          <w:b/>
        </w:rPr>
        <w:t xml:space="preserve">Acto Impugnado </w:t>
      </w:r>
    </w:p>
    <w:p w:rsidR="00D22D6C" w:rsidRPr="00D22D6C" w:rsidRDefault="00D22D6C" w:rsidP="00D22D6C">
      <w:pPr>
        <w:pStyle w:val="Fundamentos"/>
        <w:rPr>
          <w:b/>
          <w:sz w:val="24"/>
        </w:rPr>
      </w:pPr>
      <w:r w:rsidRPr="00D22D6C">
        <w:rPr>
          <w:color w:val="auto"/>
          <w:sz w:val="24"/>
        </w:rPr>
        <w:t>“</w:t>
      </w:r>
      <w:r w:rsidR="00EA31EE" w:rsidRPr="00EA31EE">
        <w:rPr>
          <w:sz w:val="24"/>
        </w:rPr>
        <w:t>Las convocatorias proporcionadas presentan las siguientes deficiencias: • No vienen firmadas, lo que genera dudas sobre su genuinidad. • Carecen de bases generales claras, incluyendo los criterios de selección de los beneficiarios, lo que genera incertidumbre sobre la validez y transparencia del documento. • No especifican dónde se publicarán los resultados, impidiendo verificar la operatividad del procedimiento. • La convocatoria de Bienestar Cultural Indígena indica publicación de Reglas de Operación el 1 de julio de 2024, pero al final sólo aparece “Toluca, Estado de México, a 1 de julio de 2024”, sin sellos ni firmas, lo que genera incertidumbre sobre su autenticidad. • Respecto al Ejercicio Fiscal 2025, no se entregó evidencia de las listas de espera, ni documentación que justifique la no emisión de convocatorias.</w:t>
      </w:r>
      <w:r w:rsidRPr="00D22D6C">
        <w:rPr>
          <w:sz w:val="24"/>
        </w:rPr>
        <w:t>” (Sic)</w:t>
      </w:r>
    </w:p>
    <w:p w:rsidR="00D22D6C" w:rsidRPr="00D22D6C" w:rsidRDefault="00D22D6C" w:rsidP="00D22D6C">
      <w:pPr>
        <w:contextualSpacing/>
        <w:rPr>
          <w:rFonts w:eastAsia="Palatino Linotype" w:cs="Palatino Linotype"/>
          <w:b/>
          <w:szCs w:val="24"/>
        </w:rPr>
      </w:pPr>
    </w:p>
    <w:p w:rsidR="00D22D6C" w:rsidRPr="00D22D6C" w:rsidRDefault="00D22D6C" w:rsidP="00D22D6C">
      <w:pPr>
        <w:contextualSpacing/>
        <w:rPr>
          <w:rFonts w:eastAsia="Palatino Linotype" w:cs="Palatino Linotype"/>
          <w:szCs w:val="24"/>
        </w:rPr>
      </w:pPr>
      <w:r w:rsidRPr="00D22D6C">
        <w:rPr>
          <w:rFonts w:eastAsia="Palatino Linotype" w:cs="Palatino Linotype"/>
          <w:b/>
          <w:szCs w:val="24"/>
        </w:rPr>
        <w:t xml:space="preserve"> Razones o Motivos de Inconformidad</w:t>
      </w:r>
      <w:r w:rsidRPr="00D22D6C">
        <w:rPr>
          <w:rFonts w:eastAsia="Palatino Linotype" w:cs="Palatino Linotype"/>
          <w:szCs w:val="24"/>
        </w:rPr>
        <w:t>:</w:t>
      </w:r>
    </w:p>
    <w:p w:rsidR="00D22D6C" w:rsidRPr="00D22D6C" w:rsidRDefault="00D22D6C" w:rsidP="00D22D6C">
      <w:pPr>
        <w:pStyle w:val="Fundamentos"/>
        <w:rPr>
          <w:b/>
          <w:sz w:val="24"/>
        </w:rPr>
      </w:pPr>
      <w:r w:rsidRPr="00D22D6C">
        <w:rPr>
          <w:color w:val="auto"/>
          <w:sz w:val="24"/>
        </w:rPr>
        <w:t>“</w:t>
      </w:r>
      <w:r w:rsidR="005905BC" w:rsidRPr="005905BC">
        <w:rPr>
          <w:sz w:val="24"/>
        </w:rPr>
        <w:t xml:space="preserve">La respuesta del sujeto obligado me causa agravio por las siguientes razones: 1. </w:t>
      </w:r>
      <w:proofErr w:type="spellStart"/>
      <w:r w:rsidR="005905BC" w:rsidRPr="005905BC">
        <w:rPr>
          <w:sz w:val="24"/>
        </w:rPr>
        <w:t>Incompletitud</w:t>
      </w:r>
      <w:proofErr w:type="spellEnd"/>
      <w:r w:rsidR="005905BC" w:rsidRPr="005905BC">
        <w:rPr>
          <w:sz w:val="24"/>
        </w:rPr>
        <w:t xml:space="preserve"> de la información: La información proporcionada carece de documentación oficial firmada que respalde las convocatorias. 2. Incertidumbre sobre la veracidad de los documentos: Las convocatorias proporcionadas presentan formato simple, sin sellos ni firmas, lo que impide garantizar que sean documentos auténticos emitidos por el CEDIPIEM. 3. Falta de información esencial para la operatividad: Las convocatorias no especifican dónde se publicarán los resultados ni los criterios de selección, lo que impide verificar la transparencia y legalidad del procedimiento. 4. Imposibilidad no acreditada: Sobre el Ejercicio Fiscal 2025, la autoridad no proporcionó evidencia de las listas de espera ni documentación que justifique la no emisión de convocatorias. 5. Falta de criterios de selección: La omisión de criterios claros genera incertidumbre sobre cómo se asignarán los apoyos y si el proceso cumple con las Reglas de Operación y los principios de igualdad y objetividad en la selección de beneficiarios. Falta de fecha precisa de publicación: La convocatoria proporcionada únicamente indica el mes de agosto como periodo de publicación, sin señalar el día exacto, pese a que el registro de solicitudes era del 4 al 9 de agosto. Esta omisión genera incertidumbre sobre la validez y veracidad del documento, y dificulta comprobar si se cumplió con los plazos oficiales de registro.</w:t>
      </w:r>
      <w:r w:rsidRPr="00D22D6C">
        <w:rPr>
          <w:sz w:val="24"/>
        </w:rPr>
        <w:t>” Sic)</w:t>
      </w:r>
      <w:r w:rsidR="00D87AC6">
        <w:rPr>
          <w:sz w:val="24"/>
        </w:rPr>
        <w:t xml:space="preserve"> </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p>
    <w:p w:rsidR="00D22D6C" w:rsidRPr="00E2546F" w:rsidRDefault="00D22D6C" w:rsidP="00D22D6C">
      <w:pPr>
        <w:pStyle w:val="Ttulo2"/>
        <w:rPr>
          <w:rFonts w:ascii="Palatino Linotype" w:eastAsia="Palatino Linotype" w:hAnsi="Palatino Linotype"/>
          <w:b/>
          <w:bCs/>
          <w:color w:val="auto"/>
          <w:sz w:val="28"/>
          <w:szCs w:val="28"/>
        </w:rPr>
      </w:pPr>
      <w:r w:rsidRPr="00E2546F">
        <w:rPr>
          <w:rFonts w:ascii="Palatino Linotype" w:eastAsia="Palatino Linotype" w:hAnsi="Palatino Linotype"/>
          <w:b/>
          <w:bCs/>
          <w:color w:val="auto"/>
          <w:sz w:val="28"/>
          <w:szCs w:val="28"/>
        </w:rPr>
        <w:t>CUARTO. Del turno y admisión del recurso de revisión.</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 xml:space="preserve">Medio de impugnación que le fue turnado al </w:t>
      </w:r>
      <w:r w:rsidRPr="00E2546F">
        <w:rPr>
          <w:rFonts w:eastAsia="Palatino Linotype" w:cs="Palatino Linotype"/>
          <w:b/>
          <w:color w:val="000000"/>
          <w:szCs w:val="24"/>
        </w:rPr>
        <w:t>Comisionado Presidente José Martínez Vilchis</w:t>
      </w:r>
      <w:r w:rsidRPr="00E2546F">
        <w:rPr>
          <w:rFonts w:eastAsia="Palatino Linotype" w:cs="Palatino Linotype"/>
          <w:color w:val="000000"/>
          <w:szCs w:val="24"/>
        </w:rPr>
        <w:t>, por medio del sistema electrónico en términos del numeral 185 fracción I de la Ley de Transparencia y Acceso a la información Pública del Estado de México y Municipios, al cual recayó acuerdo de admisión de fecha</w:t>
      </w:r>
      <w:r w:rsidRPr="00E2546F">
        <w:rPr>
          <w:rFonts w:eastAsia="Palatino Linotype" w:cs="Palatino Linotype"/>
          <w:b/>
          <w:bCs/>
          <w:color w:val="000000"/>
          <w:szCs w:val="24"/>
        </w:rPr>
        <w:t xml:space="preserve"> </w:t>
      </w:r>
      <w:r w:rsidR="004E3885">
        <w:rPr>
          <w:rFonts w:eastAsia="Palatino Linotype" w:cs="Palatino Linotype"/>
          <w:b/>
          <w:bCs/>
          <w:color w:val="000000"/>
          <w:szCs w:val="24"/>
        </w:rPr>
        <w:t xml:space="preserve">cinco de </w:t>
      </w:r>
      <w:r w:rsidR="00571117">
        <w:rPr>
          <w:rFonts w:eastAsia="Palatino Linotype" w:cs="Palatino Linotype"/>
          <w:b/>
          <w:bCs/>
          <w:color w:val="000000"/>
          <w:szCs w:val="24"/>
        </w:rPr>
        <w:t>veintinueve de octubre</w:t>
      </w:r>
      <w:r w:rsidRPr="00E2546F">
        <w:rPr>
          <w:rFonts w:eastAsia="Palatino Linotype" w:cs="Palatino Linotype"/>
          <w:b/>
          <w:bCs/>
          <w:color w:val="000000"/>
          <w:szCs w:val="24"/>
        </w:rPr>
        <w:t xml:space="preserve"> de dos mil veinticinco</w:t>
      </w:r>
      <w:r w:rsidRPr="00E2546F">
        <w:rPr>
          <w:rFonts w:eastAsia="Palatino Linotype" w:cs="Palatino Linotype"/>
          <w:color w:val="000000"/>
          <w:szCs w:val="24"/>
        </w:rPr>
        <w:t xml:space="preserve">, </w:t>
      </w:r>
      <w:r w:rsidRPr="00E2546F">
        <w:rPr>
          <w:rFonts w:eastAsia="Palatino Linotype" w:cs="Palatino Linotype"/>
          <w:szCs w:val="24"/>
        </w:rPr>
        <w:t>otorgándose</w:t>
      </w:r>
      <w:r w:rsidRPr="00E2546F">
        <w:rPr>
          <w:rFonts w:eastAsia="Palatino Linotype" w:cs="Palatino Linotype"/>
          <w:color w:val="000000"/>
          <w:szCs w:val="24"/>
        </w:rPr>
        <w:t xml:space="preserve"> en él un plazo de siete días para que las partes manifestaran lo que a su derecho corresponda en términos del numeral ya citado.</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p>
    <w:p w:rsidR="00D22D6C" w:rsidRPr="00E2546F" w:rsidRDefault="00D22D6C" w:rsidP="00D22D6C">
      <w:pPr>
        <w:pStyle w:val="Ttulo2"/>
        <w:rPr>
          <w:rFonts w:ascii="Palatino Linotype" w:eastAsia="Palatino Linotype" w:hAnsi="Palatino Linotype"/>
          <w:b/>
          <w:bCs/>
          <w:color w:val="auto"/>
          <w:sz w:val="28"/>
          <w:szCs w:val="28"/>
        </w:rPr>
      </w:pPr>
      <w:r w:rsidRPr="00E2546F">
        <w:rPr>
          <w:rFonts w:ascii="Palatino Linotype" w:eastAsia="Palatino Linotype" w:hAnsi="Palatino Linotype"/>
          <w:b/>
          <w:bCs/>
          <w:color w:val="auto"/>
          <w:sz w:val="28"/>
          <w:szCs w:val="28"/>
        </w:rPr>
        <w:t>QUINTO. De la etapa de instrucción.</w:t>
      </w:r>
    </w:p>
    <w:p w:rsidR="00D22D6C"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 xml:space="preserve">Una vez abierta la etapa de instrucción, el Sujeto Obligado </w:t>
      </w:r>
      <w:r w:rsidR="00571117">
        <w:rPr>
          <w:rFonts w:eastAsia="Palatino Linotype" w:cs="Palatino Linotype"/>
          <w:color w:val="000000"/>
          <w:szCs w:val="24"/>
        </w:rPr>
        <w:t>en fecha once de noviembre de la anualidad en curso hizo entrega del informe justificado a través del documento con título “</w:t>
      </w:r>
      <w:r w:rsidR="00571117" w:rsidRPr="00571117">
        <w:rPr>
          <w:rFonts w:eastAsia="Palatino Linotype" w:cs="Palatino Linotype"/>
          <w:i/>
          <w:color w:val="000000"/>
          <w:szCs w:val="24"/>
        </w:rPr>
        <w:t>IJ_RV 012270-INFOEM-IP-RR-2025.pdf</w:t>
      </w:r>
      <w:r w:rsidR="00571117">
        <w:rPr>
          <w:rFonts w:eastAsia="Palatino Linotype" w:cs="Palatino Linotype"/>
          <w:color w:val="000000"/>
          <w:szCs w:val="24"/>
        </w:rPr>
        <w:t xml:space="preserve">”, el cual fue puesto a la vista del Recurrente </w:t>
      </w:r>
      <w:r w:rsidR="00FC7236">
        <w:rPr>
          <w:rFonts w:eastAsia="Palatino Linotype" w:cs="Palatino Linotype"/>
          <w:color w:val="000000"/>
          <w:szCs w:val="24"/>
        </w:rPr>
        <w:t xml:space="preserve">en fecha dieciocho del mismo mes y año. </w:t>
      </w:r>
    </w:p>
    <w:p w:rsidR="00FC7236" w:rsidRDefault="00FC7236" w:rsidP="00D22D6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Por su parte, no fueron presentadas manifestaciones, pruebas o alegatos, lo anterior, sin perjuicio del mismo. </w:t>
      </w:r>
    </w:p>
    <w:p w:rsidR="004E3885" w:rsidRPr="00E2546F" w:rsidRDefault="00FC7236" w:rsidP="00D22D6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noProof/>
          <w:color w:val="000000"/>
          <w:szCs w:val="24"/>
          <w:lang w:val="es-MX"/>
        </w:rPr>
        <w:drawing>
          <wp:anchor distT="0" distB="0" distL="114300" distR="114300" simplePos="0" relativeHeight="251658240" behindDoc="0" locked="0" layoutInCell="1" allowOverlap="1">
            <wp:simplePos x="0" y="0"/>
            <wp:positionH relativeFrom="column">
              <wp:posOffset>168910</wp:posOffset>
            </wp:positionH>
            <wp:positionV relativeFrom="paragraph">
              <wp:posOffset>256152</wp:posOffset>
            </wp:positionV>
            <wp:extent cx="5450205" cy="1614170"/>
            <wp:effectExtent l="0" t="0" r="0"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CE118.tmp"/>
                    <pic:cNvPicPr/>
                  </pic:nvPicPr>
                  <pic:blipFill>
                    <a:blip r:embed="rId7">
                      <a:extLst>
                        <a:ext uri="{28A0092B-C50C-407E-A947-70E740481C1C}">
                          <a14:useLocalDpi xmlns:a14="http://schemas.microsoft.com/office/drawing/2010/main" val="0"/>
                        </a:ext>
                      </a:extLst>
                    </a:blip>
                    <a:stretch>
                      <a:fillRect/>
                    </a:stretch>
                  </pic:blipFill>
                  <pic:spPr>
                    <a:xfrm>
                      <a:off x="0" y="0"/>
                      <a:ext cx="5450205" cy="1614170"/>
                    </a:xfrm>
                    <a:prstGeom prst="rect">
                      <a:avLst/>
                    </a:prstGeom>
                  </pic:spPr>
                </pic:pic>
              </a:graphicData>
            </a:graphic>
            <wp14:sizeRelH relativeFrom="margin">
              <wp14:pctWidth>0</wp14:pctWidth>
            </wp14:sizeRelH>
            <wp14:sizeRelV relativeFrom="margin">
              <wp14:pctHeight>0</wp14:pctHeight>
            </wp14:sizeRelV>
          </wp:anchor>
        </w:drawing>
      </w:r>
    </w:p>
    <w:p w:rsidR="00FC7236" w:rsidRDefault="00FC7236" w:rsidP="004C4B94">
      <w:pPr>
        <w:pStyle w:val="Ttulo2"/>
        <w:spacing w:after="0"/>
        <w:rPr>
          <w:rFonts w:ascii="Palatino Linotype" w:eastAsia="Palatino Linotype" w:hAnsi="Palatino Linotype"/>
          <w:b/>
          <w:bCs/>
          <w:color w:val="auto"/>
          <w:sz w:val="28"/>
          <w:szCs w:val="28"/>
        </w:rPr>
      </w:pPr>
    </w:p>
    <w:p w:rsidR="00D22D6C" w:rsidRPr="00E2546F" w:rsidRDefault="00D22D6C" w:rsidP="00D22D6C">
      <w:pPr>
        <w:pStyle w:val="Ttulo2"/>
        <w:rPr>
          <w:rFonts w:ascii="Palatino Linotype" w:eastAsia="Palatino Linotype" w:hAnsi="Palatino Linotype"/>
          <w:b/>
          <w:bCs/>
          <w:color w:val="auto"/>
          <w:sz w:val="28"/>
          <w:szCs w:val="28"/>
        </w:rPr>
      </w:pPr>
      <w:r w:rsidRPr="00E2546F">
        <w:rPr>
          <w:rFonts w:ascii="Palatino Linotype" w:eastAsia="Palatino Linotype" w:hAnsi="Palatino Linotype"/>
          <w:b/>
          <w:bCs/>
          <w:color w:val="auto"/>
          <w:sz w:val="28"/>
          <w:szCs w:val="28"/>
        </w:rPr>
        <w:t>SEXTO. Del cierre de instrucción.</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Así, una vez transcurrido el término legal, se decretó el cierre de instrucción en fecha</w:t>
      </w:r>
      <w:r w:rsidRPr="00E2546F">
        <w:rPr>
          <w:rFonts w:eastAsia="Palatino Linotype" w:cs="Palatino Linotype"/>
          <w:b/>
          <w:color w:val="000000"/>
          <w:szCs w:val="24"/>
        </w:rPr>
        <w:t xml:space="preserve"> </w:t>
      </w:r>
      <w:r w:rsidR="00055A72">
        <w:rPr>
          <w:rFonts w:eastAsia="Palatino Linotype" w:cs="Palatino Linotype"/>
          <w:b/>
          <w:color w:val="000000"/>
          <w:szCs w:val="24"/>
        </w:rPr>
        <w:t>tres de diciembre</w:t>
      </w:r>
      <w:r w:rsidRPr="00E2546F">
        <w:rPr>
          <w:rFonts w:eastAsia="Palatino Linotype" w:cs="Palatino Linotype"/>
          <w:b/>
          <w:color w:val="000000"/>
          <w:szCs w:val="24"/>
        </w:rPr>
        <w:t xml:space="preserve"> de dos mil veinticuatro</w:t>
      </w:r>
      <w:r w:rsidRPr="00E2546F">
        <w:rPr>
          <w:rFonts w:eastAsia="Palatino Linotype" w:cs="Palatino Linotype"/>
          <w:color w:val="000000"/>
          <w:szCs w:val="24"/>
        </w:rPr>
        <w:t>, en términos del artículo 185 fracción VI de la Ley de Transparencia y Acceso a la Información Pública del Estado de México y Municipios, iniciando el término legal para dictar resolución definitiva del asunto.</w:t>
      </w:r>
    </w:p>
    <w:p w:rsidR="00D22D6C" w:rsidRDefault="00D22D6C" w:rsidP="00D22D6C">
      <w:pPr>
        <w:pBdr>
          <w:top w:val="nil"/>
          <w:left w:val="nil"/>
          <w:bottom w:val="nil"/>
          <w:right w:val="nil"/>
          <w:between w:val="nil"/>
        </w:pBdr>
        <w:contextualSpacing/>
        <w:rPr>
          <w:rFonts w:eastAsiaTheme="minorHAnsi" w:cstheme="minorBidi"/>
          <w:szCs w:val="24"/>
          <w:lang w:eastAsia="en-US"/>
        </w:rPr>
      </w:pPr>
    </w:p>
    <w:p w:rsidR="00D22D6C" w:rsidRPr="00E2546F" w:rsidRDefault="00D22D6C" w:rsidP="00D22D6C">
      <w:pPr>
        <w:pStyle w:val="Ttulo1"/>
        <w:jc w:val="center"/>
        <w:rPr>
          <w:rFonts w:ascii="Palatino Linotype" w:eastAsia="Palatino Linotype" w:hAnsi="Palatino Linotype"/>
          <w:b/>
          <w:bCs/>
          <w:color w:val="auto"/>
          <w:sz w:val="28"/>
          <w:szCs w:val="28"/>
        </w:rPr>
      </w:pPr>
      <w:r w:rsidRPr="00E2546F">
        <w:rPr>
          <w:rFonts w:ascii="Palatino Linotype" w:eastAsia="Palatino Linotype" w:hAnsi="Palatino Linotype"/>
          <w:b/>
          <w:bCs/>
          <w:color w:val="auto"/>
          <w:sz w:val="28"/>
          <w:szCs w:val="28"/>
        </w:rPr>
        <w:t>C O N S I D E R A N D O</w:t>
      </w:r>
    </w:p>
    <w:p w:rsidR="00D22D6C" w:rsidRPr="00E2546F" w:rsidRDefault="00D22D6C" w:rsidP="00D22D6C"/>
    <w:p w:rsidR="00D22D6C" w:rsidRPr="00E2546F" w:rsidRDefault="00D22D6C" w:rsidP="00D22D6C">
      <w:pPr>
        <w:pStyle w:val="Ttulo2"/>
        <w:rPr>
          <w:rFonts w:ascii="Palatino Linotype" w:eastAsia="Palatino Linotype" w:hAnsi="Palatino Linotype"/>
          <w:b/>
          <w:bCs/>
          <w:color w:val="auto"/>
          <w:sz w:val="28"/>
          <w:szCs w:val="28"/>
        </w:rPr>
      </w:pPr>
      <w:r w:rsidRPr="00E2546F">
        <w:rPr>
          <w:rFonts w:ascii="Palatino Linotype" w:eastAsia="Palatino Linotype" w:hAnsi="Palatino Linotype"/>
          <w:b/>
          <w:bCs/>
          <w:color w:val="auto"/>
          <w:sz w:val="28"/>
          <w:szCs w:val="28"/>
        </w:rPr>
        <w:t>PRIMERO. De la competencia.</w:t>
      </w:r>
    </w:p>
    <w:p w:rsidR="005C6F0A" w:rsidRPr="007C6AB6" w:rsidRDefault="005C6F0A" w:rsidP="005C6F0A">
      <w:pPr>
        <w:tabs>
          <w:tab w:val="left" w:pos="3402"/>
        </w:tabs>
      </w:pPr>
      <w:r w:rsidRPr="00EB0752">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1, 81, 82 fracciones I y III, 119, 127, 128 y 129, de la Ley de Protección de Datos Personales en Posesión de Sujetos Obligados del Estado de México y Municipios;  1, 2, fracción II, 13, 29, 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w:t>
      </w:r>
      <w:r w:rsidRPr="00EB0752">
        <w:lastRenderedPageBreak/>
        <w:t>Información Pública y Protección de Datos Personales del Estado de México y Municipios.</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p>
    <w:p w:rsidR="00D22D6C" w:rsidRPr="00E2546F" w:rsidRDefault="00D22D6C" w:rsidP="00D22D6C">
      <w:pPr>
        <w:pStyle w:val="Ttulo2"/>
        <w:rPr>
          <w:rFonts w:ascii="Palatino Linotype" w:eastAsia="Palatino Linotype" w:hAnsi="Palatino Linotype"/>
          <w:b/>
          <w:bCs/>
          <w:color w:val="auto"/>
          <w:sz w:val="28"/>
          <w:szCs w:val="28"/>
        </w:rPr>
      </w:pPr>
      <w:r w:rsidRPr="00E2546F">
        <w:rPr>
          <w:rFonts w:ascii="Palatino Linotype" w:eastAsia="Palatino Linotype" w:hAnsi="Palatino Linotype"/>
          <w:b/>
          <w:bCs/>
          <w:color w:val="auto"/>
          <w:sz w:val="28"/>
          <w:szCs w:val="28"/>
        </w:rPr>
        <w:t xml:space="preserve">SEGUNDO. Sobre los alcances del recurso de revisión. </w:t>
      </w:r>
    </w:p>
    <w:p w:rsidR="00D22D6C" w:rsidRPr="00E2546F" w:rsidRDefault="00D22D6C" w:rsidP="00D22D6C">
      <w:r w:rsidRPr="00E2546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D22D6C" w:rsidRPr="00E2546F" w:rsidRDefault="00D22D6C" w:rsidP="00D22D6C"/>
    <w:p w:rsidR="00D22D6C" w:rsidRPr="00E2546F" w:rsidRDefault="00D22D6C" w:rsidP="00D22D6C">
      <w:pPr>
        <w:autoSpaceDE w:val="0"/>
        <w:autoSpaceDN w:val="0"/>
        <w:adjustRightInd w:val="0"/>
        <w:spacing w:before="240" w:line="240" w:lineRule="auto"/>
        <w:rPr>
          <w:rFonts w:eastAsia="Times New Roman" w:cs="Arial"/>
          <w:b/>
          <w:szCs w:val="24"/>
          <w:lang w:val="es-ES" w:eastAsia="es-ES"/>
        </w:rPr>
      </w:pPr>
      <w:r w:rsidRPr="00E2546F">
        <w:rPr>
          <w:rFonts w:cs="Arial"/>
          <w:b/>
          <w:sz w:val="28"/>
        </w:rPr>
        <w:t xml:space="preserve">TERCERO. </w:t>
      </w:r>
      <w:r w:rsidRPr="00E2546F">
        <w:rPr>
          <w:rFonts w:eastAsia="Times New Roman" w:cs="Arial"/>
          <w:b/>
          <w:sz w:val="28"/>
          <w:szCs w:val="28"/>
          <w:lang w:val="es-ES" w:eastAsia="es-ES"/>
        </w:rPr>
        <w:t>Cuestiones de previo y especial pronunciamiento</w:t>
      </w:r>
    </w:p>
    <w:p w:rsidR="00D22D6C" w:rsidRPr="00E2546F" w:rsidRDefault="00D22D6C" w:rsidP="00D22D6C">
      <w:pPr>
        <w:autoSpaceDE w:val="0"/>
        <w:autoSpaceDN w:val="0"/>
        <w:adjustRightInd w:val="0"/>
        <w:spacing w:before="240"/>
        <w:rPr>
          <w:rFonts w:eastAsia="Times New Roman" w:cs="Times New Roman"/>
          <w:szCs w:val="24"/>
        </w:rPr>
      </w:pPr>
      <w:r w:rsidRPr="00E2546F">
        <w:rPr>
          <w:rFonts w:eastAsia="Times New Roman" w:cs="Times New Roman"/>
          <w:szCs w:val="24"/>
        </w:rPr>
        <w:t>El Recurso de Revisión en estudio contiene los elementos normativos de validez exigidos en la Ley de Transparencia y Acceso a la Información Pública del Estado de México y Municipios, establecidos en el artículo 180 que enuncia:</w:t>
      </w:r>
    </w:p>
    <w:p w:rsidR="00D22D6C" w:rsidRPr="00E2546F" w:rsidRDefault="00D22D6C" w:rsidP="00D22D6C">
      <w:pPr>
        <w:autoSpaceDE w:val="0"/>
        <w:autoSpaceDN w:val="0"/>
        <w:adjustRightInd w:val="0"/>
        <w:spacing w:before="240"/>
        <w:ind w:left="360" w:firstLine="348"/>
        <w:rPr>
          <w:rFonts w:eastAsia="Times New Roman" w:cs="Times New Roman"/>
          <w:i/>
          <w:sz w:val="22"/>
        </w:rPr>
      </w:pPr>
      <w:r w:rsidRPr="00E2546F">
        <w:rPr>
          <w:rFonts w:eastAsia="Times New Roman" w:cs="Times New Roman"/>
          <w:i/>
          <w:sz w:val="22"/>
        </w:rPr>
        <w:t>“Artículo 180. El recurso de revisión contendrá:</w:t>
      </w:r>
    </w:p>
    <w:p w:rsidR="00D22D6C" w:rsidRPr="00E2546F" w:rsidRDefault="00D22D6C" w:rsidP="00D22D6C">
      <w:pPr>
        <w:numPr>
          <w:ilvl w:val="0"/>
          <w:numId w:val="1"/>
        </w:numPr>
        <w:autoSpaceDE w:val="0"/>
        <w:autoSpaceDN w:val="0"/>
        <w:adjustRightInd w:val="0"/>
        <w:spacing w:before="240"/>
        <w:rPr>
          <w:rFonts w:eastAsia="Times New Roman" w:cs="Times New Roman"/>
          <w:i/>
          <w:sz w:val="22"/>
          <w:lang w:val="es-ES" w:eastAsia="es-ES"/>
        </w:rPr>
      </w:pPr>
      <w:r w:rsidRPr="00E2546F">
        <w:rPr>
          <w:rFonts w:eastAsia="Times New Roman" w:cs="Times New Roman"/>
          <w:i/>
          <w:sz w:val="22"/>
          <w:lang w:val="es-ES" w:eastAsia="es-ES"/>
        </w:rPr>
        <w:t>EL sujeto obligado ante la cual se presentó la solicitud;</w:t>
      </w:r>
    </w:p>
    <w:p w:rsidR="00D22D6C" w:rsidRPr="00E2546F" w:rsidRDefault="00D22D6C" w:rsidP="00D22D6C">
      <w:pPr>
        <w:numPr>
          <w:ilvl w:val="0"/>
          <w:numId w:val="1"/>
        </w:numPr>
        <w:autoSpaceDE w:val="0"/>
        <w:autoSpaceDN w:val="0"/>
        <w:adjustRightInd w:val="0"/>
        <w:spacing w:before="240"/>
        <w:rPr>
          <w:rFonts w:eastAsia="Times New Roman" w:cs="Times New Roman"/>
          <w:i/>
          <w:sz w:val="22"/>
          <w:lang w:val="es-ES" w:eastAsia="es-ES"/>
        </w:rPr>
      </w:pPr>
      <w:r w:rsidRPr="00E2546F">
        <w:rPr>
          <w:rFonts w:eastAsia="Times New Roman" w:cs="Times New Roman"/>
          <w:i/>
          <w:sz w:val="22"/>
          <w:lang w:val="es-ES" w:eastAsia="es-ES"/>
        </w:rPr>
        <w:t>El nombre del solicitante que recurre o de su representante y, en su caso, del tercero interesado, así como la dirección o medio que señale para recibir notificaciones;</w:t>
      </w:r>
    </w:p>
    <w:p w:rsidR="00D22D6C" w:rsidRPr="00E2546F" w:rsidRDefault="00D22D6C" w:rsidP="00D22D6C">
      <w:pPr>
        <w:numPr>
          <w:ilvl w:val="0"/>
          <w:numId w:val="1"/>
        </w:numPr>
        <w:autoSpaceDE w:val="0"/>
        <w:autoSpaceDN w:val="0"/>
        <w:adjustRightInd w:val="0"/>
        <w:spacing w:before="240"/>
        <w:rPr>
          <w:rFonts w:eastAsia="Times New Roman" w:cs="Times New Roman"/>
          <w:i/>
          <w:sz w:val="22"/>
          <w:lang w:val="es-ES" w:eastAsia="es-ES"/>
        </w:rPr>
      </w:pPr>
      <w:r w:rsidRPr="00E2546F">
        <w:rPr>
          <w:rFonts w:eastAsia="Times New Roman" w:cs="Times New Roman"/>
          <w:i/>
          <w:sz w:val="22"/>
          <w:lang w:val="es-ES" w:eastAsia="es-ES"/>
        </w:rPr>
        <w:t>El número de folio de respuesta de la solicitud de acceso;</w:t>
      </w:r>
    </w:p>
    <w:p w:rsidR="00D22D6C" w:rsidRPr="00E2546F" w:rsidRDefault="00D22D6C" w:rsidP="00D22D6C">
      <w:pPr>
        <w:autoSpaceDE w:val="0"/>
        <w:autoSpaceDN w:val="0"/>
        <w:adjustRightInd w:val="0"/>
        <w:spacing w:before="240"/>
        <w:ind w:left="1080"/>
        <w:rPr>
          <w:rFonts w:eastAsia="Times New Roman" w:cs="Times New Roman"/>
          <w:i/>
          <w:sz w:val="22"/>
        </w:rPr>
      </w:pPr>
      <w:r w:rsidRPr="00E2546F">
        <w:rPr>
          <w:rFonts w:eastAsia="Times New Roman" w:cs="Times New Roman"/>
          <w:i/>
          <w:sz w:val="22"/>
        </w:rPr>
        <w:lastRenderedPageBreak/>
        <w:t>IV. La fecha en que fue notificada la respuesta al solicitante o tuvo conocimiento del acto reclamado, o de presentación de la solicitud, en caso de falta de respuesta;</w:t>
      </w:r>
    </w:p>
    <w:p w:rsidR="00D22D6C" w:rsidRPr="00E2546F" w:rsidRDefault="00D22D6C" w:rsidP="00D22D6C">
      <w:pPr>
        <w:autoSpaceDE w:val="0"/>
        <w:autoSpaceDN w:val="0"/>
        <w:adjustRightInd w:val="0"/>
        <w:spacing w:before="240"/>
        <w:ind w:left="732" w:firstLine="348"/>
        <w:rPr>
          <w:rFonts w:eastAsia="Times New Roman" w:cs="Times New Roman"/>
          <w:i/>
          <w:sz w:val="22"/>
        </w:rPr>
      </w:pPr>
      <w:r w:rsidRPr="00E2546F">
        <w:rPr>
          <w:rFonts w:eastAsia="Times New Roman" w:cs="Times New Roman"/>
          <w:i/>
          <w:sz w:val="22"/>
        </w:rPr>
        <w:t>V. El acto que se recurre;</w:t>
      </w:r>
    </w:p>
    <w:p w:rsidR="00D22D6C" w:rsidRPr="00E2546F" w:rsidRDefault="00D22D6C" w:rsidP="00D22D6C">
      <w:pPr>
        <w:autoSpaceDE w:val="0"/>
        <w:autoSpaceDN w:val="0"/>
        <w:adjustRightInd w:val="0"/>
        <w:spacing w:before="240"/>
        <w:ind w:left="732" w:firstLine="348"/>
        <w:rPr>
          <w:rFonts w:eastAsia="Times New Roman" w:cs="Times New Roman"/>
          <w:i/>
          <w:sz w:val="22"/>
        </w:rPr>
      </w:pPr>
      <w:r w:rsidRPr="00E2546F">
        <w:rPr>
          <w:rFonts w:eastAsia="Times New Roman" w:cs="Times New Roman"/>
          <w:i/>
          <w:sz w:val="22"/>
        </w:rPr>
        <w:t>VI. Las razones o motivos de inconformidad;</w:t>
      </w:r>
    </w:p>
    <w:p w:rsidR="00D22D6C" w:rsidRPr="00E2546F" w:rsidRDefault="00D22D6C" w:rsidP="00D22D6C">
      <w:pPr>
        <w:autoSpaceDE w:val="0"/>
        <w:autoSpaceDN w:val="0"/>
        <w:adjustRightInd w:val="0"/>
        <w:spacing w:before="240"/>
        <w:ind w:left="1080"/>
        <w:rPr>
          <w:rFonts w:eastAsia="Times New Roman" w:cs="Times New Roman"/>
          <w:i/>
          <w:sz w:val="22"/>
        </w:rPr>
      </w:pPr>
      <w:r w:rsidRPr="00E2546F">
        <w:rPr>
          <w:rFonts w:eastAsia="Times New Roman" w:cs="Times New Roman"/>
          <w:i/>
          <w:sz w:val="22"/>
        </w:rPr>
        <w:t>VII. La copia de la respuesta que se impugna y, en su caso, de la notificación correspondiente, en el caso de respuesta de la solicitud; y</w:t>
      </w:r>
    </w:p>
    <w:p w:rsidR="00D22D6C" w:rsidRPr="00E2546F" w:rsidRDefault="00D22D6C" w:rsidP="00D22D6C">
      <w:pPr>
        <w:autoSpaceDE w:val="0"/>
        <w:autoSpaceDN w:val="0"/>
        <w:adjustRightInd w:val="0"/>
        <w:spacing w:before="240"/>
        <w:ind w:left="732" w:firstLine="348"/>
        <w:rPr>
          <w:rFonts w:eastAsia="Times New Roman" w:cs="Times New Roman"/>
          <w:i/>
          <w:sz w:val="22"/>
        </w:rPr>
      </w:pPr>
      <w:r w:rsidRPr="00E2546F">
        <w:rPr>
          <w:rFonts w:eastAsia="Times New Roman" w:cs="Times New Roman"/>
          <w:i/>
          <w:sz w:val="22"/>
        </w:rPr>
        <w:t>VIII. Firma del recurrente, en su caso, cuando se presente por escrito, requisito sin el cual se dará trámite al recurso.</w:t>
      </w:r>
    </w:p>
    <w:p w:rsidR="00D22D6C" w:rsidRPr="00E2546F" w:rsidRDefault="00D22D6C" w:rsidP="00D22D6C">
      <w:pPr>
        <w:autoSpaceDE w:val="0"/>
        <w:autoSpaceDN w:val="0"/>
        <w:adjustRightInd w:val="0"/>
        <w:spacing w:before="240"/>
        <w:ind w:left="1080"/>
        <w:rPr>
          <w:rFonts w:eastAsia="Times New Roman" w:cs="Times New Roman"/>
          <w:i/>
          <w:sz w:val="22"/>
        </w:rPr>
      </w:pPr>
      <w:r w:rsidRPr="00E2546F">
        <w:rPr>
          <w:rFonts w:eastAsia="Times New Roman" w:cs="Times New Roman"/>
          <w:i/>
          <w:sz w:val="22"/>
        </w:rPr>
        <w:t>Adicionalmente, se podrán anexar las pruebas y demás elementos que considere procedentes someter a juicio del Instituto.</w:t>
      </w:r>
    </w:p>
    <w:p w:rsidR="00D22D6C" w:rsidRPr="00E2546F" w:rsidRDefault="00D22D6C" w:rsidP="00D22D6C">
      <w:pPr>
        <w:autoSpaceDE w:val="0"/>
        <w:autoSpaceDN w:val="0"/>
        <w:adjustRightInd w:val="0"/>
        <w:spacing w:before="240"/>
        <w:ind w:left="732" w:firstLine="348"/>
        <w:rPr>
          <w:rFonts w:eastAsia="Times New Roman" w:cs="Times New Roman"/>
          <w:i/>
          <w:sz w:val="22"/>
        </w:rPr>
      </w:pPr>
      <w:r w:rsidRPr="00E2546F">
        <w:rPr>
          <w:rFonts w:eastAsia="Times New Roman" w:cs="Times New Roman"/>
          <w:i/>
          <w:sz w:val="22"/>
        </w:rPr>
        <w:t>En ningún caso será necesario que el particular ratifique el recurso de revisión interpuesto.</w:t>
      </w:r>
    </w:p>
    <w:p w:rsidR="00D22D6C" w:rsidRPr="00E2546F" w:rsidRDefault="00D22D6C" w:rsidP="00D22D6C">
      <w:pPr>
        <w:autoSpaceDE w:val="0"/>
        <w:autoSpaceDN w:val="0"/>
        <w:adjustRightInd w:val="0"/>
        <w:spacing w:before="240"/>
        <w:ind w:left="1080"/>
        <w:rPr>
          <w:rFonts w:eastAsia="Times New Roman" w:cs="Times New Roman"/>
          <w:b/>
          <w:i/>
          <w:sz w:val="22"/>
          <w:u w:val="single"/>
        </w:rPr>
      </w:pPr>
      <w:r w:rsidRPr="00E2546F">
        <w:rPr>
          <w:rFonts w:eastAsia="Times New Roman" w:cs="Times New Roman"/>
          <w:b/>
          <w:i/>
          <w:sz w:val="22"/>
          <w:u w:val="single"/>
        </w:rPr>
        <w:t>En caso de que el recurso se interponga de manera electrónica no será indispensable que contengan los requisitos establecidos en las fracciones II, IV, VII y VIII.” [Sic]</w:t>
      </w:r>
    </w:p>
    <w:p w:rsidR="00D22D6C" w:rsidRPr="00E2546F" w:rsidRDefault="00D22D6C" w:rsidP="00D22D6C">
      <w:pPr>
        <w:autoSpaceDE w:val="0"/>
        <w:autoSpaceDN w:val="0"/>
        <w:adjustRightInd w:val="0"/>
        <w:spacing w:before="240"/>
        <w:ind w:left="1080"/>
        <w:rPr>
          <w:rFonts w:eastAsia="Times New Roman" w:cs="Times New Roman"/>
          <w:b/>
          <w:i/>
          <w:sz w:val="22"/>
          <w:u w:val="single"/>
        </w:rPr>
      </w:pPr>
    </w:p>
    <w:p w:rsidR="00D22D6C" w:rsidRPr="00E2546F" w:rsidRDefault="00D22D6C" w:rsidP="00D22D6C">
      <w:pPr>
        <w:rPr>
          <w:rFonts w:eastAsia="Times New Roman" w:cs="Arial"/>
          <w:szCs w:val="24"/>
          <w:lang w:val="es-ES" w:eastAsia="es-ES"/>
        </w:rPr>
      </w:pPr>
      <w:r w:rsidRPr="00E2546F">
        <w:rPr>
          <w:rFonts w:eastAsia="Times New Roman" w:cs="Segoe UI"/>
          <w:szCs w:val="24"/>
          <w:lang w:val="es-ES" w:eastAsia="es-ES"/>
        </w:rPr>
        <w:t xml:space="preserve">Cabe señalar que </w:t>
      </w:r>
      <w:r w:rsidRPr="00E2546F">
        <w:rPr>
          <w:rFonts w:eastAsia="Times New Roman" w:cs="Segoe UI"/>
          <w:b/>
          <w:szCs w:val="24"/>
          <w:lang w:val="es-ES" w:eastAsia="es-ES"/>
        </w:rPr>
        <w:t>El Recurrente</w:t>
      </w:r>
      <w:r w:rsidRPr="00E2546F">
        <w:rPr>
          <w:rFonts w:eastAsia="Times New Roman" w:cs="Segoe UI"/>
          <w:szCs w:val="24"/>
          <w:lang w:val="es-ES" w:eastAsia="es-ES"/>
        </w:rPr>
        <w:t xml:space="preserve"> ejerció de manera anónima su derecho de acceso a la información pública</w:t>
      </w:r>
      <w:r w:rsidRPr="00E2546F">
        <w:rPr>
          <w:rFonts w:eastAsia="Times New Roman" w:cs="Times New Roman"/>
          <w:szCs w:val="24"/>
          <w:lang w:val="es-ES" w:eastAsia="es-ES"/>
        </w:rPr>
        <w:t xml:space="preserve">, sin embargo, no es motivo para desechar las </w:t>
      </w:r>
      <w:r w:rsidRPr="00E2546F">
        <w:rPr>
          <w:rFonts w:eastAsia="Times New Roman" w:cs="Arial"/>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D22D6C" w:rsidRPr="00E2546F" w:rsidRDefault="00D22D6C" w:rsidP="00D22D6C">
      <w:pPr>
        <w:spacing w:before="240"/>
        <w:ind w:left="851" w:right="851"/>
        <w:rPr>
          <w:rFonts w:eastAsia="Times New Roman" w:cs="Arial"/>
          <w:b/>
          <w:i/>
          <w:sz w:val="22"/>
          <w:lang w:val="es-ES" w:eastAsia="es-ES"/>
        </w:rPr>
      </w:pPr>
      <w:r w:rsidRPr="00E2546F">
        <w:rPr>
          <w:rFonts w:eastAsia="Times New Roman" w:cs="Arial"/>
          <w:i/>
          <w:sz w:val="22"/>
          <w:lang w:val="es-ES" w:eastAsia="es-ES"/>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E2546F">
        <w:rPr>
          <w:rFonts w:eastAsia="Times New Roman" w:cs="Arial"/>
          <w:b/>
          <w:i/>
          <w:sz w:val="22"/>
          <w:lang w:val="es-ES" w:eastAsia="es-ES"/>
        </w:rPr>
        <w:t>[Sic]</w:t>
      </w:r>
    </w:p>
    <w:p w:rsidR="00D22D6C" w:rsidRPr="00E2546F" w:rsidRDefault="00D22D6C" w:rsidP="00D22D6C">
      <w:pPr>
        <w:spacing w:before="240"/>
        <w:ind w:left="851" w:right="851"/>
        <w:rPr>
          <w:rFonts w:eastAsia="Times New Roman" w:cs="Arial"/>
          <w:b/>
          <w:i/>
          <w:sz w:val="22"/>
          <w:lang w:val="es-ES" w:eastAsia="es-ES"/>
        </w:rPr>
      </w:pPr>
    </w:p>
    <w:p w:rsidR="00D22D6C" w:rsidRPr="007D7D86" w:rsidRDefault="00D22D6C" w:rsidP="00D22D6C">
      <w:pPr>
        <w:rPr>
          <w:rFonts w:eastAsia="Times New Roman" w:cs="Times New Roman"/>
          <w:szCs w:val="24"/>
          <w:lang w:val="es-ES" w:eastAsia="es-ES"/>
        </w:rPr>
      </w:pPr>
      <w:r w:rsidRPr="00E2546F">
        <w:rPr>
          <w:rFonts w:eastAsia="Times New Roman" w:cs="Times New Roman"/>
          <w:szCs w:val="24"/>
          <w:lang w:val="es-ES" w:eastAsia="es-ES"/>
        </w:rPr>
        <w:t xml:space="preserve">Robusteciendo lo anterior se encuentra lo dispuesto en </w:t>
      </w:r>
      <w:r>
        <w:rPr>
          <w:rFonts w:eastAsia="Times New Roman" w:cs="Times New Roman"/>
          <w:szCs w:val="24"/>
          <w:lang w:val="es-ES" w:eastAsia="es-ES"/>
        </w:rPr>
        <w:t xml:space="preserve">el artículo </w:t>
      </w:r>
      <w:r w:rsidRPr="00E2546F">
        <w:rPr>
          <w:rFonts w:eastAsia="Times New Roman" w:cs="Times New Roman"/>
          <w:szCs w:val="24"/>
          <w:lang w:val="es-ES" w:eastAsia="es-ES"/>
        </w:rPr>
        <w:t xml:space="preserve">5 párrafos </w:t>
      </w:r>
      <w:r w:rsidRPr="00E2546F">
        <w:rPr>
          <w:rFonts w:eastAsia="Times New Roman" w:cs="Arial"/>
          <w:szCs w:val="24"/>
          <w:lang w:val="es-ES" w:eastAsia="es-ES"/>
        </w:rPr>
        <w:t>vigésimo, vigésimo primero</w:t>
      </w:r>
      <w:r w:rsidRPr="00E2546F">
        <w:rPr>
          <w:rFonts w:eastAsia="Times New Roman" w:cs="Arial"/>
          <w:szCs w:val="24"/>
          <w:lang w:eastAsia="es-ES"/>
        </w:rPr>
        <w:t xml:space="preserve"> y vigésimo segundo</w:t>
      </w:r>
      <w:r w:rsidRPr="00E2546F">
        <w:rPr>
          <w:rFonts w:eastAsia="Times New Roman" w:cs="Times New Roman"/>
          <w:szCs w:val="24"/>
          <w:lang w:val="es-ES" w:eastAsia="es-ES"/>
        </w:rPr>
        <w:t>, de la Constitución Política del Estado Libre y Soberano de México, se establece lo siguiente:</w:t>
      </w:r>
    </w:p>
    <w:p w:rsidR="00D22D6C" w:rsidRPr="00E2546F" w:rsidRDefault="00D22D6C" w:rsidP="00D22D6C">
      <w:pPr>
        <w:spacing w:before="240"/>
        <w:ind w:left="851" w:right="851"/>
        <w:rPr>
          <w:rFonts w:eastAsia="Times New Roman" w:cs="Times New Roman"/>
          <w:b/>
          <w:i/>
          <w:sz w:val="22"/>
          <w:u w:val="single"/>
          <w:lang w:val="es-ES" w:eastAsia="es-ES"/>
        </w:rPr>
      </w:pPr>
      <w:r w:rsidRPr="00E2546F">
        <w:rPr>
          <w:rFonts w:eastAsia="Times New Roman" w:cs="Times New Roman"/>
          <w:b/>
          <w:i/>
          <w:sz w:val="22"/>
          <w:u w:val="single"/>
          <w:lang w:val="es-ES" w:eastAsia="es-ES"/>
        </w:rPr>
        <w:t>Constitución Política del Estado Libre y Soberano de México</w:t>
      </w:r>
    </w:p>
    <w:p w:rsidR="00D22D6C" w:rsidRPr="00E2546F" w:rsidRDefault="00D22D6C" w:rsidP="00D22D6C">
      <w:pPr>
        <w:spacing w:before="240"/>
        <w:ind w:left="851" w:right="851"/>
        <w:rPr>
          <w:rFonts w:eastAsia="Times New Roman" w:cs="Times New Roman"/>
          <w:i/>
          <w:sz w:val="22"/>
          <w:lang w:val="es-ES" w:eastAsia="es-ES"/>
        </w:rPr>
      </w:pPr>
      <w:r w:rsidRPr="00E2546F">
        <w:rPr>
          <w:rFonts w:eastAsia="Times New Roman" w:cs="Times New Roman"/>
          <w:i/>
          <w:sz w:val="22"/>
          <w:lang w:val="es-ES" w:eastAsia="es-ES"/>
        </w:rPr>
        <w:t>“</w:t>
      </w:r>
      <w:r w:rsidRPr="00E2546F">
        <w:rPr>
          <w:rFonts w:eastAsia="Times New Roman" w:cs="Times New Roman"/>
          <w:b/>
          <w:i/>
          <w:sz w:val="22"/>
          <w:lang w:val="es-ES" w:eastAsia="es-ES"/>
        </w:rPr>
        <w:t>Artículo 5</w:t>
      </w:r>
      <w:r w:rsidRPr="00E2546F">
        <w:rPr>
          <w:rFonts w:eastAsia="Times New Roman" w:cs="Times New Roman"/>
          <w:i/>
          <w:sz w:val="22"/>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D22D6C" w:rsidRPr="00E2546F" w:rsidRDefault="00D22D6C" w:rsidP="00D22D6C">
      <w:pPr>
        <w:spacing w:before="240"/>
        <w:ind w:left="851" w:right="851"/>
        <w:rPr>
          <w:rFonts w:eastAsia="Times New Roman" w:cs="Times New Roman"/>
          <w:i/>
          <w:sz w:val="22"/>
          <w:lang w:val="es-ES" w:eastAsia="es-ES"/>
        </w:rPr>
      </w:pPr>
      <w:r w:rsidRPr="00E2546F">
        <w:rPr>
          <w:rFonts w:eastAsia="Times New Roman" w:cs="Times New Roman"/>
          <w:i/>
          <w:sz w:val="22"/>
          <w:lang w:val="es-ES" w:eastAsia="es-ES"/>
        </w:rPr>
        <w:t>(…)</w:t>
      </w:r>
    </w:p>
    <w:p w:rsidR="00D22D6C" w:rsidRPr="00E2546F" w:rsidRDefault="00D22D6C" w:rsidP="00D22D6C">
      <w:pPr>
        <w:spacing w:before="240"/>
        <w:ind w:left="851" w:right="851"/>
        <w:rPr>
          <w:rFonts w:eastAsia="Times New Roman" w:cs="Times New Roman"/>
          <w:b/>
          <w:i/>
          <w:sz w:val="22"/>
          <w:lang w:val="es-ES" w:eastAsia="es-ES"/>
        </w:rPr>
      </w:pPr>
      <w:proofErr w:type="gramStart"/>
      <w:r w:rsidRPr="00E2546F">
        <w:rPr>
          <w:rFonts w:eastAsia="Times New Roman" w:cs="Times New Roman"/>
          <w:i/>
          <w:sz w:val="22"/>
          <w:lang w:val="es-ES" w:eastAsia="es-ES"/>
        </w:rPr>
        <w:t>transparencia</w:t>
      </w:r>
      <w:proofErr w:type="gramEnd"/>
      <w:r w:rsidRPr="00E2546F">
        <w:rPr>
          <w:rFonts w:eastAsia="Times New Roman" w:cs="Times New Roman"/>
          <w:i/>
          <w:sz w:val="22"/>
          <w:lang w:val="es-ES" w:eastAsia="es-ES"/>
        </w:rPr>
        <w:t xml:space="preserve">, acceso a la información pública y a la protección de datos personales en posesión de los sujetos obligados en los términos que establezca la ley. (…)” </w:t>
      </w:r>
      <w:r w:rsidRPr="00E2546F">
        <w:rPr>
          <w:rFonts w:eastAsia="Times New Roman" w:cs="Times New Roman"/>
          <w:b/>
          <w:i/>
          <w:sz w:val="22"/>
          <w:lang w:val="es-ES" w:eastAsia="es-ES"/>
        </w:rPr>
        <w:t>[Sic]</w:t>
      </w:r>
    </w:p>
    <w:p w:rsidR="00D22D6C" w:rsidRDefault="00D22D6C" w:rsidP="00D22D6C">
      <w:pPr>
        <w:autoSpaceDE w:val="0"/>
        <w:autoSpaceDN w:val="0"/>
        <w:adjustRightInd w:val="0"/>
        <w:spacing w:before="240"/>
        <w:rPr>
          <w:rFonts w:eastAsia="Times New Roman" w:cs="Arial"/>
          <w:szCs w:val="24"/>
          <w:lang w:val="es-ES"/>
        </w:rPr>
      </w:pPr>
      <w:r w:rsidRPr="00E2546F">
        <w:rPr>
          <w:rFonts w:eastAsia="Times New Roman" w:cs="Times New Roman"/>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2546F">
        <w:rPr>
          <w:rFonts w:eastAsia="Times New Roman" w:cs="Times New Roman"/>
          <w:b/>
          <w:szCs w:val="24"/>
          <w:u w:val="single"/>
          <w:lang w:val="es-ES" w:eastAsia="es-ES"/>
        </w:rPr>
        <w:lastRenderedPageBreak/>
        <w:t>incluso, la solicitud de acceso a la información pueda ser anónima</w:t>
      </w:r>
      <w:r w:rsidRPr="00E2546F">
        <w:rPr>
          <w:rFonts w:eastAsia="Times New Roman" w:cs="Times New Roman"/>
          <w:szCs w:val="24"/>
          <w:lang w:val="es-ES" w:eastAsia="es-ES"/>
        </w:rPr>
        <w:t xml:space="preserve"> o no contener un nombre que identifique al solicitante o que permita tener certeza sobre su identidad. </w:t>
      </w:r>
      <w:r w:rsidRPr="00E2546F">
        <w:rPr>
          <w:rFonts w:eastAsia="Times New Roman" w:cs="Arial"/>
          <w:szCs w:val="24"/>
          <w:lang w:val="es-ES"/>
        </w:rPr>
        <w:t xml:space="preserve">En conclusión, se cubrieron los requisitos de procedencia y </w:t>
      </w:r>
      <w:proofErr w:type="spellStart"/>
      <w:r w:rsidRPr="00E2546F">
        <w:rPr>
          <w:rFonts w:eastAsia="Times New Roman" w:cs="Arial"/>
          <w:szCs w:val="24"/>
          <w:lang w:val="es-ES"/>
        </w:rPr>
        <w:t>procedibilidad</w:t>
      </w:r>
      <w:proofErr w:type="spellEnd"/>
      <w:r w:rsidRPr="00E2546F">
        <w:rPr>
          <w:rFonts w:eastAsia="Times New Roman" w:cs="Arial"/>
          <w:szCs w:val="24"/>
          <w:lang w:val="es-ES"/>
        </w:rPr>
        <w:t xml:space="preserve"> y conforme a las constancias que obran en el expediente.</w:t>
      </w:r>
    </w:p>
    <w:p w:rsidR="00466107" w:rsidRPr="00E2546F" w:rsidRDefault="00466107" w:rsidP="00D22D6C">
      <w:pPr>
        <w:autoSpaceDE w:val="0"/>
        <w:autoSpaceDN w:val="0"/>
        <w:adjustRightInd w:val="0"/>
        <w:spacing w:before="240"/>
        <w:rPr>
          <w:rFonts w:ascii="Times New Roman" w:eastAsia="Times New Roman" w:hAnsi="Times New Roman" w:cs="Arial"/>
          <w:b/>
          <w:sz w:val="28"/>
          <w:szCs w:val="24"/>
          <w:lang w:val="es-ES" w:eastAsia="es-ES"/>
        </w:rPr>
      </w:pPr>
    </w:p>
    <w:p w:rsidR="00D22D6C" w:rsidRPr="00E2546F" w:rsidRDefault="00D22D6C" w:rsidP="00D22D6C">
      <w:pPr>
        <w:pStyle w:val="Prrafodelista"/>
        <w:autoSpaceDE w:val="0"/>
        <w:autoSpaceDN w:val="0"/>
        <w:adjustRightInd w:val="0"/>
        <w:spacing w:before="240" w:after="160"/>
        <w:ind w:left="0"/>
        <w:rPr>
          <w:rFonts w:cs="Arial"/>
          <w:b/>
          <w:sz w:val="28"/>
        </w:rPr>
      </w:pPr>
      <w:r w:rsidRPr="00E2546F">
        <w:rPr>
          <w:rFonts w:cs="Arial"/>
          <w:b/>
          <w:sz w:val="28"/>
        </w:rPr>
        <w:t>CUARTO. De las causas de improcedencia.</w:t>
      </w:r>
    </w:p>
    <w:p w:rsidR="00D22D6C" w:rsidRDefault="00D22D6C" w:rsidP="00D22D6C">
      <w:pPr>
        <w:pStyle w:val="Prrafodelista"/>
        <w:autoSpaceDE w:val="0"/>
        <w:autoSpaceDN w:val="0"/>
        <w:adjustRightInd w:val="0"/>
        <w:ind w:left="0"/>
        <w:rPr>
          <w:rFonts w:cs="Arial"/>
        </w:rPr>
      </w:pPr>
      <w:r w:rsidRPr="00E2546F">
        <w:rPr>
          <w:rFonts w:cs="Arial"/>
        </w:rPr>
        <w:t xml:space="preserve">En el procedimiento de acceso a la información y de los medios de impugnación de la materia, se advierten diversos supuestos de </w:t>
      </w:r>
      <w:proofErr w:type="spellStart"/>
      <w:r w:rsidRPr="00E2546F">
        <w:rPr>
          <w:rFonts w:cs="Arial"/>
        </w:rPr>
        <w:t>procedibilidad</w:t>
      </w:r>
      <w:proofErr w:type="spellEnd"/>
      <w:r w:rsidRPr="00E2546F">
        <w:rPr>
          <w:rFonts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66107" w:rsidRPr="00E2546F" w:rsidRDefault="00466107" w:rsidP="00D22D6C">
      <w:pPr>
        <w:pStyle w:val="Prrafodelista"/>
        <w:autoSpaceDE w:val="0"/>
        <w:autoSpaceDN w:val="0"/>
        <w:adjustRightInd w:val="0"/>
        <w:ind w:left="0"/>
        <w:rPr>
          <w:rFonts w:cs="Arial"/>
        </w:rPr>
      </w:pPr>
    </w:p>
    <w:p w:rsidR="00D22D6C" w:rsidRPr="00E2546F" w:rsidRDefault="00D22D6C" w:rsidP="00D22D6C">
      <w:pPr>
        <w:pStyle w:val="Prrafodelista"/>
        <w:autoSpaceDE w:val="0"/>
        <w:autoSpaceDN w:val="0"/>
        <w:adjustRightInd w:val="0"/>
        <w:ind w:left="0"/>
        <w:rPr>
          <w:rFonts w:cs="Arial"/>
        </w:rPr>
      </w:pPr>
      <w:r w:rsidRPr="00E2546F">
        <w:rPr>
          <w:rFonts w:cs="Arial"/>
        </w:rPr>
        <w:t xml:space="preserve">De lo anterior, el estudio de las causas de improcedencia que se hagan valer por las partes o que se advierta de oficio por este </w:t>
      </w:r>
      <w:proofErr w:type="spellStart"/>
      <w:r w:rsidRPr="00E2546F">
        <w:rPr>
          <w:rFonts w:cs="Arial"/>
        </w:rPr>
        <w:t>Resolutor</w:t>
      </w:r>
      <w:proofErr w:type="spellEnd"/>
      <w:r w:rsidRPr="00E2546F">
        <w:rPr>
          <w:rFonts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w:t>
      </w:r>
      <w:r w:rsidRPr="00E2546F">
        <w:rPr>
          <w:rFonts w:cs="Arial"/>
        </w:rPr>
        <w:lastRenderedPageBreak/>
        <w:t>justicia, ya que éste no se coarta por regular causas de improcedencia y sobreseimiento con tales fines</w:t>
      </w:r>
      <w:r w:rsidRPr="00E2546F">
        <w:rPr>
          <w:rStyle w:val="Refdenotaalpie"/>
          <w:rFonts w:cs="Arial"/>
        </w:rPr>
        <w:footnoteReference w:id="1"/>
      </w:r>
      <w:r w:rsidRPr="00E2546F">
        <w:rPr>
          <w:rFonts w:cs="Arial"/>
        </w:rPr>
        <w:t>.</w:t>
      </w:r>
    </w:p>
    <w:p w:rsidR="00D22D6C" w:rsidRPr="00E2546F" w:rsidRDefault="00D22D6C" w:rsidP="00D22D6C">
      <w:pPr>
        <w:pStyle w:val="Prrafodelista"/>
        <w:autoSpaceDE w:val="0"/>
        <w:autoSpaceDN w:val="0"/>
        <w:adjustRightInd w:val="0"/>
        <w:ind w:left="0"/>
        <w:rPr>
          <w:rFonts w:cs="Arial"/>
        </w:rPr>
      </w:pPr>
      <w:r w:rsidRPr="00E2546F">
        <w:rPr>
          <w:rFonts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D22D6C" w:rsidRPr="00E2546F" w:rsidRDefault="00D22D6C" w:rsidP="00D22D6C">
      <w:pPr>
        <w:pStyle w:val="Prrafodelista"/>
        <w:autoSpaceDE w:val="0"/>
        <w:autoSpaceDN w:val="0"/>
        <w:adjustRightInd w:val="0"/>
        <w:ind w:left="0"/>
        <w:rPr>
          <w:rFonts w:cs="Arial"/>
        </w:rPr>
      </w:pPr>
    </w:p>
    <w:p w:rsidR="00D22D6C" w:rsidRPr="00E2546F" w:rsidRDefault="00D22D6C" w:rsidP="00D22D6C">
      <w:pPr>
        <w:pStyle w:val="Ttulo2"/>
        <w:rPr>
          <w:rFonts w:ascii="Palatino Linotype" w:eastAsia="Palatino Linotype" w:hAnsi="Palatino Linotype"/>
          <w:b/>
          <w:bCs/>
          <w:color w:val="auto"/>
          <w:sz w:val="28"/>
          <w:szCs w:val="28"/>
        </w:rPr>
      </w:pPr>
      <w:r w:rsidRPr="00E2546F">
        <w:rPr>
          <w:rFonts w:ascii="Palatino Linotype" w:eastAsia="Palatino Linotype" w:hAnsi="Palatino Linotype"/>
          <w:b/>
          <w:bCs/>
          <w:color w:val="auto"/>
          <w:sz w:val="28"/>
          <w:szCs w:val="28"/>
        </w:rPr>
        <w:t>QUINTO. Estudio y resolución del asunto.</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w:t>
      </w:r>
      <w:r w:rsidRPr="00E2546F">
        <w:rPr>
          <w:rFonts w:eastAsia="Palatino Linotype" w:cs="Palatino Linotype"/>
          <w:color w:val="000000"/>
          <w:szCs w:val="24"/>
        </w:rPr>
        <w:lastRenderedPageBreak/>
        <w:t>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D22D6C" w:rsidRPr="00E2546F" w:rsidRDefault="00D22D6C" w:rsidP="00D22D6C">
      <w:pPr>
        <w:pBdr>
          <w:top w:val="nil"/>
          <w:left w:val="nil"/>
          <w:bottom w:val="nil"/>
          <w:right w:val="nil"/>
          <w:between w:val="nil"/>
        </w:pBdr>
        <w:contextualSpacing/>
        <w:rPr>
          <w:rFonts w:eastAsia="Palatino Linotype" w:cs="Palatino Linotype"/>
          <w:color w:val="000000"/>
          <w:szCs w:val="24"/>
        </w:rPr>
      </w:pPr>
    </w:p>
    <w:p w:rsidR="00D22D6C"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Por tanto, es conveniente recordar que el hoy Recurrente requirió del Sujeto Obligado, de la actual administración, lo siguiente:</w:t>
      </w:r>
    </w:p>
    <w:p w:rsidR="004C4B94" w:rsidRPr="00970392" w:rsidRDefault="00970392" w:rsidP="00970392">
      <w:pPr>
        <w:pStyle w:val="Prrafodelista"/>
        <w:numPr>
          <w:ilvl w:val="0"/>
          <w:numId w:val="14"/>
        </w:numPr>
        <w:pBdr>
          <w:top w:val="nil"/>
          <w:left w:val="nil"/>
          <w:bottom w:val="nil"/>
          <w:right w:val="nil"/>
          <w:between w:val="nil"/>
        </w:pBdr>
        <w:rPr>
          <w:rFonts w:eastAsia="Palatino Linotype" w:cs="Palatino Linotype"/>
          <w:color w:val="000000"/>
          <w:szCs w:val="24"/>
        </w:rPr>
      </w:pPr>
      <w:r w:rsidRPr="00970392">
        <w:rPr>
          <w:rFonts w:eastAsia="Palatino Linotype" w:cs="Palatino Linotype"/>
          <w:color w:val="000000"/>
          <w:szCs w:val="24"/>
        </w:rPr>
        <w:t xml:space="preserve">De los años 2024 y 2025, convocatorias publicadas </w:t>
      </w:r>
      <w:r>
        <w:rPr>
          <w:rFonts w:eastAsia="Palatino Linotype" w:cs="Palatino Linotype"/>
          <w:color w:val="000000"/>
          <w:szCs w:val="24"/>
        </w:rPr>
        <w:t xml:space="preserve">del programa </w:t>
      </w:r>
      <w:r w:rsidRPr="00970392">
        <w:rPr>
          <w:rFonts w:eastAsia="Palatino Linotype" w:cs="Palatino Linotype"/>
          <w:color w:val="000000"/>
          <w:szCs w:val="24"/>
        </w:rPr>
        <w:t>De</w:t>
      </w:r>
      <w:r>
        <w:rPr>
          <w:rFonts w:eastAsia="Palatino Linotype" w:cs="Palatino Linotype"/>
          <w:color w:val="000000"/>
          <w:szCs w:val="24"/>
        </w:rPr>
        <w:t>sarrollo Indígena con Bienestar</w:t>
      </w:r>
      <w:r w:rsidRPr="00970392">
        <w:rPr>
          <w:rFonts w:eastAsia="Palatino Linotype" w:cs="Palatino Linotype"/>
          <w:color w:val="000000"/>
          <w:szCs w:val="24"/>
        </w:rPr>
        <w:t xml:space="preserve"> y Bienestar Cultural Indígena</w:t>
      </w:r>
      <w:r>
        <w:rPr>
          <w:rFonts w:eastAsia="Palatino Linotype" w:cs="Palatino Linotype"/>
          <w:color w:val="000000"/>
          <w:szCs w:val="24"/>
        </w:rPr>
        <w:t>.</w:t>
      </w:r>
    </w:p>
    <w:p w:rsidR="004C4B94" w:rsidRDefault="004C4B94" w:rsidP="00D22D6C">
      <w:pPr>
        <w:pBdr>
          <w:top w:val="nil"/>
          <w:left w:val="nil"/>
          <w:bottom w:val="nil"/>
          <w:right w:val="nil"/>
          <w:between w:val="nil"/>
        </w:pBdr>
        <w:contextualSpacing/>
        <w:rPr>
          <w:rFonts w:eastAsia="Palatino Linotype" w:cs="Palatino Linotype"/>
          <w:color w:val="000000"/>
          <w:szCs w:val="24"/>
        </w:rPr>
      </w:pPr>
    </w:p>
    <w:p w:rsidR="00D22D6C" w:rsidRDefault="00D22D6C" w:rsidP="00D22D6C">
      <w:pPr>
        <w:pBdr>
          <w:top w:val="nil"/>
          <w:left w:val="nil"/>
          <w:bottom w:val="nil"/>
          <w:right w:val="nil"/>
          <w:between w:val="nil"/>
        </w:pBdr>
        <w:contextualSpacing/>
      </w:pPr>
      <w:r w:rsidRPr="00E2546F">
        <w:rPr>
          <w:rFonts w:eastAsia="Palatino Linotype" w:cs="Palatino Linotype"/>
          <w:color w:val="000000"/>
          <w:szCs w:val="24"/>
        </w:rPr>
        <w:t>Por lo que atento a la solicitud de información el Sujeto Obligado</w:t>
      </w:r>
      <w:r w:rsidRPr="00E2546F">
        <w:t xml:space="preserve"> e</w:t>
      </w:r>
      <w:r w:rsidR="00466107">
        <w:t xml:space="preserve">mitió su respuesta por medio </w:t>
      </w:r>
      <w:r w:rsidR="006C21D3">
        <w:t xml:space="preserve">del oficio con folio 229C0101000300S/708/2025, dirigido al cuidando solicitante, del el Jefe de la </w:t>
      </w:r>
      <w:r w:rsidR="001521FF">
        <w:t>Unidad</w:t>
      </w:r>
      <w:r w:rsidR="006C21D3">
        <w:t xml:space="preserve"> de Información, Planeación, Programación y Evaluación </w:t>
      </w:r>
      <w:r w:rsidR="001521FF">
        <w:t xml:space="preserve">y Titular de la Unidad de Transparencia, por el que </w:t>
      </w:r>
      <w:r w:rsidR="00485078">
        <w:t>manifiesta agregar copia simple y en formato PDF de convocatorias de los programas de desarrollo social “</w:t>
      </w:r>
      <w:r w:rsidR="007E309F">
        <w:t>Bienestar Cultural Indígena</w:t>
      </w:r>
      <w:r w:rsidR="00485078">
        <w:t>”</w:t>
      </w:r>
      <w:r w:rsidR="007E309F">
        <w:t xml:space="preserve"> y “Desarrollo Indígena con Bienestar”, Ejercicio Fiscal 2024.</w:t>
      </w:r>
    </w:p>
    <w:p w:rsidR="00E32C9F" w:rsidRDefault="00E32C9F" w:rsidP="00D22D6C">
      <w:pPr>
        <w:pBdr>
          <w:top w:val="nil"/>
          <w:left w:val="nil"/>
          <w:bottom w:val="nil"/>
          <w:right w:val="nil"/>
          <w:between w:val="nil"/>
        </w:pBdr>
        <w:contextualSpacing/>
      </w:pPr>
    </w:p>
    <w:p w:rsidR="007E309F" w:rsidRDefault="00E32C9F" w:rsidP="00D22D6C">
      <w:pPr>
        <w:pBdr>
          <w:top w:val="nil"/>
          <w:left w:val="nil"/>
          <w:bottom w:val="nil"/>
          <w:right w:val="nil"/>
          <w:between w:val="nil"/>
        </w:pBdr>
        <w:contextualSpacing/>
      </w:pPr>
      <w:r>
        <w:t xml:space="preserve">Así mismo comunica que en lo que respecta al ejercicio fiscal 2025, </w:t>
      </w:r>
      <w:r w:rsidR="00E83145">
        <w:t>los programas de desarrollo social mencionados en el párrafo anterior, al disponer de listas de espera no se realizan convocatorias para que se registren beneficiarios</w:t>
      </w:r>
      <w:r w:rsidR="002101D7">
        <w:t>, y señala el fundamento de las reglas de operación</w:t>
      </w:r>
      <w:r w:rsidR="00736BD2">
        <w:t>.</w:t>
      </w:r>
    </w:p>
    <w:p w:rsidR="00736BD2" w:rsidRDefault="00736BD2" w:rsidP="00D22D6C">
      <w:pPr>
        <w:pBdr>
          <w:top w:val="nil"/>
          <w:left w:val="nil"/>
          <w:bottom w:val="nil"/>
          <w:right w:val="nil"/>
          <w:between w:val="nil"/>
        </w:pBdr>
        <w:contextualSpacing/>
      </w:pPr>
      <w:r>
        <w:t xml:space="preserve">Asimismo complementa que el Comité de Admisión y Seguimiento del programa de desarrollo social </w:t>
      </w:r>
      <w:r w:rsidR="00AD2110">
        <w:t xml:space="preserve">“Bienestar Cultural Indígena” </w:t>
      </w:r>
      <w:r w:rsidR="00121D18">
        <w:t>mediante</w:t>
      </w:r>
      <w:r w:rsidR="00AD2110">
        <w:t xml:space="preserve"> sesión ordinaria emi</w:t>
      </w:r>
      <w:r w:rsidR="00514A09">
        <w:t>tió</w:t>
      </w:r>
      <w:r w:rsidR="00AD2110">
        <w:t xml:space="preserve"> el Acuerdo </w:t>
      </w:r>
      <w:proofErr w:type="spellStart"/>
      <w:r w:rsidR="00514A09">
        <w:t>CAyS</w:t>
      </w:r>
      <w:proofErr w:type="spellEnd"/>
      <w:r w:rsidR="00514A09">
        <w:t xml:space="preserve">/PDSBCI/S001/2025/05, en el cual se aprueba omitir la emisión de la </w:t>
      </w:r>
      <w:r w:rsidR="00514A09">
        <w:lastRenderedPageBreak/>
        <w:t xml:space="preserve">Convocatoria </w:t>
      </w:r>
      <w:r w:rsidR="006826F6">
        <w:t xml:space="preserve">del programa “Desarrollo Cultural Indígena” para el Ejercicio 2025, toda vez que existe una lista de espera de </w:t>
      </w:r>
      <w:r w:rsidR="00937684">
        <w:t>solicitantes</w:t>
      </w:r>
      <w:r w:rsidR="006826F6">
        <w:t xml:space="preserve"> que cumple con los </w:t>
      </w:r>
      <w:r w:rsidR="00937684">
        <w:t>requisitos</w:t>
      </w:r>
      <w:r w:rsidR="006826F6">
        <w:t xml:space="preserve"> de selecció</w:t>
      </w:r>
      <w:r w:rsidR="009F01EB">
        <w:t xml:space="preserve">n </w:t>
      </w:r>
      <w:r w:rsidR="00671B5B">
        <w:t>y cubre la meta programada; en otro tema, el Comité en comento</w:t>
      </w:r>
      <w:r w:rsidR="003251DB">
        <w:t xml:space="preserve">, en esa misma sesión, aprobó mediante Acuerdo </w:t>
      </w:r>
      <w:proofErr w:type="spellStart"/>
      <w:r w:rsidR="003251DB">
        <w:t>CAyS</w:t>
      </w:r>
      <w:proofErr w:type="spellEnd"/>
      <w:r w:rsidR="003251DB">
        <w:t xml:space="preserve">/DIB/So-1/2025/04 la omisión de la publicación de la Convocatoria del programa de desarrollo social </w:t>
      </w:r>
      <w:r w:rsidR="00D20A84">
        <w:t>“Desarrollo Indígena con Bienestar” para el ejercicio 2025.</w:t>
      </w:r>
    </w:p>
    <w:p w:rsidR="00D20A84" w:rsidRDefault="00D20A84" w:rsidP="00D22D6C">
      <w:pPr>
        <w:pBdr>
          <w:top w:val="nil"/>
          <w:left w:val="nil"/>
          <w:bottom w:val="nil"/>
          <w:right w:val="nil"/>
          <w:between w:val="nil"/>
        </w:pBdr>
        <w:contextualSpacing/>
      </w:pPr>
    </w:p>
    <w:p w:rsidR="00D20A84" w:rsidRDefault="009A04A4" w:rsidP="00D20A84">
      <w:pPr>
        <w:pStyle w:val="Prrafodelista"/>
        <w:numPr>
          <w:ilvl w:val="0"/>
          <w:numId w:val="15"/>
        </w:numPr>
        <w:pBdr>
          <w:top w:val="nil"/>
          <w:left w:val="nil"/>
          <w:bottom w:val="nil"/>
          <w:right w:val="nil"/>
          <w:between w:val="nil"/>
        </w:pBdr>
      </w:pPr>
      <w:r>
        <w:t>Convocatoria Desarrollo Indígena con Bienestar del 2024.</w:t>
      </w:r>
    </w:p>
    <w:p w:rsidR="009A04A4" w:rsidRDefault="004B7D02" w:rsidP="00D20A84">
      <w:pPr>
        <w:pStyle w:val="Prrafodelista"/>
        <w:numPr>
          <w:ilvl w:val="0"/>
          <w:numId w:val="15"/>
        </w:numPr>
        <w:pBdr>
          <w:top w:val="nil"/>
          <w:left w:val="nil"/>
          <w:bottom w:val="nil"/>
          <w:right w:val="nil"/>
          <w:between w:val="nil"/>
        </w:pBdr>
      </w:pPr>
      <w:r>
        <w:t>Convocatoria Bienestar Cultural Indígena 2024</w:t>
      </w:r>
    </w:p>
    <w:p w:rsidR="0035668D" w:rsidRDefault="0035668D" w:rsidP="00D22D6C">
      <w:pPr>
        <w:pBdr>
          <w:top w:val="nil"/>
          <w:left w:val="nil"/>
          <w:bottom w:val="nil"/>
          <w:right w:val="nil"/>
          <w:between w:val="nil"/>
        </w:pBdr>
        <w:contextualSpacing/>
        <w:rPr>
          <w:rFonts w:eastAsia="Palatino Linotype" w:cs="Palatino Linotype"/>
          <w:color w:val="000000"/>
          <w:szCs w:val="24"/>
        </w:rPr>
      </w:pPr>
    </w:p>
    <w:p w:rsidR="000C6DFA" w:rsidRDefault="00D22D6C" w:rsidP="00D22D6C">
      <w:pPr>
        <w:pBdr>
          <w:top w:val="nil"/>
          <w:left w:val="nil"/>
          <w:bottom w:val="nil"/>
          <w:right w:val="nil"/>
          <w:between w:val="nil"/>
        </w:pBdr>
        <w:contextualSpacing/>
        <w:rPr>
          <w:rFonts w:eastAsia="Palatino Linotype" w:cs="Palatino Linotype"/>
          <w:color w:val="000000"/>
          <w:szCs w:val="24"/>
        </w:rPr>
      </w:pPr>
      <w:r w:rsidRPr="00E2546F">
        <w:rPr>
          <w:rFonts w:eastAsia="Palatino Linotype" w:cs="Palatino Linotype"/>
          <w:color w:val="000000"/>
          <w:szCs w:val="24"/>
        </w:rPr>
        <w:t xml:space="preserve">Ante la respuesta emitida por el Sujeto Obligado, el Recurrente consideró que su derecho a la información pública había sido conculcado, por lo que interpuso el recurso de revisión al rubro citado, señalando como </w:t>
      </w:r>
      <w:r w:rsidR="00EE78BE">
        <w:rPr>
          <w:rFonts w:eastAsia="Palatino Linotype" w:cs="Palatino Linotype"/>
          <w:color w:val="000000"/>
          <w:szCs w:val="24"/>
        </w:rPr>
        <w:t>acto impugnado</w:t>
      </w:r>
      <w:r w:rsidR="008615B5">
        <w:rPr>
          <w:rFonts w:eastAsia="Palatino Linotype" w:cs="Palatino Linotype"/>
          <w:color w:val="000000"/>
          <w:szCs w:val="24"/>
        </w:rPr>
        <w:t xml:space="preserve"> “</w:t>
      </w:r>
      <w:r w:rsidR="00EE78BE" w:rsidRPr="00EE78BE">
        <w:rPr>
          <w:rFonts w:eastAsia="Palatino Linotype" w:cs="Palatino Linotype"/>
          <w:i/>
          <w:color w:val="000000"/>
          <w:szCs w:val="24"/>
        </w:rPr>
        <w:t>Las convocatorias proporcionadas presentan las siguientes deficiencias: • No vienen firmadas, lo que genera dudas sobre su genuinidad. • Carecen de bases generales claras, incluyendo los criterios de selección de los beneficiarios, lo que genera incertidumbre sobre la validez y transparencia del documento. • No especifican dónde se publicarán los resultados, impidiendo verificar la operatividad del procedimiento. • La convocatoria de Bienestar Cultural Indígena indica publicación de Reglas de Operación el 1 de julio de 2024, pero al final sólo aparece “Toluca, Estado de México, a 1 de julio de 2024”, sin sellos ni firmas, lo que genera incertidumbre sobre su autenticidad. • Respecto al Ejercicio Fiscal 2025, no se entregó evidencia de las listas de espera, ni documentación que justifique la no emisión de convocatorias.</w:t>
      </w:r>
      <w:r w:rsidR="008615B5">
        <w:rPr>
          <w:rFonts w:eastAsia="Palatino Linotype" w:cs="Palatino Linotype"/>
          <w:color w:val="000000"/>
          <w:szCs w:val="24"/>
        </w:rPr>
        <w:t>”</w:t>
      </w:r>
      <w:r w:rsidR="000C6DFA" w:rsidRPr="00E2546F">
        <w:rPr>
          <w:i/>
          <w:iCs/>
          <w:color w:val="000000"/>
          <w:szCs w:val="24"/>
        </w:rPr>
        <w:t xml:space="preserve"> </w:t>
      </w:r>
      <w:r w:rsidR="000C6DFA" w:rsidRPr="00E2546F">
        <w:rPr>
          <w:color w:val="000000"/>
          <w:szCs w:val="24"/>
        </w:rPr>
        <w:t xml:space="preserve"> </w:t>
      </w:r>
      <w:proofErr w:type="gramStart"/>
      <w:r w:rsidR="000C6DFA" w:rsidRPr="00E2546F">
        <w:rPr>
          <w:color w:val="000000"/>
          <w:szCs w:val="24"/>
        </w:rPr>
        <w:t>y</w:t>
      </w:r>
      <w:proofErr w:type="gramEnd"/>
      <w:r w:rsidR="000C6DFA" w:rsidRPr="00E2546F">
        <w:rPr>
          <w:color w:val="000000"/>
          <w:szCs w:val="24"/>
        </w:rPr>
        <w:t xml:space="preserve"> como razones o motivos de inconformidad</w:t>
      </w:r>
      <w:r w:rsidRPr="00E2546F">
        <w:rPr>
          <w:rFonts w:eastAsia="Palatino Linotype" w:cs="Palatino Linotype"/>
          <w:color w:val="000000"/>
          <w:szCs w:val="24"/>
        </w:rPr>
        <w:t xml:space="preserve"> </w:t>
      </w:r>
      <w:r w:rsidRPr="00E2546F">
        <w:rPr>
          <w:rFonts w:eastAsia="Palatino Linotype" w:cs="Palatino Linotype"/>
          <w:i/>
          <w:iCs/>
          <w:color w:val="000000"/>
          <w:szCs w:val="24"/>
        </w:rPr>
        <w:t>“</w:t>
      </w:r>
      <w:r w:rsidR="00EE78BE" w:rsidRPr="00EE78BE">
        <w:rPr>
          <w:i/>
          <w:color w:val="000000"/>
          <w:szCs w:val="24"/>
        </w:rPr>
        <w:t xml:space="preserve">La respuesta del sujeto obligado me causa agravio por las siguientes razones: 1. </w:t>
      </w:r>
      <w:proofErr w:type="spellStart"/>
      <w:r w:rsidR="00EE78BE" w:rsidRPr="00EE78BE">
        <w:rPr>
          <w:i/>
          <w:color w:val="000000"/>
          <w:szCs w:val="24"/>
        </w:rPr>
        <w:t>Incompletitud</w:t>
      </w:r>
      <w:proofErr w:type="spellEnd"/>
      <w:r w:rsidR="00EE78BE" w:rsidRPr="00EE78BE">
        <w:rPr>
          <w:i/>
          <w:color w:val="000000"/>
          <w:szCs w:val="24"/>
        </w:rPr>
        <w:t xml:space="preserve"> de la información: La información proporcionada carece de documentación oficial firmada que respalde </w:t>
      </w:r>
      <w:r w:rsidR="00EE78BE" w:rsidRPr="00EE78BE">
        <w:rPr>
          <w:i/>
          <w:color w:val="000000"/>
          <w:szCs w:val="24"/>
        </w:rPr>
        <w:lastRenderedPageBreak/>
        <w:t>las convocatorias. 2. Incertidumbre sobre la veracidad de los documentos: Las convocatorias proporcionadas presentan formato simple, sin sellos ni firmas, lo que impide garantizar que sean documentos auténticos emitidos por el CEDIPIEM. 3. Falta de información esencial para la operatividad: Las convocatorias no especifican dónde se publicarán los resultados ni los criterios de selección, lo que impide verificar la transparencia y legalidad del procedimiento. 4. Imposibilidad no acreditada: Sobre el Ejercicio Fiscal 2025, la autoridad no proporcionó evidencia de las listas de espera ni documentación que justifique la no emisión de convocatorias. 5. Falta de criterios de selección: La omisión de criterios claros genera incertidumbre sobre cómo se asignarán los apoyos y si el proceso cumple con las Reglas de Operación y los principios de igualdad y objetividad en la selección de beneficiarios. Falta de fecha precisa de publicación: La convocatoria proporcionada únicamente indica el mes de agosto como periodo de publicación, sin señalar el día exacto, pese a que el registro de solicitudes era del 4 al 9 de agosto. Esta omisión genera incertidumbre sobre la validez y veracidad del documento, y dificulta comprobar si se cumplió con los plazos oficiales de registro.</w:t>
      </w:r>
      <w:r w:rsidR="000C6DFA">
        <w:rPr>
          <w:color w:val="000000"/>
          <w:szCs w:val="24"/>
        </w:rPr>
        <w:t xml:space="preserve">” </w:t>
      </w:r>
      <w:r w:rsidRPr="00E2546F">
        <w:rPr>
          <w:rFonts w:eastAsia="Palatino Linotype" w:cs="Palatino Linotype"/>
          <w:color w:val="000000"/>
          <w:szCs w:val="24"/>
        </w:rPr>
        <w:t xml:space="preserve">en este sentido el Recurrente considero que el Sujeto Obligado no le dio </w:t>
      </w:r>
      <w:r w:rsidR="00EB29C6">
        <w:rPr>
          <w:rFonts w:eastAsia="Palatino Linotype" w:cs="Palatino Linotype"/>
          <w:color w:val="000000"/>
          <w:szCs w:val="24"/>
        </w:rPr>
        <w:t xml:space="preserve">respuesta satisfactoria, </w:t>
      </w:r>
      <w:r w:rsidR="0070687E">
        <w:rPr>
          <w:rFonts w:eastAsia="Palatino Linotype" w:cs="Palatino Linotype"/>
          <w:color w:val="000000"/>
          <w:szCs w:val="24"/>
        </w:rPr>
        <w:t>al no haber proporcionado las convocatorias oficiales por carecer de diversos elementos</w:t>
      </w:r>
      <w:r w:rsidR="00CD10F2">
        <w:rPr>
          <w:rFonts w:eastAsia="Palatino Linotype" w:cs="Palatino Linotype"/>
          <w:color w:val="000000"/>
          <w:szCs w:val="24"/>
        </w:rPr>
        <w:t xml:space="preserve"> de validez y veracidad del documento</w:t>
      </w:r>
      <w:r w:rsidR="0070687E">
        <w:rPr>
          <w:rFonts w:eastAsia="Palatino Linotype" w:cs="Palatino Linotype"/>
          <w:color w:val="000000"/>
          <w:szCs w:val="24"/>
        </w:rPr>
        <w:t xml:space="preserve">. </w:t>
      </w:r>
    </w:p>
    <w:p w:rsidR="000C6DFA" w:rsidRDefault="000C6DFA" w:rsidP="00D22D6C">
      <w:pPr>
        <w:pBdr>
          <w:top w:val="nil"/>
          <w:left w:val="nil"/>
          <w:bottom w:val="nil"/>
          <w:right w:val="nil"/>
          <w:between w:val="nil"/>
        </w:pBdr>
        <w:contextualSpacing/>
      </w:pPr>
    </w:p>
    <w:p w:rsidR="00B37FC8" w:rsidRDefault="00B37FC8" w:rsidP="00D22D6C">
      <w:pPr>
        <w:pBdr>
          <w:top w:val="nil"/>
          <w:left w:val="nil"/>
          <w:bottom w:val="nil"/>
          <w:right w:val="nil"/>
          <w:between w:val="nil"/>
        </w:pBdr>
        <w:contextualSpacing/>
      </w:pPr>
      <w:r>
        <w:t xml:space="preserve">Dado lo anterior y de la </w:t>
      </w:r>
      <w:r w:rsidR="0070687E">
        <w:t>porción</w:t>
      </w:r>
      <w:r>
        <w:t xml:space="preserve"> respectiva de “</w:t>
      </w:r>
      <w:r w:rsidR="00CD10F2" w:rsidRPr="00CD10F2">
        <w:rPr>
          <w:i/>
        </w:rPr>
        <w:t xml:space="preserve">Las convocatorias no especifican dónde se publicarán </w:t>
      </w:r>
      <w:r w:rsidR="00CD10F2" w:rsidRPr="00A01988">
        <w:rPr>
          <w:i/>
          <w:u w:val="single"/>
        </w:rPr>
        <w:t>los resultados ni los criterios de selección</w:t>
      </w:r>
      <w:r>
        <w:t>”</w:t>
      </w:r>
      <w:r w:rsidR="00A01988">
        <w:t>… “</w:t>
      </w:r>
      <w:r w:rsidR="00A01988" w:rsidRPr="00A01988">
        <w:rPr>
          <w:i/>
          <w:u w:val="single"/>
        </w:rPr>
        <w:t>la autoridad no proporcionó evidencia de las listas de espera ni documentación que justifique la no emisión de convocatorias</w:t>
      </w:r>
      <w:r w:rsidR="00A01988">
        <w:t>”</w:t>
      </w:r>
      <w:r w:rsidR="00CD10F2">
        <w:t xml:space="preserve"> es de señalar que constituyen </w:t>
      </w:r>
      <w:r w:rsidR="00E10FAA">
        <w:t xml:space="preserve">información adicional a la solicitada originalmente ya que en esta oportunidad procesal, se amplían los requerimientos de información, los cuales, </w:t>
      </w:r>
      <w:r w:rsidR="00A01988">
        <w:t xml:space="preserve">no fueron pedidos desde un inicio, entonces, </w:t>
      </w:r>
      <w:r w:rsidR="00E10FAA">
        <w:t xml:space="preserve">deben tenerse por peticiones adicionales o </w:t>
      </w:r>
      <w:r w:rsidR="00E10FAA">
        <w:rPr>
          <w:i/>
        </w:rPr>
        <w:t xml:space="preserve">plus </w:t>
      </w:r>
      <w:proofErr w:type="spellStart"/>
      <w:r w:rsidR="00E10FAA">
        <w:rPr>
          <w:i/>
        </w:rPr>
        <w:t>petitito</w:t>
      </w:r>
      <w:proofErr w:type="spellEnd"/>
      <w:r w:rsidR="00E10FAA">
        <w:t>.</w:t>
      </w:r>
    </w:p>
    <w:p w:rsidR="00FF2510" w:rsidRPr="00FF2510" w:rsidRDefault="00FF2510" w:rsidP="00FF2510">
      <w:pPr>
        <w:tabs>
          <w:tab w:val="left" w:pos="7088"/>
        </w:tabs>
        <w:autoSpaceDE w:val="0"/>
        <w:autoSpaceDN w:val="0"/>
        <w:adjustRightInd w:val="0"/>
        <w:spacing w:after="160"/>
        <w:rPr>
          <w:rFonts w:eastAsiaTheme="minorHAnsi" w:cs="Arial"/>
          <w:szCs w:val="24"/>
          <w:lang w:val="es-MX" w:eastAsia="en-US"/>
        </w:rPr>
      </w:pPr>
      <w:r w:rsidRPr="00FF2510">
        <w:rPr>
          <w:rFonts w:eastAsiaTheme="minorHAnsi" w:cs="Arial"/>
          <w:szCs w:val="24"/>
          <w:lang w:val="es-MX" w:eastAsia="en-US"/>
        </w:rPr>
        <w:lastRenderedPageBreak/>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rsidR="00FF2510" w:rsidRPr="00FF2510" w:rsidRDefault="00FF2510" w:rsidP="00FF2510">
      <w:pPr>
        <w:tabs>
          <w:tab w:val="left" w:pos="7088"/>
        </w:tabs>
        <w:spacing w:after="160"/>
        <w:rPr>
          <w:rFonts w:eastAsiaTheme="minorHAnsi" w:cs="Arial"/>
          <w:bCs/>
          <w:szCs w:val="24"/>
          <w:lang w:val="es-MX"/>
        </w:rPr>
      </w:pPr>
    </w:p>
    <w:p w:rsidR="00FF2510" w:rsidRPr="00FF2510" w:rsidRDefault="00FF2510" w:rsidP="00FF2510">
      <w:pPr>
        <w:tabs>
          <w:tab w:val="left" w:pos="7088"/>
        </w:tabs>
        <w:spacing w:after="160"/>
        <w:rPr>
          <w:rFonts w:eastAsiaTheme="minorHAnsi" w:cs="Arial"/>
          <w:bCs/>
          <w:szCs w:val="24"/>
          <w:lang w:val="es-MX"/>
        </w:rPr>
      </w:pPr>
      <w:r w:rsidRPr="00FF2510">
        <w:rPr>
          <w:rFonts w:eastAsiaTheme="minorHAnsi" w:cs="Arial"/>
          <w:bCs/>
          <w:szCs w:val="24"/>
          <w:lang w:val="es-MX"/>
        </w:rPr>
        <w:t>Sirve de apoyo a lo anterior por analogía, la Jurisprudencia No. 29 visible a foja 19 del Apéndice al Semanario Judicial de la Federación 1917-1995, Tomo IV, Materia Común, Primera Parte, Tesis de la Suprema Corte de Justicia, que señala:</w:t>
      </w:r>
    </w:p>
    <w:p w:rsidR="00FF2510" w:rsidRPr="00FF2510" w:rsidRDefault="00FF2510" w:rsidP="00FF2510">
      <w:pPr>
        <w:spacing w:before="240" w:after="160"/>
        <w:ind w:left="851" w:right="851"/>
        <w:rPr>
          <w:rFonts w:eastAsiaTheme="minorHAnsi" w:cs="Arial"/>
          <w:b/>
          <w:bCs/>
          <w:i/>
          <w:sz w:val="22"/>
          <w:lang w:val="es-MX" w:eastAsia="en-US"/>
        </w:rPr>
      </w:pPr>
      <w:r w:rsidRPr="00FF2510">
        <w:rPr>
          <w:rFonts w:eastAsiaTheme="minorHAnsi" w:cs="Arial"/>
          <w:b/>
          <w:bCs/>
          <w:i/>
          <w:sz w:val="22"/>
          <w:lang w:val="es-MX" w:eastAsia="en-US"/>
        </w:rPr>
        <w:t>“AGRAVIOS EN LA REVISIÓN. DEBEN ESTAR EN RELACIÓN DIRECTA CON LOS FUNDAMENTOS Y CONSIDERACIONES DE LA SENTENCIA</w:t>
      </w:r>
    </w:p>
    <w:p w:rsidR="00FF2510" w:rsidRPr="00FF2510" w:rsidRDefault="00FF2510" w:rsidP="00FF2510">
      <w:pPr>
        <w:spacing w:before="240" w:after="160"/>
        <w:ind w:left="851" w:right="851"/>
        <w:rPr>
          <w:rFonts w:eastAsiaTheme="minorHAnsi" w:cs="Arial"/>
          <w:b/>
          <w:bCs/>
          <w:i/>
          <w:sz w:val="22"/>
          <w:lang w:val="es-MX" w:eastAsia="en-US"/>
        </w:rPr>
      </w:pPr>
      <w:r w:rsidRPr="00FF2510">
        <w:rPr>
          <w:rFonts w:eastAsiaTheme="minorHAnsi" w:cs="Arial"/>
          <w:i/>
          <w:sz w:val="22"/>
          <w:u w:val="single"/>
          <w:lang w:val="es-MX" w:eastAsia="en-US"/>
        </w:rPr>
        <w:t>Los agravios deben estar en relación directa e inmediata con los fundamentos contenidos en la sentencia que se recurre</w:t>
      </w:r>
      <w:r w:rsidRPr="00FF2510">
        <w:rPr>
          <w:rFonts w:eastAsiaTheme="minorHAnsi" w:cs="Arial"/>
          <w:i/>
          <w:sz w:val="22"/>
          <w:lang w:val="es-MX" w:eastAsia="en-US"/>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FF2510">
        <w:rPr>
          <w:rFonts w:eastAsiaTheme="minorHAnsi" w:cs="Arial"/>
          <w:b/>
          <w:bCs/>
          <w:i/>
          <w:sz w:val="22"/>
          <w:lang w:eastAsia="en-US"/>
        </w:rPr>
        <w:t>(Sic)</w:t>
      </w:r>
    </w:p>
    <w:p w:rsidR="00FF2510" w:rsidRPr="00FF2510" w:rsidRDefault="00FF2510" w:rsidP="00FF2510">
      <w:pPr>
        <w:tabs>
          <w:tab w:val="left" w:pos="7088"/>
          <w:tab w:val="left" w:pos="7230"/>
        </w:tabs>
        <w:spacing w:after="160"/>
        <w:rPr>
          <w:rFonts w:eastAsiaTheme="minorHAnsi" w:cs="Arial"/>
          <w:bCs/>
          <w:sz w:val="22"/>
          <w:lang w:val="es-MX"/>
        </w:rPr>
      </w:pPr>
    </w:p>
    <w:p w:rsidR="00FF2510" w:rsidRPr="00FF2510" w:rsidRDefault="00FF2510" w:rsidP="00FF2510">
      <w:pPr>
        <w:tabs>
          <w:tab w:val="left" w:pos="7088"/>
          <w:tab w:val="left" w:pos="7230"/>
        </w:tabs>
        <w:spacing w:after="160"/>
        <w:rPr>
          <w:rFonts w:eastAsiaTheme="minorHAnsi" w:cs="Arial"/>
          <w:bCs/>
          <w:szCs w:val="24"/>
          <w:lang w:val="es-MX"/>
        </w:rPr>
      </w:pPr>
      <w:r w:rsidRPr="00FF2510">
        <w:rPr>
          <w:rFonts w:eastAsiaTheme="minorHAnsi" w:cs="Arial"/>
          <w:bCs/>
          <w:szCs w:val="24"/>
          <w:lang w:val="es-MX"/>
        </w:rPr>
        <w:lastRenderedPageBreak/>
        <w:t xml:space="preserve">Por lo anterior, se establece que dentro del recurso de revisión presentado por </w:t>
      </w:r>
      <w:r w:rsidRPr="00FF2510">
        <w:rPr>
          <w:rFonts w:eastAsiaTheme="minorHAnsi" w:cs="Arial"/>
          <w:b/>
          <w:bCs/>
          <w:szCs w:val="24"/>
          <w:lang w:val="es-MX"/>
        </w:rPr>
        <w:t xml:space="preserve">La Recurrente </w:t>
      </w:r>
      <w:r w:rsidRPr="00FF2510">
        <w:rPr>
          <w:rFonts w:eastAsiaTheme="minorHAnsi" w:cs="Arial"/>
          <w:bCs/>
          <w:szCs w:val="24"/>
          <w:lang w:val="es-MX"/>
        </w:rPr>
        <w:t xml:space="preserve">no debe variar el fondo de </w:t>
      </w:r>
      <w:r w:rsidRPr="00FF2510">
        <w:rPr>
          <w:rFonts w:eastAsiaTheme="minorHAnsi" w:cs="Arial"/>
          <w:bCs/>
          <w:i/>
          <w:szCs w:val="24"/>
          <w:lang w:val="es-MX"/>
        </w:rPr>
        <w:t xml:space="preserve">la </w:t>
      </w:r>
      <w:proofErr w:type="spellStart"/>
      <w:r w:rsidRPr="00FF2510">
        <w:rPr>
          <w:rFonts w:eastAsiaTheme="minorHAnsi" w:cs="Arial"/>
          <w:bCs/>
          <w:i/>
          <w:szCs w:val="24"/>
          <w:lang w:val="es-MX"/>
        </w:rPr>
        <w:t>litis</w:t>
      </w:r>
      <w:proofErr w:type="spellEnd"/>
      <w:r w:rsidRPr="00FF2510">
        <w:rPr>
          <w:rFonts w:eastAsiaTheme="minorHAnsi" w:cs="Arial"/>
          <w:bCs/>
          <w:i/>
          <w:szCs w:val="24"/>
          <w:lang w:val="es-MX"/>
        </w:rPr>
        <w:t>,</w:t>
      </w:r>
      <w:r w:rsidRPr="00FF2510">
        <w:rPr>
          <w:rFonts w:eastAsiaTheme="minorHAnsi" w:cs="Arial"/>
          <w:bCs/>
          <w:szCs w:val="24"/>
          <w:lang w:val="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rsidR="00FF2510" w:rsidRPr="00FF2510" w:rsidRDefault="00FF2510" w:rsidP="00FF2510">
      <w:pPr>
        <w:tabs>
          <w:tab w:val="left" w:pos="7088"/>
          <w:tab w:val="left" w:pos="7230"/>
        </w:tabs>
        <w:spacing w:after="160"/>
        <w:rPr>
          <w:rFonts w:eastAsiaTheme="minorHAnsi" w:cs="Arial"/>
          <w:bCs/>
          <w:szCs w:val="24"/>
          <w:lang w:val="es-MX"/>
        </w:rPr>
      </w:pPr>
      <w:r w:rsidRPr="00FF2510">
        <w:rPr>
          <w:rFonts w:eastAsiaTheme="minorHAnsi" w:cs="Arial"/>
          <w:bCs/>
          <w:szCs w:val="24"/>
          <w:lang w:val="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rsidR="00FF2510" w:rsidRPr="00FF2510" w:rsidRDefault="00FF2510" w:rsidP="00FF2510">
      <w:pPr>
        <w:spacing w:before="240" w:after="160"/>
        <w:ind w:left="851" w:right="851"/>
        <w:rPr>
          <w:rFonts w:eastAsiaTheme="minorHAnsi" w:cs="Arial"/>
          <w:b/>
          <w:bCs/>
          <w:i/>
          <w:sz w:val="22"/>
          <w:lang w:val="es-MX" w:eastAsia="en-US"/>
        </w:rPr>
      </w:pPr>
      <w:r w:rsidRPr="00FF2510">
        <w:rPr>
          <w:rFonts w:eastAsiaTheme="minorHAnsi" w:cs="Arial"/>
          <w:b/>
          <w:bCs/>
          <w:i/>
          <w:sz w:val="22"/>
          <w:lang w:val="es-MX" w:eastAsia="en-U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p>
    <w:p w:rsidR="00FF2510" w:rsidRPr="00FF2510" w:rsidRDefault="00FF2510" w:rsidP="00FF2510">
      <w:pPr>
        <w:spacing w:before="240" w:after="160"/>
        <w:ind w:left="851" w:right="851"/>
        <w:rPr>
          <w:rFonts w:eastAsiaTheme="minorHAnsi" w:cs="Arial"/>
          <w:i/>
          <w:sz w:val="22"/>
          <w:lang w:val="es-MX" w:eastAsia="en-US"/>
        </w:rPr>
      </w:pPr>
      <w:r w:rsidRPr="00FF2510">
        <w:rPr>
          <w:rFonts w:eastAsiaTheme="minorHAnsi" w:cs="Arial"/>
          <w:i/>
          <w:sz w:val="22"/>
          <w:lang w:val="es-MX" w:eastAsia="en-U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FF2510">
        <w:rPr>
          <w:rFonts w:eastAsiaTheme="minorHAnsi" w:cs="Arial"/>
          <w:i/>
          <w:sz w:val="22"/>
          <w:u w:val="single"/>
          <w:lang w:val="es-MX" w:eastAsia="en-US"/>
        </w:rPr>
        <w:t xml:space="preserve">el precepto 6 de la propia legislación prevé el principio de máxima publicidad y </w:t>
      </w:r>
      <w:r w:rsidRPr="00FF2510">
        <w:rPr>
          <w:rFonts w:eastAsiaTheme="minorHAnsi" w:cs="Arial"/>
          <w:i/>
          <w:sz w:val="22"/>
          <w:u w:val="single"/>
          <w:lang w:val="es-MX" w:eastAsia="en-US"/>
        </w:rPr>
        <w:lastRenderedPageBreak/>
        <w:t>disponibilidad de la información en posesión de los sujetos obligados;</w:t>
      </w:r>
      <w:r w:rsidRPr="00FF2510">
        <w:rPr>
          <w:rFonts w:eastAsiaTheme="minorHAnsi" w:cs="Arial"/>
          <w:i/>
          <w:sz w:val="22"/>
          <w:lang w:val="es-MX" w:eastAsia="en-US"/>
        </w:rPr>
        <w:t xml:space="preserve"> también lo es que ello no implica que tales numerales deban interpretarse en el sentido de permitir al gobernado que a su arbitrio solicite copia de documentos que no obren en los expedientes de los sujetos obligados, </w:t>
      </w:r>
      <w:r w:rsidRPr="00FF2510">
        <w:rPr>
          <w:rFonts w:eastAsiaTheme="minorHAnsi" w:cs="Arial"/>
          <w:i/>
          <w:sz w:val="22"/>
          <w:u w:val="single"/>
          <w:lang w:val="es-MX" w:eastAsia="en-US"/>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rsidR="00FF2510" w:rsidRPr="00FF2510" w:rsidRDefault="00FF2510" w:rsidP="00FF2510">
      <w:pPr>
        <w:spacing w:before="240" w:after="160"/>
        <w:ind w:left="851" w:right="851"/>
        <w:rPr>
          <w:rFonts w:eastAsiaTheme="minorHAnsi" w:cs="Arial"/>
          <w:b/>
          <w:bCs/>
          <w:i/>
          <w:sz w:val="22"/>
          <w:lang w:val="es-MX" w:eastAsia="en-US"/>
        </w:rPr>
      </w:pPr>
      <w:r w:rsidRPr="00FF2510">
        <w:rPr>
          <w:rFonts w:eastAsiaTheme="minorHAnsi" w:cs="Arial"/>
          <w:i/>
          <w:sz w:val="22"/>
          <w:lang w:val="es-MX" w:eastAsia="en-US"/>
        </w:rPr>
        <w:t xml:space="preserve">OCTAVO TRIBUNAL COLEGIADO EN MATERIA ADMINISTRATIVA DEL PRIMER CIRCUITO.” </w:t>
      </w:r>
      <w:r w:rsidRPr="00FF2510">
        <w:rPr>
          <w:rFonts w:eastAsiaTheme="minorHAnsi" w:cs="Arial"/>
          <w:b/>
          <w:bCs/>
          <w:i/>
          <w:sz w:val="22"/>
          <w:lang w:eastAsia="en-US"/>
        </w:rPr>
        <w:t>(Sic)</w:t>
      </w:r>
    </w:p>
    <w:p w:rsidR="00FF2510" w:rsidRPr="00FF2510" w:rsidRDefault="00FF2510" w:rsidP="00FF2510">
      <w:pPr>
        <w:spacing w:before="240" w:after="160"/>
        <w:rPr>
          <w:rFonts w:eastAsiaTheme="minorHAnsi" w:cs="Arial"/>
          <w:bCs/>
          <w:sz w:val="22"/>
          <w:lang w:val="es-MX"/>
        </w:rPr>
      </w:pPr>
    </w:p>
    <w:p w:rsidR="00FF2510" w:rsidRPr="00FF2510" w:rsidRDefault="00FF2510" w:rsidP="00FF2510">
      <w:pPr>
        <w:spacing w:before="240" w:after="160"/>
        <w:rPr>
          <w:rFonts w:eastAsiaTheme="minorHAnsi" w:cs="Arial"/>
          <w:bCs/>
          <w:szCs w:val="24"/>
          <w:lang w:val="es-MX"/>
        </w:rPr>
      </w:pPr>
      <w:r w:rsidRPr="00FF2510">
        <w:rPr>
          <w:rFonts w:eastAsiaTheme="minorHAnsi" w:cs="Arial"/>
          <w:bCs/>
          <w:szCs w:val="24"/>
          <w:lang w:val="es-MX"/>
        </w:rPr>
        <w:t xml:space="preserve">De manera complementaria, el entonces Instituto Nacional de Transparencia, Acceso a la Información y Protección de Datos Personales, sostuvo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rsidR="00FF2510" w:rsidRPr="00FF2510" w:rsidRDefault="00FF2510" w:rsidP="00FF2510">
      <w:pPr>
        <w:spacing w:before="240" w:after="160"/>
        <w:ind w:left="851" w:right="851"/>
        <w:rPr>
          <w:rFonts w:eastAsiaTheme="minorHAnsi" w:cs="Arial"/>
          <w:b/>
          <w:bCs/>
          <w:i/>
          <w:sz w:val="22"/>
          <w:lang w:val="es-MX" w:eastAsia="en-US"/>
        </w:rPr>
      </w:pPr>
      <w:r w:rsidRPr="00FF2510">
        <w:rPr>
          <w:rFonts w:eastAsiaTheme="minorHAnsi" w:cs="Arial"/>
          <w:b/>
          <w:bCs/>
          <w:i/>
          <w:sz w:val="22"/>
          <w:lang w:val="es-MX" w:eastAsia="en-US"/>
        </w:rPr>
        <w:t>“ES IMPROCEDENTE AMPLIAR LAS SOLICITUDES DE ACCESO A INFORMACIÓN PÚBLICA O DATOS PERSONALES, A TRAVÉS DE LA INTERPOSICIÓN DEL RECURSO DE REVISIÓN</w:t>
      </w:r>
    </w:p>
    <w:p w:rsidR="00FF2510" w:rsidRPr="00FF2510" w:rsidRDefault="00FF2510" w:rsidP="00FF2510">
      <w:pPr>
        <w:spacing w:before="240" w:after="160"/>
        <w:ind w:left="851" w:right="851"/>
        <w:rPr>
          <w:rFonts w:eastAsiaTheme="minorHAnsi" w:cs="Arial"/>
          <w:i/>
          <w:sz w:val="22"/>
          <w:lang w:val="es-MX" w:eastAsia="en-US"/>
        </w:rPr>
      </w:pPr>
      <w:r w:rsidRPr="00FF2510">
        <w:rPr>
          <w:rFonts w:eastAsiaTheme="minorHAnsi" w:cs="Arial"/>
          <w:i/>
          <w:sz w:val="22"/>
          <w:lang w:val="es-MX" w:eastAsia="en-US"/>
        </w:rPr>
        <w:lastRenderedPageBreak/>
        <w:t xml:space="preserve">En aquellos casos en los que los recurrentes amplíen los alcances de la solicitud de información o acceso a datos personales a través de un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 </w:t>
      </w:r>
    </w:p>
    <w:p w:rsidR="00FF2510" w:rsidRPr="00FF2510" w:rsidRDefault="00FF2510" w:rsidP="00FF2510">
      <w:pPr>
        <w:spacing w:before="240" w:after="160"/>
        <w:ind w:left="851" w:right="851"/>
        <w:rPr>
          <w:rFonts w:eastAsiaTheme="minorHAnsi" w:cs="Arial"/>
          <w:b/>
          <w:bCs/>
          <w:i/>
          <w:sz w:val="22"/>
          <w:lang w:val="es-MX" w:eastAsia="en-US"/>
        </w:rPr>
      </w:pPr>
      <w:r w:rsidRPr="00FF2510">
        <w:rPr>
          <w:rFonts w:eastAsiaTheme="minorHAnsi" w:cs="Arial"/>
          <w:i/>
          <w:sz w:val="22"/>
          <w:lang w:val="es-MX" w:eastAsia="en-US"/>
        </w:rPr>
        <w:t xml:space="preserve">Expedientes: 5871/08 Secretaría de Educación Pública –Alonso Gómez- Robledo Verduzco 3468/09 Instituto de Seguridad y Servicios Sociales de los Trabajadores del Estado – Ángel Trinidad Zaldívar 5417/09 Procuraduría General de la </w:t>
      </w:r>
      <w:proofErr w:type="gramStart"/>
      <w:r w:rsidRPr="00FF2510">
        <w:rPr>
          <w:rFonts w:eastAsiaTheme="minorHAnsi" w:cs="Arial"/>
          <w:i/>
          <w:sz w:val="22"/>
          <w:lang w:val="es-MX" w:eastAsia="en-US"/>
        </w:rPr>
        <w:t>República  -</w:t>
      </w:r>
      <w:proofErr w:type="gramEnd"/>
      <w:r w:rsidRPr="00FF2510">
        <w:rPr>
          <w:rFonts w:eastAsiaTheme="minorHAnsi" w:cs="Arial"/>
          <w:i/>
          <w:sz w:val="22"/>
          <w:lang w:val="es-MX" w:eastAsia="en-US"/>
        </w:rPr>
        <w:t xml:space="preserve"> María </w:t>
      </w:r>
      <w:proofErr w:type="spellStart"/>
      <w:r w:rsidRPr="00FF2510">
        <w:rPr>
          <w:rFonts w:eastAsiaTheme="minorHAnsi" w:cs="Arial"/>
          <w:i/>
          <w:sz w:val="22"/>
          <w:lang w:val="es-MX" w:eastAsia="en-US"/>
        </w:rPr>
        <w:t>Marván</w:t>
      </w:r>
      <w:proofErr w:type="spellEnd"/>
      <w:r w:rsidRPr="00FF2510">
        <w:rPr>
          <w:rFonts w:eastAsiaTheme="minorHAnsi" w:cs="Arial"/>
          <w:i/>
          <w:sz w:val="22"/>
          <w:lang w:val="es-MX" w:eastAsia="en-US"/>
        </w:rPr>
        <w:t xml:space="preserve"> Laborde1523 1006/10 Instituto Mexicano del Seguro Social – Sigrid </w:t>
      </w:r>
      <w:proofErr w:type="spellStart"/>
      <w:r w:rsidRPr="00FF2510">
        <w:rPr>
          <w:rFonts w:eastAsiaTheme="minorHAnsi" w:cs="Arial"/>
          <w:i/>
          <w:sz w:val="22"/>
          <w:lang w:val="es-MX" w:eastAsia="en-US"/>
        </w:rPr>
        <w:t>Arzt</w:t>
      </w:r>
      <w:proofErr w:type="spellEnd"/>
      <w:r w:rsidRPr="00FF2510">
        <w:rPr>
          <w:rFonts w:eastAsiaTheme="minorHAnsi" w:cs="Arial"/>
          <w:i/>
          <w:sz w:val="22"/>
          <w:lang w:val="es-MX" w:eastAsia="en-US"/>
        </w:rPr>
        <w:t xml:space="preserve"> Colunga 1378/10 Instituto de Seguridad y Servicios Sociales de los Trabajadores del Estado – María Elena Pérez-Jaén Zermeño.” </w:t>
      </w:r>
      <w:r w:rsidRPr="00FF2510">
        <w:rPr>
          <w:rFonts w:eastAsiaTheme="minorHAnsi" w:cs="Arial"/>
          <w:b/>
          <w:bCs/>
          <w:i/>
          <w:sz w:val="22"/>
          <w:lang w:eastAsia="en-US"/>
        </w:rPr>
        <w:t>(Sic)</w:t>
      </w:r>
    </w:p>
    <w:p w:rsidR="00A01988" w:rsidRDefault="00A01988" w:rsidP="00D22D6C">
      <w:pPr>
        <w:pBdr>
          <w:top w:val="nil"/>
          <w:left w:val="nil"/>
          <w:bottom w:val="nil"/>
          <w:right w:val="nil"/>
          <w:between w:val="nil"/>
        </w:pBdr>
        <w:contextualSpacing/>
      </w:pPr>
    </w:p>
    <w:p w:rsidR="000722B7" w:rsidRDefault="002B6FFF" w:rsidP="00D22D6C">
      <w:pPr>
        <w:pBdr>
          <w:top w:val="nil"/>
          <w:left w:val="nil"/>
          <w:bottom w:val="nil"/>
          <w:right w:val="nil"/>
          <w:between w:val="nil"/>
        </w:pBdr>
        <w:contextualSpacing/>
      </w:pPr>
      <w:r>
        <w:t xml:space="preserve">En esa secuencia procesal, </w:t>
      </w:r>
      <w:r w:rsidR="00C875A9">
        <w:t xml:space="preserve">el Sujeto Obligado hace llegar su respectivo </w:t>
      </w:r>
      <w:r w:rsidR="00EB3B9B">
        <w:t>informe</w:t>
      </w:r>
      <w:r w:rsidR="00C875A9">
        <w:t xml:space="preserve"> justificado por medio de oficio girado por el Titular de la Unidad de Transparencia, </w:t>
      </w:r>
      <w:r w:rsidR="000722B7">
        <w:t>en el que posterior a la narrativa de hechos, refuta el acto impugnado</w:t>
      </w:r>
      <w:r w:rsidR="00FF2510">
        <w:t>, manifestando en esencia que</w:t>
      </w:r>
      <w:r w:rsidR="00EF64DD">
        <w:t xml:space="preserve"> </w:t>
      </w:r>
      <w:r w:rsidR="00D96DCD">
        <w:t>se dio puntual respuesta a la solicitud de información</w:t>
      </w:r>
      <w:r w:rsidR="00395BAA">
        <w:t>, hace hincapié en que el Sujeto Obligado no omitió ningún dato en respuesta.</w:t>
      </w:r>
    </w:p>
    <w:p w:rsidR="00D22D6C" w:rsidRPr="00E2546F" w:rsidRDefault="00D22D6C" w:rsidP="00D22D6C">
      <w:pPr>
        <w:pBdr>
          <w:top w:val="nil"/>
          <w:left w:val="nil"/>
          <w:bottom w:val="nil"/>
          <w:right w:val="nil"/>
          <w:between w:val="nil"/>
        </w:pBdr>
        <w:contextualSpacing/>
      </w:pPr>
    </w:p>
    <w:p w:rsidR="00D22D6C" w:rsidRPr="0037314A" w:rsidRDefault="00D22D6C" w:rsidP="00D22D6C">
      <w:pPr>
        <w:rPr>
          <w:rFonts w:eastAsia="Times New Roman" w:cs="Times New Roman"/>
          <w:szCs w:val="24"/>
          <w:lang w:eastAsia="es-ES"/>
        </w:rPr>
      </w:pPr>
      <w:r w:rsidRPr="0037314A">
        <w:rPr>
          <w:rFonts w:cs="Arial"/>
          <w:szCs w:val="24"/>
        </w:rPr>
        <w:t xml:space="preserve">En este tenor, es necesario subrayar que </w:t>
      </w:r>
      <w:r w:rsidRPr="0037314A">
        <w:rPr>
          <w:rFonts w:eastAsia="Times New Roman" w:cs="Times New Roman"/>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D22D6C" w:rsidRPr="00F50CB3" w:rsidRDefault="00D22D6C" w:rsidP="00D22D6C">
      <w:pPr>
        <w:spacing w:before="240"/>
        <w:ind w:left="851" w:right="851"/>
        <w:rPr>
          <w:rFonts w:eastAsia="Times New Roman" w:cs="Times New Roman"/>
          <w:i/>
          <w:sz w:val="22"/>
          <w:lang w:eastAsia="es-ES"/>
        </w:rPr>
      </w:pPr>
      <w:r w:rsidRPr="0037314A">
        <w:rPr>
          <w:rFonts w:eastAsia="Times New Roman" w:cs="Times New Roman"/>
          <w:b/>
          <w:i/>
          <w:lang w:eastAsia="es-ES"/>
        </w:rPr>
        <w:lastRenderedPageBreak/>
        <w:t>“</w:t>
      </w:r>
      <w:r w:rsidRPr="00F50CB3">
        <w:rPr>
          <w:rFonts w:eastAsia="Times New Roman" w:cs="Times New Roman"/>
          <w:b/>
          <w:i/>
          <w:sz w:val="22"/>
          <w:lang w:eastAsia="es-ES"/>
        </w:rPr>
        <w:t>Artículo 4.</w:t>
      </w:r>
      <w:r w:rsidRPr="00F50CB3">
        <w:rPr>
          <w:rFonts w:eastAsia="Times New Roman" w:cs="Times New Roman"/>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22D6C" w:rsidRPr="00F50CB3" w:rsidRDefault="00D22D6C" w:rsidP="00D22D6C">
      <w:pPr>
        <w:spacing w:before="240"/>
        <w:ind w:left="851" w:right="851"/>
        <w:rPr>
          <w:rFonts w:eastAsia="Times New Roman" w:cs="Times New Roman"/>
          <w:i/>
          <w:sz w:val="22"/>
          <w:lang w:eastAsia="es-ES"/>
        </w:rPr>
      </w:pPr>
      <w:r w:rsidRPr="00F50CB3">
        <w:rPr>
          <w:rFonts w:eastAsia="Times New Roman" w:cs="Times New Roman"/>
          <w:i/>
          <w:sz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22D6C" w:rsidRPr="00F50CB3" w:rsidRDefault="00D22D6C" w:rsidP="00D22D6C">
      <w:pPr>
        <w:spacing w:before="240"/>
        <w:ind w:left="851" w:right="851"/>
        <w:rPr>
          <w:rFonts w:eastAsia="Times New Roman" w:cs="Times New Roman"/>
          <w:i/>
          <w:sz w:val="22"/>
          <w:lang w:eastAsia="es-ES"/>
        </w:rPr>
      </w:pPr>
      <w:r w:rsidRPr="00F50CB3">
        <w:rPr>
          <w:rFonts w:eastAsia="Times New Roman" w:cs="Times New Roman"/>
          <w:i/>
          <w:sz w:val="22"/>
          <w:lang w:eastAsia="es-ES"/>
        </w:rPr>
        <w:t>Los sujetos obligados deben poner en práctica, políticas y programas de acceso a la información que se apeguen a criterios de publicidad, veracidad, oportunidad, precisión y suficiencia en beneficio de los solicitantes.</w:t>
      </w:r>
    </w:p>
    <w:p w:rsidR="00D22D6C" w:rsidRPr="00F50CB3" w:rsidRDefault="00D22D6C" w:rsidP="00D22D6C">
      <w:pPr>
        <w:spacing w:before="240"/>
        <w:ind w:left="851" w:right="851"/>
        <w:rPr>
          <w:rFonts w:eastAsia="Times New Roman" w:cs="Times New Roman"/>
          <w:i/>
          <w:sz w:val="22"/>
          <w:lang w:eastAsia="es-ES"/>
        </w:rPr>
      </w:pPr>
      <w:r w:rsidRPr="00F50CB3">
        <w:rPr>
          <w:rFonts w:eastAsia="Times New Roman" w:cs="Times New Roman"/>
          <w:b/>
          <w:i/>
          <w:sz w:val="22"/>
          <w:lang w:eastAsia="es-ES"/>
        </w:rPr>
        <w:t>Artículo 12.</w:t>
      </w:r>
      <w:r w:rsidRPr="00F50CB3">
        <w:rPr>
          <w:rFonts w:eastAsia="Times New Roman" w:cs="Times New Roman"/>
          <w:i/>
          <w:sz w:val="22"/>
          <w:lang w:eastAsia="es-ES"/>
        </w:rPr>
        <w:t xml:space="preserve"> Quienes generen, recopilen, administren, manejen, procesen, archiven o conserven información pública serán responsables de la misma en los términos de las disposiciones jurídicas aplicables.</w:t>
      </w:r>
    </w:p>
    <w:p w:rsidR="00D22D6C" w:rsidRPr="00F50CB3" w:rsidRDefault="00D22D6C" w:rsidP="00D22D6C">
      <w:pPr>
        <w:spacing w:before="240"/>
        <w:ind w:left="851" w:right="851"/>
        <w:rPr>
          <w:rFonts w:eastAsia="Times New Roman" w:cs="Times New Roman"/>
          <w:i/>
          <w:sz w:val="22"/>
          <w:lang w:eastAsia="es-ES"/>
        </w:rPr>
      </w:pPr>
      <w:r w:rsidRPr="00F50CB3">
        <w:rPr>
          <w:rFonts w:eastAsia="Times New Roman" w:cs="Times New Roman"/>
          <w:i/>
          <w:sz w:val="22"/>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22D6C" w:rsidRPr="00F50CB3" w:rsidRDefault="00D22D6C" w:rsidP="00D22D6C">
      <w:pPr>
        <w:spacing w:before="240"/>
        <w:ind w:left="851" w:right="851"/>
        <w:rPr>
          <w:rFonts w:eastAsia="Times New Roman" w:cs="Times New Roman"/>
          <w:i/>
          <w:sz w:val="22"/>
          <w:lang w:eastAsia="es-ES"/>
        </w:rPr>
      </w:pPr>
      <w:r w:rsidRPr="00F50CB3">
        <w:rPr>
          <w:rFonts w:eastAsia="Times New Roman" w:cs="Times New Roman"/>
          <w:i/>
          <w:sz w:val="22"/>
          <w:lang w:eastAsia="es-ES"/>
        </w:rPr>
        <w:t>(…)</w:t>
      </w:r>
    </w:p>
    <w:p w:rsidR="00D22D6C" w:rsidRPr="00F50CB3" w:rsidRDefault="00D22D6C" w:rsidP="00D22D6C">
      <w:pPr>
        <w:spacing w:before="240"/>
        <w:ind w:left="851" w:right="851"/>
        <w:rPr>
          <w:rFonts w:eastAsia="Times New Roman" w:cs="Times New Roman"/>
          <w:b/>
          <w:i/>
          <w:sz w:val="22"/>
          <w:lang w:eastAsia="es-ES"/>
        </w:rPr>
      </w:pPr>
      <w:r w:rsidRPr="00F50CB3">
        <w:rPr>
          <w:rFonts w:eastAsia="Times New Roman" w:cs="Times New Roman"/>
          <w:b/>
          <w:i/>
          <w:sz w:val="22"/>
          <w:lang w:eastAsia="es-ES"/>
        </w:rPr>
        <w:lastRenderedPageBreak/>
        <w:t xml:space="preserve">Artículo 24. </w:t>
      </w:r>
    </w:p>
    <w:p w:rsidR="00D22D6C" w:rsidRPr="00F50CB3" w:rsidRDefault="00D22D6C" w:rsidP="00D22D6C">
      <w:pPr>
        <w:spacing w:before="240"/>
        <w:ind w:left="851" w:right="851"/>
        <w:rPr>
          <w:rFonts w:eastAsia="Times New Roman" w:cs="Times New Roman"/>
          <w:i/>
          <w:sz w:val="22"/>
          <w:lang w:eastAsia="es-ES"/>
        </w:rPr>
      </w:pPr>
      <w:r w:rsidRPr="00F50CB3">
        <w:rPr>
          <w:rFonts w:eastAsia="Times New Roman" w:cs="Times New Roman"/>
          <w:i/>
          <w:sz w:val="22"/>
          <w:lang w:eastAsia="es-ES"/>
        </w:rPr>
        <w:t>(…)</w:t>
      </w:r>
    </w:p>
    <w:p w:rsidR="00D22D6C" w:rsidRPr="00F50CB3" w:rsidRDefault="00D22D6C" w:rsidP="00D22D6C">
      <w:pPr>
        <w:spacing w:before="240"/>
        <w:ind w:left="851" w:right="851"/>
        <w:rPr>
          <w:rFonts w:eastAsia="Times New Roman" w:cs="Times New Roman"/>
          <w:i/>
          <w:sz w:val="22"/>
          <w:lang w:eastAsia="es-ES"/>
        </w:rPr>
      </w:pPr>
      <w:r w:rsidRPr="00F50CB3">
        <w:rPr>
          <w:rFonts w:eastAsia="Times New Roman" w:cs="Times New Roman"/>
          <w:i/>
          <w:sz w:val="22"/>
          <w:lang w:eastAsia="es-ES"/>
        </w:rPr>
        <w:t>Los sujetos obligados solo proporcionarán la información pública que generen, administren o posean en el ejercicio de sus atribuciones.”</w:t>
      </w:r>
    </w:p>
    <w:p w:rsidR="00D22D6C" w:rsidRPr="00F50CB3" w:rsidRDefault="00D22D6C" w:rsidP="00D22D6C">
      <w:pPr>
        <w:spacing w:before="240"/>
        <w:ind w:left="851" w:right="851"/>
        <w:rPr>
          <w:rFonts w:eastAsia="Times New Roman" w:cs="Times New Roman"/>
          <w:i/>
          <w:sz w:val="22"/>
          <w:lang w:eastAsia="es-ES"/>
        </w:rPr>
      </w:pPr>
      <w:r w:rsidRPr="00F50CB3">
        <w:rPr>
          <w:rFonts w:eastAsia="Times New Roman" w:cs="Times New Roman"/>
          <w:i/>
          <w:sz w:val="22"/>
          <w:lang w:eastAsia="es-ES"/>
        </w:rPr>
        <w:t>(…)</w:t>
      </w:r>
    </w:p>
    <w:p w:rsidR="00D22D6C" w:rsidRPr="00F50CB3" w:rsidRDefault="00D22D6C" w:rsidP="00D22D6C">
      <w:pPr>
        <w:spacing w:before="240"/>
        <w:ind w:left="851" w:right="851"/>
        <w:rPr>
          <w:rFonts w:eastAsia="Times New Roman" w:cs="Times New Roman"/>
          <w:i/>
          <w:sz w:val="22"/>
          <w:lang w:eastAsia="es-ES"/>
        </w:rPr>
      </w:pPr>
      <w:r w:rsidRPr="00F50CB3">
        <w:rPr>
          <w:rFonts w:eastAsia="Times New Roman" w:cs="Times New Roman"/>
          <w:b/>
          <w:i/>
          <w:sz w:val="22"/>
          <w:lang w:eastAsia="es-ES"/>
        </w:rPr>
        <w:t>Artículo 160.</w:t>
      </w:r>
      <w:r w:rsidRPr="00F50CB3">
        <w:rPr>
          <w:rFonts w:eastAsia="Times New Roman" w:cs="Times New Roman"/>
          <w:i/>
          <w:sz w:val="22"/>
          <w:lang w:eastAsia="es-ES"/>
        </w:rPr>
        <w:t xml:space="preserve"> Los sujetos obligados deberán otorgar acceso a los documentos que se </w:t>
      </w:r>
      <w:r w:rsidRPr="00F50CB3">
        <w:rPr>
          <w:rFonts w:eastAsia="Times New Roman" w:cs="Times New Roman"/>
          <w:b/>
          <w:i/>
          <w:sz w:val="22"/>
          <w:lang w:eastAsia="es-ES"/>
        </w:rPr>
        <w:t xml:space="preserve"> </w:t>
      </w:r>
      <w:r w:rsidRPr="00F50CB3">
        <w:rPr>
          <w:rFonts w:eastAsia="Times New Roman" w:cs="Times New Roman"/>
          <w:i/>
          <w:sz w:val="22"/>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22D6C" w:rsidRPr="00F50CB3" w:rsidRDefault="00D22D6C" w:rsidP="00D22D6C">
      <w:pPr>
        <w:spacing w:before="240"/>
        <w:ind w:left="851" w:right="851"/>
        <w:rPr>
          <w:rFonts w:eastAsia="Times New Roman" w:cs="Times New Roman"/>
          <w:b/>
          <w:i/>
          <w:sz w:val="22"/>
          <w:lang w:eastAsia="es-ES"/>
        </w:rPr>
      </w:pPr>
      <w:r w:rsidRPr="00F50CB3">
        <w:rPr>
          <w:rFonts w:eastAsia="Times New Roman" w:cs="Times New Roman"/>
          <w:i/>
          <w:sz w:val="22"/>
          <w:lang w:eastAsia="es-ES"/>
        </w:rPr>
        <w:t>En caso que la información solicitada consista en bases de datos se deberá privilegiar la entrega de la misma en formatos abiertos.”</w:t>
      </w:r>
      <w:r w:rsidRPr="00F50CB3">
        <w:rPr>
          <w:rFonts w:eastAsia="Times New Roman" w:cs="Times New Roman"/>
          <w:b/>
          <w:i/>
          <w:sz w:val="22"/>
          <w:lang w:eastAsia="es-ES"/>
        </w:rPr>
        <w:t>[Sic]</w:t>
      </w:r>
    </w:p>
    <w:p w:rsidR="00D22D6C" w:rsidRDefault="00D22D6C" w:rsidP="00D22D6C">
      <w:pPr>
        <w:pBdr>
          <w:top w:val="nil"/>
          <w:left w:val="nil"/>
          <w:bottom w:val="nil"/>
          <w:right w:val="nil"/>
          <w:between w:val="nil"/>
        </w:pBdr>
        <w:contextualSpacing/>
      </w:pPr>
    </w:p>
    <w:p w:rsidR="00044A04" w:rsidRDefault="00D22D6C" w:rsidP="001955A1">
      <w:pPr>
        <w:pBdr>
          <w:top w:val="nil"/>
          <w:left w:val="nil"/>
          <w:bottom w:val="nil"/>
          <w:right w:val="nil"/>
          <w:between w:val="nil"/>
        </w:pBdr>
        <w:contextualSpacing/>
      </w:pPr>
      <w:r>
        <w:t xml:space="preserve">Por lo que, </w:t>
      </w:r>
      <w:r w:rsidR="00044A04">
        <w:t>en relación a los agravios vertidos, se analiza si los documentos entregados en respuesta y las manifestaciones realizadas en el Informe Justificado alcanzan a colmar la pretensión del Recurrente, en torno a su derecho humano de acceso a la información.</w:t>
      </w:r>
    </w:p>
    <w:p w:rsidR="00044A04" w:rsidRDefault="00044A04" w:rsidP="001955A1">
      <w:pPr>
        <w:pBdr>
          <w:top w:val="nil"/>
          <w:left w:val="nil"/>
          <w:bottom w:val="nil"/>
          <w:right w:val="nil"/>
          <w:between w:val="nil"/>
        </w:pBdr>
        <w:contextualSpacing/>
      </w:pPr>
    </w:p>
    <w:p w:rsidR="002557FF" w:rsidRDefault="002557FF" w:rsidP="001955A1">
      <w:pPr>
        <w:pBdr>
          <w:top w:val="nil"/>
          <w:left w:val="nil"/>
          <w:bottom w:val="nil"/>
          <w:right w:val="nil"/>
          <w:between w:val="nil"/>
        </w:pBdr>
        <w:contextualSpacing/>
      </w:pPr>
      <w:r>
        <w:t xml:space="preserve">Tenemos entonces que para el año de 2024 fueron proporcionadas las convocatorias de 1. </w:t>
      </w:r>
      <w:r w:rsidRPr="002557FF">
        <w:t>Desarrollo Indígena con Bienestar</w:t>
      </w:r>
      <w:r>
        <w:t xml:space="preserve"> 2. </w:t>
      </w:r>
      <w:r w:rsidRPr="002557FF">
        <w:t>Bienestar Cultural Indígena</w:t>
      </w:r>
      <w:r w:rsidR="00315461">
        <w:t>, las cuales se agregan a continuación.</w:t>
      </w:r>
    </w:p>
    <w:p w:rsidR="002557FF" w:rsidRDefault="002557FF" w:rsidP="001955A1">
      <w:pPr>
        <w:pBdr>
          <w:top w:val="nil"/>
          <w:left w:val="nil"/>
          <w:bottom w:val="nil"/>
          <w:right w:val="nil"/>
          <w:between w:val="nil"/>
        </w:pBdr>
        <w:contextualSpacing/>
      </w:pPr>
    </w:p>
    <w:p w:rsidR="00315461" w:rsidRDefault="00315461" w:rsidP="001955A1">
      <w:pPr>
        <w:pBdr>
          <w:top w:val="nil"/>
          <w:left w:val="nil"/>
          <w:bottom w:val="nil"/>
          <w:right w:val="nil"/>
          <w:between w:val="nil"/>
        </w:pBdr>
        <w:contextualSpacing/>
      </w:pPr>
    </w:p>
    <w:p w:rsidR="002557FF" w:rsidRDefault="006922B0" w:rsidP="001955A1">
      <w:pPr>
        <w:pBdr>
          <w:top w:val="nil"/>
          <w:left w:val="nil"/>
          <w:bottom w:val="nil"/>
          <w:right w:val="nil"/>
          <w:between w:val="nil"/>
        </w:pBdr>
        <w:contextualSpacing/>
      </w:pPr>
      <w:r>
        <w:rPr>
          <w:noProof/>
          <w:lang w:val="es-MX"/>
        </w:rPr>
        <w:lastRenderedPageBreak/>
        <w:drawing>
          <wp:anchor distT="0" distB="0" distL="114300" distR="114300" simplePos="0" relativeHeight="251661312" behindDoc="0" locked="0" layoutInCell="1" allowOverlap="1">
            <wp:simplePos x="0" y="0"/>
            <wp:positionH relativeFrom="column">
              <wp:posOffset>2959603</wp:posOffset>
            </wp:positionH>
            <wp:positionV relativeFrom="paragraph">
              <wp:posOffset>19232</wp:posOffset>
            </wp:positionV>
            <wp:extent cx="2776855" cy="4296410"/>
            <wp:effectExtent l="19050" t="19050" r="23495" b="279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CBA45.tmp"/>
                    <pic:cNvPicPr/>
                  </pic:nvPicPr>
                  <pic:blipFill>
                    <a:blip r:embed="rId8">
                      <a:extLst>
                        <a:ext uri="{28A0092B-C50C-407E-A947-70E740481C1C}">
                          <a14:useLocalDpi xmlns:a14="http://schemas.microsoft.com/office/drawing/2010/main" val="0"/>
                        </a:ext>
                      </a:extLst>
                    </a:blip>
                    <a:stretch>
                      <a:fillRect/>
                    </a:stretch>
                  </pic:blipFill>
                  <pic:spPr>
                    <a:xfrm>
                      <a:off x="0" y="0"/>
                      <a:ext cx="2776855" cy="4296410"/>
                    </a:xfrm>
                    <a:prstGeom prst="rect">
                      <a:avLst/>
                    </a:prstGeom>
                    <a:ln w="19050">
                      <a:solidFill>
                        <a:srgbClr val="996633"/>
                      </a:solidFill>
                    </a:ln>
                  </pic:spPr>
                </pic:pic>
              </a:graphicData>
            </a:graphic>
            <wp14:sizeRelH relativeFrom="margin">
              <wp14:pctWidth>0</wp14:pctWidth>
            </wp14:sizeRelH>
            <wp14:sizeRelV relativeFrom="margin">
              <wp14:pctHeight>0</wp14:pctHeight>
            </wp14:sizeRelV>
          </wp:anchor>
        </w:drawing>
      </w:r>
      <w:r>
        <w:rPr>
          <w:noProof/>
          <w:lang w:val="es-MX"/>
        </w:rPr>
        <w:drawing>
          <wp:anchor distT="0" distB="0" distL="114300" distR="114300" simplePos="0" relativeHeight="251660288" behindDoc="0" locked="0" layoutInCell="1" allowOverlap="1" wp14:anchorId="2444F92A" wp14:editId="05179707">
            <wp:simplePos x="0" y="0"/>
            <wp:positionH relativeFrom="column">
              <wp:posOffset>-162560</wp:posOffset>
            </wp:positionH>
            <wp:positionV relativeFrom="paragraph">
              <wp:posOffset>19273</wp:posOffset>
            </wp:positionV>
            <wp:extent cx="2731770" cy="4237990"/>
            <wp:effectExtent l="19050" t="19050" r="11430" b="1016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C13B8.tmp"/>
                    <pic:cNvPicPr/>
                  </pic:nvPicPr>
                  <pic:blipFill>
                    <a:blip r:embed="rId9">
                      <a:extLst>
                        <a:ext uri="{28A0092B-C50C-407E-A947-70E740481C1C}">
                          <a14:useLocalDpi xmlns:a14="http://schemas.microsoft.com/office/drawing/2010/main" val="0"/>
                        </a:ext>
                      </a:extLst>
                    </a:blip>
                    <a:stretch>
                      <a:fillRect/>
                    </a:stretch>
                  </pic:blipFill>
                  <pic:spPr>
                    <a:xfrm>
                      <a:off x="0" y="0"/>
                      <a:ext cx="2731770" cy="4237990"/>
                    </a:xfrm>
                    <a:prstGeom prst="rect">
                      <a:avLst/>
                    </a:prstGeom>
                    <a:ln w="19050">
                      <a:solidFill>
                        <a:srgbClr val="996633"/>
                      </a:solidFill>
                    </a:ln>
                  </pic:spPr>
                </pic:pic>
              </a:graphicData>
            </a:graphic>
            <wp14:sizeRelH relativeFrom="margin">
              <wp14:pctWidth>0</wp14:pctWidth>
            </wp14:sizeRelH>
            <wp14:sizeRelV relativeFrom="margin">
              <wp14:pctHeight>0</wp14:pctHeight>
            </wp14:sizeRelV>
          </wp:anchor>
        </w:drawing>
      </w:r>
    </w:p>
    <w:p w:rsidR="00AD6771" w:rsidRDefault="006922B0" w:rsidP="001955A1">
      <w:pPr>
        <w:pBdr>
          <w:top w:val="nil"/>
          <w:left w:val="nil"/>
          <w:bottom w:val="nil"/>
          <w:right w:val="nil"/>
          <w:between w:val="nil"/>
        </w:pBdr>
        <w:contextualSpacing/>
      </w:pPr>
      <w:r>
        <w:t>En ese sentido, se procedió a indagar en internet y de la Web oficial del Sujeto Obligado, se analiza un aparatado denominado “</w:t>
      </w:r>
      <w:r w:rsidRPr="00836D88">
        <w:rPr>
          <w:i/>
        </w:rPr>
        <w:t>Programas y Ayudas</w:t>
      </w:r>
      <w:r>
        <w:t>”</w:t>
      </w:r>
      <w:r w:rsidR="00836D88">
        <w:t xml:space="preserve">, en el que se manifiesta la existencia de programas sociales, entre los que se encuentran: </w:t>
      </w:r>
      <w:r w:rsidR="00836D88" w:rsidRPr="00836D88">
        <w:t>"</w:t>
      </w:r>
      <w:r w:rsidR="00836D88" w:rsidRPr="00836D88">
        <w:rPr>
          <w:i/>
        </w:rPr>
        <w:t>Niñez Indígena con Bienestar</w:t>
      </w:r>
      <w:r w:rsidR="00836D88" w:rsidRPr="00836D88">
        <w:t>", "</w:t>
      </w:r>
      <w:r w:rsidR="00836D88" w:rsidRPr="00836D88">
        <w:rPr>
          <w:i/>
        </w:rPr>
        <w:t>Desarrollo Indígena con Bienestar</w:t>
      </w:r>
      <w:r w:rsidR="00836D88" w:rsidRPr="00836D88">
        <w:t>" y "</w:t>
      </w:r>
      <w:r w:rsidR="00836D88" w:rsidRPr="00836D88">
        <w:rPr>
          <w:i/>
        </w:rPr>
        <w:t>Bienestar Cultural Indígena</w:t>
      </w:r>
      <w:r w:rsidR="00836D88" w:rsidRPr="00836D88">
        <w:t>".</w:t>
      </w:r>
      <w:r w:rsidR="00836D88">
        <w:rPr>
          <w:rStyle w:val="Refdenotaalpie"/>
        </w:rPr>
        <w:footnoteReference w:id="2"/>
      </w:r>
    </w:p>
    <w:p w:rsidR="00AD6771" w:rsidRDefault="00AD6771" w:rsidP="001955A1">
      <w:pPr>
        <w:pBdr>
          <w:top w:val="nil"/>
          <w:left w:val="nil"/>
          <w:bottom w:val="nil"/>
          <w:right w:val="nil"/>
          <w:between w:val="nil"/>
        </w:pBdr>
        <w:contextualSpacing/>
      </w:pPr>
    </w:p>
    <w:p w:rsidR="00562F37" w:rsidRDefault="00562F37" w:rsidP="001955A1">
      <w:pPr>
        <w:pBdr>
          <w:top w:val="nil"/>
          <w:left w:val="nil"/>
          <w:bottom w:val="nil"/>
          <w:right w:val="nil"/>
          <w:between w:val="nil"/>
        </w:pBdr>
        <w:contextualSpacing/>
      </w:pPr>
      <w:r>
        <w:t xml:space="preserve">En </w:t>
      </w:r>
      <w:r w:rsidR="00315461">
        <w:t>esa</w:t>
      </w:r>
      <w:r>
        <w:t xml:space="preserve"> misma pestaña, se pueden </w:t>
      </w:r>
      <w:r w:rsidR="00315461">
        <w:t>revisar</w:t>
      </w:r>
      <w:r>
        <w:t xml:space="preserve"> las </w:t>
      </w:r>
      <w:r w:rsidR="00315461">
        <w:t>reglas de operación de cada uno de los programas</w:t>
      </w:r>
      <w:r w:rsidR="00201ECC">
        <w:rPr>
          <w:rStyle w:val="Refdenotaalpie"/>
        </w:rPr>
        <w:footnoteReference w:id="3"/>
      </w:r>
      <w:r w:rsidR="00315461">
        <w:t xml:space="preserve"> </w:t>
      </w:r>
      <w:r w:rsidR="00D5591E">
        <w:t>sin que hayan sido localizadas</w:t>
      </w:r>
      <w:r w:rsidR="00315461">
        <w:t xml:space="preserve"> las convocatorias lanzadas.</w:t>
      </w:r>
    </w:p>
    <w:p w:rsidR="00315461" w:rsidRDefault="00B74EFC" w:rsidP="001955A1">
      <w:pPr>
        <w:pBdr>
          <w:top w:val="nil"/>
          <w:left w:val="nil"/>
          <w:bottom w:val="nil"/>
          <w:right w:val="nil"/>
          <w:between w:val="nil"/>
        </w:pBdr>
        <w:contextualSpacing/>
      </w:pPr>
      <w:r>
        <w:rPr>
          <w:noProof/>
          <w:lang w:val="es-MX"/>
        </w:rPr>
        <w:lastRenderedPageBreak/>
        <w:drawing>
          <wp:anchor distT="0" distB="0" distL="114300" distR="114300" simplePos="0" relativeHeight="251662336" behindDoc="0" locked="0" layoutInCell="1" allowOverlap="1">
            <wp:simplePos x="0" y="0"/>
            <wp:positionH relativeFrom="column">
              <wp:posOffset>704215</wp:posOffset>
            </wp:positionH>
            <wp:positionV relativeFrom="paragraph">
              <wp:posOffset>371</wp:posOffset>
            </wp:positionV>
            <wp:extent cx="3443605" cy="1517650"/>
            <wp:effectExtent l="0" t="0" r="444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C5068.tmp"/>
                    <pic:cNvPicPr/>
                  </pic:nvPicPr>
                  <pic:blipFill>
                    <a:blip r:embed="rId10">
                      <a:extLst>
                        <a:ext uri="{28A0092B-C50C-407E-A947-70E740481C1C}">
                          <a14:useLocalDpi xmlns:a14="http://schemas.microsoft.com/office/drawing/2010/main" val="0"/>
                        </a:ext>
                      </a:extLst>
                    </a:blip>
                    <a:stretch>
                      <a:fillRect/>
                    </a:stretch>
                  </pic:blipFill>
                  <pic:spPr>
                    <a:xfrm rot="10800000" flipH="1" flipV="1">
                      <a:off x="0" y="0"/>
                      <a:ext cx="3443605" cy="1517650"/>
                    </a:xfrm>
                    <a:prstGeom prst="rect">
                      <a:avLst/>
                    </a:prstGeom>
                  </pic:spPr>
                </pic:pic>
              </a:graphicData>
            </a:graphic>
            <wp14:sizeRelH relativeFrom="margin">
              <wp14:pctWidth>0</wp14:pctWidth>
            </wp14:sizeRelH>
            <wp14:sizeRelV relativeFrom="margin">
              <wp14:pctHeight>0</wp14:pctHeight>
            </wp14:sizeRelV>
          </wp:anchor>
        </w:drawing>
      </w:r>
    </w:p>
    <w:p w:rsidR="00315461" w:rsidRDefault="00315461" w:rsidP="001955A1">
      <w:pPr>
        <w:pBdr>
          <w:top w:val="nil"/>
          <w:left w:val="nil"/>
          <w:bottom w:val="nil"/>
          <w:right w:val="nil"/>
          <w:between w:val="nil"/>
        </w:pBdr>
        <w:contextualSpacing/>
      </w:pPr>
    </w:p>
    <w:p w:rsidR="00AD6771" w:rsidRDefault="00AD6771" w:rsidP="001955A1">
      <w:pPr>
        <w:pBdr>
          <w:top w:val="nil"/>
          <w:left w:val="nil"/>
          <w:bottom w:val="nil"/>
          <w:right w:val="nil"/>
          <w:between w:val="nil"/>
        </w:pBdr>
        <w:contextualSpacing/>
      </w:pPr>
    </w:p>
    <w:p w:rsidR="00AD6771" w:rsidRDefault="00AD6771" w:rsidP="001955A1">
      <w:pPr>
        <w:pBdr>
          <w:top w:val="nil"/>
          <w:left w:val="nil"/>
          <w:bottom w:val="nil"/>
          <w:right w:val="nil"/>
          <w:between w:val="nil"/>
        </w:pBdr>
        <w:contextualSpacing/>
      </w:pPr>
    </w:p>
    <w:p w:rsidR="00AD6771" w:rsidRDefault="00AD6771" w:rsidP="001955A1">
      <w:pPr>
        <w:pBdr>
          <w:top w:val="nil"/>
          <w:left w:val="nil"/>
          <w:bottom w:val="nil"/>
          <w:right w:val="nil"/>
          <w:between w:val="nil"/>
        </w:pBdr>
        <w:contextualSpacing/>
      </w:pPr>
    </w:p>
    <w:p w:rsidR="00AD6771" w:rsidRDefault="00AD6771" w:rsidP="001955A1">
      <w:pPr>
        <w:pBdr>
          <w:top w:val="nil"/>
          <w:left w:val="nil"/>
          <w:bottom w:val="nil"/>
          <w:right w:val="nil"/>
          <w:between w:val="nil"/>
        </w:pBdr>
        <w:contextualSpacing/>
      </w:pPr>
    </w:p>
    <w:p w:rsidR="00ED0AD1" w:rsidRDefault="00D5591E" w:rsidP="001955A1">
      <w:pPr>
        <w:pBdr>
          <w:top w:val="nil"/>
          <w:left w:val="nil"/>
          <w:bottom w:val="nil"/>
          <w:right w:val="nil"/>
          <w:between w:val="nil"/>
        </w:pBdr>
        <w:contextualSpacing/>
      </w:pPr>
      <w:r>
        <w:t xml:space="preserve">Aun y con lo </w:t>
      </w:r>
      <w:r w:rsidR="00ED0AD1">
        <w:t>anterior</w:t>
      </w:r>
      <w:r>
        <w:t xml:space="preserve">, este organismo </w:t>
      </w:r>
      <w:r w:rsidR="00ED0AD1">
        <w:t>está</w:t>
      </w:r>
      <w:r>
        <w:t xml:space="preserve"> imposibilitado para realizar investigaciones o dudar de la veracidad de la </w:t>
      </w:r>
      <w:r w:rsidR="00ED0AD1">
        <w:t>información</w:t>
      </w:r>
      <w:r>
        <w:t xml:space="preserve"> </w:t>
      </w:r>
      <w:r w:rsidR="00ED0AD1">
        <w:t>proporcionada</w:t>
      </w:r>
      <w:r>
        <w:t xml:space="preserve"> por los Sujetos Obligados.</w:t>
      </w:r>
    </w:p>
    <w:p w:rsidR="00ED53C7" w:rsidRDefault="00ED53C7" w:rsidP="001955A1">
      <w:pPr>
        <w:pBdr>
          <w:top w:val="nil"/>
          <w:left w:val="nil"/>
          <w:bottom w:val="nil"/>
          <w:right w:val="nil"/>
          <w:between w:val="nil"/>
        </w:pBdr>
        <w:contextualSpacing/>
      </w:pPr>
    </w:p>
    <w:p w:rsidR="00ED53C7" w:rsidRPr="00ED53C7" w:rsidRDefault="00ED53C7" w:rsidP="00ED53C7">
      <w:pPr>
        <w:ind w:right="49"/>
        <w:contextualSpacing/>
        <w:rPr>
          <w:rFonts w:cs="Arial"/>
          <w:szCs w:val="24"/>
          <w:lang w:val="es-MX" w:eastAsia="es-ES"/>
        </w:rPr>
      </w:pPr>
      <w:r w:rsidRPr="00ED53C7">
        <w:rPr>
          <w:rFonts w:eastAsia="Times New Roman" w:cs="Times New Roman"/>
          <w:color w:val="000000"/>
          <w:szCs w:val="24"/>
          <w:lang w:val="es-MX"/>
        </w:rPr>
        <w:t>En otro orden de ideas, no se omite comentar que respecto a las razones o motivos de inconformidad expresados por el Recurrente</w:t>
      </w:r>
      <w:r w:rsidRPr="00ED53C7">
        <w:rPr>
          <w:rFonts w:eastAsia="Times New Roman" w:cs="Times New Roman"/>
          <w:b/>
          <w:color w:val="000000"/>
          <w:szCs w:val="24"/>
          <w:lang w:val="es-MX"/>
        </w:rPr>
        <w:t xml:space="preserve"> </w:t>
      </w:r>
      <w:r w:rsidRPr="00ED53C7">
        <w:rPr>
          <w:rFonts w:eastAsia="Times New Roman" w:cs="Times New Roman"/>
          <w:color w:val="000000"/>
          <w:szCs w:val="24"/>
          <w:lang w:val="es-MX"/>
        </w:rPr>
        <w:t>como razones o motivos de inconformidad, referentes a la presentación de documentos sin firma,</w:t>
      </w:r>
      <w:r w:rsidRPr="00ED53C7">
        <w:rPr>
          <w:rFonts w:eastAsia="Times New Roman" w:cs="Arial"/>
          <w:i/>
          <w:szCs w:val="24"/>
          <w:lang w:val="es-MX" w:eastAsia="es-ES"/>
        </w:rPr>
        <w:t xml:space="preserve"> </w:t>
      </w:r>
      <w:r w:rsidRPr="00ED53C7">
        <w:rPr>
          <w:rFonts w:eastAsia="Times New Roman" w:cs="Arial"/>
          <w:szCs w:val="24"/>
          <w:lang w:val="es-MX" w:eastAsia="es-ES"/>
        </w:rPr>
        <w:t xml:space="preserve">al respecto, es importante señalar que </w:t>
      </w:r>
      <w:r w:rsidRPr="00ED53C7">
        <w:rPr>
          <w:rFonts w:cs="Arial"/>
          <w:szCs w:val="24"/>
          <w:lang w:val="es-MX" w:eastAsia="es-ES"/>
        </w:rPr>
        <w:t xml:space="preserve">las respuestas otorgadas mediante </w:t>
      </w:r>
      <w:r w:rsidRPr="00ED53C7">
        <w:rPr>
          <w:rFonts w:eastAsia="Arial Unicode MS" w:cs="Arial"/>
          <w:szCs w:val="24"/>
          <w:lang w:val="es-MX" w:eastAsia="es-ES"/>
        </w:rPr>
        <w:t xml:space="preserve">el </w:t>
      </w:r>
      <w:proofErr w:type="spellStart"/>
      <w:r w:rsidRPr="00ED53C7">
        <w:rPr>
          <w:rFonts w:eastAsia="Arial Unicode MS" w:cs="Arial"/>
          <w:szCs w:val="24"/>
          <w:lang w:val="es-MX" w:eastAsia="es-ES"/>
        </w:rPr>
        <w:t>Saimex</w:t>
      </w:r>
      <w:proofErr w:type="spellEnd"/>
      <w:r w:rsidRPr="00ED53C7">
        <w:rPr>
          <w:rFonts w:cs="Arial"/>
          <w:szCs w:val="24"/>
          <w:lang w:val="es-MX" w:eastAsia="es-ES"/>
        </w:rPr>
        <w:t>, tienen plena validez sin necesidad de que contengan firma del Servidor Público que la emite o cualquier tipo de sello o membrete de la Dependencia, al ser dicha acción de respuesta un acto administrativo realizado por un Servidor Público en ejercicio de sus funciones de derecho público.</w:t>
      </w:r>
    </w:p>
    <w:p w:rsidR="00ED53C7" w:rsidRPr="00ED53C7" w:rsidRDefault="00ED53C7" w:rsidP="00ED53C7">
      <w:pPr>
        <w:ind w:right="49"/>
        <w:contextualSpacing/>
        <w:rPr>
          <w:rFonts w:cs="Arial"/>
          <w:szCs w:val="24"/>
          <w:lang w:val="es-MX" w:eastAsia="es-ES"/>
        </w:rPr>
      </w:pPr>
    </w:p>
    <w:p w:rsidR="00ED53C7" w:rsidRPr="00ED53C7" w:rsidRDefault="00ED53C7" w:rsidP="00ED53C7">
      <w:pPr>
        <w:rPr>
          <w:rFonts w:eastAsia="Arial Unicode MS" w:cs="Arial"/>
          <w:szCs w:val="24"/>
          <w:lang w:val="es-MX" w:eastAsia="es-ES"/>
        </w:rPr>
      </w:pPr>
      <w:r w:rsidRPr="00ED53C7">
        <w:rPr>
          <w:rFonts w:eastAsia="Times New Roman" w:cs="Arial"/>
          <w:szCs w:val="24"/>
          <w:lang w:val="es-MX" w:eastAsia="es-ES"/>
        </w:rPr>
        <w:t xml:space="preserve">Lo anterior encuentra sustento en el Criterio 7/19 del </w:t>
      </w:r>
      <w:r w:rsidRPr="00ED53C7">
        <w:rPr>
          <w:rFonts w:eastAsia="Arial Unicode MS" w:cs="Arial"/>
          <w:szCs w:val="24"/>
          <w:lang w:val="es-MX" w:eastAsia="es-ES"/>
        </w:rPr>
        <w:t>Instituto Nacional de Transparencia, Acceso a la Información y Protección de Datos Personales, que literalmente establece:</w:t>
      </w:r>
    </w:p>
    <w:p w:rsidR="00ED53C7" w:rsidRPr="00ED53C7" w:rsidRDefault="00ED53C7" w:rsidP="00ED53C7">
      <w:pPr>
        <w:shd w:val="clear" w:color="auto" w:fill="FFFFFF"/>
        <w:spacing w:line="240" w:lineRule="auto"/>
        <w:ind w:left="851" w:right="902"/>
        <w:rPr>
          <w:rFonts w:eastAsia="Times New Roman" w:cs="Arial"/>
          <w:i/>
          <w:sz w:val="22"/>
          <w:szCs w:val="24"/>
          <w:lang w:val="es-MX" w:eastAsia="es-ES"/>
        </w:rPr>
      </w:pPr>
    </w:p>
    <w:p w:rsidR="00ED53C7" w:rsidRPr="00ED53C7" w:rsidRDefault="00ED53C7" w:rsidP="00ED53C7">
      <w:pPr>
        <w:shd w:val="clear" w:color="auto" w:fill="FFFFFF"/>
        <w:spacing w:line="240" w:lineRule="auto"/>
        <w:ind w:left="851" w:right="902"/>
        <w:rPr>
          <w:rFonts w:eastAsia="Times New Roman" w:cs="Arial"/>
          <w:i/>
          <w:sz w:val="22"/>
          <w:szCs w:val="24"/>
          <w:lang w:val="es-MX" w:eastAsia="es-ES"/>
        </w:rPr>
      </w:pPr>
      <w:r w:rsidRPr="00ED53C7">
        <w:rPr>
          <w:rFonts w:eastAsia="Times New Roman" w:cs="Arial"/>
          <w:i/>
          <w:sz w:val="22"/>
          <w:szCs w:val="24"/>
          <w:lang w:val="es-MX" w:eastAsia="es-ES"/>
        </w:rPr>
        <w:t>“</w:t>
      </w:r>
      <w:r w:rsidRPr="00ED53C7">
        <w:rPr>
          <w:rFonts w:eastAsia="Times New Roman" w:cs="Arial"/>
          <w:b/>
          <w:i/>
          <w:sz w:val="22"/>
          <w:szCs w:val="24"/>
          <w:lang w:val="es-MX" w:eastAsia="es-ES"/>
        </w:rPr>
        <w:t xml:space="preserve">Documentos sin firma o membrete. </w:t>
      </w:r>
      <w:r w:rsidRPr="00ED53C7">
        <w:rPr>
          <w:rFonts w:eastAsia="Times New Roman" w:cs="Arial"/>
          <w:i/>
          <w:sz w:val="22"/>
          <w:szCs w:val="24"/>
          <w:lang w:val="es-MX" w:eastAsia="es-ES"/>
        </w:rPr>
        <w:t xml:space="preserve">Los documentos que son emitidos por las Unidades de Transparencia son válidos en el ámbito de la Ley Federal de Transparencia y Acceso a la Información Pública cuando se proporcionan a través de la Plataforma </w:t>
      </w:r>
      <w:r w:rsidRPr="00ED53C7">
        <w:rPr>
          <w:rFonts w:eastAsia="Times New Roman" w:cs="Arial"/>
          <w:i/>
          <w:sz w:val="22"/>
          <w:szCs w:val="24"/>
          <w:lang w:val="es-MX" w:eastAsia="es-ES"/>
        </w:rPr>
        <w:lastRenderedPageBreak/>
        <w:t>Nacional de Transparencia, aunque no se encuentren firmados y no contengan membrete.”</w:t>
      </w:r>
    </w:p>
    <w:p w:rsidR="00ED53C7" w:rsidRPr="00ED53C7" w:rsidRDefault="00ED53C7" w:rsidP="00ED53C7">
      <w:pPr>
        <w:spacing w:line="240" w:lineRule="auto"/>
        <w:rPr>
          <w:rFonts w:eastAsia="Times New Roman" w:cs="Times New Roman"/>
          <w:color w:val="000000"/>
          <w:szCs w:val="24"/>
          <w:lang w:val="es-MX"/>
        </w:rPr>
      </w:pPr>
    </w:p>
    <w:p w:rsidR="00ED53C7" w:rsidRPr="00ED53C7" w:rsidRDefault="00ED53C7" w:rsidP="00ED53C7">
      <w:pPr>
        <w:rPr>
          <w:rFonts w:eastAsiaTheme="minorHAnsi" w:cs="Arial"/>
          <w:lang w:val="es-MX" w:eastAsia="en-US"/>
        </w:rPr>
      </w:pPr>
    </w:p>
    <w:p w:rsidR="00ED0AD1" w:rsidRDefault="00ED0AD1" w:rsidP="001955A1">
      <w:pPr>
        <w:pBdr>
          <w:top w:val="nil"/>
          <w:left w:val="nil"/>
          <w:bottom w:val="nil"/>
          <w:right w:val="nil"/>
          <w:between w:val="nil"/>
        </w:pBdr>
        <w:contextualSpacing/>
      </w:pPr>
      <w:r>
        <w:t xml:space="preserve">En </w:t>
      </w:r>
      <w:r w:rsidR="008A3256">
        <w:t>adición</w:t>
      </w:r>
      <w:r>
        <w:t xml:space="preserve"> a lo anterior, aquellos no se </w:t>
      </w:r>
      <w:r w:rsidR="008A3256">
        <w:t>encuentran</w:t>
      </w:r>
      <w:r>
        <w:t xml:space="preserve"> compelidos a </w:t>
      </w:r>
      <w:r w:rsidR="008A3256">
        <w:t>realizar</w:t>
      </w:r>
      <w:r>
        <w:t xml:space="preserve"> </w:t>
      </w:r>
      <w:r w:rsidRPr="008A3256">
        <w:rPr>
          <w:i/>
        </w:rPr>
        <w:t>documentos ad-hoc</w:t>
      </w:r>
      <w:r>
        <w:t xml:space="preserve"> para colmar las </w:t>
      </w:r>
      <w:r w:rsidR="008A3256">
        <w:t>solicitudes</w:t>
      </w:r>
      <w:r>
        <w:t xml:space="preserve"> de información. </w:t>
      </w:r>
    </w:p>
    <w:p w:rsidR="00ED53C7" w:rsidRDefault="00ED53C7" w:rsidP="001955A1">
      <w:pPr>
        <w:pBdr>
          <w:top w:val="nil"/>
          <w:left w:val="nil"/>
          <w:bottom w:val="nil"/>
          <w:right w:val="nil"/>
          <w:between w:val="nil"/>
        </w:pBdr>
        <w:contextualSpacing/>
      </w:pPr>
    </w:p>
    <w:p w:rsidR="000E580E" w:rsidRPr="000E580E" w:rsidRDefault="000E580E" w:rsidP="000E580E">
      <w:pPr>
        <w:rPr>
          <w:rFonts w:eastAsia="Times New Roman" w:cs="Arial"/>
          <w:color w:val="000000"/>
          <w:szCs w:val="24"/>
          <w:lang w:val="es-ES" w:eastAsia="es-ES"/>
        </w:rPr>
      </w:pPr>
      <w:r w:rsidRPr="000E580E">
        <w:rPr>
          <w:rFonts w:eastAsia="Times New Roman" w:cs="Arial"/>
          <w:color w:val="000000"/>
          <w:szCs w:val="24"/>
          <w:lang w:val="es-ES" w:eastAsia="es-ES"/>
        </w:rPr>
        <w:t>En síntesis, el derecho de acceso a la información pública se satisface en aquellos casos en que se entregue el soporte documental en que conste la información pública, toda vez que, los Sujetos Obligados</w:t>
      </w:r>
      <w:r w:rsidRPr="000E580E">
        <w:rPr>
          <w:rFonts w:eastAsia="Times New Roman" w:cs="Arial"/>
          <w:b/>
          <w:color w:val="000000"/>
          <w:szCs w:val="24"/>
          <w:lang w:val="es-ES" w:eastAsia="es-ES"/>
        </w:rPr>
        <w:t xml:space="preserve"> </w:t>
      </w:r>
      <w:r w:rsidRPr="000E580E">
        <w:rPr>
          <w:rFonts w:eastAsia="Times New Roman" w:cs="Arial"/>
          <w:color w:val="000000"/>
          <w:szCs w:val="24"/>
          <w:lang w:val="es-ES" w:eastAsia="es-ES"/>
        </w:rPr>
        <w:t xml:space="preserve">no tienen el deber de generar, poseer o administrar la información pública con el grado de detalle solicitado; esto es, que no tienen el deber de generar un documento </w:t>
      </w:r>
      <w:r w:rsidRPr="000E580E">
        <w:rPr>
          <w:rFonts w:eastAsia="Times New Roman" w:cs="Arial"/>
          <w:i/>
          <w:color w:val="000000"/>
          <w:szCs w:val="24"/>
          <w:lang w:val="es-ES" w:eastAsia="es-ES"/>
        </w:rPr>
        <w:t>ad hoc</w:t>
      </w:r>
      <w:r w:rsidRPr="000E580E">
        <w:rPr>
          <w:rFonts w:eastAsia="Times New Roman" w:cs="Arial"/>
          <w:color w:val="000000"/>
          <w:szCs w:val="24"/>
          <w:lang w:val="es-ES" w:eastAsia="es-ES"/>
        </w:rPr>
        <w:t>, para satisfacer el derecho de acceso a la información pública.</w:t>
      </w:r>
    </w:p>
    <w:p w:rsidR="000E580E" w:rsidRPr="000E580E" w:rsidRDefault="000E580E" w:rsidP="000E580E">
      <w:pPr>
        <w:rPr>
          <w:rFonts w:eastAsia="Times New Roman" w:cs="Arial"/>
          <w:color w:val="000000"/>
          <w:szCs w:val="24"/>
          <w:lang w:val="es-ES" w:eastAsia="es-ES"/>
        </w:rPr>
      </w:pPr>
    </w:p>
    <w:p w:rsidR="000E580E" w:rsidRPr="000E580E" w:rsidRDefault="000E580E" w:rsidP="000E580E">
      <w:pPr>
        <w:rPr>
          <w:rFonts w:eastAsia="Times New Roman" w:cs="Times New Roman"/>
          <w:b/>
          <w:bCs/>
          <w:color w:val="000000"/>
          <w:szCs w:val="24"/>
          <w:lang w:val="es-ES" w:eastAsia="es-ES"/>
        </w:rPr>
      </w:pPr>
      <w:r w:rsidRPr="000E580E">
        <w:rPr>
          <w:rFonts w:eastAsia="Times New Roman" w:cs="Arial"/>
          <w:color w:val="000000"/>
          <w:szCs w:val="24"/>
          <w:lang w:val="es-ES" w:eastAsia="es-ES"/>
        </w:rPr>
        <w:t xml:space="preserve">Como apoyo a lo anterior, es aplicable el Criterio 03-17, emitido por </w:t>
      </w:r>
      <w:r w:rsidRPr="000E580E">
        <w:rPr>
          <w:rFonts w:eastAsia="Arial Unicode MS" w:cs="Arial"/>
          <w:color w:val="000000"/>
          <w:szCs w:val="24"/>
          <w:lang w:val="es-ES" w:eastAsia="es-ES"/>
        </w:rPr>
        <w:t>el Instituto Nacional de Transparencia, Acceso a la Información y Protección de Datos Personales,</w:t>
      </w:r>
      <w:r w:rsidRPr="000E580E">
        <w:rPr>
          <w:rFonts w:eastAsia="Times New Roman" w:cs="Times New Roman"/>
          <w:bCs/>
          <w:color w:val="000000"/>
          <w:szCs w:val="24"/>
          <w:lang w:val="es-ES" w:eastAsia="es-ES"/>
        </w:rPr>
        <w:t xml:space="preserve"> que dice:</w:t>
      </w:r>
      <w:r w:rsidRPr="000E580E">
        <w:rPr>
          <w:rFonts w:eastAsia="Times New Roman" w:cs="Times New Roman"/>
          <w:b/>
          <w:bCs/>
          <w:color w:val="000000"/>
          <w:szCs w:val="24"/>
          <w:lang w:val="es-ES" w:eastAsia="es-ES"/>
        </w:rPr>
        <w:t xml:space="preserve"> </w:t>
      </w:r>
    </w:p>
    <w:p w:rsidR="000E580E" w:rsidRPr="000E580E" w:rsidRDefault="000E580E" w:rsidP="000E580E">
      <w:pPr>
        <w:jc w:val="left"/>
        <w:rPr>
          <w:rFonts w:eastAsia="Times New Roman" w:cs="Times New Roman"/>
          <w:szCs w:val="24"/>
          <w:lang w:val="es-ES" w:eastAsia="es-ES"/>
        </w:rPr>
      </w:pPr>
    </w:p>
    <w:p w:rsidR="000E580E" w:rsidRPr="000E580E" w:rsidRDefault="000E580E" w:rsidP="000E580E">
      <w:pPr>
        <w:spacing w:line="240" w:lineRule="auto"/>
        <w:ind w:left="851" w:right="850"/>
        <w:rPr>
          <w:rFonts w:eastAsia="Times New Roman" w:cs="Arial"/>
          <w:color w:val="000000"/>
          <w:sz w:val="2"/>
          <w:szCs w:val="24"/>
          <w:lang w:val="es-ES" w:eastAsia="es-ES"/>
        </w:rPr>
      </w:pPr>
    </w:p>
    <w:p w:rsidR="000E580E" w:rsidRPr="000E580E" w:rsidRDefault="000E580E" w:rsidP="000E580E">
      <w:pPr>
        <w:spacing w:line="240" w:lineRule="auto"/>
        <w:ind w:left="567" w:right="567"/>
        <w:rPr>
          <w:rFonts w:eastAsia="Times New Roman" w:cs="Arial"/>
          <w:i/>
          <w:color w:val="000000"/>
          <w:szCs w:val="24"/>
          <w:lang w:val="es-ES" w:eastAsia="es-ES"/>
        </w:rPr>
      </w:pPr>
      <w:r w:rsidRPr="000E580E">
        <w:rPr>
          <w:rFonts w:eastAsia="Times New Roman" w:cs="Arial"/>
          <w:b/>
          <w:i/>
          <w:color w:val="000000"/>
          <w:szCs w:val="24"/>
          <w:lang w:val="es-ES" w:eastAsia="es-ES"/>
        </w:rPr>
        <w:t>No existe obligación de elaborar documentos ad hoc para atender las solicitudes de acceso a la información.</w:t>
      </w:r>
      <w:r w:rsidRPr="000E580E">
        <w:rPr>
          <w:rFonts w:eastAsia="Times New Roman" w:cs="Arial"/>
          <w:i/>
          <w:color w:val="000000"/>
          <w:szCs w:val="24"/>
          <w:lang w:val="es-ES"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E580E" w:rsidRPr="000E580E" w:rsidRDefault="000E580E" w:rsidP="000E580E">
      <w:pPr>
        <w:spacing w:line="240" w:lineRule="auto"/>
        <w:ind w:left="567" w:right="567"/>
        <w:rPr>
          <w:rFonts w:eastAsia="Times New Roman" w:cs="Arial"/>
          <w:i/>
          <w:color w:val="000000"/>
          <w:sz w:val="2"/>
          <w:szCs w:val="24"/>
          <w:lang w:val="es-ES" w:eastAsia="es-ES"/>
        </w:rPr>
      </w:pPr>
    </w:p>
    <w:p w:rsidR="000E580E" w:rsidRPr="000E580E" w:rsidRDefault="000E580E" w:rsidP="000E580E">
      <w:pPr>
        <w:rPr>
          <w:rFonts w:eastAsia="Times New Roman" w:cs="Arial"/>
          <w:color w:val="000000" w:themeColor="text1"/>
          <w:szCs w:val="24"/>
          <w:lang w:val="es-ES" w:eastAsia="es-ES"/>
        </w:rPr>
      </w:pPr>
    </w:p>
    <w:p w:rsidR="000E580E" w:rsidRPr="000E580E" w:rsidRDefault="000E580E" w:rsidP="000E580E">
      <w:pPr>
        <w:rPr>
          <w:rFonts w:eastAsia="Times New Roman" w:cs="Arial"/>
          <w:color w:val="000000" w:themeColor="text1"/>
          <w:szCs w:val="24"/>
          <w:lang w:val="es-ES" w:eastAsia="es-ES"/>
        </w:rPr>
      </w:pPr>
      <w:r w:rsidRPr="000E580E">
        <w:rPr>
          <w:rFonts w:eastAsia="Times New Roman" w:cs="Arial"/>
          <w:color w:val="000000" w:themeColor="text1"/>
          <w:szCs w:val="24"/>
          <w:lang w:val="es-ES" w:eastAsia="es-ES"/>
        </w:rPr>
        <w:t xml:space="preserve">Asimismo, el artículo 24, de la Ley de la materia, dispone que los Sujetos Obligados sólo proporcionarán la información pública que </w:t>
      </w:r>
      <w:r w:rsidRPr="000E580E">
        <w:rPr>
          <w:rFonts w:eastAsia="Times New Roman" w:cs="Arial"/>
          <w:szCs w:val="24"/>
          <w:lang w:val="es-ES" w:eastAsia="es-ES"/>
        </w:rPr>
        <w:t>generen</w:t>
      </w:r>
      <w:r w:rsidRPr="000E580E">
        <w:rPr>
          <w:rFonts w:eastAsia="Times New Roman" w:cs="Arial"/>
          <w:color w:val="000000" w:themeColor="text1"/>
          <w:szCs w:val="24"/>
          <w:lang w:val="es-ES" w:eastAsia="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5591E" w:rsidRDefault="00D5591E" w:rsidP="001955A1">
      <w:pPr>
        <w:pBdr>
          <w:top w:val="nil"/>
          <w:left w:val="nil"/>
          <w:bottom w:val="nil"/>
          <w:right w:val="nil"/>
          <w:between w:val="nil"/>
        </w:pBdr>
        <w:contextualSpacing/>
      </w:pPr>
    </w:p>
    <w:p w:rsidR="00C10B3D" w:rsidRDefault="00C10B3D" w:rsidP="001955A1">
      <w:pPr>
        <w:pBdr>
          <w:top w:val="nil"/>
          <w:left w:val="nil"/>
          <w:bottom w:val="nil"/>
          <w:right w:val="nil"/>
          <w:between w:val="nil"/>
        </w:pBdr>
        <w:contextualSpacing/>
      </w:pPr>
      <w:r>
        <w:t xml:space="preserve">En ese sentido al haberse solicitado las convocatorias del </w:t>
      </w:r>
      <w:r w:rsidRPr="00C10B3D">
        <w:t>programa Desarrollo Indígena con Bienestar y Bienestar Cultural Indígena</w:t>
      </w:r>
      <w:r>
        <w:t xml:space="preserve"> del año 2024, y al haberse hecho llegar las mismas, en respuesta, se tienen por atendidas.</w:t>
      </w:r>
    </w:p>
    <w:p w:rsidR="00702618" w:rsidRDefault="00702618" w:rsidP="001955A1">
      <w:pPr>
        <w:pBdr>
          <w:top w:val="nil"/>
          <w:left w:val="nil"/>
          <w:bottom w:val="nil"/>
          <w:right w:val="nil"/>
          <w:between w:val="nil"/>
        </w:pBdr>
        <w:contextualSpacing/>
      </w:pPr>
    </w:p>
    <w:p w:rsidR="00C10B3D" w:rsidRDefault="00C10B3D" w:rsidP="001955A1">
      <w:pPr>
        <w:pBdr>
          <w:top w:val="nil"/>
          <w:left w:val="nil"/>
          <w:bottom w:val="nil"/>
          <w:right w:val="nil"/>
          <w:between w:val="nil"/>
        </w:pBdr>
        <w:contextualSpacing/>
      </w:pPr>
      <w:r>
        <w:t xml:space="preserve">Ahora bien en lo que respecta al 2025, </w:t>
      </w:r>
      <w:r w:rsidR="00702618">
        <w:t>el propio Sujeto Obligado manifestó que no fueron emitidas, esto de conformidad a existir listas de espera.</w:t>
      </w:r>
    </w:p>
    <w:p w:rsidR="00702618" w:rsidRDefault="00702618" w:rsidP="001955A1">
      <w:pPr>
        <w:pBdr>
          <w:top w:val="nil"/>
          <w:left w:val="nil"/>
          <w:bottom w:val="nil"/>
          <w:right w:val="nil"/>
          <w:between w:val="nil"/>
        </w:pBdr>
        <w:contextualSpacing/>
      </w:pPr>
    </w:p>
    <w:p w:rsidR="00702618" w:rsidRDefault="00702618" w:rsidP="001955A1">
      <w:pPr>
        <w:pBdr>
          <w:top w:val="nil"/>
          <w:left w:val="nil"/>
          <w:bottom w:val="nil"/>
          <w:right w:val="nil"/>
          <w:between w:val="nil"/>
        </w:pBdr>
        <w:contextualSpacing/>
      </w:pPr>
      <w:r>
        <w:t>Situación que se señala ya que de la revisión a</w:t>
      </w:r>
      <w:r w:rsidR="00C40ECE">
        <w:t xml:space="preserve"> las reglas de operación de ambos programas, se desprende que </w:t>
      </w:r>
      <w:r w:rsidR="00F77A21">
        <w:t>de los artículos 10.1 inciso a y 13</w:t>
      </w:r>
      <w:r w:rsidR="00116FD7">
        <w:t>.2 la convocatoria se realizará siempre y cuando no exista lista de espera.</w:t>
      </w:r>
    </w:p>
    <w:p w:rsidR="005743A1" w:rsidRDefault="005743A1" w:rsidP="001955A1">
      <w:pPr>
        <w:pBdr>
          <w:top w:val="nil"/>
          <w:left w:val="nil"/>
          <w:bottom w:val="nil"/>
          <w:right w:val="nil"/>
          <w:between w:val="nil"/>
        </w:pBdr>
        <w:contextualSpacing/>
        <w:rPr>
          <w:i/>
          <w:sz w:val="22"/>
        </w:rPr>
      </w:pPr>
    </w:p>
    <w:p w:rsidR="00116FD7" w:rsidRPr="005743A1" w:rsidRDefault="005743A1" w:rsidP="001955A1">
      <w:pPr>
        <w:pBdr>
          <w:top w:val="nil"/>
          <w:left w:val="nil"/>
          <w:bottom w:val="nil"/>
          <w:right w:val="nil"/>
          <w:between w:val="nil"/>
        </w:pBdr>
        <w:contextualSpacing/>
        <w:rPr>
          <w:i/>
          <w:sz w:val="22"/>
        </w:rPr>
      </w:pPr>
      <w:r>
        <w:rPr>
          <w:i/>
          <w:sz w:val="22"/>
        </w:rPr>
        <w:t>“</w:t>
      </w:r>
      <w:r w:rsidRPr="005743A1">
        <w:rPr>
          <w:i/>
          <w:sz w:val="22"/>
        </w:rPr>
        <w:t>REGLAS DE OPERACIÓN DEL PROGRAMA DE DESARROLLO SOCIAL “DESARROLLO INDÍGENA CON BIENESTAR”.</w:t>
      </w:r>
      <w:r>
        <w:rPr>
          <w:rStyle w:val="Refdenotaalpie"/>
          <w:i/>
          <w:sz w:val="22"/>
        </w:rPr>
        <w:footnoteReference w:id="4"/>
      </w:r>
    </w:p>
    <w:p w:rsidR="005743A1" w:rsidRPr="005743A1" w:rsidRDefault="005743A1" w:rsidP="001955A1">
      <w:pPr>
        <w:pBdr>
          <w:top w:val="nil"/>
          <w:left w:val="nil"/>
          <w:bottom w:val="nil"/>
          <w:right w:val="nil"/>
          <w:between w:val="nil"/>
        </w:pBdr>
        <w:contextualSpacing/>
        <w:rPr>
          <w:sz w:val="22"/>
        </w:rPr>
      </w:pPr>
    </w:p>
    <w:p w:rsidR="00116FD7" w:rsidRPr="005743A1" w:rsidRDefault="00116FD7" w:rsidP="005743A1">
      <w:pPr>
        <w:pBdr>
          <w:top w:val="nil"/>
          <w:left w:val="nil"/>
          <w:bottom w:val="nil"/>
          <w:right w:val="nil"/>
          <w:between w:val="nil"/>
        </w:pBdr>
        <w:ind w:left="851" w:right="565"/>
        <w:contextualSpacing/>
        <w:rPr>
          <w:b/>
          <w:i/>
          <w:sz w:val="22"/>
        </w:rPr>
      </w:pPr>
      <w:r w:rsidRPr="005743A1">
        <w:rPr>
          <w:b/>
          <w:i/>
          <w:sz w:val="22"/>
        </w:rPr>
        <w:lastRenderedPageBreak/>
        <w:t>10. Mecánica operativa</w:t>
      </w:r>
    </w:p>
    <w:p w:rsidR="00116FD7" w:rsidRPr="005743A1" w:rsidRDefault="00116FD7" w:rsidP="005743A1">
      <w:pPr>
        <w:pBdr>
          <w:top w:val="nil"/>
          <w:left w:val="nil"/>
          <w:bottom w:val="nil"/>
          <w:right w:val="nil"/>
          <w:between w:val="nil"/>
        </w:pBdr>
        <w:ind w:left="851" w:right="565"/>
        <w:contextualSpacing/>
        <w:rPr>
          <w:b/>
          <w:i/>
          <w:sz w:val="22"/>
        </w:rPr>
      </w:pPr>
      <w:r w:rsidRPr="005743A1">
        <w:rPr>
          <w:b/>
          <w:i/>
          <w:sz w:val="22"/>
        </w:rPr>
        <w:t>10.1. Operación del programa</w:t>
      </w:r>
    </w:p>
    <w:p w:rsidR="00116FD7" w:rsidRPr="005743A1" w:rsidRDefault="00116FD7" w:rsidP="005743A1">
      <w:pPr>
        <w:pBdr>
          <w:top w:val="nil"/>
          <w:left w:val="nil"/>
          <w:bottom w:val="nil"/>
          <w:right w:val="nil"/>
          <w:between w:val="nil"/>
        </w:pBdr>
        <w:ind w:left="851" w:right="565"/>
        <w:contextualSpacing/>
        <w:rPr>
          <w:i/>
          <w:sz w:val="22"/>
        </w:rPr>
      </w:pPr>
      <w:r w:rsidRPr="005743A1">
        <w:rPr>
          <w:b/>
          <w:i/>
          <w:sz w:val="22"/>
        </w:rPr>
        <w:t>a)</w:t>
      </w:r>
      <w:r w:rsidRPr="005743A1">
        <w:rPr>
          <w:i/>
          <w:sz w:val="22"/>
        </w:rPr>
        <w:t xml:space="preserve"> El CEDIPIEM emitirá la Convocatoria del Programa, siempre y cuando se cuente con suficiencia presupuestal para el ejercicio fiscal correspondiente y no exista lista de espera;</w:t>
      </w:r>
      <w:r w:rsidRPr="005743A1">
        <w:rPr>
          <w:i/>
          <w:sz w:val="22"/>
        </w:rPr>
        <w:cr/>
      </w:r>
    </w:p>
    <w:p w:rsidR="00116FD7" w:rsidRPr="005743A1" w:rsidRDefault="00116FD7" w:rsidP="005743A1">
      <w:pPr>
        <w:pBdr>
          <w:top w:val="nil"/>
          <w:left w:val="nil"/>
          <w:bottom w:val="nil"/>
          <w:right w:val="nil"/>
          <w:between w:val="nil"/>
        </w:pBdr>
        <w:ind w:left="851" w:right="565"/>
        <w:contextualSpacing/>
        <w:rPr>
          <w:b/>
          <w:i/>
          <w:sz w:val="22"/>
        </w:rPr>
      </w:pPr>
      <w:r w:rsidRPr="005743A1">
        <w:rPr>
          <w:b/>
          <w:i/>
          <w:sz w:val="22"/>
        </w:rPr>
        <w:t>13.2. Convocatoria</w:t>
      </w:r>
    </w:p>
    <w:p w:rsidR="00ED53C7" w:rsidRPr="005743A1" w:rsidRDefault="00116FD7" w:rsidP="005743A1">
      <w:pPr>
        <w:pBdr>
          <w:top w:val="nil"/>
          <w:left w:val="nil"/>
          <w:bottom w:val="nil"/>
          <w:right w:val="nil"/>
          <w:between w:val="nil"/>
        </w:pBdr>
        <w:ind w:left="851" w:right="565"/>
        <w:contextualSpacing/>
        <w:rPr>
          <w:i/>
          <w:sz w:val="22"/>
        </w:rPr>
      </w:pPr>
      <w:r w:rsidRPr="005743A1">
        <w:rPr>
          <w:i/>
          <w:sz w:val="22"/>
        </w:rPr>
        <w:t>La Convocatoria para el registro de las Personas Solicitantes se realizará siempre y cuando no exista lista de espera o ésta no cubra la meta del ejercicio en curso y se cuente con suficiencia presupuestal del ejercicio fiscal correspondiente, misma que será emitida por el CEDIPIEM, en los medios y plazos que determine la Instancia Normativa.</w:t>
      </w:r>
    </w:p>
    <w:p w:rsidR="000E580E" w:rsidRPr="005743A1" w:rsidRDefault="000E580E" w:rsidP="005743A1">
      <w:pPr>
        <w:pBdr>
          <w:top w:val="nil"/>
          <w:left w:val="nil"/>
          <w:bottom w:val="nil"/>
          <w:right w:val="nil"/>
          <w:between w:val="nil"/>
        </w:pBdr>
        <w:ind w:left="851" w:right="565"/>
        <w:contextualSpacing/>
        <w:rPr>
          <w:i/>
          <w:sz w:val="22"/>
        </w:rPr>
      </w:pPr>
    </w:p>
    <w:p w:rsidR="00AD6771" w:rsidRPr="005743A1" w:rsidRDefault="005743A1" w:rsidP="005743A1">
      <w:pPr>
        <w:pBdr>
          <w:top w:val="nil"/>
          <w:left w:val="nil"/>
          <w:bottom w:val="nil"/>
          <w:right w:val="nil"/>
          <w:between w:val="nil"/>
        </w:pBdr>
        <w:ind w:right="565"/>
        <w:contextualSpacing/>
        <w:rPr>
          <w:i/>
          <w:sz w:val="22"/>
        </w:rPr>
      </w:pPr>
      <w:r>
        <w:rPr>
          <w:i/>
          <w:sz w:val="22"/>
        </w:rPr>
        <w:t>“</w:t>
      </w:r>
      <w:r w:rsidRPr="005743A1">
        <w:rPr>
          <w:i/>
          <w:sz w:val="22"/>
        </w:rPr>
        <w:t>REGLAS DE OPERACIÓN DEL PROGRAMA DE DESARROLLO SOCIAL “BIENESTAR CULTURAL INDÍGENA”.</w:t>
      </w:r>
      <w:r w:rsidR="002067D9">
        <w:rPr>
          <w:rStyle w:val="Refdenotaalpie"/>
          <w:i/>
          <w:sz w:val="22"/>
        </w:rPr>
        <w:footnoteReference w:id="5"/>
      </w:r>
    </w:p>
    <w:p w:rsidR="00116FD7" w:rsidRPr="005743A1" w:rsidRDefault="00116FD7" w:rsidP="005743A1">
      <w:pPr>
        <w:pBdr>
          <w:top w:val="nil"/>
          <w:left w:val="nil"/>
          <w:bottom w:val="nil"/>
          <w:right w:val="nil"/>
          <w:between w:val="nil"/>
        </w:pBdr>
        <w:ind w:left="851" w:right="565"/>
        <w:contextualSpacing/>
        <w:rPr>
          <w:b/>
          <w:i/>
          <w:sz w:val="22"/>
        </w:rPr>
      </w:pPr>
      <w:r w:rsidRPr="005743A1">
        <w:rPr>
          <w:b/>
          <w:i/>
          <w:sz w:val="22"/>
        </w:rPr>
        <w:t>10. Mecánica operativa</w:t>
      </w:r>
    </w:p>
    <w:p w:rsidR="00116FD7" w:rsidRPr="005743A1" w:rsidRDefault="00116FD7" w:rsidP="005743A1">
      <w:pPr>
        <w:pBdr>
          <w:top w:val="nil"/>
          <w:left w:val="nil"/>
          <w:bottom w:val="nil"/>
          <w:right w:val="nil"/>
          <w:between w:val="nil"/>
        </w:pBdr>
        <w:ind w:left="851" w:right="565"/>
        <w:contextualSpacing/>
        <w:rPr>
          <w:b/>
          <w:i/>
          <w:sz w:val="22"/>
        </w:rPr>
      </w:pPr>
      <w:r w:rsidRPr="005743A1">
        <w:rPr>
          <w:b/>
          <w:i/>
          <w:sz w:val="22"/>
        </w:rPr>
        <w:t>10.1. Operación del Programa</w:t>
      </w:r>
    </w:p>
    <w:p w:rsidR="00AD6771" w:rsidRPr="005743A1" w:rsidRDefault="00116FD7" w:rsidP="005743A1">
      <w:pPr>
        <w:pBdr>
          <w:top w:val="nil"/>
          <w:left w:val="nil"/>
          <w:bottom w:val="nil"/>
          <w:right w:val="nil"/>
          <w:between w:val="nil"/>
        </w:pBdr>
        <w:ind w:left="851" w:right="565"/>
        <w:contextualSpacing/>
        <w:rPr>
          <w:i/>
          <w:sz w:val="22"/>
        </w:rPr>
      </w:pPr>
      <w:r w:rsidRPr="005743A1">
        <w:rPr>
          <w:b/>
          <w:i/>
          <w:sz w:val="22"/>
        </w:rPr>
        <w:t>a)</w:t>
      </w:r>
      <w:r w:rsidRPr="005743A1">
        <w:rPr>
          <w:i/>
          <w:sz w:val="22"/>
        </w:rPr>
        <w:t xml:space="preserve"> El CEDIPIEM emitirá la Convocatoria para el registro de las personas solicitantes, que se realizará siempre y cuando no exista lista de espera o ésta no cubra la meta del ejercicio en curso y se cuente con suficiencia presupuestal del ejercicio fiscal correspondiente, misma que será emitida por el CEDIPIEM, en los medios y plazos que determine la Instancia Normativa.</w:t>
      </w:r>
    </w:p>
    <w:p w:rsidR="005743A1" w:rsidRPr="005743A1" w:rsidRDefault="005743A1" w:rsidP="005743A1">
      <w:pPr>
        <w:pBdr>
          <w:top w:val="nil"/>
          <w:left w:val="nil"/>
          <w:bottom w:val="nil"/>
          <w:right w:val="nil"/>
          <w:between w:val="nil"/>
        </w:pBdr>
        <w:ind w:left="851" w:right="565"/>
        <w:contextualSpacing/>
        <w:rPr>
          <w:b/>
          <w:i/>
          <w:sz w:val="22"/>
        </w:rPr>
      </w:pPr>
      <w:r w:rsidRPr="005743A1">
        <w:rPr>
          <w:b/>
          <w:i/>
          <w:sz w:val="22"/>
        </w:rPr>
        <w:t>13.2 Convocatoria</w:t>
      </w:r>
    </w:p>
    <w:p w:rsidR="005743A1" w:rsidRPr="005743A1" w:rsidRDefault="005743A1" w:rsidP="005743A1">
      <w:pPr>
        <w:pBdr>
          <w:top w:val="nil"/>
          <w:left w:val="nil"/>
          <w:bottom w:val="nil"/>
          <w:right w:val="nil"/>
          <w:between w:val="nil"/>
        </w:pBdr>
        <w:ind w:left="851" w:right="565"/>
        <w:contextualSpacing/>
        <w:rPr>
          <w:i/>
          <w:sz w:val="22"/>
        </w:rPr>
      </w:pPr>
      <w:r w:rsidRPr="005743A1">
        <w:rPr>
          <w:i/>
          <w:sz w:val="22"/>
        </w:rPr>
        <w:t xml:space="preserve">La Convocatoria para el registro de las personas solicitantes se realizará siempre y cuando no exista lista de espera o ésta no cubra la meta del ejercicio en curso y se cuente con </w:t>
      </w:r>
      <w:r w:rsidRPr="005743A1">
        <w:rPr>
          <w:i/>
          <w:sz w:val="22"/>
        </w:rPr>
        <w:lastRenderedPageBreak/>
        <w:t>suficiencia presupuestal del ejercicio fiscal correspondiente, misma que será emitida por el CEDIPIEM, en los medios y plazos que determine la Instancia</w:t>
      </w:r>
    </w:p>
    <w:p w:rsidR="00116FD7" w:rsidRPr="005743A1" w:rsidRDefault="005743A1" w:rsidP="005743A1">
      <w:pPr>
        <w:pBdr>
          <w:top w:val="nil"/>
          <w:left w:val="nil"/>
          <w:bottom w:val="nil"/>
          <w:right w:val="nil"/>
          <w:between w:val="nil"/>
        </w:pBdr>
        <w:ind w:left="851" w:right="565"/>
        <w:contextualSpacing/>
        <w:rPr>
          <w:i/>
          <w:sz w:val="22"/>
        </w:rPr>
      </w:pPr>
      <w:r w:rsidRPr="005743A1">
        <w:rPr>
          <w:i/>
          <w:sz w:val="22"/>
        </w:rPr>
        <w:t>Normativa.</w:t>
      </w:r>
    </w:p>
    <w:p w:rsidR="002067D9" w:rsidRDefault="002067D9" w:rsidP="001955A1">
      <w:pPr>
        <w:pBdr>
          <w:top w:val="nil"/>
          <w:left w:val="nil"/>
          <w:bottom w:val="nil"/>
          <w:right w:val="nil"/>
          <w:between w:val="nil"/>
        </w:pBdr>
        <w:contextualSpacing/>
      </w:pPr>
    </w:p>
    <w:p w:rsidR="00AD6771" w:rsidRDefault="002067D9" w:rsidP="001955A1">
      <w:pPr>
        <w:pBdr>
          <w:top w:val="nil"/>
          <w:left w:val="nil"/>
          <w:bottom w:val="nil"/>
          <w:right w:val="nil"/>
          <w:between w:val="nil"/>
        </w:pBdr>
        <w:contextualSpacing/>
      </w:pPr>
      <w:r>
        <w:t xml:space="preserve">Luego entonces lo manifestado por el Sujeto Obligado, adquiere validez al estar sujeto a la legalidad </w:t>
      </w:r>
      <w:r w:rsidR="00804C7D">
        <w:t xml:space="preserve">de las bases. </w:t>
      </w:r>
    </w:p>
    <w:p w:rsidR="008B39C9" w:rsidRDefault="008B39C9" w:rsidP="001955A1">
      <w:pPr>
        <w:pBdr>
          <w:top w:val="nil"/>
          <w:left w:val="nil"/>
          <w:bottom w:val="nil"/>
          <w:right w:val="nil"/>
          <w:between w:val="nil"/>
        </w:pBdr>
        <w:contextualSpacing/>
      </w:pPr>
    </w:p>
    <w:p w:rsidR="00804C7D" w:rsidRDefault="008B39C9" w:rsidP="001955A1">
      <w:pPr>
        <w:pBdr>
          <w:top w:val="nil"/>
          <w:left w:val="nil"/>
          <w:bottom w:val="nil"/>
          <w:right w:val="nil"/>
          <w:between w:val="nil"/>
        </w:pBdr>
        <w:contextualSpacing/>
      </w:pPr>
      <w:r w:rsidRPr="008B39C9">
        <w:t>En ese sentido, la unidad administrativa competente, remitió la documentación que colma con lo solicitado por el particular, recordando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w:t>
      </w:r>
    </w:p>
    <w:p w:rsidR="00804C7D" w:rsidRDefault="00804C7D" w:rsidP="001955A1">
      <w:pPr>
        <w:pBdr>
          <w:top w:val="nil"/>
          <w:left w:val="nil"/>
          <w:bottom w:val="nil"/>
          <w:right w:val="nil"/>
          <w:between w:val="nil"/>
        </w:pBdr>
        <w:contextualSpacing/>
      </w:pPr>
    </w:p>
    <w:p w:rsidR="008B39C9" w:rsidRPr="008B39C9" w:rsidRDefault="008B39C9" w:rsidP="008B39C9">
      <w:pPr>
        <w:rPr>
          <w:rFonts w:eastAsiaTheme="minorHAnsi" w:cstheme="minorBidi"/>
          <w:lang w:val="es-MX" w:eastAsia="en-US"/>
        </w:rPr>
      </w:pPr>
      <w:r w:rsidRPr="008B39C9">
        <w:rPr>
          <w:rFonts w:eastAsiaTheme="minorHAnsi" w:cstheme="minorBidi"/>
          <w:lang w:val="es-MX" w:eastAsia="en-US"/>
        </w:rPr>
        <w:t>Así que, este Órgano Garante considera que de la respuesta primigenia,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Estatal y demás disposiciones de la materia.</w:t>
      </w:r>
    </w:p>
    <w:p w:rsidR="008B39C9" w:rsidRPr="008B39C9" w:rsidRDefault="008B39C9" w:rsidP="008B39C9">
      <w:pPr>
        <w:ind w:right="49"/>
        <w:rPr>
          <w:rFonts w:eastAsia="Palatino Linotype" w:cs="Palatino Linotype"/>
          <w:bCs/>
          <w:szCs w:val="24"/>
          <w:lang w:val="es-ES"/>
        </w:rPr>
      </w:pPr>
    </w:p>
    <w:p w:rsidR="008B39C9" w:rsidRPr="008B39C9" w:rsidRDefault="008B39C9" w:rsidP="008B39C9">
      <w:pPr>
        <w:rPr>
          <w:rFonts w:eastAsia="Times New Roman" w:cs="Arial"/>
          <w:szCs w:val="24"/>
          <w:lang w:val="es-ES" w:eastAsia="es-ES"/>
        </w:rPr>
      </w:pPr>
      <w:r w:rsidRPr="008B39C9">
        <w:rPr>
          <w:rFonts w:eastAsia="Times New Roman" w:cs="Times New Roman"/>
          <w:szCs w:val="24"/>
          <w:lang w:val="es-ES" w:eastAsia="es-ES"/>
        </w:rPr>
        <w:lastRenderedPageBreak/>
        <w:t xml:space="preserve">Así, en mérito de lo expuesto en líneas anteriores, </w:t>
      </w:r>
      <w:r w:rsidRPr="008B39C9">
        <w:rPr>
          <w:rFonts w:eastAsia="Times New Roman" w:cs="Times New Roman"/>
          <w:noProof/>
          <w:szCs w:val="24"/>
          <w:lang w:val="es-ES"/>
        </w:rPr>
        <w:t xml:space="preserve">resultan </w:t>
      </w:r>
      <w:r w:rsidRPr="008B39C9">
        <w:rPr>
          <w:rFonts w:eastAsia="Times New Roman" w:cs="Times New Roman"/>
          <w:b/>
          <w:noProof/>
          <w:szCs w:val="24"/>
          <w:lang w:val="es-ES"/>
        </w:rPr>
        <w:t>infundadas</w:t>
      </w:r>
      <w:r w:rsidRPr="008B39C9">
        <w:rPr>
          <w:rFonts w:eastAsia="Times New Roman" w:cs="Times New Roman"/>
          <w:noProof/>
          <w:szCs w:val="24"/>
          <w:lang w:val="es-ES"/>
        </w:rPr>
        <w:t xml:space="preserve"> las razones o motivos de inconformidad que arguye la parte </w:t>
      </w:r>
      <w:r w:rsidRPr="008B39C9">
        <w:rPr>
          <w:rFonts w:eastAsia="Times New Roman" w:cs="Times New Roman"/>
          <w:b/>
          <w:noProof/>
          <w:szCs w:val="24"/>
          <w:lang w:val="es-ES"/>
        </w:rPr>
        <w:t>Recurrente</w:t>
      </w:r>
      <w:r w:rsidRPr="008B39C9">
        <w:rPr>
          <w:rFonts w:eastAsia="Times New Roman" w:cs="Times New Roman"/>
          <w:noProof/>
          <w:szCs w:val="24"/>
          <w:lang w:val="es-ES"/>
        </w:rPr>
        <w:t xml:space="preserve">, </w:t>
      </w:r>
      <w:r w:rsidRPr="008B39C9">
        <w:rPr>
          <w:rFonts w:eastAsia="Times New Roman" w:cs="Arial"/>
          <w:szCs w:val="24"/>
          <w:lang w:val="es-ES" w:eastAsia="es-ES"/>
        </w:rPr>
        <w:t xml:space="preserve">por ello con fundamento en el artículo 186, fracción II, de la Ley de Transparencia y Acceso a la Información Pública del Estado de México y Municipios, se </w:t>
      </w:r>
      <w:r w:rsidRPr="008B39C9">
        <w:rPr>
          <w:rFonts w:eastAsia="Times New Roman" w:cs="Arial"/>
          <w:b/>
          <w:szCs w:val="24"/>
          <w:lang w:val="es-ES" w:eastAsia="es-ES"/>
        </w:rPr>
        <w:t>CONFIRMA</w:t>
      </w:r>
      <w:r w:rsidRPr="008B39C9">
        <w:rPr>
          <w:rFonts w:eastAsia="Times New Roman" w:cs="Arial"/>
          <w:szCs w:val="24"/>
          <w:lang w:val="es-ES" w:eastAsia="es-ES"/>
        </w:rPr>
        <w:t xml:space="preserve"> la respuesta a la solicitud de información pública</w:t>
      </w:r>
      <w:r w:rsidRPr="008B39C9">
        <w:rPr>
          <w:rFonts w:eastAsia="Times New Roman" w:cs="Arial"/>
          <w:b/>
          <w:szCs w:val="24"/>
          <w:lang w:val="es-ES" w:eastAsia="es-ES"/>
        </w:rPr>
        <w:t xml:space="preserve"> </w:t>
      </w:r>
      <w:r w:rsidRPr="008B39C9">
        <w:rPr>
          <w:rFonts w:eastAsiaTheme="minorHAnsi" w:cs="Arial"/>
          <w:b/>
          <w:lang w:val="es-MX" w:eastAsia="en-US"/>
        </w:rPr>
        <w:t>00070/CEDIPIEM/IP/2025</w:t>
      </w:r>
      <w:r w:rsidRPr="008B39C9">
        <w:rPr>
          <w:rFonts w:eastAsia="Times New Roman" w:cs="Arial"/>
          <w:szCs w:val="24"/>
          <w:lang w:val="es-ES" w:eastAsia="es-ES"/>
        </w:rPr>
        <w:t>,</w:t>
      </w:r>
      <w:r w:rsidRPr="008B39C9">
        <w:rPr>
          <w:rFonts w:eastAsia="Times New Roman" w:cs="Arial"/>
          <w:b/>
          <w:szCs w:val="24"/>
          <w:lang w:val="es-ES" w:eastAsia="es-ES"/>
        </w:rPr>
        <w:t xml:space="preserve"> </w:t>
      </w:r>
      <w:r w:rsidRPr="008B39C9">
        <w:rPr>
          <w:rFonts w:eastAsia="Times New Roman" w:cs="Arial"/>
          <w:bCs/>
          <w:szCs w:val="24"/>
          <w:lang w:val="es-ES" w:eastAsia="es-ES"/>
        </w:rPr>
        <w:t>que han sido materia del presente fallo</w:t>
      </w:r>
      <w:r w:rsidRPr="008B39C9">
        <w:rPr>
          <w:rFonts w:eastAsia="Times New Roman" w:cs="Arial"/>
          <w:szCs w:val="24"/>
          <w:lang w:val="es-ES" w:eastAsia="es-ES"/>
        </w:rPr>
        <w:t>.</w:t>
      </w:r>
    </w:p>
    <w:p w:rsidR="008B39C9" w:rsidRPr="008B39C9" w:rsidRDefault="008B39C9" w:rsidP="008B39C9">
      <w:pPr>
        <w:rPr>
          <w:rFonts w:eastAsia="Times New Roman" w:cs="Arial"/>
          <w:szCs w:val="24"/>
          <w:lang w:val="es-ES" w:eastAsia="es-ES"/>
        </w:rPr>
      </w:pPr>
    </w:p>
    <w:p w:rsidR="008B39C9" w:rsidRPr="008B39C9" w:rsidRDefault="008B39C9" w:rsidP="008B39C9">
      <w:pPr>
        <w:rPr>
          <w:rFonts w:eastAsia="Times New Roman" w:cs="Times New Roman"/>
          <w:szCs w:val="24"/>
          <w:lang w:val="es-MX" w:eastAsia="es-ES"/>
        </w:rPr>
      </w:pPr>
      <w:r w:rsidRPr="008B39C9">
        <w:rPr>
          <w:rFonts w:eastAsia="Times New Roman" w:cs="Times New Roman"/>
          <w:szCs w:val="24"/>
          <w:lang w:val="es-MX" w:eastAsia="es-ES"/>
        </w:rPr>
        <w:t>Por lo antes expuesto y fundado es de resolverse y,</w:t>
      </w:r>
    </w:p>
    <w:p w:rsidR="008B39C9" w:rsidRPr="008B39C9" w:rsidRDefault="008B39C9" w:rsidP="008B39C9">
      <w:pPr>
        <w:rPr>
          <w:rFonts w:eastAsia="Times New Roman" w:cs="Times New Roman"/>
          <w:szCs w:val="24"/>
          <w:lang w:val="es-MX" w:eastAsia="es-ES"/>
        </w:rPr>
      </w:pPr>
    </w:p>
    <w:p w:rsidR="008B39C9" w:rsidRPr="008B39C9" w:rsidRDefault="008B39C9" w:rsidP="008B39C9">
      <w:pPr>
        <w:jc w:val="center"/>
        <w:rPr>
          <w:rFonts w:eastAsia="Times New Roman" w:cs="Times New Roman"/>
          <w:b/>
          <w:sz w:val="28"/>
          <w:szCs w:val="24"/>
          <w:lang w:val="pt-BR" w:eastAsia="es-ES"/>
        </w:rPr>
      </w:pPr>
      <w:r w:rsidRPr="008B39C9">
        <w:rPr>
          <w:rFonts w:eastAsia="Times New Roman" w:cs="Times New Roman"/>
          <w:b/>
          <w:sz w:val="28"/>
          <w:szCs w:val="24"/>
          <w:lang w:val="pt-BR" w:eastAsia="es-ES"/>
        </w:rPr>
        <w:t>S E   R E S U E L V E</w:t>
      </w:r>
    </w:p>
    <w:p w:rsidR="008B39C9" w:rsidRPr="008B39C9" w:rsidRDefault="008B39C9" w:rsidP="008B39C9">
      <w:pPr>
        <w:spacing w:line="240" w:lineRule="auto"/>
        <w:jc w:val="left"/>
        <w:rPr>
          <w:rFonts w:ascii="Times New Roman" w:eastAsia="Times New Roman" w:hAnsi="Times New Roman" w:cs="Times New Roman"/>
          <w:szCs w:val="24"/>
          <w:lang w:val="es-MX" w:eastAsia="es-ES"/>
        </w:rPr>
      </w:pPr>
    </w:p>
    <w:p w:rsidR="008B39C9" w:rsidRPr="008B39C9" w:rsidRDefault="008B39C9" w:rsidP="008B39C9">
      <w:pPr>
        <w:rPr>
          <w:rFonts w:ascii="Times New Roman" w:eastAsia="Times New Roman" w:hAnsi="Times New Roman" w:cs="Times New Roman"/>
          <w:sz w:val="6"/>
          <w:szCs w:val="24"/>
          <w:lang w:val="pt-BR" w:eastAsia="es-ES"/>
        </w:rPr>
      </w:pPr>
    </w:p>
    <w:p w:rsidR="008B39C9" w:rsidRPr="008B39C9" w:rsidRDefault="008B39C9" w:rsidP="008B39C9">
      <w:pPr>
        <w:rPr>
          <w:rFonts w:eastAsiaTheme="minorHAnsi" w:cstheme="minorBidi"/>
          <w:szCs w:val="24"/>
          <w:lang w:val="es-MX" w:eastAsia="en-US"/>
        </w:rPr>
      </w:pPr>
      <w:r w:rsidRPr="008B39C9">
        <w:rPr>
          <w:rFonts w:eastAsiaTheme="minorHAnsi" w:cstheme="minorBidi"/>
          <w:b/>
          <w:sz w:val="28"/>
          <w:szCs w:val="24"/>
          <w:lang w:val="es-MX" w:eastAsia="en-US"/>
        </w:rPr>
        <w:t>PRIMERO.</w:t>
      </w:r>
      <w:r w:rsidRPr="008B39C9">
        <w:rPr>
          <w:rFonts w:eastAsiaTheme="minorHAnsi" w:cstheme="minorBidi"/>
          <w:b/>
          <w:szCs w:val="24"/>
          <w:lang w:val="es-MX" w:eastAsia="en-US"/>
        </w:rPr>
        <w:t xml:space="preserve"> </w:t>
      </w:r>
      <w:r w:rsidRPr="008B39C9">
        <w:rPr>
          <w:rFonts w:eastAsiaTheme="minorHAnsi" w:cstheme="minorBidi"/>
          <w:szCs w:val="24"/>
          <w:lang w:val="es-MX" w:eastAsia="en-US"/>
        </w:rPr>
        <w:t xml:space="preserve">Se </w:t>
      </w:r>
      <w:r w:rsidRPr="008B39C9">
        <w:rPr>
          <w:rFonts w:eastAsiaTheme="minorHAnsi" w:cstheme="minorBidi"/>
          <w:b/>
          <w:szCs w:val="24"/>
          <w:lang w:val="es-MX" w:eastAsia="en-US"/>
        </w:rPr>
        <w:t>CONFIRMA</w:t>
      </w:r>
      <w:r w:rsidRPr="008B39C9">
        <w:rPr>
          <w:rFonts w:eastAsiaTheme="minorHAnsi" w:cstheme="minorBidi"/>
          <w:szCs w:val="24"/>
          <w:lang w:val="es-MX" w:eastAsia="en-US"/>
        </w:rPr>
        <w:t xml:space="preserve"> la respuesta del </w:t>
      </w:r>
      <w:r w:rsidRPr="008B39C9">
        <w:rPr>
          <w:rFonts w:eastAsiaTheme="minorHAnsi" w:cstheme="minorBidi"/>
          <w:b/>
          <w:szCs w:val="24"/>
          <w:lang w:val="es-MX" w:eastAsia="en-US"/>
        </w:rPr>
        <w:t xml:space="preserve">Sujeto Obligado </w:t>
      </w:r>
      <w:r w:rsidRPr="008B39C9">
        <w:rPr>
          <w:rFonts w:eastAsiaTheme="minorHAnsi" w:cstheme="minorBidi"/>
          <w:bCs/>
          <w:szCs w:val="24"/>
          <w:lang w:val="es-MX" w:eastAsia="en-US"/>
        </w:rPr>
        <w:t xml:space="preserve">a la solicitud de información </w:t>
      </w:r>
      <w:r w:rsidRPr="008B39C9">
        <w:rPr>
          <w:rFonts w:eastAsiaTheme="minorHAnsi" w:cs="Arial"/>
          <w:b/>
          <w:lang w:val="es-MX" w:eastAsia="en-US"/>
        </w:rPr>
        <w:t>00070/CEDIPIEM/IP/2025</w:t>
      </w:r>
      <w:r w:rsidRPr="008B39C9">
        <w:rPr>
          <w:rFonts w:eastAsiaTheme="minorHAnsi" w:cstheme="minorBidi"/>
          <w:szCs w:val="24"/>
          <w:lang w:val="es-MX" w:eastAsia="en-US"/>
        </w:rPr>
        <w:t xml:space="preserve">, por resultar infundadas las razones o motivos de inconformidad hechos valer por la parte </w:t>
      </w:r>
      <w:r w:rsidRPr="008B39C9">
        <w:rPr>
          <w:rFonts w:eastAsiaTheme="minorHAnsi" w:cstheme="minorBidi"/>
          <w:b/>
          <w:szCs w:val="24"/>
          <w:lang w:val="es-MX" w:eastAsia="en-US"/>
        </w:rPr>
        <w:t>Recurrente</w:t>
      </w:r>
      <w:r w:rsidRPr="008B39C9">
        <w:rPr>
          <w:rFonts w:eastAsiaTheme="minorHAnsi" w:cstheme="minorBidi"/>
          <w:szCs w:val="24"/>
          <w:lang w:val="es-MX" w:eastAsia="en-US"/>
        </w:rPr>
        <w:t xml:space="preserve">, en términos del Considerando </w:t>
      </w:r>
      <w:r w:rsidRPr="008B39C9">
        <w:rPr>
          <w:rFonts w:eastAsiaTheme="minorHAnsi" w:cstheme="minorBidi"/>
          <w:b/>
          <w:szCs w:val="24"/>
          <w:lang w:val="es-MX" w:eastAsia="en-US"/>
        </w:rPr>
        <w:t xml:space="preserve">QUINTO </w:t>
      </w:r>
      <w:r w:rsidRPr="008B39C9">
        <w:rPr>
          <w:rFonts w:eastAsiaTheme="minorHAnsi" w:cstheme="minorBidi"/>
          <w:szCs w:val="24"/>
          <w:lang w:val="es-MX" w:eastAsia="en-US"/>
        </w:rPr>
        <w:t>de esta resolución.</w:t>
      </w:r>
    </w:p>
    <w:p w:rsidR="008B39C9" w:rsidRPr="008B39C9" w:rsidRDefault="008B39C9" w:rsidP="008B39C9">
      <w:pPr>
        <w:rPr>
          <w:rFonts w:eastAsiaTheme="minorHAnsi" w:cstheme="minorBidi"/>
          <w:szCs w:val="24"/>
          <w:lang w:val="es-MX" w:eastAsia="en-US"/>
        </w:rPr>
      </w:pPr>
    </w:p>
    <w:p w:rsidR="008B39C9" w:rsidRPr="008B39C9" w:rsidRDefault="008B39C9" w:rsidP="008B39C9">
      <w:pPr>
        <w:rPr>
          <w:rFonts w:eastAsiaTheme="minorHAnsi" w:cstheme="minorBidi"/>
          <w:szCs w:val="24"/>
          <w:lang w:val="es-MX" w:eastAsia="en-US"/>
        </w:rPr>
      </w:pPr>
      <w:r w:rsidRPr="008B39C9">
        <w:rPr>
          <w:rFonts w:eastAsiaTheme="minorHAnsi" w:cstheme="minorBidi"/>
          <w:b/>
          <w:sz w:val="28"/>
          <w:szCs w:val="24"/>
          <w:lang w:val="es-MX" w:eastAsia="en-US"/>
        </w:rPr>
        <w:t>SEGUNDO.</w:t>
      </w:r>
      <w:r w:rsidRPr="008B39C9">
        <w:rPr>
          <w:rFonts w:eastAsiaTheme="minorHAnsi" w:cstheme="minorBidi"/>
          <w:sz w:val="28"/>
          <w:szCs w:val="24"/>
          <w:lang w:val="es-MX" w:eastAsia="en-US"/>
        </w:rPr>
        <w:t xml:space="preserve"> </w:t>
      </w:r>
      <w:r w:rsidRPr="008B39C9">
        <w:rPr>
          <w:rFonts w:eastAsiaTheme="minorHAnsi" w:cstheme="minorBidi"/>
          <w:b/>
          <w:szCs w:val="24"/>
          <w:lang w:val="es-MX" w:eastAsia="en-US"/>
        </w:rPr>
        <w:t>NOTIFÍQUESE</w:t>
      </w:r>
      <w:r w:rsidRPr="008B39C9">
        <w:rPr>
          <w:rFonts w:eastAsiaTheme="minorHAnsi" w:cstheme="minorBidi"/>
          <w:szCs w:val="24"/>
          <w:lang w:val="es-MX" w:eastAsia="en-US"/>
        </w:rPr>
        <w:t xml:space="preserve"> vía Sistema de Acceso a la Información Mexiquense </w:t>
      </w:r>
      <w:r w:rsidRPr="008B39C9">
        <w:rPr>
          <w:rFonts w:eastAsiaTheme="minorHAnsi" w:cstheme="minorBidi"/>
          <w:b/>
          <w:szCs w:val="24"/>
          <w:lang w:val="es-MX" w:eastAsia="en-US"/>
        </w:rPr>
        <w:t>(SAIMEX)</w:t>
      </w:r>
      <w:r w:rsidRPr="008B39C9">
        <w:rPr>
          <w:rFonts w:eastAsiaTheme="minorHAnsi" w:cstheme="minorBidi"/>
          <w:szCs w:val="24"/>
          <w:lang w:val="es-MX" w:eastAsia="en-US"/>
        </w:rPr>
        <w:t xml:space="preserve">, la presente resolución al Titular de la Unidad de Transparencia del </w:t>
      </w:r>
      <w:r w:rsidRPr="008B39C9">
        <w:rPr>
          <w:rFonts w:eastAsiaTheme="minorHAnsi" w:cstheme="minorBidi"/>
          <w:b/>
          <w:szCs w:val="24"/>
          <w:lang w:val="es-MX" w:eastAsia="en-US"/>
        </w:rPr>
        <w:t>Sujeto Obligado</w:t>
      </w:r>
      <w:r w:rsidRPr="008B39C9">
        <w:rPr>
          <w:rFonts w:eastAsiaTheme="minorHAnsi" w:cstheme="minorBidi"/>
          <w:szCs w:val="24"/>
          <w:lang w:val="es-MX" w:eastAsia="en-US"/>
        </w:rPr>
        <w:t>, para su conocimiento.</w:t>
      </w:r>
    </w:p>
    <w:p w:rsidR="008B39C9" w:rsidRPr="008B39C9" w:rsidRDefault="008B39C9" w:rsidP="008B39C9">
      <w:pPr>
        <w:rPr>
          <w:rFonts w:eastAsiaTheme="minorHAnsi" w:cstheme="minorBidi"/>
          <w:szCs w:val="24"/>
          <w:lang w:val="es-MX" w:eastAsia="en-US"/>
        </w:rPr>
      </w:pPr>
    </w:p>
    <w:p w:rsidR="008B39C9" w:rsidRPr="008B39C9" w:rsidRDefault="008B39C9" w:rsidP="008B39C9">
      <w:pPr>
        <w:rPr>
          <w:rFonts w:eastAsiaTheme="minorHAnsi" w:cstheme="minorBidi"/>
          <w:szCs w:val="24"/>
          <w:lang w:val="es-MX" w:eastAsia="en-US"/>
        </w:rPr>
      </w:pPr>
      <w:r w:rsidRPr="008B39C9">
        <w:rPr>
          <w:rFonts w:eastAsiaTheme="minorHAnsi" w:cstheme="minorBidi"/>
          <w:b/>
          <w:sz w:val="28"/>
          <w:szCs w:val="24"/>
          <w:lang w:val="es-MX" w:eastAsia="en-US"/>
        </w:rPr>
        <w:t>TERCERO.</w:t>
      </w:r>
      <w:r w:rsidRPr="008B39C9">
        <w:rPr>
          <w:rFonts w:eastAsiaTheme="minorHAnsi" w:cstheme="minorBidi"/>
          <w:szCs w:val="24"/>
          <w:lang w:val="es-MX" w:eastAsia="en-US"/>
        </w:rPr>
        <w:t xml:space="preserve"> </w:t>
      </w:r>
      <w:r w:rsidRPr="008B39C9">
        <w:rPr>
          <w:rFonts w:eastAsiaTheme="minorHAnsi" w:cstheme="minorBidi"/>
          <w:b/>
          <w:szCs w:val="24"/>
          <w:lang w:val="es-MX" w:eastAsia="en-US"/>
        </w:rPr>
        <w:t>NOTIFÍQUESE</w:t>
      </w:r>
      <w:r w:rsidRPr="008B39C9">
        <w:rPr>
          <w:rFonts w:eastAsiaTheme="minorHAnsi" w:cstheme="minorBidi"/>
          <w:szCs w:val="24"/>
          <w:lang w:val="es-MX" w:eastAsia="en-US"/>
        </w:rPr>
        <w:t xml:space="preserve"> vía Sistema de Acceso a la Información Mexiquense </w:t>
      </w:r>
      <w:r w:rsidRPr="008B39C9">
        <w:rPr>
          <w:rFonts w:eastAsiaTheme="minorHAnsi" w:cstheme="minorBidi"/>
          <w:b/>
          <w:szCs w:val="24"/>
          <w:lang w:val="es-MX" w:eastAsia="en-US"/>
        </w:rPr>
        <w:t>(SAIMEX)</w:t>
      </w:r>
      <w:r w:rsidRPr="008B39C9">
        <w:rPr>
          <w:rFonts w:eastAsiaTheme="minorHAnsi" w:cstheme="minorBidi"/>
          <w:szCs w:val="24"/>
          <w:lang w:val="es-MX" w:eastAsia="en-US"/>
        </w:rPr>
        <w:t xml:space="preserve"> a la parte </w:t>
      </w:r>
      <w:r w:rsidRPr="008B39C9">
        <w:rPr>
          <w:rFonts w:eastAsiaTheme="minorHAnsi" w:cstheme="minorBidi"/>
          <w:b/>
          <w:szCs w:val="24"/>
          <w:lang w:val="es-MX" w:eastAsia="en-US"/>
        </w:rPr>
        <w:t xml:space="preserve">Recurrente </w:t>
      </w:r>
      <w:r w:rsidRPr="008B39C9">
        <w:rPr>
          <w:rFonts w:eastAsiaTheme="minorHAnsi" w:cstheme="minorBidi"/>
          <w:szCs w:val="24"/>
          <w:lang w:val="es-MX" w:eastAsia="en-US"/>
        </w:rPr>
        <w:t xml:space="preserve">la presente resolución y hágase de su conocimiento que en caso de que considere que le causa algún perjuicio, podrá promover el Juicio de Amparo en los términos de las leyes aplicables, de acuerdo a lo estipulado por el artículo </w:t>
      </w:r>
      <w:r w:rsidRPr="008B39C9">
        <w:rPr>
          <w:rFonts w:eastAsiaTheme="minorHAnsi" w:cstheme="minorBidi"/>
          <w:szCs w:val="24"/>
          <w:lang w:val="es-MX" w:eastAsia="en-US"/>
        </w:rPr>
        <w:lastRenderedPageBreak/>
        <w:t>196, de la Ley de Transparencia y Acceso a la Información Pública del Estado de México y Municipios.</w:t>
      </w:r>
    </w:p>
    <w:p w:rsidR="00804C7D" w:rsidRDefault="00804C7D" w:rsidP="001955A1">
      <w:pPr>
        <w:pBdr>
          <w:top w:val="nil"/>
          <w:left w:val="nil"/>
          <w:bottom w:val="nil"/>
          <w:right w:val="nil"/>
          <w:between w:val="nil"/>
        </w:pBdr>
        <w:contextualSpacing/>
      </w:pPr>
    </w:p>
    <w:p w:rsidR="00D22D6C" w:rsidRPr="00E2546F" w:rsidRDefault="00D22D6C" w:rsidP="00D22D6C">
      <w:pPr>
        <w:rPr>
          <w:rFonts w:cs="Arial"/>
          <w:szCs w:val="24"/>
          <w:lang w:val="es-MX"/>
        </w:rPr>
      </w:pPr>
      <w:r w:rsidRPr="00E2546F">
        <w:rPr>
          <w:rFonts w:cs="Arial"/>
          <w:szCs w:val="24"/>
        </w:rPr>
        <w:t>ASÍ LO RESUELVE, POR UNANIMIDAD DE VOTOS EL PLENO DEL</w:t>
      </w:r>
      <w:r w:rsidRPr="00E2546F">
        <w:rPr>
          <w:rFonts w:eastAsia="Arial Unicode MS" w:cs="Arial"/>
          <w:szCs w:val="24"/>
        </w:rPr>
        <w:t xml:space="preserve"> INSTITUTO DE TRANSPARENCIA, ACCESO A LA INFORMACIÓN PÚBLICA Y PROTECCIÓN DE DATOS PERSONALES DEL ESTADO DE MÉXICO Y MUNICIPIOS</w:t>
      </w:r>
      <w:r w:rsidRPr="00E2546F">
        <w:rPr>
          <w:rFonts w:cs="Arial"/>
          <w:szCs w:val="24"/>
        </w:rPr>
        <w:t xml:space="preserve">, CONFORMADO POR LOS COMISIONADOS </w:t>
      </w:r>
      <w:r w:rsidR="00EA0737" w:rsidRPr="00EA0737">
        <w:rPr>
          <w:rFonts w:cs="Arial"/>
          <w:szCs w:val="24"/>
        </w:rPr>
        <w:t xml:space="preserve">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 </w:t>
      </w:r>
      <w:r w:rsidRPr="00E2546F">
        <w:rPr>
          <w:rFonts w:cs="Arial"/>
          <w:szCs w:val="24"/>
        </w:rPr>
        <w:t>-----------------------------------------------------------------------------------------------------------------------------------------------------------------------------------------------------------------------------------------------------------------------------------------------------------------------------------------------------------------------------------------------------------------------------------------------------------------------------------------------------------------------------------------------------------------------------------------</w:t>
      </w:r>
      <w:r w:rsidR="007B57DF">
        <w:rPr>
          <w:rFonts w:cs="Arial"/>
          <w:szCs w:val="24"/>
        </w:rPr>
        <w:t>------------------------------------------------------------------------------------------------------------------------------------------------------------------------------------------------------------------------------------------------------------------------------------------------------------------------------------------------------------------------------------------------------------------------------------------------------------------------------------------------------------------------------------------------------------------------------------------------------------------------------------------------------------------------------------------------------------------------------------------------------------------------------------------------------------------------------------------------------------------------------------------------------------------------------------------------------------------------</w:t>
      </w: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157232" w:rsidRDefault="00157232" w:rsidP="00D22D6C">
      <w:pPr>
        <w:rPr>
          <w:rFonts w:cs="Arial"/>
          <w:sz w:val="20"/>
        </w:rPr>
      </w:pPr>
    </w:p>
    <w:p w:rsidR="00D22D6C" w:rsidRDefault="00D22D6C" w:rsidP="00D22D6C">
      <w:pPr>
        <w:rPr>
          <w:rFonts w:cs="Arial"/>
          <w:sz w:val="20"/>
        </w:rPr>
      </w:pPr>
    </w:p>
    <w:p w:rsidR="00D22D6C" w:rsidRPr="004B7011" w:rsidRDefault="00D22D6C" w:rsidP="00D22D6C">
      <w:pPr>
        <w:pBdr>
          <w:top w:val="nil"/>
          <w:left w:val="nil"/>
          <w:bottom w:val="nil"/>
          <w:right w:val="nil"/>
          <w:between w:val="nil"/>
        </w:pBdr>
        <w:contextualSpacing/>
        <w:rPr>
          <w:rFonts w:eastAsia="Palatino Linotype" w:cs="Palatino Linotype"/>
          <w:color w:val="000000"/>
          <w:sz w:val="20"/>
          <w:szCs w:val="20"/>
        </w:rPr>
      </w:pPr>
    </w:p>
    <w:p w:rsidR="00D22D6C" w:rsidRPr="004B7011" w:rsidRDefault="00D22D6C" w:rsidP="00D22D6C">
      <w:pPr>
        <w:pBdr>
          <w:top w:val="nil"/>
          <w:left w:val="nil"/>
          <w:bottom w:val="nil"/>
          <w:right w:val="nil"/>
          <w:between w:val="nil"/>
        </w:pBdr>
        <w:contextualSpacing/>
        <w:rPr>
          <w:rFonts w:eastAsia="Palatino Linotype" w:cs="Palatino Linotype"/>
          <w:color w:val="000000"/>
          <w:sz w:val="20"/>
          <w:szCs w:val="20"/>
        </w:rPr>
      </w:pPr>
    </w:p>
    <w:p w:rsidR="00D22D6C" w:rsidRPr="004B7011" w:rsidRDefault="00D22D6C" w:rsidP="00D22D6C">
      <w:pPr>
        <w:pBdr>
          <w:top w:val="nil"/>
          <w:left w:val="nil"/>
          <w:bottom w:val="nil"/>
          <w:right w:val="nil"/>
          <w:between w:val="nil"/>
        </w:pBdr>
        <w:contextualSpacing/>
        <w:rPr>
          <w:rFonts w:eastAsia="Palatino Linotype" w:cs="Palatino Linotype"/>
          <w:color w:val="000000"/>
          <w:sz w:val="20"/>
          <w:szCs w:val="20"/>
        </w:rPr>
      </w:pPr>
    </w:p>
    <w:p w:rsidR="00D22D6C" w:rsidRPr="004B7011" w:rsidRDefault="00D22D6C" w:rsidP="00D22D6C">
      <w:pPr>
        <w:pBdr>
          <w:top w:val="nil"/>
          <w:left w:val="nil"/>
          <w:bottom w:val="nil"/>
          <w:right w:val="nil"/>
          <w:between w:val="nil"/>
        </w:pBdr>
        <w:contextualSpacing/>
        <w:rPr>
          <w:rFonts w:eastAsia="Palatino Linotype" w:cs="Palatino Linotype"/>
          <w:color w:val="000000"/>
          <w:sz w:val="20"/>
          <w:szCs w:val="20"/>
        </w:rPr>
      </w:pPr>
    </w:p>
    <w:p w:rsidR="00D22D6C" w:rsidRPr="004B7011" w:rsidRDefault="00D22D6C" w:rsidP="00D22D6C">
      <w:pPr>
        <w:pBdr>
          <w:top w:val="nil"/>
          <w:left w:val="nil"/>
          <w:bottom w:val="nil"/>
          <w:right w:val="nil"/>
          <w:between w:val="nil"/>
        </w:pBdr>
        <w:contextualSpacing/>
        <w:rPr>
          <w:rFonts w:eastAsia="Palatino Linotype" w:cs="Palatino Linotype"/>
          <w:color w:val="000000"/>
          <w:sz w:val="20"/>
          <w:szCs w:val="20"/>
        </w:rPr>
      </w:pPr>
    </w:p>
    <w:p w:rsidR="00D22D6C" w:rsidRPr="004B7011" w:rsidRDefault="00D22D6C" w:rsidP="00D22D6C">
      <w:pPr>
        <w:pBdr>
          <w:top w:val="nil"/>
          <w:left w:val="nil"/>
          <w:bottom w:val="nil"/>
          <w:right w:val="nil"/>
          <w:between w:val="nil"/>
        </w:pBdr>
        <w:contextualSpacing/>
        <w:rPr>
          <w:rFonts w:eastAsia="Palatino Linotype" w:cs="Palatino Linotype"/>
          <w:color w:val="000000"/>
          <w:sz w:val="20"/>
          <w:szCs w:val="20"/>
        </w:rPr>
      </w:pPr>
    </w:p>
    <w:p w:rsidR="00D22D6C" w:rsidRPr="004B7011" w:rsidRDefault="00D22D6C" w:rsidP="00D22D6C">
      <w:pPr>
        <w:pBdr>
          <w:top w:val="nil"/>
          <w:left w:val="nil"/>
          <w:bottom w:val="nil"/>
          <w:right w:val="nil"/>
          <w:between w:val="nil"/>
        </w:pBdr>
        <w:contextualSpacing/>
        <w:rPr>
          <w:rFonts w:eastAsia="Palatino Linotype" w:cs="Palatino Linotype"/>
          <w:color w:val="000000"/>
          <w:sz w:val="20"/>
          <w:szCs w:val="20"/>
        </w:rPr>
      </w:pPr>
    </w:p>
    <w:sectPr w:rsidR="00D22D6C" w:rsidRPr="004B7011" w:rsidSect="00D22D6C">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7C6" w:rsidRDefault="008237C6" w:rsidP="00D22D6C">
      <w:pPr>
        <w:spacing w:line="240" w:lineRule="auto"/>
      </w:pPr>
      <w:r>
        <w:separator/>
      </w:r>
    </w:p>
  </w:endnote>
  <w:endnote w:type="continuationSeparator" w:id="0">
    <w:p w:rsidR="008237C6" w:rsidRDefault="008237C6" w:rsidP="00D22D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C7D" w:rsidRPr="00871A91" w:rsidRDefault="00804C7D" w:rsidP="00D22D6C">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1747C">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1747C">
      <w:rPr>
        <w:rFonts w:ascii="Palatino Linotype" w:hAnsi="Palatino Linotype"/>
        <w:b/>
        <w:bCs/>
        <w:noProof/>
        <w:sz w:val="20"/>
      </w:rPr>
      <w:t>28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C7D" w:rsidRPr="00871A91" w:rsidRDefault="00804C7D" w:rsidP="00D22D6C">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1747C">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1747C">
      <w:rPr>
        <w:rFonts w:ascii="Palatino Linotype" w:hAnsi="Palatino Linotype"/>
        <w:b/>
        <w:bCs/>
        <w:noProof/>
        <w:sz w:val="20"/>
      </w:rPr>
      <w:t>28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7C6" w:rsidRDefault="008237C6" w:rsidP="00D22D6C">
      <w:pPr>
        <w:spacing w:line="240" w:lineRule="auto"/>
      </w:pPr>
      <w:r>
        <w:separator/>
      </w:r>
    </w:p>
  </w:footnote>
  <w:footnote w:type="continuationSeparator" w:id="0">
    <w:p w:rsidR="008237C6" w:rsidRDefault="008237C6" w:rsidP="00D22D6C">
      <w:pPr>
        <w:spacing w:line="240" w:lineRule="auto"/>
      </w:pPr>
      <w:r>
        <w:continuationSeparator/>
      </w:r>
    </w:p>
  </w:footnote>
  <w:footnote w:id="1">
    <w:p w:rsidR="00804C7D" w:rsidRPr="00481AAF" w:rsidRDefault="00804C7D" w:rsidP="00D22D6C">
      <w:pPr>
        <w:spacing w:line="240" w:lineRule="auto"/>
        <w:rPr>
          <w:rFonts w:eastAsia="Times New Roman"/>
          <w:b/>
          <w:bCs/>
          <w:i/>
          <w:sz w:val="20"/>
          <w:szCs w:val="20"/>
        </w:rPr>
      </w:pPr>
      <w:r>
        <w:rPr>
          <w:rStyle w:val="Refdenotaalpie"/>
        </w:rPr>
        <w:footnoteRef/>
      </w:r>
      <w:r>
        <w:t xml:space="preserve"> </w:t>
      </w:r>
      <w:r w:rsidRPr="00946E1F">
        <w:rPr>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b/>
          <w:bCs/>
          <w:i/>
          <w:sz w:val="20"/>
          <w:szCs w:val="20"/>
        </w:rPr>
        <w:t>DERECHOS HUMANOS.</w:t>
      </w:r>
    </w:p>
    <w:p w:rsidR="00804C7D" w:rsidRPr="00946E1F" w:rsidRDefault="00804C7D" w:rsidP="00D22D6C">
      <w:pPr>
        <w:spacing w:line="240" w:lineRule="auto"/>
        <w:rPr>
          <w:i/>
          <w:sz w:val="20"/>
          <w:szCs w:val="20"/>
        </w:rPr>
      </w:pPr>
      <w:r w:rsidRPr="00481AAF">
        <w:rPr>
          <w:i/>
          <w:sz w:val="20"/>
          <w:szCs w:val="20"/>
        </w:rPr>
        <w:t>Del examen de compatibilidad de los artículos</w:t>
      </w:r>
      <w:r w:rsidRPr="00481AAF">
        <w:rPr>
          <w:rStyle w:val="apple-converted-space"/>
          <w:i/>
          <w:sz w:val="20"/>
          <w:szCs w:val="20"/>
        </w:rPr>
        <w:t> </w:t>
      </w:r>
      <w:hyperlink r:id="rId1" w:history="1">
        <w:r w:rsidRPr="00481AAF">
          <w:rPr>
            <w:rStyle w:val="Hipervnculo"/>
            <w:i/>
          </w:rPr>
          <w:t>73 y 74 de la Ley de Amparo</w:t>
        </w:r>
      </w:hyperlink>
      <w:r w:rsidRPr="00481AAF">
        <w:rPr>
          <w:rStyle w:val="apple-converted-space"/>
          <w:i/>
          <w:sz w:val="20"/>
          <w:szCs w:val="20"/>
        </w:rPr>
        <w:t> </w:t>
      </w:r>
      <w:r w:rsidRPr="00481AAF">
        <w:rPr>
          <w:i/>
          <w:sz w:val="20"/>
          <w:szCs w:val="20"/>
        </w:rPr>
        <w:t>con el artículo</w:t>
      </w:r>
      <w:r w:rsidRPr="00481AAF">
        <w:rPr>
          <w:rStyle w:val="apple-converted-space"/>
          <w:i/>
          <w:sz w:val="20"/>
          <w:szCs w:val="20"/>
        </w:rPr>
        <w:t> </w:t>
      </w:r>
      <w:hyperlink r:id="rId2" w:history="1">
        <w:r w:rsidRPr="00481AAF">
          <w:rPr>
            <w:rStyle w:val="Hipervnculo"/>
            <w:i/>
          </w:rPr>
          <w:t>25.1 de la Convención Americana sobre Derechos Humanos</w:t>
        </w:r>
      </w:hyperlink>
      <w:r w:rsidRPr="00481AAF">
        <w:rPr>
          <w:rStyle w:val="apple-converted-space"/>
          <w:i/>
          <w:sz w:val="20"/>
          <w:szCs w:val="20"/>
        </w:rPr>
        <w:t> </w:t>
      </w:r>
      <w:r w:rsidRPr="00481AAF">
        <w:rPr>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b/>
          <w:i/>
          <w:sz w:val="20"/>
          <w:szCs w:val="20"/>
          <w:u w:val="single"/>
        </w:rPr>
        <w:t>de amparo,</w:t>
      </w:r>
      <w:r w:rsidRPr="00946E1F">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i/>
          <w:sz w:val="20"/>
          <w:szCs w:val="20"/>
        </w:rPr>
        <w:t>concesoria</w:t>
      </w:r>
      <w:proofErr w:type="spellEnd"/>
      <w:r w:rsidRPr="00946E1F">
        <w:rPr>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04C7D" w:rsidRDefault="00804C7D">
      <w:pPr>
        <w:pStyle w:val="Textonotapie"/>
      </w:pPr>
      <w:r>
        <w:rPr>
          <w:rStyle w:val="Refdenotaalpie"/>
        </w:rPr>
        <w:footnoteRef/>
      </w:r>
      <w:r>
        <w:t xml:space="preserve"> </w:t>
      </w:r>
      <w:hyperlink r:id="rId3" w:history="1">
        <w:r w:rsidRPr="006C5B22">
          <w:rPr>
            <w:rStyle w:val="Hipervnculo"/>
          </w:rPr>
          <w:t>https://cedipiem.edomex.gob.mx/programas_ayudas</w:t>
        </w:r>
      </w:hyperlink>
      <w:r>
        <w:t xml:space="preserve"> </w:t>
      </w:r>
    </w:p>
  </w:footnote>
  <w:footnote w:id="3">
    <w:p w:rsidR="00804C7D" w:rsidRDefault="00804C7D">
      <w:pPr>
        <w:pStyle w:val="Textonotapie"/>
      </w:pPr>
      <w:r>
        <w:rPr>
          <w:rStyle w:val="Refdenotaalpie"/>
        </w:rPr>
        <w:footnoteRef/>
      </w:r>
      <w:r>
        <w:t xml:space="preserve"> </w:t>
      </w:r>
      <w:hyperlink r:id="rId4" w:history="1">
        <w:r w:rsidRPr="006C5B22">
          <w:rPr>
            <w:rStyle w:val="Hipervnculo"/>
          </w:rPr>
          <w:t>https://cedipiem.edomex.gob.mx/desarrollo-indigena-bienestar</w:t>
        </w:r>
      </w:hyperlink>
      <w:r>
        <w:t xml:space="preserve"> </w:t>
      </w:r>
    </w:p>
    <w:p w:rsidR="00804C7D" w:rsidRDefault="008237C6">
      <w:pPr>
        <w:pStyle w:val="Textonotapie"/>
      </w:pPr>
      <w:hyperlink r:id="rId5" w:history="1">
        <w:r w:rsidR="00804C7D" w:rsidRPr="006C5B22">
          <w:rPr>
            <w:rStyle w:val="Hipervnculo"/>
          </w:rPr>
          <w:t>https://cedipiem.edomex.gob.mx/bienestar-cultural-indigena</w:t>
        </w:r>
      </w:hyperlink>
      <w:r w:rsidR="00804C7D">
        <w:t xml:space="preserve"> </w:t>
      </w:r>
    </w:p>
  </w:footnote>
  <w:footnote w:id="4">
    <w:p w:rsidR="00804C7D" w:rsidRDefault="00804C7D">
      <w:pPr>
        <w:pStyle w:val="Textonotapie"/>
      </w:pPr>
      <w:r>
        <w:rPr>
          <w:rStyle w:val="Refdenotaalpie"/>
        </w:rPr>
        <w:footnoteRef/>
      </w:r>
      <w:r>
        <w:t xml:space="preserve"> </w:t>
      </w:r>
      <w:hyperlink r:id="rId6" w:history="1">
        <w:r w:rsidRPr="006C5B22">
          <w:rPr>
            <w:rStyle w:val="Hipervnculo"/>
          </w:rPr>
          <w:t>https://legislacion.edomex.gob.mx/sites/legislacion.edomex.gob.mx/files/files/pdf/gct/2025/febrero/feb282/feb282b.pdf</w:t>
        </w:r>
      </w:hyperlink>
      <w:r>
        <w:t xml:space="preserve"> </w:t>
      </w:r>
    </w:p>
  </w:footnote>
  <w:footnote w:id="5">
    <w:p w:rsidR="00804C7D" w:rsidRDefault="00804C7D">
      <w:pPr>
        <w:pStyle w:val="Textonotapie"/>
      </w:pPr>
      <w:r>
        <w:rPr>
          <w:rStyle w:val="Refdenotaalpie"/>
        </w:rPr>
        <w:footnoteRef/>
      </w:r>
      <w:r>
        <w:t xml:space="preserve"> </w:t>
      </w:r>
      <w:hyperlink r:id="rId7" w:history="1">
        <w:r w:rsidRPr="006C5B22">
          <w:rPr>
            <w:rStyle w:val="Hipervnculo"/>
          </w:rPr>
          <w:t>https://legislacion.edomex.gob.mx/sites/legislacion.edomex.gob.mx/files/files/pdf/gct/2025/febrero/feb282/feb282c.pdf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C7D" w:rsidRDefault="008237C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C7D" w:rsidRDefault="00804C7D">
    <w:pPr>
      <w:pStyle w:val="Encabezado"/>
    </w:pPr>
  </w:p>
  <w:tbl>
    <w:tblPr>
      <w:tblW w:w="9498" w:type="dxa"/>
      <w:tblLayout w:type="fixed"/>
      <w:tblCellMar>
        <w:left w:w="70" w:type="dxa"/>
        <w:right w:w="70" w:type="dxa"/>
      </w:tblCellMar>
      <w:tblLook w:val="04A0" w:firstRow="1" w:lastRow="0" w:firstColumn="1" w:lastColumn="0" w:noHBand="0" w:noVBand="1"/>
    </w:tblPr>
    <w:tblGrid>
      <w:gridCol w:w="5103"/>
      <w:gridCol w:w="4395"/>
    </w:tblGrid>
    <w:tr w:rsidR="00804C7D" w:rsidRPr="00B17577" w:rsidTr="00D22D6C">
      <w:trPr>
        <w:trHeight w:val="227"/>
      </w:trPr>
      <w:tc>
        <w:tcPr>
          <w:tcW w:w="5103" w:type="dxa"/>
          <w:hideMark/>
        </w:tcPr>
        <w:p w:rsidR="00804C7D" w:rsidRPr="00096248" w:rsidRDefault="00804C7D" w:rsidP="00D22D6C">
          <w:pPr>
            <w:spacing w:after="120" w:line="240" w:lineRule="auto"/>
            <w:ind w:right="69"/>
            <w:jc w:val="right"/>
            <w:rPr>
              <w:rFonts w:cs="Arial"/>
              <w:b/>
              <w:szCs w:val="24"/>
            </w:rPr>
          </w:pPr>
          <w:r w:rsidRPr="00096248">
            <w:rPr>
              <w:rFonts w:cs="Arial"/>
              <w:b/>
              <w:szCs w:val="24"/>
            </w:rPr>
            <w:t>Recurso de Revisión:</w:t>
          </w:r>
        </w:p>
      </w:tc>
      <w:tc>
        <w:tcPr>
          <w:tcW w:w="4395" w:type="dxa"/>
          <w:hideMark/>
        </w:tcPr>
        <w:p w:rsidR="00804C7D" w:rsidRPr="00096248" w:rsidRDefault="00804C7D" w:rsidP="00605607">
          <w:pPr>
            <w:spacing w:after="120" w:line="240" w:lineRule="auto"/>
            <w:ind w:right="71"/>
            <w:jc w:val="right"/>
            <w:rPr>
              <w:rFonts w:cs="Arial"/>
              <w:b/>
              <w:szCs w:val="24"/>
            </w:rPr>
          </w:pPr>
          <w:r>
            <w:rPr>
              <w:rFonts w:cs="Arial"/>
              <w:b/>
              <w:bCs/>
              <w:szCs w:val="24"/>
            </w:rPr>
            <w:t>12270</w:t>
          </w:r>
          <w:r w:rsidRPr="00096248">
            <w:rPr>
              <w:rFonts w:cs="Arial"/>
              <w:b/>
              <w:bCs/>
              <w:szCs w:val="24"/>
            </w:rPr>
            <w:t>/INFOEM/IP/RR/202</w:t>
          </w:r>
          <w:r>
            <w:rPr>
              <w:rFonts w:cs="Arial"/>
              <w:b/>
              <w:bCs/>
              <w:szCs w:val="24"/>
            </w:rPr>
            <w:t>5</w:t>
          </w:r>
        </w:p>
      </w:tc>
    </w:tr>
    <w:tr w:rsidR="00804C7D" w:rsidTr="00D22D6C">
      <w:trPr>
        <w:trHeight w:val="242"/>
      </w:trPr>
      <w:tc>
        <w:tcPr>
          <w:tcW w:w="5103" w:type="dxa"/>
          <w:hideMark/>
        </w:tcPr>
        <w:p w:rsidR="00804C7D" w:rsidRPr="00096248" w:rsidRDefault="00804C7D" w:rsidP="00D22D6C">
          <w:pPr>
            <w:spacing w:after="120" w:line="240" w:lineRule="auto"/>
            <w:ind w:right="69"/>
            <w:jc w:val="right"/>
            <w:rPr>
              <w:rFonts w:cs="Arial"/>
              <w:b/>
              <w:szCs w:val="24"/>
            </w:rPr>
          </w:pPr>
          <w:r w:rsidRPr="00096248">
            <w:rPr>
              <w:rFonts w:cs="Arial"/>
              <w:b/>
              <w:szCs w:val="24"/>
            </w:rPr>
            <w:t>Sujeto Obligado:</w:t>
          </w:r>
        </w:p>
      </w:tc>
      <w:tc>
        <w:tcPr>
          <w:tcW w:w="4395" w:type="dxa"/>
          <w:hideMark/>
        </w:tcPr>
        <w:p w:rsidR="00804C7D" w:rsidRPr="00096248" w:rsidRDefault="00804C7D" w:rsidP="0081459C">
          <w:pPr>
            <w:spacing w:after="120" w:line="240" w:lineRule="auto"/>
            <w:ind w:left="-81" w:right="71"/>
            <w:jc w:val="right"/>
            <w:rPr>
              <w:rFonts w:cs="Arial"/>
              <w:szCs w:val="24"/>
            </w:rPr>
          </w:pPr>
          <w:r w:rsidRPr="00605607">
            <w:rPr>
              <w:b/>
              <w:bCs/>
              <w:color w:val="000000"/>
              <w:szCs w:val="24"/>
            </w:rPr>
            <w:t>Consejo Estatal para el Desarrollo Integral de Los Pueblos Indígenas del Estado de México</w:t>
          </w:r>
        </w:p>
      </w:tc>
    </w:tr>
    <w:tr w:rsidR="00804C7D" w:rsidRPr="00F63239" w:rsidTr="00D22D6C">
      <w:trPr>
        <w:trHeight w:val="342"/>
      </w:trPr>
      <w:tc>
        <w:tcPr>
          <w:tcW w:w="5103" w:type="dxa"/>
          <w:hideMark/>
        </w:tcPr>
        <w:p w:rsidR="00804C7D" w:rsidRPr="00096248" w:rsidRDefault="00804C7D" w:rsidP="00D22D6C">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rsidR="00804C7D" w:rsidRDefault="00804C7D" w:rsidP="00D22D6C">
          <w:pPr>
            <w:spacing w:after="120" w:line="240" w:lineRule="auto"/>
            <w:ind w:left="-486" w:right="71" w:firstLine="567"/>
            <w:jc w:val="right"/>
            <w:rPr>
              <w:rFonts w:cs="Arial"/>
              <w:szCs w:val="24"/>
            </w:rPr>
          </w:pPr>
          <w:r w:rsidRPr="00096248">
            <w:rPr>
              <w:rFonts w:cs="Arial"/>
              <w:szCs w:val="24"/>
            </w:rPr>
            <w:t>José Martínez Vilchis</w:t>
          </w:r>
        </w:p>
        <w:p w:rsidR="00804C7D" w:rsidRPr="00711916" w:rsidRDefault="00804C7D" w:rsidP="00D22D6C">
          <w:pPr>
            <w:spacing w:after="120" w:line="240" w:lineRule="auto"/>
            <w:ind w:left="-486" w:right="71" w:firstLine="567"/>
            <w:jc w:val="right"/>
            <w:rPr>
              <w:rFonts w:cs="Arial"/>
              <w:sz w:val="2"/>
              <w:szCs w:val="2"/>
            </w:rPr>
          </w:pPr>
        </w:p>
      </w:tc>
    </w:tr>
  </w:tbl>
  <w:p w:rsidR="00804C7D" w:rsidRPr="00871A91" w:rsidRDefault="008237C6">
    <w:pPr>
      <w:pStyle w:val="Encabezado"/>
      <w:rPr>
        <w:sz w:val="2"/>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4pt;margin-top:-141.3pt;width:609.4pt;height:793.75pt;z-index:-251655168;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C7D" w:rsidRDefault="00804C7D">
    <w:pPr>
      <w:pStyle w:val="Encabezado"/>
    </w:pPr>
  </w:p>
  <w:tbl>
    <w:tblPr>
      <w:tblW w:w="9356" w:type="dxa"/>
      <w:tblLayout w:type="fixed"/>
      <w:tblCellMar>
        <w:left w:w="70" w:type="dxa"/>
        <w:right w:w="70" w:type="dxa"/>
      </w:tblCellMar>
      <w:tblLook w:val="04A0" w:firstRow="1" w:lastRow="0" w:firstColumn="1" w:lastColumn="0" w:noHBand="0" w:noVBand="1"/>
    </w:tblPr>
    <w:tblGrid>
      <w:gridCol w:w="5103"/>
      <w:gridCol w:w="4253"/>
    </w:tblGrid>
    <w:tr w:rsidR="00804C7D" w:rsidTr="00D22D6C">
      <w:trPr>
        <w:trHeight w:val="227"/>
      </w:trPr>
      <w:tc>
        <w:tcPr>
          <w:tcW w:w="5103" w:type="dxa"/>
          <w:hideMark/>
        </w:tcPr>
        <w:p w:rsidR="00804C7D" w:rsidRPr="00663A37" w:rsidRDefault="00804C7D" w:rsidP="00D22D6C">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253" w:type="dxa"/>
          <w:hideMark/>
        </w:tcPr>
        <w:p w:rsidR="00804C7D" w:rsidRPr="00C81ECD" w:rsidRDefault="00804C7D" w:rsidP="00605607">
          <w:pPr>
            <w:spacing w:after="120" w:line="240" w:lineRule="auto"/>
            <w:ind w:left="-486" w:right="68" w:firstLine="558"/>
            <w:jc w:val="right"/>
            <w:rPr>
              <w:rFonts w:cs="Arial"/>
              <w:b/>
              <w:szCs w:val="24"/>
            </w:rPr>
          </w:pPr>
          <w:r>
            <w:rPr>
              <w:rFonts w:cs="Arial"/>
              <w:b/>
              <w:bCs/>
              <w:szCs w:val="24"/>
            </w:rPr>
            <w:t>12270/INFOEM/IP/RR/2025</w:t>
          </w:r>
        </w:p>
      </w:tc>
    </w:tr>
    <w:tr w:rsidR="00804C7D" w:rsidRPr="001F57CD" w:rsidTr="00D22D6C">
      <w:trPr>
        <w:trHeight w:val="196"/>
      </w:trPr>
      <w:tc>
        <w:tcPr>
          <w:tcW w:w="5103" w:type="dxa"/>
          <w:hideMark/>
        </w:tcPr>
        <w:p w:rsidR="00804C7D" w:rsidRPr="00663A37" w:rsidRDefault="00804C7D" w:rsidP="00D22D6C">
          <w:pPr>
            <w:spacing w:after="120" w:line="240" w:lineRule="auto"/>
            <w:ind w:right="68"/>
            <w:jc w:val="right"/>
            <w:rPr>
              <w:rFonts w:cs="Arial"/>
              <w:b/>
              <w:szCs w:val="24"/>
            </w:rPr>
          </w:pPr>
          <w:r w:rsidRPr="00663A37">
            <w:rPr>
              <w:rFonts w:cs="Arial"/>
              <w:b/>
              <w:szCs w:val="24"/>
            </w:rPr>
            <w:t>Recurrente:</w:t>
          </w:r>
          <w:r>
            <w:rPr>
              <w:rFonts w:cs="Arial"/>
              <w:b/>
              <w:szCs w:val="24"/>
            </w:rPr>
            <w:t xml:space="preserve">     </w:t>
          </w:r>
        </w:p>
      </w:tc>
      <w:tc>
        <w:tcPr>
          <w:tcW w:w="4253" w:type="dxa"/>
          <w:hideMark/>
        </w:tcPr>
        <w:p w:rsidR="00804C7D" w:rsidRPr="00663A37" w:rsidRDefault="0041747C" w:rsidP="00D22D6C">
          <w:pPr>
            <w:spacing w:after="120" w:line="240" w:lineRule="auto"/>
            <w:ind w:right="68"/>
            <w:jc w:val="right"/>
            <w:rPr>
              <w:rFonts w:cs="Arial"/>
              <w:szCs w:val="24"/>
            </w:rPr>
          </w:pPr>
          <w:proofErr w:type="spellStart"/>
          <w:r>
            <w:rPr>
              <w:rFonts w:cs="Arial"/>
              <w:szCs w:val="24"/>
            </w:rPr>
            <w:t>xxxx</w:t>
          </w:r>
          <w:proofErr w:type="spellEnd"/>
          <w:r w:rsidR="00804C7D">
            <w:rPr>
              <w:rFonts w:cs="Arial"/>
              <w:szCs w:val="24"/>
            </w:rPr>
            <w:t xml:space="preserve"> </w:t>
          </w:r>
        </w:p>
      </w:tc>
    </w:tr>
    <w:tr w:rsidR="00804C7D" w:rsidTr="00D22D6C">
      <w:trPr>
        <w:trHeight w:val="242"/>
      </w:trPr>
      <w:tc>
        <w:tcPr>
          <w:tcW w:w="5103" w:type="dxa"/>
          <w:hideMark/>
        </w:tcPr>
        <w:p w:rsidR="00804C7D" w:rsidRPr="00663A37" w:rsidRDefault="00804C7D" w:rsidP="00D22D6C">
          <w:pPr>
            <w:spacing w:after="120" w:line="240" w:lineRule="auto"/>
            <w:ind w:right="68"/>
            <w:jc w:val="right"/>
            <w:rPr>
              <w:rFonts w:cs="Arial"/>
              <w:b/>
              <w:szCs w:val="24"/>
            </w:rPr>
          </w:pPr>
          <w:r w:rsidRPr="00663A37">
            <w:rPr>
              <w:rFonts w:cs="Arial"/>
              <w:b/>
              <w:szCs w:val="24"/>
            </w:rPr>
            <w:t>Sujeto Obligado:</w:t>
          </w:r>
        </w:p>
      </w:tc>
      <w:tc>
        <w:tcPr>
          <w:tcW w:w="4253" w:type="dxa"/>
          <w:hideMark/>
        </w:tcPr>
        <w:p w:rsidR="00804C7D" w:rsidRPr="007F5D63" w:rsidRDefault="00804C7D" w:rsidP="00D22D6C">
          <w:pPr>
            <w:spacing w:after="120" w:line="240" w:lineRule="auto"/>
            <w:ind w:left="-70" w:right="68"/>
            <w:jc w:val="right"/>
            <w:rPr>
              <w:rFonts w:cs="Arial"/>
              <w:b/>
              <w:bCs/>
              <w:szCs w:val="24"/>
            </w:rPr>
          </w:pPr>
          <w:r>
            <w:rPr>
              <w:bCs/>
              <w:color w:val="000000"/>
              <w:szCs w:val="24"/>
            </w:rPr>
            <w:t xml:space="preserve">          </w:t>
          </w:r>
          <w:r w:rsidRPr="00605607">
            <w:rPr>
              <w:b/>
              <w:bCs/>
              <w:color w:val="000000"/>
              <w:szCs w:val="24"/>
            </w:rPr>
            <w:t>Consejo Estatal para el Desarrollo Integral de Los Pueblos Indígenas del Estado de México</w:t>
          </w:r>
        </w:p>
      </w:tc>
    </w:tr>
    <w:tr w:rsidR="00804C7D" w:rsidTr="00D22D6C">
      <w:trPr>
        <w:trHeight w:val="342"/>
      </w:trPr>
      <w:tc>
        <w:tcPr>
          <w:tcW w:w="5103" w:type="dxa"/>
          <w:hideMark/>
        </w:tcPr>
        <w:p w:rsidR="00804C7D" w:rsidRPr="00663A37" w:rsidRDefault="00804C7D" w:rsidP="00D22D6C">
          <w:pPr>
            <w:tabs>
              <w:tab w:val="left" w:pos="4892"/>
            </w:tabs>
            <w:spacing w:after="120" w:line="240" w:lineRule="auto"/>
            <w:ind w:right="68"/>
            <w:jc w:val="right"/>
            <w:rPr>
              <w:rFonts w:cs="Arial"/>
              <w:b/>
              <w:szCs w:val="24"/>
            </w:rPr>
          </w:pPr>
          <w:r w:rsidRPr="00663A37">
            <w:rPr>
              <w:rFonts w:cs="Arial"/>
              <w:b/>
              <w:szCs w:val="24"/>
            </w:rPr>
            <w:t>Comisionado Ponente:</w:t>
          </w:r>
        </w:p>
      </w:tc>
      <w:tc>
        <w:tcPr>
          <w:tcW w:w="4253" w:type="dxa"/>
          <w:hideMark/>
        </w:tcPr>
        <w:p w:rsidR="00804C7D" w:rsidRPr="00663A37" w:rsidRDefault="00804C7D" w:rsidP="00D22D6C">
          <w:pPr>
            <w:spacing w:after="120" w:line="240" w:lineRule="auto"/>
            <w:ind w:left="-486" w:right="68" w:firstLine="567"/>
            <w:jc w:val="right"/>
            <w:rPr>
              <w:rFonts w:cs="Arial"/>
              <w:szCs w:val="24"/>
            </w:rPr>
          </w:pPr>
          <w:r w:rsidRPr="00663A37">
            <w:rPr>
              <w:rFonts w:cs="Arial"/>
              <w:szCs w:val="24"/>
            </w:rPr>
            <w:t>José Martínez Vilchis</w:t>
          </w:r>
        </w:p>
      </w:tc>
    </w:tr>
  </w:tbl>
  <w:p w:rsidR="00804C7D" w:rsidRPr="00871A91" w:rsidRDefault="00804C7D">
    <w:pPr>
      <w:pStyle w:val="Encabezado"/>
      <w:rPr>
        <w:sz w:val="2"/>
      </w:rPr>
    </w:pPr>
    <w:r>
      <w:rPr>
        <w:noProof/>
        <w:sz w:val="2"/>
        <w:lang w:val="es-MX" w:eastAsia="es-MX"/>
        <w14:ligatures w14:val="standardContextual"/>
      </w:rPr>
      <w:drawing>
        <wp:anchor distT="0" distB="0" distL="114300" distR="114300" simplePos="0" relativeHeight="251659264" behindDoc="1" locked="0" layoutInCell="0" allowOverlap="1" wp14:anchorId="16A7DF0E" wp14:editId="4124E78A">
          <wp:simplePos x="0" y="0"/>
          <wp:positionH relativeFrom="margin">
            <wp:posOffset>-883285</wp:posOffset>
          </wp:positionH>
          <wp:positionV relativeFrom="margin">
            <wp:posOffset>-1663065</wp:posOffset>
          </wp:positionV>
          <wp:extent cx="5690235" cy="7411720"/>
          <wp:effectExtent l="0" t="0" r="5715" b="0"/>
          <wp:wrapNone/>
          <wp:docPr id="897254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0235" cy="74117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32E58"/>
    <w:multiLevelType w:val="hybridMultilevel"/>
    <w:tmpl w:val="DB44535E"/>
    <w:lvl w:ilvl="0" w:tplc="C72EDF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C0EDA"/>
    <w:multiLevelType w:val="hybridMultilevel"/>
    <w:tmpl w:val="631A54A8"/>
    <w:lvl w:ilvl="0" w:tplc="2C145DF2">
      <w:numFmt w:val="bullet"/>
      <w:lvlText w:val=""/>
      <w:lvlJc w:val="left"/>
      <w:pPr>
        <w:ind w:left="720" w:hanging="360"/>
      </w:pPr>
      <w:rPr>
        <w:rFonts w:ascii="Symbol" w:eastAsia="Calibr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AC5A2A"/>
    <w:multiLevelType w:val="hybridMultilevel"/>
    <w:tmpl w:val="7D7EB246"/>
    <w:lvl w:ilvl="0" w:tplc="0ECE441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4" w15:restartNumberingAfterBreak="0">
    <w:nsid w:val="30804E49"/>
    <w:multiLevelType w:val="hybridMultilevel"/>
    <w:tmpl w:val="54DABAA6"/>
    <w:lvl w:ilvl="0" w:tplc="F2483A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B824C2"/>
    <w:multiLevelType w:val="hybridMultilevel"/>
    <w:tmpl w:val="806E90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406E75"/>
    <w:multiLevelType w:val="hybridMultilevel"/>
    <w:tmpl w:val="90569F34"/>
    <w:lvl w:ilvl="0" w:tplc="DDA0DFD6">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15:restartNumberingAfterBreak="0">
    <w:nsid w:val="382A579E"/>
    <w:multiLevelType w:val="hybridMultilevel"/>
    <w:tmpl w:val="FF74C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4B3A6C"/>
    <w:multiLevelType w:val="hybridMultilevel"/>
    <w:tmpl w:val="8D5EC468"/>
    <w:lvl w:ilvl="0" w:tplc="44F03E3A">
      <w:start w:val="1"/>
      <w:numFmt w:val="decimal"/>
      <w:lvlText w:val="%1."/>
      <w:lvlJc w:val="left"/>
      <w:pPr>
        <w:ind w:left="720" w:hanging="360"/>
      </w:pPr>
      <w:rPr>
        <w:rFonts w:eastAsia="Calibri" w:cs="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5F1E70"/>
    <w:multiLevelType w:val="multilevel"/>
    <w:tmpl w:val="E3C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CC521B"/>
    <w:multiLevelType w:val="hybridMultilevel"/>
    <w:tmpl w:val="758013A6"/>
    <w:lvl w:ilvl="0" w:tplc="3250789C">
      <w:numFmt w:val="bullet"/>
      <w:lvlText w:val=""/>
      <w:lvlJc w:val="left"/>
      <w:pPr>
        <w:ind w:left="720" w:hanging="360"/>
      </w:pPr>
      <w:rPr>
        <w:rFonts w:ascii="Symbol" w:eastAsia="Calibr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453674"/>
    <w:multiLevelType w:val="hybridMultilevel"/>
    <w:tmpl w:val="FD5A2DB4"/>
    <w:lvl w:ilvl="0" w:tplc="080A0001">
      <w:start w:val="1"/>
      <w:numFmt w:val="bullet"/>
      <w:lvlText w:val=""/>
      <w:lvlJc w:val="left"/>
      <w:pPr>
        <w:ind w:left="4308" w:hanging="360"/>
      </w:pPr>
      <w:rPr>
        <w:rFonts w:ascii="Symbol" w:hAnsi="Symbol" w:hint="default"/>
      </w:rPr>
    </w:lvl>
    <w:lvl w:ilvl="1" w:tplc="080A0003" w:tentative="1">
      <w:start w:val="1"/>
      <w:numFmt w:val="bullet"/>
      <w:lvlText w:val="o"/>
      <w:lvlJc w:val="left"/>
      <w:pPr>
        <w:ind w:left="5028" w:hanging="360"/>
      </w:pPr>
      <w:rPr>
        <w:rFonts w:ascii="Courier New" w:hAnsi="Courier New" w:cs="Courier New" w:hint="default"/>
      </w:rPr>
    </w:lvl>
    <w:lvl w:ilvl="2" w:tplc="080A0005" w:tentative="1">
      <w:start w:val="1"/>
      <w:numFmt w:val="bullet"/>
      <w:lvlText w:val=""/>
      <w:lvlJc w:val="left"/>
      <w:pPr>
        <w:ind w:left="5748" w:hanging="360"/>
      </w:pPr>
      <w:rPr>
        <w:rFonts w:ascii="Wingdings" w:hAnsi="Wingdings" w:hint="default"/>
      </w:rPr>
    </w:lvl>
    <w:lvl w:ilvl="3" w:tplc="080A0001" w:tentative="1">
      <w:start w:val="1"/>
      <w:numFmt w:val="bullet"/>
      <w:lvlText w:val=""/>
      <w:lvlJc w:val="left"/>
      <w:pPr>
        <w:ind w:left="6468" w:hanging="360"/>
      </w:pPr>
      <w:rPr>
        <w:rFonts w:ascii="Symbol" w:hAnsi="Symbol" w:hint="default"/>
      </w:rPr>
    </w:lvl>
    <w:lvl w:ilvl="4" w:tplc="080A0003" w:tentative="1">
      <w:start w:val="1"/>
      <w:numFmt w:val="bullet"/>
      <w:lvlText w:val="o"/>
      <w:lvlJc w:val="left"/>
      <w:pPr>
        <w:ind w:left="7188" w:hanging="360"/>
      </w:pPr>
      <w:rPr>
        <w:rFonts w:ascii="Courier New" w:hAnsi="Courier New" w:cs="Courier New" w:hint="default"/>
      </w:rPr>
    </w:lvl>
    <w:lvl w:ilvl="5" w:tplc="080A0005" w:tentative="1">
      <w:start w:val="1"/>
      <w:numFmt w:val="bullet"/>
      <w:lvlText w:val=""/>
      <w:lvlJc w:val="left"/>
      <w:pPr>
        <w:ind w:left="7908" w:hanging="360"/>
      </w:pPr>
      <w:rPr>
        <w:rFonts w:ascii="Wingdings" w:hAnsi="Wingdings" w:hint="default"/>
      </w:rPr>
    </w:lvl>
    <w:lvl w:ilvl="6" w:tplc="080A0001" w:tentative="1">
      <w:start w:val="1"/>
      <w:numFmt w:val="bullet"/>
      <w:lvlText w:val=""/>
      <w:lvlJc w:val="left"/>
      <w:pPr>
        <w:ind w:left="8628" w:hanging="360"/>
      </w:pPr>
      <w:rPr>
        <w:rFonts w:ascii="Symbol" w:hAnsi="Symbol" w:hint="default"/>
      </w:rPr>
    </w:lvl>
    <w:lvl w:ilvl="7" w:tplc="080A0003" w:tentative="1">
      <w:start w:val="1"/>
      <w:numFmt w:val="bullet"/>
      <w:lvlText w:val="o"/>
      <w:lvlJc w:val="left"/>
      <w:pPr>
        <w:ind w:left="9348" w:hanging="360"/>
      </w:pPr>
      <w:rPr>
        <w:rFonts w:ascii="Courier New" w:hAnsi="Courier New" w:cs="Courier New" w:hint="default"/>
      </w:rPr>
    </w:lvl>
    <w:lvl w:ilvl="8" w:tplc="080A0005" w:tentative="1">
      <w:start w:val="1"/>
      <w:numFmt w:val="bullet"/>
      <w:lvlText w:val=""/>
      <w:lvlJc w:val="left"/>
      <w:pPr>
        <w:ind w:left="10068" w:hanging="360"/>
      </w:pPr>
      <w:rPr>
        <w:rFonts w:ascii="Wingdings" w:hAnsi="Wingdings" w:hint="default"/>
      </w:rPr>
    </w:lvl>
  </w:abstractNum>
  <w:abstractNum w:abstractNumId="12" w15:restartNumberingAfterBreak="0">
    <w:nsid w:val="6BB2662F"/>
    <w:multiLevelType w:val="hybridMultilevel"/>
    <w:tmpl w:val="A33EFAF8"/>
    <w:lvl w:ilvl="0" w:tplc="A110709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7DFB534A"/>
    <w:multiLevelType w:val="hybridMultilevel"/>
    <w:tmpl w:val="F8D00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135C2D"/>
    <w:multiLevelType w:val="hybridMultilevel"/>
    <w:tmpl w:val="55C6E112"/>
    <w:lvl w:ilvl="0" w:tplc="8C982CFE">
      <w:start w:val="1"/>
      <w:numFmt w:val="decimal"/>
      <w:lvlText w:val="%1."/>
      <w:lvlJc w:val="left"/>
      <w:pPr>
        <w:ind w:left="1080" w:hanging="360"/>
      </w:pPr>
      <w:rPr>
        <w:rFonts w:eastAsia="Calibri" w:cs="Calibr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8"/>
  </w:num>
  <w:num w:numId="3">
    <w:abstractNumId w:val="14"/>
  </w:num>
  <w:num w:numId="4">
    <w:abstractNumId w:val="1"/>
  </w:num>
  <w:num w:numId="5">
    <w:abstractNumId w:val="9"/>
  </w:num>
  <w:num w:numId="6">
    <w:abstractNumId w:val="7"/>
  </w:num>
  <w:num w:numId="7">
    <w:abstractNumId w:val="4"/>
  </w:num>
  <w:num w:numId="8">
    <w:abstractNumId w:val="11"/>
  </w:num>
  <w:num w:numId="9">
    <w:abstractNumId w:val="6"/>
  </w:num>
  <w:num w:numId="10">
    <w:abstractNumId w:val="10"/>
  </w:num>
  <w:num w:numId="11">
    <w:abstractNumId w:val="12"/>
  </w:num>
  <w:num w:numId="12">
    <w:abstractNumId w:val="2"/>
  </w:num>
  <w:num w:numId="13">
    <w:abstractNumId w:val="0"/>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D6C"/>
    <w:rsid w:val="00043FCF"/>
    <w:rsid w:val="00044A04"/>
    <w:rsid w:val="00047478"/>
    <w:rsid w:val="00050935"/>
    <w:rsid w:val="00055A72"/>
    <w:rsid w:val="000722B7"/>
    <w:rsid w:val="000C6DFA"/>
    <w:rsid w:val="000E580E"/>
    <w:rsid w:val="000F34B4"/>
    <w:rsid w:val="000F4522"/>
    <w:rsid w:val="000F45C5"/>
    <w:rsid w:val="0011517D"/>
    <w:rsid w:val="001152DB"/>
    <w:rsid w:val="00116FD7"/>
    <w:rsid w:val="00121D18"/>
    <w:rsid w:val="001521FF"/>
    <w:rsid w:val="00157232"/>
    <w:rsid w:val="00164C90"/>
    <w:rsid w:val="001771FE"/>
    <w:rsid w:val="001955A1"/>
    <w:rsid w:val="001E3D6D"/>
    <w:rsid w:val="001F3A50"/>
    <w:rsid w:val="00201ECC"/>
    <w:rsid w:val="002067D9"/>
    <w:rsid w:val="002101D7"/>
    <w:rsid w:val="00231E03"/>
    <w:rsid w:val="00240672"/>
    <w:rsid w:val="002557FF"/>
    <w:rsid w:val="002B6FFF"/>
    <w:rsid w:val="002C01D1"/>
    <w:rsid w:val="00315461"/>
    <w:rsid w:val="003251DB"/>
    <w:rsid w:val="00347AA7"/>
    <w:rsid w:val="0035668D"/>
    <w:rsid w:val="00370C6F"/>
    <w:rsid w:val="00395BAA"/>
    <w:rsid w:val="003A4DE5"/>
    <w:rsid w:val="004051C8"/>
    <w:rsid w:val="0041747C"/>
    <w:rsid w:val="00433D1A"/>
    <w:rsid w:val="00466107"/>
    <w:rsid w:val="00485078"/>
    <w:rsid w:val="00490D3D"/>
    <w:rsid w:val="004B7D02"/>
    <w:rsid w:val="004C4B94"/>
    <w:rsid w:val="004C7A6F"/>
    <w:rsid w:val="004E3885"/>
    <w:rsid w:val="00514A09"/>
    <w:rsid w:val="00540B7F"/>
    <w:rsid w:val="00541AA9"/>
    <w:rsid w:val="00546365"/>
    <w:rsid w:val="00562F37"/>
    <w:rsid w:val="00571117"/>
    <w:rsid w:val="005743A1"/>
    <w:rsid w:val="005905BC"/>
    <w:rsid w:val="005A018C"/>
    <w:rsid w:val="005C3C3C"/>
    <w:rsid w:val="005C6F0A"/>
    <w:rsid w:val="005F0BC3"/>
    <w:rsid w:val="00605607"/>
    <w:rsid w:val="00611208"/>
    <w:rsid w:val="006419EA"/>
    <w:rsid w:val="00652130"/>
    <w:rsid w:val="00671A7F"/>
    <w:rsid w:val="00671B5B"/>
    <w:rsid w:val="006826F6"/>
    <w:rsid w:val="006922B0"/>
    <w:rsid w:val="006C21D3"/>
    <w:rsid w:val="00702618"/>
    <w:rsid w:val="0070687E"/>
    <w:rsid w:val="00706B74"/>
    <w:rsid w:val="00736BD2"/>
    <w:rsid w:val="00752799"/>
    <w:rsid w:val="007B57DF"/>
    <w:rsid w:val="007E309F"/>
    <w:rsid w:val="00804C7D"/>
    <w:rsid w:val="0081459C"/>
    <w:rsid w:val="008172C3"/>
    <w:rsid w:val="008237C6"/>
    <w:rsid w:val="00836D88"/>
    <w:rsid w:val="008615B5"/>
    <w:rsid w:val="008822F5"/>
    <w:rsid w:val="008A3256"/>
    <w:rsid w:val="008B39C9"/>
    <w:rsid w:val="008C48C5"/>
    <w:rsid w:val="009044B0"/>
    <w:rsid w:val="00937684"/>
    <w:rsid w:val="00966A85"/>
    <w:rsid w:val="00970392"/>
    <w:rsid w:val="009A04A4"/>
    <w:rsid w:val="009C3E76"/>
    <w:rsid w:val="009C61EF"/>
    <w:rsid w:val="009D6C69"/>
    <w:rsid w:val="009E7A89"/>
    <w:rsid w:val="009F01EB"/>
    <w:rsid w:val="00A01988"/>
    <w:rsid w:val="00A67F68"/>
    <w:rsid w:val="00A86486"/>
    <w:rsid w:val="00AD2110"/>
    <w:rsid w:val="00AD6771"/>
    <w:rsid w:val="00B045A6"/>
    <w:rsid w:val="00B0567E"/>
    <w:rsid w:val="00B37FC8"/>
    <w:rsid w:val="00B527DD"/>
    <w:rsid w:val="00B74EFC"/>
    <w:rsid w:val="00B91448"/>
    <w:rsid w:val="00BA22EB"/>
    <w:rsid w:val="00BA3E7F"/>
    <w:rsid w:val="00BD4FDF"/>
    <w:rsid w:val="00C10B3D"/>
    <w:rsid w:val="00C36505"/>
    <w:rsid w:val="00C40ECE"/>
    <w:rsid w:val="00C80CB7"/>
    <w:rsid w:val="00C875A9"/>
    <w:rsid w:val="00CC775D"/>
    <w:rsid w:val="00CD10F2"/>
    <w:rsid w:val="00D20A84"/>
    <w:rsid w:val="00D22D6C"/>
    <w:rsid w:val="00D5591E"/>
    <w:rsid w:val="00D87AC6"/>
    <w:rsid w:val="00D914EB"/>
    <w:rsid w:val="00D96DCD"/>
    <w:rsid w:val="00E10FAA"/>
    <w:rsid w:val="00E32C9F"/>
    <w:rsid w:val="00E5025A"/>
    <w:rsid w:val="00E83145"/>
    <w:rsid w:val="00EA0737"/>
    <w:rsid w:val="00EA31EE"/>
    <w:rsid w:val="00EB29C6"/>
    <w:rsid w:val="00EB3B9B"/>
    <w:rsid w:val="00ED0AD1"/>
    <w:rsid w:val="00ED4944"/>
    <w:rsid w:val="00ED53C7"/>
    <w:rsid w:val="00EE4ABE"/>
    <w:rsid w:val="00EE78BE"/>
    <w:rsid w:val="00EF64DD"/>
    <w:rsid w:val="00F61C3C"/>
    <w:rsid w:val="00F77A21"/>
    <w:rsid w:val="00FB5F94"/>
    <w:rsid w:val="00FC7236"/>
    <w:rsid w:val="00FC7595"/>
    <w:rsid w:val="00FD4C8D"/>
    <w:rsid w:val="00FF2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62A2D34-FD74-4D93-AD77-6EA9ED4E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D6C"/>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D22D6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aliases w:val="Subtítulos"/>
    <w:basedOn w:val="Normal"/>
    <w:next w:val="Normal"/>
    <w:link w:val="Ttulo2Car"/>
    <w:uiPriority w:val="9"/>
    <w:unhideWhenUsed/>
    <w:qFormat/>
    <w:rsid w:val="00D22D6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D22D6C"/>
    <w:pPr>
      <w:keepNext/>
      <w:keepLines/>
      <w:spacing w:before="160" w:after="80"/>
      <w:outlineLvl w:val="2"/>
    </w:pPr>
    <w:rPr>
      <w:rFonts w:eastAsiaTheme="majorEastAsia" w:cstheme="majorBidi"/>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Res Car"/>
    <w:basedOn w:val="Fuentedeprrafopredeter"/>
    <w:link w:val="Ttulo1"/>
    <w:uiPriority w:val="9"/>
    <w:rsid w:val="00D22D6C"/>
    <w:rPr>
      <w:rFonts w:asciiTheme="majorHAnsi" w:eastAsiaTheme="majorEastAsia" w:hAnsiTheme="majorHAnsi" w:cstheme="majorBidi"/>
      <w:color w:val="2E74B5" w:themeColor="accent1" w:themeShade="BF"/>
      <w:sz w:val="40"/>
      <w:szCs w:val="40"/>
      <w:lang w:val="es-ES_tradnl" w:eastAsia="es-MX"/>
    </w:rPr>
  </w:style>
  <w:style w:type="character" w:customStyle="1" w:styleId="Ttulo2Car">
    <w:name w:val="Título 2 Car"/>
    <w:aliases w:val="Subtítulos Car"/>
    <w:basedOn w:val="Fuentedeprrafopredeter"/>
    <w:link w:val="Ttulo2"/>
    <w:uiPriority w:val="9"/>
    <w:rsid w:val="00D22D6C"/>
    <w:rPr>
      <w:rFonts w:asciiTheme="majorHAnsi" w:eastAsiaTheme="majorEastAsia" w:hAnsiTheme="majorHAnsi" w:cstheme="majorBidi"/>
      <w:color w:val="2E74B5" w:themeColor="accent1" w:themeShade="BF"/>
      <w:sz w:val="32"/>
      <w:szCs w:val="32"/>
      <w:lang w:val="es-ES_tradnl" w:eastAsia="es-MX"/>
    </w:rPr>
  </w:style>
  <w:style w:type="character" w:customStyle="1" w:styleId="Ttulo3Car">
    <w:name w:val="Título 3 Car"/>
    <w:basedOn w:val="Fuentedeprrafopredeter"/>
    <w:link w:val="Ttulo3"/>
    <w:uiPriority w:val="9"/>
    <w:rsid w:val="00D22D6C"/>
    <w:rPr>
      <w:rFonts w:ascii="Palatino Linotype" w:eastAsiaTheme="majorEastAsia" w:hAnsi="Palatino Linotype" w:cstheme="majorBidi"/>
      <w:color w:val="2E74B5" w:themeColor="accent1" w:themeShade="BF"/>
      <w:sz w:val="28"/>
      <w:szCs w:val="28"/>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22D6C"/>
    <w:pPr>
      <w:ind w:left="720"/>
      <w:contextualSpacing/>
    </w:pPr>
  </w:style>
  <w:style w:type="paragraph" w:styleId="Encabezado">
    <w:name w:val="header"/>
    <w:basedOn w:val="Normal"/>
    <w:link w:val="EncabezadoCar"/>
    <w:uiPriority w:val="99"/>
    <w:unhideWhenUsed/>
    <w:rsid w:val="00D22D6C"/>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D22D6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22D6C"/>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D22D6C"/>
    <w:rPr>
      <w:rFonts w:ascii="Times New Roman" w:eastAsia="Calibri"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22D6C"/>
    <w:rPr>
      <w:rFonts w:ascii="Palatino Linotype" w:eastAsia="Calibri" w:hAnsi="Palatino Linotype" w:cs="Calibri"/>
      <w:sz w:val="24"/>
      <w:lang w:val="es-ES_tradnl" w:eastAsia="es-MX"/>
    </w:rPr>
  </w:style>
  <w:style w:type="character" w:customStyle="1" w:styleId="apple-converted-space">
    <w:name w:val="apple-converted-space"/>
    <w:basedOn w:val="Fuentedeprrafopredeter"/>
    <w:rsid w:val="00D22D6C"/>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22D6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D22D6C"/>
    <w:rPr>
      <w:color w:val="0563C1" w:themeColor="hyperlink"/>
      <w:u w:val="single"/>
    </w:rPr>
  </w:style>
  <w:style w:type="paragraph" w:customStyle="1" w:styleId="Fundamentos">
    <w:name w:val="Fundamentos"/>
    <w:basedOn w:val="Normal"/>
    <w:qFormat/>
    <w:rsid w:val="00D22D6C"/>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2D6C"/>
    <w:pPr>
      <w:spacing w:line="240" w:lineRule="auto"/>
      <w:jc w:val="left"/>
    </w:pPr>
    <w:rPr>
      <w:rFonts w:ascii="Calibri" w:hAnsi="Calibri" w:cs="Times New Roman"/>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22D6C"/>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6289">
      <w:bodyDiv w:val="1"/>
      <w:marLeft w:val="0"/>
      <w:marRight w:val="0"/>
      <w:marTop w:val="0"/>
      <w:marBottom w:val="0"/>
      <w:divBdr>
        <w:top w:val="none" w:sz="0" w:space="0" w:color="auto"/>
        <w:left w:val="none" w:sz="0" w:space="0" w:color="auto"/>
        <w:bottom w:val="none" w:sz="0" w:space="0" w:color="auto"/>
        <w:right w:val="none" w:sz="0" w:space="0" w:color="auto"/>
      </w:divBdr>
    </w:div>
    <w:div w:id="178979333">
      <w:bodyDiv w:val="1"/>
      <w:marLeft w:val="0"/>
      <w:marRight w:val="0"/>
      <w:marTop w:val="0"/>
      <w:marBottom w:val="0"/>
      <w:divBdr>
        <w:top w:val="none" w:sz="0" w:space="0" w:color="auto"/>
        <w:left w:val="none" w:sz="0" w:space="0" w:color="auto"/>
        <w:bottom w:val="none" w:sz="0" w:space="0" w:color="auto"/>
        <w:right w:val="none" w:sz="0" w:space="0" w:color="auto"/>
      </w:divBdr>
    </w:div>
    <w:div w:id="602033389">
      <w:bodyDiv w:val="1"/>
      <w:marLeft w:val="0"/>
      <w:marRight w:val="0"/>
      <w:marTop w:val="0"/>
      <w:marBottom w:val="0"/>
      <w:divBdr>
        <w:top w:val="none" w:sz="0" w:space="0" w:color="auto"/>
        <w:left w:val="none" w:sz="0" w:space="0" w:color="auto"/>
        <w:bottom w:val="none" w:sz="0" w:space="0" w:color="auto"/>
        <w:right w:val="none" w:sz="0" w:space="0" w:color="auto"/>
      </w:divBdr>
    </w:div>
    <w:div w:id="108653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cedipiem.edomex.gob.mx/programas_ayudas" TargetMode="External"/><Relationship Id="rId7" Type="http://schemas.openxmlformats.org/officeDocument/2006/relationships/hyperlink" Target="https://legislacion.edomex.gob.mx/sites/legislacion.edomex.gob.mx/files/files/pdf/gct/2025/febrero/feb282/feb282c.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s://legislacion.edomex.gob.mx/sites/legislacion.edomex.gob.mx/files/files/pdf/gct/2025/febrero/feb282/feb282b.pdf" TargetMode="External"/><Relationship Id="rId5" Type="http://schemas.openxmlformats.org/officeDocument/2006/relationships/hyperlink" Target="https://cedipiem.edomex.gob.mx/bienestar-cultural-indigena" TargetMode="External"/><Relationship Id="rId4" Type="http://schemas.openxmlformats.org/officeDocument/2006/relationships/hyperlink" Target="https://cedipiem.edomex.gob.mx/desarrollo-indigena-bienest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28</Pages>
  <Words>6032</Words>
  <Characters>33178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58</cp:revision>
  <dcterms:created xsi:type="dcterms:W3CDTF">2025-11-20T16:29:00Z</dcterms:created>
  <dcterms:modified xsi:type="dcterms:W3CDTF">2026-02-05T18:14:00Z</dcterms:modified>
</cp:coreProperties>
</file>