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veintiocho de mayo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03074/INFOEM/IP/RR/2025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XXXXXXXXX XXXXXXXX XXXXXXX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00073/MEXICAL/IP/2025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Ayuntamiento de Mexicaltzingo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seis de febrero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7">
      <w:pPr>
        <w:spacing w:after="0" w:lineRule="auto"/>
        <w:ind w:left="851" w:right="843"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“Servidores públicos que fueron despedidos del 1 de enero de 2024 al 31 de diciembre de 2024 y del 1 de enero de 2025 al 5 de febrero de 2025.”.</w:t>
      </w:r>
    </w:p>
    <w:p w:rsidR="00000000" w:rsidDel="00000000" w:rsidP="00000000" w:rsidRDefault="00000000" w:rsidRPr="00000000" w14:paraId="00000008">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veintisiete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ARTICULO 12 DE LA LEY DE TRANSPARENCIA Y ACCESO A LA INFORMACIÓN PÚBLICA DEL ESTADO DE MÉXICO Y MUNICIPIOS Y </w:t>
      </w:r>
      <w:r w:rsidDel="00000000" w:rsidR="00000000" w:rsidRPr="00000000">
        <w:rPr>
          <w:rFonts w:ascii="Palatino Linotype" w:cs="Palatino Linotype" w:eastAsia="Palatino Linotype" w:hAnsi="Palatino Linotype"/>
          <w:b w:val="1"/>
          <w:i w:val="1"/>
          <w:u w:val="single"/>
          <w:rtl w:val="0"/>
        </w:rPr>
        <w:t xml:space="preserve">DESPUES DE UNA BUSQUEDA EXHAUSTIVA EN LOS EXPEDIENTES QUE OBRAN EN ESTA COORDINACIÓN NO SE CUENTA CON INFORMACIÓN REFERENTE A LA SOLICITUD</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Bertha López Sánchez.”</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dieciséis de marzo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sin embargo, al corresponder a un día inhábil se tuvo por presentada el día </w:t>
      </w:r>
      <w:r w:rsidDel="00000000" w:rsidR="00000000" w:rsidRPr="00000000">
        <w:rPr>
          <w:rFonts w:ascii="Palatino Linotype" w:cs="Palatino Linotype" w:eastAsia="Palatino Linotype" w:hAnsi="Palatino Linotype"/>
          <w:b w:val="1"/>
          <w:rtl w:val="0"/>
        </w:rPr>
        <w:t xml:space="preserve">dieciocho de marzo de dos mil veinticinco</w:t>
      </w:r>
      <w:r w:rsidDel="00000000" w:rsidR="00000000" w:rsidRPr="00000000">
        <w:rPr>
          <w:rFonts w:ascii="Palatino Linotype" w:cs="Palatino Linotype" w:eastAsia="Palatino Linotype" w:hAnsi="Palatino Linotype"/>
          <w:rtl w:val="0"/>
        </w:rPr>
        <w:t xml:space="preserve">; mediante la cual expresó lo siguiente:</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“OCULTAN LA INFORMACION VERDADERA.”.</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“OCULTAN LA INFORMACION VERDADERA”.</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03074/INFOEM/IP/RR/2025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veintiuno de marzo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treinta y uno de marzo de dos mil veinticinco</w:t>
      </w:r>
      <w:r w:rsidDel="00000000" w:rsidR="00000000" w:rsidRPr="00000000">
        <w:rPr>
          <w:rFonts w:ascii="Palatino Linotype" w:cs="Palatino Linotype" w:eastAsia="Palatino Linotype" w:hAnsi="Palatino Linotype"/>
          <w:rtl w:val="0"/>
        </w:rPr>
        <w:t xml:space="preserve">, rindió su informe justificado, a través del archivo electrónico denominados “</w:t>
      </w:r>
      <w:r w:rsidDel="00000000" w:rsidR="00000000" w:rsidRPr="00000000">
        <w:rPr>
          <w:rFonts w:ascii="Palatino Linotype" w:cs="Palatino Linotype" w:eastAsia="Palatino Linotype" w:hAnsi="Palatino Linotype"/>
          <w:b w:val="1"/>
          <w:i w:val="1"/>
          <w:rtl w:val="0"/>
        </w:rPr>
        <w:t xml:space="preserve">MANIFESTACIONES RR 3074-2025.pdf</w:t>
      </w:r>
      <w:r w:rsidDel="00000000" w:rsidR="00000000" w:rsidRPr="00000000">
        <w:rPr>
          <w:rFonts w:ascii="Palatino Linotype" w:cs="Palatino Linotype" w:eastAsia="Palatino Linotype" w:hAnsi="Palatino Linotype"/>
          <w:rtl w:val="0"/>
        </w:rPr>
        <w:t xml:space="preserve">”, el cual contiene el oficio número PMM/CA/0107/2025 de fecha once de febrero de dos mil veinticinco, signado por el Coordinador Administrativo, mediante el cual informó que el año antes mencionado y el actual año, no se ha despedido a ningún servidor público.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fue hecho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quince de mayo de dos mil veinticinco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veintisiete de mayo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veintisiete de mayo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veintisiete de febrero de dos mil veinticinco</w:t>
      </w:r>
      <w:r w:rsidDel="00000000" w:rsidR="00000000" w:rsidRPr="00000000">
        <w:rPr>
          <w:rFonts w:ascii="Palatino Linotype" w:cs="Palatino Linotype" w:eastAsia="Palatino Linotype" w:hAnsi="Palatino Linotype"/>
          <w:rtl w:val="0"/>
        </w:rPr>
        <w:t xml:space="preserve">, 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el </w:t>
      </w:r>
      <w:r w:rsidDel="00000000" w:rsidR="00000000" w:rsidRPr="00000000">
        <w:rPr>
          <w:rFonts w:ascii="Palatino Linotype" w:cs="Palatino Linotype" w:eastAsia="Palatino Linotype" w:hAnsi="Palatino Linotype"/>
          <w:b w:val="1"/>
          <w:rtl w:val="0"/>
        </w:rPr>
        <w:t xml:space="preserve">dieciséis de marzo de dos mil veinticinco</w:t>
      </w:r>
      <w:r w:rsidDel="00000000" w:rsidR="00000000" w:rsidRPr="00000000">
        <w:rPr>
          <w:rFonts w:ascii="Palatino Linotype" w:cs="Palatino Linotype" w:eastAsia="Palatino Linotype" w:hAnsi="Palatino Linotype"/>
          <w:rtl w:val="0"/>
        </w:rPr>
        <w:t xml:space="preserve">, sin embargo, al corresponder a un día inhábil se tuvo por presentada el día</w:t>
      </w:r>
      <w:r w:rsidDel="00000000" w:rsidR="00000000" w:rsidRPr="00000000">
        <w:rPr>
          <w:rFonts w:ascii="Palatino Linotype" w:cs="Palatino Linotype" w:eastAsia="Palatino Linotype" w:hAnsi="Palatino Linotype"/>
          <w:b w:val="1"/>
          <w:rtl w:val="0"/>
        </w:rPr>
        <w:t xml:space="preserve"> dieciocho de marzo de dos mil veinticinco</w:t>
      </w:r>
      <w:r w:rsidDel="00000000" w:rsidR="00000000" w:rsidRPr="00000000">
        <w:rPr>
          <w:rFonts w:ascii="Palatino Linotype" w:cs="Palatino Linotype" w:eastAsia="Palatino Linotype" w:hAnsi="Palatino Linotype"/>
          <w:rtl w:val="0"/>
        </w:rPr>
        <w:t xml:space="preserve">, esto es al décimo primer día hábil en que se tuvo conocimiento de la respuesta.</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I de la Ley de la materia, que a la letra dice:</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Negativa de entrega de la información;</w:t>
      </w:r>
    </w:p>
    <w:p w:rsidR="00000000" w:rsidDel="00000000" w:rsidP="00000000" w:rsidRDefault="00000000" w:rsidRPr="00000000" w14:paraId="0000003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5">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sobreseimiento.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pública que motivó 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la siguiente información: </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numPr>
          <w:ilvl w:val="0"/>
          <w:numId w:val="1"/>
        </w:numPr>
        <w:spacing w:after="0" w:line="360" w:lineRule="auto"/>
        <w:ind w:left="108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Servidores públicos que fueron despedidos del 1 de enero de 2024 al 5 de febrero de 2025. </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informó que después de realizar una búsqueda exhaustiva en los expedientes que obran en la Coordinación no se cuenta con información referente a la solicitud. </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su Recurso de Revisión arguyendo la negativa de entrega de la información, toda vez que a su decir ocultan la información verdadera. </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esto,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remitió a través de su Titular de la Unidad de Transparencia, el documento que se describe a continuación: </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PMM/CA/0107/2025 de fecha once de febrero de dos mil veinticinco, signado por el Coordinador Administrativo, mediante el cual informa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el año antes mencionado y el actual año, no se ha despedido a ningún servidor público. </w:t>
      </w:r>
    </w:p>
    <w:p w:rsidR="00000000" w:rsidDel="00000000" w:rsidP="00000000" w:rsidRDefault="00000000" w:rsidRPr="00000000" w14:paraId="00000047">
      <w:pP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es importante referir que, e</w:t>
      </w:r>
      <w:r w:rsidDel="00000000" w:rsidR="00000000" w:rsidRPr="00000000">
        <w:rPr>
          <w:rFonts w:ascii="Palatino Linotype" w:cs="Palatino Linotype" w:eastAsia="Palatino Linotype" w:hAnsi="Palatino Linotype"/>
          <w:b w:val="1"/>
          <w:u w:val="single"/>
          <w:rtl w:val="0"/>
        </w:rPr>
        <w:t xml:space="preserve">n cuanto a la naturaleza de la información solicitada, relativa a los despidos de servidores públicos</w:t>
      </w:r>
      <w:r w:rsidDel="00000000" w:rsidR="00000000" w:rsidRPr="00000000">
        <w:rPr>
          <w:rFonts w:ascii="Palatino Linotype" w:cs="Palatino Linotype" w:eastAsia="Palatino Linotype" w:hAnsi="Palatino Linotype"/>
          <w:rtl w:val="0"/>
        </w:rPr>
        <w:t xml:space="preserve">, es conveniente traer a contexto el concepto de </w:t>
      </w:r>
      <w:r w:rsidDel="00000000" w:rsidR="00000000" w:rsidRPr="00000000">
        <w:rPr>
          <w:rFonts w:ascii="Palatino Linotype" w:cs="Palatino Linotype" w:eastAsia="Palatino Linotype" w:hAnsi="Palatino Linotype"/>
          <w:i w:val="1"/>
          <w:rtl w:val="0"/>
        </w:rPr>
        <w:t xml:space="preserve">despido</w:t>
      </w:r>
      <w:r w:rsidDel="00000000" w:rsidR="00000000" w:rsidRPr="00000000">
        <w:rPr>
          <w:rFonts w:ascii="Palatino Linotype" w:cs="Palatino Linotype" w:eastAsia="Palatino Linotype" w:hAnsi="Palatino Linotype"/>
          <w:rtl w:val="0"/>
        </w:rPr>
        <w:t xml:space="preserve"> contemplado en la Tesis aislada con registro digital 276562, localizable en el Semanario Judicial de la Federación. Volumen XXIV, Quinta Parte, página 46:</w:t>
      </w:r>
    </w:p>
    <w:p w:rsidR="00000000" w:rsidDel="00000000" w:rsidP="00000000" w:rsidRDefault="00000000" w:rsidRPr="00000000" w14:paraId="00000049">
      <w:pPr>
        <w:spacing w:after="240" w:before="24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mallCaps w:val="1"/>
          <w:rtl w:val="0"/>
        </w:rPr>
        <w:t xml:space="preserve">“</w:t>
      </w:r>
      <w:r w:rsidDel="00000000" w:rsidR="00000000" w:rsidRPr="00000000">
        <w:rPr>
          <w:rFonts w:ascii="Palatino Linotype" w:cs="Palatino Linotype" w:eastAsia="Palatino Linotype" w:hAnsi="Palatino Linotype"/>
          <w:b w:val="1"/>
          <w:i w:val="1"/>
          <w:rtl w:val="0"/>
        </w:rPr>
        <w:t xml:space="preserve">DESPIDO, CONCEPTO DE</w:t>
      </w:r>
      <w:r w:rsidDel="00000000" w:rsidR="00000000" w:rsidRPr="00000000">
        <w:rPr>
          <w:rFonts w:ascii="Palatino Linotype" w:cs="Palatino Linotype" w:eastAsia="Palatino Linotype" w:hAnsi="Palatino Linotype"/>
          <w:i w:val="1"/>
          <w:rtl w:val="0"/>
        </w:rPr>
        <w:t xml:space="preserve">. El despido es el acto por el cual el patrón le hace saber al trabajador que prescinde de sus servicios, equiparándose al mismo la circunstancia de que impida por cualquier medio que el obrero ejercite el derecho que le da su contrato a desempeñar el trabajo o que se rehuse a ministrarle éste.”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de conformidad con el autor Morgado Valenzuela (1997),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despido es una forma de terminar la relación de trabajo por iniciativa del empleador, motivada en la existencia de una causa justificada relacionada con la conducta del trabajador</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Trasladando esta noción al caso particular, tenemos entonces que el despido forzosamente necesita de la existencia de una conducta atribuible al trabajador para justificar su emisión; en tal sentido, es importante resaltar que la Ley del Trabajo de los Servidores Públicos del Estado y Municipios contempla la posibilidad de terminar la relación laboral si se actualiza alguna de las siguientes causales: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causas de rescisión de la relación laboral, sin responsabilidad para las instituciones públicas: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Engañar el servidor público con documentación o referencias falsas que le atribuyan capacidad, aptitudes o grados académicos de los que carezca. Esta causa dejará de tener efecto después de treinta días naturales de conocido el hecho;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Tener asignada más de una plaza en la misma o en diferentes instituciones públicas o dependencias, con las excepciones que esta ley señala, o bien cobrar un sueldo sin desempeñar funciones;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Incurrir en cuatro o más faltas de asistencia a sus labores sin causa justificada, dentro de un lapso de treinta días;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Abandonar las labores sin autorización previa o razón plenamente justificada, en contravención a lo establecido en las condiciones generales de trabajo; </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Causar daños intencionalmente a edificios, obras, equipo, maquinaria, instrumentos, materias primas y demás objetos relacionados con el trabajo, o por sustraerlos en beneficio propio; </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Cometer actos inmorales durante el trabajo; </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Revelar los asuntos confidenciales o reservados así calificados por la institución pública o dependencia donde labore, de los cuales tuviese conocimiento con motivo de su trabajo;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Comprometer por su imprudencia, descuido o negligencia, la seguridad del taller, oficina o dependencia donde preste sus servicios o de las personas que ahí se encuentren; </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Desobedecer sin justificación, las órdenes que reciba de sus superiores, en relación al trabajo que desempeñe;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Concurrir al trabajo en estado de embriaguez, o bien bajo la influencia de algún narcótico o droga enervante, salvo que en éste último caso, exista prescripción médica, la que deberá presentar al superior jerárquico antes de iniciar las labores;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Portar armas de cualquier clase durante las horas de trabajo, salvo que la naturaleza de éste lo exija;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XIII. Suspender las labores en el caso previsto en el artículo 176 de esta ley o suspenderlas sin la debida autorización;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XIV. Incumplir reiteradamente disposiciones establecidas en las condiciones generales de trabajo de la institución pública o dependencia respectiva que constituyan faltas graves;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 Ser condenado a prisión como resultado de una sentencia ejecutoriada, que le impida el cumplimiento de la relación de trabajo.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 Sustraer tarjetas o listas de puntualidad y asistencia del lugar designado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XVIII. Las análogas a las establecidas en las fracciones anteriores, de igual manera graves y de consecuencias semejantes en lo que al trabajo se refiere; 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XIX. Incurrir en actos de violencia laboral, entendiéndose por éstos los relativos a discriminación, acoso u hostigamiento sexual.</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XX. La falta de requisitos que exijan las leyes y reglamentos, necesarios para la prestación del Ley del Trabajo de los Servidores Públicos del Estado y Municipios servicio cuando sea imputable al trabajador, desde la fecha en que el patrón tenga conocimiento del hecho, hasta por un periodo de dos meses.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los efectos de la presente fracción se entiende por: A. Acoso sexual, es una forma de violencia en la que, si bien no existe la subordinación, hay un ejercicio abusivo de poder que conlleva a un estado de indefensión y de riesgo para la víctima, independientemente de que realice en uno o varios eventos; y B. Hostigamiento sexual, es el ejercicio del poder, en una relación de subordinación real de la víctima frente a la persona agresora en los ámbitos laborales y/o escolar. Se expresa en conductas verbales o no verbales, física o ambas, relacionadas con la sexualidad de connotación lasciva.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851" w:right="900"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94.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institución pública deberá dar aviso por escrito al servidor público de manera personal, de la fecha y causa o causas de la rescisión de la relación laboral.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falta de aviso al servidor público, al Tribunal o a la Sala por sí sola bastará para considerar que el despido fue injustificado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(Énfasis añadido)</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previamente citados, se desprende que una vez que se actualice alguno de estos supuestos, compete a la institución pública el </w:t>
      </w:r>
      <w:r w:rsidDel="00000000" w:rsidR="00000000" w:rsidRPr="00000000">
        <w:rPr>
          <w:rFonts w:ascii="Palatino Linotype" w:cs="Palatino Linotype" w:eastAsia="Palatino Linotype" w:hAnsi="Palatino Linotype"/>
          <w:b w:val="1"/>
          <w:rtl w:val="0"/>
        </w:rPr>
        <w:t xml:space="preserve">generar un aviso por escrito al servidor público en el que conste la causa de la rescisión laboral</w:t>
      </w:r>
      <w:r w:rsidDel="00000000" w:rsidR="00000000" w:rsidRPr="00000000">
        <w:rPr>
          <w:rFonts w:ascii="Palatino Linotype" w:cs="Palatino Linotype" w:eastAsia="Palatino Linotype" w:hAnsi="Palatino Linotype"/>
          <w:rtl w:val="0"/>
        </w:rPr>
        <w:t xml:space="preserve">, cabe señalar que la falta de este aviso notificado al servidor público, al Tribunal o a la Sala, le dará la calidad de dicho </w:t>
      </w:r>
      <w:r w:rsidDel="00000000" w:rsidR="00000000" w:rsidRPr="00000000">
        <w:rPr>
          <w:rFonts w:ascii="Palatino Linotype" w:cs="Palatino Linotype" w:eastAsia="Palatino Linotype" w:hAnsi="Palatino Linotype"/>
          <w:b w:val="1"/>
          <w:rtl w:val="0"/>
        </w:rPr>
        <w:t xml:space="preserve">despido como injustificado.</w:t>
      </w: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conviene recordar que en respuesta la unidad de transparencia se limito a referir que después de realizar una búsqueda exhaustiva en los expedientes que obran en la coordinación, no se cuenta con información referente a la solicitud; sin embargo, en Informe Justificado se pronuncio la Coordinación de Administración adscrita a la Tesorería Municipal, misma que tiene como objetivo establecer la normatividad para la administración de personal, la adquisición, asignación, uso y mantenimiento de bienes, contratación y prestación de servicios, a fin de racionalizar los recursos humanos, materiales, técnicos y tecnológicos, del mismo modo el Manual General de Organización de la Administración Pública Municipal de Mexicaltzingo 2025-2027, refiere que dicha Coordinación de Administración contara con las siguientes funciones: </w:t>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“E00120 </w:t>
      </w:r>
      <w:r w:rsidDel="00000000" w:rsidR="00000000" w:rsidRPr="00000000">
        <w:rPr>
          <w:rFonts w:ascii="Palatino Linotype" w:cs="Palatino Linotype" w:eastAsia="Palatino Linotype" w:hAnsi="Palatino Linotype"/>
          <w:b w:val="1"/>
          <w:i w:val="1"/>
          <w:rtl w:val="0"/>
        </w:rPr>
        <w:t xml:space="preserve">COORDINACIÓN DE ADMINISTRACIÓN</w:t>
      </w:r>
      <w:r w:rsidDel="00000000" w:rsidR="00000000" w:rsidRPr="00000000">
        <w:rPr>
          <w:rtl w:val="0"/>
        </w:rPr>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 </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Establecer los lineamientos para el reclutamiento y selección, contratación, inducción y control del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Vigilar el cumplimiento de las medidas de seguridad e higiene laboral. </w:t>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Vigilar la observancia y aplicación de los derechos y obligaciones del personal. </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Autorizar los movimientos y licencias del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Validar la elaboración y distribución de la nómina del personal que labora en la administración pública municipal. </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Establecer e implementar por si o a través de terceros la capacitación y adiestramiento del personal.  </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bookmarkStart w:colFirst="0" w:colLast="0" w:name="_heading=h.2huxbnqimnqa" w:id="1"/>
      <w:bookmarkEnd w:id="1"/>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Vigilar las relaciones laborales entre los trabajadores y la administración pública municipal. </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Coadyuvar en el cumplimiento de los convenios sindicales. </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Participar conforme a la normatividad aplicable, en los procedimientos de adquisiciones y contratación de servicios, arrendamiento de inmuebles, así como enajenación y subasta de bienes de una manera eficiente y transparente. </w:t>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571"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Participar en la adquisición de bienes y servicios mediante los procedimientos, procurando obtener el mejor precio de mercado sin renunciar a la calidad de los mismos, para cubrir las necesidades de las diferentes áreas que integran la administración pública municipal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la Coordinación de Administración es la unidad administrativa encargada de autorizar los movimientos del personal; así como vigilar las relaciones laborales entre los trabajadores y la administración pública municipal.</w:t>
      </w:r>
    </w:p>
    <w:p w:rsidR="00000000" w:rsidDel="00000000" w:rsidP="00000000" w:rsidRDefault="00000000" w:rsidRPr="00000000" w14:paraId="00000077">
      <w:pP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resulta importante señalar que de la revisión al expediente electrónico se advierte que la unidad de transparencia turnó la solicitud de información a la Coordinación de Administración, siguiendo con ello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078">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79">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7A">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7B">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7C">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7D">
      <w:pP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000000" w:rsidDel="00000000" w:rsidP="00000000" w:rsidRDefault="00000000" w:rsidRPr="00000000" w14:paraId="0000007E">
      <w:pP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reitera que la Unidad de Transparencia turnó la solicitud de información a la Coordinación de Administración, al ser la unidad administrativa competente de acuerdo con el Manual General de Organización de la Administración Pública Municipal de Mexicaltzingo 2025-2027, cumpliendo con ello, el procedimiento establecido el artículo 162 de la Ley de Transparencia y Acceso a la Información Pública del Estado de México y Municipios:</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en atención a los agravios formulados en el medio de impugnación,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calidad de informe justificado, a través de la unidad administrativa competente, precisó que, en el año antes mencionado y el actual año, no se ha despedido a ningún servidor público. </w:t>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importante mencionar que resulta lógica y materialmente imposible la entrega de información que no obra en los archivos del Sujeto Obligado, toda vez que, estos no han sido generados, administrados o poseídos por este, lo que nos lleva a actualizar la figura de hechos negativos que a la letra establece lo siguiente: </w:t>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HECHOS NEGATIVOS, NO SON SUSCEPTIBLES DE DEMOSTRACIÓN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84">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un hecho negativo, el Juez no tiene por qué invocar prueba alguna de la que se desprenda, ya que es bien sabido que esta clase de hechos no son susceptibles de demostración.</w:t>
      </w:r>
    </w:p>
    <w:p w:rsidR="00000000" w:rsidDel="00000000" w:rsidP="00000000" w:rsidRDefault="00000000" w:rsidRPr="00000000" w14:paraId="00000085">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en revisión 2022/61. José García Florín (Menor). 9 de octubre de 1961. Cinco votos. Ponente: José Rivera Pérez Campos.”</w:t>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lo que señala el artículo 12 de la Ley de Transparencia y Acceso a la Información Pública del Estado de México y Municipios, el cual precisa lo siguiente:  </w:t>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A">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B">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Sujeto Obligado sólo puede proporcionar la información que obra en sus archivos, lo que a </w:t>
      </w:r>
      <w:r w:rsidDel="00000000" w:rsidR="00000000" w:rsidRPr="00000000">
        <w:rPr>
          <w:rFonts w:ascii="Palatino Linotype" w:cs="Palatino Linotype" w:eastAsia="Palatino Linotype" w:hAnsi="Palatino Linotype"/>
          <w:i w:val="1"/>
          <w:rtl w:val="0"/>
        </w:rPr>
        <w:t xml:space="preserve">contrario sensu </w:t>
      </w:r>
      <w:r w:rsidDel="00000000" w:rsidR="00000000" w:rsidRPr="00000000">
        <w:rPr>
          <w:rFonts w:ascii="Palatino Linotype" w:cs="Palatino Linotype" w:eastAsia="Palatino Linotype" w:hAnsi="Palatino Linotype"/>
          <w:rtl w:val="0"/>
        </w:rPr>
        <w:t xml:space="preserve">significa que no se está obligado a proporcionar lo que no obre en los mismos. </w:t>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de acuerdo con el Criterio 31/10 de aplicación análoga para este Organismo Garante, emitido por el Instituto Nacional de Transparencia, Acceso a la Información y Protección de Datos Personales, que establece lo siguiente: </w:t>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 </w:t>
      </w:r>
      <w:r w:rsidDel="00000000" w:rsidR="00000000" w:rsidRPr="00000000">
        <w:rPr>
          <w:rFonts w:ascii="Palatino Linotype" w:cs="Palatino Linotype" w:eastAsia="Palatino Linotype" w:hAnsi="Palatino Linotype"/>
          <w:i w:val="1"/>
          <w:rtl w:val="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se colige que este Instituto, no está facultado para dudar de la veracidad de la información que los sujetos obligados ponen a disposición de los solicitantes, es por lo que, en el presente caso, toda vez que mediante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unidad administrativa competente, a saber, la Coordinación de Administración, preciso que no se había despedido a ningún servidor público durante la temporalidad solicitada. </w:t>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ello, este Organismo Garante considera que se colma el derecho de acceso a la información del Particular y se actualiza la causal prevista en la fracción III del artículo 192 de la Ley de Transparencia y Acceso a la Información Pública del Estado de México y Municipios, que establece que el sobreseimiento del recurso de revisión procede en los siguientes casos:</w:t>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Cuando el sujeto obligado modifique el acto impugnado y;</w:t>
      </w:r>
    </w:p>
    <w:p w:rsidR="00000000" w:rsidDel="00000000" w:rsidP="00000000" w:rsidRDefault="00000000" w:rsidRPr="00000000" w14:paraId="0000009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w:t>
      </w:r>
    </w:p>
    <w:p w:rsidR="00000000" w:rsidDel="00000000" w:rsidP="00000000" w:rsidRDefault="00000000" w:rsidRPr="00000000" w14:paraId="0000009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w:t>
      </w:r>
      <w:r w:rsidDel="00000000" w:rsidR="00000000" w:rsidRPr="00000000">
        <w:rPr>
          <w:rFonts w:ascii="Palatino Linotype" w:cs="Palatino Linotype" w:eastAsia="Palatino Linotype" w:hAnsi="Palatino Linotype"/>
          <w:b w:val="1"/>
          <w:rtl w:val="0"/>
        </w:rPr>
        <w:t xml:space="preserve">modificado</w:t>
      </w:r>
      <w:r w:rsidDel="00000000" w:rsidR="00000000" w:rsidRPr="00000000">
        <w:rPr>
          <w:rFonts w:ascii="Palatino Linotype" w:cs="Palatino Linotype" w:eastAsia="Palatino Linotype" w:hAnsi="Palatino Linotype"/>
          <w:rtl w:val="0"/>
        </w:rPr>
        <w:t xml:space="preserve"> en aquellos casos en los que el sujeto obligado </w:t>
      </w:r>
      <w:r w:rsidDel="00000000" w:rsidR="00000000" w:rsidRPr="00000000">
        <w:rPr>
          <w:rFonts w:ascii="Palatino Linotype" w:cs="Palatino Linotype" w:eastAsia="Palatino Linotype" w:hAnsi="Palatino Linotype"/>
          <w:b w:val="1"/>
          <w:u w:val="single"/>
          <w:rtl w:val="0"/>
        </w:rPr>
        <w:t xml:space="preserve">subsana las deficiencias que hubiera tenido en primer momento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quedando satisfecho el derecho subjetivo accionado por la parte recurrente. </w:t>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w:t>
      </w:r>
      <w:r w:rsidDel="00000000" w:rsidR="00000000" w:rsidRPr="00000000">
        <w:rPr>
          <w:rFonts w:ascii="Palatino Linotype" w:cs="Palatino Linotype" w:eastAsia="Palatino Linotype" w:hAnsi="Palatino Linotype"/>
          <w:b w:val="1"/>
          <w:rtl w:val="0"/>
        </w:rPr>
        <w:t xml:space="preserve"> revocación</w:t>
      </w:r>
      <w:r w:rsidDel="00000000" w:rsidR="00000000" w:rsidRPr="00000000">
        <w:rPr>
          <w:rFonts w:ascii="Palatino Linotype" w:cs="Palatino Linotype" w:eastAsia="Palatino Linotype" w:hAnsi="Palatino Linotype"/>
          <w:rtl w:val="0"/>
        </w:rPr>
        <w:t xml:space="preserve">, esta se actualiza cuando 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deja sin efectos su actuar y en su lugar emite otra con las características y cualidades suficientes para dejar satisfecho el ejercicio del derecho al acceso a la información pública.</w:t>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un acto impugnado queda sin efectos, cuando aun existiendo jurídicamente ya no genera ninguna consecuencia legal.</w:t>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tanto, en el presente caso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a través de su unidad administrativa competente, refirió que no se había despedido a ningún servidor público durante la temporalidad solicitada; dejó sin materia el presente recurso de revisión, actualizándose entonces la causal prevista en la fracción III del artículo 192 de la Ley de la Materia vigente en la Entidad. </w:t>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SOBRESEE </w:t>
      </w:r>
      <w:r w:rsidDel="00000000" w:rsidR="00000000" w:rsidRPr="00000000">
        <w:rPr>
          <w:rFonts w:ascii="Palatino Linotype" w:cs="Palatino Linotype" w:eastAsia="Palatino Linotype" w:hAnsi="Palatino Linotype"/>
          <w:rtl w:val="0"/>
        </w:rPr>
        <w:t xml:space="preserve">el recurso de revisión número</w:t>
      </w:r>
      <w:r w:rsidDel="00000000" w:rsidR="00000000" w:rsidRPr="00000000">
        <w:rPr>
          <w:rFonts w:ascii="Palatino Linotype" w:cs="Palatino Linotype" w:eastAsia="Palatino Linotype" w:hAnsi="Palatino Linotype"/>
          <w:b w:val="1"/>
          <w:rtl w:val="0"/>
        </w:rPr>
        <w:t xml:space="preserve"> 03074/INFOEM/IP/RR/2025</w:t>
      </w:r>
      <w:r w:rsidDel="00000000" w:rsidR="00000000" w:rsidRPr="00000000">
        <w:rPr>
          <w:rFonts w:ascii="Palatino Linotype" w:cs="Palatino Linotype" w:eastAsia="Palatino Linotype" w:hAnsi="Palatino Linotype"/>
          <w:rtl w:val="0"/>
        </w:rPr>
        <w:t xml:space="preserve">, de conformidad con lo dispuesto en la fracción III del artículo 192 de la Ley de Transparencia de la Entidad, porque al modificar la respuesta a la solicitud de acceso a la información</w:t>
      </w:r>
      <w:r w:rsidDel="00000000" w:rsidR="00000000" w:rsidRPr="00000000">
        <w:rPr>
          <w:rFonts w:ascii="Palatino Linotype" w:cs="Palatino Linotype" w:eastAsia="Palatino Linotype" w:hAnsi="Palatino Linotype"/>
          <w:b w:val="1"/>
          <w:rtl w:val="0"/>
        </w:rPr>
        <w:t xml:space="preserve"> 00073/MEXICAL/IP/2025 </w:t>
      </w:r>
      <w:r w:rsidDel="00000000" w:rsidR="00000000" w:rsidRPr="00000000">
        <w:rPr>
          <w:rFonts w:ascii="Palatino Linotype" w:cs="Palatino Linotype" w:eastAsia="Palatino Linotype" w:hAnsi="Palatino Linotype"/>
          <w:rtl w:val="0"/>
        </w:rPr>
        <w:t xml:space="preserve">el recurso de revisión quedó sin materia en términos del </w:t>
      </w:r>
      <w:r w:rsidDel="00000000" w:rsidR="00000000" w:rsidRPr="00000000">
        <w:rPr>
          <w:rFonts w:ascii="Palatino Linotype" w:cs="Palatino Linotype" w:eastAsia="Palatino Linotype" w:hAnsi="Palatino Linotype"/>
          <w:b w:val="1"/>
          <w:rtl w:val="0"/>
        </w:rPr>
        <w:t xml:space="preserve">Considerando Tercero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a través del Sistema de Acceso a la Información Mexiquense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la presente resolución a la Titular de la Unidad de Transparencia del</w:t>
      </w:r>
      <w:r w:rsidDel="00000000" w:rsidR="00000000" w:rsidRPr="00000000">
        <w:rPr>
          <w:rFonts w:ascii="Palatino Linotype" w:cs="Palatino Linotype" w:eastAsia="Palatino Linotype" w:hAnsi="Palatino Linotype"/>
          <w:b w:val="1"/>
          <w:rtl w:val="0"/>
        </w:rPr>
        <w:t xml:space="preserve"> SUJETO OBLIGADO. </w:t>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a través </w:t>
      </w:r>
      <w:r w:rsidDel="00000000" w:rsidR="00000000" w:rsidRPr="00000000">
        <w:rPr>
          <w:rFonts w:ascii="Palatino Linotype" w:cs="Palatino Linotype" w:eastAsia="Palatino Linotype" w:hAnsi="Palatino Linotype"/>
          <w:rtl w:val="0"/>
        </w:rPr>
        <w:t xml:space="preserve">del Sistema de Acceso a la Información Mexiquense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rPr>
      </w:pPr>
      <w:bookmarkStart w:colFirst="0" w:colLast="0" w:name="_heading=h.gjdgxs"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 SESIÓN ORDINARIA CELEBRADA EL VEINTIOCHO DE MAYO DE DOS MIL VEINTICINCO, ANTE EL SECRETARIO TÉCNICO DEL PLENO ALEXIS TAPIA RAMÍREZ. </w:t>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03074/INFOEM/IP/RR/2025</w:t>
          </w:r>
        </w:p>
      </w:tc>
    </w:tr>
    <w:tr>
      <w:trPr>
        <w:cantSplit w:val="0"/>
        <w:trHeight w:val="217" w:hRule="atLeast"/>
        <w:tblHeader w:val="0"/>
      </w:trPr>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Mexicaltzingo</w:t>
          </w:r>
        </w:p>
      </w:tc>
    </w:tr>
    <w:tr>
      <w:trPr>
        <w:cantSplit w:val="0"/>
        <w:tblHeader w:val="0"/>
      </w:trPr>
      <w:tc>
        <w:tcP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03074/INFOEM/IP/RR/2025</w:t>
          </w:r>
        </w:p>
      </w:tc>
    </w:tr>
    <w:tr>
      <w:trPr>
        <w:cantSplit w:val="0"/>
        <w:tblHeader w:val="0"/>
      </w:trPr>
      <w:tc>
        <w:tcP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XXXXXXXXX XXXXXXXX XXXXXXX </w:t>
          </w:r>
        </w:p>
      </w:tc>
    </w:tr>
    <w:tr>
      <w:trPr>
        <w:cantSplit w:val="0"/>
        <w:trHeight w:val="152" w:hRule="atLeast"/>
        <w:tblHeader w:val="0"/>
      </w:trPr>
      <w:tc>
        <w:tcPr>
          <w:vAlign w:val="center"/>
        </w:tcPr>
        <w:p w:rsidR="00000000" w:rsidDel="00000000" w:rsidP="00000000" w:rsidRDefault="00000000" w:rsidRPr="00000000" w14:paraId="000000CC">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0CD">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Mexicaltzingo</w:t>
          </w:r>
        </w:p>
      </w:tc>
    </w:tr>
    <w:tr>
      <w:trPr>
        <w:cantSplit w:val="0"/>
        <w:tblHeader w:val="0"/>
      </w:trPr>
      <w:tc>
        <w:tcP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4">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D35D09"/>
  </w:style>
  <w:style w:type="paragraph" w:styleId="Listaconvietas3">
    <w:name w:val="List Bullet 3"/>
    <w:basedOn w:val="Normal"/>
    <w:uiPriority w:val="99"/>
    <w:semiHidden w:val="1"/>
    <w:unhideWhenUsed w:val="1"/>
    <w:rsid w:val="00250828"/>
    <w:pPr>
      <w:numPr>
        <w:numId w:val="17"/>
      </w:numPr>
      <w:spacing w:after="0" w:line="240" w:lineRule="auto"/>
      <w:contextualSpacing w:val="1"/>
    </w:pPr>
    <w:rPr>
      <w:rFonts w:ascii="Times New Roman" w:cs="Times New Roman" w:eastAsia="Times New Roman" w:hAnsi="Times New Roman"/>
      <w:sz w:val="24"/>
      <w:szCs w:val="24"/>
    </w:rPr>
  </w:style>
  <w:style w:type="paragraph" w:styleId="NormalWeb">
    <w:name w:val="Normal (Web)"/>
    <w:basedOn w:val="Normal"/>
    <w:uiPriority w:val="99"/>
    <w:rsid w:val="004074E2"/>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ZvmQYd+iCLv2wob4jX49xcV+BQ==">CgMxLjAyCWguMzBqMHpsbDIOaC4yaHV4Ym5xaW1ucWEyCWguM2R5NnZrbTIIaC5namRneHM4AHIhMW9EYkIwOGFmWW9WRVY5TEltbExyY2dJYnBlLXFTY1pT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2025-06-11T18:54:00Z</dcterms:created>
  <dc:creator>USUARIO</dc:creator>
</cp:coreProperties>
</file>