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1102713F" w:rsidR="00EB0F49" w:rsidRPr="00EE2306" w:rsidRDefault="001D3081" w:rsidP="00333C5D">
      <w:pPr>
        <w:tabs>
          <w:tab w:val="left" w:pos="0"/>
        </w:tabs>
        <w:spacing w:line="360" w:lineRule="auto"/>
        <w:jc w:val="both"/>
        <w:rPr>
          <w:rFonts w:ascii="Palatino Linotype" w:eastAsia="Palatino Linotype" w:hAnsi="Palatino Linotype" w:cs="Palatino Linotype"/>
          <w:color w:val="000000" w:themeColor="text1"/>
        </w:rPr>
      </w:pPr>
      <w:bookmarkStart w:id="0" w:name="_heading=h.sre9h05q4v0b" w:colFirst="0" w:colLast="0"/>
      <w:bookmarkStart w:id="1" w:name="_GoBack"/>
      <w:bookmarkEnd w:id="0"/>
      <w:bookmarkEnd w:id="1"/>
      <w:r w:rsidRPr="00EE230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33C5D" w:rsidRPr="00EE2306">
        <w:rPr>
          <w:rFonts w:ascii="Palatino Linotype" w:eastAsia="Palatino Linotype" w:hAnsi="Palatino Linotype" w:cs="Palatino Linotype"/>
          <w:b/>
          <w:color w:val="000000" w:themeColor="text1"/>
        </w:rPr>
        <w:t xml:space="preserve">de fecha once </w:t>
      </w:r>
      <w:r w:rsidR="00252505" w:rsidRPr="00EE2306">
        <w:rPr>
          <w:rFonts w:ascii="Palatino Linotype" w:eastAsia="Palatino Linotype" w:hAnsi="Palatino Linotype" w:cs="Palatino Linotype"/>
          <w:b/>
          <w:color w:val="000000" w:themeColor="text1"/>
        </w:rPr>
        <w:t>(</w:t>
      </w:r>
      <w:r w:rsidR="00333C5D" w:rsidRPr="00EE2306">
        <w:rPr>
          <w:rFonts w:ascii="Palatino Linotype" w:eastAsia="Palatino Linotype" w:hAnsi="Palatino Linotype" w:cs="Palatino Linotype"/>
          <w:b/>
          <w:color w:val="000000" w:themeColor="text1"/>
        </w:rPr>
        <w:t>11</w:t>
      </w:r>
      <w:r w:rsidR="00252505" w:rsidRPr="00EE2306">
        <w:rPr>
          <w:rFonts w:ascii="Palatino Linotype" w:eastAsia="Palatino Linotype" w:hAnsi="Palatino Linotype" w:cs="Palatino Linotype"/>
          <w:b/>
          <w:color w:val="000000" w:themeColor="text1"/>
        </w:rPr>
        <w:t>) de junio</w:t>
      </w:r>
      <w:r w:rsidRPr="00EE2306">
        <w:rPr>
          <w:rFonts w:ascii="Palatino Linotype" w:eastAsia="Palatino Linotype" w:hAnsi="Palatino Linotype" w:cs="Palatino Linotype"/>
          <w:b/>
          <w:color w:val="000000" w:themeColor="text1"/>
        </w:rPr>
        <w:t xml:space="preserve"> de dos mil veinticinco</w:t>
      </w:r>
      <w:r w:rsidRPr="00EE2306">
        <w:rPr>
          <w:rFonts w:ascii="Palatino Linotype" w:eastAsia="Palatino Linotype" w:hAnsi="Palatino Linotype" w:cs="Palatino Linotype"/>
          <w:color w:val="000000" w:themeColor="text1"/>
        </w:rPr>
        <w:t>.</w:t>
      </w:r>
    </w:p>
    <w:p w14:paraId="6CCD2286" w14:textId="77777777" w:rsidR="00EB0F49" w:rsidRPr="00EE2306" w:rsidRDefault="00EB0F49" w:rsidP="00333C5D">
      <w:pPr>
        <w:tabs>
          <w:tab w:val="left" w:pos="0"/>
          <w:tab w:val="left" w:pos="567"/>
        </w:tabs>
        <w:spacing w:line="360" w:lineRule="auto"/>
        <w:jc w:val="both"/>
        <w:rPr>
          <w:rFonts w:ascii="Palatino Linotype" w:eastAsia="Palatino Linotype" w:hAnsi="Palatino Linotype" w:cs="Palatino Linotype"/>
          <w:color w:val="000000" w:themeColor="text1"/>
        </w:rPr>
      </w:pPr>
    </w:p>
    <w:p w14:paraId="14B25137" w14:textId="60468EC2" w:rsidR="00EB0F49" w:rsidRPr="00EE2306" w:rsidRDefault="001D3081" w:rsidP="00333C5D">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EE2306">
        <w:rPr>
          <w:rFonts w:ascii="Palatino Linotype" w:eastAsia="Palatino Linotype" w:hAnsi="Palatino Linotype" w:cs="Palatino Linotype"/>
          <w:b/>
          <w:color w:val="000000" w:themeColor="text1"/>
        </w:rPr>
        <w:t>VISTO</w:t>
      </w:r>
      <w:r w:rsidRPr="00EE2306">
        <w:rPr>
          <w:rFonts w:ascii="Palatino Linotype" w:eastAsia="Palatino Linotype" w:hAnsi="Palatino Linotype" w:cs="Palatino Linotype"/>
          <w:color w:val="000000" w:themeColor="text1"/>
        </w:rPr>
        <w:t xml:space="preserve"> el expediente electrónico formado con motivo del recurso de revisión </w:t>
      </w:r>
      <w:r w:rsidR="009E50F9" w:rsidRPr="00EE2306">
        <w:rPr>
          <w:rFonts w:ascii="Palatino Linotype" w:eastAsia="Palatino Linotype" w:hAnsi="Palatino Linotype" w:cs="Palatino Linotype"/>
          <w:b/>
          <w:color w:val="000000" w:themeColor="text1"/>
        </w:rPr>
        <w:t>01283</w:t>
      </w:r>
      <w:r w:rsidRPr="00EE2306">
        <w:rPr>
          <w:rFonts w:ascii="Palatino Linotype" w:eastAsia="Palatino Linotype" w:hAnsi="Palatino Linotype" w:cs="Palatino Linotype"/>
          <w:b/>
          <w:color w:val="000000" w:themeColor="text1"/>
        </w:rPr>
        <w:t>/INFOEM/IP/RR/2025</w:t>
      </w:r>
      <w:r w:rsidRPr="00EE2306">
        <w:rPr>
          <w:rFonts w:ascii="Palatino Linotype" w:eastAsia="Palatino Linotype" w:hAnsi="Palatino Linotype" w:cs="Palatino Linotype"/>
          <w:color w:val="000000" w:themeColor="text1"/>
        </w:rPr>
        <w:t>,</w:t>
      </w:r>
      <w:r w:rsidRPr="00EE2306">
        <w:rPr>
          <w:rFonts w:ascii="Palatino Linotype" w:eastAsia="Palatino Linotype" w:hAnsi="Palatino Linotype" w:cs="Palatino Linotype"/>
          <w:b/>
          <w:color w:val="000000" w:themeColor="text1"/>
        </w:rPr>
        <w:t xml:space="preserve"> </w:t>
      </w:r>
      <w:r w:rsidRPr="00EE2306">
        <w:rPr>
          <w:rFonts w:ascii="Palatino Linotype" w:eastAsia="Palatino Linotype" w:hAnsi="Palatino Linotype" w:cs="Palatino Linotype"/>
          <w:color w:val="000000" w:themeColor="text1"/>
        </w:rPr>
        <w:t xml:space="preserve">promovido por </w:t>
      </w:r>
      <w:r w:rsidR="00333C5D" w:rsidRPr="00EE2306">
        <w:rPr>
          <w:rFonts w:ascii="Palatino Linotype" w:eastAsia="Palatino Linotype" w:hAnsi="Palatino Linotype" w:cs="Palatino Linotype"/>
          <w:b/>
          <w:color w:val="000000" w:themeColor="text1"/>
        </w:rPr>
        <w:t xml:space="preserve">una persona que no proporcionó datos de identificación, </w:t>
      </w:r>
      <w:r w:rsidR="00333C5D" w:rsidRPr="00EE2306">
        <w:rPr>
          <w:rFonts w:ascii="Palatino Linotype" w:eastAsia="Palatino Linotype" w:hAnsi="Palatino Linotype" w:cs="Palatino Linotype"/>
          <w:color w:val="000000" w:themeColor="text1"/>
        </w:rPr>
        <w:t xml:space="preserve">a quien en lo sucesivo identificaremos como </w:t>
      </w:r>
      <w:r w:rsidR="00333C5D" w:rsidRPr="00EE2306">
        <w:rPr>
          <w:rFonts w:ascii="Palatino Linotype" w:eastAsia="Palatino Linotype" w:hAnsi="Palatino Linotype" w:cs="Palatino Linotype"/>
          <w:b/>
          <w:color w:val="000000" w:themeColor="text1"/>
        </w:rPr>
        <w:t xml:space="preserve">EL </w:t>
      </w:r>
      <w:r w:rsidR="00597F01" w:rsidRPr="00EE2306">
        <w:rPr>
          <w:rFonts w:ascii="Palatino Linotype" w:eastAsia="Palatino Linotype" w:hAnsi="Palatino Linotype" w:cs="Palatino Linotype"/>
          <w:b/>
          <w:color w:val="000000" w:themeColor="text1"/>
        </w:rPr>
        <w:t>RECURRENTE</w:t>
      </w:r>
      <w:r w:rsidR="000328FD" w:rsidRPr="00EE2306">
        <w:rPr>
          <w:rFonts w:ascii="Palatino Linotype" w:eastAsia="Palatino Linotype" w:hAnsi="Palatino Linotype" w:cs="Palatino Linotype"/>
          <w:color w:val="000000" w:themeColor="text1"/>
        </w:rPr>
        <w:t xml:space="preserve">, en contra de la respuesta del </w:t>
      </w:r>
      <w:r w:rsidR="000328FD" w:rsidRPr="00EE2306">
        <w:rPr>
          <w:rFonts w:ascii="Palatino Linotype" w:eastAsia="Palatino Linotype" w:hAnsi="Palatino Linotype" w:cs="Palatino Linotype"/>
          <w:b/>
          <w:color w:val="000000" w:themeColor="text1"/>
        </w:rPr>
        <w:t xml:space="preserve">Ayuntamiento de </w:t>
      </w:r>
      <w:r w:rsidR="009E50F9" w:rsidRPr="00EE2306">
        <w:rPr>
          <w:rFonts w:ascii="Palatino Linotype" w:eastAsia="Palatino Linotype" w:hAnsi="Palatino Linotype" w:cs="Palatino Linotype"/>
          <w:b/>
          <w:color w:val="000000" w:themeColor="text1"/>
        </w:rPr>
        <w:t>Toluca</w:t>
      </w:r>
      <w:r w:rsidRPr="00EE2306">
        <w:rPr>
          <w:rFonts w:ascii="Palatino Linotype" w:eastAsia="Palatino Linotype" w:hAnsi="Palatino Linotype" w:cs="Palatino Linotype"/>
          <w:b/>
          <w:color w:val="000000" w:themeColor="text1"/>
        </w:rPr>
        <w:t xml:space="preserve">, </w:t>
      </w:r>
      <w:r w:rsidRPr="00EE2306">
        <w:rPr>
          <w:rFonts w:ascii="Palatino Linotype" w:eastAsia="Palatino Linotype" w:hAnsi="Palatino Linotype" w:cs="Palatino Linotype"/>
          <w:color w:val="000000" w:themeColor="text1"/>
        </w:rPr>
        <w:t>en adelante el</w:t>
      </w:r>
      <w:r w:rsidRPr="00EE2306">
        <w:rPr>
          <w:rFonts w:ascii="Palatino Linotype" w:eastAsia="Palatino Linotype" w:hAnsi="Palatino Linotype" w:cs="Palatino Linotype"/>
          <w:b/>
          <w:color w:val="000000" w:themeColor="text1"/>
        </w:rPr>
        <w:t xml:space="preserve"> SUJETO OBLIGADO</w:t>
      </w:r>
      <w:r w:rsidRPr="00EE2306">
        <w:rPr>
          <w:rFonts w:ascii="Palatino Linotype" w:eastAsia="Palatino Linotype" w:hAnsi="Palatino Linotype" w:cs="Palatino Linotype"/>
          <w:color w:val="000000" w:themeColor="text1"/>
        </w:rPr>
        <w:t>, se procede a dictar la presente resolución, con base en los siguientes:</w:t>
      </w:r>
    </w:p>
    <w:p w14:paraId="17E25910" w14:textId="77777777" w:rsidR="00EB0F49" w:rsidRPr="00EE2306" w:rsidRDefault="00EB0F49" w:rsidP="00333C5D">
      <w:pPr>
        <w:tabs>
          <w:tab w:val="left" w:pos="0"/>
        </w:tabs>
        <w:spacing w:line="360" w:lineRule="auto"/>
        <w:jc w:val="both"/>
        <w:rPr>
          <w:rFonts w:ascii="Palatino Linotype" w:eastAsia="Palatino Linotype" w:hAnsi="Palatino Linotype" w:cs="Palatino Linotype"/>
          <w:color w:val="000000" w:themeColor="text1"/>
        </w:rPr>
      </w:pPr>
    </w:p>
    <w:p w14:paraId="617F897C" w14:textId="77777777" w:rsidR="00EB0F49" w:rsidRPr="00EE2306" w:rsidRDefault="001D3081" w:rsidP="00333C5D">
      <w:pPr>
        <w:pStyle w:val="Ttulo1"/>
        <w:tabs>
          <w:tab w:val="left" w:pos="0"/>
          <w:tab w:val="left" w:pos="567"/>
        </w:tabs>
        <w:spacing w:before="0" w:line="360" w:lineRule="auto"/>
        <w:jc w:val="center"/>
        <w:rPr>
          <w:b w:val="0"/>
          <w:szCs w:val="24"/>
        </w:rPr>
      </w:pPr>
      <w:bookmarkStart w:id="3" w:name="_heading=h.30j0zll" w:colFirst="0" w:colLast="0"/>
      <w:bookmarkEnd w:id="3"/>
      <w:r w:rsidRPr="00EE2306">
        <w:rPr>
          <w:szCs w:val="24"/>
        </w:rPr>
        <w:t>A N T E C E D E N T E S</w:t>
      </w:r>
    </w:p>
    <w:p w14:paraId="74CA4F9B" w14:textId="77777777" w:rsidR="00EB0F49" w:rsidRPr="00EE2306" w:rsidRDefault="00EB0F49" w:rsidP="00333C5D">
      <w:pPr>
        <w:pStyle w:val="Ttulo1"/>
        <w:tabs>
          <w:tab w:val="left" w:pos="0"/>
          <w:tab w:val="left" w:pos="567"/>
        </w:tabs>
        <w:spacing w:before="0" w:line="360" w:lineRule="auto"/>
        <w:jc w:val="center"/>
        <w:rPr>
          <w:szCs w:val="24"/>
        </w:rPr>
      </w:pPr>
    </w:p>
    <w:p w14:paraId="105CED4A" w14:textId="05EF36BE" w:rsidR="00EB0F49" w:rsidRPr="00EE2306" w:rsidRDefault="001D3081" w:rsidP="00333C5D">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EE2306">
        <w:rPr>
          <w:rFonts w:ascii="Palatino Linotype" w:eastAsia="Palatino Linotype" w:hAnsi="Palatino Linotype" w:cs="Palatino Linotype"/>
          <w:color w:val="000000" w:themeColor="text1"/>
        </w:rPr>
        <w:t xml:space="preserve">El </w:t>
      </w:r>
      <w:r w:rsidR="009E50F9" w:rsidRPr="00EE2306">
        <w:rPr>
          <w:rFonts w:ascii="Palatino Linotype" w:eastAsia="Palatino Linotype" w:hAnsi="Palatino Linotype" w:cs="Palatino Linotype"/>
          <w:b/>
          <w:color w:val="000000" w:themeColor="text1"/>
        </w:rPr>
        <w:t>veintiuno</w:t>
      </w:r>
      <w:r w:rsidR="00292F08" w:rsidRPr="00EE2306">
        <w:rPr>
          <w:rFonts w:ascii="Palatino Linotype" w:eastAsia="Palatino Linotype" w:hAnsi="Palatino Linotype" w:cs="Palatino Linotype"/>
          <w:b/>
          <w:color w:val="000000" w:themeColor="text1"/>
        </w:rPr>
        <w:t xml:space="preserve"> de enero de dos mil veinticinco</w:t>
      </w:r>
      <w:r w:rsidRPr="00EE2306">
        <w:rPr>
          <w:rFonts w:ascii="Palatino Linotype" w:eastAsia="Palatino Linotype" w:hAnsi="Palatino Linotype" w:cs="Palatino Linotype"/>
          <w:b/>
          <w:color w:val="000000" w:themeColor="text1"/>
        </w:rPr>
        <w:t xml:space="preserve">, </w:t>
      </w:r>
      <w:r w:rsidRPr="00EE2306">
        <w:rPr>
          <w:rFonts w:ascii="Palatino Linotype" w:eastAsia="Palatino Linotype" w:hAnsi="Palatino Linotype" w:cs="Palatino Linotype"/>
          <w:color w:val="000000" w:themeColor="text1"/>
        </w:rPr>
        <w:t xml:space="preserve">se presentó ante el </w:t>
      </w:r>
      <w:r w:rsidRPr="00EE2306">
        <w:rPr>
          <w:rFonts w:ascii="Palatino Linotype" w:eastAsia="Palatino Linotype" w:hAnsi="Palatino Linotype" w:cs="Palatino Linotype"/>
          <w:b/>
          <w:color w:val="000000" w:themeColor="text1"/>
        </w:rPr>
        <w:t>SUJETO OBLIGADO</w:t>
      </w:r>
      <w:r w:rsidRPr="00EE2306">
        <w:rPr>
          <w:rFonts w:ascii="Palatino Linotype" w:eastAsia="Palatino Linotype" w:hAnsi="Palatino Linotype" w:cs="Palatino Linotype"/>
          <w:color w:val="000000" w:themeColor="text1"/>
        </w:rPr>
        <w:t xml:space="preserve"> vía SAIMEX, la solicitud de información pública registrada con el número</w:t>
      </w:r>
      <w:r w:rsidR="009E50F9" w:rsidRPr="00EE2306">
        <w:rPr>
          <w:rFonts w:ascii="Palatino Linotype" w:eastAsia="Palatino Linotype" w:hAnsi="Palatino Linotype" w:cs="Palatino Linotype"/>
          <w:b/>
          <w:color w:val="000000" w:themeColor="text1"/>
        </w:rPr>
        <w:t xml:space="preserve"> 00418</w:t>
      </w:r>
      <w:r w:rsidRPr="00EE2306">
        <w:rPr>
          <w:rFonts w:ascii="Palatino Linotype" w:eastAsia="Palatino Linotype" w:hAnsi="Palatino Linotype" w:cs="Palatino Linotype"/>
          <w:b/>
          <w:color w:val="000000" w:themeColor="text1"/>
        </w:rPr>
        <w:t>/</w:t>
      </w:r>
      <w:r w:rsidR="009E50F9" w:rsidRPr="00EE2306">
        <w:rPr>
          <w:rFonts w:ascii="Palatino Linotype" w:eastAsia="Palatino Linotype" w:hAnsi="Palatino Linotype" w:cs="Palatino Linotype"/>
          <w:b/>
          <w:color w:val="000000" w:themeColor="text1"/>
        </w:rPr>
        <w:t>TOLUCA</w:t>
      </w:r>
      <w:r w:rsidRPr="00EE2306">
        <w:rPr>
          <w:rFonts w:ascii="Palatino Linotype" w:eastAsia="Palatino Linotype" w:hAnsi="Palatino Linotype" w:cs="Palatino Linotype"/>
          <w:b/>
          <w:color w:val="000000" w:themeColor="text1"/>
        </w:rPr>
        <w:t xml:space="preserve">/IP/2025; </w:t>
      </w:r>
      <w:r w:rsidR="00F3688F">
        <w:rPr>
          <w:rFonts w:ascii="Palatino Linotype" w:eastAsia="Palatino Linotype" w:hAnsi="Palatino Linotype" w:cs="Palatino Linotype"/>
          <w:color w:val="000000" w:themeColor="text1"/>
        </w:rPr>
        <w:t>en la que</w:t>
      </w:r>
      <w:r w:rsidRPr="00EE2306">
        <w:rPr>
          <w:rFonts w:ascii="Palatino Linotype" w:eastAsia="Palatino Linotype" w:hAnsi="Palatino Linotype" w:cs="Palatino Linotype"/>
          <w:color w:val="000000" w:themeColor="text1"/>
        </w:rPr>
        <w:t xml:space="preserve"> se solicitó la siguiente información:</w:t>
      </w:r>
    </w:p>
    <w:p w14:paraId="5807ECA6" w14:textId="77777777" w:rsidR="00EB0F49" w:rsidRPr="00EE2306" w:rsidRDefault="00EB0F49" w:rsidP="00333C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430E820F" w14:textId="43EA544E" w:rsidR="001D3081" w:rsidRPr="00EE2306" w:rsidRDefault="001D3081" w:rsidP="00333C5D">
      <w:pPr>
        <w:pBdr>
          <w:top w:val="nil"/>
          <w:left w:val="nil"/>
          <w:bottom w:val="nil"/>
          <w:right w:val="nil"/>
          <w:between w:val="nil"/>
        </w:pBdr>
        <w:tabs>
          <w:tab w:val="left" w:pos="0"/>
        </w:tabs>
        <w:ind w:left="426"/>
        <w:jc w:val="both"/>
        <w:rPr>
          <w:rFonts w:ascii="Palatino Linotype" w:eastAsia="Palatino Linotype" w:hAnsi="Palatino Linotype" w:cs="Palatino Linotype"/>
          <w:i/>
          <w:color w:val="000000" w:themeColor="text1"/>
        </w:rPr>
      </w:pPr>
      <w:r w:rsidRPr="00EE2306">
        <w:rPr>
          <w:rFonts w:ascii="Palatino Linotype" w:eastAsia="Palatino Linotype" w:hAnsi="Palatino Linotype" w:cs="Palatino Linotype"/>
          <w:i/>
          <w:color w:val="000000" w:themeColor="text1"/>
        </w:rPr>
        <w:t>“</w:t>
      </w:r>
      <w:r w:rsidR="009E50F9" w:rsidRPr="00EE2306">
        <w:rPr>
          <w:rFonts w:ascii="Palatino Linotype" w:hAnsi="Palatino Linotype"/>
          <w:i/>
          <w:color w:val="000000" w:themeColor="text1"/>
        </w:rPr>
        <w:t>Cuantos Arboles de plantaron 2024 cuanto costo cada arbol y como se pagaron, se solicitan los vales de salidad de los arboles de 2024 y el programa de reforestación para este 2025.</w:t>
      </w:r>
      <w:r w:rsidRPr="00EE2306">
        <w:rPr>
          <w:rFonts w:ascii="Palatino Linotype" w:hAnsi="Palatino Linotype"/>
          <w:i/>
          <w:color w:val="000000" w:themeColor="text1"/>
        </w:rPr>
        <w:t>”</w:t>
      </w:r>
      <w:r w:rsidRPr="00EE2306">
        <w:rPr>
          <w:rFonts w:ascii="Palatino Linotype" w:eastAsia="Palatino Linotype" w:hAnsi="Palatino Linotype" w:cs="Palatino Linotype"/>
          <w:i/>
          <w:color w:val="000000" w:themeColor="text1"/>
        </w:rPr>
        <w:t xml:space="preserve"> (Sic)</w:t>
      </w:r>
    </w:p>
    <w:p w14:paraId="1EA0468E" w14:textId="77777777" w:rsidR="001D3081" w:rsidRPr="00EE2306" w:rsidRDefault="001D3081" w:rsidP="00333C5D">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05BF658B" w14:textId="77777777" w:rsidR="001D3081" w:rsidRPr="00EE2306" w:rsidRDefault="001D3081" w:rsidP="00333C5D">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EE2306">
        <w:rPr>
          <w:rFonts w:ascii="Palatino Linotype" w:eastAsia="Palatino Linotype" w:hAnsi="Palatino Linotype" w:cs="Palatino Linotype"/>
          <w:color w:val="000000" w:themeColor="text1"/>
        </w:rPr>
        <w:t xml:space="preserve">Se eligió como modalidad de entrega de la información: A través del </w:t>
      </w:r>
      <w:r w:rsidRPr="00EE2306">
        <w:rPr>
          <w:rFonts w:ascii="Palatino Linotype" w:eastAsia="Palatino Linotype" w:hAnsi="Palatino Linotype" w:cs="Palatino Linotype"/>
          <w:b/>
          <w:color w:val="000000" w:themeColor="text1"/>
        </w:rPr>
        <w:t>SAIMEX.</w:t>
      </w:r>
    </w:p>
    <w:p w14:paraId="1AA74291" w14:textId="77777777" w:rsidR="001D3081" w:rsidRPr="00EE2306" w:rsidRDefault="001D3081" w:rsidP="00333C5D">
      <w:pPr>
        <w:pBdr>
          <w:top w:val="nil"/>
          <w:left w:val="nil"/>
          <w:bottom w:val="nil"/>
          <w:right w:val="nil"/>
          <w:between w:val="nil"/>
        </w:pBdr>
        <w:tabs>
          <w:tab w:val="left" w:pos="0"/>
        </w:tabs>
        <w:jc w:val="both"/>
        <w:rPr>
          <w:rFonts w:ascii="Palatino Linotype" w:hAnsi="Palatino Linotype"/>
          <w:color w:val="000000" w:themeColor="text1"/>
        </w:rPr>
      </w:pPr>
    </w:p>
    <w:p w14:paraId="1DB16994" w14:textId="3162429C" w:rsidR="00EB0F49" w:rsidRPr="00EE2306" w:rsidRDefault="001D3081" w:rsidP="00333C5D">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EE2306">
        <w:rPr>
          <w:rFonts w:ascii="Palatino Linotype" w:eastAsia="Palatino Linotype" w:hAnsi="Palatino Linotype" w:cs="Palatino Linotype"/>
          <w:color w:val="000000" w:themeColor="text1"/>
        </w:rPr>
        <w:t xml:space="preserve">El </w:t>
      </w:r>
      <w:r w:rsidR="009E50F9" w:rsidRPr="00EE2306">
        <w:rPr>
          <w:rFonts w:ascii="Palatino Linotype" w:eastAsia="Palatino Linotype" w:hAnsi="Palatino Linotype" w:cs="Palatino Linotype"/>
          <w:b/>
          <w:color w:val="000000" w:themeColor="text1"/>
        </w:rPr>
        <w:t>doce</w:t>
      </w:r>
      <w:r w:rsidR="00292F08" w:rsidRPr="00EE2306">
        <w:rPr>
          <w:rFonts w:ascii="Palatino Linotype" w:eastAsia="Palatino Linotype" w:hAnsi="Palatino Linotype" w:cs="Palatino Linotype"/>
          <w:b/>
          <w:color w:val="000000" w:themeColor="text1"/>
        </w:rPr>
        <w:t xml:space="preserve"> de febrero</w:t>
      </w:r>
      <w:r w:rsidRPr="00EE2306">
        <w:rPr>
          <w:rFonts w:ascii="Palatino Linotype" w:eastAsia="Palatino Linotype" w:hAnsi="Palatino Linotype" w:cs="Palatino Linotype"/>
          <w:b/>
          <w:color w:val="000000" w:themeColor="text1"/>
        </w:rPr>
        <w:t xml:space="preserve"> de dos mil veinticinco</w:t>
      </w:r>
      <w:r w:rsidRPr="00EE2306">
        <w:rPr>
          <w:rFonts w:ascii="Palatino Linotype" w:eastAsia="Palatino Linotype" w:hAnsi="Palatino Linotype" w:cs="Palatino Linotype"/>
          <w:color w:val="000000" w:themeColor="text1"/>
        </w:rPr>
        <w:t xml:space="preserve">, el </w:t>
      </w:r>
      <w:r w:rsidRPr="00EE2306">
        <w:rPr>
          <w:rFonts w:ascii="Palatino Linotype" w:eastAsia="Palatino Linotype" w:hAnsi="Palatino Linotype" w:cs="Palatino Linotype"/>
          <w:b/>
          <w:color w:val="000000" w:themeColor="text1"/>
        </w:rPr>
        <w:t>SUJETO OBLIGADO,</w:t>
      </w:r>
      <w:r w:rsidRPr="00EE2306">
        <w:rPr>
          <w:rFonts w:ascii="Palatino Linotype" w:eastAsia="Palatino Linotype" w:hAnsi="Palatino Linotype" w:cs="Palatino Linotype"/>
          <w:color w:val="000000" w:themeColor="text1"/>
        </w:rPr>
        <w:t xml:space="preserve"> dio respuesta a la solicitud de información en el tenor siguiente:</w:t>
      </w:r>
    </w:p>
    <w:p w14:paraId="3A2C0F62" w14:textId="77777777" w:rsidR="001D3081" w:rsidRPr="00EE2306" w:rsidRDefault="001D3081" w:rsidP="00333C5D">
      <w:pPr>
        <w:pBdr>
          <w:top w:val="nil"/>
          <w:left w:val="nil"/>
          <w:bottom w:val="nil"/>
          <w:right w:val="nil"/>
          <w:between w:val="nil"/>
        </w:pBdr>
        <w:tabs>
          <w:tab w:val="left" w:pos="0"/>
        </w:tabs>
        <w:ind w:left="709"/>
        <w:jc w:val="both"/>
        <w:rPr>
          <w:rFonts w:ascii="Palatino Linotype" w:eastAsia="Palatino Linotype" w:hAnsi="Palatino Linotype" w:cs="Palatino Linotype"/>
          <w:i/>
          <w:color w:val="000000" w:themeColor="text1"/>
        </w:rPr>
      </w:pPr>
    </w:p>
    <w:p w14:paraId="4756FA6B" w14:textId="6FD930E3" w:rsidR="001D3081" w:rsidRPr="00EE2306" w:rsidRDefault="007C6197" w:rsidP="00333C5D">
      <w:pPr>
        <w:pBdr>
          <w:top w:val="nil"/>
          <w:left w:val="nil"/>
          <w:bottom w:val="nil"/>
          <w:right w:val="nil"/>
          <w:between w:val="nil"/>
        </w:pBdr>
        <w:tabs>
          <w:tab w:val="left" w:pos="0"/>
        </w:tabs>
        <w:ind w:left="567"/>
        <w:jc w:val="both"/>
        <w:rPr>
          <w:rFonts w:ascii="Palatino Linotype" w:hAnsi="Palatino Linotype"/>
          <w:i/>
          <w:color w:val="000000" w:themeColor="text1"/>
        </w:rPr>
      </w:pPr>
      <w:r w:rsidRPr="00EE2306">
        <w:rPr>
          <w:rFonts w:ascii="Palatino Linotype" w:hAnsi="Palatino Linotype"/>
          <w:i/>
          <w:color w:val="000000" w:themeColor="text1"/>
        </w:rPr>
        <w:t>“</w:t>
      </w:r>
      <w:r w:rsidR="009E50F9" w:rsidRPr="00EE2306">
        <w:rPr>
          <w:rFonts w:ascii="Palatino Linotype" w:hAnsi="Palatino Linotype"/>
          <w:i/>
          <w:color w:val="000000" w:themeColor="text1"/>
        </w:rPr>
        <w:t>En atención a la solicitud con folio 0418/TOLUCA/IP/2025, me permito adjuntar al presente la respuesta correspondiente. Sin más por el momento, reciba un saludo.</w:t>
      </w:r>
      <w:r w:rsidR="001D3081" w:rsidRPr="00EE2306">
        <w:rPr>
          <w:rFonts w:ascii="Palatino Linotype" w:hAnsi="Palatino Linotype"/>
          <w:i/>
          <w:color w:val="000000" w:themeColor="text1"/>
        </w:rPr>
        <w:t>” (Sic)</w:t>
      </w:r>
    </w:p>
    <w:p w14:paraId="7D62038C" w14:textId="4D29BA28" w:rsidR="00EB0F49" w:rsidRPr="00EE2306" w:rsidRDefault="00597F01" w:rsidP="00333C5D">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r w:rsidRPr="00EE2306">
        <w:rPr>
          <w:rFonts w:ascii="Palatino Linotype" w:eastAsia="Palatino Linotype" w:hAnsi="Palatino Linotype" w:cs="Palatino Linotype"/>
          <w:color w:val="000000" w:themeColor="text1"/>
        </w:rPr>
        <w:lastRenderedPageBreak/>
        <w:t>Archivos electrónicos adjuntos:</w:t>
      </w:r>
    </w:p>
    <w:p w14:paraId="54D77FE0" w14:textId="77777777" w:rsidR="00597F01" w:rsidRPr="00EE2306" w:rsidRDefault="00597F01" w:rsidP="00333C5D">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p>
    <w:p w14:paraId="009455FF" w14:textId="2262AF1C" w:rsidR="002E70EF" w:rsidRPr="00EE2306" w:rsidRDefault="00FB3624" w:rsidP="00333C5D">
      <w:pPr>
        <w:tabs>
          <w:tab w:val="left" w:pos="0"/>
        </w:tabs>
        <w:ind w:left="567"/>
        <w:jc w:val="both"/>
        <w:rPr>
          <w:rFonts w:ascii="Palatino Linotype" w:hAnsi="Palatino Linotype"/>
          <w:color w:val="000000" w:themeColor="text1"/>
        </w:rPr>
      </w:pPr>
      <w:hyperlink r:id="rId8" w:tgtFrame="_blank" w:history="1">
        <w:r w:rsidR="009E50F9" w:rsidRPr="00EE2306">
          <w:rPr>
            <w:rStyle w:val="Hipervnculo"/>
            <w:rFonts w:ascii="Palatino Linotype" w:hAnsi="Palatino Linotype" w:cs="Arial"/>
            <w:b/>
            <w:bCs/>
            <w:color w:val="000000" w:themeColor="text1"/>
            <w:u w:val="none"/>
          </w:rPr>
          <w:t>Estado-Analitico-del-Ejercicio-por-Clasificacion-por-Objeto-del-Gasto.pdf</w:t>
        </w:r>
      </w:hyperlink>
      <w:r w:rsidR="009E50F9" w:rsidRPr="00EE2306">
        <w:rPr>
          <w:rFonts w:ascii="Palatino Linotype" w:hAnsi="Palatino Linotype"/>
          <w:color w:val="000000" w:themeColor="text1"/>
        </w:rPr>
        <w:t>:</w:t>
      </w:r>
      <w:r w:rsidR="002E70EF" w:rsidRPr="00EE2306">
        <w:rPr>
          <w:rFonts w:ascii="Palatino Linotype" w:hAnsi="Palatino Linotype"/>
          <w:color w:val="000000" w:themeColor="text1"/>
        </w:rPr>
        <w:t xml:space="preserve"> Copia digitalizada del Estado Analítico del Ejercicio del Presupuesto de Egresos, Clasificación por Objeto de Gasto (Capitulo y Concepto), del 1 de enero al 30 de septiembre (tercer trimestre) del ejercicio fiscal 2024.</w:t>
      </w:r>
    </w:p>
    <w:p w14:paraId="1B0EA16E" w14:textId="77777777" w:rsidR="005B69B7" w:rsidRPr="00EE2306" w:rsidRDefault="005B69B7" w:rsidP="00333C5D">
      <w:pPr>
        <w:tabs>
          <w:tab w:val="left" w:pos="0"/>
        </w:tabs>
        <w:ind w:left="567"/>
        <w:jc w:val="both"/>
        <w:rPr>
          <w:rFonts w:ascii="Palatino Linotype" w:hAnsi="Palatino Linotype"/>
          <w:color w:val="000000" w:themeColor="text1"/>
        </w:rPr>
      </w:pPr>
    </w:p>
    <w:p w14:paraId="1F662F90" w14:textId="312F6C5C" w:rsidR="005B69B7" w:rsidRPr="00EE2306" w:rsidRDefault="00FB3624" w:rsidP="00333C5D">
      <w:pPr>
        <w:tabs>
          <w:tab w:val="left" w:pos="0"/>
        </w:tabs>
        <w:ind w:left="567"/>
        <w:jc w:val="both"/>
        <w:rPr>
          <w:rFonts w:ascii="Palatino Linotype" w:hAnsi="Palatino Linotype"/>
          <w:color w:val="000000" w:themeColor="text1"/>
        </w:rPr>
      </w:pPr>
      <w:hyperlink r:id="rId9" w:tgtFrame="_blank" w:history="1">
        <w:r w:rsidR="009E50F9" w:rsidRPr="00EE2306">
          <w:rPr>
            <w:rStyle w:val="Hipervnculo"/>
            <w:rFonts w:ascii="Palatino Linotype" w:hAnsi="Palatino Linotype" w:cs="Arial"/>
            <w:b/>
            <w:bCs/>
            <w:color w:val="000000" w:themeColor="text1"/>
            <w:u w:val="none"/>
          </w:rPr>
          <w:t>ANEXO I. LOS VALES DE SALIDA DE LOS ARBOLES 2024.pdf</w:t>
        </w:r>
      </w:hyperlink>
      <w:r w:rsidR="009E50F9" w:rsidRPr="00EE2306">
        <w:rPr>
          <w:rFonts w:ascii="Palatino Linotype" w:hAnsi="Palatino Linotype"/>
          <w:color w:val="000000" w:themeColor="text1"/>
        </w:rPr>
        <w:t>:</w:t>
      </w:r>
      <w:r w:rsidR="002E70EF" w:rsidRPr="00EE2306">
        <w:rPr>
          <w:rFonts w:ascii="Palatino Linotype" w:hAnsi="Palatino Linotype"/>
          <w:color w:val="000000" w:themeColor="text1"/>
        </w:rPr>
        <w:t xml:space="preserve"> Documento de 521 páginas, consistente en la c</w:t>
      </w:r>
      <w:r w:rsidR="005B69B7" w:rsidRPr="00EE2306">
        <w:rPr>
          <w:rFonts w:ascii="Palatino Linotype" w:hAnsi="Palatino Linotype"/>
          <w:color w:val="000000" w:themeColor="text1"/>
        </w:rPr>
        <w:t>opia digitalizada de los vales de orden de salida de plantas del viver</w:t>
      </w:r>
      <w:r w:rsidR="002E70EF" w:rsidRPr="00EE2306">
        <w:rPr>
          <w:rFonts w:ascii="Palatino Linotype" w:hAnsi="Palatino Linotype"/>
          <w:color w:val="000000" w:themeColor="text1"/>
        </w:rPr>
        <w:t xml:space="preserve">o municipal Alameda 2000, </w:t>
      </w:r>
      <w:r w:rsidR="005B69B7" w:rsidRPr="00EE2306">
        <w:rPr>
          <w:rFonts w:ascii="Palatino Linotype" w:hAnsi="Palatino Linotype"/>
          <w:color w:val="000000" w:themeColor="text1"/>
        </w:rPr>
        <w:t>de 2024</w:t>
      </w:r>
      <w:r w:rsidR="002E70EF" w:rsidRPr="00EE2306">
        <w:rPr>
          <w:rFonts w:ascii="Palatino Linotype" w:hAnsi="Palatino Linotype"/>
          <w:color w:val="000000" w:themeColor="text1"/>
        </w:rPr>
        <w:t>.</w:t>
      </w:r>
    </w:p>
    <w:p w14:paraId="343B15AD" w14:textId="77777777" w:rsidR="005B69B7" w:rsidRPr="00EE2306" w:rsidRDefault="005B69B7" w:rsidP="00333C5D">
      <w:pPr>
        <w:tabs>
          <w:tab w:val="left" w:pos="0"/>
        </w:tabs>
        <w:ind w:left="567"/>
        <w:jc w:val="both"/>
        <w:rPr>
          <w:rFonts w:ascii="Palatino Linotype" w:hAnsi="Palatino Linotype"/>
          <w:color w:val="000000" w:themeColor="text1"/>
        </w:rPr>
      </w:pPr>
    </w:p>
    <w:p w14:paraId="59A3BFE4" w14:textId="0B1761C6" w:rsidR="009E50F9" w:rsidRPr="00EE2306" w:rsidRDefault="00FB3624" w:rsidP="00333C5D">
      <w:pPr>
        <w:tabs>
          <w:tab w:val="left" w:pos="0"/>
        </w:tabs>
        <w:ind w:left="567"/>
        <w:jc w:val="both"/>
        <w:rPr>
          <w:rFonts w:ascii="Palatino Linotype" w:hAnsi="Palatino Linotype"/>
          <w:color w:val="000000" w:themeColor="text1"/>
        </w:rPr>
      </w:pPr>
      <w:hyperlink r:id="rId10" w:tgtFrame="_blank" w:history="1">
        <w:r w:rsidR="009E50F9" w:rsidRPr="00EE2306">
          <w:rPr>
            <w:rStyle w:val="Hipervnculo"/>
            <w:rFonts w:ascii="Palatino Linotype" w:hAnsi="Palatino Linotype" w:cs="Arial"/>
            <w:b/>
            <w:bCs/>
            <w:color w:val="000000" w:themeColor="text1"/>
            <w:u w:val="none"/>
          </w:rPr>
          <w:t>ACTA NONAGÉSIMA PRIMERA SESIÓN EXTRAORDINARIA 2025.pdf</w:t>
        </w:r>
      </w:hyperlink>
      <w:r w:rsidR="009E50F9" w:rsidRPr="00EE2306">
        <w:rPr>
          <w:rFonts w:ascii="Palatino Linotype" w:hAnsi="Palatino Linotype"/>
          <w:color w:val="000000" w:themeColor="text1"/>
        </w:rPr>
        <w:t>:</w:t>
      </w:r>
      <w:r w:rsidR="005B69B7" w:rsidRPr="00EE2306">
        <w:rPr>
          <w:rFonts w:ascii="Palatino Linotype" w:hAnsi="Palatino Linotype"/>
          <w:color w:val="000000" w:themeColor="text1"/>
        </w:rPr>
        <w:t xml:space="preserve"> Copia digitalizada del Acta número CT/SE/91/2025 de la Nonagésima Primera Sesión Extraordinaria de 2025 del Comité de Transparencia del Municipio de Toluca, por medio de la cual, se aprobó la propuesta de clasificación como información confidencial de forma parcial, de los datos personales contenidos en vales de salida de los arboles 2024, para dar respuesta a la solicitud de información número 00418/TOLUCA/IP/2025.</w:t>
      </w:r>
    </w:p>
    <w:p w14:paraId="76A0A250" w14:textId="77777777" w:rsidR="00D97891" w:rsidRPr="00EE2306" w:rsidRDefault="00D97891" w:rsidP="00333C5D">
      <w:pPr>
        <w:tabs>
          <w:tab w:val="left" w:pos="0"/>
        </w:tabs>
        <w:ind w:left="567"/>
        <w:jc w:val="both"/>
        <w:rPr>
          <w:rFonts w:ascii="Palatino Linotype" w:hAnsi="Palatino Linotype"/>
          <w:color w:val="000000" w:themeColor="text1"/>
        </w:rPr>
      </w:pPr>
    </w:p>
    <w:p w14:paraId="41065CC4" w14:textId="26E3F649" w:rsidR="00D97891" w:rsidRPr="00EE2306" w:rsidRDefault="00FB3624" w:rsidP="00333C5D">
      <w:pPr>
        <w:tabs>
          <w:tab w:val="left" w:pos="0"/>
        </w:tabs>
        <w:ind w:left="567"/>
        <w:jc w:val="both"/>
        <w:rPr>
          <w:rFonts w:ascii="Palatino Linotype" w:hAnsi="Palatino Linotype"/>
          <w:color w:val="000000" w:themeColor="text1"/>
        </w:rPr>
      </w:pPr>
      <w:hyperlink r:id="rId11" w:tgtFrame="_blank" w:history="1">
        <w:r w:rsidR="009E50F9" w:rsidRPr="00EE2306">
          <w:rPr>
            <w:rStyle w:val="Hipervnculo"/>
            <w:rFonts w:ascii="Palatino Linotype" w:hAnsi="Palatino Linotype" w:cs="Arial"/>
            <w:b/>
            <w:bCs/>
            <w:color w:val="000000" w:themeColor="text1"/>
            <w:u w:val="none"/>
          </w:rPr>
          <w:t>RESPUESTA 418. 2025.pdf</w:t>
        </w:r>
      </w:hyperlink>
      <w:r w:rsidR="009E50F9" w:rsidRPr="00EE2306">
        <w:rPr>
          <w:rFonts w:ascii="Palatino Linotype" w:hAnsi="Palatino Linotype"/>
          <w:color w:val="000000" w:themeColor="text1"/>
        </w:rPr>
        <w:t>:</w:t>
      </w:r>
      <w:r w:rsidR="00D97891" w:rsidRPr="00EE2306">
        <w:rPr>
          <w:rFonts w:ascii="Palatino Linotype" w:hAnsi="Palatino Linotype"/>
          <w:color w:val="000000" w:themeColor="text1"/>
        </w:rPr>
        <w:t xml:space="preserve"> Oficio suscrito por el Titular de la Unidad de Transparencia, por medio del cual, </w:t>
      </w:r>
      <w:r w:rsidR="00CD7446" w:rsidRPr="00EE2306">
        <w:rPr>
          <w:rFonts w:ascii="Palatino Linotype" w:hAnsi="Palatino Linotype"/>
          <w:color w:val="000000" w:themeColor="text1"/>
        </w:rPr>
        <w:t xml:space="preserve">refirió </w:t>
      </w:r>
      <w:r w:rsidR="00D97891" w:rsidRPr="00EE2306">
        <w:rPr>
          <w:rFonts w:ascii="Palatino Linotype" w:hAnsi="Palatino Linotype"/>
          <w:color w:val="000000" w:themeColor="text1"/>
        </w:rPr>
        <w:t>que la Dirección General de Medio Ambiente y Servidora Pública Habilitada</w:t>
      </w:r>
      <w:r w:rsidR="00CD7446" w:rsidRPr="00EE2306">
        <w:rPr>
          <w:rFonts w:ascii="Palatino Linotype" w:hAnsi="Palatino Linotype"/>
          <w:color w:val="000000" w:themeColor="text1"/>
        </w:rPr>
        <w:t xml:space="preserve">, </w:t>
      </w:r>
      <w:r w:rsidR="00D97891" w:rsidRPr="00EE2306">
        <w:rPr>
          <w:rFonts w:ascii="Palatino Linotype" w:hAnsi="Palatino Linotype"/>
          <w:color w:val="000000" w:themeColor="text1"/>
        </w:rPr>
        <w:t xml:space="preserve">informó que durante 2024 se plantaron 145,049 árboles en ANP’s y zona urbana y suburbana. Asimismo, referente al costo de cada árbol, </w:t>
      </w:r>
      <w:r w:rsidR="00CD7446" w:rsidRPr="00EE2306">
        <w:rPr>
          <w:rFonts w:ascii="Palatino Linotype" w:hAnsi="Palatino Linotype"/>
          <w:color w:val="000000" w:themeColor="text1"/>
        </w:rPr>
        <w:t>señaló</w:t>
      </w:r>
      <w:r w:rsidR="00D97891" w:rsidRPr="00EE2306">
        <w:rPr>
          <w:rFonts w:ascii="Palatino Linotype" w:hAnsi="Palatino Linotype"/>
          <w:color w:val="000000" w:themeColor="text1"/>
        </w:rPr>
        <w:t xml:space="preserve"> que la planta que se utilizó para las reforestaciones, se obtuvo mediante las donaciones realizadas al H. Ayuntamiento de Toluca por la Protectora de Bosques (PROBOSQUE), Fundación Grupo México, compensaciones ambientales. Por otro lado, </w:t>
      </w:r>
      <w:r w:rsidR="00CD7446" w:rsidRPr="00EE2306">
        <w:rPr>
          <w:rFonts w:ascii="Palatino Linotype" w:hAnsi="Palatino Linotype"/>
          <w:color w:val="000000" w:themeColor="text1"/>
        </w:rPr>
        <w:t>remitió</w:t>
      </w:r>
      <w:r w:rsidR="00D97891" w:rsidRPr="00EE2306">
        <w:rPr>
          <w:rFonts w:ascii="Palatino Linotype" w:hAnsi="Palatino Linotype"/>
          <w:color w:val="000000" w:themeColor="text1"/>
        </w:rPr>
        <w:t xml:space="preserve"> el Anexo 1 “Vale de orden de salida de planta del vi</w:t>
      </w:r>
      <w:r w:rsidR="002E70EF" w:rsidRPr="00EE2306">
        <w:rPr>
          <w:rFonts w:ascii="Palatino Linotype" w:hAnsi="Palatino Linotype"/>
          <w:color w:val="000000" w:themeColor="text1"/>
        </w:rPr>
        <w:t xml:space="preserve">vero municipal Alameda 2000 </w:t>
      </w:r>
      <w:r w:rsidR="00D97891" w:rsidRPr="00EE2306">
        <w:rPr>
          <w:rFonts w:ascii="Palatino Linotype" w:hAnsi="Palatino Linotype"/>
          <w:color w:val="000000" w:themeColor="text1"/>
        </w:rPr>
        <w:t xml:space="preserve">de 2024” en versión pública, información remitida por el Departamento de Forestación. </w:t>
      </w:r>
      <w:r w:rsidR="00CD7446" w:rsidRPr="00EE2306">
        <w:rPr>
          <w:rFonts w:ascii="Palatino Linotype" w:hAnsi="Palatino Linotype"/>
          <w:color w:val="000000" w:themeColor="text1"/>
        </w:rPr>
        <w:t>Así también, relativo al programa de reforestación para 2025, indicó que tiene previsto realizarse en la temporada de lluvias de acuerdo a lo establecido en el Manual de Practicas de Reforestación emitido por la SEMARNAT, por lo que al momento de la solicitud, no es posible entregar la información por no haberse generado aun.</w:t>
      </w:r>
      <w:r w:rsidR="00D97891" w:rsidRPr="00EE2306">
        <w:rPr>
          <w:rFonts w:ascii="Palatino Linotype" w:hAnsi="Palatino Linotype"/>
          <w:color w:val="000000" w:themeColor="text1"/>
        </w:rPr>
        <w:t xml:space="preserve"> </w:t>
      </w:r>
      <w:r w:rsidR="00CD7446" w:rsidRPr="00EE2306">
        <w:rPr>
          <w:rFonts w:ascii="Palatino Linotype" w:hAnsi="Palatino Linotype"/>
          <w:color w:val="000000" w:themeColor="text1"/>
        </w:rPr>
        <w:t xml:space="preserve">Finalmente, informó adjuntar el Estado Analítico del ejercicio del presupuesto de egresos, clasificación por objeto de gasto (capitulo y concepto), correspondiente al tercer trimestre del ejercicio fiscal </w:t>
      </w:r>
      <w:r w:rsidR="00CD7446" w:rsidRPr="00EE2306">
        <w:rPr>
          <w:rFonts w:ascii="Palatino Linotype" w:hAnsi="Palatino Linotype"/>
          <w:color w:val="000000" w:themeColor="text1"/>
        </w:rPr>
        <w:lastRenderedPageBreak/>
        <w:t>2024, precisando que la información correspondiente al cuarto trimestre de 2024, se encuentra en proceso de integración.</w:t>
      </w:r>
    </w:p>
    <w:p w14:paraId="78191DFE" w14:textId="77777777" w:rsidR="00D97891" w:rsidRPr="00EE2306" w:rsidRDefault="00D97891" w:rsidP="00333C5D">
      <w:pPr>
        <w:tabs>
          <w:tab w:val="left" w:pos="0"/>
        </w:tabs>
        <w:ind w:left="567"/>
        <w:jc w:val="both"/>
        <w:rPr>
          <w:rFonts w:ascii="Palatino Linotype" w:hAnsi="Palatino Linotype"/>
          <w:color w:val="000000" w:themeColor="text1"/>
        </w:rPr>
      </w:pPr>
    </w:p>
    <w:p w14:paraId="27E616A6" w14:textId="119D2333" w:rsidR="000328FD" w:rsidRPr="00EE2306" w:rsidRDefault="00FB3624" w:rsidP="00333C5D">
      <w:pPr>
        <w:tabs>
          <w:tab w:val="left" w:pos="0"/>
        </w:tabs>
        <w:ind w:left="567"/>
        <w:jc w:val="both"/>
        <w:rPr>
          <w:rFonts w:ascii="Palatino Linotype" w:hAnsi="Palatino Linotype"/>
          <w:color w:val="000000" w:themeColor="text1"/>
        </w:rPr>
      </w:pPr>
      <w:hyperlink r:id="rId12" w:tgtFrame="_blank" w:history="1">
        <w:r w:rsidR="009E50F9" w:rsidRPr="00EE2306">
          <w:rPr>
            <w:rStyle w:val="Hipervnculo"/>
            <w:rFonts w:ascii="Palatino Linotype" w:hAnsi="Palatino Linotype" w:cs="Arial"/>
            <w:b/>
            <w:bCs/>
            <w:color w:val="000000" w:themeColor="text1"/>
            <w:u w:val="none"/>
          </w:rPr>
          <w:t>ACTA TRIGÉSIMA QUINTA SESIÓN EXTRAORDINARIA 2025.pdf</w:t>
        </w:r>
      </w:hyperlink>
      <w:r w:rsidR="009E50F9" w:rsidRPr="00EE2306">
        <w:rPr>
          <w:rFonts w:ascii="Palatino Linotype" w:hAnsi="Palatino Linotype"/>
          <w:color w:val="000000" w:themeColor="text1"/>
        </w:rPr>
        <w:t>:</w:t>
      </w:r>
      <w:r w:rsidR="00CD7446" w:rsidRPr="00EE2306">
        <w:rPr>
          <w:rFonts w:ascii="Palatino Linotype" w:hAnsi="Palatino Linotype"/>
          <w:color w:val="000000" w:themeColor="text1"/>
        </w:rPr>
        <w:t xml:space="preserve"> Copia digitalizada del Acta número CT/SE/35/2025 de la Trigésima Quinta Sesión Extraordinaria de 2025 del Comité de Transparencia del Municipio de Toluca, por medio de la cual, se aprobó la propuesta de clasificación como información confidencial de forma parcial, de los datos personales consentidos en vales de salida de la planta del vivero municipal ubicado en el parque alameda 2000, del 01 de enero de 2022 al 28 de septiembre de 2024.</w:t>
      </w:r>
    </w:p>
    <w:p w14:paraId="03DF084A" w14:textId="77777777" w:rsidR="009E50F9" w:rsidRPr="00EE2306" w:rsidRDefault="009E50F9" w:rsidP="00333C5D">
      <w:pPr>
        <w:tabs>
          <w:tab w:val="left" w:pos="0"/>
        </w:tabs>
        <w:rPr>
          <w:rFonts w:ascii="Palatino Linotype" w:hAnsi="Palatino Linotype"/>
          <w:color w:val="000000" w:themeColor="text1"/>
        </w:rPr>
      </w:pPr>
    </w:p>
    <w:p w14:paraId="0998E6CF" w14:textId="5ADF7672" w:rsidR="00EB0F49" w:rsidRPr="00EE2306" w:rsidRDefault="00294244" w:rsidP="00333C5D">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EE2306">
        <w:rPr>
          <w:rFonts w:ascii="Palatino Linotype" w:eastAsia="Palatino Linotype" w:hAnsi="Palatino Linotype" w:cs="Palatino Linotype"/>
          <w:color w:val="000000" w:themeColor="text1"/>
        </w:rPr>
        <w:t xml:space="preserve">El </w:t>
      </w:r>
      <w:r w:rsidR="009E50F9" w:rsidRPr="00EE2306">
        <w:rPr>
          <w:rFonts w:ascii="Palatino Linotype" w:eastAsia="Palatino Linotype" w:hAnsi="Palatino Linotype" w:cs="Palatino Linotype"/>
          <w:b/>
          <w:color w:val="000000" w:themeColor="text1"/>
        </w:rPr>
        <w:t>doce</w:t>
      </w:r>
      <w:r w:rsidR="00E14613" w:rsidRPr="00EE2306">
        <w:rPr>
          <w:rFonts w:ascii="Palatino Linotype" w:eastAsia="Palatino Linotype" w:hAnsi="Palatino Linotype" w:cs="Palatino Linotype"/>
          <w:b/>
          <w:color w:val="000000" w:themeColor="text1"/>
        </w:rPr>
        <w:t xml:space="preserve"> de febrero</w:t>
      </w:r>
      <w:r w:rsidR="00B05B5E" w:rsidRPr="00EE2306">
        <w:rPr>
          <w:rFonts w:ascii="Palatino Linotype" w:eastAsia="Palatino Linotype" w:hAnsi="Palatino Linotype" w:cs="Palatino Linotype"/>
          <w:b/>
          <w:color w:val="000000" w:themeColor="text1"/>
        </w:rPr>
        <w:t xml:space="preserve"> de febrero </w:t>
      </w:r>
      <w:r w:rsidRPr="00EE2306">
        <w:rPr>
          <w:rFonts w:ascii="Palatino Linotype" w:eastAsia="Palatino Linotype" w:hAnsi="Palatino Linotype" w:cs="Palatino Linotype"/>
          <w:b/>
          <w:color w:val="000000" w:themeColor="text1"/>
        </w:rPr>
        <w:t>de dos mil veinticinco</w:t>
      </w:r>
      <w:r w:rsidR="001D3081" w:rsidRPr="00EE2306">
        <w:rPr>
          <w:rFonts w:ascii="Palatino Linotype" w:eastAsia="Palatino Linotype" w:hAnsi="Palatino Linotype" w:cs="Palatino Linotype"/>
          <w:color w:val="000000" w:themeColor="text1"/>
        </w:rPr>
        <w:t xml:space="preserve">, el </w:t>
      </w:r>
      <w:r w:rsidRPr="00EE2306">
        <w:rPr>
          <w:rFonts w:ascii="Palatino Linotype" w:eastAsia="Palatino Linotype" w:hAnsi="Palatino Linotype" w:cs="Palatino Linotype"/>
          <w:b/>
          <w:color w:val="000000" w:themeColor="text1"/>
        </w:rPr>
        <w:t>RECURRENTE</w:t>
      </w:r>
      <w:r w:rsidR="001D3081" w:rsidRPr="00EE2306">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4513DCC8" w14:textId="77777777" w:rsidR="00F3688F" w:rsidRDefault="00F3688F" w:rsidP="00333C5D">
      <w:pPr>
        <w:pBdr>
          <w:top w:val="nil"/>
          <w:left w:val="nil"/>
          <w:bottom w:val="nil"/>
          <w:right w:val="nil"/>
          <w:between w:val="nil"/>
        </w:pBdr>
        <w:tabs>
          <w:tab w:val="left" w:pos="0"/>
        </w:tabs>
        <w:ind w:left="567"/>
        <w:jc w:val="both"/>
        <w:rPr>
          <w:rFonts w:ascii="Palatino Linotype" w:eastAsia="Palatino Linotype" w:hAnsi="Palatino Linotype" w:cs="Palatino Linotype"/>
          <w:b/>
          <w:color w:val="000000" w:themeColor="text1"/>
        </w:rPr>
      </w:pPr>
      <w:bookmarkStart w:id="4" w:name="_heading=h.1fob9te" w:colFirst="0" w:colLast="0"/>
      <w:bookmarkEnd w:id="4"/>
    </w:p>
    <w:p w14:paraId="7CD14567" w14:textId="1D63FD99" w:rsidR="00EB0F49" w:rsidRPr="00F3688F" w:rsidRDefault="001D3081" w:rsidP="00F3688F">
      <w:pPr>
        <w:pStyle w:val="Prrafodelista"/>
        <w:numPr>
          <w:ilvl w:val="0"/>
          <w:numId w:val="23"/>
        </w:numPr>
        <w:pBdr>
          <w:top w:val="nil"/>
          <w:left w:val="nil"/>
          <w:bottom w:val="nil"/>
          <w:right w:val="nil"/>
          <w:between w:val="nil"/>
        </w:pBdr>
        <w:tabs>
          <w:tab w:val="left" w:pos="0"/>
        </w:tabs>
        <w:ind w:left="709"/>
        <w:jc w:val="both"/>
        <w:rPr>
          <w:rFonts w:ascii="Palatino Linotype" w:eastAsia="Palatino Linotype" w:hAnsi="Palatino Linotype" w:cs="Palatino Linotype"/>
          <w:i/>
          <w:color w:val="000000" w:themeColor="text1"/>
        </w:rPr>
      </w:pPr>
      <w:r w:rsidRPr="00F3688F">
        <w:rPr>
          <w:rFonts w:ascii="Palatino Linotype" w:eastAsia="Palatino Linotype" w:hAnsi="Palatino Linotype" w:cs="Palatino Linotype"/>
          <w:b/>
          <w:color w:val="000000" w:themeColor="text1"/>
        </w:rPr>
        <w:t>Acto impugnado</w:t>
      </w:r>
      <w:r w:rsidRPr="00F3688F">
        <w:rPr>
          <w:rFonts w:ascii="Palatino Linotype" w:eastAsia="Palatino Linotype" w:hAnsi="Palatino Linotype" w:cs="Palatino Linotype"/>
          <w:color w:val="000000" w:themeColor="text1"/>
        </w:rPr>
        <w:t>:</w:t>
      </w:r>
      <w:r w:rsidRPr="00F3688F">
        <w:rPr>
          <w:rFonts w:ascii="Palatino Linotype" w:eastAsia="Palatino Linotype" w:hAnsi="Palatino Linotype" w:cs="Palatino Linotype"/>
          <w:i/>
          <w:color w:val="000000" w:themeColor="text1"/>
        </w:rPr>
        <w:t xml:space="preserve"> “</w:t>
      </w:r>
      <w:r w:rsidR="000328FD" w:rsidRPr="00F3688F">
        <w:rPr>
          <w:rFonts w:ascii="Palatino Linotype" w:eastAsia="Palatino Linotype" w:hAnsi="Palatino Linotype" w:cs="Palatino Linotype"/>
          <w:i/>
          <w:color w:val="000000" w:themeColor="text1"/>
        </w:rPr>
        <w:t>Información incompleta</w:t>
      </w:r>
      <w:r w:rsidRPr="00F3688F">
        <w:rPr>
          <w:rFonts w:ascii="Palatino Linotype" w:eastAsia="Palatino Linotype" w:hAnsi="Palatino Linotype" w:cs="Palatino Linotype"/>
          <w:i/>
          <w:color w:val="000000" w:themeColor="text1"/>
        </w:rPr>
        <w:t>” (Sic.)</w:t>
      </w:r>
    </w:p>
    <w:p w14:paraId="036083B2" w14:textId="77777777" w:rsidR="00294244" w:rsidRPr="00EE2306" w:rsidRDefault="00294244" w:rsidP="00F3688F">
      <w:pPr>
        <w:pBdr>
          <w:top w:val="nil"/>
          <w:left w:val="nil"/>
          <w:bottom w:val="nil"/>
          <w:right w:val="nil"/>
          <w:between w:val="nil"/>
        </w:pBdr>
        <w:tabs>
          <w:tab w:val="left" w:pos="0"/>
        </w:tabs>
        <w:ind w:left="709"/>
        <w:jc w:val="both"/>
        <w:rPr>
          <w:rFonts w:ascii="Palatino Linotype" w:eastAsia="Palatino Linotype" w:hAnsi="Palatino Linotype" w:cs="Palatino Linotype"/>
          <w:b/>
          <w:i/>
          <w:color w:val="000000" w:themeColor="text1"/>
        </w:rPr>
      </w:pPr>
    </w:p>
    <w:p w14:paraId="46FFA9F8" w14:textId="42202733" w:rsidR="000328FD" w:rsidRPr="00F3688F" w:rsidRDefault="001D3081" w:rsidP="00F3688F">
      <w:pPr>
        <w:pStyle w:val="Prrafodelista"/>
        <w:numPr>
          <w:ilvl w:val="0"/>
          <w:numId w:val="23"/>
        </w:numPr>
        <w:pBdr>
          <w:top w:val="nil"/>
          <w:left w:val="nil"/>
          <w:bottom w:val="nil"/>
          <w:right w:val="nil"/>
          <w:between w:val="nil"/>
        </w:pBdr>
        <w:tabs>
          <w:tab w:val="left" w:pos="0"/>
        </w:tabs>
        <w:ind w:left="709"/>
        <w:jc w:val="both"/>
        <w:rPr>
          <w:rFonts w:ascii="Palatino Linotype" w:eastAsia="Palatino Linotype" w:hAnsi="Palatino Linotype" w:cs="Palatino Linotype"/>
          <w:i/>
          <w:color w:val="000000" w:themeColor="text1"/>
        </w:rPr>
      </w:pPr>
      <w:bookmarkStart w:id="5" w:name="_heading=h.3znysh7" w:colFirst="0" w:colLast="0"/>
      <w:bookmarkEnd w:id="5"/>
      <w:r w:rsidRPr="00F3688F">
        <w:rPr>
          <w:rFonts w:ascii="Palatino Linotype" w:eastAsia="Palatino Linotype" w:hAnsi="Palatino Linotype" w:cs="Palatino Linotype"/>
          <w:b/>
          <w:color w:val="000000" w:themeColor="text1"/>
        </w:rPr>
        <w:t>Razones o Motivos de inconformidad:</w:t>
      </w:r>
      <w:r w:rsidRPr="00F3688F">
        <w:rPr>
          <w:rFonts w:ascii="Palatino Linotype" w:eastAsia="Palatino Linotype" w:hAnsi="Palatino Linotype" w:cs="Palatino Linotype"/>
          <w:b/>
          <w:i/>
          <w:color w:val="000000" w:themeColor="text1"/>
        </w:rPr>
        <w:t xml:space="preserve"> </w:t>
      </w:r>
      <w:r w:rsidR="000328FD" w:rsidRPr="00F3688F">
        <w:rPr>
          <w:rFonts w:ascii="Palatino Linotype" w:eastAsia="Palatino Linotype" w:hAnsi="Palatino Linotype" w:cs="Palatino Linotype"/>
          <w:i/>
          <w:color w:val="000000" w:themeColor="text1"/>
        </w:rPr>
        <w:t>“</w:t>
      </w:r>
      <w:r w:rsidR="009E50F9" w:rsidRPr="00F3688F">
        <w:rPr>
          <w:rFonts w:ascii="Palatino Linotype" w:eastAsia="Palatino Linotype" w:hAnsi="Palatino Linotype" w:cs="Palatino Linotype"/>
          <w:i/>
          <w:color w:val="000000" w:themeColor="text1"/>
        </w:rPr>
        <w:t>N</w:t>
      </w:r>
      <w:r w:rsidR="009E50F9" w:rsidRPr="00F3688F">
        <w:rPr>
          <w:rFonts w:ascii="Palatino Linotype" w:hAnsi="Palatino Linotype"/>
          <w:i/>
          <w:color w:val="000000" w:themeColor="text1"/>
        </w:rPr>
        <w:t>o entregan los documentos que dan cuenta del presupuesto</w:t>
      </w:r>
      <w:r w:rsidR="000328FD" w:rsidRPr="00F3688F">
        <w:rPr>
          <w:rFonts w:ascii="Palatino Linotype" w:eastAsia="Palatino Linotype" w:hAnsi="Palatino Linotype" w:cs="Palatino Linotype"/>
          <w:i/>
          <w:color w:val="000000" w:themeColor="text1"/>
        </w:rPr>
        <w:t>” (Sic.)</w:t>
      </w:r>
    </w:p>
    <w:p w14:paraId="7676E23A" w14:textId="77777777" w:rsidR="00EB0F49" w:rsidRPr="00EE2306" w:rsidRDefault="00EB0F49" w:rsidP="00333C5D">
      <w:pPr>
        <w:tabs>
          <w:tab w:val="left" w:pos="0"/>
        </w:tabs>
        <w:spacing w:line="360" w:lineRule="auto"/>
        <w:rPr>
          <w:rFonts w:ascii="Palatino Linotype" w:eastAsia="Palatino Linotype" w:hAnsi="Palatino Linotype" w:cs="Palatino Linotype"/>
          <w:i/>
          <w:color w:val="000000" w:themeColor="text1"/>
        </w:rPr>
      </w:pPr>
    </w:p>
    <w:p w14:paraId="49D1CF05" w14:textId="7909B1D7" w:rsidR="00EB0F49" w:rsidRPr="00EE2306" w:rsidRDefault="001D3081" w:rsidP="00333C5D">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EE2306">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w:t>
      </w:r>
      <w:r w:rsidR="00294244" w:rsidRPr="00EE2306">
        <w:rPr>
          <w:rFonts w:ascii="Palatino Linotype" w:eastAsia="Palatino Linotype" w:hAnsi="Palatino Linotype" w:cs="Palatino Linotype"/>
          <w:color w:val="000000" w:themeColor="text1"/>
        </w:rPr>
        <w:t>del</w:t>
      </w:r>
      <w:r w:rsidRPr="00EE2306">
        <w:rPr>
          <w:rFonts w:ascii="Palatino Linotype" w:eastAsia="Palatino Linotype" w:hAnsi="Palatino Linotype" w:cs="Palatino Linotype"/>
          <w:color w:val="000000" w:themeColor="text1"/>
        </w:rPr>
        <w:t xml:space="preserve"> </w:t>
      </w:r>
      <w:r w:rsidR="009E50F9" w:rsidRPr="00EE2306">
        <w:rPr>
          <w:rFonts w:ascii="Palatino Linotype" w:eastAsia="Palatino Linotype" w:hAnsi="Palatino Linotype" w:cs="Palatino Linotype"/>
          <w:b/>
          <w:color w:val="000000" w:themeColor="text1"/>
        </w:rPr>
        <w:t>diecisiete</w:t>
      </w:r>
      <w:r w:rsidR="00B05B5E" w:rsidRPr="00EE2306">
        <w:rPr>
          <w:rFonts w:ascii="Palatino Linotype" w:eastAsia="Palatino Linotype" w:hAnsi="Palatino Linotype" w:cs="Palatino Linotype"/>
          <w:b/>
          <w:color w:val="000000" w:themeColor="text1"/>
        </w:rPr>
        <w:t xml:space="preserve"> de febrero</w:t>
      </w:r>
      <w:r w:rsidRPr="00EE2306">
        <w:rPr>
          <w:rFonts w:ascii="Palatino Linotype" w:eastAsia="Palatino Linotype" w:hAnsi="Palatino Linotype" w:cs="Palatino Linotype"/>
          <w:b/>
          <w:color w:val="000000" w:themeColor="text1"/>
        </w:rPr>
        <w:t xml:space="preserve"> de dos mil veinticinco</w:t>
      </w:r>
      <w:r w:rsidRPr="00EE2306">
        <w:rPr>
          <w:rFonts w:ascii="Palatino Linotype" w:eastAsia="Palatino Linotype" w:hAnsi="Palatino Linotype" w:cs="Palatino Linotype"/>
          <w:color w:val="000000" w:themeColor="text1"/>
        </w:rPr>
        <w:t xml:space="preserve">, puso a disposición de las partes el expediente electrónico vía </w:t>
      </w:r>
      <w:r w:rsidRPr="00EE2306">
        <w:rPr>
          <w:rFonts w:ascii="Palatino Linotype" w:eastAsia="Palatino Linotype" w:hAnsi="Palatino Linotype" w:cs="Palatino Linotype"/>
          <w:b/>
          <w:color w:val="000000" w:themeColor="text1"/>
        </w:rPr>
        <w:t xml:space="preserve">SAIMEX </w:t>
      </w:r>
      <w:r w:rsidRPr="00EE2306">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EE2306">
        <w:rPr>
          <w:rFonts w:ascii="Palatino Linotype" w:eastAsia="Palatino Linotype" w:hAnsi="Palatino Linotype" w:cs="Palatino Linotype"/>
          <w:b/>
          <w:color w:val="000000" w:themeColor="text1"/>
        </w:rPr>
        <w:t>SUJETO OBLIGADO</w:t>
      </w:r>
      <w:r w:rsidRPr="00EE2306">
        <w:rPr>
          <w:rFonts w:ascii="Palatino Linotype" w:eastAsia="Palatino Linotype" w:hAnsi="Palatino Linotype" w:cs="Palatino Linotype"/>
          <w:color w:val="000000" w:themeColor="text1"/>
        </w:rPr>
        <w:t xml:space="preserve"> presentará el Informe Justificado procedente.</w:t>
      </w:r>
    </w:p>
    <w:p w14:paraId="10FFC7B7" w14:textId="77777777" w:rsidR="00EB0F49" w:rsidRPr="00EE2306" w:rsidRDefault="00EB0F49" w:rsidP="00333C5D">
      <w:pPr>
        <w:tabs>
          <w:tab w:val="left" w:pos="0"/>
        </w:tabs>
        <w:rPr>
          <w:rFonts w:ascii="Palatino Linotype" w:hAnsi="Palatino Linotype"/>
          <w:color w:val="000000" w:themeColor="text1"/>
        </w:rPr>
      </w:pPr>
    </w:p>
    <w:p w14:paraId="610B7320" w14:textId="39487272" w:rsidR="00E14613" w:rsidRPr="00EE2306" w:rsidRDefault="00D632F4" w:rsidP="00333C5D">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EE2306">
        <w:rPr>
          <w:rFonts w:ascii="Palatino Linotype" w:eastAsia="Palatino Linotype" w:hAnsi="Palatino Linotype" w:cs="Palatino Linotype"/>
          <w:color w:val="000000" w:themeColor="text1"/>
        </w:rPr>
        <w:t>E</w:t>
      </w:r>
      <w:r w:rsidR="001D3081" w:rsidRPr="00EE2306">
        <w:rPr>
          <w:rFonts w:ascii="Palatino Linotype" w:eastAsia="Palatino Linotype" w:hAnsi="Palatino Linotype" w:cs="Palatino Linotype"/>
          <w:color w:val="000000" w:themeColor="text1"/>
        </w:rPr>
        <w:t>l</w:t>
      </w:r>
      <w:r w:rsidR="00B05B5E" w:rsidRPr="00EE2306">
        <w:rPr>
          <w:rFonts w:ascii="Palatino Linotype" w:eastAsia="Palatino Linotype" w:hAnsi="Palatino Linotype" w:cs="Palatino Linotype"/>
          <w:color w:val="000000" w:themeColor="text1"/>
        </w:rPr>
        <w:t xml:space="preserve"> </w:t>
      </w:r>
      <w:r w:rsidR="00B05B5E" w:rsidRPr="00EE2306">
        <w:rPr>
          <w:rFonts w:ascii="Palatino Linotype" w:eastAsia="Palatino Linotype" w:hAnsi="Palatino Linotype" w:cs="Palatino Linotype"/>
          <w:b/>
          <w:color w:val="000000" w:themeColor="text1"/>
        </w:rPr>
        <w:t>veintiuno de febrero</w:t>
      </w:r>
      <w:r w:rsidR="00B05B5E" w:rsidRPr="00EE2306">
        <w:rPr>
          <w:rFonts w:ascii="Palatino Linotype" w:eastAsia="Palatino Linotype" w:hAnsi="Palatino Linotype" w:cs="Palatino Linotype"/>
          <w:color w:val="000000" w:themeColor="text1"/>
        </w:rPr>
        <w:t xml:space="preserve"> </w:t>
      </w:r>
      <w:r w:rsidR="00B05B5E" w:rsidRPr="00EE2306">
        <w:rPr>
          <w:rFonts w:ascii="Palatino Linotype" w:eastAsia="Palatino Linotype" w:hAnsi="Palatino Linotype" w:cs="Palatino Linotype"/>
          <w:b/>
          <w:color w:val="000000" w:themeColor="text1"/>
        </w:rPr>
        <w:t>de dos mil veinticinco,</w:t>
      </w:r>
      <w:r w:rsidR="00B05B5E" w:rsidRPr="00EE2306">
        <w:rPr>
          <w:rFonts w:ascii="Palatino Linotype" w:eastAsia="Palatino Linotype" w:hAnsi="Palatino Linotype" w:cs="Palatino Linotype"/>
          <w:color w:val="000000" w:themeColor="text1"/>
        </w:rPr>
        <w:t xml:space="preserve"> el</w:t>
      </w:r>
      <w:r w:rsidR="001D3081" w:rsidRPr="00EE2306">
        <w:rPr>
          <w:rFonts w:ascii="Palatino Linotype" w:eastAsia="Palatino Linotype" w:hAnsi="Palatino Linotype" w:cs="Palatino Linotype"/>
          <w:color w:val="000000" w:themeColor="text1"/>
        </w:rPr>
        <w:t xml:space="preserve"> </w:t>
      </w:r>
      <w:r w:rsidR="001D3081" w:rsidRPr="00EE2306">
        <w:rPr>
          <w:rFonts w:ascii="Palatino Linotype" w:eastAsia="Palatino Linotype" w:hAnsi="Palatino Linotype" w:cs="Palatino Linotype"/>
          <w:b/>
          <w:color w:val="000000" w:themeColor="text1"/>
        </w:rPr>
        <w:t>SUJ</w:t>
      </w:r>
      <w:r w:rsidR="00294244" w:rsidRPr="00EE2306">
        <w:rPr>
          <w:rFonts w:ascii="Palatino Linotype" w:eastAsia="Palatino Linotype" w:hAnsi="Palatino Linotype" w:cs="Palatino Linotype"/>
          <w:b/>
          <w:color w:val="000000" w:themeColor="text1"/>
        </w:rPr>
        <w:t xml:space="preserve">ETO OBLIGADO </w:t>
      </w:r>
      <w:r w:rsidR="00B05B5E" w:rsidRPr="00EE2306">
        <w:rPr>
          <w:rFonts w:ascii="Palatino Linotype" w:eastAsia="Palatino Linotype" w:hAnsi="Palatino Linotype" w:cs="Palatino Linotype"/>
          <w:color w:val="000000" w:themeColor="text1"/>
        </w:rPr>
        <w:t>rindió</w:t>
      </w:r>
      <w:r w:rsidR="00294244" w:rsidRPr="00EE2306">
        <w:rPr>
          <w:rFonts w:ascii="Palatino Linotype" w:eastAsia="Palatino Linotype" w:hAnsi="Palatino Linotype" w:cs="Palatino Linotype"/>
          <w:color w:val="000000" w:themeColor="text1"/>
        </w:rPr>
        <w:t xml:space="preserve"> el info</w:t>
      </w:r>
      <w:r w:rsidRPr="00EE2306">
        <w:rPr>
          <w:rFonts w:ascii="Palatino Linotype" w:eastAsia="Palatino Linotype" w:hAnsi="Palatino Linotype" w:cs="Palatino Linotype"/>
          <w:color w:val="000000" w:themeColor="text1"/>
        </w:rPr>
        <w:t>r</w:t>
      </w:r>
      <w:r w:rsidR="00B05B5E" w:rsidRPr="00EE2306">
        <w:rPr>
          <w:rFonts w:ascii="Palatino Linotype" w:eastAsia="Palatino Linotype" w:hAnsi="Palatino Linotype" w:cs="Palatino Linotype"/>
          <w:color w:val="000000" w:themeColor="text1"/>
        </w:rPr>
        <w:t>me justificad</w:t>
      </w:r>
      <w:r w:rsidR="00CB260F" w:rsidRPr="00EE2306">
        <w:rPr>
          <w:rFonts w:ascii="Palatino Linotype" w:eastAsia="Palatino Linotype" w:hAnsi="Palatino Linotype" w:cs="Palatino Linotype"/>
          <w:color w:val="000000" w:themeColor="text1"/>
        </w:rPr>
        <w:t xml:space="preserve">o correspondiente por medio </w:t>
      </w:r>
      <w:r w:rsidR="000328FD" w:rsidRPr="00EE2306">
        <w:rPr>
          <w:rFonts w:ascii="Palatino Linotype" w:eastAsia="Palatino Linotype" w:hAnsi="Palatino Linotype" w:cs="Palatino Linotype"/>
          <w:color w:val="000000" w:themeColor="text1"/>
        </w:rPr>
        <w:t xml:space="preserve">del archivo electrónico denominado </w:t>
      </w:r>
      <w:r w:rsidR="000328FD" w:rsidRPr="00EE2306">
        <w:rPr>
          <w:rFonts w:ascii="Palatino Linotype" w:eastAsia="Palatino Linotype" w:hAnsi="Palatino Linotype" w:cs="Palatino Linotype"/>
          <w:b/>
          <w:color w:val="000000" w:themeColor="text1"/>
        </w:rPr>
        <w:t>“SOL_049_RR_1038_2025_INFORME JUSTIFICADO.pdf”,</w:t>
      </w:r>
      <w:r w:rsidR="000328FD" w:rsidRPr="00EE2306">
        <w:rPr>
          <w:rFonts w:ascii="Palatino Linotype" w:eastAsia="Palatino Linotype" w:hAnsi="Palatino Linotype" w:cs="Palatino Linotype"/>
          <w:color w:val="000000" w:themeColor="text1"/>
        </w:rPr>
        <w:t xml:space="preserve"> consistente </w:t>
      </w:r>
      <w:r w:rsidR="00252505" w:rsidRPr="00EE2306">
        <w:rPr>
          <w:rFonts w:ascii="Palatino Linotype" w:eastAsia="Palatino Linotype" w:hAnsi="Palatino Linotype" w:cs="Palatino Linotype"/>
          <w:color w:val="000000" w:themeColor="text1"/>
        </w:rPr>
        <w:t xml:space="preserve">en un oficio </w:t>
      </w:r>
      <w:r w:rsidR="00252505" w:rsidRPr="00EE2306">
        <w:rPr>
          <w:rFonts w:ascii="Palatino Linotype" w:eastAsia="Palatino Linotype" w:hAnsi="Palatino Linotype" w:cs="Palatino Linotype"/>
          <w:color w:val="000000" w:themeColor="text1"/>
        </w:rPr>
        <w:lastRenderedPageBreak/>
        <w:t xml:space="preserve">suscrito por la Titular de la Unidad de Transparencia, a través del cual, </w:t>
      </w:r>
      <w:r w:rsidR="00252505" w:rsidRPr="00EE2306">
        <w:rPr>
          <w:rFonts w:ascii="Palatino Linotype" w:eastAsia="Palatino Linotype" w:hAnsi="Palatino Linotype" w:cs="Palatino Linotype"/>
          <w:b/>
          <w:color w:val="000000" w:themeColor="text1"/>
        </w:rPr>
        <w:t>ratificó la respuesta.</w:t>
      </w:r>
    </w:p>
    <w:p w14:paraId="05CABF8F" w14:textId="77777777" w:rsidR="00E14613" w:rsidRPr="00EE2306" w:rsidRDefault="00E14613" w:rsidP="00333C5D">
      <w:pPr>
        <w:tabs>
          <w:tab w:val="left" w:pos="0"/>
        </w:tabs>
        <w:spacing w:line="360" w:lineRule="auto"/>
        <w:jc w:val="both"/>
        <w:rPr>
          <w:rFonts w:ascii="Palatino Linotype" w:eastAsia="Palatino Linotype" w:hAnsi="Palatino Linotype" w:cs="Palatino Linotype"/>
          <w:b/>
          <w:color w:val="000000" w:themeColor="text1"/>
        </w:rPr>
      </w:pPr>
    </w:p>
    <w:p w14:paraId="11093A44" w14:textId="5B89C234" w:rsidR="00EB0F49" w:rsidRPr="00EE2306" w:rsidRDefault="00B05B5E" w:rsidP="00333C5D">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EE2306">
        <w:rPr>
          <w:rFonts w:ascii="Palatino Linotype" w:eastAsia="Palatino Linotype" w:hAnsi="Palatino Linotype" w:cs="Palatino Linotype"/>
          <w:color w:val="000000" w:themeColor="text1"/>
        </w:rPr>
        <w:t>P</w:t>
      </w:r>
      <w:r w:rsidR="00294244" w:rsidRPr="00EE2306">
        <w:rPr>
          <w:rFonts w:ascii="Palatino Linotype" w:eastAsia="Palatino Linotype" w:hAnsi="Palatino Linotype" w:cs="Palatino Linotype"/>
          <w:color w:val="000000" w:themeColor="text1"/>
        </w:rPr>
        <w:t xml:space="preserve">or su parte, </w:t>
      </w:r>
      <w:r w:rsidR="001D3081" w:rsidRPr="00EE2306">
        <w:rPr>
          <w:rFonts w:ascii="Palatino Linotype" w:eastAsia="Palatino Linotype" w:hAnsi="Palatino Linotype" w:cs="Palatino Linotype"/>
          <w:color w:val="000000" w:themeColor="text1"/>
        </w:rPr>
        <w:t>el</w:t>
      </w:r>
      <w:r w:rsidR="001D3081" w:rsidRPr="00EE2306">
        <w:rPr>
          <w:rFonts w:ascii="Palatino Linotype" w:eastAsia="Palatino Linotype" w:hAnsi="Palatino Linotype" w:cs="Palatino Linotype"/>
          <w:b/>
          <w:color w:val="000000" w:themeColor="text1"/>
        </w:rPr>
        <w:t xml:space="preserve"> RECURRENTE </w:t>
      </w:r>
      <w:r w:rsidR="00294244" w:rsidRPr="00EE2306">
        <w:rPr>
          <w:rFonts w:ascii="Palatino Linotype" w:eastAsia="Palatino Linotype" w:hAnsi="Palatino Linotype" w:cs="Palatino Linotype"/>
          <w:color w:val="000000" w:themeColor="text1"/>
        </w:rPr>
        <w:t xml:space="preserve">dejó </w:t>
      </w:r>
      <w:r w:rsidR="001D3081" w:rsidRPr="00EE2306">
        <w:rPr>
          <w:rFonts w:ascii="Palatino Linotype" w:eastAsia="Palatino Linotype" w:hAnsi="Palatino Linotype" w:cs="Palatino Linotype"/>
          <w:color w:val="000000" w:themeColor="text1"/>
        </w:rPr>
        <w:t xml:space="preserve">de realizar manifestaciones que a su derecho conviniera y asistiera. </w:t>
      </w:r>
    </w:p>
    <w:p w14:paraId="2A0CFB6D" w14:textId="77777777" w:rsidR="00EB0F49" w:rsidRPr="00EE2306" w:rsidRDefault="00EB0F49" w:rsidP="00333C5D">
      <w:pPr>
        <w:pBdr>
          <w:top w:val="nil"/>
          <w:left w:val="nil"/>
          <w:bottom w:val="nil"/>
          <w:right w:val="nil"/>
          <w:between w:val="nil"/>
        </w:pBdr>
        <w:tabs>
          <w:tab w:val="left" w:pos="0"/>
        </w:tabs>
        <w:rPr>
          <w:rFonts w:ascii="Palatino Linotype" w:eastAsia="Palatino Linotype" w:hAnsi="Palatino Linotype" w:cs="Palatino Linotype"/>
          <w:i/>
          <w:color w:val="000000" w:themeColor="text1"/>
        </w:rPr>
      </w:pPr>
    </w:p>
    <w:p w14:paraId="4F164B54" w14:textId="29E751F4" w:rsidR="00EB0F49" w:rsidRPr="00EE2306" w:rsidRDefault="001D3081" w:rsidP="00333C5D">
      <w:pPr>
        <w:numPr>
          <w:ilvl w:val="0"/>
          <w:numId w:val="11"/>
        </w:numPr>
        <w:tabs>
          <w:tab w:val="left" w:pos="0"/>
        </w:tabs>
        <w:spacing w:line="360" w:lineRule="auto"/>
        <w:jc w:val="both"/>
        <w:rPr>
          <w:rFonts w:ascii="Palatino Linotype" w:hAnsi="Palatino Linotype"/>
          <w:color w:val="000000" w:themeColor="text1"/>
        </w:rPr>
      </w:pPr>
      <w:r w:rsidRPr="00EE2306">
        <w:rPr>
          <w:rFonts w:ascii="Palatino Linotype" w:eastAsia="Palatino Linotype" w:hAnsi="Palatino Linotype" w:cs="Palatino Linotype"/>
          <w:color w:val="000000" w:themeColor="text1"/>
        </w:rPr>
        <w:t xml:space="preserve">El </w:t>
      </w:r>
      <w:r w:rsidR="00D12B6C" w:rsidRPr="00EE2306">
        <w:rPr>
          <w:rFonts w:ascii="Palatino Linotype" w:eastAsia="Palatino Linotype" w:hAnsi="Palatino Linotype" w:cs="Palatino Linotype"/>
          <w:b/>
          <w:color w:val="000000" w:themeColor="text1"/>
        </w:rPr>
        <w:t>veintinueve</w:t>
      </w:r>
      <w:r w:rsidR="00252505" w:rsidRPr="00EE2306">
        <w:rPr>
          <w:rFonts w:ascii="Palatino Linotype" w:eastAsia="Palatino Linotype" w:hAnsi="Palatino Linotype" w:cs="Palatino Linotype"/>
          <w:b/>
          <w:color w:val="000000" w:themeColor="text1"/>
        </w:rPr>
        <w:t xml:space="preserve"> </w:t>
      </w:r>
      <w:r w:rsidR="00294244" w:rsidRPr="00EE2306">
        <w:rPr>
          <w:rFonts w:ascii="Palatino Linotype" w:eastAsia="Palatino Linotype" w:hAnsi="Palatino Linotype" w:cs="Palatino Linotype"/>
          <w:b/>
          <w:color w:val="000000" w:themeColor="text1"/>
        </w:rPr>
        <w:t>de mayo</w:t>
      </w:r>
      <w:r w:rsidRPr="00EE2306">
        <w:rPr>
          <w:rFonts w:ascii="Palatino Linotype" w:eastAsia="Palatino Linotype" w:hAnsi="Palatino Linotype" w:cs="Palatino Linotype"/>
          <w:b/>
          <w:color w:val="000000" w:themeColor="text1"/>
        </w:rPr>
        <w:t xml:space="preserve"> de dos mil veinticinco</w:t>
      </w:r>
      <w:r w:rsidRPr="00EE2306">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14:paraId="2554C157" w14:textId="77777777" w:rsidR="00EB0F49" w:rsidRPr="00EE2306" w:rsidRDefault="00EB0F49" w:rsidP="00333C5D">
      <w:pPr>
        <w:tabs>
          <w:tab w:val="left" w:pos="0"/>
        </w:tabs>
        <w:spacing w:line="360" w:lineRule="auto"/>
        <w:jc w:val="both"/>
        <w:rPr>
          <w:rFonts w:ascii="Palatino Linotype" w:eastAsia="Palatino Linotype" w:hAnsi="Palatino Linotype" w:cs="Palatino Linotype"/>
          <w:color w:val="000000" w:themeColor="text1"/>
        </w:rPr>
      </w:pPr>
    </w:p>
    <w:p w14:paraId="3F89E8B1" w14:textId="0DDF8910" w:rsidR="00EB0F49" w:rsidRPr="00EE2306" w:rsidRDefault="001D3081" w:rsidP="00333C5D">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EE2306">
        <w:rPr>
          <w:rFonts w:ascii="Palatino Linotype" w:eastAsia="Palatino Linotype" w:hAnsi="Palatino Linotype" w:cs="Palatino Linotype"/>
          <w:color w:val="000000" w:themeColor="text1"/>
        </w:rPr>
        <w:t>Final</w:t>
      </w:r>
      <w:r w:rsidR="00294244" w:rsidRPr="00EE2306">
        <w:rPr>
          <w:rFonts w:ascii="Palatino Linotype" w:eastAsia="Palatino Linotype" w:hAnsi="Palatino Linotype" w:cs="Palatino Linotype"/>
          <w:color w:val="000000" w:themeColor="text1"/>
        </w:rPr>
        <w:t xml:space="preserve">mente, mediante acuerdo del </w:t>
      </w:r>
      <w:r w:rsidR="00D12B6C" w:rsidRPr="00EE2306">
        <w:rPr>
          <w:rFonts w:ascii="Palatino Linotype" w:eastAsia="Palatino Linotype" w:hAnsi="Palatino Linotype" w:cs="Palatino Linotype"/>
          <w:b/>
          <w:color w:val="000000" w:themeColor="text1"/>
        </w:rPr>
        <w:t xml:space="preserve">cuatro </w:t>
      </w:r>
      <w:r w:rsidR="00252505" w:rsidRPr="00EE2306">
        <w:rPr>
          <w:rFonts w:ascii="Palatino Linotype" w:eastAsia="Palatino Linotype" w:hAnsi="Palatino Linotype" w:cs="Palatino Linotype"/>
          <w:b/>
          <w:color w:val="000000" w:themeColor="text1"/>
        </w:rPr>
        <w:t>de junio</w:t>
      </w:r>
      <w:r w:rsidR="00294244" w:rsidRPr="00EE2306">
        <w:rPr>
          <w:rFonts w:ascii="Palatino Linotype" w:eastAsia="Palatino Linotype" w:hAnsi="Palatino Linotype" w:cs="Palatino Linotype"/>
          <w:color w:val="000000" w:themeColor="text1"/>
        </w:rPr>
        <w:t xml:space="preserve"> </w:t>
      </w:r>
      <w:r w:rsidRPr="00EE2306">
        <w:rPr>
          <w:rFonts w:ascii="Palatino Linotype" w:eastAsia="Palatino Linotype" w:hAnsi="Palatino Linotype" w:cs="Palatino Linotype"/>
          <w:b/>
          <w:color w:val="000000" w:themeColor="text1"/>
        </w:rPr>
        <w:t>de dos mil veinticinco</w:t>
      </w:r>
      <w:r w:rsidRPr="00EE2306">
        <w:rPr>
          <w:rFonts w:ascii="Palatino Linotype" w:eastAsia="Palatino Linotype" w:hAnsi="Palatino Linotype" w:cs="Palatino Linotype"/>
          <w:color w:val="000000" w:themeColor="text1"/>
        </w:rPr>
        <w:t>, se decretó el cierre de instrucción, por lo que no habiendo más qu</w:t>
      </w:r>
      <w:r w:rsidR="00294244" w:rsidRPr="00EE2306">
        <w:rPr>
          <w:rFonts w:ascii="Palatino Linotype" w:eastAsia="Palatino Linotype" w:hAnsi="Palatino Linotype" w:cs="Palatino Linotype"/>
          <w:color w:val="000000" w:themeColor="text1"/>
        </w:rPr>
        <w:t>e hacer constar, y</w:t>
      </w:r>
    </w:p>
    <w:p w14:paraId="28B0B015" w14:textId="77777777" w:rsidR="00EB0F49" w:rsidRPr="00EE2306" w:rsidRDefault="00EB0F49" w:rsidP="00333C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1D5FF10B" w14:textId="77777777" w:rsidR="00EB0F49" w:rsidRPr="00EE2306" w:rsidRDefault="001D3081" w:rsidP="00333C5D">
      <w:pPr>
        <w:pStyle w:val="Ttulo1"/>
        <w:tabs>
          <w:tab w:val="left" w:pos="0"/>
          <w:tab w:val="left" w:pos="567"/>
        </w:tabs>
        <w:spacing w:before="0" w:line="360" w:lineRule="auto"/>
        <w:jc w:val="center"/>
        <w:rPr>
          <w:szCs w:val="24"/>
        </w:rPr>
      </w:pPr>
      <w:bookmarkStart w:id="7" w:name="_heading=h.tyjcwt" w:colFirst="0" w:colLast="0"/>
      <w:bookmarkEnd w:id="7"/>
      <w:r w:rsidRPr="00EE2306">
        <w:rPr>
          <w:szCs w:val="24"/>
        </w:rPr>
        <w:t>C O N S I D E R A N D O</w:t>
      </w:r>
    </w:p>
    <w:p w14:paraId="04AEFD8E" w14:textId="77777777" w:rsidR="00EB0F49" w:rsidRPr="00EE2306" w:rsidRDefault="00EB0F49" w:rsidP="00333C5D">
      <w:pPr>
        <w:tabs>
          <w:tab w:val="left" w:pos="0"/>
        </w:tabs>
        <w:spacing w:line="360" w:lineRule="auto"/>
        <w:rPr>
          <w:rFonts w:ascii="Palatino Linotype" w:eastAsia="Palatino Linotype" w:hAnsi="Palatino Linotype" w:cs="Palatino Linotype"/>
          <w:color w:val="000000" w:themeColor="text1"/>
        </w:rPr>
      </w:pPr>
    </w:p>
    <w:p w14:paraId="4841D9CC" w14:textId="77777777" w:rsidR="00EB0F49" w:rsidRPr="00EE2306" w:rsidRDefault="001D3081" w:rsidP="00333C5D">
      <w:pPr>
        <w:pStyle w:val="Ttulo1"/>
        <w:tabs>
          <w:tab w:val="left" w:pos="0"/>
          <w:tab w:val="left" w:pos="567"/>
        </w:tabs>
        <w:spacing w:before="0" w:line="360" w:lineRule="auto"/>
        <w:rPr>
          <w:szCs w:val="24"/>
        </w:rPr>
      </w:pPr>
      <w:bookmarkStart w:id="8" w:name="_heading=h.3dy6vkm" w:colFirst="0" w:colLast="0"/>
      <w:bookmarkEnd w:id="8"/>
      <w:r w:rsidRPr="00EE2306">
        <w:rPr>
          <w:szCs w:val="24"/>
        </w:rPr>
        <w:t>PRIMERO. De la competencia</w:t>
      </w:r>
    </w:p>
    <w:p w14:paraId="214D3D34" w14:textId="77777777" w:rsidR="00EB0F49" w:rsidRPr="00EE2306" w:rsidRDefault="001D3081" w:rsidP="00333C5D">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EE2306">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EE2306">
        <w:rPr>
          <w:rFonts w:ascii="Palatino Linotype" w:eastAsia="Palatino Linotype" w:hAnsi="Palatino Linotype" w:cs="Palatino Linotype"/>
          <w:b/>
          <w:color w:val="000000" w:themeColor="text1"/>
        </w:rPr>
        <w:t>Constitución Política de los Estados Unidos Mexicanos</w:t>
      </w:r>
      <w:r w:rsidRPr="00EE2306">
        <w:rPr>
          <w:rFonts w:ascii="Palatino Linotype" w:eastAsia="Palatino Linotype" w:hAnsi="Palatino Linotype" w:cs="Palatino Linotype"/>
          <w:color w:val="000000" w:themeColor="text1"/>
        </w:rPr>
        <w:t>; 5, párrafos trigésimo segundo, trigésimo tercero y trigésimo cuarto fracciones IV y V de la </w:t>
      </w:r>
      <w:r w:rsidRPr="00EE2306">
        <w:rPr>
          <w:rFonts w:ascii="Palatino Linotype" w:eastAsia="Palatino Linotype" w:hAnsi="Palatino Linotype" w:cs="Palatino Linotype"/>
          <w:b/>
          <w:color w:val="000000" w:themeColor="text1"/>
        </w:rPr>
        <w:t>Constitución Política del Estado Libre y Soberano de México</w:t>
      </w:r>
      <w:r w:rsidRPr="00EE2306">
        <w:rPr>
          <w:rFonts w:ascii="Palatino Linotype" w:eastAsia="Palatino Linotype" w:hAnsi="Palatino Linotype" w:cs="Palatino Linotype"/>
          <w:color w:val="000000" w:themeColor="text1"/>
        </w:rPr>
        <w:t>; artículos 1, 2 fracción II, 13, 29, 36 fracciones I y II, 176, 178, 179, 181 párrafo tercero y 185 de la </w:t>
      </w:r>
      <w:r w:rsidRPr="00EE2306">
        <w:rPr>
          <w:rFonts w:ascii="Palatino Linotype" w:eastAsia="Palatino Linotype" w:hAnsi="Palatino Linotype" w:cs="Palatino Linotype"/>
          <w:b/>
          <w:color w:val="000000" w:themeColor="text1"/>
        </w:rPr>
        <w:t>Ley de Transparencia y Acceso a la Información Pública del Estado de México y Municipios</w:t>
      </w:r>
      <w:r w:rsidRPr="00EE2306">
        <w:rPr>
          <w:rFonts w:ascii="Palatino Linotype" w:eastAsia="Palatino Linotype" w:hAnsi="Palatino Linotype" w:cs="Palatino Linotype"/>
          <w:color w:val="000000" w:themeColor="text1"/>
        </w:rPr>
        <w:t>; y 7, 9 fracciones I y XXIII, y 11 del </w:t>
      </w:r>
      <w:r w:rsidRPr="00EE2306">
        <w:rPr>
          <w:rFonts w:ascii="Palatino Linotype" w:eastAsia="Palatino Linotype" w:hAnsi="Palatino Linotype" w:cs="Palatino Linotype"/>
          <w:b/>
          <w:color w:val="000000" w:themeColor="text1"/>
        </w:rPr>
        <w:t xml:space="preserve">Reglamento Interior del Instituto de Transparencia, Acceso a la </w:t>
      </w:r>
      <w:r w:rsidRPr="00EE2306">
        <w:rPr>
          <w:rFonts w:ascii="Palatino Linotype" w:eastAsia="Palatino Linotype" w:hAnsi="Palatino Linotype" w:cs="Palatino Linotype"/>
          <w:b/>
          <w:color w:val="000000" w:themeColor="text1"/>
        </w:rPr>
        <w:lastRenderedPageBreak/>
        <w:t>Información Pública y Protección de Datos Personales del Estado de México y Municipios</w:t>
      </w:r>
      <w:r w:rsidRPr="00EE2306">
        <w:rPr>
          <w:rFonts w:ascii="Palatino Linotype" w:eastAsia="Palatino Linotype" w:hAnsi="Palatino Linotype" w:cs="Palatino Linotype"/>
          <w:color w:val="000000" w:themeColor="text1"/>
        </w:rPr>
        <w:t>.</w:t>
      </w:r>
    </w:p>
    <w:p w14:paraId="2B31C26B" w14:textId="77777777" w:rsidR="00EB0F49" w:rsidRPr="00EE2306" w:rsidRDefault="00EB0F49" w:rsidP="00333C5D">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2EFC4423" w14:textId="77777777" w:rsidR="00EB0F49" w:rsidRPr="00EE2306" w:rsidRDefault="001D3081" w:rsidP="00333C5D">
      <w:pPr>
        <w:pStyle w:val="Ttulo2"/>
        <w:tabs>
          <w:tab w:val="left" w:pos="0"/>
        </w:tabs>
        <w:spacing w:before="0" w:line="360" w:lineRule="auto"/>
        <w:rPr>
          <w:szCs w:val="24"/>
        </w:rPr>
      </w:pPr>
      <w:bookmarkStart w:id="9" w:name="_heading=h.1t3h5sf" w:colFirst="0" w:colLast="0"/>
      <w:bookmarkEnd w:id="9"/>
      <w:r w:rsidRPr="00EE2306">
        <w:rPr>
          <w:szCs w:val="24"/>
        </w:rPr>
        <w:t>SEGUNDO. De la oportunidad y procedencia.</w:t>
      </w:r>
    </w:p>
    <w:p w14:paraId="79FE09A2" w14:textId="76907276" w:rsidR="00EB0F49" w:rsidRPr="00EE2306" w:rsidRDefault="001D3081" w:rsidP="00333C5D">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EE2306">
        <w:rPr>
          <w:rFonts w:ascii="Palatino Linotype" w:eastAsia="Palatino Linotype" w:hAnsi="Palatino Linotype" w:cs="Palatino Linotype"/>
          <w:color w:val="000000" w:themeColor="text1"/>
        </w:rPr>
        <w:t xml:space="preserve"> El medio de impugnación fue presentado a través del </w:t>
      </w:r>
      <w:r w:rsidRPr="00EE2306">
        <w:rPr>
          <w:rFonts w:ascii="Palatino Linotype" w:eastAsia="Palatino Linotype" w:hAnsi="Palatino Linotype" w:cs="Palatino Linotype"/>
          <w:b/>
          <w:color w:val="000000" w:themeColor="text1"/>
        </w:rPr>
        <w:t>SAIMEX,</w:t>
      </w:r>
      <w:r w:rsidRPr="00EE230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EE2306">
        <w:rPr>
          <w:rFonts w:ascii="Palatino Linotype" w:eastAsia="Palatino Linotype" w:hAnsi="Palatino Linotype" w:cs="Palatino Linotype"/>
          <w:b/>
          <w:color w:val="000000" w:themeColor="text1"/>
        </w:rPr>
        <w:t>SUJETO OBLIGADO</w:t>
      </w:r>
      <w:r w:rsidRPr="00EE2306">
        <w:rPr>
          <w:rFonts w:ascii="Palatino Linotype" w:eastAsia="Palatino Linotype" w:hAnsi="Palatino Linotype" w:cs="Palatino Linotype"/>
          <w:color w:val="000000" w:themeColor="text1"/>
        </w:rPr>
        <w:t xml:space="preserve"> entregó su respuesta el </w:t>
      </w:r>
      <w:r w:rsidR="00252505" w:rsidRPr="00EE2306">
        <w:rPr>
          <w:rFonts w:ascii="Palatino Linotype" w:eastAsia="Palatino Linotype" w:hAnsi="Palatino Linotype" w:cs="Palatino Linotype"/>
          <w:b/>
          <w:color w:val="000000" w:themeColor="text1"/>
        </w:rPr>
        <w:t>siete</w:t>
      </w:r>
      <w:r w:rsidR="000B0C5B" w:rsidRPr="00EE2306">
        <w:rPr>
          <w:rFonts w:ascii="Palatino Linotype" w:eastAsia="Palatino Linotype" w:hAnsi="Palatino Linotype" w:cs="Palatino Linotype"/>
          <w:b/>
          <w:color w:val="000000" w:themeColor="text1"/>
        </w:rPr>
        <w:t xml:space="preserve"> de febrero</w:t>
      </w:r>
      <w:r w:rsidRPr="00EE2306">
        <w:rPr>
          <w:rFonts w:ascii="Palatino Linotype" w:eastAsia="Palatino Linotype" w:hAnsi="Palatino Linotype" w:cs="Palatino Linotype"/>
          <w:b/>
          <w:color w:val="000000" w:themeColor="text1"/>
        </w:rPr>
        <w:t xml:space="preserve"> de dos mil veinticinco</w:t>
      </w:r>
      <w:r w:rsidRPr="00EE2306">
        <w:rPr>
          <w:rFonts w:ascii="Palatino Linotype" w:eastAsia="Palatino Linotype" w:hAnsi="Palatino Linotype" w:cs="Palatino Linotype"/>
          <w:color w:val="000000" w:themeColor="text1"/>
        </w:rPr>
        <w:t xml:space="preserve">, de tal forma que el plazo para interponer el recurso de revisión transcurrió del </w:t>
      </w:r>
      <w:r w:rsidR="00252505" w:rsidRPr="00EE2306">
        <w:rPr>
          <w:rFonts w:ascii="Palatino Linotype" w:eastAsia="Palatino Linotype" w:hAnsi="Palatino Linotype" w:cs="Palatino Linotype"/>
          <w:b/>
          <w:color w:val="000000" w:themeColor="text1"/>
        </w:rPr>
        <w:t>diez</w:t>
      </w:r>
      <w:r w:rsidR="000B0C5B" w:rsidRPr="00EE2306">
        <w:rPr>
          <w:rFonts w:ascii="Palatino Linotype" w:eastAsia="Palatino Linotype" w:hAnsi="Palatino Linotype" w:cs="Palatino Linotype"/>
          <w:b/>
          <w:color w:val="000000" w:themeColor="text1"/>
        </w:rPr>
        <w:t xml:space="preserve"> </w:t>
      </w:r>
      <w:r w:rsidRPr="00EE2306">
        <w:rPr>
          <w:rFonts w:ascii="Palatino Linotype" w:eastAsia="Palatino Linotype" w:hAnsi="Palatino Linotype" w:cs="Palatino Linotype"/>
          <w:b/>
          <w:color w:val="000000" w:themeColor="text1"/>
        </w:rPr>
        <w:t xml:space="preserve">al </w:t>
      </w:r>
      <w:r w:rsidR="00252505" w:rsidRPr="00EE2306">
        <w:rPr>
          <w:rFonts w:ascii="Palatino Linotype" w:eastAsia="Palatino Linotype" w:hAnsi="Palatino Linotype" w:cs="Palatino Linotype"/>
          <w:b/>
          <w:color w:val="000000" w:themeColor="text1"/>
        </w:rPr>
        <w:t>veintiocho</w:t>
      </w:r>
      <w:r w:rsidRPr="00EE2306">
        <w:rPr>
          <w:rFonts w:ascii="Palatino Linotype" w:eastAsia="Palatino Linotype" w:hAnsi="Palatino Linotype" w:cs="Palatino Linotype"/>
          <w:b/>
          <w:color w:val="000000" w:themeColor="text1"/>
        </w:rPr>
        <w:t xml:space="preserve"> de febrero de dos mil veinticinco</w:t>
      </w:r>
      <w:r w:rsidRPr="00EE2306">
        <w:rPr>
          <w:rFonts w:ascii="Palatino Linotype" w:eastAsia="Palatino Linotype" w:hAnsi="Palatino Linotype" w:cs="Palatino Linotype"/>
          <w:color w:val="000000" w:themeColor="text1"/>
        </w:rPr>
        <w:t xml:space="preserve">; en consecuencia, el ahora </w:t>
      </w:r>
      <w:r w:rsidRPr="00EE2306">
        <w:rPr>
          <w:rFonts w:ascii="Palatino Linotype" w:eastAsia="Palatino Linotype" w:hAnsi="Palatino Linotype" w:cs="Palatino Linotype"/>
          <w:b/>
          <w:color w:val="000000" w:themeColor="text1"/>
        </w:rPr>
        <w:t>RECURRENTE</w:t>
      </w:r>
      <w:r w:rsidRPr="00EE2306">
        <w:rPr>
          <w:rFonts w:ascii="Palatino Linotype" w:eastAsia="Palatino Linotype" w:hAnsi="Palatino Linotype" w:cs="Palatino Linotype"/>
          <w:color w:val="000000" w:themeColor="text1"/>
        </w:rPr>
        <w:t xml:space="preserve"> presentó su inconformidad el </w:t>
      </w:r>
      <w:r w:rsidR="00252505" w:rsidRPr="00EE2306">
        <w:rPr>
          <w:rFonts w:ascii="Palatino Linotype" w:eastAsia="Palatino Linotype" w:hAnsi="Palatino Linotype" w:cs="Palatino Linotype"/>
          <w:b/>
          <w:color w:val="000000" w:themeColor="text1"/>
        </w:rPr>
        <w:t xml:space="preserve">once </w:t>
      </w:r>
      <w:r w:rsidRPr="00EE2306">
        <w:rPr>
          <w:rFonts w:ascii="Palatino Linotype" w:eastAsia="Palatino Linotype" w:hAnsi="Palatino Linotype" w:cs="Palatino Linotype"/>
          <w:b/>
          <w:color w:val="000000" w:themeColor="text1"/>
        </w:rPr>
        <w:t>de febrero de dos mil veinticinco</w:t>
      </w:r>
      <w:r w:rsidRPr="00EE2306">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3DB9EB55" w14:textId="77777777" w:rsidR="00EB0F49" w:rsidRPr="00EE2306" w:rsidRDefault="00EB0F49" w:rsidP="00333C5D">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2085FC2A" w14:textId="77777777" w:rsidR="00EB0F49" w:rsidRPr="00EE2306" w:rsidRDefault="001D3081" w:rsidP="00333C5D">
      <w:pPr>
        <w:numPr>
          <w:ilvl w:val="0"/>
          <w:numId w:val="11"/>
        </w:numPr>
        <w:tabs>
          <w:tab w:val="left" w:pos="0"/>
        </w:tabs>
        <w:spacing w:line="360" w:lineRule="auto"/>
        <w:jc w:val="both"/>
        <w:rPr>
          <w:rFonts w:ascii="Palatino Linotype" w:eastAsia="Palatino Linotype" w:hAnsi="Palatino Linotype" w:cs="Palatino Linotype"/>
          <w:b/>
          <w:color w:val="000000" w:themeColor="text1"/>
        </w:rPr>
      </w:pPr>
      <w:r w:rsidRPr="00EE2306">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279A65" w14:textId="77777777" w:rsidR="00EB0F49" w:rsidRPr="00EE2306" w:rsidRDefault="00EB0F49" w:rsidP="00333C5D">
      <w:pPr>
        <w:tabs>
          <w:tab w:val="left" w:pos="0"/>
        </w:tabs>
        <w:spacing w:line="360" w:lineRule="auto"/>
        <w:rPr>
          <w:rFonts w:ascii="Palatino Linotype" w:eastAsia="Palatino Linotype" w:hAnsi="Palatino Linotype" w:cs="Palatino Linotype"/>
          <w:color w:val="000000" w:themeColor="text1"/>
        </w:rPr>
      </w:pPr>
    </w:p>
    <w:p w14:paraId="44F5127D" w14:textId="08D32060" w:rsidR="00A91FF0" w:rsidRPr="00EE2306" w:rsidRDefault="001D3081" w:rsidP="00333C5D">
      <w:pPr>
        <w:pStyle w:val="Ttulo1"/>
        <w:tabs>
          <w:tab w:val="left" w:pos="0"/>
        </w:tabs>
        <w:spacing w:before="0" w:line="360" w:lineRule="auto"/>
        <w:rPr>
          <w:szCs w:val="24"/>
        </w:rPr>
      </w:pPr>
      <w:r w:rsidRPr="00EE2306">
        <w:rPr>
          <w:szCs w:val="24"/>
        </w:rPr>
        <w:t xml:space="preserve">TERCERO. </w:t>
      </w:r>
      <w:r w:rsidR="00A91FF0" w:rsidRPr="00EE2306">
        <w:rPr>
          <w:szCs w:val="24"/>
        </w:rPr>
        <w:t>De las causales del sobreseimiento.</w:t>
      </w:r>
    </w:p>
    <w:p w14:paraId="6D2D49F3" w14:textId="33410320" w:rsidR="00A91FF0" w:rsidRPr="00EE2306" w:rsidRDefault="00A91FF0" w:rsidP="00333C5D">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EE2306">
        <w:rPr>
          <w:rFonts w:ascii="Palatino Linotype" w:eastAsia="Palatino Linotype" w:hAnsi="Palatino Linotype" w:cs="Palatino Linotype"/>
          <w:color w:val="000000" w:themeColor="text1"/>
        </w:rPr>
        <w:t xml:space="preserve">El </w:t>
      </w:r>
      <w:r w:rsidRPr="00EE2306">
        <w:rPr>
          <w:rFonts w:ascii="Palatino Linotype" w:hAnsi="Palatino Linotype" w:cs="Arial"/>
          <w:color w:val="000000" w:themeColor="text1"/>
        </w:rPr>
        <w:t xml:space="preserve">recurso revisión tiene como finalidad reparar cualquier posible afectación al Derecho de Acceso a la Información Pública en términos del Título Octavo de la Ley de </w:t>
      </w:r>
      <w:r w:rsidRPr="00EE2306">
        <w:rPr>
          <w:rFonts w:ascii="Palatino Linotype" w:eastAsia="Calibri" w:hAnsi="Palatino Linotype" w:cs="Arial"/>
          <w:color w:val="000000" w:themeColor="text1"/>
        </w:rPr>
        <w:t>Transparencia, Acceso a la Información Pública del Estado de México y Municipios</w:t>
      </w:r>
      <w:r w:rsidRPr="00EE2306">
        <w:rPr>
          <w:rFonts w:ascii="Palatino Linotype" w:hAnsi="Palatino Linotype" w:cs="Arial"/>
          <w:color w:val="000000" w:themeColor="text1"/>
        </w:rPr>
        <w:t xml:space="preserve">, y determinar la confirmación; revocación o modificación; desechamiento o </w:t>
      </w:r>
      <w:r w:rsidRPr="00EE2306">
        <w:rPr>
          <w:rFonts w:ascii="Palatino Linotype" w:hAnsi="Palatino Linotype" w:cs="Arial"/>
          <w:b/>
          <w:color w:val="000000" w:themeColor="text1"/>
          <w:u w:val="single"/>
        </w:rPr>
        <w:t>sobreseimiento</w:t>
      </w:r>
      <w:r w:rsidRPr="00EE2306">
        <w:rPr>
          <w:rFonts w:ascii="Palatino Linotype" w:hAnsi="Palatino Linotype" w:cs="Arial"/>
          <w:color w:val="000000" w:themeColor="text1"/>
        </w:rPr>
        <w:t xml:space="preserve">; y, en su caso, ordenar la entrega de la información respecto a la falta de respuesta por parte del </w:t>
      </w:r>
      <w:r w:rsidRPr="00EE2306">
        <w:rPr>
          <w:rFonts w:ascii="Palatino Linotype" w:hAnsi="Palatino Linotype" w:cs="Arial"/>
          <w:b/>
          <w:color w:val="000000" w:themeColor="text1"/>
        </w:rPr>
        <w:t>SUJETO</w:t>
      </w:r>
      <w:r w:rsidRPr="00EE2306">
        <w:rPr>
          <w:rFonts w:ascii="Palatino Linotype" w:hAnsi="Palatino Linotype" w:cs="Arial"/>
          <w:color w:val="000000" w:themeColor="text1"/>
        </w:rPr>
        <w:t xml:space="preserve"> </w:t>
      </w:r>
      <w:r w:rsidRPr="00EE2306">
        <w:rPr>
          <w:rFonts w:ascii="Palatino Linotype" w:hAnsi="Palatino Linotype" w:cs="Arial"/>
          <w:b/>
          <w:color w:val="000000" w:themeColor="text1"/>
        </w:rPr>
        <w:t>OBLIGADO</w:t>
      </w:r>
      <w:r w:rsidRPr="00EE2306">
        <w:rPr>
          <w:rFonts w:ascii="Palatino Linotype" w:hAnsi="Palatino Linotype" w:cs="Arial"/>
          <w:color w:val="000000" w:themeColor="text1"/>
        </w:rPr>
        <w:t>.</w:t>
      </w:r>
    </w:p>
    <w:p w14:paraId="6F679D42" w14:textId="457D6FBA" w:rsidR="00A91FF0" w:rsidRPr="00EE2306" w:rsidRDefault="00A91FF0" w:rsidP="00333C5D">
      <w:pPr>
        <w:pStyle w:val="Prrafodelista"/>
        <w:numPr>
          <w:ilvl w:val="0"/>
          <w:numId w:val="11"/>
        </w:numPr>
        <w:tabs>
          <w:tab w:val="left" w:pos="0"/>
        </w:tabs>
        <w:spacing w:line="360" w:lineRule="auto"/>
        <w:jc w:val="both"/>
        <w:rPr>
          <w:rFonts w:ascii="Palatino Linotype" w:eastAsia="Calibri" w:hAnsi="Palatino Linotype" w:cs="Tahoma"/>
          <w:color w:val="000000" w:themeColor="text1"/>
          <w:lang w:val="es-ES" w:eastAsia="es-ES_tradnl"/>
        </w:rPr>
      </w:pPr>
      <w:r w:rsidRPr="00EE2306">
        <w:rPr>
          <w:rFonts w:ascii="Palatino Linotype" w:eastAsia="Calibri" w:hAnsi="Palatino Linotype" w:cs="Tahoma"/>
          <w:iCs/>
          <w:color w:val="000000" w:themeColor="text1"/>
          <w:lang w:val="es-ES" w:eastAsia="es-ES_tradnl"/>
        </w:rPr>
        <w:lastRenderedPageBreak/>
        <w:t xml:space="preserve">De </w:t>
      </w:r>
      <w:r w:rsidRPr="00EE2306">
        <w:rPr>
          <w:rFonts w:ascii="Palatino Linotype" w:eastAsia="Calibri" w:hAnsi="Palatino Linotype"/>
          <w:color w:val="000000" w:themeColor="text1"/>
        </w:rPr>
        <w:t xml:space="preserve">acuerdo con el precepto legal contenido en la fracción IV del artículo 192 de la </w:t>
      </w:r>
      <w:r w:rsidRPr="00EE2306">
        <w:rPr>
          <w:rFonts w:ascii="Palatino Linotype" w:eastAsia="Calibri" w:hAnsi="Palatino Linotype"/>
          <w:b/>
          <w:color w:val="000000" w:themeColor="text1"/>
        </w:rPr>
        <w:t>Ley de Transparencia y Acceso a la Información Pública del Estado de México y Municipios</w:t>
      </w:r>
      <w:r w:rsidRPr="00EE2306">
        <w:rPr>
          <w:rFonts w:ascii="Palatino Linotype" w:eastAsia="Calibri" w:hAnsi="Palatino Linotype"/>
          <w:color w:val="000000" w:themeColor="text1"/>
        </w:rPr>
        <w:t>, el recurso será sobreseído, cuando una vez admitido, aparezca alguna causal de improcedencia en términos de la misma Ley.</w:t>
      </w:r>
    </w:p>
    <w:p w14:paraId="7508D3B3" w14:textId="77777777" w:rsidR="00A91FF0" w:rsidRPr="00EE2306" w:rsidRDefault="00A91FF0" w:rsidP="00333C5D">
      <w:pPr>
        <w:pStyle w:val="Prrafodelista"/>
        <w:tabs>
          <w:tab w:val="left" w:pos="0"/>
        </w:tabs>
        <w:spacing w:line="360" w:lineRule="auto"/>
        <w:ind w:left="0"/>
        <w:jc w:val="both"/>
        <w:rPr>
          <w:rFonts w:ascii="Palatino Linotype" w:eastAsia="Calibri" w:hAnsi="Palatino Linotype" w:cs="Tahoma"/>
          <w:color w:val="000000" w:themeColor="text1"/>
          <w:lang w:val="es-ES" w:eastAsia="es-ES_tradnl"/>
        </w:rPr>
      </w:pPr>
    </w:p>
    <w:p w14:paraId="6EAE7B6D" w14:textId="77777777" w:rsidR="00A91FF0" w:rsidRPr="00EE2306" w:rsidRDefault="00A91FF0" w:rsidP="00333C5D">
      <w:pPr>
        <w:pStyle w:val="Prrafodelista"/>
        <w:numPr>
          <w:ilvl w:val="0"/>
          <w:numId w:val="21"/>
        </w:numPr>
        <w:tabs>
          <w:tab w:val="left" w:pos="0"/>
        </w:tabs>
        <w:spacing w:line="360" w:lineRule="auto"/>
        <w:jc w:val="both"/>
        <w:rPr>
          <w:rFonts w:ascii="Palatino Linotype" w:eastAsia="Calibri" w:hAnsi="Palatino Linotype" w:cs="Tahoma"/>
          <w:color w:val="000000" w:themeColor="text1"/>
          <w:lang w:val="es-ES" w:eastAsia="es-ES_tradnl"/>
        </w:rPr>
      </w:pPr>
      <w:bookmarkStart w:id="10" w:name="_Toc365136"/>
      <w:r w:rsidRPr="00EE2306">
        <w:rPr>
          <w:rFonts w:ascii="Palatino Linotype" w:eastAsiaTheme="majorEastAsia" w:hAnsi="Palatino Linotype" w:cstheme="majorBidi"/>
          <w:b/>
          <w:iCs/>
          <w:color w:val="000000" w:themeColor="text1"/>
        </w:rPr>
        <w:t>De la solicitud de información</w:t>
      </w:r>
      <w:bookmarkEnd w:id="10"/>
    </w:p>
    <w:p w14:paraId="20974BA7" w14:textId="70FC9B92" w:rsidR="00EB0F49" w:rsidRPr="00EE2306" w:rsidRDefault="00A91FF0" w:rsidP="00333C5D">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EE2306">
        <w:rPr>
          <w:rFonts w:ascii="Palatino Linotype" w:eastAsia="Palatino Linotype" w:hAnsi="Palatino Linotype" w:cs="Palatino Linotype"/>
          <w:color w:val="000000" w:themeColor="text1"/>
        </w:rPr>
        <w:t xml:space="preserve">Como se ha mencionado, </w:t>
      </w:r>
      <w:r w:rsidR="00333C5D" w:rsidRPr="00EE2306">
        <w:rPr>
          <w:rFonts w:ascii="Palatino Linotype" w:eastAsia="Palatino Linotype" w:hAnsi="Palatino Linotype" w:cs="Palatino Linotype"/>
          <w:color w:val="000000" w:themeColor="text1"/>
        </w:rPr>
        <w:t xml:space="preserve">EL </w:t>
      </w:r>
      <w:r w:rsidRPr="00EE2306">
        <w:rPr>
          <w:rFonts w:ascii="Palatino Linotype" w:eastAsia="Palatino Linotype" w:hAnsi="Palatino Linotype" w:cs="Palatino Linotype"/>
          <w:b/>
          <w:color w:val="000000" w:themeColor="text1"/>
        </w:rPr>
        <w:t>RECURRENTE</w:t>
      </w:r>
      <w:r w:rsidRPr="00EE2306">
        <w:rPr>
          <w:rFonts w:ascii="Palatino Linotype" w:eastAsia="Palatino Linotype" w:hAnsi="Palatino Linotype" w:cs="Palatino Linotype"/>
          <w:color w:val="000000" w:themeColor="text1"/>
        </w:rPr>
        <w:t xml:space="preserve"> </w:t>
      </w:r>
      <w:r w:rsidR="00485C31" w:rsidRPr="00EE2306">
        <w:rPr>
          <w:rFonts w:ascii="Palatino Linotype" w:eastAsia="Palatino Linotype" w:hAnsi="Palatino Linotype" w:cs="Palatino Linotype"/>
          <w:color w:val="000000" w:themeColor="text1"/>
        </w:rPr>
        <w:t xml:space="preserve">solicitó al Ayuntamiento de </w:t>
      </w:r>
      <w:r w:rsidR="00B14589" w:rsidRPr="00EE2306">
        <w:rPr>
          <w:rFonts w:ascii="Palatino Linotype" w:eastAsia="Palatino Linotype" w:hAnsi="Palatino Linotype" w:cs="Palatino Linotype"/>
          <w:color w:val="000000" w:themeColor="text1"/>
        </w:rPr>
        <w:t>Toluca</w:t>
      </w:r>
      <w:r w:rsidR="00485C31" w:rsidRPr="00EE2306">
        <w:rPr>
          <w:rFonts w:ascii="Palatino Linotype" w:eastAsia="Palatino Linotype" w:hAnsi="Palatino Linotype" w:cs="Palatino Linotype"/>
          <w:color w:val="000000" w:themeColor="text1"/>
        </w:rPr>
        <w:t xml:space="preserve"> </w:t>
      </w:r>
      <w:r w:rsidR="002E70EF" w:rsidRPr="00EE2306">
        <w:rPr>
          <w:rFonts w:ascii="Palatino Linotype" w:eastAsia="Palatino Linotype" w:hAnsi="Palatino Linotype" w:cs="Palatino Linotype"/>
          <w:b/>
          <w:color w:val="000000" w:themeColor="text1"/>
        </w:rPr>
        <w:t>el número</w:t>
      </w:r>
      <w:r w:rsidRPr="00EE2306">
        <w:rPr>
          <w:rFonts w:ascii="Palatino Linotype" w:eastAsia="Palatino Linotype" w:hAnsi="Palatino Linotype" w:cs="Palatino Linotype"/>
          <w:b/>
          <w:color w:val="000000" w:themeColor="text1"/>
        </w:rPr>
        <w:t>, costo, forma de pago y vales de salida</w:t>
      </w:r>
      <w:r w:rsidR="002E70EF" w:rsidRPr="00EE2306">
        <w:rPr>
          <w:rFonts w:ascii="Palatino Linotype" w:eastAsia="Palatino Linotype" w:hAnsi="Palatino Linotype" w:cs="Palatino Linotype"/>
          <w:b/>
          <w:color w:val="000000" w:themeColor="text1"/>
        </w:rPr>
        <w:t xml:space="preserve"> de</w:t>
      </w:r>
      <w:r w:rsidRPr="00EE2306">
        <w:rPr>
          <w:rFonts w:ascii="Palatino Linotype" w:eastAsia="Palatino Linotype" w:hAnsi="Palatino Linotype" w:cs="Palatino Linotype"/>
          <w:b/>
          <w:color w:val="000000" w:themeColor="text1"/>
        </w:rPr>
        <w:t xml:space="preserve"> los</w:t>
      </w:r>
      <w:r w:rsidR="002E70EF" w:rsidRPr="00EE2306">
        <w:rPr>
          <w:rFonts w:ascii="Palatino Linotype" w:eastAsia="Palatino Linotype" w:hAnsi="Palatino Linotype" w:cs="Palatino Linotype"/>
          <w:b/>
          <w:color w:val="000000" w:themeColor="text1"/>
        </w:rPr>
        <w:t xml:space="preserve"> árboles que se plantaron en 2024</w:t>
      </w:r>
      <w:r w:rsidRPr="00EE2306">
        <w:rPr>
          <w:rFonts w:ascii="Palatino Linotype" w:eastAsia="Palatino Linotype" w:hAnsi="Palatino Linotype" w:cs="Palatino Linotype"/>
          <w:b/>
          <w:color w:val="000000" w:themeColor="text1"/>
        </w:rPr>
        <w:t xml:space="preserve">, así como, </w:t>
      </w:r>
      <w:r w:rsidR="002E70EF" w:rsidRPr="00EE2306">
        <w:rPr>
          <w:rFonts w:ascii="Palatino Linotype" w:eastAsia="Palatino Linotype" w:hAnsi="Palatino Linotype" w:cs="Palatino Linotype"/>
          <w:b/>
          <w:color w:val="000000" w:themeColor="text1"/>
        </w:rPr>
        <w:t>el programa de reforestación para 2025.</w:t>
      </w:r>
    </w:p>
    <w:p w14:paraId="673E0A4D" w14:textId="77777777" w:rsidR="00473A26" w:rsidRPr="00EE2306" w:rsidRDefault="00473A26" w:rsidP="00333C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549F2B30" w14:textId="35BCABE9" w:rsidR="002E70EF" w:rsidRPr="00EE2306" w:rsidRDefault="00A91FF0" w:rsidP="00333C5D">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EE2306">
        <w:rPr>
          <w:rFonts w:ascii="Palatino Linotype" w:eastAsia="Palatino Linotype" w:hAnsi="Palatino Linotype" w:cs="Palatino Linotype"/>
          <w:color w:val="000000" w:themeColor="text1"/>
        </w:rPr>
        <w:t xml:space="preserve">En respuesta, </w:t>
      </w:r>
      <w:r w:rsidR="001D3081" w:rsidRPr="00EE2306">
        <w:rPr>
          <w:rFonts w:ascii="Palatino Linotype" w:eastAsia="Palatino Linotype" w:hAnsi="Palatino Linotype" w:cs="Palatino Linotype"/>
          <w:color w:val="000000" w:themeColor="text1"/>
        </w:rPr>
        <w:t xml:space="preserve">el </w:t>
      </w:r>
      <w:r w:rsidR="001D3081" w:rsidRPr="00EE2306">
        <w:rPr>
          <w:rFonts w:ascii="Palatino Linotype" w:eastAsia="Palatino Linotype" w:hAnsi="Palatino Linotype" w:cs="Palatino Linotype"/>
          <w:b/>
          <w:color w:val="000000" w:themeColor="text1"/>
        </w:rPr>
        <w:t>SUJETO OBLIGADO,</w:t>
      </w:r>
      <w:r w:rsidR="001D3081" w:rsidRPr="00EE2306">
        <w:rPr>
          <w:rFonts w:ascii="Palatino Linotype" w:eastAsia="Palatino Linotype" w:hAnsi="Palatino Linotype" w:cs="Palatino Linotype"/>
          <w:color w:val="000000" w:themeColor="text1"/>
        </w:rPr>
        <w:t xml:space="preserve"> </w:t>
      </w:r>
      <w:r w:rsidR="00676985" w:rsidRPr="00EE2306">
        <w:rPr>
          <w:rFonts w:ascii="Palatino Linotype" w:eastAsia="Palatino Linotype" w:hAnsi="Palatino Linotype" w:cs="Palatino Linotype"/>
          <w:color w:val="000000" w:themeColor="text1"/>
        </w:rPr>
        <w:t xml:space="preserve">por medio </w:t>
      </w:r>
      <w:r w:rsidR="002E70EF" w:rsidRPr="00EE2306">
        <w:rPr>
          <w:rFonts w:ascii="Palatino Linotype" w:hAnsi="Palatino Linotype"/>
          <w:color w:val="000000" w:themeColor="text1"/>
        </w:rPr>
        <w:t>la Dirección General de Medio Ambiente y Servidora Pública Habilitada, informó que durante 2024 se plantaron 145,049 árboles en ANP’s y zona urbana y suburbana. Referente al costo de cada árbol, señaló que la planta que se utilizó para las reforestaciones, se obtuvo mediante las donaciones realizadas al H. Ayuntamiento de Toluca por la Protectora de Bosques (PROBOSQUE), Fundación Grupo México, compensaciones ambientales. Por otro lado, remitió el Anexo 1 “Vale de orden de salida de planta del vivero municipal Alameda 2000 de 2024” en versión pública, información remitida por el Departamento de Forestación. Relativo al programa de reforestación para 2025, indicó que tiene previsto realizarse en la temporada de lluvias de acuerdo a lo establecido en el Manual de Practicas de Reforestación emitido por la SEMARNAT, por lo que al momento de la solicitud, no es posible entregar la información por no haberse generado aun. Finalmente, adjuntó el Estado Analítico del ejercicio del presupuesto de egresos, clasificación por objeto de gasto (capitulo y concepto), correspondiente al tercer trimestre del ejercicio fiscal 2024.</w:t>
      </w:r>
    </w:p>
    <w:p w14:paraId="16BD54D8" w14:textId="6CA5F1EE" w:rsidR="002E70EF" w:rsidRPr="00EE2306" w:rsidRDefault="00473A26" w:rsidP="00333C5D">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r w:rsidRPr="00EE2306">
        <w:rPr>
          <w:rFonts w:ascii="Palatino Linotype" w:eastAsia="Palatino Linotype" w:hAnsi="Palatino Linotype" w:cs="Palatino Linotype"/>
          <w:color w:val="000000" w:themeColor="text1"/>
        </w:rPr>
        <w:lastRenderedPageBreak/>
        <w:t>Posteriormente</w:t>
      </w:r>
      <w:r w:rsidR="001D3081" w:rsidRPr="00EE2306">
        <w:rPr>
          <w:rFonts w:ascii="Palatino Linotype" w:eastAsia="Palatino Linotype" w:hAnsi="Palatino Linotype" w:cs="Palatino Linotype"/>
          <w:color w:val="000000" w:themeColor="text1"/>
        </w:rPr>
        <w:t xml:space="preserve">, el </w:t>
      </w:r>
      <w:r w:rsidR="001D3081" w:rsidRPr="00EE2306">
        <w:rPr>
          <w:rFonts w:ascii="Palatino Linotype" w:eastAsia="Palatino Linotype" w:hAnsi="Palatino Linotype" w:cs="Palatino Linotype"/>
          <w:b/>
          <w:color w:val="000000" w:themeColor="text1"/>
        </w:rPr>
        <w:t xml:space="preserve">RECURRENTE </w:t>
      </w:r>
      <w:r w:rsidR="001D3081" w:rsidRPr="00EE2306">
        <w:rPr>
          <w:rFonts w:ascii="Palatino Linotype" w:eastAsia="Palatino Linotype" w:hAnsi="Palatino Linotype" w:cs="Palatino Linotype"/>
          <w:color w:val="000000" w:themeColor="text1"/>
        </w:rPr>
        <w:t xml:space="preserve">interpuso recurso de revisión </w:t>
      </w:r>
      <w:r w:rsidRPr="00EE2306">
        <w:rPr>
          <w:rFonts w:ascii="Palatino Linotype" w:eastAsia="Palatino Linotype" w:hAnsi="Palatino Linotype" w:cs="Palatino Linotype"/>
          <w:color w:val="000000" w:themeColor="text1"/>
        </w:rPr>
        <w:t xml:space="preserve">en el </w:t>
      </w:r>
      <w:r w:rsidR="00A91FF0" w:rsidRPr="00EE2306">
        <w:rPr>
          <w:rFonts w:ascii="Palatino Linotype" w:eastAsia="Palatino Linotype" w:hAnsi="Palatino Linotype" w:cs="Palatino Linotype"/>
          <w:color w:val="000000" w:themeColor="text1"/>
        </w:rPr>
        <w:t>se inconformó por</w:t>
      </w:r>
      <w:r w:rsidR="002E70EF" w:rsidRPr="00EE2306">
        <w:rPr>
          <w:rFonts w:ascii="Palatino Linotype" w:eastAsia="Palatino Linotype" w:hAnsi="Palatino Linotype" w:cs="Palatino Linotype"/>
          <w:color w:val="000000" w:themeColor="text1"/>
        </w:rPr>
        <w:t xml:space="preserve">que </w:t>
      </w:r>
      <w:r w:rsidR="002E70EF" w:rsidRPr="00EE2306">
        <w:rPr>
          <w:rFonts w:ascii="Palatino Linotype" w:eastAsia="Palatino Linotype" w:hAnsi="Palatino Linotype" w:cs="Palatino Linotype"/>
          <w:b/>
          <w:i/>
          <w:color w:val="000000" w:themeColor="text1"/>
          <w:u w:val="single"/>
        </w:rPr>
        <w:t>no le proporcionaron los documentos que dan cuenta del presupuesto.</w:t>
      </w:r>
    </w:p>
    <w:p w14:paraId="7773C596" w14:textId="77777777" w:rsidR="002E70EF" w:rsidRPr="00EE2306" w:rsidRDefault="002E70EF" w:rsidP="00333C5D">
      <w:pPr>
        <w:tabs>
          <w:tab w:val="left" w:pos="0"/>
        </w:tabs>
        <w:rPr>
          <w:rFonts w:ascii="Palatino Linotype" w:eastAsia="Palatino Linotype" w:hAnsi="Palatino Linotype" w:cs="Palatino Linotype"/>
          <w:color w:val="000000" w:themeColor="text1"/>
        </w:rPr>
      </w:pPr>
    </w:p>
    <w:p w14:paraId="6DE0586A" w14:textId="2EC69A84" w:rsidR="00A91FF0" w:rsidRPr="00EE2306" w:rsidRDefault="00A91FF0" w:rsidP="00333C5D">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EE2306">
        <w:rPr>
          <w:rFonts w:ascii="Palatino Linotype" w:eastAsia="Palatino Linotype" w:hAnsi="Palatino Linotype" w:cs="Palatino Linotype"/>
          <w:color w:val="000000" w:themeColor="text1"/>
        </w:rPr>
        <w:t>E</w:t>
      </w:r>
      <w:r w:rsidRPr="00EE2306">
        <w:rPr>
          <w:rFonts w:ascii="Palatino Linotype" w:hAnsi="Palatino Linotype"/>
          <w:color w:val="000000" w:themeColor="text1"/>
        </w:rPr>
        <w:t>xpuesto lo anterior</w:t>
      </w:r>
      <w:r w:rsidRPr="00EE2306">
        <w:rPr>
          <w:rFonts w:ascii="Palatino Linotype" w:eastAsia="MS Mincho" w:hAnsi="Palatino Linotype"/>
          <w:color w:val="000000" w:themeColor="text1"/>
          <w:lang w:eastAsia="es-ES"/>
        </w:rPr>
        <w:t xml:space="preserve">, es necesario señalar que hay </w:t>
      </w:r>
      <w:r w:rsidRPr="00EE2306">
        <w:rPr>
          <w:rFonts w:ascii="Palatino Linotype" w:eastAsia="Palatino Linotype" w:hAnsi="Palatino Linotype" w:cs="Palatino Linotype"/>
          <w:color w:val="000000" w:themeColor="text1"/>
        </w:rPr>
        <w:t xml:space="preserve">elementos entregados en respuesta por parte del </w:t>
      </w:r>
      <w:r w:rsidRPr="00EE2306">
        <w:rPr>
          <w:rFonts w:ascii="Palatino Linotype" w:eastAsia="Palatino Linotype" w:hAnsi="Palatino Linotype" w:cs="Palatino Linotype"/>
          <w:b/>
          <w:color w:val="000000" w:themeColor="text1"/>
        </w:rPr>
        <w:t>SUJETO OBLIGADO</w:t>
      </w:r>
      <w:r w:rsidRPr="00EE2306">
        <w:rPr>
          <w:rFonts w:ascii="Palatino Linotype" w:eastAsia="Palatino Linotype" w:hAnsi="Palatino Linotype" w:cs="Palatino Linotype"/>
          <w:color w:val="000000" w:themeColor="text1"/>
        </w:rPr>
        <w:t xml:space="preserve"> sobre los cuales </w:t>
      </w:r>
      <w:r w:rsidRPr="00EE2306">
        <w:rPr>
          <w:rFonts w:ascii="Palatino Linotype" w:eastAsia="Palatino Linotype" w:hAnsi="Palatino Linotype" w:cs="Palatino Linotype"/>
          <w:bCs/>
          <w:color w:val="000000" w:themeColor="text1"/>
        </w:rPr>
        <w:t xml:space="preserve">el </w:t>
      </w:r>
      <w:r w:rsidRPr="00EE2306">
        <w:rPr>
          <w:rFonts w:ascii="Palatino Linotype" w:eastAsia="Palatino Linotype" w:hAnsi="Palatino Linotype" w:cs="Palatino Linotype"/>
          <w:b/>
          <w:color w:val="000000" w:themeColor="text1"/>
        </w:rPr>
        <w:t>RECURRENTE</w:t>
      </w:r>
      <w:r w:rsidRPr="00EE2306">
        <w:rPr>
          <w:rFonts w:ascii="Palatino Linotype" w:eastAsia="Palatino Linotype" w:hAnsi="Palatino Linotype" w:cs="Palatino Linotype"/>
          <w:bCs/>
          <w:color w:val="000000" w:themeColor="text1"/>
        </w:rPr>
        <w:t xml:space="preserve"> no</w:t>
      </w:r>
      <w:r w:rsidRPr="00EE2306">
        <w:rPr>
          <w:rFonts w:ascii="Palatino Linotype" w:eastAsia="Palatino Linotype" w:hAnsi="Palatino Linotype" w:cs="Palatino Linotype"/>
          <w:color w:val="000000" w:themeColor="text1"/>
        </w:rPr>
        <w:t xml:space="preserve"> se inconformó.</w:t>
      </w:r>
    </w:p>
    <w:p w14:paraId="52ACD9CF" w14:textId="77777777" w:rsidR="00A91FF0" w:rsidRPr="00EE2306" w:rsidRDefault="00A91FF0" w:rsidP="00333C5D">
      <w:pPr>
        <w:pStyle w:val="Prrafodelista"/>
        <w:tabs>
          <w:tab w:val="left" w:pos="0"/>
        </w:tabs>
        <w:spacing w:line="360" w:lineRule="auto"/>
        <w:ind w:left="0"/>
        <w:jc w:val="both"/>
        <w:rPr>
          <w:rFonts w:ascii="Palatino Linotype" w:hAnsi="Palatino Linotype" w:cs="Arial"/>
          <w:color w:val="000000" w:themeColor="text1"/>
          <w:lang w:val="es-ES" w:eastAsia="es-ES"/>
        </w:rPr>
      </w:pPr>
    </w:p>
    <w:p w14:paraId="4C2CCB6A" w14:textId="35BE3205" w:rsidR="00A91FF0" w:rsidRPr="00EE2306" w:rsidRDefault="00A91FF0" w:rsidP="00333C5D">
      <w:pPr>
        <w:pStyle w:val="Prrafodelista"/>
        <w:numPr>
          <w:ilvl w:val="0"/>
          <w:numId w:val="11"/>
        </w:numPr>
        <w:tabs>
          <w:tab w:val="left" w:pos="0"/>
        </w:tabs>
        <w:spacing w:line="360" w:lineRule="auto"/>
        <w:jc w:val="both"/>
        <w:rPr>
          <w:rFonts w:ascii="Palatino Linotype" w:hAnsi="Palatino Linotype"/>
          <w:color w:val="000000" w:themeColor="text1"/>
        </w:rPr>
      </w:pPr>
      <w:r w:rsidRPr="00EE2306">
        <w:rPr>
          <w:rFonts w:ascii="Palatino Linotype" w:hAnsi="Palatino Linotype"/>
          <w:color w:val="000000" w:themeColor="text1"/>
        </w:rPr>
        <w:t xml:space="preserve">En </w:t>
      </w:r>
      <w:r w:rsidRPr="00EE2306">
        <w:rPr>
          <w:rFonts w:ascii="Palatino Linotype" w:eastAsia="MS Mincho" w:hAnsi="Palatino Linotype"/>
          <w:color w:val="000000" w:themeColor="text1"/>
          <w:lang w:eastAsia="es-ES"/>
        </w:rPr>
        <w:t xml:space="preserve">este sentido, </w:t>
      </w:r>
      <w:r w:rsidRPr="00EE2306">
        <w:rPr>
          <w:rFonts w:ascii="Palatino Linotype" w:eastAsia="Palatino Linotype" w:hAnsi="Palatino Linotype" w:cs="Palatino Linotype"/>
          <w:color w:val="000000" w:themeColor="text1"/>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6D848CF4" w14:textId="77777777" w:rsidR="00A91FF0" w:rsidRPr="00EE2306" w:rsidRDefault="00A91FF0" w:rsidP="00333C5D">
      <w:pPr>
        <w:tabs>
          <w:tab w:val="left" w:pos="0"/>
        </w:tabs>
        <w:spacing w:line="360" w:lineRule="auto"/>
        <w:contextualSpacing/>
        <w:jc w:val="both"/>
        <w:rPr>
          <w:rFonts w:ascii="Palatino Linotype" w:hAnsi="Palatino Linotype"/>
          <w:color w:val="000000" w:themeColor="text1"/>
        </w:rPr>
      </w:pPr>
    </w:p>
    <w:p w14:paraId="1120589E" w14:textId="77777777" w:rsidR="00A91FF0" w:rsidRPr="00EE2306" w:rsidRDefault="00A91FF0" w:rsidP="00333C5D">
      <w:pPr>
        <w:pStyle w:val="Prrafodelista"/>
        <w:numPr>
          <w:ilvl w:val="0"/>
          <w:numId w:val="11"/>
        </w:numPr>
        <w:tabs>
          <w:tab w:val="left" w:pos="0"/>
        </w:tabs>
        <w:spacing w:line="360" w:lineRule="auto"/>
        <w:jc w:val="both"/>
        <w:rPr>
          <w:rFonts w:ascii="Palatino Linotype" w:hAnsi="Palatino Linotype" w:cs="Arial"/>
          <w:color w:val="000000" w:themeColor="text1"/>
          <w:lang w:val="es-ES" w:eastAsia="es-ES"/>
        </w:rPr>
      </w:pPr>
      <w:r w:rsidRPr="00EE2306">
        <w:rPr>
          <w:rFonts w:ascii="Palatino Linotype" w:hAnsi="Palatino Linotype" w:cs="Arial"/>
          <w:color w:val="000000" w:themeColor="text1"/>
          <w:lang w:val="es-ES" w:eastAsia="es-ES"/>
        </w:rPr>
        <w:t xml:space="preserve">Sirve </w:t>
      </w:r>
      <w:r w:rsidRPr="00EE2306">
        <w:rPr>
          <w:rFonts w:ascii="Palatino Linotype" w:eastAsia="MS Mincho" w:hAnsi="Palatino Linotype"/>
          <w:color w:val="000000" w:themeColor="text1"/>
          <w:lang w:eastAsia="es-ES"/>
        </w:rPr>
        <w:t xml:space="preserve">de sustento, </w:t>
      </w:r>
      <w:r w:rsidRPr="00EE2306">
        <w:rPr>
          <w:rFonts w:ascii="Palatino Linotype" w:eastAsia="Palatino Linotype" w:hAnsi="Palatino Linotype" w:cs="Palatino Linotype"/>
          <w:color w:val="000000" w:themeColor="text1"/>
        </w:rPr>
        <w:t>la tesis jurisprudencial número VI.3o.C. J/60, publicada en el Semanario Judicial de la Federación y su Gaceta bajo el número de registro 176,608 que a la letra dice:</w:t>
      </w:r>
    </w:p>
    <w:p w14:paraId="578CABDC" w14:textId="77777777" w:rsidR="00A91FF0" w:rsidRPr="00EE2306" w:rsidRDefault="00A91FF0" w:rsidP="00333C5D">
      <w:pPr>
        <w:tabs>
          <w:tab w:val="left" w:pos="0"/>
          <w:tab w:val="left" w:pos="851"/>
        </w:tabs>
        <w:ind w:left="567"/>
        <w:jc w:val="both"/>
        <w:rPr>
          <w:rFonts w:ascii="Palatino Linotype" w:eastAsia="Palatino Linotype" w:hAnsi="Palatino Linotype" w:cs="Palatino Linotype"/>
          <w:i/>
          <w:color w:val="000000" w:themeColor="text1"/>
        </w:rPr>
      </w:pPr>
      <w:r w:rsidRPr="00EE2306">
        <w:rPr>
          <w:rFonts w:ascii="Palatino Linotype" w:eastAsia="Palatino Linotype" w:hAnsi="Palatino Linotype" w:cs="Palatino Linotype"/>
          <w:b/>
          <w:i/>
          <w:color w:val="000000" w:themeColor="text1"/>
        </w:rPr>
        <w:t xml:space="preserve">“ACTOS CONSENTIDOS. SON LOS QUE NO SE IMPUGNAN MEDIANTE EL RECURSO IDÓNEO. </w:t>
      </w:r>
      <w:r w:rsidRPr="00EE2306">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AA9EEF6" w14:textId="77777777" w:rsidR="00A91FF0" w:rsidRPr="00EE2306" w:rsidRDefault="00A91FF0" w:rsidP="00333C5D">
      <w:pPr>
        <w:pStyle w:val="Prrafodelista"/>
        <w:tabs>
          <w:tab w:val="left" w:pos="0"/>
        </w:tabs>
        <w:spacing w:line="360" w:lineRule="auto"/>
        <w:ind w:left="0"/>
        <w:jc w:val="both"/>
        <w:rPr>
          <w:rFonts w:ascii="Palatino Linotype" w:hAnsi="Palatino Linotype" w:cs="Arial"/>
          <w:color w:val="000000" w:themeColor="text1"/>
          <w:lang w:val="es-ES" w:eastAsia="es-ES"/>
        </w:rPr>
      </w:pPr>
    </w:p>
    <w:p w14:paraId="74413D9D" w14:textId="77777777" w:rsidR="00A91FF0" w:rsidRPr="00EE2306" w:rsidRDefault="00A91FF0" w:rsidP="00333C5D">
      <w:pPr>
        <w:numPr>
          <w:ilvl w:val="0"/>
          <w:numId w:val="11"/>
        </w:numPr>
        <w:tabs>
          <w:tab w:val="left" w:pos="0"/>
        </w:tabs>
        <w:spacing w:line="360" w:lineRule="auto"/>
        <w:contextualSpacing/>
        <w:jc w:val="both"/>
        <w:rPr>
          <w:rFonts w:ascii="Palatino Linotype" w:hAnsi="Palatino Linotype"/>
          <w:color w:val="000000" w:themeColor="text1"/>
        </w:rPr>
      </w:pPr>
      <w:r w:rsidRPr="00EE2306">
        <w:rPr>
          <w:rFonts w:ascii="Palatino Linotype" w:hAnsi="Palatino Linotype"/>
          <w:color w:val="000000" w:themeColor="text1"/>
        </w:rPr>
        <w:t xml:space="preserve">De </w:t>
      </w:r>
      <w:r w:rsidRPr="00EE2306">
        <w:rPr>
          <w:rFonts w:ascii="Palatino Linotype" w:eastAsia="MS Mincho" w:hAnsi="Palatino Linotype"/>
          <w:color w:val="000000" w:themeColor="text1"/>
          <w:lang w:eastAsia="es-ES"/>
        </w:rPr>
        <w:t xml:space="preserve">la </w:t>
      </w:r>
      <w:r w:rsidRPr="00EE2306">
        <w:rPr>
          <w:rFonts w:ascii="Palatino Linotype" w:eastAsia="Palatino Linotype" w:hAnsi="Palatino Linotype" w:cs="Palatino Linotype"/>
          <w:color w:val="000000" w:themeColor="text1"/>
        </w:rPr>
        <w:t xml:space="preserve">interpretación del criterio antes citado, se advierte que cuando el Particular impugnó la respuesta del </w:t>
      </w:r>
      <w:r w:rsidRPr="00EE2306">
        <w:rPr>
          <w:rFonts w:ascii="Palatino Linotype" w:eastAsia="Palatino Linotype" w:hAnsi="Palatino Linotype" w:cs="Palatino Linotype"/>
          <w:b/>
          <w:color w:val="000000" w:themeColor="text1"/>
        </w:rPr>
        <w:t>SUJETO OBLIGADO</w:t>
      </w:r>
      <w:r w:rsidRPr="00EE2306">
        <w:rPr>
          <w:rFonts w:ascii="Palatino Linotype" w:eastAsia="Palatino Linotype" w:hAnsi="Palatino Linotype" w:cs="Palatino Linotype"/>
          <w:color w:val="000000" w:themeColor="text1"/>
        </w:rPr>
        <w:t xml:space="preserve">, no expresó razón o motivo de inconformidad en contra de los rubros solicitados, por tanto, estos deben declararse </w:t>
      </w:r>
      <w:r w:rsidRPr="00EE2306">
        <w:rPr>
          <w:rFonts w:ascii="Palatino Linotype" w:eastAsia="Palatino Linotype" w:hAnsi="Palatino Linotype" w:cs="Palatino Linotype"/>
          <w:color w:val="000000" w:themeColor="text1"/>
        </w:rPr>
        <w:lastRenderedPageBreak/>
        <w:t xml:space="preserve">atendidos, pues se entiende que la </w:t>
      </w:r>
      <w:r w:rsidRPr="00EE2306">
        <w:rPr>
          <w:rFonts w:ascii="Palatino Linotype" w:eastAsia="Palatino Linotype" w:hAnsi="Palatino Linotype" w:cs="Palatino Linotype"/>
          <w:b/>
          <w:bCs/>
          <w:color w:val="000000" w:themeColor="text1"/>
        </w:rPr>
        <w:t>RECURRENTE</w:t>
      </w:r>
      <w:r w:rsidRPr="00EE2306">
        <w:rPr>
          <w:rFonts w:ascii="Palatino Linotype" w:eastAsia="Palatino Linotype" w:hAnsi="Palatino Linotype" w:cs="Palatino Linotype"/>
          <w:color w:val="000000" w:themeColor="text1"/>
        </w:rPr>
        <w:t xml:space="preserve"> está conforme con la respuesta proporcionada por el</w:t>
      </w:r>
      <w:r w:rsidRPr="00EE2306">
        <w:rPr>
          <w:rFonts w:ascii="Palatino Linotype" w:eastAsia="Palatino Linotype" w:hAnsi="Palatino Linotype" w:cs="Palatino Linotype"/>
          <w:b/>
          <w:color w:val="000000" w:themeColor="text1"/>
        </w:rPr>
        <w:t xml:space="preserve"> SUJETO OBLIGADO,</w:t>
      </w:r>
      <w:r w:rsidRPr="00EE2306">
        <w:rPr>
          <w:rFonts w:ascii="Palatino Linotype" w:eastAsia="Palatino Linotype" w:hAnsi="Palatino Linotype" w:cs="Palatino Linotype"/>
          <w:color w:val="000000" w:themeColor="text1"/>
        </w:rPr>
        <w:t xml:space="preserve"> al no contravenir la misma.</w:t>
      </w:r>
    </w:p>
    <w:p w14:paraId="05E59F9B" w14:textId="77777777" w:rsidR="00A91FF0" w:rsidRPr="00EE2306" w:rsidRDefault="00A91FF0" w:rsidP="00333C5D">
      <w:pPr>
        <w:tabs>
          <w:tab w:val="left" w:pos="0"/>
        </w:tabs>
        <w:spacing w:line="360" w:lineRule="auto"/>
        <w:jc w:val="both"/>
        <w:rPr>
          <w:rFonts w:ascii="Palatino Linotype" w:hAnsi="Palatino Linotype" w:cs="Arial"/>
          <w:color w:val="000000" w:themeColor="text1"/>
          <w:lang w:val="es-ES" w:eastAsia="es-ES"/>
        </w:rPr>
      </w:pPr>
    </w:p>
    <w:p w14:paraId="5528C29E" w14:textId="77777777" w:rsidR="00A91FF0" w:rsidRPr="00EE2306" w:rsidRDefault="00A91FF0" w:rsidP="00333C5D">
      <w:pPr>
        <w:numPr>
          <w:ilvl w:val="0"/>
          <w:numId w:val="11"/>
        </w:numPr>
        <w:tabs>
          <w:tab w:val="left" w:pos="0"/>
        </w:tabs>
        <w:spacing w:line="360" w:lineRule="auto"/>
        <w:contextualSpacing/>
        <w:jc w:val="both"/>
        <w:rPr>
          <w:rFonts w:ascii="Palatino Linotype" w:hAnsi="Palatino Linotype"/>
          <w:color w:val="000000" w:themeColor="text1"/>
        </w:rPr>
      </w:pPr>
      <w:r w:rsidRPr="00EE2306">
        <w:rPr>
          <w:rFonts w:ascii="Palatino Linotype" w:hAnsi="Palatino Linotype"/>
          <w:color w:val="000000" w:themeColor="text1"/>
        </w:rPr>
        <w:t xml:space="preserve">Ante </w:t>
      </w:r>
      <w:r w:rsidRPr="00EE2306">
        <w:rPr>
          <w:rFonts w:ascii="Palatino Linotype" w:eastAsia="MS Mincho" w:hAnsi="Palatino Linotype"/>
          <w:color w:val="000000" w:themeColor="text1"/>
          <w:lang w:eastAsia="es-ES"/>
        </w:rPr>
        <w:t xml:space="preserve">ello, </w:t>
      </w:r>
      <w:r w:rsidRPr="00EE2306">
        <w:rPr>
          <w:rFonts w:ascii="Palatino Linotype" w:eastAsia="Palatino Linotype" w:hAnsi="Palatino Linotype" w:cs="Palatino Linotype"/>
          <w:color w:val="000000" w:themeColor="text1"/>
        </w:rPr>
        <w:t>es importante traer a contexto la Tesis Jurisprudencial Número 3ª./J.7/91, Publicada en el Semanario Judicial de la Federación y su Gaceta bajo el número de registro 174,177, que establece lo siguiente:</w:t>
      </w:r>
    </w:p>
    <w:p w14:paraId="15B931AC" w14:textId="77777777" w:rsidR="00A91FF0" w:rsidRPr="00EE2306" w:rsidRDefault="00A91FF0" w:rsidP="00333C5D">
      <w:pPr>
        <w:tabs>
          <w:tab w:val="left" w:pos="0"/>
        </w:tabs>
        <w:ind w:left="567"/>
        <w:jc w:val="both"/>
        <w:rPr>
          <w:rFonts w:ascii="Palatino Linotype" w:eastAsia="Palatino Linotype" w:hAnsi="Palatino Linotype" w:cs="Palatino Linotype"/>
          <w:i/>
          <w:color w:val="000000" w:themeColor="text1"/>
        </w:rPr>
      </w:pPr>
      <w:r w:rsidRPr="00EE2306">
        <w:rPr>
          <w:rFonts w:ascii="Palatino Linotype" w:eastAsia="Palatino Linotype" w:hAnsi="Palatino Linotype" w:cs="Palatino Linotype"/>
          <w:b/>
          <w:i/>
          <w:color w:val="000000" w:themeColor="text1"/>
        </w:rPr>
        <w:t xml:space="preserve">“REVISIÓN EN AMPARO. LOS RESOLUTIVOS NO COMBATIDOS DEBEN DECLARARSE FIRMES. </w:t>
      </w:r>
      <w:r w:rsidRPr="00EE2306">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CB347C8" w14:textId="77777777" w:rsidR="00A91FF0" w:rsidRPr="00EE2306" w:rsidRDefault="00A91FF0" w:rsidP="00333C5D">
      <w:pPr>
        <w:tabs>
          <w:tab w:val="left" w:pos="0"/>
        </w:tabs>
        <w:rPr>
          <w:rFonts w:ascii="Palatino Linotype" w:hAnsi="Palatino Linotype"/>
          <w:color w:val="000000" w:themeColor="text1"/>
        </w:rPr>
      </w:pPr>
    </w:p>
    <w:p w14:paraId="04D5BB9F" w14:textId="77777777" w:rsidR="00A91FF0" w:rsidRPr="00EE2306" w:rsidRDefault="00A91FF0" w:rsidP="00333C5D">
      <w:pPr>
        <w:numPr>
          <w:ilvl w:val="0"/>
          <w:numId w:val="11"/>
        </w:numPr>
        <w:tabs>
          <w:tab w:val="left" w:pos="0"/>
        </w:tabs>
        <w:spacing w:line="360" w:lineRule="auto"/>
        <w:contextualSpacing/>
        <w:jc w:val="both"/>
        <w:rPr>
          <w:rFonts w:ascii="Palatino Linotype" w:hAnsi="Palatino Linotype"/>
          <w:color w:val="000000" w:themeColor="text1"/>
        </w:rPr>
      </w:pPr>
      <w:r w:rsidRPr="00EE2306">
        <w:rPr>
          <w:rFonts w:ascii="Palatino Linotype" w:hAnsi="Palatino Linotype"/>
          <w:color w:val="000000" w:themeColor="text1"/>
        </w:rPr>
        <w:t xml:space="preserve">Una vez hecha la precisión anterior, se advierte que este Instituto no se encuentra facultado para dudar de la veracidad de las respuestas emitidas por los Sujetos Obligados ni de la que ponen a disposición de los solicitantes; situación que se aleja de las atribuciones de este Órgano Garante que al momento que ponen a disposición ésta, la misma tiene el carácter oficial y se presume veraz, tan es así que la misma queda registrada en el </w:t>
      </w:r>
      <w:r w:rsidRPr="00EE2306">
        <w:rPr>
          <w:rFonts w:ascii="Palatino Linotype" w:hAnsi="Palatino Linotype"/>
          <w:b/>
          <w:color w:val="000000" w:themeColor="text1"/>
        </w:rPr>
        <w:t>SAIMEX.</w:t>
      </w:r>
    </w:p>
    <w:p w14:paraId="168B6EE6" w14:textId="77777777" w:rsidR="00A91FF0" w:rsidRPr="00EE2306" w:rsidRDefault="00A91FF0" w:rsidP="00333C5D">
      <w:pPr>
        <w:pStyle w:val="Prrafodelista"/>
        <w:tabs>
          <w:tab w:val="left" w:pos="0"/>
        </w:tabs>
        <w:suppressAutoHyphens/>
        <w:spacing w:line="360" w:lineRule="auto"/>
        <w:ind w:left="0"/>
        <w:jc w:val="both"/>
        <w:rPr>
          <w:rFonts w:ascii="Palatino Linotype" w:hAnsi="Palatino Linotype"/>
          <w:color w:val="000000" w:themeColor="text1"/>
        </w:rPr>
      </w:pPr>
    </w:p>
    <w:p w14:paraId="7E2A2081" w14:textId="77777777" w:rsidR="00A91FF0" w:rsidRPr="00EE2306" w:rsidRDefault="00A91FF0" w:rsidP="00333C5D">
      <w:pPr>
        <w:pStyle w:val="Prrafodelista"/>
        <w:numPr>
          <w:ilvl w:val="0"/>
          <w:numId w:val="22"/>
        </w:numPr>
        <w:tabs>
          <w:tab w:val="left" w:pos="0"/>
        </w:tabs>
        <w:spacing w:line="360" w:lineRule="auto"/>
        <w:rPr>
          <w:rFonts w:ascii="Palatino Linotype" w:eastAsiaTheme="minorEastAsia" w:hAnsi="Palatino Linotype"/>
          <w:b/>
          <w:bCs/>
          <w:i/>
          <w:iCs/>
          <w:color w:val="000000" w:themeColor="text1"/>
          <w:lang w:eastAsia="es-ES"/>
        </w:rPr>
      </w:pPr>
      <w:r w:rsidRPr="00EE2306">
        <w:rPr>
          <w:rFonts w:ascii="Palatino Linotype" w:eastAsiaTheme="minorEastAsia" w:hAnsi="Palatino Linotype"/>
          <w:b/>
          <w:bCs/>
          <w:i/>
          <w:iCs/>
          <w:color w:val="000000" w:themeColor="text1"/>
          <w:lang w:eastAsia="es-ES"/>
        </w:rPr>
        <w:t>De la Plus Petitio.</w:t>
      </w:r>
    </w:p>
    <w:p w14:paraId="0D247298" w14:textId="4A32ED26" w:rsidR="00CC1D37" w:rsidRPr="00EE2306" w:rsidRDefault="00A91FF0" w:rsidP="00333C5D">
      <w:pPr>
        <w:pStyle w:val="Prrafodelista"/>
        <w:numPr>
          <w:ilvl w:val="0"/>
          <w:numId w:val="11"/>
        </w:numPr>
        <w:tabs>
          <w:tab w:val="left" w:pos="0"/>
        </w:tabs>
        <w:spacing w:line="360" w:lineRule="auto"/>
        <w:jc w:val="both"/>
        <w:rPr>
          <w:rFonts w:ascii="Palatino Linotype" w:hAnsi="Palatino Linotype" w:cs="Arial"/>
          <w:color w:val="000000" w:themeColor="text1"/>
          <w:lang w:val="es-ES" w:eastAsia="es-ES"/>
        </w:rPr>
      </w:pPr>
      <w:r w:rsidRPr="00EE2306">
        <w:rPr>
          <w:rFonts w:ascii="Palatino Linotype" w:hAnsi="Palatino Linotype" w:cs="Arial"/>
          <w:color w:val="000000" w:themeColor="text1"/>
          <w:lang w:val="es-ES" w:eastAsia="es-ES"/>
        </w:rPr>
        <w:t xml:space="preserve">Ahora bien, </w:t>
      </w:r>
      <w:r w:rsidRPr="00EE2306">
        <w:rPr>
          <w:rFonts w:ascii="Palatino Linotype" w:eastAsiaTheme="minorEastAsia" w:hAnsi="Palatino Linotype"/>
          <w:color w:val="000000" w:themeColor="text1"/>
          <w:lang w:eastAsia="es-ES"/>
        </w:rPr>
        <w:t xml:space="preserve">resulta necesario reiterar las razones o motivos de inconformidad vertidos en el recurso de revisión </w:t>
      </w:r>
      <w:r w:rsidR="00CC1D37" w:rsidRPr="00EE2306">
        <w:rPr>
          <w:rFonts w:ascii="Palatino Linotype" w:eastAsia="Calibri" w:hAnsi="Palatino Linotype" w:cs="Tahoma"/>
          <w:b/>
          <w:bCs/>
          <w:color w:val="000000" w:themeColor="text1"/>
          <w:lang w:eastAsia="en-US"/>
        </w:rPr>
        <w:t>01283/INFOEM/IP/RR/2025</w:t>
      </w:r>
      <w:r w:rsidR="00CC1D37" w:rsidRPr="00EE2306">
        <w:rPr>
          <w:rFonts w:ascii="Palatino Linotype" w:eastAsiaTheme="minorEastAsia" w:hAnsi="Palatino Linotype"/>
          <w:color w:val="000000" w:themeColor="text1"/>
          <w:lang w:eastAsia="es-ES"/>
        </w:rPr>
        <w:t>, en los siguientes términos:</w:t>
      </w:r>
      <w:r w:rsidR="00CC1D37" w:rsidRPr="00EE2306">
        <w:rPr>
          <w:rFonts w:ascii="Palatino Linotype" w:hAnsi="Palatino Linotype" w:cs="Arial"/>
          <w:color w:val="000000" w:themeColor="text1"/>
          <w:lang w:val="es-ES" w:eastAsia="es-ES"/>
        </w:rPr>
        <w:t xml:space="preserve"> </w:t>
      </w:r>
      <w:r w:rsidR="00CC1D37" w:rsidRPr="00EE2306">
        <w:rPr>
          <w:rFonts w:ascii="Palatino Linotype" w:hAnsi="Palatino Linotype" w:cs="Arial"/>
          <w:b/>
          <w:i/>
          <w:color w:val="000000" w:themeColor="text1"/>
          <w:u w:val="single"/>
          <w:lang w:val="es-ES" w:eastAsia="es-ES"/>
        </w:rPr>
        <w:t>“N</w:t>
      </w:r>
      <w:r w:rsidR="00CC1D37" w:rsidRPr="00EE2306">
        <w:rPr>
          <w:rFonts w:ascii="Palatino Linotype" w:hAnsi="Palatino Linotype"/>
          <w:b/>
          <w:i/>
          <w:color w:val="000000" w:themeColor="text1"/>
          <w:u w:val="single"/>
        </w:rPr>
        <w:t>o entregan los documentos que dan cuenta del presupuesto” (Sic)</w:t>
      </w:r>
    </w:p>
    <w:p w14:paraId="3952CF35" w14:textId="77777777" w:rsidR="00A91FF0" w:rsidRPr="00EE2306" w:rsidRDefault="00A91FF0" w:rsidP="00333C5D">
      <w:pPr>
        <w:tabs>
          <w:tab w:val="left" w:pos="0"/>
        </w:tabs>
        <w:spacing w:line="360" w:lineRule="auto"/>
        <w:jc w:val="both"/>
        <w:rPr>
          <w:rFonts w:ascii="Palatino Linotype" w:hAnsi="Palatino Linotype" w:cs="Arial"/>
          <w:color w:val="000000" w:themeColor="text1"/>
          <w:lang w:val="es-ES" w:eastAsia="es-ES"/>
        </w:rPr>
      </w:pPr>
    </w:p>
    <w:p w14:paraId="38E4048A" w14:textId="77777777" w:rsidR="00A91FF0" w:rsidRPr="00EE2306" w:rsidRDefault="00A91FF0" w:rsidP="00333C5D">
      <w:pPr>
        <w:pStyle w:val="Prrafodelista"/>
        <w:numPr>
          <w:ilvl w:val="0"/>
          <w:numId w:val="11"/>
        </w:numPr>
        <w:tabs>
          <w:tab w:val="left" w:pos="0"/>
        </w:tabs>
        <w:spacing w:line="360" w:lineRule="auto"/>
        <w:jc w:val="both"/>
        <w:rPr>
          <w:rFonts w:ascii="Palatino Linotype" w:hAnsi="Palatino Linotype" w:cs="Arial"/>
          <w:color w:val="000000" w:themeColor="text1"/>
          <w:lang w:val="es-ES" w:eastAsia="es-ES"/>
        </w:rPr>
      </w:pPr>
      <w:r w:rsidRPr="00EE2306">
        <w:rPr>
          <w:rFonts w:ascii="Palatino Linotype" w:hAnsi="Palatino Linotype"/>
          <w:color w:val="000000" w:themeColor="text1"/>
        </w:rPr>
        <w:lastRenderedPageBreak/>
        <w:t xml:space="preserve">Conforme a lo anterior, </w:t>
      </w:r>
      <w:r w:rsidRPr="00EE2306">
        <w:rPr>
          <w:rFonts w:ascii="Palatino Linotype" w:eastAsiaTheme="minorEastAsia" w:hAnsi="Palatino Linotype" w:cs="Arial"/>
          <w:color w:val="000000" w:themeColor="text1"/>
          <w:lang w:eastAsia="es-ES"/>
        </w:rPr>
        <w:t xml:space="preserve">el sistema de medios de impugnación se centra en el análisis de los agravios o motivos de inconformidad, los que deben tener relación directa con el acto de autoridad que lo motiva. </w:t>
      </w:r>
    </w:p>
    <w:p w14:paraId="1E8EE545" w14:textId="77777777" w:rsidR="00A91FF0" w:rsidRPr="00EE2306" w:rsidRDefault="00A91FF0" w:rsidP="00333C5D">
      <w:pPr>
        <w:tabs>
          <w:tab w:val="left" w:pos="0"/>
        </w:tabs>
        <w:rPr>
          <w:rFonts w:ascii="Palatino Linotype" w:eastAsiaTheme="minorEastAsia" w:hAnsi="Palatino Linotype" w:cs="Arial"/>
          <w:color w:val="000000" w:themeColor="text1"/>
          <w:lang w:eastAsia="es-ES"/>
        </w:rPr>
      </w:pPr>
    </w:p>
    <w:p w14:paraId="6AFE5850" w14:textId="77777777" w:rsidR="00A91FF0" w:rsidRPr="00EE2306" w:rsidRDefault="00A91FF0" w:rsidP="00333C5D">
      <w:pPr>
        <w:pStyle w:val="Prrafodelista"/>
        <w:numPr>
          <w:ilvl w:val="0"/>
          <w:numId w:val="11"/>
        </w:numPr>
        <w:tabs>
          <w:tab w:val="left" w:pos="0"/>
        </w:tabs>
        <w:spacing w:line="360" w:lineRule="auto"/>
        <w:jc w:val="both"/>
        <w:rPr>
          <w:rFonts w:ascii="Palatino Linotype" w:hAnsi="Palatino Linotype" w:cs="Arial"/>
          <w:color w:val="000000" w:themeColor="text1"/>
          <w:lang w:val="es-ES" w:eastAsia="es-ES"/>
        </w:rPr>
      </w:pPr>
      <w:r w:rsidRPr="00EE2306">
        <w:rPr>
          <w:rFonts w:ascii="Palatino Linotype" w:eastAsiaTheme="minorEastAsia" w:hAnsi="Palatino Linotype" w:cs="Arial"/>
          <w:color w:val="000000" w:themeColor="text1"/>
          <w:lang w:eastAsia="es-ES"/>
        </w:rPr>
        <w:t xml:space="preserve">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w:t>
      </w:r>
      <w:r w:rsidRPr="00EE2306">
        <w:rPr>
          <w:rFonts w:ascii="Palatino Linotype" w:eastAsiaTheme="minorEastAsia" w:hAnsi="Palatino Linotype" w:cs="Arial"/>
          <w:b/>
          <w:color w:val="000000" w:themeColor="text1"/>
          <w:lang w:eastAsia="es-ES"/>
        </w:rPr>
        <w:t>SUJETO OBLIGADO</w:t>
      </w:r>
      <w:r w:rsidRPr="00EE2306">
        <w:rPr>
          <w:rFonts w:ascii="Palatino Linotype" w:eastAsiaTheme="minorEastAsia" w:hAnsi="Palatino Linotype" w:cs="Arial"/>
          <w:color w:val="000000" w:themeColor="text1"/>
          <w:lang w:eastAsia="es-ES"/>
        </w:rPr>
        <w:t xml:space="preserve"> no tuvo la oportunidad de conocer y por consiguiente producir un posicionamiento.</w:t>
      </w:r>
    </w:p>
    <w:p w14:paraId="3A8EE382" w14:textId="77777777" w:rsidR="00A91FF0" w:rsidRPr="00EE2306" w:rsidRDefault="00A91FF0" w:rsidP="00333C5D">
      <w:pPr>
        <w:tabs>
          <w:tab w:val="left" w:pos="0"/>
        </w:tabs>
        <w:rPr>
          <w:rFonts w:ascii="Palatino Linotype" w:hAnsi="Palatino Linotype"/>
          <w:color w:val="000000" w:themeColor="text1"/>
        </w:rPr>
      </w:pPr>
    </w:p>
    <w:p w14:paraId="16BAC22E" w14:textId="77777777" w:rsidR="00A91FF0" w:rsidRPr="00EE2306" w:rsidRDefault="00A91FF0" w:rsidP="00333C5D">
      <w:pPr>
        <w:numPr>
          <w:ilvl w:val="0"/>
          <w:numId w:val="11"/>
        </w:numPr>
        <w:tabs>
          <w:tab w:val="left" w:pos="0"/>
        </w:tabs>
        <w:spacing w:line="360" w:lineRule="auto"/>
        <w:contextualSpacing/>
        <w:jc w:val="both"/>
        <w:rPr>
          <w:rFonts w:ascii="Palatino Linotype" w:hAnsi="Palatino Linotype"/>
          <w:color w:val="000000" w:themeColor="text1"/>
        </w:rPr>
      </w:pPr>
      <w:r w:rsidRPr="00EE2306">
        <w:rPr>
          <w:rFonts w:ascii="Palatino Linotype" w:hAnsi="Palatino Linotype"/>
          <w:color w:val="000000" w:themeColor="text1"/>
        </w:rPr>
        <w:t xml:space="preserve">Es </w:t>
      </w:r>
      <w:r w:rsidRPr="00EE2306">
        <w:rPr>
          <w:rFonts w:ascii="Palatino Linotype" w:eastAsiaTheme="minorEastAsia" w:hAnsi="Palatino Linotype" w:cs="Arial"/>
          <w:color w:val="000000" w:themeColor="text1"/>
          <w:lang w:eastAsia="es-ES"/>
        </w:rPr>
        <w:t>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5087B9A7" w14:textId="77777777" w:rsidR="00A91FF0" w:rsidRPr="00EE2306" w:rsidRDefault="00A91FF0" w:rsidP="00333C5D">
      <w:pPr>
        <w:tabs>
          <w:tab w:val="left" w:pos="0"/>
        </w:tabs>
        <w:ind w:left="567"/>
        <w:contextualSpacing/>
        <w:jc w:val="both"/>
        <w:rPr>
          <w:rFonts w:ascii="Palatino Linotype" w:eastAsiaTheme="minorEastAsia" w:hAnsi="Palatino Linotype" w:cs="Arial"/>
          <w:i/>
          <w:color w:val="000000" w:themeColor="text1"/>
          <w:lang w:eastAsia="es-ES"/>
        </w:rPr>
      </w:pPr>
      <w:r w:rsidRPr="00EE2306">
        <w:rPr>
          <w:rFonts w:ascii="Palatino Linotype" w:eastAsiaTheme="minorEastAsia" w:hAnsi="Palatino Linotype" w:cs="Arial"/>
          <w:b/>
          <w:bCs/>
          <w:i/>
          <w:color w:val="000000" w:themeColor="text1"/>
          <w:lang w:eastAsia="es-ES"/>
        </w:rPr>
        <w:t>“Artículo 191.</w:t>
      </w:r>
      <w:r w:rsidRPr="00EE2306">
        <w:rPr>
          <w:rFonts w:ascii="Palatino Linotype" w:eastAsiaTheme="minorEastAsia" w:hAnsi="Palatino Linotype" w:cs="Arial"/>
          <w:i/>
          <w:color w:val="000000" w:themeColor="text1"/>
          <w:lang w:eastAsia="es-ES"/>
        </w:rPr>
        <w:t xml:space="preserve"> El recurso será desechado por improcedente cuando:</w:t>
      </w:r>
    </w:p>
    <w:p w14:paraId="01EA252C" w14:textId="77777777" w:rsidR="00A91FF0" w:rsidRPr="00EE2306" w:rsidRDefault="00A91FF0" w:rsidP="00333C5D">
      <w:pPr>
        <w:tabs>
          <w:tab w:val="left" w:pos="0"/>
        </w:tabs>
        <w:ind w:left="567"/>
        <w:contextualSpacing/>
        <w:jc w:val="both"/>
        <w:rPr>
          <w:rFonts w:ascii="Palatino Linotype" w:eastAsiaTheme="minorEastAsia" w:hAnsi="Palatino Linotype" w:cs="Arial"/>
          <w:i/>
          <w:color w:val="000000" w:themeColor="text1"/>
          <w:lang w:eastAsia="es-ES"/>
        </w:rPr>
      </w:pPr>
      <w:r w:rsidRPr="00EE2306">
        <w:rPr>
          <w:rFonts w:ascii="Palatino Linotype" w:eastAsiaTheme="minorEastAsia" w:hAnsi="Palatino Linotype" w:cs="Arial"/>
          <w:i/>
          <w:color w:val="000000" w:themeColor="text1"/>
          <w:lang w:eastAsia="es-ES"/>
        </w:rPr>
        <w:t>(…)</w:t>
      </w:r>
    </w:p>
    <w:p w14:paraId="0EA0B2DF" w14:textId="77777777" w:rsidR="00A91FF0" w:rsidRPr="00EE2306" w:rsidRDefault="00A91FF0" w:rsidP="00333C5D">
      <w:pPr>
        <w:tabs>
          <w:tab w:val="left" w:pos="0"/>
        </w:tabs>
        <w:ind w:left="567"/>
        <w:contextualSpacing/>
        <w:jc w:val="both"/>
        <w:rPr>
          <w:rFonts w:ascii="Palatino Linotype" w:eastAsiaTheme="minorEastAsia" w:hAnsi="Palatino Linotype" w:cs="Arial"/>
          <w:b/>
          <w:bCs/>
          <w:i/>
          <w:color w:val="000000" w:themeColor="text1"/>
          <w:lang w:eastAsia="es-ES"/>
        </w:rPr>
      </w:pPr>
      <w:r w:rsidRPr="00EE2306">
        <w:rPr>
          <w:rFonts w:ascii="Palatino Linotype" w:eastAsiaTheme="minorEastAsia" w:hAnsi="Palatino Linotype" w:cs="Arial"/>
          <w:b/>
          <w:bCs/>
          <w:i/>
          <w:color w:val="000000" w:themeColor="text1"/>
          <w:lang w:eastAsia="es-ES"/>
        </w:rPr>
        <w:t>VII. El recurrente amplíe su solicitud en el recurso de revisión, únicamente respecto de los nuevos contenidos.</w:t>
      </w:r>
    </w:p>
    <w:p w14:paraId="45FADD18" w14:textId="77777777" w:rsidR="00A91FF0" w:rsidRPr="00EE2306" w:rsidRDefault="00A91FF0" w:rsidP="00333C5D">
      <w:pPr>
        <w:tabs>
          <w:tab w:val="left" w:pos="0"/>
        </w:tabs>
        <w:ind w:left="567"/>
        <w:contextualSpacing/>
        <w:jc w:val="both"/>
        <w:rPr>
          <w:rFonts w:ascii="Palatino Linotype" w:eastAsiaTheme="minorEastAsia" w:hAnsi="Palatino Linotype" w:cs="Arial"/>
          <w:i/>
          <w:color w:val="000000" w:themeColor="text1"/>
          <w:lang w:eastAsia="es-ES"/>
        </w:rPr>
      </w:pPr>
      <w:r w:rsidRPr="00EE2306">
        <w:rPr>
          <w:rFonts w:ascii="Palatino Linotype" w:eastAsiaTheme="minorEastAsia" w:hAnsi="Palatino Linotype" w:cs="Arial"/>
          <w:i/>
          <w:color w:val="000000" w:themeColor="text1"/>
          <w:lang w:eastAsia="es-ES"/>
        </w:rPr>
        <w:t>(…)”</w:t>
      </w:r>
    </w:p>
    <w:p w14:paraId="4400C885" w14:textId="77777777" w:rsidR="00A91FF0" w:rsidRPr="00EE2306" w:rsidRDefault="00A91FF0" w:rsidP="00333C5D">
      <w:pPr>
        <w:tabs>
          <w:tab w:val="left" w:pos="0"/>
        </w:tabs>
        <w:contextualSpacing/>
        <w:jc w:val="both"/>
        <w:rPr>
          <w:rFonts w:ascii="Palatino Linotype" w:eastAsiaTheme="minorEastAsia" w:hAnsi="Palatino Linotype" w:cs="Arial"/>
          <w:i/>
          <w:color w:val="000000" w:themeColor="text1"/>
          <w:lang w:eastAsia="es-ES"/>
        </w:rPr>
      </w:pPr>
    </w:p>
    <w:p w14:paraId="6D19783F" w14:textId="0AB73DA3" w:rsidR="00A91FF0" w:rsidRPr="00EE2306" w:rsidRDefault="00A91FF0" w:rsidP="00333C5D">
      <w:pPr>
        <w:numPr>
          <w:ilvl w:val="0"/>
          <w:numId w:val="11"/>
        </w:numPr>
        <w:tabs>
          <w:tab w:val="left" w:pos="0"/>
        </w:tabs>
        <w:spacing w:line="360" w:lineRule="auto"/>
        <w:contextualSpacing/>
        <w:jc w:val="both"/>
        <w:rPr>
          <w:rFonts w:ascii="Palatino Linotype" w:hAnsi="Palatino Linotype"/>
          <w:color w:val="000000" w:themeColor="text1"/>
        </w:rPr>
      </w:pPr>
      <w:r w:rsidRPr="00EE2306">
        <w:rPr>
          <w:rFonts w:ascii="Palatino Linotype" w:hAnsi="Palatino Linotype"/>
          <w:color w:val="000000" w:themeColor="text1"/>
        </w:rPr>
        <w:t xml:space="preserve">Por </w:t>
      </w:r>
      <w:r w:rsidRPr="00EE2306">
        <w:rPr>
          <w:rFonts w:ascii="Palatino Linotype" w:eastAsiaTheme="minorEastAsia" w:hAnsi="Palatino Linotype" w:cs="Arial"/>
          <w:color w:val="000000" w:themeColor="text1"/>
          <w:lang w:eastAsia="es-ES"/>
        </w:rPr>
        <w:t xml:space="preserve">lo anterior, resulta improcedente el referido motivo de inconformidad, ya que </w:t>
      </w:r>
      <w:r w:rsidR="00333C5D" w:rsidRPr="00EE2306">
        <w:rPr>
          <w:rFonts w:ascii="Palatino Linotype" w:hAnsi="Palatino Linotype" w:cs="Arial"/>
          <w:color w:val="000000" w:themeColor="text1"/>
        </w:rPr>
        <w:t>se aprecia que EL</w:t>
      </w:r>
      <w:r w:rsidRPr="00EE2306">
        <w:rPr>
          <w:rFonts w:ascii="Palatino Linotype" w:hAnsi="Palatino Linotype" w:cs="Arial"/>
          <w:color w:val="000000" w:themeColor="text1"/>
        </w:rPr>
        <w:t xml:space="preserve"> </w:t>
      </w:r>
      <w:r w:rsidRPr="00EE2306">
        <w:rPr>
          <w:rFonts w:ascii="Palatino Linotype" w:hAnsi="Palatino Linotype" w:cs="Arial"/>
          <w:b/>
          <w:bCs/>
          <w:color w:val="000000" w:themeColor="text1"/>
        </w:rPr>
        <w:t>RECURRENTE</w:t>
      </w:r>
      <w:r w:rsidRPr="00EE2306">
        <w:rPr>
          <w:rFonts w:ascii="Palatino Linotype" w:hAnsi="Palatino Linotype" w:cs="Arial"/>
          <w:color w:val="000000" w:themeColor="text1"/>
        </w:rPr>
        <w:t xml:space="preserve"> se excede dentro de su inconformidad respecto a lo requerido originalmente en la solicitud de información, siendo el caso que pretende ampliar lo solicitado de origen, lo que hace que se surta lo que en la teoría jurídica se le denomina </w:t>
      </w:r>
      <w:r w:rsidRPr="00EE2306">
        <w:rPr>
          <w:rFonts w:ascii="Palatino Linotype" w:hAnsi="Palatino Linotype" w:cs="Arial"/>
          <w:b/>
          <w:bCs/>
          <w:i/>
          <w:iCs/>
          <w:color w:val="000000" w:themeColor="text1"/>
        </w:rPr>
        <w:t>plus petitio.</w:t>
      </w:r>
    </w:p>
    <w:p w14:paraId="0526F23D" w14:textId="77777777" w:rsidR="00A91FF0" w:rsidRPr="00EE2306" w:rsidRDefault="00A91FF0" w:rsidP="00333C5D">
      <w:pPr>
        <w:tabs>
          <w:tab w:val="left" w:pos="0"/>
        </w:tabs>
        <w:spacing w:line="360" w:lineRule="auto"/>
        <w:contextualSpacing/>
        <w:jc w:val="both"/>
        <w:rPr>
          <w:rFonts w:ascii="Palatino Linotype" w:hAnsi="Palatino Linotype"/>
          <w:color w:val="000000" w:themeColor="text1"/>
        </w:rPr>
      </w:pPr>
    </w:p>
    <w:p w14:paraId="4227D09F" w14:textId="77777777" w:rsidR="00A91FF0" w:rsidRPr="00EE2306" w:rsidRDefault="00A91FF0" w:rsidP="00333C5D">
      <w:pPr>
        <w:numPr>
          <w:ilvl w:val="0"/>
          <w:numId w:val="11"/>
        </w:numPr>
        <w:tabs>
          <w:tab w:val="left" w:pos="0"/>
        </w:tabs>
        <w:spacing w:line="360" w:lineRule="auto"/>
        <w:contextualSpacing/>
        <w:jc w:val="both"/>
        <w:rPr>
          <w:rFonts w:ascii="Palatino Linotype" w:hAnsi="Palatino Linotype"/>
          <w:color w:val="000000" w:themeColor="text1"/>
        </w:rPr>
      </w:pPr>
      <w:r w:rsidRPr="00EE2306">
        <w:rPr>
          <w:rFonts w:ascii="Palatino Linotype" w:hAnsi="Palatino Linotype"/>
          <w:color w:val="000000" w:themeColor="text1"/>
        </w:rPr>
        <w:lastRenderedPageBreak/>
        <w:t xml:space="preserve">Sirve </w:t>
      </w:r>
      <w:r w:rsidRPr="00EE2306">
        <w:rPr>
          <w:rFonts w:ascii="Palatino Linotype" w:hAnsi="Palatino Linotype" w:cs="Arial"/>
          <w:color w:val="000000" w:themeColor="text1"/>
        </w:rPr>
        <w:t>de apoyo el criterio 01/17 emitido por el Instituto Nacional de Transparencia, Acceso a la Información y Protección de Datos Personales que establece lo siguiente:</w:t>
      </w:r>
    </w:p>
    <w:p w14:paraId="6FA0A6FC" w14:textId="77777777" w:rsidR="00A91FF0" w:rsidRPr="00EE2306" w:rsidRDefault="00A91FF0" w:rsidP="00333C5D">
      <w:pPr>
        <w:tabs>
          <w:tab w:val="left" w:pos="0"/>
        </w:tabs>
        <w:ind w:left="567"/>
        <w:contextualSpacing/>
        <w:jc w:val="both"/>
        <w:rPr>
          <w:rFonts w:ascii="Palatino Linotype" w:hAnsi="Palatino Linotype" w:cs="Arial"/>
          <w:i/>
          <w:color w:val="000000" w:themeColor="text1"/>
        </w:rPr>
      </w:pPr>
      <w:r w:rsidRPr="00EE2306">
        <w:rPr>
          <w:rFonts w:ascii="Palatino Linotype" w:hAnsi="Palatino Linotype" w:cs="Arial"/>
          <w:b/>
          <w:i/>
          <w:color w:val="000000" w:themeColor="text1"/>
        </w:rPr>
        <w:t>Es improcedente ampliar las solicitudes de acceso a información, a través de la interposición del recurso de revisión.</w:t>
      </w:r>
      <w:r w:rsidRPr="00EE2306">
        <w:rPr>
          <w:rFonts w:ascii="Palatino Linotype" w:hAnsi="Palatino Linotype" w:cs="Arial"/>
          <w:i/>
          <w:color w:val="000000" w:themeColor="text1"/>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01330457" w14:textId="77777777" w:rsidR="00A91FF0" w:rsidRPr="00EE2306" w:rsidRDefault="00A91FF0" w:rsidP="00333C5D">
      <w:pPr>
        <w:tabs>
          <w:tab w:val="left" w:pos="0"/>
        </w:tabs>
        <w:ind w:left="567"/>
        <w:contextualSpacing/>
        <w:jc w:val="both"/>
        <w:rPr>
          <w:rFonts w:ascii="Palatino Linotype" w:hAnsi="Palatino Linotype" w:cs="Arial"/>
          <w:color w:val="000000" w:themeColor="text1"/>
        </w:rPr>
      </w:pPr>
    </w:p>
    <w:p w14:paraId="1D3A3B93" w14:textId="77777777" w:rsidR="00A91FF0" w:rsidRPr="00EE2306" w:rsidRDefault="00A91FF0" w:rsidP="00333C5D">
      <w:pPr>
        <w:tabs>
          <w:tab w:val="left" w:pos="0"/>
        </w:tabs>
        <w:ind w:left="567"/>
        <w:contextualSpacing/>
        <w:jc w:val="both"/>
        <w:rPr>
          <w:rFonts w:ascii="Palatino Linotype" w:hAnsi="Palatino Linotype" w:cs="Arial"/>
          <w:i/>
          <w:color w:val="000000" w:themeColor="text1"/>
        </w:rPr>
      </w:pPr>
      <w:r w:rsidRPr="00EE2306">
        <w:rPr>
          <w:rFonts w:ascii="Palatino Linotype" w:hAnsi="Palatino Linotype" w:cs="Arial"/>
          <w:i/>
          <w:color w:val="000000" w:themeColor="text1"/>
        </w:rPr>
        <w:t>Resoluciones:</w:t>
      </w:r>
    </w:p>
    <w:p w14:paraId="5E0C3232" w14:textId="77777777" w:rsidR="00A91FF0" w:rsidRPr="00EE2306" w:rsidRDefault="00A91FF0" w:rsidP="00333C5D">
      <w:pPr>
        <w:tabs>
          <w:tab w:val="left" w:pos="0"/>
        </w:tabs>
        <w:ind w:left="567"/>
        <w:contextualSpacing/>
        <w:jc w:val="both"/>
        <w:rPr>
          <w:rFonts w:ascii="Palatino Linotype" w:hAnsi="Palatino Linotype" w:cs="Arial"/>
          <w:i/>
          <w:color w:val="000000" w:themeColor="text1"/>
        </w:rPr>
      </w:pPr>
      <w:r w:rsidRPr="00EE2306">
        <w:rPr>
          <w:rFonts w:ascii="Palatino Linotype" w:hAnsi="Palatino Linotype" w:cs="Arial"/>
          <w:i/>
          <w:color w:val="000000" w:themeColor="text1"/>
        </w:rPr>
        <w:t>RRA 0196/16. Secretaría de Agricultura, Ganadería, Desarrollo Rural, Pesca y Alimentación. 13 de julio de 2016. Por unanimidad. Comisionado Ponente Joel Salas Suárez.</w:t>
      </w:r>
    </w:p>
    <w:p w14:paraId="14EE8B8F" w14:textId="77777777" w:rsidR="00A91FF0" w:rsidRPr="00EE2306" w:rsidRDefault="00A91FF0" w:rsidP="00333C5D">
      <w:pPr>
        <w:tabs>
          <w:tab w:val="left" w:pos="0"/>
        </w:tabs>
        <w:ind w:left="567"/>
        <w:contextualSpacing/>
        <w:jc w:val="both"/>
        <w:rPr>
          <w:rFonts w:ascii="Palatino Linotype" w:hAnsi="Palatino Linotype" w:cs="Arial"/>
          <w:i/>
          <w:color w:val="000000" w:themeColor="text1"/>
        </w:rPr>
      </w:pPr>
      <w:r w:rsidRPr="00EE2306">
        <w:rPr>
          <w:rFonts w:ascii="Palatino Linotype" w:hAnsi="Palatino Linotype" w:cs="Arial"/>
          <w:i/>
          <w:color w:val="000000" w:themeColor="text1"/>
        </w:rPr>
        <w:t>RRA 0130/16. Comisión Nacional del Agua. 09 de agosto de 2016. Por unanimidad. Comisionado Ponente María Patricia Kurczyn Villalobos.</w:t>
      </w:r>
    </w:p>
    <w:p w14:paraId="1E6CB196" w14:textId="77777777" w:rsidR="00A91FF0" w:rsidRPr="00EE2306" w:rsidRDefault="00A91FF0" w:rsidP="00333C5D">
      <w:pPr>
        <w:tabs>
          <w:tab w:val="left" w:pos="0"/>
        </w:tabs>
        <w:ind w:left="567"/>
        <w:contextualSpacing/>
        <w:jc w:val="both"/>
        <w:rPr>
          <w:rFonts w:ascii="Palatino Linotype" w:hAnsi="Palatino Linotype" w:cs="Arial"/>
          <w:i/>
          <w:color w:val="000000" w:themeColor="text1"/>
        </w:rPr>
      </w:pPr>
      <w:r w:rsidRPr="00EE2306">
        <w:rPr>
          <w:rFonts w:ascii="Palatino Linotype" w:hAnsi="Palatino Linotype" w:cs="Arial"/>
          <w:i/>
          <w:color w:val="000000" w:themeColor="text1"/>
        </w:rPr>
        <w:t>RRA 0342/16. Colegio de Bachilleres. 24 de agosto de 2016. Por unanimidad. Comisionada Ponente Ximena Puente de la Mora.</w:t>
      </w:r>
    </w:p>
    <w:p w14:paraId="1EC0AD6A" w14:textId="77777777" w:rsidR="00CC1D37" w:rsidRPr="00EE2306" w:rsidRDefault="00CC1D37" w:rsidP="00333C5D">
      <w:pPr>
        <w:tabs>
          <w:tab w:val="left" w:pos="0"/>
        </w:tabs>
        <w:contextualSpacing/>
        <w:jc w:val="both"/>
        <w:rPr>
          <w:rFonts w:ascii="Palatino Linotype" w:hAnsi="Palatino Linotype" w:cs="Arial"/>
          <w:i/>
          <w:color w:val="000000" w:themeColor="text1"/>
        </w:rPr>
      </w:pPr>
    </w:p>
    <w:p w14:paraId="4AE589A7" w14:textId="77777777" w:rsidR="00A91FF0" w:rsidRPr="00EE2306" w:rsidRDefault="00A91FF0" w:rsidP="00333C5D">
      <w:pPr>
        <w:numPr>
          <w:ilvl w:val="0"/>
          <w:numId w:val="11"/>
        </w:numPr>
        <w:tabs>
          <w:tab w:val="left" w:pos="0"/>
        </w:tabs>
        <w:spacing w:line="360" w:lineRule="auto"/>
        <w:contextualSpacing/>
        <w:jc w:val="both"/>
        <w:rPr>
          <w:rFonts w:ascii="Palatino Linotype" w:hAnsi="Palatino Linotype"/>
          <w:color w:val="000000" w:themeColor="text1"/>
        </w:rPr>
      </w:pPr>
      <w:r w:rsidRPr="00EE2306">
        <w:rPr>
          <w:rFonts w:ascii="Palatino Linotype" w:hAnsi="Palatino Linotype"/>
          <w:color w:val="000000" w:themeColor="text1"/>
        </w:rPr>
        <w:t xml:space="preserve">Asimismo, </w:t>
      </w:r>
      <w:r w:rsidRPr="00EE2306">
        <w:rPr>
          <w:rFonts w:ascii="Palatino Linotype" w:hAnsi="Palatino Linotype" w:cs="Arial"/>
          <w:color w:val="000000" w:themeColor="text1"/>
        </w:rPr>
        <w:t>sirve de apoyo a lo anterior por analogía, la Jurisprudencia No. 29 visible a foja 19 del Apéndice al Semanario Judicial de la Federación 1917-1995, Torno VI, Materia Común, Primera Parte, Tesis de la Suprema Corte de Justicia, que contiene:</w:t>
      </w:r>
    </w:p>
    <w:p w14:paraId="14BC442A" w14:textId="77777777" w:rsidR="00A91FF0" w:rsidRPr="00EE2306" w:rsidRDefault="00A91FF0" w:rsidP="00333C5D">
      <w:pPr>
        <w:tabs>
          <w:tab w:val="left" w:pos="0"/>
        </w:tabs>
        <w:ind w:left="567"/>
        <w:contextualSpacing/>
        <w:jc w:val="both"/>
        <w:rPr>
          <w:rFonts w:ascii="Palatino Linotype" w:hAnsi="Palatino Linotype"/>
          <w:color w:val="000000" w:themeColor="text1"/>
        </w:rPr>
      </w:pPr>
      <w:r w:rsidRPr="00EE2306">
        <w:rPr>
          <w:rFonts w:ascii="Palatino Linotype" w:hAnsi="Palatino Linotype" w:cs="Arial"/>
          <w:b/>
          <w:i/>
          <w:color w:val="000000" w:themeColor="text1"/>
        </w:rPr>
        <w:t xml:space="preserve">AGRAVIOS EN LA REVISION. DEBEN ESTAR EN RELACION DIRECTA CON LOS FUNDAMENTOS Y CONSIDERACIONES DE LA SENTENCIA.- </w:t>
      </w:r>
      <w:r w:rsidRPr="00EE2306">
        <w:rPr>
          <w:rFonts w:ascii="Palatino Linotype" w:hAnsi="Palatino Linotype" w:cs="Arial"/>
          <w:i/>
          <w:color w:val="000000" w:themeColor="text1"/>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158FCA30" w14:textId="77777777" w:rsidR="00A91FF0" w:rsidRPr="00EE2306" w:rsidRDefault="00A91FF0" w:rsidP="00333C5D">
      <w:pPr>
        <w:tabs>
          <w:tab w:val="left" w:pos="0"/>
        </w:tabs>
        <w:spacing w:line="360" w:lineRule="auto"/>
        <w:contextualSpacing/>
        <w:jc w:val="both"/>
        <w:rPr>
          <w:rFonts w:ascii="Palatino Linotype" w:hAnsi="Palatino Linotype"/>
          <w:color w:val="000000" w:themeColor="text1"/>
        </w:rPr>
      </w:pPr>
    </w:p>
    <w:p w14:paraId="484C5F7D" w14:textId="77777777" w:rsidR="00A91FF0" w:rsidRPr="00EE2306" w:rsidRDefault="00A91FF0" w:rsidP="00333C5D">
      <w:pPr>
        <w:numPr>
          <w:ilvl w:val="0"/>
          <w:numId w:val="11"/>
        </w:numPr>
        <w:tabs>
          <w:tab w:val="left" w:pos="0"/>
        </w:tabs>
        <w:spacing w:line="360" w:lineRule="auto"/>
        <w:contextualSpacing/>
        <w:jc w:val="both"/>
        <w:rPr>
          <w:rFonts w:ascii="Palatino Linotype" w:hAnsi="Palatino Linotype"/>
          <w:color w:val="000000" w:themeColor="text1"/>
        </w:rPr>
      </w:pPr>
      <w:r w:rsidRPr="00EE2306">
        <w:rPr>
          <w:rFonts w:ascii="Palatino Linotype" w:hAnsi="Palatino Linotype"/>
          <w:color w:val="000000" w:themeColor="text1"/>
        </w:rPr>
        <w:lastRenderedPageBreak/>
        <w:t>Consecuentemente</w:t>
      </w:r>
      <w:r w:rsidRPr="00EE2306">
        <w:rPr>
          <w:rFonts w:ascii="Palatino Linotype" w:hAnsi="Palatino Linotype" w:cs="Arial"/>
          <w:color w:val="000000" w:themeColor="text1"/>
        </w:rPr>
        <w:t xml:space="preserve">, en términos del artículo 191, fracción VII de la Ley de Transparencia y Acceso a la Información Pública del Estado de México y Municipios, este Instituto </w:t>
      </w:r>
      <w:r w:rsidRPr="00EE2306">
        <w:rPr>
          <w:rFonts w:ascii="Palatino Linotype" w:eastAsia="Calibri" w:hAnsi="Palatino Linotype"/>
          <w:color w:val="000000" w:themeColor="text1"/>
          <w:lang w:val="es-CO"/>
        </w:rPr>
        <w:t xml:space="preserve">determina el </w:t>
      </w:r>
      <w:r w:rsidRPr="00EE2306">
        <w:rPr>
          <w:rFonts w:ascii="Palatino Linotype" w:eastAsia="Calibri" w:hAnsi="Palatino Linotype"/>
          <w:b/>
          <w:color w:val="000000" w:themeColor="text1"/>
          <w:lang w:val="es-CO"/>
        </w:rPr>
        <w:t xml:space="preserve">SOBRESEIMIENTO </w:t>
      </w:r>
      <w:r w:rsidRPr="00EE2306">
        <w:rPr>
          <w:rFonts w:ascii="Palatino Linotype" w:eastAsia="Calibri" w:hAnsi="Palatino Linotype"/>
          <w:color w:val="000000" w:themeColor="text1"/>
          <w:lang w:val="es-CO"/>
        </w:rPr>
        <w:t>del presente recurso de revisión,</w:t>
      </w:r>
      <w:r w:rsidRPr="00EE2306">
        <w:rPr>
          <w:rFonts w:ascii="Palatino Linotype" w:hAnsi="Palatino Linotype"/>
          <w:color w:val="000000" w:themeColor="text1"/>
        </w:rPr>
        <w:t xml:space="preserve"> por</w:t>
      </w:r>
      <w:r w:rsidRPr="00EE2306">
        <w:rPr>
          <w:rFonts w:ascii="Palatino Linotype" w:hAnsi="Palatino Linotype"/>
          <w:color w:val="000000" w:themeColor="text1"/>
          <w:spacing w:val="1"/>
        </w:rPr>
        <w:t xml:space="preserve"> </w:t>
      </w:r>
      <w:r w:rsidRPr="00EE2306">
        <w:rPr>
          <w:rFonts w:ascii="Palatino Linotype" w:hAnsi="Palatino Linotype"/>
          <w:color w:val="000000" w:themeColor="text1"/>
        </w:rPr>
        <w:t>resultar</w:t>
      </w:r>
      <w:r w:rsidRPr="00EE2306">
        <w:rPr>
          <w:rFonts w:ascii="Palatino Linotype" w:hAnsi="Palatino Linotype"/>
          <w:color w:val="000000" w:themeColor="text1"/>
          <w:spacing w:val="1"/>
        </w:rPr>
        <w:t xml:space="preserve"> </w:t>
      </w:r>
      <w:r w:rsidRPr="00EE2306">
        <w:rPr>
          <w:rFonts w:ascii="Palatino Linotype" w:hAnsi="Palatino Linotype"/>
          <w:color w:val="000000" w:themeColor="text1"/>
        </w:rPr>
        <w:t>improcedente, de acuerdo con el artículo 192 fracción IV del mismo ordenamiento legal.</w:t>
      </w:r>
    </w:p>
    <w:p w14:paraId="2EE0A8BD" w14:textId="77777777" w:rsidR="00A91FF0" w:rsidRPr="00EE2306" w:rsidRDefault="00A91FF0" w:rsidP="00333C5D">
      <w:pPr>
        <w:tabs>
          <w:tab w:val="left" w:pos="0"/>
        </w:tabs>
        <w:ind w:left="567"/>
        <w:contextualSpacing/>
        <w:jc w:val="both"/>
        <w:rPr>
          <w:rFonts w:ascii="Palatino Linotype" w:hAnsi="Palatino Linotype"/>
          <w:i/>
          <w:iCs/>
          <w:color w:val="000000" w:themeColor="text1"/>
        </w:rPr>
      </w:pPr>
      <w:r w:rsidRPr="00EE2306">
        <w:rPr>
          <w:rFonts w:ascii="Palatino Linotype" w:hAnsi="Palatino Linotype"/>
          <w:b/>
          <w:bCs/>
          <w:i/>
          <w:iCs/>
          <w:color w:val="000000" w:themeColor="text1"/>
        </w:rPr>
        <w:t>“Artículo 192.</w:t>
      </w:r>
      <w:r w:rsidRPr="00EE2306">
        <w:rPr>
          <w:rFonts w:ascii="Palatino Linotype" w:hAnsi="Palatino Linotype"/>
          <w:i/>
          <w:iCs/>
          <w:color w:val="000000" w:themeColor="text1"/>
        </w:rPr>
        <w:t xml:space="preserve"> El recurso será sobreseído, en todo o en parte, cuando una vez admitido, se actualicen alguno de los siguientes supuestos: </w:t>
      </w:r>
    </w:p>
    <w:p w14:paraId="7BB630AD" w14:textId="77777777" w:rsidR="00A91FF0" w:rsidRPr="00EE2306" w:rsidRDefault="00A91FF0" w:rsidP="00333C5D">
      <w:pPr>
        <w:tabs>
          <w:tab w:val="left" w:pos="0"/>
        </w:tabs>
        <w:ind w:left="567"/>
        <w:contextualSpacing/>
        <w:jc w:val="both"/>
        <w:rPr>
          <w:rFonts w:ascii="Palatino Linotype" w:hAnsi="Palatino Linotype"/>
          <w:i/>
          <w:iCs/>
          <w:color w:val="000000" w:themeColor="text1"/>
        </w:rPr>
      </w:pPr>
      <w:r w:rsidRPr="00EE2306">
        <w:rPr>
          <w:rFonts w:ascii="Palatino Linotype" w:hAnsi="Palatino Linotype"/>
          <w:i/>
          <w:iCs/>
          <w:color w:val="000000" w:themeColor="text1"/>
        </w:rPr>
        <w:t>(…)</w:t>
      </w:r>
    </w:p>
    <w:p w14:paraId="17764AC5" w14:textId="77777777" w:rsidR="00A91FF0" w:rsidRPr="00EE2306" w:rsidRDefault="00A91FF0" w:rsidP="00333C5D">
      <w:pPr>
        <w:tabs>
          <w:tab w:val="left" w:pos="0"/>
        </w:tabs>
        <w:ind w:left="567"/>
        <w:contextualSpacing/>
        <w:jc w:val="both"/>
        <w:rPr>
          <w:rFonts w:ascii="Palatino Linotype" w:hAnsi="Palatino Linotype"/>
          <w:b/>
          <w:bCs/>
          <w:i/>
          <w:iCs/>
          <w:color w:val="000000" w:themeColor="text1"/>
        </w:rPr>
      </w:pPr>
      <w:r w:rsidRPr="00EE2306">
        <w:rPr>
          <w:rFonts w:ascii="Palatino Linotype" w:hAnsi="Palatino Linotype"/>
          <w:b/>
          <w:bCs/>
          <w:i/>
          <w:iCs/>
          <w:color w:val="000000" w:themeColor="text1"/>
        </w:rPr>
        <w:t xml:space="preserve">IV. Admitido el recurso de revisión, aparezca alguna causal de improcedencia en los términos de la presente Ley; </w:t>
      </w:r>
    </w:p>
    <w:p w14:paraId="301F2D07" w14:textId="77777777" w:rsidR="00A91FF0" w:rsidRPr="00EE2306" w:rsidRDefault="00A91FF0" w:rsidP="00333C5D">
      <w:pPr>
        <w:tabs>
          <w:tab w:val="left" w:pos="0"/>
        </w:tabs>
        <w:ind w:left="567"/>
        <w:contextualSpacing/>
        <w:jc w:val="both"/>
        <w:rPr>
          <w:rFonts w:ascii="Palatino Linotype" w:hAnsi="Palatino Linotype"/>
          <w:b/>
          <w:bCs/>
          <w:i/>
          <w:iCs/>
          <w:color w:val="000000" w:themeColor="text1"/>
        </w:rPr>
      </w:pPr>
      <w:r w:rsidRPr="00EE2306">
        <w:rPr>
          <w:rFonts w:ascii="Palatino Linotype" w:hAnsi="Palatino Linotype"/>
          <w:i/>
          <w:iCs/>
          <w:color w:val="000000" w:themeColor="text1"/>
        </w:rPr>
        <w:t>(…)”</w:t>
      </w:r>
    </w:p>
    <w:p w14:paraId="370F27A1" w14:textId="77777777" w:rsidR="00A91FF0" w:rsidRPr="00EE2306" w:rsidRDefault="00A91FF0" w:rsidP="00333C5D">
      <w:pPr>
        <w:tabs>
          <w:tab w:val="left" w:pos="0"/>
        </w:tabs>
        <w:rPr>
          <w:rFonts w:ascii="Palatino Linotype" w:eastAsiaTheme="minorEastAsia" w:hAnsi="Palatino Linotype"/>
          <w:color w:val="000000" w:themeColor="text1"/>
          <w:lang w:val="es-ES"/>
        </w:rPr>
      </w:pPr>
    </w:p>
    <w:p w14:paraId="697B33BF" w14:textId="724B9ED6" w:rsidR="00A91FF0" w:rsidRPr="00EE2306" w:rsidRDefault="00A91FF0" w:rsidP="00333C5D">
      <w:pPr>
        <w:pStyle w:val="Prrafodelista"/>
        <w:numPr>
          <w:ilvl w:val="0"/>
          <w:numId w:val="11"/>
        </w:numPr>
        <w:tabs>
          <w:tab w:val="left" w:pos="0"/>
        </w:tabs>
        <w:rPr>
          <w:rFonts w:ascii="Palatino Linotype" w:eastAsiaTheme="minorEastAsia" w:hAnsi="Palatino Linotype"/>
          <w:color w:val="000000" w:themeColor="text1"/>
          <w:lang w:val="es-ES"/>
        </w:rPr>
      </w:pPr>
      <w:r w:rsidRPr="00EE2306">
        <w:rPr>
          <w:rFonts w:ascii="Palatino Linotype" w:eastAsiaTheme="minorEastAsia" w:hAnsi="Palatino Linotype"/>
          <w:color w:val="000000" w:themeColor="text1"/>
          <w:lang w:val="es-ES"/>
        </w:rPr>
        <w:t xml:space="preserve">Por lo anteriormente expuesto y fundado, este </w:t>
      </w:r>
      <w:r w:rsidRPr="00EE2306">
        <w:rPr>
          <w:rFonts w:ascii="Palatino Linotype" w:eastAsiaTheme="minorEastAsia" w:hAnsi="Palatino Linotype"/>
          <w:b/>
          <w:bCs/>
          <w:color w:val="000000" w:themeColor="text1"/>
          <w:lang w:val="es-ES"/>
        </w:rPr>
        <w:t>ÓRGANO GARANTE</w:t>
      </w:r>
      <w:r w:rsidRPr="00EE2306">
        <w:rPr>
          <w:rFonts w:ascii="Palatino Linotype" w:eastAsiaTheme="minorEastAsia" w:hAnsi="Palatino Linotype"/>
          <w:color w:val="000000" w:themeColor="text1"/>
          <w:lang w:val="es-ES"/>
        </w:rPr>
        <w:t xml:space="preserve"> emite los siguientes:</w:t>
      </w:r>
    </w:p>
    <w:p w14:paraId="68A7EF36" w14:textId="77777777" w:rsidR="00EB0F49" w:rsidRPr="00EE2306" w:rsidRDefault="00EB0F49" w:rsidP="00333C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D90C848" w14:textId="77777777" w:rsidR="00EB0F49" w:rsidRPr="00EE2306" w:rsidRDefault="001D3081" w:rsidP="00333C5D">
      <w:pPr>
        <w:pStyle w:val="Ttulo1"/>
        <w:tabs>
          <w:tab w:val="left" w:pos="0"/>
        </w:tabs>
        <w:spacing w:before="0" w:line="360" w:lineRule="auto"/>
        <w:jc w:val="center"/>
        <w:rPr>
          <w:b w:val="0"/>
          <w:szCs w:val="24"/>
        </w:rPr>
      </w:pPr>
      <w:r w:rsidRPr="00EE2306">
        <w:rPr>
          <w:szCs w:val="24"/>
        </w:rPr>
        <w:t>R E S O L U T I V O S</w:t>
      </w:r>
    </w:p>
    <w:p w14:paraId="06602795" w14:textId="77777777" w:rsidR="00EB0F49" w:rsidRPr="00EE2306" w:rsidRDefault="00EB0F49" w:rsidP="00333C5D">
      <w:pPr>
        <w:tabs>
          <w:tab w:val="left" w:pos="0"/>
        </w:tabs>
        <w:spacing w:line="360" w:lineRule="auto"/>
        <w:rPr>
          <w:rFonts w:ascii="Palatino Linotype" w:eastAsia="Palatino Linotype" w:hAnsi="Palatino Linotype" w:cs="Palatino Linotype"/>
          <w:color w:val="000000" w:themeColor="text1"/>
        </w:rPr>
      </w:pPr>
    </w:p>
    <w:p w14:paraId="59238A90" w14:textId="4035793F" w:rsidR="00CC1D37" w:rsidRPr="00EE2306" w:rsidRDefault="00CC1D37" w:rsidP="00333C5D">
      <w:pPr>
        <w:tabs>
          <w:tab w:val="left" w:pos="0"/>
        </w:tabs>
        <w:spacing w:line="360" w:lineRule="auto"/>
        <w:jc w:val="both"/>
        <w:rPr>
          <w:rFonts w:ascii="Palatino Linotype" w:eastAsiaTheme="minorEastAsia" w:hAnsi="Palatino Linotype" w:cs="Arial"/>
          <w:bCs/>
          <w:color w:val="000000" w:themeColor="text1"/>
          <w:lang w:eastAsia="es-ES"/>
        </w:rPr>
      </w:pPr>
      <w:r w:rsidRPr="00EE2306">
        <w:rPr>
          <w:rFonts w:ascii="Palatino Linotype" w:hAnsi="Palatino Linotype" w:cs="Arial"/>
          <w:b/>
          <w:color w:val="000000" w:themeColor="text1"/>
          <w:lang w:eastAsia="es-ES"/>
        </w:rPr>
        <w:t xml:space="preserve">PRIMERO. </w:t>
      </w:r>
      <w:r w:rsidRPr="00EE2306">
        <w:rPr>
          <w:rFonts w:ascii="Palatino Linotype" w:hAnsi="Palatino Linotype"/>
          <w:color w:val="000000" w:themeColor="text1"/>
        </w:rPr>
        <w:t xml:space="preserve">Se </w:t>
      </w:r>
      <w:r w:rsidRPr="00EE2306">
        <w:rPr>
          <w:rFonts w:ascii="Palatino Linotype" w:hAnsi="Palatino Linotype"/>
          <w:b/>
          <w:color w:val="000000" w:themeColor="text1"/>
        </w:rPr>
        <w:t>SOBRESEE por improcedente</w:t>
      </w:r>
      <w:r w:rsidRPr="00EE2306">
        <w:rPr>
          <w:rFonts w:ascii="Palatino Linotype" w:hAnsi="Palatino Linotype"/>
          <w:color w:val="000000" w:themeColor="text1"/>
        </w:rPr>
        <w:t xml:space="preserve"> el recurso de revisión número </w:t>
      </w:r>
      <w:r w:rsidRPr="00EE2306">
        <w:rPr>
          <w:rFonts w:ascii="Palatino Linotype" w:hAnsi="Palatino Linotype"/>
          <w:b/>
          <w:color w:val="000000" w:themeColor="text1"/>
        </w:rPr>
        <w:t xml:space="preserve">01283/INFOEM/IP/RR/2025 </w:t>
      </w:r>
      <w:r w:rsidRPr="00EE2306">
        <w:rPr>
          <w:rFonts w:ascii="Palatino Linotype" w:hAnsi="Palatino Linotype"/>
          <w:bCs/>
          <w:color w:val="000000" w:themeColor="text1"/>
        </w:rPr>
        <w:t>de conformidad con el 192, fracción IV, en relación con el artículo 191, fracción VII de la Ley de Transparencia y Acceso a la Información Pública del Estado de México y Municipios</w:t>
      </w:r>
      <w:r w:rsidRPr="00EE2306">
        <w:rPr>
          <w:rFonts w:ascii="Palatino Linotype" w:hAnsi="Palatino Linotype"/>
          <w:color w:val="000000" w:themeColor="text1"/>
        </w:rPr>
        <w:t xml:space="preserve">, en términos del Considerando </w:t>
      </w:r>
      <w:r w:rsidRPr="00EE2306">
        <w:rPr>
          <w:rFonts w:ascii="Palatino Linotype" w:hAnsi="Palatino Linotype"/>
          <w:b/>
          <w:color w:val="000000" w:themeColor="text1"/>
        </w:rPr>
        <w:t>TERCERO</w:t>
      </w:r>
      <w:r w:rsidRPr="00EE2306">
        <w:rPr>
          <w:rFonts w:ascii="Palatino Linotype" w:hAnsi="Palatino Linotype"/>
          <w:color w:val="000000" w:themeColor="text1"/>
        </w:rPr>
        <w:t xml:space="preserve"> de la presente resolución.</w:t>
      </w:r>
    </w:p>
    <w:p w14:paraId="43878B5B" w14:textId="77777777" w:rsidR="00CC1D37" w:rsidRPr="00EE2306" w:rsidRDefault="00CC1D37" w:rsidP="00333C5D">
      <w:pPr>
        <w:tabs>
          <w:tab w:val="left" w:pos="0"/>
        </w:tabs>
        <w:spacing w:line="360" w:lineRule="auto"/>
        <w:jc w:val="both"/>
        <w:rPr>
          <w:rFonts w:ascii="Palatino Linotype" w:hAnsi="Palatino Linotype"/>
          <w:color w:val="000000" w:themeColor="text1"/>
          <w:lang w:eastAsia="es-ES"/>
        </w:rPr>
      </w:pPr>
    </w:p>
    <w:p w14:paraId="41FA021E" w14:textId="2F9C7203" w:rsidR="00CC1D37" w:rsidRPr="00EE2306" w:rsidRDefault="00CC1D37" w:rsidP="00333C5D">
      <w:pPr>
        <w:tabs>
          <w:tab w:val="left" w:pos="0"/>
        </w:tabs>
        <w:spacing w:line="360" w:lineRule="auto"/>
        <w:jc w:val="both"/>
        <w:rPr>
          <w:rFonts w:ascii="Palatino Linotype" w:eastAsia="Calibri" w:hAnsi="Palatino Linotype" w:cs="Arial"/>
          <w:color w:val="000000" w:themeColor="text1"/>
          <w:lang w:val="es-ES" w:eastAsia="es-ES"/>
        </w:rPr>
      </w:pPr>
      <w:r w:rsidRPr="00EE2306">
        <w:rPr>
          <w:rFonts w:ascii="Palatino Linotype" w:eastAsiaTheme="minorEastAsia" w:hAnsi="Palatino Linotype"/>
          <w:b/>
          <w:color w:val="000000" w:themeColor="text1"/>
          <w:lang w:eastAsia="es-ES"/>
        </w:rPr>
        <w:t>SEGUNDO.</w:t>
      </w:r>
      <w:r w:rsidRPr="00EE2306">
        <w:rPr>
          <w:rFonts w:ascii="Palatino Linotype" w:eastAsiaTheme="majorEastAsia" w:hAnsi="Palatino Linotype" w:cstheme="majorBidi"/>
          <w:b/>
          <w:color w:val="000000" w:themeColor="text1"/>
          <w:lang w:eastAsia="es-ES"/>
        </w:rPr>
        <w:t xml:space="preserve"> </w:t>
      </w:r>
      <w:r w:rsidR="004A4E73" w:rsidRPr="00EE2306">
        <w:rPr>
          <w:rFonts w:ascii="Palatino Linotype" w:eastAsia="Calibri" w:hAnsi="Palatino Linotype" w:cs="Arial"/>
          <w:b/>
          <w:bCs/>
          <w:color w:val="000000" w:themeColor="text1"/>
          <w:lang w:val="es-ES"/>
        </w:rPr>
        <w:t>NOTIFÍQUESE</w:t>
      </w:r>
      <w:r w:rsidRPr="00EE2306">
        <w:rPr>
          <w:rFonts w:ascii="Palatino Linotype" w:eastAsia="Calibri" w:hAnsi="Palatino Linotype" w:cs="Arial"/>
          <w:b/>
          <w:bCs/>
          <w:color w:val="000000" w:themeColor="text1"/>
          <w:lang w:val="es-ES"/>
        </w:rPr>
        <w:t xml:space="preserve"> </w:t>
      </w:r>
      <w:r w:rsidRPr="00EE2306">
        <w:rPr>
          <w:rFonts w:ascii="Palatino Linotype" w:eastAsia="Calibri" w:hAnsi="Palatino Linotype" w:cs="Arial"/>
          <w:bCs/>
          <w:color w:val="000000" w:themeColor="text1"/>
          <w:lang w:val="es-ES"/>
        </w:rPr>
        <w:t xml:space="preserve">a través del Sistema de Acceso a la Información Mexiquense </w:t>
      </w:r>
      <w:r w:rsidRPr="00EE2306">
        <w:rPr>
          <w:rFonts w:ascii="Palatino Linotype" w:eastAsia="Calibri" w:hAnsi="Palatino Linotype" w:cs="Arial"/>
          <w:b/>
          <w:bCs/>
          <w:color w:val="000000" w:themeColor="text1"/>
          <w:lang w:val="es-ES"/>
        </w:rPr>
        <w:t xml:space="preserve">(SAIMEX) </w:t>
      </w:r>
      <w:r w:rsidRPr="00EE2306">
        <w:rPr>
          <w:rFonts w:ascii="Palatino Linotype" w:eastAsia="Calibri" w:hAnsi="Palatino Linotype" w:cs="Arial"/>
          <w:bCs/>
          <w:color w:val="000000" w:themeColor="text1"/>
          <w:lang w:val="es-ES"/>
        </w:rPr>
        <w:t>la presente resolución al Titular de la Unidad de Transparencia del</w:t>
      </w:r>
      <w:r w:rsidRPr="00EE2306">
        <w:rPr>
          <w:rFonts w:ascii="Palatino Linotype" w:eastAsia="Calibri" w:hAnsi="Palatino Linotype" w:cs="Arial"/>
          <w:b/>
          <w:bCs/>
          <w:color w:val="000000" w:themeColor="text1"/>
          <w:lang w:val="es-ES"/>
        </w:rPr>
        <w:t xml:space="preserve"> SUJETO OBLIGADO.</w:t>
      </w:r>
    </w:p>
    <w:p w14:paraId="2F300D7E" w14:textId="77777777" w:rsidR="00CC1D37" w:rsidRPr="00EE2306" w:rsidRDefault="00CC1D37" w:rsidP="00333C5D">
      <w:pPr>
        <w:tabs>
          <w:tab w:val="left" w:pos="0"/>
        </w:tabs>
        <w:spacing w:line="360" w:lineRule="auto"/>
        <w:jc w:val="both"/>
        <w:rPr>
          <w:rFonts w:ascii="Palatino Linotype" w:eastAsia="Calibri" w:hAnsi="Palatino Linotype" w:cs="Arial"/>
          <w:color w:val="000000" w:themeColor="text1"/>
          <w:lang w:val="es-ES" w:eastAsia="es-ES"/>
        </w:rPr>
      </w:pPr>
    </w:p>
    <w:p w14:paraId="61827762" w14:textId="586678F8" w:rsidR="00CC1D37" w:rsidRPr="00EE2306" w:rsidRDefault="00CC1D37" w:rsidP="00333C5D">
      <w:pPr>
        <w:tabs>
          <w:tab w:val="left" w:pos="0"/>
          <w:tab w:val="left" w:pos="8080"/>
        </w:tabs>
        <w:spacing w:line="360" w:lineRule="auto"/>
        <w:contextualSpacing/>
        <w:jc w:val="both"/>
        <w:rPr>
          <w:rFonts w:ascii="Palatino Linotype" w:eastAsia="Calibri" w:hAnsi="Palatino Linotype" w:cs="Arial"/>
          <w:b/>
          <w:bCs/>
          <w:color w:val="000000" w:themeColor="text1"/>
          <w:lang w:val="es-ES"/>
        </w:rPr>
      </w:pPr>
      <w:r w:rsidRPr="00EE2306">
        <w:rPr>
          <w:rFonts w:ascii="Palatino Linotype" w:eastAsia="Palatino Linotype" w:hAnsi="Palatino Linotype" w:cs="Palatino Linotype"/>
          <w:b/>
          <w:color w:val="000000" w:themeColor="text1"/>
          <w:lang w:eastAsia="es-ES"/>
        </w:rPr>
        <w:lastRenderedPageBreak/>
        <w:t xml:space="preserve">TERCERO. </w:t>
      </w:r>
      <w:r w:rsidRPr="00EE2306">
        <w:rPr>
          <w:rFonts w:ascii="Palatino Linotype" w:hAnsi="Palatino Linotype"/>
          <w:b/>
          <w:bCs/>
          <w:color w:val="000000" w:themeColor="text1"/>
          <w:lang w:val="es-ES"/>
        </w:rPr>
        <w:t xml:space="preserve">Notifíquese </w:t>
      </w:r>
      <w:r w:rsidRPr="00EE2306">
        <w:rPr>
          <w:rFonts w:ascii="Palatino Linotype" w:hAnsi="Palatino Linotype"/>
          <w:bCs/>
          <w:color w:val="000000" w:themeColor="text1"/>
          <w:lang w:val="es-ES"/>
        </w:rPr>
        <w:t xml:space="preserve">al </w:t>
      </w:r>
      <w:r w:rsidRPr="00EE2306">
        <w:rPr>
          <w:rFonts w:ascii="Palatino Linotype" w:hAnsi="Palatino Linotype"/>
          <w:b/>
          <w:bCs/>
          <w:color w:val="000000" w:themeColor="text1"/>
          <w:lang w:val="es-ES"/>
        </w:rPr>
        <w:t>RECURRENTE</w:t>
      </w:r>
      <w:r w:rsidRPr="00EE2306">
        <w:rPr>
          <w:rFonts w:ascii="Palatino Linotype" w:hAnsi="Palatino Linotype"/>
          <w:color w:val="000000" w:themeColor="text1"/>
        </w:rPr>
        <w:t xml:space="preserve"> </w:t>
      </w:r>
      <w:r w:rsidRPr="00EE2306">
        <w:rPr>
          <w:rFonts w:ascii="Palatino Linotype" w:hAnsi="Palatino Linotype"/>
          <w:color w:val="000000" w:themeColor="text1"/>
          <w:lang w:val="es-ES"/>
        </w:rPr>
        <w:t xml:space="preserve">la presente resolución, </w:t>
      </w:r>
      <w:r w:rsidRPr="00EE2306">
        <w:rPr>
          <w:rFonts w:ascii="Palatino Linotype" w:eastAsia="Calibri" w:hAnsi="Palatino Linotype" w:cs="Arial"/>
          <w:bCs/>
          <w:color w:val="000000" w:themeColor="text1"/>
          <w:lang w:val="es-ES"/>
        </w:rPr>
        <w:t xml:space="preserve">a través del Sistema de Acceso a la Información Mexiquense </w:t>
      </w:r>
      <w:r w:rsidRPr="00EE2306">
        <w:rPr>
          <w:rFonts w:ascii="Palatino Linotype" w:eastAsia="Calibri" w:hAnsi="Palatino Linotype" w:cs="Arial"/>
          <w:b/>
          <w:bCs/>
          <w:color w:val="000000" w:themeColor="text1"/>
          <w:lang w:val="es-ES"/>
        </w:rPr>
        <w:t>(SAIMEX).</w:t>
      </w:r>
    </w:p>
    <w:p w14:paraId="652AD7EC" w14:textId="77777777" w:rsidR="00CC1D37" w:rsidRPr="00EE2306" w:rsidRDefault="00CC1D37" w:rsidP="00333C5D">
      <w:pPr>
        <w:tabs>
          <w:tab w:val="left" w:pos="0"/>
          <w:tab w:val="left" w:pos="8080"/>
        </w:tabs>
        <w:spacing w:line="360" w:lineRule="auto"/>
        <w:contextualSpacing/>
        <w:jc w:val="both"/>
        <w:rPr>
          <w:rFonts w:ascii="Palatino Linotype" w:eastAsia="Calibri" w:hAnsi="Palatino Linotype" w:cs="Arial"/>
          <w:b/>
          <w:bCs/>
          <w:color w:val="000000" w:themeColor="text1"/>
          <w:lang w:val="es-ES"/>
        </w:rPr>
      </w:pPr>
    </w:p>
    <w:p w14:paraId="4C76EC00" w14:textId="2418FB67" w:rsidR="00EB0F49" w:rsidRPr="00EE2306" w:rsidRDefault="00CC1D37" w:rsidP="00333C5D">
      <w:pPr>
        <w:shd w:val="clear" w:color="auto" w:fill="FFFFFF"/>
        <w:tabs>
          <w:tab w:val="left" w:pos="0"/>
        </w:tabs>
        <w:spacing w:line="360" w:lineRule="auto"/>
        <w:jc w:val="both"/>
        <w:rPr>
          <w:rFonts w:ascii="Palatino Linotype" w:eastAsia="MS Mincho" w:hAnsi="Palatino Linotype"/>
          <w:color w:val="000000" w:themeColor="text1"/>
          <w:lang w:val="es-ES"/>
        </w:rPr>
      </w:pPr>
      <w:r w:rsidRPr="00EE2306">
        <w:rPr>
          <w:rFonts w:ascii="Palatino Linotype" w:hAnsi="Palatino Linotype" w:cs="Arial"/>
          <w:b/>
          <w:color w:val="000000" w:themeColor="text1"/>
          <w:lang w:eastAsia="es-ES"/>
        </w:rPr>
        <w:t xml:space="preserve">CUARTO. </w:t>
      </w:r>
      <w:r w:rsidRPr="00EE2306">
        <w:rPr>
          <w:rFonts w:ascii="Palatino Linotype" w:eastAsia="MS Mincho" w:hAnsi="Palatino Linotype"/>
          <w:color w:val="000000" w:themeColor="text1"/>
          <w:lang w:val="es-ES"/>
        </w:rPr>
        <w:t>Se hace del conocimiento del</w:t>
      </w:r>
      <w:r w:rsidR="004A4E73" w:rsidRPr="00EE2306">
        <w:rPr>
          <w:rFonts w:ascii="Palatino Linotype" w:eastAsia="MS Mincho" w:hAnsi="Palatino Linotype"/>
          <w:color w:val="000000" w:themeColor="text1"/>
          <w:lang w:val="es-ES"/>
        </w:rPr>
        <w:t xml:space="preserve"> </w:t>
      </w:r>
      <w:r w:rsidRPr="00EE2306">
        <w:rPr>
          <w:rFonts w:ascii="Palatino Linotype" w:eastAsia="MS Mincho" w:hAnsi="Palatino Linotype"/>
          <w:color w:val="000000" w:themeColor="text1"/>
          <w:lang w:val="es-ES"/>
        </w:rPr>
        <w:t xml:space="preserve"> </w:t>
      </w:r>
      <w:r w:rsidRPr="00EE2306">
        <w:rPr>
          <w:rFonts w:ascii="Palatino Linotype" w:hAnsi="Palatino Linotype"/>
          <w:b/>
          <w:bCs/>
          <w:color w:val="000000" w:themeColor="text1"/>
          <w:lang w:val="es-ES"/>
        </w:rPr>
        <w:t>RECURRENTE</w:t>
      </w:r>
      <w:r w:rsidRPr="00EE2306">
        <w:rPr>
          <w:rFonts w:ascii="Palatino Linotype" w:hAnsi="Palatino Linotype"/>
          <w:color w:val="000000" w:themeColor="text1"/>
        </w:rPr>
        <w:t xml:space="preserve"> </w:t>
      </w:r>
      <w:r w:rsidRPr="00EE2306">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E2306">
        <w:rPr>
          <w:rFonts w:ascii="Palatino Linotype" w:eastAsia="MS Mincho" w:hAnsi="Palatino Linotype"/>
          <w:bCs/>
          <w:color w:val="000000" w:themeColor="text1"/>
          <w:lang w:val="es-ES"/>
        </w:rPr>
        <w:t>vía juicio de amparo</w:t>
      </w:r>
      <w:r w:rsidRPr="00EE2306">
        <w:rPr>
          <w:rFonts w:ascii="Palatino Linotype" w:eastAsia="MS Mincho" w:hAnsi="Palatino Linotype"/>
          <w:color w:val="000000" w:themeColor="text1"/>
          <w:lang w:val="es-ES"/>
        </w:rPr>
        <w:t> en los términos de las leyes aplicables.</w:t>
      </w:r>
    </w:p>
    <w:p w14:paraId="6D715171" w14:textId="77777777" w:rsidR="004A4E73" w:rsidRPr="00EE2306" w:rsidRDefault="004A4E73" w:rsidP="00333C5D">
      <w:pPr>
        <w:shd w:val="clear" w:color="auto" w:fill="FFFFFF"/>
        <w:tabs>
          <w:tab w:val="left" w:pos="0"/>
        </w:tabs>
        <w:spacing w:line="360" w:lineRule="auto"/>
        <w:jc w:val="both"/>
        <w:rPr>
          <w:rFonts w:ascii="Palatino Linotype" w:eastAsia="MS Mincho" w:hAnsi="Palatino Linotype"/>
          <w:color w:val="000000" w:themeColor="text1"/>
          <w:lang w:val="es-ES"/>
        </w:rPr>
      </w:pPr>
    </w:p>
    <w:p w14:paraId="42191A39" w14:textId="611C19E2" w:rsidR="00EB0F49" w:rsidRPr="00333C5D" w:rsidRDefault="00EE2306" w:rsidP="00333C5D">
      <w:pPr>
        <w:tabs>
          <w:tab w:val="left" w:pos="0"/>
        </w:tabs>
        <w:spacing w:before="240" w:after="240" w:line="360" w:lineRule="auto"/>
        <w:ind w:firstLine="1"/>
        <w:jc w:val="both"/>
        <w:rPr>
          <w:rFonts w:ascii="Palatino Linotype" w:eastAsia="Palatino Linotype" w:hAnsi="Palatino Linotype" w:cs="Palatino Linotype"/>
          <w:color w:val="000000" w:themeColor="text1"/>
        </w:rPr>
      </w:pPr>
      <w:r w:rsidRPr="00EE230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14:paraId="580FDFB0" w14:textId="77777777" w:rsidR="00EB0F49" w:rsidRPr="00333C5D" w:rsidRDefault="00EB0F49" w:rsidP="00333C5D">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74053AC0" w14:textId="77777777" w:rsidR="00EB0F49" w:rsidRPr="00333C5D" w:rsidRDefault="00EB0F49" w:rsidP="00333C5D">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07ABD376" w14:textId="77777777" w:rsidR="00EB0F49" w:rsidRPr="00333C5D" w:rsidRDefault="00EB0F49" w:rsidP="00333C5D">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65DC0525" w14:textId="77777777" w:rsidR="00EB0F49" w:rsidRPr="00333C5D" w:rsidRDefault="00EB0F49" w:rsidP="00333C5D">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44BE4DE2" w14:textId="77777777" w:rsidR="00EB0F49" w:rsidRPr="00333C5D" w:rsidRDefault="00EB0F49" w:rsidP="00333C5D">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3BEB117" w14:textId="77777777" w:rsidR="00EB0F49" w:rsidRPr="00333C5D" w:rsidRDefault="00EB0F49" w:rsidP="00333C5D">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559C9EF7" w14:textId="77777777" w:rsidR="00EB0F49" w:rsidRPr="00333C5D" w:rsidRDefault="00EB0F49" w:rsidP="00333C5D">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14:paraId="748B3AE0" w14:textId="77777777" w:rsidR="00EB0F49" w:rsidRPr="00333C5D" w:rsidRDefault="00EB0F49" w:rsidP="00333C5D">
      <w:pPr>
        <w:tabs>
          <w:tab w:val="left" w:pos="0"/>
        </w:tabs>
        <w:spacing w:line="360" w:lineRule="auto"/>
        <w:jc w:val="both"/>
        <w:rPr>
          <w:rFonts w:ascii="Palatino Linotype" w:eastAsia="Palatino Linotype" w:hAnsi="Palatino Linotype" w:cs="Palatino Linotype"/>
          <w:color w:val="000000" w:themeColor="text1"/>
        </w:rPr>
      </w:pPr>
    </w:p>
    <w:p w14:paraId="1C5E98B7" w14:textId="77777777" w:rsidR="00EB0F49" w:rsidRPr="00333C5D" w:rsidRDefault="00EB0F49" w:rsidP="00333C5D">
      <w:pPr>
        <w:pStyle w:val="Ttulo2"/>
        <w:tabs>
          <w:tab w:val="left" w:pos="0"/>
        </w:tabs>
        <w:spacing w:before="0" w:line="360" w:lineRule="auto"/>
        <w:rPr>
          <w:szCs w:val="24"/>
        </w:rPr>
      </w:pPr>
    </w:p>
    <w:sectPr w:rsidR="00EB0F49" w:rsidRPr="00333C5D" w:rsidSect="00333C5D">
      <w:headerReference w:type="default" r:id="rId13"/>
      <w:footerReference w:type="default" r:id="rId14"/>
      <w:headerReference w:type="first" r:id="rId15"/>
      <w:footerReference w:type="first" r:id="rId16"/>
      <w:pgSz w:w="12240" w:h="15840"/>
      <w:pgMar w:top="1691" w:right="1183"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A9DF6" w14:textId="77777777" w:rsidR="00FB3624" w:rsidRDefault="00FB3624">
      <w:r>
        <w:separator/>
      </w:r>
    </w:p>
  </w:endnote>
  <w:endnote w:type="continuationSeparator" w:id="0">
    <w:p w14:paraId="74FB8A2A" w14:textId="77777777" w:rsidR="00FB3624" w:rsidRDefault="00F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CD7446" w:rsidRDefault="00CD7446">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F3688F">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F3688F">
      <w:rPr>
        <w:rFonts w:ascii="Palatino Linotype" w:eastAsia="Palatino Linotype" w:hAnsi="Palatino Linotype" w:cs="Palatino Linotype"/>
        <w:b/>
        <w:noProof/>
        <w:color w:val="000000"/>
        <w:sz w:val="22"/>
        <w:szCs w:val="22"/>
      </w:rPr>
      <w:t>13</w:t>
    </w:r>
    <w:r>
      <w:rPr>
        <w:rFonts w:ascii="Palatino Linotype" w:eastAsia="Palatino Linotype" w:hAnsi="Palatino Linotype" w:cs="Palatino Linotype"/>
        <w:b/>
        <w:color w:val="000000"/>
        <w:sz w:val="22"/>
        <w:szCs w:val="22"/>
      </w:rPr>
      <w:fldChar w:fldCharType="end"/>
    </w:r>
  </w:p>
  <w:p w14:paraId="0C01532C" w14:textId="77777777" w:rsidR="00CD7446" w:rsidRDefault="00CD744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CD7446" w:rsidRDefault="00CD74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CD7446" w:rsidRDefault="00CD744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3688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3688F">
      <w:rPr>
        <w:rFonts w:ascii="Palatino Linotype" w:eastAsia="Palatino Linotype" w:hAnsi="Palatino Linotype" w:cs="Palatino Linotype"/>
        <w:noProof/>
        <w:color w:val="000000"/>
        <w:sz w:val="22"/>
        <w:szCs w:val="22"/>
      </w:rPr>
      <w:t>13</w:t>
    </w:r>
    <w:r>
      <w:rPr>
        <w:rFonts w:ascii="Palatino Linotype" w:eastAsia="Palatino Linotype" w:hAnsi="Palatino Linotype" w:cs="Palatino Linotype"/>
        <w:color w:val="000000"/>
        <w:sz w:val="22"/>
        <w:szCs w:val="22"/>
      </w:rPr>
      <w:fldChar w:fldCharType="end"/>
    </w:r>
  </w:p>
  <w:p w14:paraId="4644BAAA" w14:textId="77777777" w:rsidR="00CD7446" w:rsidRDefault="00CD744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CD7446" w:rsidRDefault="00CD74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3B4C7" w14:textId="77777777" w:rsidR="00FB3624" w:rsidRDefault="00FB3624">
      <w:r>
        <w:separator/>
      </w:r>
    </w:p>
  </w:footnote>
  <w:footnote w:type="continuationSeparator" w:id="0">
    <w:p w14:paraId="0A1A1020" w14:textId="77777777" w:rsidR="00FB3624" w:rsidRDefault="00FB3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835"/>
      <w:gridCol w:w="3969"/>
    </w:tblGrid>
    <w:tr w:rsidR="00CD7446" w:rsidRPr="00333C5D" w14:paraId="1D7C34A9" w14:textId="77777777" w:rsidTr="00F3688F">
      <w:trPr>
        <w:trHeight w:val="138"/>
      </w:trPr>
      <w:tc>
        <w:tcPr>
          <w:tcW w:w="2835" w:type="dxa"/>
          <w:vAlign w:val="center"/>
        </w:tcPr>
        <w:p w14:paraId="22563E3E" w14:textId="0696994E" w:rsidR="00CD7446" w:rsidRPr="00333C5D" w:rsidRDefault="00CD7446" w:rsidP="00333C5D">
          <w:pPr>
            <w:jc w:val="right"/>
            <w:rPr>
              <w:rFonts w:ascii="Palatino Linotype" w:eastAsia="Palatino Linotype" w:hAnsi="Palatino Linotype" w:cs="Palatino Linotype"/>
              <w:b/>
              <w:sz w:val="24"/>
              <w:szCs w:val="24"/>
            </w:rPr>
          </w:pPr>
          <w:r w:rsidRPr="00333C5D">
            <w:rPr>
              <w:rFonts w:ascii="Palatino Linotype" w:eastAsia="Palatino Linotype" w:hAnsi="Palatino Linotype" w:cs="Palatino Linotype"/>
              <w:b/>
              <w:sz w:val="24"/>
              <w:szCs w:val="24"/>
            </w:rPr>
            <w:t>Recurso de Revisión:</w:t>
          </w:r>
        </w:p>
      </w:tc>
      <w:tc>
        <w:tcPr>
          <w:tcW w:w="3969" w:type="dxa"/>
          <w:vAlign w:val="center"/>
        </w:tcPr>
        <w:p w14:paraId="619EA065" w14:textId="4F9DD056" w:rsidR="00CD7446" w:rsidRPr="00333C5D" w:rsidRDefault="00CD744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333C5D">
            <w:rPr>
              <w:rFonts w:ascii="Palatino Linotype" w:eastAsia="Palatino Linotype" w:hAnsi="Palatino Linotype" w:cs="Palatino Linotype"/>
              <w:color w:val="000000"/>
              <w:sz w:val="24"/>
              <w:szCs w:val="24"/>
            </w:rPr>
            <w:t>01283/INFOEM/IP/RR/2025</w:t>
          </w:r>
        </w:p>
      </w:tc>
    </w:tr>
    <w:tr w:rsidR="00CD7446" w:rsidRPr="00333C5D" w14:paraId="69F8EB8C" w14:textId="77777777" w:rsidTr="00F3688F">
      <w:trPr>
        <w:trHeight w:val="321"/>
      </w:trPr>
      <w:tc>
        <w:tcPr>
          <w:tcW w:w="2835" w:type="dxa"/>
          <w:vAlign w:val="center"/>
        </w:tcPr>
        <w:p w14:paraId="40FCF56F" w14:textId="77777777" w:rsidR="00CD7446" w:rsidRPr="00333C5D" w:rsidRDefault="00CD7446" w:rsidP="00333C5D">
          <w:pPr>
            <w:jc w:val="right"/>
            <w:rPr>
              <w:rFonts w:ascii="Palatino Linotype" w:eastAsia="Palatino Linotype" w:hAnsi="Palatino Linotype" w:cs="Palatino Linotype"/>
              <w:b/>
              <w:sz w:val="24"/>
              <w:szCs w:val="24"/>
            </w:rPr>
          </w:pPr>
          <w:r w:rsidRPr="00333C5D">
            <w:rPr>
              <w:rFonts w:ascii="Palatino Linotype" w:eastAsia="Palatino Linotype" w:hAnsi="Palatino Linotype" w:cs="Palatino Linotype"/>
              <w:b/>
              <w:sz w:val="24"/>
              <w:szCs w:val="24"/>
            </w:rPr>
            <w:t>Sujeto Obligado:</w:t>
          </w:r>
        </w:p>
      </w:tc>
      <w:tc>
        <w:tcPr>
          <w:tcW w:w="3969" w:type="dxa"/>
          <w:vAlign w:val="center"/>
        </w:tcPr>
        <w:p w14:paraId="43608C73" w14:textId="7D2A6343" w:rsidR="00CD7446" w:rsidRPr="00333C5D" w:rsidRDefault="00CD7446" w:rsidP="009E50F9">
          <w:pPr>
            <w:rPr>
              <w:rFonts w:ascii="Palatino Linotype" w:eastAsia="Palatino Linotype" w:hAnsi="Palatino Linotype" w:cs="Palatino Linotype"/>
              <w:sz w:val="24"/>
              <w:szCs w:val="24"/>
            </w:rPr>
          </w:pPr>
          <w:r w:rsidRPr="00333C5D">
            <w:rPr>
              <w:rFonts w:ascii="Palatino Linotype" w:eastAsia="Palatino Linotype" w:hAnsi="Palatino Linotype" w:cs="Palatino Linotype"/>
              <w:sz w:val="24"/>
              <w:szCs w:val="24"/>
            </w:rPr>
            <w:t>Ayuntamiento de Toluca</w:t>
          </w:r>
        </w:p>
      </w:tc>
    </w:tr>
    <w:tr w:rsidR="00CD7446" w:rsidRPr="00333C5D" w14:paraId="66E20343" w14:textId="77777777" w:rsidTr="00F3688F">
      <w:trPr>
        <w:trHeight w:val="321"/>
      </w:trPr>
      <w:tc>
        <w:tcPr>
          <w:tcW w:w="2835" w:type="dxa"/>
          <w:vAlign w:val="center"/>
        </w:tcPr>
        <w:p w14:paraId="0D71368D" w14:textId="77777777" w:rsidR="00CD7446" w:rsidRPr="00333C5D" w:rsidRDefault="00CD7446" w:rsidP="00333C5D">
          <w:pPr>
            <w:jc w:val="right"/>
            <w:rPr>
              <w:rFonts w:ascii="Palatino Linotype" w:eastAsia="Palatino Linotype" w:hAnsi="Palatino Linotype" w:cs="Palatino Linotype"/>
              <w:b/>
              <w:sz w:val="24"/>
              <w:szCs w:val="24"/>
            </w:rPr>
          </w:pPr>
          <w:r w:rsidRPr="00333C5D">
            <w:rPr>
              <w:rFonts w:ascii="Palatino Linotype" w:eastAsia="Palatino Linotype" w:hAnsi="Palatino Linotype" w:cs="Palatino Linotype"/>
              <w:b/>
              <w:sz w:val="24"/>
              <w:szCs w:val="24"/>
            </w:rPr>
            <w:t>Comisionada Ponente:</w:t>
          </w:r>
        </w:p>
      </w:tc>
      <w:tc>
        <w:tcPr>
          <w:tcW w:w="3969" w:type="dxa"/>
          <w:vAlign w:val="center"/>
        </w:tcPr>
        <w:p w14:paraId="4B4666C9" w14:textId="77777777" w:rsidR="00CD7446" w:rsidRPr="00333C5D" w:rsidRDefault="00CD744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333C5D">
            <w:rPr>
              <w:rFonts w:ascii="Palatino Linotype" w:eastAsia="Palatino Linotype" w:hAnsi="Palatino Linotype" w:cs="Palatino Linotype"/>
              <w:color w:val="000000"/>
              <w:sz w:val="24"/>
              <w:szCs w:val="24"/>
            </w:rPr>
            <w:t>María del Rosario Mejía Ayala</w:t>
          </w:r>
        </w:p>
      </w:tc>
    </w:tr>
  </w:tbl>
  <w:p w14:paraId="07A3FDCE" w14:textId="5A83EC26" w:rsidR="00CD7446" w:rsidRDefault="00F3688F">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751D15C" wp14:editId="6071852D">
          <wp:simplePos x="0" y="0"/>
          <wp:positionH relativeFrom="margin">
            <wp:align>center</wp:align>
          </wp:positionH>
          <wp:positionV relativeFrom="paragraph">
            <wp:posOffset>-1062834</wp:posOffset>
          </wp:positionV>
          <wp:extent cx="7809876" cy="10165823"/>
          <wp:effectExtent l="0" t="0" r="635" b="6985"/>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394C80DB" w14:textId="77777777" w:rsidR="00CD7446" w:rsidRDefault="00CD74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743" w:type="dxa"/>
      <w:tblInd w:w="33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693"/>
      <w:gridCol w:w="4050"/>
    </w:tblGrid>
    <w:tr w:rsidR="00333C5D" w:rsidRPr="00333C5D" w14:paraId="3266891B" w14:textId="77777777" w:rsidTr="00F3688F">
      <w:trPr>
        <w:trHeight w:val="138"/>
      </w:trPr>
      <w:tc>
        <w:tcPr>
          <w:tcW w:w="2693" w:type="dxa"/>
          <w:vAlign w:val="center"/>
        </w:tcPr>
        <w:p w14:paraId="51CBF747" w14:textId="74F6492B" w:rsidR="00333C5D" w:rsidRPr="00333C5D" w:rsidRDefault="00333C5D" w:rsidP="00F3688F">
          <w:pPr>
            <w:jc w:val="center"/>
            <w:rPr>
              <w:rFonts w:ascii="Palatino Linotype" w:eastAsia="Palatino Linotype" w:hAnsi="Palatino Linotype" w:cs="Palatino Linotype"/>
              <w:b/>
              <w:sz w:val="24"/>
              <w:szCs w:val="24"/>
            </w:rPr>
          </w:pPr>
          <w:r w:rsidRPr="00333C5D">
            <w:rPr>
              <w:rFonts w:ascii="Palatino Linotype" w:eastAsia="Palatino Linotype" w:hAnsi="Palatino Linotype" w:cs="Palatino Linotype"/>
              <w:b/>
              <w:sz w:val="24"/>
              <w:szCs w:val="24"/>
            </w:rPr>
            <w:t>Recurso de Revisión:</w:t>
          </w:r>
        </w:p>
      </w:tc>
      <w:tc>
        <w:tcPr>
          <w:tcW w:w="4050" w:type="dxa"/>
          <w:vAlign w:val="center"/>
        </w:tcPr>
        <w:p w14:paraId="07A725EC" w14:textId="58B7B1C3" w:rsidR="00333C5D" w:rsidRPr="00333C5D" w:rsidRDefault="00333C5D" w:rsidP="00333C5D">
          <w:pPr>
            <w:pBdr>
              <w:top w:val="nil"/>
              <w:left w:val="nil"/>
              <w:bottom w:val="nil"/>
              <w:right w:val="nil"/>
              <w:between w:val="nil"/>
            </w:pBdr>
            <w:tabs>
              <w:tab w:val="center" w:pos="4252"/>
              <w:tab w:val="right" w:pos="8504"/>
            </w:tabs>
            <w:ind w:right="-73"/>
            <w:jc w:val="both"/>
            <w:rPr>
              <w:rFonts w:ascii="Palatino Linotype" w:eastAsia="Palatino Linotype" w:hAnsi="Palatino Linotype" w:cs="Palatino Linotype"/>
              <w:color w:val="000000"/>
              <w:sz w:val="24"/>
              <w:szCs w:val="24"/>
            </w:rPr>
          </w:pPr>
          <w:r w:rsidRPr="00333C5D">
            <w:rPr>
              <w:rFonts w:ascii="Palatino Linotype" w:eastAsia="Palatino Linotype" w:hAnsi="Palatino Linotype" w:cs="Palatino Linotype"/>
              <w:color w:val="000000"/>
              <w:sz w:val="24"/>
              <w:szCs w:val="24"/>
            </w:rPr>
            <w:t>01283/INFOEM/IP/RR/2025</w:t>
          </w:r>
        </w:p>
      </w:tc>
    </w:tr>
    <w:tr w:rsidR="00333C5D" w:rsidRPr="00333C5D" w14:paraId="57F5BCBB" w14:textId="77777777" w:rsidTr="00F3688F">
      <w:trPr>
        <w:trHeight w:val="227"/>
      </w:trPr>
      <w:tc>
        <w:tcPr>
          <w:tcW w:w="2693" w:type="dxa"/>
          <w:vAlign w:val="center"/>
        </w:tcPr>
        <w:p w14:paraId="22A69765" w14:textId="77777777" w:rsidR="00333C5D" w:rsidRPr="00333C5D" w:rsidRDefault="00333C5D" w:rsidP="00333C5D">
          <w:pPr>
            <w:jc w:val="right"/>
            <w:rPr>
              <w:rFonts w:ascii="Palatino Linotype" w:eastAsia="Palatino Linotype" w:hAnsi="Palatino Linotype" w:cs="Palatino Linotype"/>
              <w:b/>
              <w:sz w:val="24"/>
              <w:szCs w:val="24"/>
            </w:rPr>
          </w:pPr>
          <w:r w:rsidRPr="00333C5D">
            <w:rPr>
              <w:rFonts w:ascii="Palatino Linotype" w:eastAsia="Palatino Linotype" w:hAnsi="Palatino Linotype" w:cs="Palatino Linotype"/>
              <w:b/>
              <w:sz w:val="24"/>
              <w:szCs w:val="24"/>
            </w:rPr>
            <w:t>Recurrente:</w:t>
          </w:r>
        </w:p>
      </w:tc>
      <w:tc>
        <w:tcPr>
          <w:tcW w:w="4050" w:type="dxa"/>
          <w:vAlign w:val="center"/>
        </w:tcPr>
        <w:p w14:paraId="71D6C94E" w14:textId="1902FD2F" w:rsidR="00333C5D" w:rsidRPr="00333C5D" w:rsidRDefault="00333C5D" w:rsidP="00333C5D">
          <w:pPr>
            <w:pBdr>
              <w:top w:val="nil"/>
              <w:left w:val="nil"/>
              <w:bottom w:val="nil"/>
              <w:right w:val="nil"/>
              <w:between w:val="nil"/>
            </w:pBdr>
            <w:tabs>
              <w:tab w:val="center" w:pos="4252"/>
              <w:tab w:val="right" w:pos="8504"/>
            </w:tabs>
            <w:ind w:right="-73"/>
            <w:jc w:val="both"/>
            <w:rPr>
              <w:rFonts w:ascii="Palatino Linotype" w:eastAsia="Palatino Linotype" w:hAnsi="Palatino Linotype" w:cs="Palatino Linotype"/>
              <w:color w:val="000000"/>
              <w:sz w:val="24"/>
              <w:szCs w:val="24"/>
            </w:rPr>
          </w:pPr>
        </w:p>
      </w:tc>
    </w:tr>
    <w:tr w:rsidR="00333C5D" w:rsidRPr="00333C5D" w14:paraId="31D51DFD" w14:textId="77777777" w:rsidTr="00F3688F">
      <w:trPr>
        <w:trHeight w:val="232"/>
      </w:trPr>
      <w:tc>
        <w:tcPr>
          <w:tcW w:w="2693" w:type="dxa"/>
          <w:vAlign w:val="center"/>
        </w:tcPr>
        <w:p w14:paraId="09563478" w14:textId="77777777" w:rsidR="00333C5D" w:rsidRPr="00333C5D" w:rsidRDefault="00333C5D" w:rsidP="00333C5D">
          <w:pPr>
            <w:jc w:val="right"/>
            <w:rPr>
              <w:rFonts w:ascii="Palatino Linotype" w:eastAsia="Palatino Linotype" w:hAnsi="Palatino Linotype" w:cs="Palatino Linotype"/>
              <w:b/>
              <w:sz w:val="24"/>
              <w:szCs w:val="24"/>
            </w:rPr>
          </w:pPr>
          <w:r w:rsidRPr="00333C5D">
            <w:rPr>
              <w:rFonts w:ascii="Palatino Linotype" w:eastAsia="Palatino Linotype" w:hAnsi="Palatino Linotype" w:cs="Palatino Linotype"/>
              <w:b/>
              <w:sz w:val="24"/>
              <w:szCs w:val="24"/>
            </w:rPr>
            <w:t>Sujeto Obligado:</w:t>
          </w:r>
        </w:p>
      </w:tc>
      <w:tc>
        <w:tcPr>
          <w:tcW w:w="4050" w:type="dxa"/>
          <w:vAlign w:val="center"/>
        </w:tcPr>
        <w:p w14:paraId="477014A7" w14:textId="309EA72F" w:rsidR="00333C5D" w:rsidRPr="00333C5D" w:rsidRDefault="00333C5D" w:rsidP="00333C5D">
          <w:pPr>
            <w:ind w:right="-73"/>
            <w:jc w:val="both"/>
            <w:rPr>
              <w:sz w:val="24"/>
              <w:szCs w:val="24"/>
            </w:rPr>
          </w:pPr>
          <w:r w:rsidRPr="00333C5D">
            <w:rPr>
              <w:rFonts w:ascii="Palatino Linotype" w:eastAsia="Palatino Linotype" w:hAnsi="Palatino Linotype" w:cs="Palatino Linotype"/>
              <w:sz w:val="24"/>
              <w:szCs w:val="24"/>
            </w:rPr>
            <w:t>Ayuntamiento de Toluca</w:t>
          </w:r>
        </w:p>
      </w:tc>
    </w:tr>
    <w:tr w:rsidR="00333C5D" w:rsidRPr="00333C5D" w14:paraId="519E39BA" w14:textId="77777777" w:rsidTr="00F3688F">
      <w:trPr>
        <w:trHeight w:val="320"/>
      </w:trPr>
      <w:tc>
        <w:tcPr>
          <w:tcW w:w="2693" w:type="dxa"/>
          <w:vAlign w:val="center"/>
        </w:tcPr>
        <w:p w14:paraId="57EC4C26" w14:textId="77777777" w:rsidR="00333C5D" w:rsidRPr="00333C5D" w:rsidRDefault="00333C5D" w:rsidP="00333C5D">
          <w:pPr>
            <w:jc w:val="right"/>
            <w:rPr>
              <w:rFonts w:ascii="Palatino Linotype" w:eastAsia="Palatino Linotype" w:hAnsi="Palatino Linotype" w:cs="Palatino Linotype"/>
              <w:b/>
              <w:sz w:val="24"/>
              <w:szCs w:val="24"/>
            </w:rPr>
          </w:pPr>
          <w:r w:rsidRPr="00333C5D">
            <w:rPr>
              <w:rFonts w:ascii="Palatino Linotype" w:eastAsia="Palatino Linotype" w:hAnsi="Palatino Linotype" w:cs="Palatino Linotype"/>
              <w:b/>
              <w:sz w:val="24"/>
              <w:szCs w:val="24"/>
            </w:rPr>
            <w:t>Comisionada Ponente:</w:t>
          </w:r>
        </w:p>
      </w:tc>
      <w:tc>
        <w:tcPr>
          <w:tcW w:w="4050" w:type="dxa"/>
          <w:vAlign w:val="center"/>
        </w:tcPr>
        <w:p w14:paraId="6413407F" w14:textId="77777777" w:rsidR="00333C5D" w:rsidRPr="00333C5D" w:rsidRDefault="00333C5D" w:rsidP="00333C5D">
          <w:pPr>
            <w:pBdr>
              <w:top w:val="nil"/>
              <w:left w:val="nil"/>
              <w:bottom w:val="nil"/>
              <w:right w:val="nil"/>
              <w:between w:val="nil"/>
            </w:pBdr>
            <w:tabs>
              <w:tab w:val="center" w:pos="4252"/>
              <w:tab w:val="right" w:pos="8504"/>
            </w:tabs>
            <w:ind w:right="-73"/>
            <w:jc w:val="both"/>
            <w:rPr>
              <w:rFonts w:ascii="Palatino Linotype" w:eastAsia="Palatino Linotype" w:hAnsi="Palatino Linotype" w:cs="Palatino Linotype"/>
              <w:color w:val="000000"/>
              <w:sz w:val="24"/>
              <w:szCs w:val="24"/>
            </w:rPr>
          </w:pPr>
          <w:r w:rsidRPr="00333C5D">
            <w:rPr>
              <w:rFonts w:ascii="Palatino Linotype" w:eastAsia="Palatino Linotype" w:hAnsi="Palatino Linotype" w:cs="Palatino Linotype"/>
              <w:color w:val="000000"/>
              <w:sz w:val="24"/>
              <w:szCs w:val="24"/>
            </w:rPr>
            <w:t>María del Rosario Mejía Ayala</w:t>
          </w:r>
        </w:p>
      </w:tc>
    </w:tr>
  </w:tbl>
  <w:p w14:paraId="72C9EB80" w14:textId="6595B4C0" w:rsidR="00CD7446" w:rsidRDefault="00F3688F" w:rsidP="00F3688F">
    <w:pPr>
      <w:pBdr>
        <w:top w:val="nil"/>
        <w:left w:val="nil"/>
        <w:bottom w:val="nil"/>
        <w:right w:val="nil"/>
        <w:between w:val="nil"/>
      </w:pBdr>
      <w:tabs>
        <w:tab w:val="center" w:pos="4252"/>
        <w:tab w:val="right" w:pos="8504"/>
      </w:tabs>
    </w:pPr>
    <w:r>
      <w:rPr>
        <w:noProof/>
        <w:lang w:val="es-MX"/>
      </w:rPr>
      <w:drawing>
        <wp:anchor distT="0" distB="0" distL="0" distR="0" simplePos="0" relativeHeight="251659264" behindDoc="1" locked="0" layoutInCell="1" hidden="0" allowOverlap="1" wp14:anchorId="2AFC48FB" wp14:editId="7199C4FB">
          <wp:simplePos x="0" y="0"/>
          <wp:positionH relativeFrom="page">
            <wp:align>center</wp:align>
          </wp:positionH>
          <wp:positionV relativeFrom="paragraph">
            <wp:posOffset>-1352406</wp:posOffset>
          </wp:positionV>
          <wp:extent cx="7809876" cy="10165823"/>
          <wp:effectExtent l="0" t="0" r="635" b="6985"/>
          <wp:wrapNone/>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A8640C"/>
    <w:multiLevelType w:val="hybridMultilevel"/>
    <w:tmpl w:val="A240F898"/>
    <w:lvl w:ilvl="0" w:tplc="1EBC8CD0">
      <w:start w:val="1"/>
      <w:numFmt w:val="upperRoman"/>
      <w:lvlText w:val="%1."/>
      <w:lvlJc w:val="left"/>
      <w:pPr>
        <w:ind w:left="1080" w:hanging="720"/>
      </w:pPr>
      <w:rPr>
        <w:rFonts w:eastAsiaTheme="majorEastAsia" w:cstheme="majorBid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095F7B"/>
    <w:multiLevelType w:val="hybridMultilevel"/>
    <w:tmpl w:val="2E6A1B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5"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11F5D"/>
    <w:multiLevelType w:val="hybridMultilevel"/>
    <w:tmpl w:val="B7385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4"/>
  </w:num>
  <w:num w:numId="2">
    <w:abstractNumId w:val="19"/>
  </w:num>
  <w:num w:numId="3">
    <w:abstractNumId w:val="12"/>
  </w:num>
  <w:num w:numId="4">
    <w:abstractNumId w:val="13"/>
  </w:num>
  <w:num w:numId="5">
    <w:abstractNumId w:val="21"/>
  </w:num>
  <w:num w:numId="6">
    <w:abstractNumId w:val="18"/>
  </w:num>
  <w:num w:numId="7">
    <w:abstractNumId w:val="22"/>
  </w:num>
  <w:num w:numId="8">
    <w:abstractNumId w:val="5"/>
  </w:num>
  <w:num w:numId="9">
    <w:abstractNumId w:val="16"/>
  </w:num>
  <w:num w:numId="10">
    <w:abstractNumId w:val="15"/>
  </w:num>
  <w:num w:numId="11">
    <w:abstractNumId w:val="9"/>
  </w:num>
  <w:num w:numId="12">
    <w:abstractNumId w:val="0"/>
  </w:num>
  <w:num w:numId="13">
    <w:abstractNumId w:val="4"/>
  </w:num>
  <w:num w:numId="14">
    <w:abstractNumId w:val="10"/>
  </w:num>
  <w:num w:numId="15">
    <w:abstractNumId w:val="6"/>
  </w:num>
  <w:num w:numId="16">
    <w:abstractNumId w:val="11"/>
  </w:num>
  <w:num w:numId="17">
    <w:abstractNumId w:val="1"/>
  </w:num>
  <w:num w:numId="18">
    <w:abstractNumId w:val="3"/>
  </w:num>
  <w:num w:numId="19">
    <w:abstractNumId w:val="20"/>
  </w:num>
  <w:num w:numId="20">
    <w:abstractNumId w:val="2"/>
  </w:num>
  <w:num w:numId="21">
    <w:abstractNumId w:val="7"/>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328FD"/>
    <w:rsid w:val="000B0C5B"/>
    <w:rsid w:val="000C2433"/>
    <w:rsid w:val="000D62F1"/>
    <w:rsid w:val="000F378A"/>
    <w:rsid w:val="0016701B"/>
    <w:rsid w:val="001D3081"/>
    <w:rsid w:val="001F226A"/>
    <w:rsid w:val="00206314"/>
    <w:rsid w:val="00252505"/>
    <w:rsid w:val="002622BF"/>
    <w:rsid w:val="00292F08"/>
    <w:rsid w:val="00294244"/>
    <w:rsid w:val="002D49BE"/>
    <w:rsid w:val="002E70EF"/>
    <w:rsid w:val="00333C5D"/>
    <w:rsid w:val="003A5F60"/>
    <w:rsid w:val="003C5812"/>
    <w:rsid w:val="003D7B85"/>
    <w:rsid w:val="00402AAA"/>
    <w:rsid w:val="0042554C"/>
    <w:rsid w:val="00436E6A"/>
    <w:rsid w:val="00473A26"/>
    <w:rsid w:val="00475E8A"/>
    <w:rsid w:val="00485C31"/>
    <w:rsid w:val="004A4E73"/>
    <w:rsid w:val="004C255F"/>
    <w:rsid w:val="0054028B"/>
    <w:rsid w:val="00597F01"/>
    <w:rsid w:val="005B0D5E"/>
    <w:rsid w:val="005B69B7"/>
    <w:rsid w:val="005F4162"/>
    <w:rsid w:val="00666228"/>
    <w:rsid w:val="00676985"/>
    <w:rsid w:val="006B0D06"/>
    <w:rsid w:val="00720A2E"/>
    <w:rsid w:val="00793C1D"/>
    <w:rsid w:val="007C6197"/>
    <w:rsid w:val="00811FF8"/>
    <w:rsid w:val="00852CFD"/>
    <w:rsid w:val="008A5208"/>
    <w:rsid w:val="008B6D76"/>
    <w:rsid w:val="009621D1"/>
    <w:rsid w:val="009E50F9"/>
    <w:rsid w:val="00A25373"/>
    <w:rsid w:val="00A56D5B"/>
    <w:rsid w:val="00A76971"/>
    <w:rsid w:val="00A91FF0"/>
    <w:rsid w:val="00B05B5E"/>
    <w:rsid w:val="00B14589"/>
    <w:rsid w:val="00BA252B"/>
    <w:rsid w:val="00BE66A6"/>
    <w:rsid w:val="00CB260F"/>
    <w:rsid w:val="00CC1D37"/>
    <w:rsid w:val="00CD7446"/>
    <w:rsid w:val="00D062B1"/>
    <w:rsid w:val="00D11CE4"/>
    <w:rsid w:val="00D12B6C"/>
    <w:rsid w:val="00D4101D"/>
    <w:rsid w:val="00D632F4"/>
    <w:rsid w:val="00D97891"/>
    <w:rsid w:val="00DC126E"/>
    <w:rsid w:val="00E14613"/>
    <w:rsid w:val="00E54BB2"/>
    <w:rsid w:val="00EB0F49"/>
    <w:rsid w:val="00EE2306"/>
    <w:rsid w:val="00EE350F"/>
    <w:rsid w:val="00EF4CC8"/>
    <w:rsid w:val="00F26E16"/>
    <w:rsid w:val="00F3688F"/>
    <w:rsid w:val="00F715C2"/>
    <w:rsid w:val="00F870E1"/>
    <w:rsid w:val="00FA0203"/>
    <w:rsid w:val="00FB3624"/>
    <w:rsid w:val="00FD00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5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39699.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2349694.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49693.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2349692.page" TargetMode="External"/><Relationship Id="rId4" Type="http://schemas.openxmlformats.org/officeDocument/2006/relationships/settings" Target="settings.xml"/><Relationship Id="rId9" Type="http://schemas.openxmlformats.org/officeDocument/2006/relationships/hyperlink" Target="https://saimex.org.mx/saimex/solicitud/downloadAttach/2349533.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3069</Words>
  <Characters>16884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9</cp:revision>
  <cp:lastPrinted>2025-06-13T16:04:00Z</cp:lastPrinted>
  <dcterms:created xsi:type="dcterms:W3CDTF">2025-05-29T17:51:00Z</dcterms:created>
  <dcterms:modified xsi:type="dcterms:W3CDTF">2025-06-17T23:54:00Z</dcterms:modified>
</cp:coreProperties>
</file>