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10FBB5" w14:textId="71F7C549" w:rsidR="00562A90" w:rsidRPr="0057241C" w:rsidRDefault="0062255D">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End w:id="0"/>
      <w:r w:rsidRPr="0057241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w:t>
      </w:r>
      <w:r w:rsidR="00447DB1" w:rsidRPr="0057241C">
        <w:rPr>
          <w:rFonts w:ascii="Palatino Linotype" w:eastAsia="Palatino Linotype" w:hAnsi="Palatino Linotype" w:cs="Palatino Linotype"/>
          <w:sz w:val="22"/>
          <w:szCs w:val="22"/>
        </w:rPr>
        <w:t xml:space="preserve">en Metepec, Estado de México, a </w:t>
      </w:r>
      <w:r w:rsidR="001D0F50" w:rsidRPr="0057241C">
        <w:rPr>
          <w:rFonts w:ascii="Palatino Linotype" w:eastAsia="Palatino Linotype" w:hAnsi="Palatino Linotype" w:cs="Palatino Linotype"/>
          <w:sz w:val="22"/>
          <w:szCs w:val="22"/>
        </w:rPr>
        <w:t xml:space="preserve">diez </w:t>
      </w:r>
      <w:r w:rsidR="0075193B" w:rsidRPr="0057241C">
        <w:rPr>
          <w:rFonts w:ascii="Palatino Linotype" w:eastAsia="Palatino Linotype" w:hAnsi="Palatino Linotype" w:cs="Palatino Linotype"/>
          <w:sz w:val="22"/>
          <w:szCs w:val="22"/>
        </w:rPr>
        <w:t xml:space="preserve">de </w:t>
      </w:r>
      <w:r w:rsidR="005F7A69" w:rsidRPr="0057241C">
        <w:rPr>
          <w:rFonts w:ascii="Palatino Linotype" w:eastAsia="Palatino Linotype" w:hAnsi="Palatino Linotype" w:cs="Palatino Linotype"/>
          <w:sz w:val="22"/>
          <w:szCs w:val="22"/>
        </w:rPr>
        <w:t xml:space="preserve">diciembre </w:t>
      </w:r>
      <w:r w:rsidRPr="0057241C">
        <w:rPr>
          <w:rFonts w:ascii="Palatino Linotype" w:eastAsia="Palatino Linotype" w:hAnsi="Palatino Linotype" w:cs="Palatino Linotype"/>
          <w:sz w:val="22"/>
          <w:szCs w:val="22"/>
        </w:rPr>
        <w:t xml:space="preserve">de dos mil veinticinco. </w:t>
      </w:r>
    </w:p>
    <w:p w14:paraId="4795114A" w14:textId="65E7D0D2" w:rsidR="00562A90" w:rsidRPr="0057241C" w:rsidRDefault="0062255D">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57241C">
        <w:rPr>
          <w:rFonts w:ascii="Palatino Linotype" w:eastAsia="Palatino Linotype" w:hAnsi="Palatino Linotype" w:cs="Palatino Linotype"/>
          <w:b/>
          <w:sz w:val="22"/>
          <w:szCs w:val="22"/>
        </w:rPr>
        <w:t>VISTO</w:t>
      </w:r>
      <w:r w:rsidRPr="0057241C">
        <w:rPr>
          <w:rFonts w:ascii="Palatino Linotype" w:eastAsia="Palatino Linotype" w:hAnsi="Palatino Linotype" w:cs="Palatino Linotype"/>
          <w:sz w:val="22"/>
          <w:szCs w:val="22"/>
        </w:rPr>
        <w:t xml:space="preserve"> el expediente formado con motivo del recurso de revisión </w:t>
      </w:r>
      <w:r w:rsidR="00464621" w:rsidRPr="0057241C">
        <w:rPr>
          <w:rFonts w:ascii="Palatino Linotype" w:eastAsia="Palatino Linotype" w:hAnsi="Palatino Linotype" w:cs="Palatino Linotype"/>
          <w:b/>
          <w:sz w:val="22"/>
          <w:szCs w:val="22"/>
        </w:rPr>
        <w:t>10</w:t>
      </w:r>
      <w:r w:rsidR="001D0F50" w:rsidRPr="0057241C">
        <w:rPr>
          <w:rFonts w:ascii="Palatino Linotype" w:eastAsia="Palatino Linotype" w:hAnsi="Palatino Linotype" w:cs="Palatino Linotype"/>
          <w:b/>
          <w:sz w:val="22"/>
          <w:szCs w:val="22"/>
        </w:rPr>
        <w:t>829</w:t>
      </w:r>
      <w:r w:rsidR="00337D82" w:rsidRPr="0057241C">
        <w:rPr>
          <w:rFonts w:ascii="Palatino Linotype" w:eastAsia="Palatino Linotype" w:hAnsi="Palatino Linotype" w:cs="Palatino Linotype"/>
          <w:b/>
          <w:sz w:val="22"/>
          <w:szCs w:val="22"/>
        </w:rPr>
        <w:t>/INFOEM/IP/RR/2025</w:t>
      </w:r>
      <w:r w:rsidRPr="0057241C">
        <w:rPr>
          <w:rFonts w:ascii="Palatino Linotype" w:eastAsia="Palatino Linotype" w:hAnsi="Palatino Linotype" w:cs="Palatino Linotype"/>
          <w:sz w:val="22"/>
          <w:szCs w:val="22"/>
        </w:rPr>
        <w:t>, interpuesto por</w:t>
      </w:r>
      <w:r w:rsidRPr="0057241C">
        <w:rPr>
          <w:rFonts w:ascii="Palatino Linotype" w:eastAsia="Palatino Linotype" w:hAnsi="Palatino Linotype" w:cs="Palatino Linotype"/>
          <w:b/>
          <w:sz w:val="22"/>
          <w:szCs w:val="22"/>
        </w:rPr>
        <w:t xml:space="preserve"> </w:t>
      </w:r>
      <w:r w:rsidR="00D51D67" w:rsidRPr="00D51D67">
        <w:rPr>
          <w:rFonts w:ascii="Palatino Linotype" w:eastAsia="Palatino Linotype" w:hAnsi="Palatino Linotype" w:cs="Palatino Linotype"/>
          <w:b/>
          <w:sz w:val="22"/>
          <w:szCs w:val="22"/>
        </w:rPr>
        <w:t>XXXXXXXX XXXXXXX XXXXXXXX</w:t>
      </w:r>
      <w:r w:rsidRPr="00D51D67">
        <w:rPr>
          <w:rFonts w:ascii="Palatino Linotype" w:eastAsia="Palatino Linotype" w:hAnsi="Palatino Linotype" w:cs="Palatino Linotype"/>
          <w:b/>
          <w:sz w:val="22"/>
          <w:szCs w:val="22"/>
        </w:rPr>
        <w:t>,</w:t>
      </w:r>
      <w:r w:rsidRPr="0057241C">
        <w:rPr>
          <w:rFonts w:ascii="Palatino Linotype" w:eastAsia="Palatino Linotype" w:hAnsi="Palatino Linotype" w:cs="Palatino Linotype"/>
          <w:sz w:val="22"/>
          <w:szCs w:val="22"/>
        </w:rPr>
        <w:t xml:space="preserve"> en lo sucesivo</w:t>
      </w:r>
      <w:r w:rsidRPr="0057241C">
        <w:rPr>
          <w:rFonts w:ascii="Palatino Linotype" w:eastAsia="Palatino Linotype" w:hAnsi="Palatino Linotype" w:cs="Palatino Linotype"/>
          <w:b/>
          <w:sz w:val="22"/>
          <w:szCs w:val="22"/>
        </w:rPr>
        <w:t xml:space="preserve"> </w:t>
      </w:r>
      <w:r w:rsidRPr="0057241C">
        <w:rPr>
          <w:rFonts w:ascii="Palatino Linotype" w:eastAsia="Palatino Linotype" w:hAnsi="Palatino Linotype" w:cs="Palatino Linotype"/>
          <w:sz w:val="22"/>
          <w:szCs w:val="22"/>
        </w:rPr>
        <w:t xml:space="preserve">la parte </w:t>
      </w:r>
      <w:r w:rsidRPr="0057241C">
        <w:rPr>
          <w:rFonts w:ascii="Palatino Linotype" w:eastAsia="Palatino Linotype" w:hAnsi="Palatino Linotype" w:cs="Palatino Linotype"/>
          <w:b/>
          <w:sz w:val="22"/>
          <w:szCs w:val="22"/>
        </w:rPr>
        <w:t>Recurrente,</w:t>
      </w:r>
      <w:r w:rsidRPr="0057241C">
        <w:rPr>
          <w:rFonts w:ascii="Palatino Linotype" w:eastAsia="Palatino Linotype" w:hAnsi="Palatino Linotype" w:cs="Palatino Linotype"/>
          <w:sz w:val="22"/>
          <w:szCs w:val="22"/>
        </w:rPr>
        <w:t xml:space="preserve"> en contra de la respuesta a la solicitud de información con número de folio</w:t>
      </w:r>
      <w:r w:rsidRPr="0057241C">
        <w:rPr>
          <w:rFonts w:ascii="Palatino Linotype" w:eastAsia="Palatino Linotype" w:hAnsi="Palatino Linotype" w:cs="Palatino Linotype"/>
          <w:b/>
          <w:sz w:val="22"/>
          <w:szCs w:val="22"/>
        </w:rPr>
        <w:t xml:space="preserve"> </w:t>
      </w:r>
      <w:r w:rsidR="001D0F50" w:rsidRPr="0057241C">
        <w:rPr>
          <w:rFonts w:ascii="Palatino Linotype" w:eastAsia="Palatino Linotype" w:hAnsi="Palatino Linotype" w:cs="Palatino Linotype"/>
          <w:b/>
          <w:sz w:val="22"/>
          <w:szCs w:val="22"/>
        </w:rPr>
        <w:t>00196/TEXCOCO/IP/2025</w:t>
      </w:r>
      <w:r w:rsidRPr="0057241C">
        <w:rPr>
          <w:rFonts w:ascii="Palatino Linotype" w:eastAsia="Palatino Linotype" w:hAnsi="Palatino Linotype" w:cs="Palatino Linotype"/>
          <w:b/>
          <w:sz w:val="22"/>
          <w:szCs w:val="22"/>
        </w:rPr>
        <w:t xml:space="preserve">, </w:t>
      </w:r>
      <w:r w:rsidRPr="0057241C">
        <w:rPr>
          <w:rFonts w:ascii="Palatino Linotype" w:eastAsia="Palatino Linotype" w:hAnsi="Palatino Linotype" w:cs="Palatino Linotype"/>
          <w:sz w:val="22"/>
          <w:szCs w:val="22"/>
        </w:rPr>
        <w:t>por parte de</w:t>
      </w:r>
      <w:r w:rsidR="005F7A69" w:rsidRPr="0057241C">
        <w:rPr>
          <w:rFonts w:ascii="Palatino Linotype" w:eastAsia="Palatino Linotype" w:hAnsi="Palatino Linotype" w:cs="Palatino Linotype"/>
          <w:sz w:val="22"/>
          <w:szCs w:val="22"/>
        </w:rPr>
        <w:t xml:space="preserve"> </w:t>
      </w:r>
      <w:r w:rsidRPr="0057241C">
        <w:rPr>
          <w:rFonts w:ascii="Palatino Linotype" w:eastAsia="Palatino Linotype" w:hAnsi="Palatino Linotype" w:cs="Palatino Linotype"/>
          <w:sz w:val="22"/>
          <w:szCs w:val="22"/>
        </w:rPr>
        <w:t>l</w:t>
      </w:r>
      <w:r w:rsidR="005F7A69" w:rsidRPr="0057241C">
        <w:rPr>
          <w:rFonts w:ascii="Palatino Linotype" w:eastAsia="Palatino Linotype" w:hAnsi="Palatino Linotype" w:cs="Palatino Linotype"/>
          <w:sz w:val="22"/>
          <w:szCs w:val="22"/>
        </w:rPr>
        <w:t>a</w:t>
      </w:r>
      <w:r w:rsidRPr="0057241C">
        <w:rPr>
          <w:rFonts w:ascii="Palatino Linotype" w:eastAsia="Palatino Linotype" w:hAnsi="Palatino Linotype" w:cs="Palatino Linotype"/>
          <w:sz w:val="22"/>
          <w:szCs w:val="22"/>
        </w:rPr>
        <w:t xml:space="preserve"> </w:t>
      </w:r>
      <w:r w:rsidR="001D0F50" w:rsidRPr="0057241C">
        <w:rPr>
          <w:rFonts w:ascii="Palatino Linotype" w:eastAsia="Palatino Linotype" w:hAnsi="Palatino Linotype" w:cs="Palatino Linotype"/>
          <w:b/>
          <w:sz w:val="22"/>
          <w:szCs w:val="22"/>
        </w:rPr>
        <w:t>Ayuntamiento de Texcoco</w:t>
      </w:r>
      <w:r w:rsidR="00EF0D72" w:rsidRPr="0057241C">
        <w:rPr>
          <w:rFonts w:ascii="Palatino Linotype" w:eastAsia="Palatino Linotype" w:hAnsi="Palatino Linotype" w:cs="Palatino Linotype"/>
          <w:b/>
          <w:sz w:val="22"/>
          <w:szCs w:val="22"/>
        </w:rPr>
        <w:t>,</w:t>
      </w:r>
      <w:r w:rsidRPr="0057241C">
        <w:rPr>
          <w:rFonts w:ascii="Palatino Linotype" w:eastAsia="Palatino Linotype" w:hAnsi="Palatino Linotype" w:cs="Palatino Linotype"/>
          <w:b/>
          <w:sz w:val="22"/>
          <w:szCs w:val="22"/>
        </w:rPr>
        <w:t xml:space="preserve"> </w:t>
      </w:r>
      <w:r w:rsidRPr="0057241C">
        <w:rPr>
          <w:rFonts w:ascii="Palatino Linotype" w:eastAsia="Palatino Linotype" w:hAnsi="Palatino Linotype" w:cs="Palatino Linotype"/>
          <w:sz w:val="22"/>
          <w:szCs w:val="22"/>
        </w:rPr>
        <w:t xml:space="preserve">en lo sucesivo el </w:t>
      </w:r>
      <w:r w:rsidRPr="0057241C">
        <w:rPr>
          <w:rFonts w:ascii="Palatino Linotype" w:eastAsia="Palatino Linotype" w:hAnsi="Palatino Linotype" w:cs="Palatino Linotype"/>
          <w:b/>
          <w:sz w:val="22"/>
          <w:szCs w:val="22"/>
        </w:rPr>
        <w:t xml:space="preserve">Sujeto Obligado, </w:t>
      </w:r>
      <w:r w:rsidRPr="0057241C">
        <w:rPr>
          <w:rFonts w:ascii="Palatino Linotype" w:eastAsia="Palatino Linotype" w:hAnsi="Palatino Linotype" w:cs="Palatino Linotype"/>
          <w:sz w:val="22"/>
          <w:szCs w:val="22"/>
        </w:rPr>
        <w:t xml:space="preserve">se procede a dictar la presente resolución con base en los siguientes: </w:t>
      </w:r>
    </w:p>
    <w:p w14:paraId="3CC5291D" w14:textId="77777777" w:rsidR="00562A90" w:rsidRPr="0057241C" w:rsidRDefault="0062255D">
      <w:pPr>
        <w:spacing w:before="240" w:after="240" w:line="360" w:lineRule="auto"/>
        <w:jc w:val="center"/>
        <w:rPr>
          <w:rFonts w:ascii="Palatino Linotype" w:eastAsia="Palatino Linotype" w:hAnsi="Palatino Linotype" w:cs="Palatino Linotype"/>
          <w:b/>
          <w:sz w:val="22"/>
          <w:szCs w:val="22"/>
        </w:rPr>
      </w:pPr>
      <w:r w:rsidRPr="0057241C">
        <w:rPr>
          <w:rFonts w:ascii="Palatino Linotype" w:eastAsia="Palatino Linotype" w:hAnsi="Palatino Linotype" w:cs="Palatino Linotype"/>
          <w:b/>
          <w:sz w:val="22"/>
          <w:szCs w:val="22"/>
        </w:rPr>
        <w:t>I. A N T E C E D E N T E S</w:t>
      </w:r>
    </w:p>
    <w:p w14:paraId="72C70038" w14:textId="025F72F9" w:rsidR="00562A90" w:rsidRPr="0057241C" w:rsidRDefault="0062255D">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57241C">
        <w:rPr>
          <w:rFonts w:ascii="Palatino Linotype" w:eastAsia="Palatino Linotype" w:hAnsi="Palatino Linotype" w:cs="Palatino Linotype"/>
          <w:b/>
          <w:sz w:val="22"/>
          <w:szCs w:val="22"/>
        </w:rPr>
        <w:t>1. Solicitud de acceso a la información.</w:t>
      </w:r>
      <w:r w:rsidRPr="0057241C">
        <w:rPr>
          <w:rFonts w:ascii="Palatino Linotype" w:eastAsia="Palatino Linotype" w:hAnsi="Palatino Linotype" w:cs="Palatino Linotype"/>
          <w:sz w:val="22"/>
          <w:szCs w:val="22"/>
        </w:rPr>
        <w:t xml:space="preserve"> El </w:t>
      </w:r>
      <w:bookmarkStart w:id="3" w:name="_Hlk212125406"/>
      <w:r w:rsidR="0004748F" w:rsidRPr="0057241C">
        <w:rPr>
          <w:rFonts w:ascii="Palatino Linotype" w:eastAsia="Palatino Linotype" w:hAnsi="Palatino Linotype" w:cs="Palatino Linotype"/>
          <w:b/>
          <w:sz w:val="22"/>
          <w:szCs w:val="22"/>
        </w:rPr>
        <w:t>dieciséis</w:t>
      </w:r>
      <w:r w:rsidR="005F7A69" w:rsidRPr="0057241C">
        <w:rPr>
          <w:rFonts w:ascii="Palatino Linotype" w:eastAsia="Palatino Linotype" w:hAnsi="Palatino Linotype" w:cs="Palatino Linotype"/>
          <w:b/>
          <w:sz w:val="22"/>
          <w:szCs w:val="22"/>
        </w:rPr>
        <w:t xml:space="preserve"> de agosto</w:t>
      </w:r>
      <w:r w:rsidRPr="0057241C">
        <w:rPr>
          <w:rFonts w:ascii="Palatino Linotype" w:eastAsia="Palatino Linotype" w:hAnsi="Palatino Linotype" w:cs="Palatino Linotype"/>
          <w:b/>
          <w:sz w:val="22"/>
          <w:szCs w:val="22"/>
        </w:rPr>
        <w:t xml:space="preserve"> de dos mil veinticinco</w:t>
      </w:r>
      <w:bookmarkEnd w:id="3"/>
      <w:r w:rsidRPr="0057241C">
        <w:rPr>
          <w:rFonts w:ascii="Palatino Linotype" w:eastAsia="Palatino Linotype" w:hAnsi="Palatino Linotype" w:cs="Palatino Linotype"/>
          <w:b/>
          <w:sz w:val="22"/>
          <w:szCs w:val="22"/>
        </w:rPr>
        <w:t>,</w:t>
      </w:r>
      <w:r w:rsidRPr="0057241C">
        <w:rPr>
          <w:rFonts w:ascii="Palatino Linotype" w:eastAsia="Palatino Linotype" w:hAnsi="Palatino Linotype" w:cs="Palatino Linotype"/>
          <w:sz w:val="22"/>
          <w:szCs w:val="22"/>
        </w:rPr>
        <w:t xml:space="preserve"> la parte </w:t>
      </w:r>
      <w:r w:rsidRPr="0057241C">
        <w:rPr>
          <w:rFonts w:ascii="Palatino Linotype" w:eastAsia="Palatino Linotype" w:hAnsi="Palatino Linotype" w:cs="Palatino Linotype"/>
          <w:b/>
          <w:sz w:val="22"/>
          <w:szCs w:val="22"/>
        </w:rPr>
        <w:t xml:space="preserve">Recurrente </w:t>
      </w:r>
      <w:r w:rsidRPr="0057241C">
        <w:rPr>
          <w:rFonts w:ascii="Palatino Linotype" w:eastAsia="Palatino Linotype" w:hAnsi="Palatino Linotype" w:cs="Palatino Linotype"/>
          <w:sz w:val="22"/>
          <w:szCs w:val="22"/>
        </w:rPr>
        <w:t xml:space="preserve">presentó la solicitud de acceso a la información pública ante el </w:t>
      </w:r>
      <w:r w:rsidRPr="0057241C">
        <w:rPr>
          <w:rFonts w:ascii="Palatino Linotype" w:eastAsia="Palatino Linotype" w:hAnsi="Palatino Linotype" w:cs="Palatino Linotype"/>
          <w:b/>
          <w:sz w:val="22"/>
          <w:szCs w:val="22"/>
        </w:rPr>
        <w:t>Sujeto Obligado</w:t>
      </w:r>
      <w:r w:rsidRPr="0057241C">
        <w:rPr>
          <w:rFonts w:ascii="Palatino Linotype" w:eastAsia="Palatino Linotype" w:hAnsi="Palatino Linotype" w:cs="Palatino Linotype"/>
          <w:sz w:val="22"/>
          <w:szCs w:val="22"/>
        </w:rPr>
        <w:t xml:space="preserve">, a través del Sistema de Acceso a la Información Mexiquense, en lo subsecuente el </w:t>
      </w:r>
      <w:r w:rsidRPr="0057241C">
        <w:rPr>
          <w:rFonts w:ascii="Palatino Linotype" w:eastAsia="Palatino Linotype" w:hAnsi="Palatino Linotype" w:cs="Palatino Linotype"/>
          <w:b/>
          <w:sz w:val="22"/>
          <w:szCs w:val="22"/>
        </w:rPr>
        <w:t>SAIMEX,</w:t>
      </w:r>
      <w:r w:rsidRPr="0057241C">
        <w:rPr>
          <w:rFonts w:ascii="Palatino Linotype" w:eastAsia="Palatino Linotype" w:hAnsi="Palatino Linotype" w:cs="Palatino Linotype"/>
          <w:sz w:val="22"/>
          <w:szCs w:val="22"/>
        </w:rPr>
        <w:t xml:space="preserve"> </w:t>
      </w:r>
      <w:r w:rsidR="00C31DBE" w:rsidRPr="0057241C">
        <w:rPr>
          <w:rFonts w:ascii="Palatino Linotype" w:eastAsia="Palatino Linotype" w:hAnsi="Palatino Linotype" w:cs="Palatino Linotype"/>
          <w:sz w:val="22"/>
          <w:szCs w:val="22"/>
        </w:rPr>
        <w:t xml:space="preserve">sin embargo, al corresponder con un día inhábil, se tuvo por presentada el </w:t>
      </w:r>
      <w:r w:rsidR="00C31DBE" w:rsidRPr="0057241C">
        <w:rPr>
          <w:rFonts w:ascii="Palatino Linotype" w:eastAsia="Palatino Linotype" w:hAnsi="Palatino Linotype" w:cs="Palatino Linotype"/>
          <w:b/>
          <w:sz w:val="22"/>
          <w:szCs w:val="22"/>
        </w:rPr>
        <w:t>dieciocho de agosto de dos mil veinticinco</w:t>
      </w:r>
      <w:r w:rsidR="00855868" w:rsidRPr="0057241C">
        <w:rPr>
          <w:rFonts w:ascii="Palatino Linotype" w:eastAsia="Palatino Linotype" w:hAnsi="Palatino Linotype" w:cs="Palatino Linotype"/>
          <w:b/>
          <w:sz w:val="22"/>
          <w:szCs w:val="22"/>
        </w:rPr>
        <w:t>,</w:t>
      </w:r>
      <w:r w:rsidR="00C31DBE" w:rsidRPr="0057241C">
        <w:rPr>
          <w:rFonts w:ascii="Palatino Linotype" w:eastAsia="Palatino Linotype" w:hAnsi="Palatino Linotype" w:cs="Palatino Linotype"/>
          <w:sz w:val="22"/>
          <w:szCs w:val="22"/>
        </w:rPr>
        <w:t xml:space="preserve"> </w:t>
      </w:r>
      <w:r w:rsidRPr="0057241C">
        <w:rPr>
          <w:rFonts w:ascii="Palatino Linotype" w:eastAsia="Palatino Linotype" w:hAnsi="Palatino Linotype" w:cs="Palatino Linotype"/>
          <w:sz w:val="22"/>
          <w:szCs w:val="22"/>
        </w:rPr>
        <w:t>mediante la cual requirió lo siguiente:</w:t>
      </w:r>
    </w:p>
    <w:p w14:paraId="57605782" w14:textId="71E415E6" w:rsidR="00562A90" w:rsidRPr="0057241C" w:rsidRDefault="0062255D">
      <w:pPr>
        <w:spacing w:before="120" w:after="120"/>
        <w:ind w:left="851" w:right="902"/>
        <w:jc w:val="both"/>
        <w:rPr>
          <w:rFonts w:ascii="Palatino Linotype" w:eastAsia="Palatino Linotype" w:hAnsi="Palatino Linotype" w:cs="Palatino Linotype"/>
          <w:b/>
          <w:i/>
          <w:sz w:val="22"/>
          <w:szCs w:val="22"/>
        </w:rPr>
      </w:pPr>
      <w:r w:rsidRPr="0057241C">
        <w:rPr>
          <w:rFonts w:ascii="Palatino Linotype" w:eastAsia="Palatino Linotype" w:hAnsi="Palatino Linotype" w:cs="Palatino Linotype"/>
          <w:i/>
          <w:sz w:val="22"/>
          <w:szCs w:val="22"/>
        </w:rPr>
        <w:t xml:space="preserve"> “</w:t>
      </w:r>
      <w:r w:rsidR="00C31DBE" w:rsidRPr="0057241C">
        <w:rPr>
          <w:rFonts w:ascii="Palatino Linotype" w:eastAsia="Palatino Linotype" w:hAnsi="Palatino Linotype" w:cs="Palatino Linotype"/>
          <w:i/>
          <w:sz w:val="22"/>
          <w:szCs w:val="22"/>
        </w:rPr>
        <w:t>Qué, por medio del presente ocurso, con fundamento en lo establecido en los artículos 8, y 35 fracción V; artículo XXIV de la Declaración Americana de los Deberes y Derechos del Hombre; solicito respetuosamente se me entregue de forma clara, precisa y completa la información pública en lo que a continuación se cita en el numeral romano I. I. Facturas y contratos de los 35 nuevas vehículos patrullas y las 5 unidades de protección civil comprados o adquirimos en el año 2025 por parte del Ayuntamiento</w:t>
      </w:r>
      <w:r w:rsidRPr="0057241C">
        <w:rPr>
          <w:rFonts w:ascii="Palatino Linotype" w:eastAsia="Palatino Linotype" w:hAnsi="Palatino Linotype" w:cs="Palatino Linotype"/>
          <w:b/>
          <w:i/>
          <w:sz w:val="22"/>
          <w:szCs w:val="22"/>
        </w:rPr>
        <w:t>”</w:t>
      </w:r>
      <w:r w:rsidRPr="0057241C">
        <w:rPr>
          <w:rFonts w:ascii="Palatino Linotype" w:eastAsia="Palatino Linotype" w:hAnsi="Palatino Linotype" w:cs="Palatino Linotype"/>
          <w:i/>
          <w:sz w:val="22"/>
          <w:szCs w:val="22"/>
        </w:rPr>
        <w:t xml:space="preserve"> (sic) </w:t>
      </w:r>
    </w:p>
    <w:p w14:paraId="6759C1B0" w14:textId="09DA027F" w:rsidR="00562A90" w:rsidRPr="0057241C" w:rsidRDefault="0062255D">
      <w:pPr>
        <w:spacing w:before="240" w:after="240" w:line="360" w:lineRule="auto"/>
        <w:jc w:val="both"/>
        <w:rPr>
          <w:rFonts w:ascii="Palatino Linotype" w:eastAsia="Palatino Linotype" w:hAnsi="Palatino Linotype" w:cs="Palatino Linotype"/>
          <w:sz w:val="22"/>
          <w:szCs w:val="22"/>
        </w:rPr>
      </w:pPr>
      <w:bookmarkStart w:id="4" w:name="_heading=h.3dy6vkm" w:colFirst="0" w:colLast="0"/>
      <w:bookmarkEnd w:id="4"/>
      <w:r w:rsidRPr="0057241C">
        <w:rPr>
          <w:rFonts w:ascii="Palatino Linotype" w:eastAsia="Palatino Linotype" w:hAnsi="Palatino Linotype" w:cs="Palatino Linotype"/>
          <w:b/>
          <w:sz w:val="22"/>
          <w:szCs w:val="22"/>
        </w:rPr>
        <w:t xml:space="preserve">2. Respuesta. </w:t>
      </w:r>
      <w:r w:rsidRPr="0057241C">
        <w:rPr>
          <w:rFonts w:ascii="Palatino Linotype" w:eastAsia="Palatino Linotype" w:hAnsi="Palatino Linotype" w:cs="Palatino Linotype"/>
          <w:sz w:val="22"/>
          <w:szCs w:val="22"/>
        </w:rPr>
        <w:t xml:space="preserve">El </w:t>
      </w:r>
      <w:r w:rsidR="00C31DBE" w:rsidRPr="0057241C">
        <w:rPr>
          <w:rFonts w:ascii="Palatino Linotype" w:eastAsia="Palatino Linotype" w:hAnsi="Palatino Linotype" w:cs="Palatino Linotype"/>
          <w:b/>
          <w:sz w:val="22"/>
          <w:szCs w:val="22"/>
        </w:rPr>
        <w:t>nueve de septiembre</w:t>
      </w:r>
      <w:r w:rsidR="002F1DF9" w:rsidRPr="0057241C">
        <w:rPr>
          <w:rFonts w:ascii="Palatino Linotype" w:eastAsia="Palatino Linotype" w:hAnsi="Palatino Linotype" w:cs="Palatino Linotype"/>
          <w:b/>
          <w:sz w:val="22"/>
          <w:szCs w:val="22"/>
        </w:rPr>
        <w:t xml:space="preserve"> de </w:t>
      </w:r>
      <w:r w:rsidRPr="0057241C">
        <w:rPr>
          <w:rFonts w:ascii="Palatino Linotype" w:eastAsia="Palatino Linotype" w:hAnsi="Palatino Linotype" w:cs="Palatino Linotype"/>
          <w:b/>
          <w:sz w:val="22"/>
          <w:szCs w:val="22"/>
        </w:rPr>
        <w:t>dos mil veinticinco,</w:t>
      </w:r>
      <w:r w:rsidRPr="0057241C">
        <w:rPr>
          <w:rFonts w:ascii="Palatino Linotype" w:eastAsia="Palatino Linotype" w:hAnsi="Palatino Linotype" w:cs="Palatino Linotype"/>
          <w:sz w:val="22"/>
          <w:szCs w:val="22"/>
        </w:rPr>
        <w:t xml:space="preserve"> el </w:t>
      </w:r>
      <w:r w:rsidRPr="0057241C">
        <w:rPr>
          <w:rFonts w:ascii="Palatino Linotype" w:eastAsia="Palatino Linotype" w:hAnsi="Palatino Linotype" w:cs="Palatino Linotype"/>
          <w:b/>
          <w:sz w:val="22"/>
          <w:szCs w:val="22"/>
        </w:rPr>
        <w:t xml:space="preserve">Sujeto Obligado </w:t>
      </w:r>
      <w:r w:rsidRPr="0057241C">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796878F1" w14:textId="1CD64ED1" w:rsidR="00562A90" w:rsidRPr="0057241C" w:rsidRDefault="0062255D">
      <w:pPr>
        <w:spacing w:before="240" w:after="24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lastRenderedPageBreak/>
        <w:t>“…</w:t>
      </w:r>
      <w:r w:rsidR="00A738A8" w:rsidRPr="0057241C">
        <w:rPr>
          <w:rFonts w:ascii="Palatino Linotype" w:eastAsia="Palatino Linotype" w:hAnsi="Palatino Linotype" w:cs="Palatino Linotype"/>
          <w:i/>
          <w:sz w:val="22"/>
          <w:szCs w:val="22"/>
        </w:rPr>
        <w:t>S</w:t>
      </w:r>
      <w:r w:rsidR="00C31DBE" w:rsidRPr="0057241C">
        <w:rPr>
          <w:rFonts w:ascii="Palatino Linotype" w:eastAsia="Palatino Linotype" w:hAnsi="Palatino Linotype" w:cs="Palatino Linotype"/>
          <w:i/>
          <w:sz w:val="22"/>
          <w:szCs w:val="22"/>
        </w:rPr>
        <w:t xml:space="preserve">OLICITUD: 00190/TEXCOCO/IP/2025 Texcoco, Estado de México a 08 de septiembre del 2025 C. </w:t>
      </w:r>
      <w:r w:rsidR="00D51D67">
        <w:rPr>
          <w:rFonts w:ascii="Palatino Linotype" w:eastAsia="Palatino Linotype" w:hAnsi="Palatino Linotype" w:cs="Palatino Linotype"/>
          <w:i/>
          <w:sz w:val="22"/>
          <w:szCs w:val="22"/>
        </w:rPr>
        <w:t>XXXXXXXXXXX</w:t>
      </w:r>
      <w:bookmarkStart w:id="5" w:name="_GoBack"/>
      <w:bookmarkEnd w:id="5"/>
      <w:r w:rsidR="00C31DBE" w:rsidRPr="0057241C">
        <w:rPr>
          <w:rFonts w:ascii="Palatino Linotype" w:eastAsia="Palatino Linotype" w:hAnsi="Palatino Linotype" w:cs="Palatino Linotype"/>
          <w:i/>
          <w:sz w:val="22"/>
          <w:szCs w:val="22"/>
        </w:rPr>
        <w:t xml:space="preserve"> P R E S E N T E En respuesta a su solicitud recibida, nos permitimos hacer de su conocimiento que con fundamento en el articulo 53, fracciones: II, V y VI de la Ley de Transparencia y Acceso a la Información Publica del Estado de México y Municipios, le contestamos que: SE ADJUNTA EN ARCHIVO PDF, LA RESPUESTA A SU SOLICITUD DE INFORMACION.</w:t>
      </w:r>
      <w:r w:rsidRPr="0057241C">
        <w:rPr>
          <w:rFonts w:ascii="Palatino Linotype" w:eastAsia="Palatino Linotype" w:hAnsi="Palatino Linotype" w:cs="Palatino Linotype"/>
          <w:i/>
          <w:sz w:val="22"/>
          <w:szCs w:val="22"/>
        </w:rPr>
        <w:t>..” (sic)</w:t>
      </w:r>
    </w:p>
    <w:p w14:paraId="4BF458A1" w14:textId="3D171152" w:rsidR="005F7A69" w:rsidRPr="0057241C" w:rsidRDefault="0062255D" w:rsidP="008D0A7E">
      <w:pPr>
        <w:spacing w:before="240" w:after="240" w:line="360" w:lineRule="auto"/>
        <w:ind w:right="49"/>
        <w:jc w:val="both"/>
        <w:rPr>
          <w:rFonts w:ascii="Palatino Linotype" w:hAnsi="Palatino Linotype"/>
          <w:sz w:val="22"/>
          <w:szCs w:val="22"/>
        </w:rPr>
      </w:pPr>
      <w:r w:rsidRPr="0057241C">
        <w:rPr>
          <w:rFonts w:ascii="Palatino Linotype" w:eastAsia="Palatino Linotype" w:hAnsi="Palatino Linotype" w:cs="Palatino Linotype"/>
          <w:sz w:val="22"/>
          <w:szCs w:val="22"/>
        </w:rPr>
        <w:t xml:space="preserve">El </w:t>
      </w:r>
      <w:r w:rsidRPr="0057241C">
        <w:rPr>
          <w:rFonts w:ascii="Palatino Linotype" w:eastAsia="Palatino Linotype" w:hAnsi="Palatino Linotype" w:cs="Palatino Linotype"/>
          <w:b/>
          <w:sz w:val="22"/>
          <w:szCs w:val="22"/>
        </w:rPr>
        <w:t xml:space="preserve">Sujeto Obligado </w:t>
      </w:r>
      <w:r w:rsidRPr="0057241C">
        <w:rPr>
          <w:rFonts w:ascii="Palatino Linotype" w:eastAsia="Palatino Linotype" w:hAnsi="Palatino Linotype" w:cs="Palatino Linotype"/>
          <w:sz w:val="22"/>
          <w:szCs w:val="22"/>
        </w:rPr>
        <w:t xml:space="preserve">adjuntó </w:t>
      </w:r>
      <w:r w:rsidR="008D0A7E" w:rsidRPr="0057241C">
        <w:rPr>
          <w:rFonts w:ascii="Palatino Linotype" w:eastAsia="Palatino Linotype" w:hAnsi="Palatino Linotype" w:cs="Palatino Linotype"/>
          <w:sz w:val="22"/>
          <w:szCs w:val="22"/>
        </w:rPr>
        <w:t xml:space="preserve">el escrito mediante el cual el Titular de la Unidad de Transparencia </w:t>
      </w:r>
      <w:r w:rsidR="00AF69B9" w:rsidRPr="0057241C">
        <w:rPr>
          <w:rFonts w:ascii="Palatino Linotype" w:eastAsia="Palatino Linotype" w:hAnsi="Palatino Linotype" w:cs="Palatino Linotype"/>
          <w:sz w:val="22"/>
          <w:szCs w:val="22"/>
        </w:rPr>
        <w:t xml:space="preserve">notificó la respuesta a la solicitud con número de folio </w:t>
      </w:r>
      <w:r w:rsidR="00AF69B9" w:rsidRPr="0057241C">
        <w:rPr>
          <w:rFonts w:ascii="Palatino Linotype" w:eastAsia="Palatino Linotype" w:hAnsi="Palatino Linotype" w:cs="Palatino Linotype"/>
          <w:b/>
          <w:sz w:val="22"/>
          <w:szCs w:val="22"/>
          <w:u w:val="single"/>
        </w:rPr>
        <w:t>000190/TEXCOCO/IP/2025</w:t>
      </w:r>
      <w:r w:rsidR="00AF69B9" w:rsidRPr="0057241C">
        <w:rPr>
          <w:rFonts w:ascii="Palatino Linotype" w:eastAsia="Palatino Linotype" w:hAnsi="Palatino Linotype" w:cs="Palatino Linotype"/>
          <w:sz w:val="22"/>
          <w:szCs w:val="22"/>
        </w:rPr>
        <w:t>.</w:t>
      </w:r>
    </w:p>
    <w:p w14:paraId="15D280BF" w14:textId="58180988" w:rsidR="00562A90" w:rsidRPr="0057241C" w:rsidRDefault="0062255D">
      <w:pPr>
        <w:spacing w:before="240" w:after="240" w:line="360" w:lineRule="auto"/>
        <w:ind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b/>
          <w:sz w:val="22"/>
          <w:szCs w:val="22"/>
        </w:rPr>
        <w:t xml:space="preserve">3. Interposición del recurso de revisión. </w:t>
      </w:r>
      <w:r w:rsidRPr="0057241C">
        <w:rPr>
          <w:rFonts w:ascii="Palatino Linotype" w:eastAsia="Palatino Linotype" w:hAnsi="Palatino Linotype" w:cs="Palatino Linotype"/>
          <w:sz w:val="22"/>
          <w:szCs w:val="22"/>
        </w:rPr>
        <w:t xml:space="preserve">Inconforme con los términos de la respuesta emitida por parte del </w:t>
      </w:r>
      <w:r w:rsidRPr="0057241C">
        <w:rPr>
          <w:rFonts w:ascii="Palatino Linotype" w:eastAsia="Palatino Linotype" w:hAnsi="Palatino Linotype" w:cs="Palatino Linotype"/>
          <w:b/>
          <w:sz w:val="22"/>
          <w:szCs w:val="22"/>
        </w:rPr>
        <w:t>Sujeto Obligado</w:t>
      </w:r>
      <w:r w:rsidRPr="0057241C">
        <w:rPr>
          <w:rFonts w:ascii="Palatino Linotype" w:eastAsia="Palatino Linotype" w:hAnsi="Palatino Linotype" w:cs="Palatino Linotype"/>
          <w:sz w:val="22"/>
          <w:szCs w:val="22"/>
        </w:rPr>
        <w:t xml:space="preserve">, el </w:t>
      </w:r>
      <w:r w:rsidR="0004748F" w:rsidRPr="0057241C">
        <w:rPr>
          <w:rFonts w:ascii="Palatino Linotype" w:eastAsia="Palatino Linotype" w:hAnsi="Palatino Linotype" w:cs="Palatino Linotype"/>
          <w:b/>
          <w:sz w:val="22"/>
          <w:szCs w:val="22"/>
        </w:rPr>
        <w:t>dieciséis</w:t>
      </w:r>
      <w:r w:rsidR="00AF69B9" w:rsidRPr="0057241C">
        <w:rPr>
          <w:rFonts w:ascii="Palatino Linotype" w:eastAsia="Palatino Linotype" w:hAnsi="Palatino Linotype" w:cs="Palatino Linotype"/>
          <w:b/>
          <w:sz w:val="22"/>
          <w:szCs w:val="22"/>
        </w:rPr>
        <w:t xml:space="preserve"> de </w:t>
      </w:r>
      <w:r w:rsidR="00B8271A" w:rsidRPr="0057241C">
        <w:rPr>
          <w:rFonts w:ascii="Palatino Linotype" w:eastAsia="Palatino Linotype" w:hAnsi="Palatino Linotype" w:cs="Palatino Linotype"/>
          <w:b/>
          <w:sz w:val="22"/>
          <w:szCs w:val="22"/>
        </w:rPr>
        <w:t>septiembre</w:t>
      </w:r>
      <w:r w:rsidR="00F8454B" w:rsidRPr="0057241C">
        <w:rPr>
          <w:rFonts w:ascii="Palatino Linotype" w:eastAsia="Palatino Linotype" w:hAnsi="Palatino Linotype" w:cs="Palatino Linotype"/>
          <w:b/>
          <w:sz w:val="22"/>
          <w:szCs w:val="22"/>
        </w:rPr>
        <w:t xml:space="preserve"> </w:t>
      </w:r>
      <w:r w:rsidRPr="0057241C">
        <w:rPr>
          <w:rFonts w:ascii="Palatino Linotype" w:eastAsia="Palatino Linotype" w:hAnsi="Palatino Linotype" w:cs="Palatino Linotype"/>
          <w:b/>
          <w:sz w:val="22"/>
          <w:szCs w:val="22"/>
        </w:rPr>
        <w:t>de dos mil veinticinco,</w:t>
      </w:r>
      <w:r w:rsidRPr="0057241C">
        <w:rPr>
          <w:rFonts w:ascii="Palatino Linotype" w:eastAsia="Palatino Linotype" w:hAnsi="Palatino Linotype" w:cs="Palatino Linotype"/>
          <w:sz w:val="22"/>
          <w:szCs w:val="22"/>
        </w:rPr>
        <w:t xml:space="preserve"> la parte </w:t>
      </w:r>
      <w:r w:rsidRPr="0057241C">
        <w:rPr>
          <w:rFonts w:ascii="Palatino Linotype" w:eastAsia="Palatino Linotype" w:hAnsi="Palatino Linotype" w:cs="Palatino Linotype"/>
          <w:b/>
          <w:sz w:val="22"/>
          <w:szCs w:val="22"/>
        </w:rPr>
        <w:t>Recurrente</w:t>
      </w:r>
      <w:r w:rsidRPr="0057241C">
        <w:rPr>
          <w:rFonts w:ascii="Palatino Linotype" w:eastAsia="Palatino Linotype" w:hAnsi="Palatino Linotype" w:cs="Palatino Linotype"/>
          <w:sz w:val="22"/>
          <w:szCs w:val="22"/>
        </w:rPr>
        <w:t xml:space="preserve"> interpuso el recurso de revisión a través de </w:t>
      </w:r>
      <w:r w:rsidRPr="0057241C">
        <w:rPr>
          <w:rFonts w:ascii="Palatino Linotype" w:eastAsia="Palatino Linotype" w:hAnsi="Palatino Linotype" w:cs="Palatino Linotype"/>
          <w:b/>
          <w:sz w:val="22"/>
          <w:szCs w:val="22"/>
        </w:rPr>
        <w:t>SAIMEX,</w:t>
      </w:r>
      <w:r w:rsidR="0004748F" w:rsidRPr="0057241C">
        <w:rPr>
          <w:rFonts w:ascii="Palatino Linotype" w:eastAsia="Palatino Linotype" w:hAnsi="Palatino Linotype" w:cs="Palatino Linotype"/>
          <w:b/>
          <w:sz w:val="22"/>
          <w:szCs w:val="22"/>
        </w:rPr>
        <w:t xml:space="preserve"> </w:t>
      </w:r>
      <w:r w:rsidR="0004748F" w:rsidRPr="0057241C">
        <w:rPr>
          <w:rFonts w:ascii="Palatino Linotype" w:eastAsia="Palatino Linotype" w:hAnsi="Palatino Linotype" w:cs="Palatino Linotype"/>
          <w:sz w:val="22"/>
          <w:szCs w:val="22"/>
        </w:rPr>
        <w:t xml:space="preserve">sin embargo, al corresponder con un día inhábil, se tuvo por interpuesto el </w:t>
      </w:r>
      <w:r w:rsidR="0004748F" w:rsidRPr="0057241C">
        <w:rPr>
          <w:rFonts w:ascii="Palatino Linotype" w:eastAsia="Palatino Linotype" w:hAnsi="Palatino Linotype" w:cs="Palatino Linotype"/>
          <w:b/>
          <w:sz w:val="22"/>
          <w:szCs w:val="22"/>
        </w:rPr>
        <w:t>diecisiete de septiembre de dos mil veinticinco,</w:t>
      </w:r>
      <w:r w:rsidRPr="0057241C">
        <w:rPr>
          <w:rFonts w:ascii="Palatino Linotype" w:eastAsia="Palatino Linotype" w:hAnsi="Palatino Linotype" w:cs="Palatino Linotype"/>
          <w:b/>
          <w:sz w:val="22"/>
          <w:szCs w:val="22"/>
        </w:rPr>
        <w:t xml:space="preserve"> </w:t>
      </w:r>
      <w:r w:rsidRPr="0057241C">
        <w:rPr>
          <w:rFonts w:ascii="Palatino Linotype" w:eastAsia="Palatino Linotype" w:hAnsi="Palatino Linotype" w:cs="Palatino Linotype"/>
          <w:sz w:val="22"/>
          <w:szCs w:val="22"/>
        </w:rPr>
        <w:t>en donde se manifestó de la siguiente manera:</w:t>
      </w:r>
    </w:p>
    <w:p w14:paraId="47A1D1F7" w14:textId="77777777" w:rsidR="00562A90" w:rsidRPr="0057241C" w:rsidRDefault="0062255D">
      <w:pPr>
        <w:spacing w:before="240" w:after="240" w:line="360" w:lineRule="auto"/>
        <w:ind w:right="49"/>
        <w:jc w:val="both"/>
        <w:rPr>
          <w:rFonts w:ascii="Palatino Linotype" w:eastAsia="Palatino Linotype" w:hAnsi="Palatino Linotype" w:cs="Palatino Linotype"/>
          <w:b/>
          <w:sz w:val="22"/>
          <w:szCs w:val="22"/>
        </w:rPr>
      </w:pPr>
      <w:r w:rsidRPr="0057241C">
        <w:rPr>
          <w:rFonts w:ascii="Palatino Linotype" w:eastAsia="Palatino Linotype" w:hAnsi="Palatino Linotype" w:cs="Palatino Linotype"/>
          <w:b/>
          <w:sz w:val="22"/>
          <w:szCs w:val="22"/>
        </w:rPr>
        <w:t xml:space="preserve">Acto impugnado: </w:t>
      </w:r>
    </w:p>
    <w:p w14:paraId="2600BB83" w14:textId="7C33DB03" w:rsidR="00562A90" w:rsidRPr="0057241C" w:rsidRDefault="0062255D" w:rsidP="00DA5A7A">
      <w:pPr>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r w:rsidR="00AF69B9" w:rsidRPr="0057241C">
        <w:rPr>
          <w:rFonts w:ascii="Palatino Linotype" w:eastAsia="Palatino Linotype" w:hAnsi="Palatino Linotype" w:cs="Palatino Linotype"/>
          <w:i/>
          <w:sz w:val="22"/>
          <w:szCs w:val="22"/>
        </w:rPr>
        <w:t>La solicitud de información pública 00196/TEXCOCO/IP/2025</w:t>
      </w:r>
      <w:r w:rsidRPr="0057241C">
        <w:rPr>
          <w:rFonts w:ascii="Palatino Linotype" w:eastAsia="Palatino Linotype" w:hAnsi="Palatino Linotype" w:cs="Palatino Linotype"/>
          <w:i/>
          <w:sz w:val="22"/>
          <w:szCs w:val="22"/>
        </w:rPr>
        <w:t>” (sic)</w:t>
      </w:r>
    </w:p>
    <w:p w14:paraId="05264EB6" w14:textId="77777777" w:rsidR="00562A90" w:rsidRPr="0057241C" w:rsidRDefault="0062255D">
      <w:pPr>
        <w:spacing w:line="360" w:lineRule="auto"/>
        <w:jc w:val="both"/>
        <w:rPr>
          <w:rFonts w:ascii="Palatino Linotype" w:eastAsia="Palatino Linotype" w:hAnsi="Palatino Linotype" w:cs="Palatino Linotype"/>
          <w:sz w:val="22"/>
          <w:szCs w:val="22"/>
        </w:rPr>
      </w:pPr>
      <w:bookmarkStart w:id="6" w:name="_heading=h.30j0zll" w:colFirst="0" w:colLast="0"/>
      <w:bookmarkEnd w:id="6"/>
      <w:r w:rsidRPr="0057241C">
        <w:rPr>
          <w:rFonts w:ascii="Palatino Linotype" w:eastAsia="Palatino Linotype" w:hAnsi="Palatino Linotype" w:cs="Palatino Linotype"/>
          <w:b/>
          <w:sz w:val="22"/>
          <w:szCs w:val="22"/>
        </w:rPr>
        <w:t>Y, Razones o motivos de inconformidad</w:t>
      </w:r>
      <w:r w:rsidRPr="0057241C">
        <w:rPr>
          <w:rFonts w:ascii="Palatino Linotype" w:eastAsia="Palatino Linotype" w:hAnsi="Palatino Linotype" w:cs="Palatino Linotype"/>
          <w:sz w:val="22"/>
          <w:szCs w:val="22"/>
        </w:rPr>
        <w:t>:</w:t>
      </w:r>
    </w:p>
    <w:p w14:paraId="29A63F7C" w14:textId="5B50FB66" w:rsidR="00562A90" w:rsidRPr="0057241C" w:rsidRDefault="0062255D">
      <w:pPr>
        <w:tabs>
          <w:tab w:val="left" w:pos="2745"/>
        </w:tabs>
        <w:spacing w:before="240" w:after="24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r w:rsidR="00AF69B9" w:rsidRPr="0057241C">
        <w:rPr>
          <w:rFonts w:ascii="Palatino Linotype" w:eastAsia="Palatino Linotype" w:hAnsi="Palatino Linotype" w:cs="Palatino Linotype"/>
          <w:i/>
          <w:sz w:val="22"/>
          <w:szCs w:val="22"/>
        </w:rPr>
        <w:t>No se proporciona la información pública solicitada”</w:t>
      </w:r>
      <w:r w:rsidRPr="0057241C">
        <w:rPr>
          <w:rFonts w:ascii="Palatino Linotype" w:eastAsia="Palatino Linotype" w:hAnsi="Palatino Linotype" w:cs="Palatino Linotype"/>
          <w:i/>
          <w:sz w:val="22"/>
          <w:szCs w:val="22"/>
        </w:rPr>
        <w:t xml:space="preserve"> (sic)</w:t>
      </w:r>
    </w:p>
    <w:p w14:paraId="69DE47B2" w14:textId="77777777" w:rsidR="00562A90" w:rsidRPr="0057241C" w:rsidRDefault="0062255D">
      <w:pPr>
        <w:spacing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b/>
          <w:sz w:val="22"/>
          <w:szCs w:val="22"/>
        </w:rPr>
        <w:t xml:space="preserve">4. Turno. </w:t>
      </w:r>
      <w:r w:rsidRPr="0057241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57241C">
        <w:rPr>
          <w:rFonts w:ascii="Palatino Linotype" w:eastAsia="Palatino Linotype" w:hAnsi="Palatino Linotype" w:cs="Palatino Linotype"/>
          <w:b/>
          <w:sz w:val="22"/>
          <w:szCs w:val="22"/>
        </w:rPr>
        <w:t xml:space="preserve">Guadalupe Ramírez Peña, </w:t>
      </w:r>
      <w:r w:rsidRPr="0057241C">
        <w:rPr>
          <w:rFonts w:ascii="Palatino Linotype" w:eastAsia="Palatino Linotype" w:hAnsi="Palatino Linotype" w:cs="Palatino Linotype"/>
          <w:sz w:val="22"/>
          <w:szCs w:val="22"/>
        </w:rPr>
        <w:t>a efecto de que analizara sobre su admisión o su desechamiento.</w:t>
      </w:r>
    </w:p>
    <w:p w14:paraId="0F7154BA" w14:textId="2829B284" w:rsidR="00562A90" w:rsidRPr="0057241C" w:rsidRDefault="0062255D">
      <w:pPr>
        <w:spacing w:before="240" w:after="240" w:line="360" w:lineRule="auto"/>
        <w:jc w:val="both"/>
        <w:rPr>
          <w:rFonts w:ascii="Palatino Linotype" w:eastAsia="Palatino Linotype" w:hAnsi="Palatino Linotype" w:cs="Palatino Linotype"/>
          <w:b/>
          <w:sz w:val="22"/>
          <w:szCs w:val="22"/>
        </w:rPr>
      </w:pPr>
      <w:r w:rsidRPr="0057241C">
        <w:rPr>
          <w:rFonts w:ascii="Palatino Linotype" w:eastAsia="Palatino Linotype" w:hAnsi="Palatino Linotype" w:cs="Palatino Linotype"/>
          <w:b/>
          <w:sz w:val="22"/>
          <w:szCs w:val="22"/>
        </w:rPr>
        <w:lastRenderedPageBreak/>
        <w:t>5. Admisión del Recurso de revisión.</w:t>
      </w:r>
      <w:r w:rsidRPr="0057241C">
        <w:rPr>
          <w:rFonts w:ascii="Palatino Linotype" w:eastAsia="Palatino Linotype" w:hAnsi="Palatino Linotype" w:cs="Palatino Linotype"/>
          <w:sz w:val="22"/>
          <w:szCs w:val="22"/>
        </w:rPr>
        <w:t xml:space="preserve"> El</w:t>
      </w:r>
      <w:r w:rsidRPr="0057241C">
        <w:rPr>
          <w:rFonts w:ascii="Palatino Linotype" w:eastAsia="Palatino Linotype" w:hAnsi="Palatino Linotype" w:cs="Palatino Linotype"/>
          <w:b/>
          <w:sz w:val="22"/>
          <w:szCs w:val="22"/>
        </w:rPr>
        <w:t xml:space="preserve"> </w:t>
      </w:r>
      <w:r w:rsidR="00AF69B9" w:rsidRPr="0057241C">
        <w:rPr>
          <w:rFonts w:ascii="Palatino Linotype" w:eastAsia="Palatino Linotype" w:hAnsi="Palatino Linotype" w:cs="Palatino Linotype"/>
          <w:b/>
          <w:sz w:val="22"/>
          <w:szCs w:val="22"/>
        </w:rPr>
        <w:t>veintidós</w:t>
      </w:r>
      <w:r w:rsidR="009702EC" w:rsidRPr="0057241C">
        <w:rPr>
          <w:rFonts w:ascii="Palatino Linotype" w:eastAsia="Palatino Linotype" w:hAnsi="Palatino Linotype" w:cs="Palatino Linotype"/>
          <w:b/>
          <w:sz w:val="22"/>
          <w:szCs w:val="22"/>
        </w:rPr>
        <w:t xml:space="preserve"> de septiembre </w:t>
      </w:r>
      <w:r w:rsidRPr="0057241C">
        <w:rPr>
          <w:rFonts w:ascii="Palatino Linotype" w:eastAsia="Palatino Linotype" w:hAnsi="Palatino Linotype" w:cs="Palatino Linotype"/>
          <w:b/>
          <w:sz w:val="22"/>
          <w:szCs w:val="22"/>
        </w:rPr>
        <w:t xml:space="preserve">de dos mil veinticinco, </w:t>
      </w:r>
      <w:r w:rsidRPr="0057241C">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7241C">
        <w:rPr>
          <w:rFonts w:ascii="Palatino Linotype" w:eastAsia="Palatino Linotype" w:hAnsi="Palatino Linotype" w:cs="Palatino Linotype"/>
          <w:b/>
          <w:sz w:val="22"/>
          <w:szCs w:val="22"/>
        </w:rPr>
        <w:t xml:space="preserve">Sujeto Obligado </w:t>
      </w:r>
      <w:r w:rsidRPr="0057241C">
        <w:rPr>
          <w:rFonts w:ascii="Palatino Linotype" w:eastAsia="Palatino Linotype" w:hAnsi="Palatino Linotype" w:cs="Palatino Linotype"/>
          <w:sz w:val="22"/>
          <w:szCs w:val="22"/>
        </w:rPr>
        <w:t>presentara su informe justificado.</w:t>
      </w:r>
    </w:p>
    <w:p w14:paraId="492EF75D" w14:textId="04E5DE38" w:rsidR="0050733D" w:rsidRPr="0057241C" w:rsidRDefault="0062255D" w:rsidP="0050733D">
      <w:pPr>
        <w:spacing w:before="240" w:after="240" w:line="360" w:lineRule="auto"/>
        <w:jc w:val="both"/>
        <w:rPr>
          <w:rFonts w:ascii="Palatino Linotype" w:eastAsia="Palatino Linotype" w:hAnsi="Palatino Linotype" w:cs="Palatino Linotype"/>
          <w:sz w:val="22"/>
          <w:szCs w:val="22"/>
        </w:rPr>
      </w:pPr>
      <w:bookmarkStart w:id="7" w:name="_heading=h.2s8eyo1" w:colFirst="0" w:colLast="0"/>
      <w:bookmarkEnd w:id="7"/>
      <w:r w:rsidRPr="0057241C">
        <w:rPr>
          <w:rFonts w:ascii="Palatino Linotype" w:eastAsia="Palatino Linotype" w:hAnsi="Palatino Linotype" w:cs="Palatino Linotype"/>
          <w:b/>
          <w:sz w:val="22"/>
          <w:szCs w:val="22"/>
        </w:rPr>
        <w:t>6. Manifestaciones</w:t>
      </w:r>
      <w:r w:rsidRPr="0057241C">
        <w:rPr>
          <w:rFonts w:ascii="Palatino Linotype" w:eastAsia="Palatino Linotype" w:hAnsi="Palatino Linotype" w:cs="Palatino Linotype"/>
          <w:sz w:val="22"/>
          <w:szCs w:val="22"/>
        </w:rPr>
        <w:t xml:space="preserve">. </w:t>
      </w:r>
      <w:r w:rsidR="0050733D" w:rsidRPr="0057241C">
        <w:rPr>
          <w:rFonts w:ascii="Palatino Linotype" w:eastAsia="Palatino Linotype" w:hAnsi="Palatino Linotype" w:cs="Palatino Linotype"/>
          <w:sz w:val="22"/>
          <w:szCs w:val="22"/>
        </w:rPr>
        <w:t>De las constancias que obran en el expediente electrónico del SAIMEX se desprende que</w:t>
      </w:r>
      <w:r w:rsidR="0050733D" w:rsidRPr="0057241C">
        <w:rPr>
          <w:rFonts w:ascii="Palatino Linotype" w:eastAsia="Palatino Linotype" w:hAnsi="Palatino Linotype" w:cs="Palatino Linotype"/>
          <w:b/>
          <w:sz w:val="22"/>
          <w:szCs w:val="22"/>
        </w:rPr>
        <w:t xml:space="preserve"> </w:t>
      </w:r>
      <w:r w:rsidR="0050733D" w:rsidRPr="0057241C">
        <w:rPr>
          <w:rFonts w:ascii="Palatino Linotype" w:eastAsia="Palatino Linotype" w:hAnsi="Palatino Linotype" w:cs="Palatino Linotype"/>
          <w:sz w:val="22"/>
          <w:szCs w:val="22"/>
        </w:rPr>
        <w:t xml:space="preserve">el </w:t>
      </w:r>
      <w:r w:rsidR="0050733D" w:rsidRPr="0057241C">
        <w:rPr>
          <w:rFonts w:ascii="Palatino Linotype" w:eastAsia="Palatino Linotype" w:hAnsi="Palatino Linotype" w:cs="Palatino Linotype"/>
          <w:b/>
          <w:sz w:val="22"/>
          <w:szCs w:val="22"/>
        </w:rPr>
        <w:t>Sujeto Obligado</w:t>
      </w:r>
      <w:r w:rsidR="0050733D" w:rsidRPr="0057241C">
        <w:rPr>
          <w:rFonts w:ascii="Palatino Linotype" w:eastAsia="Palatino Linotype" w:hAnsi="Palatino Linotype" w:cs="Palatino Linotype"/>
          <w:sz w:val="22"/>
          <w:szCs w:val="22"/>
        </w:rPr>
        <w:t xml:space="preserve"> no rindió su informe justificado, del mismo modo la parte </w:t>
      </w:r>
      <w:r w:rsidR="0050733D" w:rsidRPr="0057241C">
        <w:rPr>
          <w:rFonts w:ascii="Palatino Linotype" w:eastAsia="Palatino Linotype" w:hAnsi="Palatino Linotype" w:cs="Palatino Linotype"/>
          <w:b/>
          <w:sz w:val="22"/>
          <w:szCs w:val="22"/>
        </w:rPr>
        <w:t>Recurrente</w:t>
      </w:r>
      <w:r w:rsidR="0050733D" w:rsidRPr="0057241C">
        <w:rPr>
          <w:rFonts w:ascii="Palatino Linotype" w:eastAsia="Palatino Linotype" w:hAnsi="Palatino Linotype" w:cs="Palatino Linotype"/>
          <w:sz w:val="22"/>
          <w:szCs w:val="22"/>
        </w:rPr>
        <w:t xml:space="preserve"> omitió realizar manifestaciones, como se observa a continuación:</w:t>
      </w:r>
    </w:p>
    <w:p w14:paraId="2524F359" w14:textId="2CDEF485" w:rsidR="0077708E" w:rsidRPr="0057241C" w:rsidRDefault="0050733D" w:rsidP="005C39B2">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noProof/>
          <w:sz w:val="22"/>
          <w:szCs w:val="22"/>
        </w:rPr>
        <w:drawing>
          <wp:inline distT="0" distB="0" distL="0" distR="0" wp14:anchorId="005759CD" wp14:editId="17717D1F">
            <wp:extent cx="5612130" cy="15811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581150"/>
                    </a:xfrm>
                    <a:prstGeom prst="rect">
                      <a:avLst/>
                    </a:prstGeom>
                  </pic:spPr>
                </pic:pic>
              </a:graphicData>
            </a:graphic>
          </wp:inline>
        </w:drawing>
      </w:r>
    </w:p>
    <w:p w14:paraId="4256D5FE" w14:textId="3B3FA03E" w:rsidR="00F960C9" w:rsidRPr="0057241C" w:rsidRDefault="005D5DC9" w:rsidP="00286DF8">
      <w:pPr>
        <w:widowControl w:val="0"/>
        <w:spacing w:before="240" w:line="360" w:lineRule="auto"/>
        <w:jc w:val="both"/>
        <w:rPr>
          <w:rFonts w:ascii="Palatino Linotype" w:eastAsia="Palatino Linotype" w:hAnsi="Palatino Linotype" w:cs="Palatino Linotype"/>
          <w:b/>
          <w:sz w:val="22"/>
          <w:szCs w:val="22"/>
        </w:rPr>
      </w:pPr>
      <w:r w:rsidRPr="0057241C">
        <w:rPr>
          <w:rFonts w:ascii="Palatino Linotype" w:eastAsia="Palatino Linotype" w:hAnsi="Palatino Linotype" w:cs="Palatino Linotype"/>
          <w:b/>
          <w:sz w:val="22"/>
          <w:szCs w:val="22"/>
        </w:rPr>
        <w:t>7</w:t>
      </w:r>
      <w:r w:rsidR="00286DF8" w:rsidRPr="0057241C">
        <w:rPr>
          <w:rFonts w:ascii="Palatino Linotype" w:eastAsia="Palatino Linotype" w:hAnsi="Palatino Linotype" w:cs="Palatino Linotype"/>
          <w:b/>
          <w:sz w:val="22"/>
          <w:szCs w:val="22"/>
        </w:rPr>
        <w:t xml:space="preserve">. </w:t>
      </w:r>
      <w:r w:rsidR="00F960C9" w:rsidRPr="0057241C">
        <w:rPr>
          <w:rFonts w:ascii="Palatino Linotype" w:eastAsia="Palatino Linotype" w:hAnsi="Palatino Linotype" w:cs="Palatino Linotype"/>
          <w:b/>
          <w:sz w:val="22"/>
          <w:szCs w:val="22"/>
        </w:rPr>
        <w:t xml:space="preserve">Cierre de instrucción. </w:t>
      </w:r>
      <w:r w:rsidR="00F960C9" w:rsidRPr="0057241C">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50733D" w:rsidRPr="0057241C">
        <w:rPr>
          <w:rFonts w:ascii="Palatino Linotype" w:eastAsia="Palatino Linotype" w:hAnsi="Palatino Linotype" w:cs="Palatino Linotype"/>
          <w:b/>
          <w:sz w:val="22"/>
          <w:szCs w:val="22"/>
        </w:rPr>
        <w:t xml:space="preserve">cuatro </w:t>
      </w:r>
      <w:r w:rsidR="00F960C9" w:rsidRPr="0057241C">
        <w:rPr>
          <w:rFonts w:ascii="Palatino Linotype" w:eastAsia="Palatino Linotype" w:hAnsi="Palatino Linotype" w:cs="Palatino Linotype"/>
          <w:b/>
          <w:sz w:val="22"/>
          <w:szCs w:val="22"/>
        </w:rPr>
        <w:t>de noviembre de dos mil veinticinco</w:t>
      </w:r>
      <w:r w:rsidR="00F960C9" w:rsidRPr="0057241C">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1BC3F94B" w14:textId="0AA7CF7A" w:rsidR="00286DF8" w:rsidRPr="0057241C" w:rsidRDefault="00F960C9" w:rsidP="00286DF8">
      <w:pPr>
        <w:widowControl w:val="0"/>
        <w:spacing w:before="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b/>
          <w:sz w:val="22"/>
          <w:szCs w:val="22"/>
        </w:rPr>
        <w:t xml:space="preserve">8. </w:t>
      </w:r>
      <w:r w:rsidR="00286DF8" w:rsidRPr="0057241C">
        <w:rPr>
          <w:rFonts w:ascii="Palatino Linotype" w:eastAsia="Palatino Linotype" w:hAnsi="Palatino Linotype" w:cs="Palatino Linotype"/>
          <w:b/>
          <w:sz w:val="22"/>
          <w:szCs w:val="22"/>
        </w:rPr>
        <w:t>Ampliación del término para resolver</w:t>
      </w:r>
      <w:r w:rsidR="00286DF8" w:rsidRPr="0057241C">
        <w:rPr>
          <w:rFonts w:ascii="Palatino Linotype" w:eastAsia="Palatino Linotype" w:hAnsi="Palatino Linotype" w:cs="Palatino Linotype"/>
          <w:sz w:val="22"/>
          <w:szCs w:val="22"/>
        </w:rPr>
        <w:t xml:space="preserve">. El </w:t>
      </w:r>
      <w:r w:rsidR="00B834C9" w:rsidRPr="0057241C">
        <w:rPr>
          <w:rFonts w:ascii="Palatino Linotype" w:eastAsia="Palatino Linotype" w:hAnsi="Palatino Linotype" w:cs="Palatino Linotype"/>
          <w:b/>
          <w:bCs/>
          <w:sz w:val="22"/>
          <w:szCs w:val="22"/>
        </w:rPr>
        <w:t>uno de diciembre</w:t>
      </w:r>
      <w:r w:rsidRPr="0057241C">
        <w:rPr>
          <w:rFonts w:ascii="Palatino Linotype" w:eastAsia="Palatino Linotype" w:hAnsi="Palatino Linotype" w:cs="Palatino Linotype"/>
          <w:b/>
          <w:bCs/>
          <w:sz w:val="22"/>
          <w:szCs w:val="22"/>
        </w:rPr>
        <w:t xml:space="preserve"> d</w:t>
      </w:r>
      <w:r w:rsidR="00F65DCF" w:rsidRPr="0057241C">
        <w:rPr>
          <w:rFonts w:ascii="Palatino Linotype" w:eastAsia="Palatino Linotype" w:hAnsi="Palatino Linotype" w:cs="Palatino Linotype"/>
          <w:b/>
          <w:bCs/>
          <w:sz w:val="22"/>
          <w:szCs w:val="22"/>
        </w:rPr>
        <w:t>e dos</w:t>
      </w:r>
      <w:r w:rsidR="00F65DCF" w:rsidRPr="0057241C">
        <w:rPr>
          <w:rFonts w:ascii="Palatino Linotype" w:eastAsia="Palatino Linotype" w:hAnsi="Palatino Linotype" w:cs="Palatino Linotype"/>
          <w:b/>
          <w:sz w:val="22"/>
          <w:szCs w:val="22"/>
        </w:rPr>
        <w:t xml:space="preserve"> mil veinticinco</w:t>
      </w:r>
      <w:r w:rsidR="00286DF8" w:rsidRPr="0057241C">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74A7EB08" w14:textId="77777777" w:rsidR="009E66E4" w:rsidRPr="0057241C" w:rsidRDefault="009E66E4" w:rsidP="009E66E4">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8F09434" w14:textId="77777777" w:rsidR="009E66E4" w:rsidRPr="0057241C" w:rsidRDefault="009E66E4" w:rsidP="009E66E4">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0728A4B" w14:textId="77777777" w:rsidR="009E66E4" w:rsidRPr="0057241C" w:rsidRDefault="009E66E4" w:rsidP="009E66E4">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53065AA" w14:textId="77777777" w:rsidR="009E66E4" w:rsidRPr="0057241C" w:rsidRDefault="009E66E4" w:rsidP="009E66E4">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CB925DD" w14:textId="77777777" w:rsidR="009E66E4" w:rsidRPr="0057241C" w:rsidRDefault="009E66E4" w:rsidP="009E66E4">
      <w:pPr>
        <w:spacing w:before="240" w:after="240" w:line="360" w:lineRule="auto"/>
        <w:jc w:val="both"/>
        <w:rPr>
          <w:rFonts w:ascii="Palatino Linotype" w:eastAsia="Palatino Linotype" w:hAnsi="Palatino Linotype" w:cs="Palatino Linotype"/>
          <w:strike/>
          <w:sz w:val="22"/>
          <w:szCs w:val="22"/>
        </w:rPr>
      </w:pPr>
      <w:r w:rsidRPr="0057241C">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5EE79E8" w14:textId="77777777" w:rsidR="009E66E4" w:rsidRPr="0057241C" w:rsidRDefault="009E66E4" w:rsidP="009E66E4">
      <w:pPr>
        <w:numPr>
          <w:ilvl w:val="0"/>
          <w:numId w:val="3"/>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68C7A553" w14:textId="77777777" w:rsidR="009E66E4" w:rsidRPr="0057241C" w:rsidRDefault="009E66E4" w:rsidP="009E66E4">
      <w:pPr>
        <w:numPr>
          <w:ilvl w:val="0"/>
          <w:numId w:val="3"/>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Actividad Procesal del interesado. Acciones u omisiones del interesado.</w:t>
      </w:r>
    </w:p>
    <w:p w14:paraId="4E1E5E82" w14:textId="77777777" w:rsidR="009E66E4" w:rsidRPr="0057241C" w:rsidRDefault="009E66E4" w:rsidP="009E66E4">
      <w:pPr>
        <w:numPr>
          <w:ilvl w:val="0"/>
          <w:numId w:val="3"/>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7E1C76A4" w14:textId="77777777" w:rsidR="009E66E4" w:rsidRPr="0057241C" w:rsidRDefault="009E66E4" w:rsidP="009E66E4">
      <w:pPr>
        <w:tabs>
          <w:tab w:val="left" w:pos="567"/>
        </w:tabs>
        <w:spacing w:before="240" w:after="240" w:line="360" w:lineRule="auto"/>
        <w:ind w:left="284"/>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2500747B" w14:textId="77777777" w:rsidR="009E66E4" w:rsidRPr="0057241C" w:rsidRDefault="009E66E4" w:rsidP="009E66E4">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D8152C0" w14:textId="77777777" w:rsidR="009E66E4" w:rsidRPr="0057241C" w:rsidRDefault="009E66E4" w:rsidP="009E66E4">
      <w:pPr>
        <w:spacing w:before="240" w:after="240" w:line="360" w:lineRule="auto"/>
        <w:jc w:val="both"/>
        <w:rPr>
          <w:rFonts w:ascii="Palatino Linotype" w:eastAsia="Palatino Linotype" w:hAnsi="Palatino Linotype" w:cs="Palatino Linotype"/>
          <w:b/>
          <w:sz w:val="22"/>
          <w:szCs w:val="22"/>
        </w:rPr>
      </w:pPr>
      <w:r w:rsidRPr="0057241C">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57241C">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57241C">
        <w:rPr>
          <w:rFonts w:ascii="Palatino Linotype" w:eastAsia="Palatino Linotype" w:hAnsi="Palatino Linotype" w:cs="Palatino Linotype"/>
          <w:sz w:val="22"/>
          <w:szCs w:val="22"/>
        </w:rPr>
        <w:t>, visible en la Gaceta del Seminario Judicial de la Federación con el registro digital 205635.</w:t>
      </w:r>
    </w:p>
    <w:p w14:paraId="05504ED8" w14:textId="77777777" w:rsidR="009E66E4" w:rsidRPr="0057241C" w:rsidRDefault="009E66E4" w:rsidP="009E66E4">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4ED65B2" w14:textId="77777777" w:rsidR="009E66E4" w:rsidRPr="0057241C" w:rsidRDefault="009E66E4" w:rsidP="009E66E4">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52634477" w14:textId="77777777" w:rsidR="009E66E4" w:rsidRPr="0057241C" w:rsidRDefault="009E66E4" w:rsidP="009E66E4">
      <w:pPr>
        <w:spacing w:before="120" w:after="120"/>
        <w:ind w:left="851" w:right="902"/>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 </w:t>
      </w:r>
      <w:r w:rsidRPr="0057241C">
        <w:rPr>
          <w:rFonts w:ascii="Palatino Linotype" w:eastAsia="Palatino Linotype" w:hAnsi="Palatino Linotype" w:cs="Palatino Linotype"/>
          <w:i/>
          <w:sz w:val="22"/>
          <w:szCs w:val="22"/>
        </w:rPr>
        <w:t>“</w:t>
      </w:r>
      <w:r w:rsidRPr="0057241C">
        <w:rPr>
          <w:rFonts w:ascii="Palatino Linotype" w:eastAsia="Palatino Linotype" w:hAnsi="Palatino Linotype" w:cs="Palatino Linotype"/>
          <w:b/>
          <w:i/>
          <w:sz w:val="22"/>
          <w:szCs w:val="22"/>
        </w:rPr>
        <w:t>PLAZO RAZONABLE PARA RESOLVER. DIMENSIÓN Y EFECTOS DE ESTE CONCEPTO CUANDO SE ADUCE EXCESIVA CARGA DE TRABAJO</w:t>
      </w:r>
      <w:r w:rsidRPr="0057241C">
        <w:rPr>
          <w:rFonts w:ascii="Palatino Linotype" w:eastAsia="Palatino Linotype" w:hAnsi="Palatino Linotype" w:cs="Palatino Linotype"/>
          <w:i/>
          <w:sz w:val="22"/>
          <w:szCs w:val="22"/>
        </w:rPr>
        <w:t>.”</w:t>
      </w:r>
      <w:r w:rsidRPr="0057241C">
        <w:rPr>
          <w:rFonts w:ascii="Palatino Linotype" w:eastAsia="Palatino Linotype" w:hAnsi="Palatino Linotype" w:cs="Palatino Linotype"/>
          <w:sz w:val="22"/>
          <w:szCs w:val="22"/>
        </w:rPr>
        <w:t xml:space="preserve"> consultable en el Seminario Judicial de la Federación y su gaceta, con el registro digital 2002351.</w:t>
      </w:r>
    </w:p>
    <w:p w14:paraId="45466B29" w14:textId="77777777" w:rsidR="009E66E4" w:rsidRPr="0057241C" w:rsidRDefault="009E66E4" w:rsidP="009E66E4">
      <w:pPr>
        <w:spacing w:before="120" w:after="120"/>
        <w:ind w:left="851" w:right="902"/>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i/>
          <w:sz w:val="22"/>
          <w:szCs w:val="22"/>
        </w:rPr>
        <w:t>“</w:t>
      </w:r>
      <w:r w:rsidRPr="0057241C">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57241C">
        <w:rPr>
          <w:rFonts w:ascii="Palatino Linotype" w:eastAsia="Palatino Linotype" w:hAnsi="Palatino Linotype" w:cs="Palatino Linotype"/>
          <w:i/>
          <w:sz w:val="22"/>
          <w:szCs w:val="22"/>
        </w:rPr>
        <w:t>.”</w:t>
      </w:r>
      <w:r w:rsidRPr="0057241C">
        <w:rPr>
          <w:rFonts w:ascii="Palatino Linotype" w:eastAsia="Palatino Linotype" w:hAnsi="Palatino Linotype" w:cs="Palatino Linotype"/>
          <w:sz w:val="22"/>
          <w:szCs w:val="22"/>
        </w:rPr>
        <w:t>, visible en el Seminario Judicial de la Federación y su gaceta, con el registro digital 2002350.</w:t>
      </w:r>
    </w:p>
    <w:p w14:paraId="3989ED3F" w14:textId="1A3CC7BE" w:rsidR="009E66E4" w:rsidRPr="0057241C" w:rsidRDefault="009E66E4" w:rsidP="009E66E4">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7B0FA1BD" w14:textId="77777777" w:rsidR="00562A90" w:rsidRPr="0057241C" w:rsidRDefault="0062255D">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1BCBDF5" w14:textId="77777777" w:rsidR="00562A90" w:rsidRPr="0057241C" w:rsidRDefault="0062255D">
      <w:pPr>
        <w:widowControl w:val="0"/>
        <w:spacing w:before="240" w:after="240" w:line="360" w:lineRule="auto"/>
        <w:jc w:val="center"/>
        <w:rPr>
          <w:rFonts w:ascii="Palatino Linotype" w:eastAsia="Palatino Linotype" w:hAnsi="Palatino Linotype" w:cs="Palatino Linotype"/>
          <w:b/>
          <w:sz w:val="22"/>
          <w:szCs w:val="22"/>
        </w:rPr>
      </w:pPr>
      <w:r w:rsidRPr="0057241C">
        <w:rPr>
          <w:rFonts w:ascii="Palatino Linotype" w:eastAsia="Palatino Linotype" w:hAnsi="Palatino Linotype" w:cs="Palatino Linotype"/>
          <w:b/>
          <w:sz w:val="22"/>
          <w:szCs w:val="22"/>
        </w:rPr>
        <w:t>II. C O N S I D E R A N D O S</w:t>
      </w:r>
    </w:p>
    <w:p w14:paraId="60D021DD" w14:textId="6369A956" w:rsidR="00562A90" w:rsidRPr="0057241C" w:rsidRDefault="0062255D">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b/>
          <w:sz w:val="22"/>
          <w:szCs w:val="22"/>
        </w:rPr>
        <w:t>Primero. Competencia.</w:t>
      </w:r>
      <w:r w:rsidRPr="0057241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5D5DC9" w:rsidRPr="0057241C">
        <w:rPr>
          <w:rFonts w:ascii="Palatino Linotype" w:eastAsia="Palatino Linotype" w:hAnsi="Palatino Linotype" w:cs="Palatino Linotype"/>
          <w:sz w:val="22"/>
          <w:szCs w:val="22"/>
        </w:rPr>
        <w:t>5</w:t>
      </w:r>
      <w:r w:rsidR="000E700F" w:rsidRPr="0057241C">
        <w:rPr>
          <w:rFonts w:ascii="Palatino Linotype" w:eastAsia="Palatino Linotype" w:hAnsi="Palatino Linotype" w:cs="Palatino Linotype"/>
          <w:sz w:val="22"/>
          <w:szCs w:val="22"/>
        </w:rPr>
        <w:t>,</w:t>
      </w:r>
      <w:r w:rsidR="005D5DC9" w:rsidRPr="0057241C">
        <w:rPr>
          <w:rFonts w:ascii="Palatino Linotype" w:eastAsia="Palatino Linotype" w:hAnsi="Palatino Linotype" w:cs="Palatino Linotype"/>
          <w:sz w:val="22"/>
          <w:szCs w:val="22"/>
        </w:rPr>
        <w:t xml:space="preserve"> párrafos </w:t>
      </w:r>
      <w:r w:rsidR="000E700F" w:rsidRPr="0057241C">
        <w:rPr>
          <w:rFonts w:ascii="Palatino Linotype" w:eastAsia="Palatino Linotype" w:hAnsi="Palatino Linotype" w:cs="Palatino Linotype"/>
          <w:sz w:val="22"/>
          <w:szCs w:val="22"/>
        </w:rPr>
        <w:t>cuadragésimo cuarto, cuadragésimo quinto cuadragésimo sexto,</w:t>
      </w:r>
      <w:r w:rsidR="005D5DC9" w:rsidRPr="0057241C">
        <w:rPr>
          <w:rFonts w:ascii="Palatino Linotype" w:eastAsia="Palatino Linotype" w:hAnsi="Palatino Linotype" w:cs="Palatino Linotype"/>
          <w:sz w:val="22"/>
          <w:szCs w:val="22"/>
        </w:rPr>
        <w:t xml:space="preserve"> fracciones IV y V de la Constitución Política del Estado Libre y Soberano de México; Transitorio Cuarto, párrafo segundo del Decreto número 198 de la “LXII” Legislatura del Estado de México;</w:t>
      </w:r>
      <w:r w:rsidRPr="0057241C">
        <w:rPr>
          <w:rFonts w:ascii="Palatino Linotype" w:eastAsia="Palatino Linotype" w:hAnsi="Palatino Linotype" w:cs="Palatino Linotype"/>
          <w:sz w:val="22"/>
          <w:szCs w:val="22"/>
        </w:rPr>
        <w:t xml:space="preserve">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BB00E87" w14:textId="77777777" w:rsidR="00562A90" w:rsidRPr="0057241C" w:rsidRDefault="0062255D">
      <w:pPr>
        <w:spacing w:before="240" w:after="240" w:line="360" w:lineRule="auto"/>
        <w:jc w:val="both"/>
        <w:rPr>
          <w:rFonts w:ascii="Palatino Linotype" w:eastAsia="Palatino Linotype" w:hAnsi="Palatino Linotype" w:cs="Palatino Linotype"/>
          <w:sz w:val="22"/>
          <w:szCs w:val="22"/>
        </w:rPr>
      </w:pPr>
      <w:bookmarkStart w:id="8" w:name="_heading=h.tyjcwt" w:colFirst="0" w:colLast="0"/>
      <w:bookmarkEnd w:id="8"/>
      <w:r w:rsidRPr="0057241C">
        <w:rPr>
          <w:rFonts w:ascii="Palatino Linotype" w:eastAsia="Palatino Linotype" w:hAnsi="Palatino Linotype" w:cs="Palatino Linotype"/>
          <w:b/>
          <w:sz w:val="22"/>
          <w:szCs w:val="22"/>
        </w:rPr>
        <w:t>Segundo. Oportunidad y Procedibilidad del Recurso de Revisión</w:t>
      </w:r>
      <w:r w:rsidRPr="0057241C">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C2A1275" w14:textId="5C31069F" w:rsidR="00562A90" w:rsidRPr="0057241C" w:rsidRDefault="0062255D">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57241C">
        <w:rPr>
          <w:rFonts w:ascii="Palatino Linotype" w:eastAsia="Palatino Linotype" w:hAnsi="Palatino Linotype" w:cs="Palatino Linotype"/>
          <w:b/>
          <w:sz w:val="22"/>
          <w:szCs w:val="22"/>
        </w:rPr>
        <w:t xml:space="preserve">Sujeto Obligado </w:t>
      </w:r>
      <w:r w:rsidRPr="0057241C">
        <w:rPr>
          <w:rFonts w:ascii="Palatino Linotype" w:eastAsia="Palatino Linotype" w:hAnsi="Palatino Linotype" w:cs="Palatino Linotype"/>
          <w:sz w:val="22"/>
          <w:szCs w:val="22"/>
        </w:rPr>
        <w:t xml:space="preserve">remitió la respuesta a la solicitud de información el día </w:t>
      </w:r>
      <w:r w:rsidR="0004748F" w:rsidRPr="0057241C">
        <w:rPr>
          <w:rFonts w:ascii="Palatino Linotype" w:eastAsia="Palatino Linotype" w:hAnsi="Palatino Linotype" w:cs="Palatino Linotype"/>
          <w:b/>
          <w:sz w:val="22"/>
          <w:szCs w:val="22"/>
        </w:rPr>
        <w:t>nueve de septiembre</w:t>
      </w:r>
      <w:r w:rsidR="00F84EDF" w:rsidRPr="0057241C">
        <w:rPr>
          <w:rFonts w:ascii="Palatino Linotype" w:eastAsia="Palatino Linotype" w:hAnsi="Palatino Linotype" w:cs="Palatino Linotype"/>
          <w:b/>
          <w:sz w:val="22"/>
          <w:szCs w:val="22"/>
        </w:rPr>
        <w:t xml:space="preserve"> </w:t>
      </w:r>
      <w:r w:rsidRPr="0057241C">
        <w:rPr>
          <w:rFonts w:ascii="Palatino Linotype" w:eastAsia="Palatino Linotype" w:hAnsi="Palatino Linotype" w:cs="Palatino Linotype"/>
          <w:b/>
          <w:sz w:val="22"/>
          <w:szCs w:val="22"/>
        </w:rPr>
        <w:t xml:space="preserve">de dos mil veinticinco, </w:t>
      </w:r>
      <w:r w:rsidRPr="0057241C">
        <w:rPr>
          <w:rFonts w:ascii="Palatino Linotype" w:eastAsia="Palatino Linotype" w:hAnsi="Palatino Linotype" w:cs="Palatino Linotype"/>
          <w:sz w:val="22"/>
          <w:szCs w:val="22"/>
        </w:rPr>
        <w:t xml:space="preserve">mientras que el recurso de revisión interpuesto por la parte </w:t>
      </w:r>
      <w:r w:rsidRPr="0057241C">
        <w:rPr>
          <w:rFonts w:ascii="Palatino Linotype" w:eastAsia="Palatino Linotype" w:hAnsi="Palatino Linotype" w:cs="Palatino Linotype"/>
          <w:b/>
          <w:sz w:val="22"/>
          <w:szCs w:val="22"/>
        </w:rPr>
        <w:t xml:space="preserve">Recurrente, </w:t>
      </w:r>
      <w:r w:rsidRPr="0057241C">
        <w:rPr>
          <w:rFonts w:ascii="Palatino Linotype" w:eastAsia="Palatino Linotype" w:hAnsi="Palatino Linotype" w:cs="Palatino Linotype"/>
          <w:sz w:val="22"/>
          <w:szCs w:val="22"/>
        </w:rPr>
        <w:t>se tuvo por presentado el día</w:t>
      </w:r>
      <w:r w:rsidR="009E66E4" w:rsidRPr="0057241C">
        <w:rPr>
          <w:rFonts w:ascii="Palatino Linotype" w:eastAsia="Palatino Linotype" w:hAnsi="Palatino Linotype" w:cs="Palatino Linotype"/>
          <w:b/>
          <w:sz w:val="22"/>
          <w:szCs w:val="22"/>
        </w:rPr>
        <w:t xml:space="preserve"> </w:t>
      </w:r>
      <w:r w:rsidR="0004748F" w:rsidRPr="0057241C">
        <w:rPr>
          <w:rFonts w:ascii="Palatino Linotype" w:eastAsia="Palatino Linotype" w:hAnsi="Palatino Linotype" w:cs="Palatino Linotype"/>
          <w:b/>
          <w:sz w:val="22"/>
          <w:szCs w:val="22"/>
        </w:rPr>
        <w:t xml:space="preserve">diecisiete </w:t>
      </w:r>
      <w:r w:rsidR="00A25935" w:rsidRPr="0057241C">
        <w:rPr>
          <w:rFonts w:ascii="Palatino Linotype" w:eastAsia="Palatino Linotype" w:hAnsi="Palatino Linotype" w:cs="Palatino Linotype"/>
          <w:b/>
          <w:sz w:val="22"/>
          <w:szCs w:val="22"/>
        </w:rPr>
        <w:t xml:space="preserve">de septiembre </w:t>
      </w:r>
      <w:r w:rsidRPr="0057241C">
        <w:rPr>
          <w:rFonts w:ascii="Palatino Linotype" w:eastAsia="Palatino Linotype" w:hAnsi="Palatino Linotype" w:cs="Palatino Linotype"/>
          <w:b/>
          <w:sz w:val="22"/>
          <w:szCs w:val="22"/>
        </w:rPr>
        <w:t xml:space="preserve">de dos mil veinticinco, </w:t>
      </w:r>
      <w:r w:rsidRPr="0057241C">
        <w:rPr>
          <w:rFonts w:ascii="Palatino Linotype" w:eastAsia="Palatino Linotype" w:hAnsi="Palatino Linotype" w:cs="Palatino Linotype"/>
          <w:sz w:val="22"/>
          <w:szCs w:val="22"/>
        </w:rPr>
        <w:t xml:space="preserve">esto es, </w:t>
      </w:r>
      <w:r w:rsidR="00554CDE" w:rsidRPr="0057241C">
        <w:rPr>
          <w:rFonts w:ascii="Palatino Linotype" w:eastAsia="Palatino Linotype" w:hAnsi="Palatino Linotype" w:cs="Palatino Linotype"/>
          <w:sz w:val="22"/>
          <w:szCs w:val="22"/>
        </w:rPr>
        <w:t xml:space="preserve">el </w:t>
      </w:r>
      <w:r w:rsidR="00CA54A3" w:rsidRPr="0057241C">
        <w:rPr>
          <w:rFonts w:ascii="Palatino Linotype" w:eastAsia="Palatino Linotype" w:hAnsi="Palatino Linotype" w:cs="Palatino Linotype"/>
          <w:sz w:val="22"/>
          <w:szCs w:val="22"/>
        </w:rPr>
        <w:t>cuarto</w:t>
      </w:r>
      <w:r w:rsidR="00554CDE" w:rsidRPr="0057241C">
        <w:rPr>
          <w:rFonts w:ascii="Palatino Linotype" w:eastAsia="Palatino Linotype" w:hAnsi="Palatino Linotype" w:cs="Palatino Linotype"/>
          <w:sz w:val="22"/>
          <w:szCs w:val="22"/>
        </w:rPr>
        <w:t xml:space="preserve"> día</w:t>
      </w:r>
      <w:r w:rsidRPr="0057241C">
        <w:rPr>
          <w:rFonts w:ascii="Palatino Linotype" w:eastAsia="Palatino Linotype" w:hAnsi="Palatino Linotype" w:cs="Palatino Linotype"/>
          <w:sz w:val="22"/>
          <w:szCs w:val="22"/>
        </w:rPr>
        <w:t xml:space="preserve"> </w:t>
      </w:r>
      <w:r w:rsidR="00F84EDF" w:rsidRPr="0057241C">
        <w:rPr>
          <w:rFonts w:ascii="Palatino Linotype" w:eastAsia="Palatino Linotype" w:hAnsi="Palatino Linotype" w:cs="Palatino Linotype"/>
          <w:sz w:val="22"/>
          <w:szCs w:val="22"/>
        </w:rPr>
        <w:t xml:space="preserve">hábil posterior a aquel </w:t>
      </w:r>
      <w:r w:rsidRPr="0057241C">
        <w:rPr>
          <w:rFonts w:ascii="Palatino Linotype" w:eastAsia="Palatino Linotype" w:hAnsi="Palatino Linotype" w:cs="Palatino Linotype"/>
          <w:sz w:val="22"/>
          <w:szCs w:val="22"/>
        </w:rPr>
        <w:t>en el que tuvo conocimiento de la respuesta impugnada. En este sentido, se concluye que el presente recurso de revisión se encuentra dentro de los márgenes temporales previstos en las disposiciones legales referidas.</w:t>
      </w:r>
    </w:p>
    <w:p w14:paraId="5BDD471B" w14:textId="77777777" w:rsidR="00A738A8" w:rsidRPr="0057241C" w:rsidRDefault="00A738A8" w:rsidP="00A738A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51C625F6" w14:textId="7D9DAAC1" w:rsidR="00562A90" w:rsidRPr="0057241C" w:rsidRDefault="0062255D">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57241C">
        <w:rPr>
          <w:rFonts w:ascii="Palatino Linotype" w:eastAsia="Palatino Linotype" w:hAnsi="Palatino Linotype" w:cs="Palatino Linotype"/>
          <w:b/>
          <w:sz w:val="22"/>
          <w:szCs w:val="22"/>
        </w:rPr>
        <w:t>Recurrente</w:t>
      </w:r>
      <w:r w:rsidRPr="0057241C">
        <w:rPr>
          <w:rFonts w:ascii="Palatino Linotype" w:eastAsia="Palatino Linotype" w:hAnsi="Palatino Linotype" w:cs="Palatino Linotype"/>
          <w:sz w:val="22"/>
          <w:szCs w:val="22"/>
        </w:rPr>
        <w:t xml:space="preserve"> en sus motivos de inconformidad, de acuerdo al artículo 179, fracci</w:t>
      </w:r>
      <w:r w:rsidR="00A738A8" w:rsidRPr="0057241C">
        <w:rPr>
          <w:rFonts w:ascii="Palatino Linotype" w:eastAsia="Palatino Linotype" w:hAnsi="Palatino Linotype" w:cs="Palatino Linotype"/>
          <w:sz w:val="22"/>
          <w:szCs w:val="22"/>
        </w:rPr>
        <w:t>ón</w:t>
      </w:r>
      <w:r w:rsidR="00F94A8A" w:rsidRPr="0057241C">
        <w:rPr>
          <w:rFonts w:ascii="Palatino Linotype" w:eastAsia="Palatino Linotype" w:hAnsi="Palatino Linotype" w:cs="Palatino Linotype"/>
          <w:sz w:val="22"/>
          <w:szCs w:val="22"/>
        </w:rPr>
        <w:t xml:space="preserve"> I </w:t>
      </w:r>
      <w:r w:rsidRPr="0057241C">
        <w:rPr>
          <w:rFonts w:ascii="Palatino Linotype" w:eastAsia="Palatino Linotype" w:hAnsi="Palatino Linotype" w:cs="Palatino Linotype"/>
          <w:sz w:val="22"/>
          <w:szCs w:val="22"/>
        </w:rPr>
        <w:t>del ordenamiento legal citado, que a la letra dice: </w:t>
      </w:r>
    </w:p>
    <w:p w14:paraId="39AB3B04" w14:textId="77777777" w:rsidR="00562A90" w:rsidRPr="0057241C" w:rsidRDefault="0062255D" w:rsidP="00AF51BA">
      <w:pPr>
        <w:tabs>
          <w:tab w:val="left" w:pos="7938"/>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r w:rsidRPr="0057241C">
        <w:rPr>
          <w:rFonts w:ascii="Palatino Linotype" w:eastAsia="Palatino Linotype" w:hAnsi="Palatino Linotype" w:cs="Palatino Linotype"/>
          <w:b/>
          <w:i/>
          <w:sz w:val="22"/>
          <w:szCs w:val="22"/>
        </w:rPr>
        <w:t>Artículo 179.</w:t>
      </w:r>
      <w:r w:rsidRPr="0057241C">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3246CF6" w14:textId="0F0F651D" w:rsidR="00F94A8A" w:rsidRPr="0057241C" w:rsidRDefault="00F94A8A" w:rsidP="00AF51BA">
      <w:pPr>
        <w:tabs>
          <w:tab w:val="left" w:pos="7938"/>
        </w:tabs>
        <w:spacing w:before="120" w:after="12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bCs/>
          <w:i/>
          <w:sz w:val="22"/>
          <w:szCs w:val="22"/>
        </w:rPr>
        <w:t>I.</w:t>
      </w:r>
      <w:r w:rsidRPr="0057241C">
        <w:rPr>
          <w:rFonts w:ascii="Palatino Linotype" w:eastAsia="Palatino Linotype" w:hAnsi="Palatino Linotype" w:cs="Palatino Linotype"/>
          <w:i/>
          <w:sz w:val="22"/>
          <w:szCs w:val="22"/>
        </w:rPr>
        <w:t xml:space="preserve"> La negativa a la información solicitada;</w:t>
      </w:r>
    </w:p>
    <w:p w14:paraId="217B120C" w14:textId="0D71E4BA" w:rsidR="00562A90" w:rsidRPr="0057241C" w:rsidRDefault="0062255D" w:rsidP="00A738A8">
      <w:pPr>
        <w:tabs>
          <w:tab w:val="left" w:pos="7938"/>
        </w:tabs>
        <w:spacing w:before="120" w:after="12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p>
    <w:p w14:paraId="09700F89" w14:textId="77777777" w:rsidR="00562A90" w:rsidRPr="0057241C" w:rsidRDefault="0062255D">
      <w:pPr>
        <w:spacing w:before="240" w:after="240" w:line="360" w:lineRule="auto"/>
        <w:jc w:val="both"/>
        <w:rPr>
          <w:rFonts w:ascii="Palatino Linotype" w:eastAsia="Palatino Linotype" w:hAnsi="Palatino Linotype" w:cs="Palatino Linotype"/>
          <w:b/>
          <w:sz w:val="22"/>
          <w:szCs w:val="22"/>
        </w:rPr>
      </w:pPr>
      <w:r w:rsidRPr="0057241C">
        <w:rPr>
          <w:rFonts w:ascii="Palatino Linotype" w:eastAsia="Palatino Linotype" w:hAnsi="Palatino Linotype" w:cs="Palatino Linotype"/>
          <w:b/>
          <w:sz w:val="22"/>
          <w:szCs w:val="22"/>
        </w:rPr>
        <w:t xml:space="preserve">Tercero. Materia de la revisión. </w:t>
      </w:r>
      <w:r w:rsidRPr="0057241C">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57241C">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57241C">
        <w:rPr>
          <w:rFonts w:ascii="Palatino Linotype" w:eastAsia="Palatino Linotype" w:hAnsi="Palatino Linotype" w:cs="Palatino Linotype"/>
          <w:sz w:val="22"/>
          <w:szCs w:val="22"/>
        </w:rPr>
        <w:t xml:space="preserve">de la parte </w:t>
      </w:r>
      <w:r w:rsidRPr="0057241C">
        <w:rPr>
          <w:rFonts w:ascii="Palatino Linotype" w:eastAsia="Palatino Linotype" w:hAnsi="Palatino Linotype" w:cs="Palatino Linotype"/>
          <w:b/>
          <w:sz w:val="22"/>
          <w:szCs w:val="22"/>
        </w:rPr>
        <w:t>Recurrente</w:t>
      </w:r>
      <w:r w:rsidRPr="0057241C">
        <w:rPr>
          <w:rFonts w:ascii="Palatino Linotype" w:eastAsia="Palatino Linotype" w:hAnsi="Palatino Linotype" w:cs="Palatino Linotype"/>
          <w:sz w:val="22"/>
          <w:szCs w:val="22"/>
        </w:rPr>
        <w:t>, o en su defecto, en caso de ser procedente, ordenar la entrega de información.</w:t>
      </w:r>
    </w:p>
    <w:p w14:paraId="2B109E96" w14:textId="77777777" w:rsidR="00562A90" w:rsidRPr="0057241C" w:rsidRDefault="0062255D">
      <w:pPr>
        <w:spacing w:before="240" w:after="240" w:line="360" w:lineRule="auto"/>
        <w:jc w:val="both"/>
        <w:rPr>
          <w:rFonts w:ascii="Palatino Linotype" w:eastAsia="Palatino Linotype" w:hAnsi="Palatino Linotype" w:cs="Palatino Linotype"/>
          <w:sz w:val="22"/>
          <w:szCs w:val="22"/>
        </w:rPr>
      </w:pPr>
      <w:bookmarkStart w:id="9" w:name="_heading=h.2et92p0" w:colFirst="0" w:colLast="0"/>
      <w:bookmarkEnd w:id="9"/>
      <w:r w:rsidRPr="0057241C">
        <w:rPr>
          <w:rFonts w:ascii="Palatino Linotype" w:eastAsia="Palatino Linotype" w:hAnsi="Palatino Linotype" w:cs="Palatino Linotype"/>
          <w:b/>
          <w:sz w:val="22"/>
          <w:szCs w:val="22"/>
        </w:rPr>
        <w:t xml:space="preserve">Cuarto. Estudio del asunto. </w:t>
      </w:r>
      <w:r w:rsidRPr="0057241C">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7A0B397" w14:textId="77777777" w:rsidR="00562A90" w:rsidRPr="0057241C" w:rsidRDefault="0062255D">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r w:rsidRPr="0057241C">
        <w:rPr>
          <w:rFonts w:ascii="Palatino Linotype" w:eastAsia="Palatino Linotype" w:hAnsi="Palatino Linotype" w:cs="Palatino Linotype"/>
          <w:b/>
          <w:i/>
          <w:sz w:val="22"/>
          <w:szCs w:val="22"/>
        </w:rPr>
        <w:t>Artículo 4</w:t>
      </w:r>
      <w:r w:rsidRPr="0057241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B166C31" w14:textId="77777777" w:rsidR="00562A90" w:rsidRPr="0057241C" w:rsidRDefault="0062255D">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7241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6416075" w14:textId="77777777" w:rsidR="00562A90" w:rsidRPr="0057241C" w:rsidRDefault="0062255D">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57241C">
        <w:rPr>
          <w:rFonts w:ascii="Palatino Linotype" w:eastAsia="Palatino Linotype" w:hAnsi="Palatino Linotype" w:cs="Palatino Linotype"/>
          <w:i/>
          <w:sz w:val="22"/>
          <w:szCs w:val="22"/>
        </w:rPr>
        <w:t>.”</w:t>
      </w:r>
    </w:p>
    <w:p w14:paraId="651E1502" w14:textId="77777777" w:rsidR="00562A90" w:rsidRPr="0057241C" w:rsidRDefault="0062255D">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E18E9E2" w14:textId="77777777" w:rsidR="00562A90" w:rsidRPr="0057241C" w:rsidRDefault="0062255D">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“Artículo 12.-</w:t>
      </w:r>
      <w:r w:rsidRPr="0057241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CD15C1E" w14:textId="77777777" w:rsidR="00562A90" w:rsidRPr="0057241C" w:rsidRDefault="0062255D">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57241C">
        <w:rPr>
          <w:rFonts w:ascii="Palatino Linotype" w:eastAsia="Palatino Linotype" w:hAnsi="Palatino Linotype" w:cs="Palatino Linotype"/>
          <w:i/>
          <w:sz w:val="22"/>
          <w:szCs w:val="22"/>
        </w:rPr>
        <w:t xml:space="preserve">. </w:t>
      </w:r>
      <w:r w:rsidRPr="0057241C">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76C7BCA4" w14:textId="77777777" w:rsidR="00562A90" w:rsidRPr="0057241C" w:rsidRDefault="0062255D">
      <w:pPr>
        <w:spacing w:before="240" w:after="240" w:line="360" w:lineRule="auto"/>
        <w:ind w:right="-93"/>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679CE64C" w14:textId="77777777" w:rsidR="00562A90" w:rsidRPr="0057241C" w:rsidRDefault="0062255D">
      <w:pPr>
        <w:spacing w:before="240" w:after="240" w:line="360" w:lineRule="auto"/>
        <w:jc w:val="both"/>
        <w:rPr>
          <w:rFonts w:ascii="Palatino Linotype" w:eastAsia="Palatino Linotype" w:hAnsi="Palatino Linotype" w:cs="Palatino Linotype"/>
          <w:b/>
          <w:sz w:val="22"/>
          <w:szCs w:val="22"/>
        </w:rPr>
      </w:pPr>
      <w:r w:rsidRPr="0057241C">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57241C">
        <w:rPr>
          <w:rFonts w:ascii="Palatino Linotype" w:eastAsia="Palatino Linotype" w:hAnsi="Palatino Linotype" w:cs="Palatino Linotype"/>
          <w:b/>
          <w:sz w:val="22"/>
          <w:szCs w:val="22"/>
        </w:rPr>
        <w:t xml:space="preserve"> </w:t>
      </w:r>
    </w:p>
    <w:p w14:paraId="093BE23B" w14:textId="77777777" w:rsidR="00562A90" w:rsidRPr="0057241C" w:rsidRDefault="0062255D">
      <w:pPr>
        <w:spacing w:before="120" w:after="120"/>
        <w:ind w:left="1134"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 xml:space="preserve"> “</w:t>
      </w:r>
      <w:r w:rsidRPr="0057241C">
        <w:rPr>
          <w:rFonts w:ascii="Palatino Linotype" w:eastAsia="Palatino Linotype" w:hAnsi="Palatino Linotype" w:cs="Palatino Linotype"/>
          <w:b/>
          <w:i/>
          <w:sz w:val="22"/>
          <w:szCs w:val="22"/>
        </w:rPr>
        <w:t>No existe obligación de elaborar documentos ad hoc para atender las solicitudes de acceso a la información.</w:t>
      </w:r>
      <w:r w:rsidRPr="0057241C">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962A522" w14:textId="77777777" w:rsidR="00562A90" w:rsidRPr="0057241C" w:rsidRDefault="0062255D">
      <w:pPr>
        <w:spacing w:before="120" w:after="12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865EFEE" w14:textId="77777777" w:rsidR="00562A90" w:rsidRPr="0057241C" w:rsidRDefault="0062255D">
      <w:pPr>
        <w:spacing w:before="120" w:after="12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9B24A7D" w14:textId="77777777" w:rsidR="00562A90" w:rsidRPr="0057241C" w:rsidRDefault="0062255D" w:rsidP="00AF51BA">
      <w:pPr>
        <w:tabs>
          <w:tab w:val="left" w:pos="993"/>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r w:rsidRPr="0057241C">
        <w:rPr>
          <w:rFonts w:ascii="Palatino Linotype" w:eastAsia="Palatino Linotype" w:hAnsi="Palatino Linotype" w:cs="Palatino Linotype"/>
          <w:b/>
          <w:i/>
          <w:sz w:val="22"/>
          <w:szCs w:val="22"/>
        </w:rPr>
        <w:t xml:space="preserve">Artículo 3. </w:t>
      </w:r>
      <w:r w:rsidRPr="0057241C">
        <w:rPr>
          <w:rFonts w:ascii="Palatino Linotype" w:eastAsia="Palatino Linotype" w:hAnsi="Palatino Linotype" w:cs="Palatino Linotype"/>
          <w:i/>
          <w:sz w:val="22"/>
          <w:szCs w:val="22"/>
        </w:rPr>
        <w:t>Para los efectos de la presente Ley se entenderá por:</w:t>
      </w:r>
    </w:p>
    <w:p w14:paraId="07E06CC3" w14:textId="77777777" w:rsidR="00562A90" w:rsidRPr="0057241C" w:rsidRDefault="0062255D" w:rsidP="00AF51BA">
      <w:pPr>
        <w:tabs>
          <w:tab w:val="left" w:pos="993"/>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p>
    <w:p w14:paraId="47B93607" w14:textId="77777777" w:rsidR="00562A90" w:rsidRPr="0057241C" w:rsidRDefault="0062255D" w:rsidP="00AF51BA">
      <w:pPr>
        <w:tabs>
          <w:tab w:val="left" w:pos="993"/>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XI. Documento:</w:t>
      </w:r>
      <w:r w:rsidRPr="0057241C">
        <w:rPr>
          <w:rFonts w:ascii="Palatino Linotype" w:eastAsia="Palatino Linotype" w:hAnsi="Palatino Linotype" w:cs="Palatino Linotype"/>
          <w:i/>
          <w:sz w:val="22"/>
          <w:szCs w:val="22"/>
        </w:rPr>
        <w:t xml:space="preserve"> Los expedientes, reportes, estudios, actas</w:t>
      </w:r>
      <w:r w:rsidRPr="0057241C">
        <w:rPr>
          <w:rFonts w:ascii="Palatino Linotype" w:eastAsia="Palatino Linotype" w:hAnsi="Palatino Linotype" w:cs="Palatino Linotype"/>
          <w:b/>
          <w:i/>
          <w:sz w:val="22"/>
          <w:szCs w:val="22"/>
        </w:rPr>
        <w:t>,</w:t>
      </w:r>
      <w:r w:rsidRPr="0057241C">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75A856F" w14:textId="77777777" w:rsidR="00562A90" w:rsidRPr="0057241C" w:rsidRDefault="0062255D">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6BDB376" w14:textId="77777777" w:rsidR="00562A90" w:rsidRPr="0057241C" w:rsidRDefault="0062255D">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sz w:val="22"/>
          <w:szCs w:val="22"/>
        </w:rPr>
        <w:t>“</w:t>
      </w:r>
      <w:r w:rsidRPr="0057241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7241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69AA24A" w14:textId="77777777" w:rsidR="00562A90" w:rsidRPr="0057241C" w:rsidRDefault="0062255D">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550C45B" w14:textId="77777777" w:rsidR="00562A90" w:rsidRPr="0057241C" w:rsidRDefault="0062255D">
      <w:pPr>
        <w:spacing w:before="120" w:after="120"/>
        <w:ind w:left="1134"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68997DE" w14:textId="77777777" w:rsidR="00562A90" w:rsidRPr="0057241C" w:rsidRDefault="0062255D">
      <w:pPr>
        <w:spacing w:before="120" w:after="120"/>
        <w:ind w:left="1134"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1794246D" w14:textId="77777777" w:rsidR="00562A90" w:rsidRPr="0057241C" w:rsidRDefault="0062255D">
      <w:pPr>
        <w:spacing w:before="120" w:after="120"/>
        <w:ind w:left="1134"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294617FB" w14:textId="77777777" w:rsidR="00562A90" w:rsidRPr="0057241C" w:rsidRDefault="0062255D">
      <w:pPr>
        <w:spacing w:before="240" w:after="240" w:line="360" w:lineRule="auto"/>
        <w:ind w:right="51"/>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112BC5F" w14:textId="6AED6107" w:rsidR="00562A90" w:rsidRPr="0057241C" w:rsidRDefault="0062255D">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En el mismo tenor, los artículos 6, apartado A, fracción I, de la Constitución Política de los Estados Unidos Mexicanos y 5,</w:t>
      </w:r>
      <w:r w:rsidR="00CB6CDB" w:rsidRPr="0057241C">
        <w:rPr>
          <w:rFonts w:ascii="Palatino Linotype" w:eastAsia="Palatino Linotype" w:hAnsi="Palatino Linotype" w:cs="Palatino Linotype"/>
          <w:sz w:val="22"/>
          <w:szCs w:val="22"/>
        </w:rPr>
        <w:t xml:space="preserve"> párrafo cuadragésimo sexto,</w:t>
      </w:r>
      <w:r w:rsidRPr="0057241C">
        <w:rPr>
          <w:rFonts w:ascii="Palatino Linotype" w:eastAsia="Palatino Linotype" w:hAnsi="Palatino Linotype" w:cs="Palatino Linotype"/>
          <w:sz w:val="22"/>
          <w:szCs w:val="22"/>
        </w:rPr>
        <w:t xml:space="preserve">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924D1ED" w14:textId="77777777" w:rsidR="00562A90" w:rsidRPr="0057241C" w:rsidRDefault="0062255D">
      <w:pPr>
        <w:spacing w:before="240" w:after="240" w:line="360" w:lineRule="auto"/>
        <w:ind w:right="51"/>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57241C">
        <w:rPr>
          <w:rFonts w:ascii="Palatino Linotype" w:eastAsia="Palatino Linotype" w:hAnsi="Palatino Linotype" w:cs="Palatino Linotype"/>
          <w:b/>
          <w:sz w:val="22"/>
          <w:szCs w:val="22"/>
        </w:rPr>
        <w:t>Recurrente</w:t>
      </w:r>
      <w:r w:rsidRPr="0057241C">
        <w:rPr>
          <w:rFonts w:ascii="Palatino Linotype" w:eastAsia="Palatino Linotype" w:hAnsi="Palatino Linotype" w:cs="Palatino Linotype"/>
          <w:sz w:val="22"/>
          <w:szCs w:val="22"/>
        </w:rPr>
        <w:t xml:space="preserve"> requirió al </w:t>
      </w:r>
      <w:r w:rsidRPr="0057241C">
        <w:rPr>
          <w:rFonts w:ascii="Palatino Linotype" w:eastAsia="Palatino Linotype" w:hAnsi="Palatino Linotype" w:cs="Palatino Linotype"/>
          <w:b/>
          <w:sz w:val="22"/>
          <w:szCs w:val="22"/>
        </w:rPr>
        <w:t xml:space="preserve">Sujeto Obligado </w:t>
      </w:r>
      <w:r w:rsidRPr="0057241C">
        <w:rPr>
          <w:rFonts w:ascii="Palatino Linotype" w:eastAsia="Palatino Linotype" w:hAnsi="Palatino Linotype" w:cs="Palatino Linotype"/>
          <w:sz w:val="22"/>
          <w:szCs w:val="22"/>
        </w:rPr>
        <w:t>le proporcione, información consistente en lo siguiente:</w:t>
      </w:r>
    </w:p>
    <w:p w14:paraId="70FCBAB4" w14:textId="7936F56D" w:rsidR="006B5AD9" w:rsidRPr="0057241C" w:rsidRDefault="006B5AD9" w:rsidP="006B5AD9">
      <w:pPr>
        <w:spacing w:before="240" w:after="240" w:line="360" w:lineRule="auto"/>
        <w:ind w:left="284" w:right="51"/>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1.</w:t>
      </w:r>
      <w:r w:rsidR="00A738A8" w:rsidRPr="0057241C">
        <w:t xml:space="preserve"> </w:t>
      </w:r>
      <w:r w:rsidR="00A738A8" w:rsidRPr="0057241C">
        <w:rPr>
          <w:rFonts w:ascii="Palatino Linotype" w:eastAsia="Palatino Linotype" w:hAnsi="Palatino Linotype" w:cs="Palatino Linotype"/>
          <w:sz w:val="22"/>
          <w:szCs w:val="22"/>
        </w:rPr>
        <w:t>Facturas y contratos de los 35 nuevas vehículos patrulla y las 5 unidades de protección civil comprados o adquiridos en el año 2025 por parte del Ayuntamiento</w:t>
      </w:r>
      <w:r w:rsidRPr="0057241C">
        <w:rPr>
          <w:rFonts w:ascii="Palatino Linotype" w:eastAsia="Palatino Linotype" w:hAnsi="Palatino Linotype" w:cs="Palatino Linotype"/>
          <w:sz w:val="22"/>
          <w:szCs w:val="22"/>
        </w:rPr>
        <w:t>.</w:t>
      </w:r>
    </w:p>
    <w:p w14:paraId="0184AD38" w14:textId="6A0B4E74" w:rsidR="00A738A8" w:rsidRPr="0057241C" w:rsidRDefault="00A738A8" w:rsidP="008203F2">
      <w:pPr>
        <w:spacing w:before="240" w:after="240" w:line="360" w:lineRule="auto"/>
        <w:ind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E</w:t>
      </w:r>
      <w:r w:rsidR="006B5AD9" w:rsidRPr="0057241C">
        <w:rPr>
          <w:rFonts w:ascii="Palatino Linotype" w:eastAsia="Palatino Linotype" w:hAnsi="Palatino Linotype" w:cs="Palatino Linotype"/>
          <w:sz w:val="22"/>
          <w:szCs w:val="22"/>
        </w:rPr>
        <w:t xml:space="preserve">l </w:t>
      </w:r>
      <w:r w:rsidR="006B5AD9" w:rsidRPr="0057241C">
        <w:rPr>
          <w:rFonts w:ascii="Palatino Linotype" w:eastAsia="Palatino Linotype" w:hAnsi="Palatino Linotype" w:cs="Palatino Linotype"/>
          <w:b/>
          <w:bCs/>
          <w:sz w:val="22"/>
          <w:szCs w:val="22"/>
        </w:rPr>
        <w:t xml:space="preserve">Sujeto Obligado, </w:t>
      </w:r>
      <w:r w:rsidR="006B5AD9" w:rsidRPr="0057241C">
        <w:rPr>
          <w:rFonts w:ascii="Palatino Linotype" w:eastAsia="Palatino Linotype" w:hAnsi="Palatino Linotype" w:cs="Palatino Linotype"/>
          <w:sz w:val="22"/>
          <w:szCs w:val="22"/>
        </w:rPr>
        <w:t>por conduct</w:t>
      </w:r>
      <w:r w:rsidRPr="0057241C">
        <w:rPr>
          <w:rFonts w:ascii="Palatino Linotype" w:eastAsia="Palatino Linotype" w:hAnsi="Palatino Linotype" w:cs="Palatino Linotype"/>
          <w:sz w:val="22"/>
          <w:szCs w:val="22"/>
        </w:rPr>
        <w:t>o de la Unidad de Transparencia notificó la respuesta a una solicitud de información diversa, la cual corresponde con el número de folio 00190/TEXCOCO/IP/2025, motivando así la interposición del recurso de revisión por parte de la persona solicitante, por medio del cual manifestó que no le fue proporcionada la información pública solicitada.</w:t>
      </w:r>
    </w:p>
    <w:p w14:paraId="2C213927" w14:textId="77777777" w:rsidR="008468A0" w:rsidRPr="0057241C" w:rsidRDefault="008468A0" w:rsidP="008468A0">
      <w:pPr>
        <w:spacing w:before="240" w:after="240" w:line="360" w:lineRule="auto"/>
        <w:ind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En la etapa de manifestaciones el </w:t>
      </w:r>
      <w:r w:rsidRPr="0057241C">
        <w:rPr>
          <w:rFonts w:ascii="Palatino Linotype" w:eastAsia="Palatino Linotype" w:hAnsi="Palatino Linotype" w:cs="Palatino Linotype"/>
          <w:b/>
          <w:sz w:val="22"/>
          <w:szCs w:val="22"/>
        </w:rPr>
        <w:t xml:space="preserve">Sujeto Obligado </w:t>
      </w:r>
      <w:r w:rsidRPr="0057241C">
        <w:rPr>
          <w:rFonts w:ascii="Palatino Linotype" w:eastAsia="Palatino Linotype" w:hAnsi="Palatino Linotype" w:cs="Palatino Linotype"/>
          <w:sz w:val="22"/>
          <w:szCs w:val="22"/>
        </w:rPr>
        <w:t xml:space="preserve">fue omiso en rendir su informe justificado, y la parte </w:t>
      </w:r>
      <w:r w:rsidRPr="0057241C">
        <w:rPr>
          <w:rFonts w:ascii="Palatino Linotype" w:eastAsia="Palatino Linotype" w:hAnsi="Palatino Linotype" w:cs="Palatino Linotype"/>
          <w:b/>
          <w:sz w:val="22"/>
          <w:szCs w:val="22"/>
        </w:rPr>
        <w:t xml:space="preserve">Recurrente </w:t>
      </w:r>
      <w:r w:rsidRPr="0057241C">
        <w:rPr>
          <w:rFonts w:ascii="Palatino Linotype" w:eastAsia="Palatino Linotype" w:hAnsi="Palatino Linotype" w:cs="Palatino Linotype"/>
          <w:sz w:val="22"/>
          <w:szCs w:val="22"/>
        </w:rPr>
        <w:t>fue omisa en hacer valer manifestaciones o rendir alegatos que conforme a derecho resultaran procedentes, por lo tanto, se tiene por precluido su derecho.</w:t>
      </w:r>
    </w:p>
    <w:p w14:paraId="024D2E84" w14:textId="77777777" w:rsidR="002D3758" w:rsidRPr="0057241C" w:rsidRDefault="002D3758" w:rsidP="002D3758">
      <w:pPr>
        <w:spacing w:before="280" w:after="28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Una vez establecidas las posturas de las partes, se procede al análisis de los requerimientos de información, así como la información proporcionada por el </w:t>
      </w:r>
      <w:r w:rsidRPr="0057241C">
        <w:rPr>
          <w:rFonts w:ascii="Palatino Linotype" w:eastAsia="Palatino Linotype" w:hAnsi="Palatino Linotype" w:cs="Palatino Linotype"/>
          <w:b/>
          <w:sz w:val="22"/>
          <w:szCs w:val="22"/>
        </w:rPr>
        <w:t xml:space="preserve">Sujeto Obligado, </w:t>
      </w:r>
      <w:r w:rsidRPr="0057241C">
        <w:rPr>
          <w:rFonts w:ascii="Palatino Linotype" w:eastAsia="Palatino Linotype" w:hAnsi="Palatino Linotype" w:cs="Palatino Linotype"/>
          <w:sz w:val="22"/>
          <w:szCs w:val="22"/>
        </w:rPr>
        <w:t xml:space="preserve">en contraposición con el motivo de inconformidad alegado por la parte </w:t>
      </w:r>
      <w:r w:rsidRPr="0057241C">
        <w:rPr>
          <w:rFonts w:ascii="Palatino Linotype" w:eastAsia="Palatino Linotype" w:hAnsi="Palatino Linotype" w:cs="Palatino Linotype"/>
          <w:b/>
          <w:sz w:val="22"/>
          <w:szCs w:val="22"/>
        </w:rPr>
        <w:t xml:space="preserve">Recurrente, </w:t>
      </w:r>
      <w:r w:rsidRPr="0057241C">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645414BD" w14:textId="3C054FE8" w:rsidR="008203F2" w:rsidRPr="0057241C" w:rsidRDefault="002D3758" w:rsidP="008203F2">
      <w:pPr>
        <w:spacing w:before="240" w:after="240" w:line="360" w:lineRule="auto"/>
        <w:ind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En este tenor, es</w:t>
      </w:r>
      <w:r w:rsidR="008203F2" w:rsidRPr="0057241C">
        <w:rPr>
          <w:rFonts w:ascii="Palatino Linotype" w:eastAsia="Palatino Linotype" w:hAnsi="Palatino Linotype" w:cs="Palatino Linotype"/>
          <w:sz w:val="22"/>
          <w:szCs w:val="22"/>
        </w:rPr>
        <w:t xml:space="preserve">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08AC7AB1" w14:textId="77777777" w:rsidR="008203F2" w:rsidRPr="0057241C" w:rsidRDefault="008203F2" w:rsidP="008203F2">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5BEB9E95" w14:textId="77777777" w:rsidR="008203F2" w:rsidRPr="0057241C" w:rsidRDefault="008203F2" w:rsidP="008203F2">
      <w:pPr>
        <w:spacing w:before="240" w:after="240" w:line="360" w:lineRule="auto"/>
        <w:ind w:right="51"/>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792FA280" w14:textId="77777777" w:rsidR="008203F2" w:rsidRPr="0057241C" w:rsidRDefault="008203F2" w:rsidP="008203F2">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38065513" w14:textId="148D8DC5" w:rsidR="00344A00" w:rsidRPr="0057241C" w:rsidRDefault="008203F2" w:rsidP="003D2176">
      <w:pPr>
        <w:spacing w:before="240" w:after="240" w:line="360" w:lineRule="auto"/>
        <w:ind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En esta línea de pensamiento, derivado del análisis de las constancias que obran en el expediente electrónico en el que se actúa, se advirtió que la Unidad de Transparencia</w:t>
      </w:r>
      <w:r w:rsidR="00344A00" w:rsidRPr="0057241C">
        <w:rPr>
          <w:rFonts w:ascii="Palatino Linotype" w:eastAsia="Palatino Linotype" w:hAnsi="Palatino Linotype" w:cs="Palatino Linotype"/>
          <w:sz w:val="22"/>
          <w:szCs w:val="22"/>
        </w:rPr>
        <w:t xml:space="preserve">, sin bien turnó la solicitud de información a una servidora pública habilitada para su atención, </w:t>
      </w:r>
      <w:r w:rsidR="00A4663E" w:rsidRPr="0057241C">
        <w:rPr>
          <w:rFonts w:ascii="Palatino Linotype" w:eastAsia="Palatino Linotype" w:hAnsi="Palatino Linotype" w:cs="Palatino Linotype"/>
          <w:sz w:val="22"/>
          <w:szCs w:val="22"/>
        </w:rPr>
        <w:t>esta no dio respuesta al requerimiento, como se observa enseguida:</w:t>
      </w:r>
    </w:p>
    <w:p w14:paraId="15848CB8" w14:textId="160471B2" w:rsidR="00A4663E" w:rsidRPr="0057241C" w:rsidRDefault="00A4663E" w:rsidP="003D2176">
      <w:pPr>
        <w:spacing w:before="240" w:after="240" w:line="360" w:lineRule="auto"/>
        <w:ind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noProof/>
          <w:sz w:val="22"/>
          <w:szCs w:val="22"/>
        </w:rPr>
        <w:drawing>
          <wp:inline distT="0" distB="0" distL="0" distR="0" wp14:anchorId="438A7079" wp14:editId="6AD989F4">
            <wp:extent cx="5612130" cy="85979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859790"/>
                    </a:xfrm>
                    <a:prstGeom prst="rect">
                      <a:avLst/>
                    </a:prstGeom>
                  </pic:spPr>
                </pic:pic>
              </a:graphicData>
            </a:graphic>
          </wp:inline>
        </w:drawing>
      </w:r>
    </w:p>
    <w:p w14:paraId="03B42527" w14:textId="77777777" w:rsidR="0004700B" w:rsidRPr="0057241C" w:rsidRDefault="00A4663E" w:rsidP="003D2176">
      <w:pPr>
        <w:spacing w:before="240" w:after="240" w:line="360" w:lineRule="auto"/>
        <w:ind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Además de lo anterior, es preciso señalar que se desconoce el cargo o el área de adscripción de la servidora pública habilitada, toda vez que de la consulta realizada por este Organismo Garante en la información publicada en el portal de Información Pública de Oficio Mexiquense, IPOMEX, </w:t>
      </w:r>
      <w:r w:rsidR="0004700B" w:rsidRPr="0057241C">
        <w:rPr>
          <w:rFonts w:ascii="Palatino Linotype" w:eastAsia="Palatino Linotype" w:hAnsi="Palatino Linotype" w:cs="Palatino Linotype"/>
          <w:sz w:val="22"/>
          <w:szCs w:val="22"/>
        </w:rPr>
        <w:t xml:space="preserve">en cumplimiento a las obligaciones de transparencia establecidas en el artículo 92, fracciones VII, VIII y XXI de la Ley de Transparencia y Acceso a la Información Pública del Estado de México y Municipios,  relativa al directorio las remuneraciones y la información curricular de todos los servidores públicos, </w:t>
      </w:r>
      <w:r w:rsidRPr="0057241C">
        <w:rPr>
          <w:rFonts w:ascii="Palatino Linotype" w:eastAsia="Palatino Linotype" w:hAnsi="Palatino Linotype" w:cs="Palatino Linotype"/>
          <w:sz w:val="22"/>
          <w:szCs w:val="22"/>
        </w:rPr>
        <w:t xml:space="preserve">no se localizó </w:t>
      </w:r>
      <w:r w:rsidR="0004700B" w:rsidRPr="0057241C">
        <w:rPr>
          <w:rFonts w:ascii="Palatino Linotype" w:eastAsia="Palatino Linotype" w:hAnsi="Palatino Linotype" w:cs="Palatino Linotype"/>
          <w:sz w:val="22"/>
          <w:szCs w:val="22"/>
        </w:rPr>
        <w:t>dicha información.</w:t>
      </w:r>
    </w:p>
    <w:p w14:paraId="05B52D73" w14:textId="45CC17BB" w:rsidR="002D3758" w:rsidRPr="0057241C" w:rsidRDefault="00396F4F" w:rsidP="003D2176">
      <w:pPr>
        <w:spacing w:before="240" w:after="240" w:line="360" w:lineRule="auto"/>
        <w:ind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Atento a lo anterior, no se puede determinar</w:t>
      </w:r>
      <w:r w:rsidR="0004700B" w:rsidRPr="0057241C">
        <w:rPr>
          <w:rFonts w:ascii="Palatino Linotype" w:eastAsia="Palatino Linotype" w:hAnsi="Palatino Linotype" w:cs="Palatino Linotype"/>
          <w:sz w:val="22"/>
          <w:szCs w:val="22"/>
        </w:rPr>
        <w:t xml:space="preserve"> que </w:t>
      </w:r>
      <w:r w:rsidRPr="0057241C">
        <w:rPr>
          <w:rFonts w:ascii="Palatino Linotype" w:eastAsia="Palatino Linotype" w:hAnsi="Palatino Linotype" w:cs="Palatino Linotype"/>
          <w:sz w:val="22"/>
          <w:szCs w:val="22"/>
        </w:rPr>
        <w:t xml:space="preserve">en el presente asunto, se haya garantizado o no </w:t>
      </w:r>
      <w:r w:rsidR="000621BD" w:rsidRPr="0057241C">
        <w:rPr>
          <w:rFonts w:ascii="Palatino Linotype" w:eastAsia="Palatino Linotype" w:hAnsi="Palatino Linotype" w:cs="Palatino Linotype"/>
          <w:sz w:val="22"/>
          <w:szCs w:val="22"/>
        </w:rPr>
        <w:t xml:space="preserve">el procedimiento de búsqueda, el cual se constituye como la garantía primaria del derecho humano de acceso a la información pública, y se rige por los principios de simplicidad, rapidez, gratuidad del procedimiento, auxilio y orientación a los particulares con el fin de otorgar la protección más amplia de este derecho, vulnerando con ello el Derecho de acceso dela persona solicitante, al no tener certeza de la existencia o </w:t>
      </w:r>
      <w:r w:rsidRPr="0057241C">
        <w:rPr>
          <w:rFonts w:ascii="Palatino Linotype" w:eastAsia="Palatino Linotype" w:hAnsi="Palatino Linotype" w:cs="Palatino Linotype"/>
          <w:sz w:val="22"/>
          <w:szCs w:val="22"/>
        </w:rPr>
        <w:t xml:space="preserve">inexistencia de la información. </w:t>
      </w:r>
    </w:p>
    <w:p w14:paraId="01B8F5D6" w14:textId="77777777" w:rsidR="007808C6" w:rsidRPr="0057241C" w:rsidRDefault="00B93B88" w:rsidP="003D2176">
      <w:pPr>
        <w:spacing w:before="240" w:after="240" w:line="360" w:lineRule="auto"/>
        <w:ind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En tal contexto, se estima que para tener por satisfecho el Derecho de acceso, es necesario que, previa búsqueda exhaustiva y razonable en los archivos del área competente se haga entrega del o los documentos que den cuenta de lo solicitado, en versión pública de ser procedente, de conformidad con el considerando siguiente.</w:t>
      </w:r>
    </w:p>
    <w:p w14:paraId="088A7EF4" w14:textId="19211163" w:rsidR="0004700B" w:rsidRPr="0057241C" w:rsidRDefault="007808C6" w:rsidP="003D2176">
      <w:pPr>
        <w:spacing w:before="240" w:after="240" w:line="360" w:lineRule="auto"/>
        <w:ind w:right="49"/>
        <w:jc w:val="both"/>
        <w:rPr>
          <w:rFonts w:ascii="Palatino Linotype" w:hAnsi="Palatino Linotype"/>
          <w:sz w:val="22"/>
          <w:szCs w:val="22"/>
        </w:rPr>
      </w:pPr>
      <w:r w:rsidRPr="0057241C">
        <w:rPr>
          <w:rFonts w:ascii="Palatino Linotype" w:eastAsia="Palatino Linotype" w:hAnsi="Palatino Linotype" w:cs="Palatino Linotype"/>
          <w:sz w:val="22"/>
          <w:szCs w:val="22"/>
        </w:rPr>
        <w:t xml:space="preserve">Para tales efectos, es oportuno mencionar que de conformidad con el artículo </w:t>
      </w:r>
      <w:r w:rsidR="0004700B" w:rsidRPr="0057241C">
        <w:rPr>
          <w:rFonts w:ascii="Palatino Linotype" w:eastAsia="Palatino Linotype" w:hAnsi="Palatino Linotype" w:cs="Palatino Linotype"/>
          <w:sz w:val="22"/>
          <w:szCs w:val="22"/>
        </w:rPr>
        <w:t>83 del Bando Municipal de Texcoco vigente, l</w:t>
      </w:r>
      <w:r w:rsidR="0004700B" w:rsidRPr="0057241C">
        <w:rPr>
          <w:rFonts w:ascii="Palatino Linotype" w:hAnsi="Palatino Linotype"/>
          <w:sz w:val="22"/>
          <w:szCs w:val="22"/>
        </w:rPr>
        <w:t>a Dirección General de Administración es la dependencia encargada de brindar el soporte material, técnico, humano, administrativo y organizacional, a las diferentes áreas que conforman la Administración Pública Municipal, en apego a los procedimientos legales en la materia y en congruencia con las políticas públicas establecidas en el Plan de Desarrollo Municipal.</w:t>
      </w:r>
    </w:p>
    <w:p w14:paraId="67216FC1" w14:textId="70A94F3D" w:rsidR="0004700B" w:rsidRPr="0057241C" w:rsidRDefault="0004700B" w:rsidP="003D2176">
      <w:pPr>
        <w:spacing w:before="240" w:after="240" w:line="360" w:lineRule="auto"/>
        <w:ind w:right="49"/>
        <w:jc w:val="both"/>
        <w:rPr>
          <w:rFonts w:ascii="Palatino Linotype" w:hAnsi="Palatino Linotype"/>
          <w:sz w:val="22"/>
          <w:szCs w:val="22"/>
        </w:rPr>
      </w:pPr>
      <w:r w:rsidRPr="0057241C">
        <w:rPr>
          <w:rFonts w:ascii="Palatino Linotype" w:hAnsi="Palatino Linotype"/>
          <w:sz w:val="22"/>
          <w:szCs w:val="22"/>
        </w:rPr>
        <w:t xml:space="preserve">De igual forma, bajo la conducción de disciplina presupuestal, difundirá entre las dependencias la adecuada planeación, programación y obtención de bienes muebles y servicios que requiera el Ayuntamiento y las diversas áreas, </w:t>
      </w:r>
      <w:r w:rsidRPr="0057241C">
        <w:rPr>
          <w:rFonts w:ascii="Palatino Linotype" w:hAnsi="Palatino Linotype"/>
          <w:b/>
          <w:sz w:val="22"/>
          <w:szCs w:val="22"/>
          <w:u w:val="single"/>
        </w:rPr>
        <w:t>debiendo vigilar el cumplimiento respecto a los procedimientos conducentes de las adquisiciones, los arrendamientos y las contrataciones de servicios que resulten aplicables</w:t>
      </w:r>
      <w:r w:rsidRPr="0057241C">
        <w:rPr>
          <w:rFonts w:ascii="Palatino Linotype" w:hAnsi="Palatino Linotype"/>
          <w:sz w:val="22"/>
          <w:szCs w:val="22"/>
        </w:rPr>
        <w:t>.</w:t>
      </w:r>
    </w:p>
    <w:p w14:paraId="2A51D7E3" w14:textId="417723FA" w:rsidR="0004700B" w:rsidRPr="0057241C" w:rsidRDefault="0004700B" w:rsidP="003D2176">
      <w:pPr>
        <w:spacing w:before="240" w:after="240" w:line="360" w:lineRule="auto"/>
        <w:ind w:right="49"/>
        <w:jc w:val="both"/>
        <w:rPr>
          <w:rFonts w:ascii="Palatino Linotype" w:hAnsi="Palatino Linotype"/>
          <w:sz w:val="22"/>
          <w:szCs w:val="22"/>
        </w:rPr>
      </w:pPr>
      <w:r w:rsidRPr="0057241C">
        <w:rPr>
          <w:rFonts w:ascii="Palatino Linotype" w:hAnsi="Palatino Linotype"/>
          <w:sz w:val="22"/>
          <w:szCs w:val="22"/>
        </w:rPr>
        <w:t>Asimismo, el artículo 84 del referido ordenamiento, dispone que la Dirección General de Administración se auxilia de las siguientes áreas:</w:t>
      </w:r>
    </w:p>
    <w:p w14:paraId="4CB46395" w14:textId="77777777" w:rsidR="0004700B" w:rsidRPr="0057241C" w:rsidRDefault="0004700B" w:rsidP="0004700B">
      <w:pPr>
        <w:spacing w:before="240" w:after="240" w:line="360" w:lineRule="auto"/>
        <w:ind w:left="284" w:right="49"/>
        <w:jc w:val="both"/>
        <w:rPr>
          <w:rFonts w:ascii="Palatino Linotype" w:hAnsi="Palatino Linotype"/>
          <w:sz w:val="22"/>
          <w:szCs w:val="22"/>
        </w:rPr>
      </w:pPr>
      <w:r w:rsidRPr="0057241C">
        <w:rPr>
          <w:rFonts w:ascii="Palatino Linotype" w:hAnsi="Palatino Linotype"/>
          <w:sz w:val="22"/>
          <w:szCs w:val="22"/>
        </w:rPr>
        <w:t>I. Subdirección de Recursos Humanos y Nómina;</w:t>
      </w:r>
    </w:p>
    <w:p w14:paraId="13AF4711" w14:textId="77777777" w:rsidR="0004700B" w:rsidRPr="0057241C" w:rsidRDefault="0004700B" w:rsidP="0004700B">
      <w:pPr>
        <w:spacing w:before="240" w:after="240" w:line="360" w:lineRule="auto"/>
        <w:ind w:left="284" w:right="49"/>
        <w:jc w:val="both"/>
        <w:rPr>
          <w:rFonts w:ascii="Palatino Linotype" w:hAnsi="Palatino Linotype"/>
          <w:sz w:val="22"/>
          <w:szCs w:val="22"/>
        </w:rPr>
      </w:pPr>
      <w:r w:rsidRPr="0057241C">
        <w:rPr>
          <w:rFonts w:ascii="Palatino Linotype" w:hAnsi="Palatino Linotype"/>
          <w:sz w:val="22"/>
          <w:szCs w:val="22"/>
        </w:rPr>
        <w:t xml:space="preserve">II. Subdirección de Licitaciones y Adquisiciones; </w:t>
      </w:r>
    </w:p>
    <w:p w14:paraId="08FC4FDE" w14:textId="77777777" w:rsidR="0004700B" w:rsidRPr="0057241C" w:rsidRDefault="0004700B" w:rsidP="0004700B">
      <w:pPr>
        <w:spacing w:before="240" w:after="240" w:line="360" w:lineRule="auto"/>
        <w:ind w:left="284" w:right="49"/>
        <w:jc w:val="both"/>
        <w:rPr>
          <w:rFonts w:ascii="Palatino Linotype" w:hAnsi="Palatino Linotype"/>
          <w:sz w:val="22"/>
          <w:szCs w:val="22"/>
        </w:rPr>
      </w:pPr>
      <w:r w:rsidRPr="0057241C">
        <w:rPr>
          <w:rFonts w:ascii="Palatino Linotype" w:hAnsi="Palatino Linotype"/>
          <w:sz w:val="22"/>
          <w:szCs w:val="22"/>
        </w:rPr>
        <w:t xml:space="preserve">III. Subdirección de Servicios Generales; </w:t>
      </w:r>
    </w:p>
    <w:p w14:paraId="14A8494A" w14:textId="77777777" w:rsidR="0004700B" w:rsidRPr="0057241C" w:rsidRDefault="0004700B" w:rsidP="0004700B">
      <w:pPr>
        <w:spacing w:before="240" w:after="240" w:line="360" w:lineRule="auto"/>
        <w:ind w:left="284" w:right="49"/>
        <w:jc w:val="both"/>
        <w:rPr>
          <w:rFonts w:ascii="Palatino Linotype" w:hAnsi="Palatino Linotype"/>
          <w:sz w:val="22"/>
          <w:szCs w:val="22"/>
        </w:rPr>
      </w:pPr>
      <w:r w:rsidRPr="0057241C">
        <w:rPr>
          <w:rFonts w:ascii="Palatino Linotype" w:hAnsi="Palatino Linotype"/>
          <w:sz w:val="22"/>
          <w:szCs w:val="22"/>
        </w:rPr>
        <w:t xml:space="preserve">IV. Coordinación de Sistemas y Soporte Técnico; y, </w:t>
      </w:r>
    </w:p>
    <w:p w14:paraId="12ABF767" w14:textId="171056EE" w:rsidR="0004700B" w:rsidRPr="0057241C" w:rsidRDefault="0004700B" w:rsidP="0004700B">
      <w:pPr>
        <w:spacing w:before="240" w:after="240" w:line="360" w:lineRule="auto"/>
        <w:ind w:left="284" w:right="49"/>
        <w:jc w:val="both"/>
        <w:rPr>
          <w:rFonts w:ascii="Palatino Linotype" w:eastAsia="Palatino Linotype" w:hAnsi="Palatino Linotype" w:cs="Palatino Linotype"/>
          <w:sz w:val="22"/>
          <w:szCs w:val="22"/>
        </w:rPr>
      </w:pPr>
      <w:r w:rsidRPr="0057241C">
        <w:rPr>
          <w:rFonts w:ascii="Palatino Linotype" w:hAnsi="Palatino Linotype"/>
          <w:sz w:val="22"/>
          <w:szCs w:val="22"/>
        </w:rPr>
        <w:t>V. Combustibles y parque vehicular.</w:t>
      </w:r>
    </w:p>
    <w:p w14:paraId="443084D3" w14:textId="77777777" w:rsidR="00D67451" w:rsidRPr="0057241C" w:rsidRDefault="00D67451" w:rsidP="00D67451">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Por otro lado, Tesorería Municipal es el órgano encargado de la recaudación de los ingresos municipales y </w:t>
      </w:r>
      <w:r w:rsidRPr="0057241C">
        <w:rPr>
          <w:rFonts w:ascii="Palatino Linotype" w:eastAsia="Palatino Linotype" w:hAnsi="Palatino Linotype" w:cs="Palatino Linotype"/>
          <w:b/>
          <w:sz w:val="22"/>
          <w:szCs w:val="22"/>
        </w:rPr>
        <w:t>responsable de realizar las erogaciones</w:t>
      </w:r>
      <w:r w:rsidRPr="0057241C">
        <w:rPr>
          <w:rFonts w:ascii="Palatino Linotype" w:eastAsia="Palatino Linotype" w:hAnsi="Palatino Linotype" w:cs="Palatino Linotype"/>
          <w:sz w:val="22"/>
          <w:szCs w:val="22"/>
        </w:rPr>
        <w:t xml:space="preserve"> que haga el ayuntamiento </w:t>
      </w:r>
      <w:r w:rsidRPr="0057241C">
        <w:rPr>
          <w:rFonts w:ascii="Palatino Linotype" w:eastAsia="Palatino Linotype" w:hAnsi="Palatino Linotype" w:cs="Palatino Linotype"/>
          <w:b/>
          <w:sz w:val="22"/>
          <w:szCs w:val="22"/>
        </w:rPr>
        <w:t>a través de los registros contables, financieros y administrativos</w:t>
      </w:r>
      <w:r w:rsidRPr="0057241C">
        <w:rPr>
          <w:rFonts w:ascii="Palatino Linotype" w:eastAsia="Palatino Linotype" w:hAnsi="Palatino Linotype" w:cs="Palatino Linotype"/>
          <w:sz w:val="22"/>
          <w:szCs w:val="22"/>
        </w:rPr>
        <w:t xml:space="preserve"> de los ingresos, </w:t>
      </w:r>
      <w:r w:rsidRPr="0057241C">
        <w:rPr>
          <w:rFonts w:ascii="Palatino Linotype" w:eastAsia="Palatino Linotype" w:hAnsi="Palatino Linotype" w:cs="Palatino Linotype"/>
          <w:b/>
          <w:sz w:val="22"/>
          <w:szCs w:val="22"/>
        </w:rPr>
        <w:t>egresos</w:t>
      </w:r>
      <w:r w:rsidRPr="0057241C">
        <w:rPr>
          <w:rFonts w:ascii="Palatino Linotype" w:eastAsia="Palatino Linotype" w:hAnsi="Palatino Linotype" w:cs="Palatino Linotype"/>
          <w:sz w:val="22"/>
          <w:szCs w:val="22"/>
        </w:rPr>
        <w:t xml:space="preserve"> e inventarios; entre otras atribuciones, de conformidad con lo establecido en los artículos 93 y 95, fracciones I y IV de la Ley Orgánica Municipal del Estado de México, a saber:</w:t>
      </w:r>
    </w:p>
    <w:p w14:paraId="14645F9B" w14:textId="77777777" w:rsidR="00D67451" w:rsidRPr="0057241C" w:rsidRDefault="00D67451" w:rsidP="00D67451">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r w:rsidRPr="0057241C">
        <w:rPr>
          <w:rFonts w:ascii="Palatino Linotype" w:eastAsia="Palatino Linotype" w:hAnsi="Palatino Linotype" w:cs="Palatino Linotype"/>
          <w:b/>
          <w:i/>
          <w:sz w:val="22"/>
          <w:szCs w:val="22"/>
        </w:rPr>
        <w:t>Artículo 93</w:t>
      </w:r>
      <w:r w:rsidRPr="0057241C">
        <w:rPr>
          <w:rFonts w:ascii="Palatino Linotype" w:eastAsia="Palatino Linotype" w:hAnsi="Palatino Linotype" w:cs="Palatino Linotype"/>
          <w:i/>
          <w:sz w:val="22"/>
          <w:szCs w:val="22"/>
        </w:rPr>
        <w:t>.- La tesorería municipal es el órgano encargado de la recaudación de los ingresos municipales y responsable de realizar las erogaciones que haga el ayuntamiento.</w:t>
      </w:r>
    </w:p>
    <w:p w14:paraId="69B485B0" w14:textId="77777777" w:rsidR="00D67451" w:rsidRPr="0057241C" w:rsidRDefault="00D67451" w:rsidP="00D67451">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p>
    <w:p w14:paraId="4D799C9C" w14:textId="77777777" w:rsidR="00D67451" w:rsidRPr="0057241C" w:rsidRDefault="00D67451" w:rsidP="00D67451">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Artículo 95</w:t>
      </w:r>
      <w:r w:rsidRPr="0057241C">
        <w:rPr>
          <w:rFonts w:ascii="Palatino Linotype" w:eastAsia="Palatino Linotype" w:hAnsi="Palatino Linotype" w:cs="Palatino Linotype"/>
          <w:i/>
          <w:sz w:val="22"/>
          <w:szCs w:val="22"/>
        </w:rPr>
        <w:t xml:space="preserve">.- Son atribuciones del tesorero municipal: </w:t>
      </w:r>
    </w:p>
    <w:p w14:paraId="4D79E72F" w14:textId="77777777" w:rsidR="00D67451" w:rsidRPr="0057241C" w:rsidRDefault="00D67451" w:rsidP="00D67451">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w:t>
      </w:r>
      <w:r w:rsidRPr="0057241C">
        <w:rPr>
          <w:rFonts w:ascii="Palatino Linotype" w:eastAsia="Palatino Linotype" w:hAnsi="Palatino Linotype" w:cs="Palatino Linotype"/>
          <w:i/>
          <w:sz w:val="22"/>
          <w:szCs w:val="22"/>
        </w:rPr>
        <w:t xml:space="preserve">. </w:t>
      </w:r>
      <w:r w:rsidRPr="0057241C">
        <w:rPr>
          <w:rFonts w:ascii="Palatino Linotype" w:eastAsia="Palatino Linotype" w:hAnsi="Palatino Linotype" w:cs="Palatino Linotype"/>
          <w:b/>
          <w:i/>
          <w:sz w:val="22"/>
          <w:szCs w:val="22"/>
        </w:rPr>
        <w:t>Administrar la hacienda pública municipal</w:t>
      </w:r>
      <w:r w:rsidRPr="0057241C">
        <w:rPr>
          <w:rFonts w:ascii="Palatino Linotype" w:eastAsia="Palatino Linotype" w:hAnsi="Palatino Linotype" w:cs="Palatino Linotype"/>
          <w:i/>
          <w:sz w:val="22"/>
          <w:szCs w:val="22"/>
        </w:rPr>
        <w:t>, de conformidad con las disposiciones legales aplicables;</w:t>
      </w:r>
    </w:p>
    <w:p w14:paraId="58A6E019" w14:textId="77777777" w:rsidR="00D67451" w:rsidRPr="0057241C" w:rsidRDefault="00D67451" w:rsidP="00D67451">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p>
    <w:p w14:paraId="14EFF9C0" w14:textId="77777777" w:rsidR="00D67451" w:rsidRPr="0057241C" w:rsidRDefault="00D67451" w:rsidP="00D67451">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IV.</w:t>
      </w:r>
      <w:r w:rsidRPr="0057241C">
        <w:rPr>
          <w:rFonts w:ascii="Palatino Linotype" w:eastAsia="Palatino Linotype" w:hAnsi="Palatino Linotype" w:cs="Palatino Linotype"/>
          <w:i/>
          <w:sz w:val="22"/>
          <w:szCs w:val="22"/>
        </w:rPr>
        <w:t xml:space="preserve"> </w:t>
      </w:r>
      <w:r w:rsidRPr="0057241C">
        <w:rPr>
          <w:rFonts w:ascii="Palatino Linotype" w:eastAsia="Palatino Linotype" w:hAnsi="Palatino Linotype" w:cs="Palatino Linotype"/>
          <w:b/>
          <w:i/>
          <w:sz w:val="22"/>
          <w:szCs w:val="22"/>
          <w:u w:val="single"/>
        </w:rPr>
        <w:t>Llevar los registros contables, financieros y administrativos</w:t>
      </w:r>
      <w:r w:rsidRPr="0057241C">
        <w:rPr>
          <w:rFonts w:ascii="Palatino Linotype" w:eastAsia="Palatino Linotype" w:hAnsi="Palatino Linotype" w:cs="Palatino Linotype"/>
          <w:b/>
          <w:i/>
          <w:sz w:val="22"/>
          <w:szCs w:val="22"/>
        </w:rPr>
        <w:t xml:space="preserve"> de los ingresos, egresos</w:t>
      </w:r>
      <w:r w:rsidRPr="0057241C">
        <w:rPr>
          <w:rFonts w:ascii="Palatino Linotype" w:eastAsia="Palatino Linotype" w:hAnsi="Palatino Linotype" w:cs="Palatino Linotype"/>
          <w:i/>
          <w:sz w:val="22"/>
          <w:szCs w:val="22"/>
        </w:rPr>
        <w:t>, e inventarios;…”</w:t>
      </w:r>
    </w:p>
    <w:p w14:paraId="39A3C14B" w14:textId="77777777" w:rsidR="0004700B" w:rsidRPr="0057241C" w:rsidRDefault="0004700B" w:rsidP="0004700B">
      <w:pPr>
        <w:spacing w:before="240" w:after="240" w:line="360" w:lineRule="auto"/>
        <w:ind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Asimismo, conviene hacer alusión a lo dispuesto en la Ley de Contratación Pública del Estado de México y Municipios, la cual tiene por objeto regular los actos relativos a la </w:t>
      </w:r>
      <w:r w:rsidRPr="0057241C">
        <w:rPr>
          <w:rFonts w:ascii="Palatino Linotype" w:eastAsia="Palatino Linotype" w:hAnsi="Palatino Linotype" w:cs="Palatino Linotype"/>
          <w:b/>
          <w:sz w:val="22"/>
          <w:szCs w:val="22"/>
          <w:u w:val="single"/>
        </w:rPr>
        <w:t>planeación, programación, presupuestación</w:t>
      </w:r>
      <w:r w:rsidRPr="0057241C">
        <w:rPr>
          <w:rFonts w:ascii="Palatino Linotype" w:eastAsia="Palatino Linotype" w:hAnsi="Palatino Linotype" w:cs="Palatino Linotype"/>
          <w:sz w:val="22"/>
          <w:szCs w:val="22"/>
        </w:rPr>
        <w:t xml:space="preserve">, ejecución y control de la </w:t>
      </w:r>
      <w:r w:rsidRPr="0057241C">
        <w:rPr>
          <w:rFonts w:ascii="Palatino Linotype" w:eastAsia="Palatino Linotype" w:hAnsi="Palatino Linotype" w:cs="Palatino Linotype"/>
          <w:b/>
          <w:sz w:val="22"/>
          <w:szCs w:val="22"/>
          <w:u w:val="single"/>
        </w:rPr>
        <w:t>adquisición</w:t>
      </w:r>
      <w:r w:rsidRPr="0057241C">
        <w:rPr>
          <w:rFonts w:ascii="Palatino Linotype" w:eastAsia="Palatino Linotype" w:hAnsi="Palatino Linotype" w:cs="Palatino Linotype"/>
          <w:sz w:val="22"/>
          <w:szCs w:val="22"/>
        </w:rPr>
        <w:t xml:space="preserve">, enajenación y arrendamiento de bienes, y la </w:t>
      </w:r>
      <w:r w:rsidRPr="0057241C">
        <w:rPr>
          <w:rFonts w:ascii="Palatino Linotype" w:eastAsia="Palatino Linotype" w:hAnsi="Palatino Linotype" w:cs="Palatino Linotype"/>
          <w:b/>
          <w:sz w:val="22"/>
          <w:szCs w:val="22"/>
          <w:u w:val="single"/>
        </w:rPr>
        <w:t>contratación de servicios de cualquier naturaleza, que realicen los Ayuntamientos del Estado</w:t>
      </w:r>
      <w:r w:rsidRPr="0057241C">
        <w:rPr>
          <w:rFonts w:ascii="Palatino Linotype" w:eastAsia="Palatino Linotype" w:hAnsi="Palatino Linotype" w:cs="Palatino Linotype"/>
          <w:sz w:val="22"/>
          <w:szCs w:val="22"/>
        </w:rPr>
        <w:t>; entre ellos el Sujeto Obligado, los cuales se adjudicarán a través de licitación pública, invitación restringida o adjudicación directa, mediante convocatoria pública, tal y como lo establecen los artículos 4, 26 y 27 de dicha Ley, los cuales son del tenor siguiente:</w:t>
      </w:r>
    </w:p>
    <w:p w14:paraId="5A3B23C0"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“Artículo 4.-</w:t>
      </w:r>
      <w:r w:rsidRPr="0057241C">
        <w:rPr>
          <w:rFonts w:ascii="Palatino Linotype" w:eastAsia="Palatino Linotype" w:hAnsi="Palatino Linotype" w:cs="Palatino Linotype"/>
          <w:i/>
          <w:sz w:val="22"/>
          <w:szCs w:val="22"/>
        </w:rPr>
        <w:t xml:space="preserve"> Para los efectos de esta Ley, </w:t>
      </w:r>
      <w:r w:rsidRPr="0057241C">
        <w:rPr>
          <w:rFonts w:ascii="Palatino Linotype" w:eastAsia="Palatino Linotype" w:hAnsi="Palatino Linotype" w:cs="Palatino Linotype"/>
          <w:b/>
          <w:i/>
          <w:sz w:val="22"/>
          <w:szCs w:val="22"/>
        </w:rPr>
        <w:t>en las adquisiciones, enajenaciones, arrendamientos y servicios, quedan comprendidos</w:t>
      </w:r>
      <w:r w:rsidRPr="0057241C">
        <w:rPr>
          <w:rFonts w:ascii="Palatino Linotype" w:eastAsia="Palatino Linotype" w:hAnsi="Palatino Linotype" w:cs="Palatino Linotype"/>
          <w:i/>
          <w:sz w:val="22"/>
          <w:szCs w:val="22"/>
        </w:rPr>
        <w:t>:</w:t>
      </w:r>
    </w:p>
    <w:p w14:paraId="29D75DDC"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w:t>
      </w:r>
      <w:r w:rsidRPr="0057241C">
        <w:rPr>
          <w:rFonts w:ascii="Palatino Linotype" w:eastAsia="Palatino Linotype" w:hAnsi="Palatino Linotype" w:cs="Palatino Linotype"/>
          <w:i/>
          <w:sz w:val="22"/>
          <w:szCs w:val="22"/>
        </w:rPr>
        <w:t xml:space="preserve"> La adquisición de bienes muebles.</w:t>
      </w:r>
    </w:p>
    <w:p w14:paraId="463883FC"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II</w:t>
      </w:r>
      <w:r w:rsidRPr="0057241C">
        <w:rPr>
          <w:rFonts w:ascii="Palatino Linotype" w:eastAsia="Palatino Linotype" w:hAnsi="Palatino Linotype" w:cs="Palatino Linotype"/>
          <w:i/>
          <w:sz w:val="22"/>
          <w:szCs w:val="22"/>
        </w:rPr>
        <w:t>. La adquisición de bienes inmuebles, a través de compraventa.</w:t>
      </w:r>
    </w:p>
    <w:p w14:paraId="012C23D5"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III.</w:t>
      </w:r>
      <w:r w:rsidRPr="0057241C">
        <w:rPr>
          <w:rFonts w:ascii="Palatino Linotype" w:eastAsia="Palatino Linotype" w:hAnsi="Palatino Linotype" w:cs="Palatino Linotype"/>
          <w:i/>
          <w:sz w:val="22"/>
          <w:szCs w:val="22"/>
        </w:rPr>
        <w:t xml:space="preserve"> La enajenación de bienes muebles e inmuebles.</w:t>
      </w:r>
    </w:p>
    <w:p w14:paraId="15674838"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IV.</w:t>
      </w:r>
      <w:r w:rsidRPr="0057241C">
        <w:rPr>
          <w:rFonts w:ascii="Palatino Linotype" w:eastAsia="Palatino Linotype" w:hAnsi="Palatino Linotype" w:cs="Palatino Linotype"/>
          <w:i/>
          <w:sz w:val="22"/>
          <w:szCs w:val="22"/>
        </w:rPr>
        <w:t xml:space="preserve"> El arrendamiento de bienes muebles e inmuebles. </w:t>
      </w:r>
    </w:p>
    <w:p w14:paraId="364A5BC5"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V</w:t>
      </w:r>
      <w:r w:rsidRPr="0057241C">
        <w:rPr>
          <w:rFonts w:ascii="Palatino Linotype" w:eastAsia="Palatino Linotype" w:hAnsi="Palatino Linotype" w:cs="Palatino Linotype"/>
          <w:i/>
          <w:sz w:val="22"/>
          <w:szCs w:val="22"/>
        </w:rPr>
        <w:t>. La contratación de los servicios, relacionados con bienes muebles que se encuentran incorporados o adheridos a bienes inmuebles, cuya instalación o mantenimiento no implique modificación al bien inmueble.</w:t>
      </w:r>
    </w:p>
    <w:p w14:paraId="5DAF6839"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VI.</w:t>
      </w:r>
      <w:r w:rsidRPr="0057241C">
        <w:rPr>
          <w:rFonts w:ascii="Palatino Linotype" w:eastAsia="Palatino Linotype" w:hAnsi="Palatino Linotype" w:cs="Palatino Linotype"/>
          <w:i/>
          <w:sz w:val="22"/>
          <w:szCs w:val="22"/>
        </w:rPr>
        <w:t xml:space="preserve"> La contratación de los servicios de reconstrucción y mantenimiento de bienes muebles. </w:t>
      </w:r>
    </w:p>
    <w:p w14:paraId="2D3E3829"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VII.</w:t>
      </w:r>
      <w:r w:rsidRPr="0057241C">
        <w:rPr>
          <w:rFonts w:ascii="Palatino Linotype" w:eastAsia="Palatino Linotype" w:hAnsi="Palatino Linotype" w:cs="Palatino Linotype"/>
          <w:i/>
          <w:sz w:val="22"/>
          <w:szCs w:val="22"/>
        </w:rPr>
        <w:t xml:space="preserve"> La contratación de los servicios de maquila, seguros y transportación, así como de los de limpieza y vigilancia de bienes inmuebles. </w:t>
      </w:r>
    </w:p>
    <w:p w14:paraId="46FD547C"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VIII.</w:t>
      </w:r>
      <w:r w:rsidRPr="0057241C">
        <w:rPr>
          <w:rFonts w:ascii="Palatino Linotype" w:eastAsia="Palatino Linotype" w:hAnsi="Palatino Linotype" w:cs="Palatino Linotype"/>
          <w:i/>
          <w:sz w:val="22"/>
          <w:szCs w:val="22"/>
        </w:rPr>
        <w:t xml:space="preserve"> La prestación de servicios profesionales, la contratación de consultorías, asesorías y estudios e investigaciones, excepto la contratación de servicios personales de personas físicas bajo el régimen de honorarios. </w:t>
      </w:r>
    </w:p>
    <w:p w14:paraId="7F9EFFD8"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En general, otros actos que impliquen la contratación de servicios de cualquier naturaleza</w:t>
      </w:r>
    </w:p>
    <w:p w14:paraId="11CA09C4"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Artículo 26.-</w:t>
      </w:r>
      <w:r w:rsidRPr="0057241C">
        <w:rPr>
          <w:rFonts w:ascii="Palatino Linotype" w:eastAsia="Palatino Linotype" w:hAnsi="Palatino Linotype" w:cs="Palatino Linotype"/>
          <w:i/>
          <w:sz w:val="22"/>
          <w:szCs w:val="22"/>
        </w:rPr>
        <w:t xml:space="preserve"> </w:t>
      </w:r>
      <w:r w:rsidRPr="0057241C">
        <w:rPr>
          <w:rFonts w:ascii="Palatino Linotype" w:eastAsia="Palatino Linotype" w:hAnsi="Palatino Linotype" w:cs="Palatino Linotype"/>
          <w:b/>
          <w:i/>
          <w:sz w:val="22"/>
          <w:szCs w:val="22"/>
        </w:rPr>
        <w:t>Las adquisiciones, arrendamientos y servicios se adjudicarán a través de licitaciones públicas</w:t>
      </w:r>
      <w:r w:rsidRPr="0057241C">
        <w:rPr>
          <w:rFonts w:ascii="Palatino Linotype" w:eastAsia="Palatino Linotype" w:hAnsi="Palatino Linotype" w:cs="Palatino Linotype"/>
          <w:i/>
          <w:sz w:val="22"/>
          <w:szCs w:val="22"/>
        </w:rPr>
        <w:t xml:space="preserve">, mediante convocatoria pública. </w:t>
      </w:r>
    </w:p>
    <w:p w14:paraId="0EE56744"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Artículo 27.</w:t>
      </w:r>
      <w:r w:rsidRPr="0057241C">
        <w:rPr>
          <w:rFonts w:ascii="Palatino Linotype" w:eastAsia="Palatino Linotype" w:hAnsi="Palatino Linotype" w:cs="Palatino Linotype"/>
          <w:i/>
          <w:sz w:val="22"/>
          <w:szCs w:val="22"/>
        </w:rPr>
        <w:t xml:space="preserve">- La Secretaría, las entidades, los tribunales administrativos y los ayuntamientos podrán </w:t>
      </w:r>
      <w:r w:rsidRPr="0057241C">
        <w:rPr>
          <w:rFonts w:ascii="Palatino Linotype" w:eastAsia="Palatino Linotype" w:hAnsi="Palatino Linotype" w:cs="Palatino Linotype"/>
          <w:b/>
          <w:i/>
          <w:sz w:val="22"/>
          <w:szCs w:val="22"/>
        </w:rPr>
        <w:t>adjudicar adquisiciones, arrendamientos y servicios, mediante las excepciones al procedimiento de licitación</w:t>
      </w:r>
      <w:r w:rsidRPr="0057241C">
        <w:rPr>
          <w:rFonts w:ascii="Palatino Linotype" w:eastAsia="Palatino Linotype" w:hAnsi="Palatino Linotype" w:cs="Palatino Linotype"/>
          <w:i/>
          <w:sz w:val="22"/>
          <w:szCs w:val="22"/>
        </w:rPr>
        <w:t xml:space="preserve"> que a continuación se señalan:</w:t>
      </w:r>
    </w:p>
    <w:p w14:paraId="11B764FC"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w:t>
      </w:r>
      <w:r w:rsidRPr="0057241C">
        <w:rPr>
          <w:rFonts w:ascii="Palatino Linotype" w:eastAsia="Palatino Linotype" w:hAnsi="Palatino Linotype" w:cs="Palatino Linotype"/>
          <w:i/>
          <w:sz w:val="22"/>
          <w:szCs w:val="22"/>
        </w:rPr>
        <w:t>. Invitación restringida.</w:t>
      </w:r>
    </w:p>
    <w:p w14:paraId="43A9E3C0"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 xml:space="preserve">II. </w:t>
      </w:r>
      <w:r w:rsidRPr="0057241C">
        <w:rPr>
          <w:rFonts w:ascii="Palatino Linotype" w:eastAsia="Palatino Linotype" w:hAnsi="Palatino Linotype" w:cs="Palatino Linotype"/>
          <w:i/>
          <w:sz w:val="22"/>
          <w:szCs w:val="22"/>
        </w:rPr>
        <w:t>Adjudicación directa.”</w:t>
      </w:r>
    </w:p>
    <w:p w14:paraId="67930C2C" w14:textId="77777777" w:rsidR="0004700B" w:rsidRPr="0057241C" w:rsidRDefault="0004700B" w:rsidP="0004700B">
      <w:pPr>
        <w:spacing w:before="240" w:after="240" w:line="360" w:lineRule="auto"/>
        <w:ind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En efecto, con base en los preceptos citados se advierte que, por regla general, las adquisiciones, enajenaciones, arrendamientos y servicios, que celebren los entes públicos, deben adjudicarse mediante licitación pública, sin embargo, también se contemplan como excepciones a dicho proceso, la invitación restringida y la adjudicación directa.</w:t>
      </w:r>
    </w:p>
    <w:p w14:paraId="0F46E282" w14:textId="77777777" w:rsidR="0004700B" w:rsidRPr="0057241C" w:rsidRDefault="0004700B" w:rsidP="0004700B">
      <w:pPr>
        <w:spacing w:before="240" w:after="240" w:line="360" w:lineRule="auto"/>
        <w:ind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En efecto, con base en los preceptos citados se advierte que, por regla general, las adquisiciones, enajenaciones, arrendamientos y servicios, que celebren los entes públicos, deben adjudicarse mediante licitación pública, sin embargo, también se contemplan como excepciones a dicho proceso, la invitación restringida y la adjudicación directa.</w:t>
      </w:r>
    </w:p>
    <w:p w14:paraId="2D6C45A2" w14:textId="77777777" w:rsidR="0004700B" w:rsidRPr="0057241C" w:rsidRDefault="0004700B" w:rsidP="0004700B">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Por ello, de acuerdo con el artículo 44 de la Ley de Contratación Pública del Estado de México y Municipios, las entidades públicas podrán adquirir y contratar servicios mediante invitación restringida en los siguientes casos: </w:t>
      </w:r>
    </w:p>
    <w:p w14:paraId="2DB8185E"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“Artículo 44.-</w:t>
      </w:r>
      <w:r w:rsidRPr="0057241C">
        <w:rPr>
          <w:rFonts w:ascii="Palatino Linotype" w:eastAsia="Palatino Linotype" w:hAnsi="Palatino Linotype" w:cs="Palatino Linotype"/>
          <w:i/>
          <w:sz w:val="22"/>
          <w:szCs w:val="22"/>
        </w:rPr>
        <w:t xml:space="preserve"> La Secretaría, las entidades, los tribunales administrativos y los ayuntamientos podrán adquirir y contratar servicios mediante invitación restringida, cuando:</w:t>
      </w:r>
    </w:p>
    <w:p w14:paraId="0A8B90B0"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w:t>
      </w:r>
      <w:r w:rsidRPr="0057241C">
        <w:rPr>
          <w:rFonts w:ascii="Palatino Linotype" w:eastAsia="Palatino Linotype" w:hAnsi="Palatino Linotype" w:cs="Palatino Linotype"/>
          <w:i/>
          <w:sz w:val="22"/>
          <w:szCs w:val="22"/>
        </w:rPr>
        <w:t xml:space="preserve"> Se hubiere declarado desierto un procedimiento de licitación, o</w:t>
      </w:r>
    </w:p>
    <w:p w14:paraId="273A6ECE"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II</w:t>
      </w:r>
      <w:r w:rsidRPr="0057241C">
        <w:rPr>
          <w:rFonts w:ascii="Palatino Linotype" w:eastAsia="Palatino Linotype" w:hAnsi="Palatino Linotype" w:cs="Palatino Linotype"/>
          <w:i/>
          <w:sz w:val="22"/>
          <w:szCs w:val="22"/>
        </w:rPr>
        <w:t>. El importe de la operación no exceda de los montos establecidos por el Presupuesto de Egresos del Gobierno del Estado de México del ejercicio correspondiente.</w:t>
      </w:r>
    </w:p>
    <w:p w14:paraId="07B99787"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 xml:space="preserve"> 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75F6BC7A"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En la invitación deberá especificarse si en el proceso de asignación aplicará la modalidad de subasta inversa.”</w:t>
      </w:r>
    </w:p>
    <w:p w14:paraId="15A99B7E" w14:textId="77777777" w:rsidR="0004700B" w:rsidRPr="0057241C" w:rsidRDefault="0004700B" w:rsidP="0004700B">
      <w:pPr>
        <w:spacing w:before="240" w:after="240"/>
        <w:ind w:right="49"/>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sz w:val="22"/>
          <w:szCs w:val="22"/>
        </w:rPr>
        <w:t>Asimismo, el artículo 46 de la Ley referida, menciona que:</w:t>
      </w:r>
    </w:p>
    <w:p w14:paraId="26BEFE53"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sz w:val="22"/>
          <w:szCs w:val="22"/>
        </w:rPr>
        <w:t xml:space="preserve"> “</w:t>
      </w:r>
      <w:r w:rsidRPr="0057241C">
        <w:rPr>
          <w:rFonts w:ascii="Palatino Linotype" w:eastAsia="Palatino Linotype" w:hAnsi="Palatino Linotype" w:cs="Palatino Linotype"/>
          <w:b/>
          <w:i/>
          <w:sz w:val="22"/>
          <w:szCs w:val="22"/>
        </w:rPr>
        <w:t>Artículo 46.-</w:t>
      </w:r>
      <w:r w:rsidRPr="0057241C">
        <w:rPr>
          <w:rFonts w:ascii="Palatino Linotype" w:eastAsia="Palatino Linotype" w:hAnsi="Palatino Linotype" w:cs="Palatino Linotype"/>
          <w:i/>
          <w:sz w:val="22"/>
          <w:szCs w:val="22"/>
        </w:rPr>
        <w:t xml:space="preserve"> El procedimiento de invitación restringida se desarrollará en los términos de la licitación pública, a excepción de la publicación de la convocatoria.”</w:t>
      </w:r>
    </w:p>
    <w:p w14:paraId="082F8FEC" w14:textId="77777777" w:rsidR="0004700B" w:rsidRPr="0057241C" w:rsidRDefault="0004700B" w:rsidP="0004700B">
      <w:pPr>
        <w:spacing w:line="360" w:lineRule="auto"/>
        <w:ind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Por otra parte, el artículo 48 de la Ley en cita precisa que, respecto a los procedimientos de Adjudicación Directa, las entidades públicas podrán adquirir bienes, arrendar bienes muebles e inmuebles y contratar servicios mediante adjudicación directa cuando: </w:t>
      </w:r>
    </w:p>
    <w:p w14:paraId="23B0F514" w14:textId="77777777" w:rsidR="0004700B" w:rsidRPr="0057241C" w:rsidRDefault="0004700B" w:rsidP="00D67451">
      <w:pPr>
        <w:tabs>
          <w:tab w:val="left" w:pos="7938"/>
        </w:tabs>
        <w:spacing w:before="120" w:after="12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“Artículo 48.-</w:t>
      </w:r>
      <w:r w:rsidRPr="0057241C">
        <w:rPr>
          <w:rFonts w:ascii="Palatino Linotype" w:eastAsia="Palatino Linotype" w:hAnsi="Palatino Linotype" w:cs="Palatino Linotype"/>
          <w:i/>
          <w:sz w:val="22"/>
          <w:szCs w:val="22"/>
        </w:rPr>
        <w:t xml:space="preserve"> La Secretaría, las entidades, los tribunales administrativos y los ayuntamientos podrán adquirir bienes, arrendar bienes muebles e inmuebles y contratar servicios, mediante adjudicación directa, cuando:</w:t>
      </w:r>
    </w:p>
    <w:p w14:paraId="56B6B769" w14:textId="77777777" w:rsidR="0004700B" w:rsidRPr="0057241C" w:rsidRDefault="0004700B" w:rsidP="00D67451">
      <w:pPr>
        <w:tabs>
          <w:tab w:val="left" w:pos="7938"/>
        </w:tabs>
        <w:spacing w:before="120" w:after="12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w:t>
      </w:r>
      <w:r w:rsidRPr="0057241C">
        <w:rPr>
          <w:rFonts w:ascii="Palatino Linotype" w:eastAsia="Palatino Linotype" w:hAnsi="Palatino Linotype" w:cs="Palatino Linotype"/>
          <w:i/>
          <w:sz w:val="22"/>
          <w:szCs w:val="22"/>
        </w:rPr>
        <w:t>. La adquisición o el servicio sólo puedan realizarse con una determinada persona, por tratarse de obras de arte, titularidad de patentes, registros, marcas específicas, derechos de autor u otros derechos exclusivos.</w:t>
      </w:r>
    </w:p>
    <w:p w14:paraId="3AA72B5C" w14:textId="77777777" w:rsidR="0004700B" w:rsidRPr="0057241C" w:rsidRDefault="0004700B" w:rsidP="00D67451">
      <w:pPr>
        <w:tabs>
          <w:tab w:val="left" w:pos="7938"/>
        </w:tabs>
        <w:spacing w:before="120" w:after="12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II</w:t>
      </w:r>
      <w:r w:rsidRPr="0057241C">
        <w:rPr>
          <w:rFonts w:ascii="Palatino Linotype" w:eastAsia="Palatino Linotype" w:hAnsi="Palatino Linotype" w:cs="Palatino Linotype"/>
          <w:i/>
          <w:sz w:val="22"/>
          <w:szCs w:val="22"/>
        </w:rPr>
        <w:t>.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w:t>
      </w:r>
    </w:p>
    <w:p w14:paraId="3A3737B2" w14:textId="77777777" w:rsidR="0004700B" w:rsidRPr="0057241C" w:rsidRDefault="0004700B" w:rsidP="00D67451">
      <w:pPr>
        <w:tabs>
          <w:tab w:val="left" w:pos="7938"/>
        </w:tabs>
        <w:spacing w:before="120" w:after="12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III.</w:t>
      </w:r>
      <w:r w:rsidRPr="0057241C">
        <w:rPr>
          <w:rFonts w:ascii="Palatino Linotype" w:eastAsia="Palatino Linotype" w:hAnsi="Palatino Linotype" w:cs="Palatino Linotype"/>
          <w:i/>
          <w:sz w:val="22"/>
          <w:szCs w:val="22"/>
        </w:rPr>
        <w:t xml:space="preserve"> Se trate de servicios que requieran de experiencia, técnicas o equipos especiales, o se trate de la adquisición de bienes usados o de características especiales que solamente puedan ser prestados o suministrados por una sola persona.</w:t>
      </w:r>
    </w:p>
    <w:p w14:paraId="7360883E" w14:textId="77777777" w:rsidR="0004700B" w:rsidRPr="0057241C" w:rsidRDefault="0004700B" w:rsidP="00D67451">
      <w:pPr>
        <w:tabs>
          <w:tab w:val="left" w:pos="7938"/>
        </w:tabs>
        <w:spacing w:before="120" w:after="12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IV.</w:t>
      </w:r>
      <w:r w:rsidRPr="0057241C">
        <w:rPr>
          <w:rFonts w:ascii="Palatino Linotype" w:eastAsia="Palatino Linotype" w:hAnsi="Palatino Linotype" w:cs="Palatino Linotype"/>
          <w:i/>
          <w:sz w:val="22"/>
          <w:szCs w:val="22"/>
        </w:rPr>
        <w:t xml:space="preserve">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w:t>
      </w:r>
    </w:p>
    <w:p w14:paraId="5957B7E5" w14:textId="77777777" w:rsidR="0004700B" w:rsidRPr="0057241C" w:rsidRDefault="0004700B" w:rsidP="00D67451">
      <w:pPr>
        <w:tabs>
          <w:tab w:val="left" w:pos="7938"/>
        </w:tabs>
        <w:spacing w:before="120" w:after="12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V</w:t>
      </w:r>
      <w:r w:rsidRPr="0057241C">
        <w:rPr>
          <w:rFonts w:ascii="Palatino Linotype" w:eastAsia="Palatino Linotype" w:hAnsi="Palatino Linotype" w:cs="Palatino Linotype"/>
          <w:i/>
          <w:sz w:val="22"/>
          <w:szCs w:val="22"/>
        </w:rPr>
        <w:t>. Existan circunstancias que puedan provocar pérdidas o costos adicionales importantes al erario.</w:t>
      </w:r>
    </w:p>
    <w:p w14:paraId="1536B252" w14:textId="77777777" w:rsidR="0004700B" w:rsidRPr="0057241C" w:rsidRDefault="0004700B" w:rsidP="00D67451">
      <w:pPr>
        <w:tabs>
          <w:tab w:val="left" w:pos="7938"/>
        </w:tabs>
        <w:spacing w:before="120" w:after="12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VI</w:t>
      </w:r>
      <w:r w:rsidRPr="0057241C">
        <w:rPr>
          <w:rFonts w:ascii="Palatino Linotype" w:eastAsia="Palatino Linotype" w:hAnsi="Palatino Linotype" w:cs="Palatino Linotype"/>
          <w:i/>
          <w:sz w:val="22"/>
          <w:szCs w:val="22"/>
        </w:rPr>
        <w:t>. Pueda comprometerse información de naturaleza confidencial para el Estado o municipios, por razones de seguridad pública.</w:t>
      </w:r>
    </w:p>
    <w:p w14:paraId="6E63BD5E" w14:textId="77777777" w:rsidR="0004700B" w:rsidRPr="0057241C" w:rsidRDefault="0004700B" w:rsidP="00D67451">
      <w:pPr>
        <w:tabs>
          <w:tab w:val="left" w:pos="7938"/>
        </w:tabs>
        <w:spacing w:before="120" w:after="12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VII</w:t>
      </w:r>
      <w:r w:rsidRPr="0057241C">
        <w:rPr>
          <w:rFonts w:ascii="Palatino Linotype" w:eastAsia="Palatino Linotype" w:hAnsi="Palatino Linotype" w:cs="Palatino Linotype"/>
          <w:i/>
          <w:sz w:val="22"/>
          <w:szCs w:val="22"/>
        </w:rPr>
        <w:t>. Existan circunstancias extraordinarias o imprevisibles derivadas de riesgo o desastre. En este supuesto, la adquisición, arrendamiento y servicio deberá limitarse a lo estrictamente necesario para enfrentar tal eventualidad.</w:t>
      </w:r>
    </w:p>
    <w:p w14:paraId="0364A73A" w14:textId="77777777" w:rsidR="0004700B" w:rsidRPr="0057241C" w:rsidRDefault="0004700B" w:rsidP="00D67451">
      <w:pPr>
        <w:tabs>
          <w:tab w:val="left" w:pos="7938"/>
        </w:tabs>
        <w:spacing w:before="120" w:after="12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VIII</w:t>
      </w:r>
      <w:r w:rsidRPr="0057241C">
        <w:rPr>
          <w:rFonts w:ascii="Palatino Linotype" w:eastAsia="Palatino Linotype" w:hAnsi="Palatino Linotype" w:cs="Palatino Linotype"/>
          <w:i/>
          <w:sz w:val="22"/>
          <w:szCs w:val="22"/>
        </w:rPr>
        <w:t>. Se hubiere rescindido un contrato, por causas imputables al proveedor o que la persona que habiendo resultado ganadora en una licitación, no concurra a la suscripción del contrato dentro del plazo establecido en esta Ley. En estos supuestos, la Secretaría,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w:t>
      </w:r>
    </w:p>
    <w:p w14:paraId="47701B16" w14:textId="77777777" w:rsidR="0004700B" w:rsidRPr="0057241C" w:rsidRDefault="0004700B" w:rsidP="00D67451">
      <w:pPr>
        <w:tabs>
          <w:tab w:val="left" w:pos="7938"/>
        </w:tabs>
        <w:spacing w:before="120" w:after="12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IX</w:t>
      </w:r>
      <w:r w:rsidRPr="0057241C">
        <w:rPr>
          <w:rFonts w:ascii="Palatino Linotype" w:eastAsia="Palatino Linotype" w:hAnsi="Palatino Linotype" w:cs="Palatino Linotype"/>
          <w:i/>
          <w:sz w:val="22"/>
          <w:szCs w:val="22"/>
        </w:rPr>
        <w:t>. Se hubiere declarado desierto un procedimiento de invitación restringida.</w:t>
      </w:r>
    </w:p>
    <w:p w14:paraId="32CBEB9E" w14:textId="77777777" w:rsidR="0004700B" w:rsidRPr="0057241C" w:rsidRDefault="0004700B" w:rsidP="00D67451">
      <w:pPr>
        <w:tabs>
          <w:tab w:val="left" w:pos="7938"/>
        </w:tabs>
        <w:spacing w:before="120" w:after="12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X</w:t>
      </w:r>
      <w:r w:rsidRPr="0057241C">
        <w:rPr>
          <w:rFonts w:ascii="Palatino Linotype" w:eastAsia="Palatino Linotype" w:hAnsi="Palatino Linotype" w:cs="Palatino Linotype"/>
          <w:i/>
          <w:sz w:val="22"/>
          <w:szCs w:val="22"/>
        </w:rPr>
        <w:t>. Cuando se aseguren condiciones financieras que permitan al Estado o a los municipios cumplir con la obligación de pago de manera diferida, sin que ello implique un costo financiero adicional o que habiéndolo, sea inferior al del mercado, o</w:t>
      </w:r>
    </w:p>
    <w:p w14:paraId="541AD0F5" w14:textId="77777777" w:rsidR="0004700B" w:rsidRPr="0057241C" w:rsidRDefault="0004700B" w:rsidP="00D67451">
      <w:pPr>
        <w:tabs>
          <w:tab w:val="left" w:pos="7938"/>
        </w:tabs>
        <w:spacing w:before="120" w:after="12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XI</w:t>
      </w:r>
      <w:r w:rsidRPr="0057241C">
        <w:rPr>
          <w:rFonts w:ascii="Palatino Linotype" w:eastAsia="Palatino Linotype" w:hAnsi="Palatino Linotype" w:cs="Palatino Linotype"/>
          <w:i/>
          <w:sz w:val="22"/>
          <w:szCs w:val="22"/>
        </w:rPr>
        <w:t>.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23CF2890" w14:textId="77777777" w:rsidR="0004700B" w:rsidRPr="0057241C" w:rsidRDefault="0004700B" w:rsidP="00D67451">
      <w:pPr>
        <w:tabs>
          <w:tab w:val="left" w:pos="7938"/>
        </w:tabs>
        <w:spacing w:before="120" w:after="12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XII</w:t>
      </w:r>
      <w:r w:rsidRPr="0057241C">
        <w:rPr>
          <w:rFonts w:ascii="Palatino Linotype" w:eastAsia="Palatino Linotype" w:hAnsi="Palatino Linotype" w:cs="Palatino Linotype"/>
          <w:i/>
          <w:sz w:val="22"/>
          <w:szCs w:val="22"/>
        </w:rPr>
        <w:t>.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14:paraId="5D53E2D2" w14:textId="77777777" w:rsidR="0004700B" w:rsidRPr="0057241C" w:rsidRDefault="0004700B" w:rsidP="00D67451">
      <w:pPr>
        <w:tabs>
          <w:tab w:val="left" w:pos="7938"/>
        </w:tabs>
        <w:spacing w:before="120" w:after="12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Artículo 49.-</w:t>
      </w:r>
      <w:r w:rsidRPr="0057241C">
        <w:rPr>
          <w:rFonts w:ascii="Palatino Linotype" w:eastAsia="Palatino Linotype" w:hAnsi="Palatino Linotype" w:cs="Palatino Linotype"/>
          <w:i/>
          <w:sz w:val="22"/>
          <w:szCs w:val="22"/>
        </w:rPr>
        <w:t xml:space="preserve"> El procedimiento de adjudicación directa se substanciará con arreglo a el reglamento de esta Ley.”</w:t>
      </w:r>
    </w:p>
    <w:p w14:paraId="76316934" w14:textId="77777777" w:rsidR="0004700B" w:rsidRPr="0057241C" w:rsidRDefault="0004700B" w:rsidP="0004700B">
      <w:pPr>
        <w:tabs>
          <w:tab w:val="left" w:pos="3544"/>
        </w:tabs>
        <w:spacing w:before="240" w:after="240" w:line="360" w:lineRule="auto"/>
        <w:ind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Asimismo, es de mencionar que de conformidad con el artículo 92, fracción XXIX de la Ley de Transparencia y Acceso a la Información Pública del Estado de México y Municipios, los Sujetos Obligados se encuentran constreñidos a poner a disposición del público, de manera permanente y actualizada en los respectivos medios electrónicos, información sobre los procesos y resultados sobre procedimientos de adjudicación directa, invitación restringida y licitación de cualquier naturaleza, </w:t>
      </w:r>
      <w:r w:rsidRPr="0057241C">
        <w:rPr>
          <w:rFonts w:ascii="Palatino Linotype" w:eastAsia="Palatino Linotype" w:hAnsi="Palatino Linotype" w:cs="Palatino Linotype"/>
          <w:b/>
          <w:sz w:val="22"/>
          <w:szCs w:val="22"/>
        </w:rPr>
        <w:t>incluyendo la versión pública</w:t>
      </w:r>
      <w:r w:rsidRPr="0057241C">
        <w:rPr>
          <w:rFonts w:ascii="Palatino Linotype" w:eastAsia="Palatino Linotype" w:hAnsi="Palatino Linotype" w:cs="Palatino Linotype"/>
          <w:sz w:val="22"/>
          <w:szCs w:val="22"/>
        </w:rPr>
        <w:t xml:space="preserve"> </w:t>
      </w:r>
      <w:r w:rsidRPr="0057241C">
        <w:rPr>
          <w:rFonts w:ascii="Palatino Linotype" w:eastAsia="Palatino Linotype" w:hAnsi="Palatino Linotype" w:cs="Palatino Linotype"/>
          <w:b/>
          <w:sz w:val="22"/>
          <w:szCs w:val="22"/>
        </w:rPr>
        <w:t>del expediente respectivo</w:t>
      </w:r>
      <w:r w:rsidRPr="0057241C">
        <w:rPr>
          <w:rFonts w:ascii="Palatino Linotype" w:eastAsia="Palatino Linotype" w:hAnsi="Palatino Linotype" w:cs="Palatino Linotype"/>
          <w:sz w:val="22"/>
          <w:szCs w:val="22"/>
        </w:rPr>
        <w:t xml:space="preserve"> y </w:t>
      </w:r>
      <w:r w:rsidRPr="0057241C">
        <w:rPr>
          <w:rFonts w:ascii="Palatino Linotype" w:eastAsia="Palatino Linotype" w:hAnsi="Palatino Linotype" w:cs="Palatino Linotype"/>
          <w:b/>
          <w:sz w:val="22"/>
          <w:szCs w:val="22"/>
        </w:rPr>
        <w:t>de los contratos celebrados;</w:t>
      </w:r>
      <w:r w:rsidRPr="0057241C">
        <w:rPr>
          <w:rFonts w:ascii="Palatino Linotype" w:eastAsia="Palatino Linotype" w:hAnsi="Palatino Linotype" w:cs="Palatino Linotype"/>
          <w:sz w:val="22"/>
          <w:szCs w:val="22"/>
        </w:rPr>
        <w:t xml:space="preserve"> a saber:</w:t>
      </w:r>
    </w:p>
    <w:p w14:paraId="609DE4B4" w14:textId="77777777" w:rsidR="0004700B" w:rsidRPr="0057241C" w:rsidRDefault="0004700B" w:rsidP="0004700B">
      <w:pPr>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r w:rsidRPr="0057241C">
        <w:rPr>
          <w:rFonts w:ascii="Palatino Linotype" w:eastAsia="Palatino Linotype" w:hAnsi="Palatino Linotype" w:cs="Palatino Linotype"/>
          <w:b/>
          <w:i/>
          <w:sz w:val="22"/>
          <w:szCs w:val="22"/>
        </w:rPr>
        <w:t>Artículo 92</w:t>
      </w:r>
      <w:r w:rsidRPr="0057241C">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45BAE20" w14:textId="77777777" w:rsidR="0004700B" w:rsidRPr="0057241C" w:rsidRDefault="0004700B" w:rsidP="0004700B">
      <w:pPr>
        <w:tabs>
          <w:tab w:val="left" w:pos="426"/>
          <w:tab w:val="left" w:pos="2145"/>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r w:rsidRPr="0057241C">
        <w:rPr>
          <w:rFonts w:ascii="Palatino Linotype" w:eastAsia="Palatino Linotype" w:hAnsi="Palatino Linotype" w:cs="Palatino Linotype"/>
          <w:i/>
          <w:sz w:val="22"/>
          <w:szCs w:val="22"/>
        </w:rPr>
        <w:tab/>
      </w:r>
    </w:p>
    <w:p w14:paraId="6C33C835"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XXIX.</w:t>
      </w:r>
      <w:r w:rsidRPr="0057241C">
        <w:rPr>
          <w:rFonts w:ascii="Palatino Linotype" w:eastAsia="Palatino Linotype" w:hAnsi="Palatino Linotype" w:cs="Palatino Linotype"/>
          <w:i/>
          <w:sz w:val="22"/>
          <w:szCs w:val="22"/>
        </w:rPr>
        <w:t xml:space="preserve"> La </w:t>
      </w:r>
      <w:r w:rsidRPr="0057241C">
        <w:rPr>
          <w:rFonts w:ascii="Palatino Linotype" w:eastAsia="Palatino Linotype" w:hAnsi="Palatino Linotype" w:cs="Palatino Linotype"/>
          <w:b/>
          <w:i/>
          <w:sz w:val="22"/>
          <w:szCs w:val="22"/>
        </w:rPr>
        <w:t xml:space="preserve">información sobre los procesos y resultados </w:t>
      </w:r>
      <w:r w:rsidRPr="0057241C">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57241C">
        <w:rPr>
          <w:rFonts w:ascii="Palatino Linotype" w:eastAsia="Palatino Linotype" w:hAnsi="Palatino Linotype" w:cs="Palatino Linotype"/>
          <w:i/>
          <w:sz w:val="22"/>
          <w:szCs w:val="22"/>
          <w:u w:val="single"/>
        </w:rPr>
        <w:t xml:space="preserve">, </w:t>
      </w:r>
      <w:r w:rsidRPr="0057241C">
        <w:rPr>
          <w:rFonts w:ascii="Palatino Linotype" w:eastAsia="Palatino Linotype" w:hAnsi="Palatino Linotype" w:cs="Palatino Linotype"/>
          <w:b/>
          <w:i/>
          <w:sz w:val="22"/>
          <w:szCs w:val="22"/>
        </w:rPr>
        <w:t>incluyendo la versión pública</w:t>
      </w:r>
      <w:r w:rsidRPr="0057241C">
        <w:rPr>
          <w:rFonts w:ascii="Palatino Linotype" w:eastAsia="Palatino Linotype" w:hAnsi="Palatino Linotype" w:cs="Palatino Linotype"/>
          <w:i/>
          <w:sz w:val="22"/>
          <w:szCs w:val="22"/>
        </w:rPr>
        <w:t xml:space="preserve"> del expediente respectivo y </w:t>
      </w:r>
      <w:r w:rsidRPr="0057241C">
        <w:rPr>
          <w:rFonts w:ascii="Palatino Linotype" w:eastAsia="Palatino Linotype" w:hAnsi="Palatino Linotype" w:cs="Palatino Linotype"/>
          <w:b/>
          <w:i/>
          <w:sz w:val="22"/>
          <w:szCs w:val="22"/>
        </w:rPr>
        <w:t>de los contratos celebrados</w:t>
      </w:r>
      <w:r w:rsidRPr="0057241C">
        <w:rPr>
          <w:rFonts w:ascii="Palatino Linotype" w:eastAsia="Palatino Linotype" w:hAnsi="Palatino Linotype" w:cs="Palatino Linotype"/>
          <w:i/>
          <w:sz w:val="22"/>
          <w:szCs w:val="22"/>
        </w:rPr>
        <w:t>, que deberán contener, por los menos, lo siguiente:</w:t>
      </w:r>
    </w:p>
    <w:p w14:paraId="19947724"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b/>
          <w:i/>
          <w:sz w:val="22"/>
          <w:szCs w:val="22"/>
        </w:rPr>
      </w:pPr>
      <w:r w:rsidRPr="0057241C">
        <w:rPr>
          <w:rFonts w:ascii="Palatino Linotype" w:eastAsia="Palatino Linotype" w:hAnsi="Palatino Linotype" w:cs="Palatino Linotype"/>
          <w:b/>
          <w:i/>
          <w:sz w:val="22"/>
          <w:szCs w:val="22"/>
        </w:rPr>
        <w:t>a) De licitaciones públicas o procedimientos de invitación restringida:</w:t>
      </w:r>
    </w:p>
    <w:p w14:paraId="6FAB6A7B"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1)</w:t>
      </w:r>
      <w:r w:rsidRPr="0057241C">
        <w:rPr>
          <w:rFonts w:ascii="Palatino Linotype" w:eastAsia="Palatino Linotype" w:hAnsi="Palatino Linotype" w:cs="Palatino Linotype"/>
          <w:i/>
          <w:sz w:val="22"/>
          <w:szCs w:val="22"/>
        </w:rPr>
        <w:t xml:space="preserve"> La convocatoria o invitación emitida, así como los fundamentos legales aplicados para llevarla a cabo;</w:t>
      </w:r>
    </w:p>
    <w:p w14:paraId="1E20D8B0"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2)</w:t>
      </w:r>
      <w:r w:rsidRPr="0057241C">
        <w:rPr>
          <w:rFonts w:ascii="Palatino Linotype" w:eastAsia="Palatino Linotype" w:hAnsi="Palatino Linotype" w:cs="Palatino Linotype"/>
          <w:i/>
          <w:sz w:val="22"/>
          <w:szCs w:val="22"/>
        </w:rPr>
        <w:t xml:space="preserve"> Los nombres de los participantes o invitados;</w:t>
      </w:r>
    </w:p>
    <w:p w14:paraId="6D258FE8"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3)</w:t>
      </w:r>
      <w:r w:rsidRPr="0057241C">
        <w:rPr>
          <w:rFonts w:ascii="Palatino Linotype" w:eastAsia="Palatino Linotype" w:hAnsi="Palatino Linotype" w:cs="Palatino Linotype"/>
          <w:i/>
          <w:sz w:val="22"/>
          <w:szCs w:val="22"/>
        </w:rPr>
        <w:t xml:space="preserve"> El nombre del ganador y las razones que lo justifican;</w:t>
      </w:r>
    </w:p>
    <w:p w14:paraId="550EAB6B"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4)</w:t>
      </w:r>
      <w:r w:rsidRPr="0057241C">
        <w:rPr>
          <w:rFonts w:ascii="Palatino Linotype" w:eastAsia="Palatino Linotype" w:hAnsi="Palatino Linotype" w:cs="Palatino Linotype"/>
          <w:i/>
          <w:sz w:val="22"/>
          <w:szCs w:val="22"/>
        </w:rPr>
        <w:t xml:space="preserve"> El área solicitante y la responsable de su ejecución;</w:t>
      </w:r>
    </w:p>
    <w:p w14:paraId="2ED316B1"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5)</w:t>
      </w:r>
      <w:r w:rsidRPr="0057241C">
        <w:rPr>
          <w:rFonts w:ascii="Palatino Linotype" w:eastAsia="Palatino Linotype" w:hAnsi="Palatino Linotype" w:cs="Palatino Linotype"/>
          <w:i/>
          <w:sz w:val="22"/>
          <w:szCs w:val="22"/>
        </w:rPr>
        <w:t xml:space="preserve"> Las convocatorias e invitaciones emitidas; </w:t>
      </w:r>
    </w:p>
    <w:p w14:paraId="731A5093"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6)</w:t>
      </w:r>
      <w:r w:rsidRPr="0057241C">
        <w:rPr>
          <w:rFonts w:ascii="Palatino Linotype" w:eastAsia="Palatino Linotype" w:hAnsi="Palatino Linotype" w:cs="Palatino Linotype"/>
          <w:i/>
          <w:sz w:val="22"/>
          <w:szCs w:val="22"/>
        </w:rPr>
        <w:t xml:space="preserve"> Los dictámenes y fallo de adjudicación;</w:t>
      </w:r>
    </w:p>
    <w:p w14:paraId="53921428"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 xml:space="preserve">7) </w:t>
      </w:r>
      <w:r w:rsidRPr="0057241C">
        <w:rPr>
          <w:rFonts w:ascii="Palatino Linotype" w:eastAsia="Palatino Linotype" w:hAnsi="Palatino Linotype" w:cs="Palatino Linotype"/>
          <w:i/>
          <w:sz w:val="22"/>
          <w:szCs w:val="22"/>
        </w:rPr>
        <w:t xml:space="preserve">El contrato y, en su caso, sus anexos; </w:t>
      </w:r>
    </w:p>
    <w:p w14:paraId="261C2D02"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8)</w:t>
      </w:r>
      <w:r w:rsidRPr="0057241C">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21F75D7A"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9)</w:t>
      </w:r>
      <w:r w:rsidRPr="0057241C">
        <w:rPr>
          <w:rFonts w:ascii="Palatino Linotype" w:eastAsia="Palatino Linotype" w:hAnsi="Palatino Linotype" w:cs="Palatino Linotype"/>
          <w:i/>
          <w:sz w:val="22"/>
          <w:szCs w:val="22"/>
        </w:rPr>
        <w:t xml:space="preserve"> La partida presupuestal, de conformidad con el clasificador por objeto del gasto, en el caso de ser aplicable; </w:t>
      </w:r>
    </w:p>
    <w:p w14:paraId="29C9CA31"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10)</w:t>
      </w:r>
      <w:r w:rsidRPr="0057241C">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14:paraId="3D5E8E78"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11)</w:t>
      </w:r>
      <w:r w:rsidRPr="0057241C">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14:paraId="6F8C752C"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12)</w:t>
      </w:r>
      <w:r w:rsidRPr="0057241C">
        <w:rPr>
          <w:rFonts w:ascii="Palatino Linotype" w:eastAsia="Palatino Linotype" w:hAnsi="Palatino Linotype" w:cs="Palatino Linotype"/>
          <w:i/>
          <w:sz w:val="22"/>
          <w:szCs w:val="22"/>
        </w:rPr>
        <w:t xml:space="preserve"> Los informes de avance físico y financiero sobre las obras o servicios contratados; </w:t>
      </w:r>
    </w:p>
    <w:p w14:paraId="7A78022E"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13)</w:t>
      </w:r>
      <w:r w:rsidRPr="0057241C">
        <w:rPr>
          <w:rFonts w:ascii="Palatino Linotype" w:eastAsia="Palatino Linotype" w:hAnsi="Palatino Linotype" w:cs="Palatino Linotype"/>
          <w:i/>
          <w:sz w:val="22"/>
          <w:szCs w:val="22"/>
        </w:rPr>
        <w:t xml:space="preserve"> El convenio de terminación; </w:t>
      </w:r>
    </w:p>
    <w:p w14:paraId="68F89FCF"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14)</w:t>
      </w:r>
      <w:r w:rsidRPr="0057241C">
        <w:rPr>
          <w:rFonts w:ascii="Palatino Linotype" w:eastAsia="Palatino Linotype" w:hAnsi="Palatino Linotype" w:cs="Palatino Linotype"/>
          <w:i/>
          <w:sz w:val="22"/>
          <w:szCs w:val="22"/>
        </w:rPr>
        <w:t xml:space="preserve"> El finiquito.</w:t>
      </w:r>
    </w:p>
    <w:p w14:paraId="2517C734"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b/>
          <w:i/>
          <w:sz w:val="22"/>
          <w:szCs w:val="22"/>
        </w:rPr>
      </w:pPr>
      <w:r w:rsidRPr="0057241C">
        <w:rPr>
          <w:rFonts w:ascii="Palatino Linotype" w:eastAsia="Palatino Linotype" w:hAnsi="Palatino Linotype" w:cs="Palatino Linotype"/>
          <w:b/>
          <w:i/>
          <w:sz w:val="22"/>
          <w:szCs w:val="22"/>
        </w:rPr>
        <w:t xml:space="preserve">b) De las adjudicaciones directas: </w:t>
      </w:r>
    </w:p>
    <w:p w14:paraId="1C41EB29"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1)</w:t>
      </w:r>
      <w:r w:rsidRPr="0057241C">
        <w:rPr>
          <w:rFonts w:ascii="Palatino Linotype" w:eastAsia="Palatino Linotype" w:hAnsi="Palatino Linotype" w:cs="Palatino Linotype"/>
          <w:i/>
          <w:sz w:val="22"/>
          <w:szCs w:val="22"/>
        </w:rPr>
        <w:t xml:space="preserve"> La propuesta enviada por el participante; </w:t>
      </w:r>
    </w:p>
    <w:p w14:paraId="27E7527F"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2)</w:t>
      </w:r>
      <w:r w:rsidRPr="0057241C">
        <w:rPr>
          <w:rFonts w:ascii="Palatino Linotype" w:eastAsia="Palatino Linotype" w:hAnsi="Palatino Linotype" w:cs="Palatino Linotype"/>
          <w:i/>
          <w:sz w:val="22"/>
          <w:szCs w:val="22"/>
        </w:rPr>
        <w:t xml:space="preserve"> Los motivos y fundamentos legales aplicados para llevarla a cabo;</w:t>
      </w:r>
    </w:p>
    <w:p w14:paraId="70549A5D"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3)</w:t>
      </w:r>
      <w:r w:rsidRPr="0057241C">
        <w:rPr>
          <w:rFonts w:ascii="Palatino Linotype" w:eastAsia="Palatino Linotype" w:hAnsi="Palatino Linotype" w:cs="Palatino Linotype"/>
          <w:i/>
          <w:sz w:val="22"/>
          <w:szCs w:val="22"/>
        </w:rPr>
        <w:t xml:space="preserve"> La autorización del ejercicio de la opción; </w:t>
      </w:r>
    </w:p>
    <w:p w14:paraId="78B2E5E1"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b/>
          <w:i/>
          <w:sz w:val="22"/>
          <w:szCs w:val="22"/>
        </w:rPr>
      </w:pPr>
      <w:r w:rsidRPr="0057241C">
        <w:rPr>
          <w:rFonts w:ascii="Palatino Linotype" w:eastAsia="Palatino Linotype" w:hAnsi="Palatino Linotype" w:cs="Palatino Linotype"/>
          <w:b/>
          <w:i/>
          <w:sz w:val="22"/>
          <w:szCs w:val="22"/>
        </w:rPr>
        <w:t xml:space="preserve">4) </w:t>
      </w:r>
      <w:r w:rsidRPr="0057241C">
        <w:rPr>
          <w:rFonts w:ascii="Palatino Linotype" w:eastAsia="Palatino Linotype" w:hAnsi="Palatino Linotype" w:cs="Palatino Linotype"/>
          <w:i/>
          <w:sz w:val="22"/>
          <w:szCs w:val="22"/>
        </w:rPr>
        <w:t>En su caso, las cotizaciones consideradas, especificando los nombres de los proveedores y sus montos;</w:t>
      </w:r>
      <w:r w:rsidRPr="0057241C">
        <w:rPr>
          <w:rFonts w:ascii="Palatino Linotype" w:eastAsia="Palatino Linotype" w:hAnsi="Palatino Linotype" w:cs="Palatino Linotype"/>
          <w:b/>
          <w:i/>
          <w:sz w:val="22"/>
          <w:szCs w:val="22"/>
        </w:rPr>
        <w:t xml:space="preserve"> </w:t>
      </w:r>
    </w:p>
    <w:p w14:paraId="0229F1F0"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5)</w:t>
      </w:r>
      <w:r w:rsidRPr="0057241C">
        <w:rPr>
          <w:rFonts w:ascii="Palatino Linotype" w:eastAsia="Palatino Linotype" w:hAnsi="Palatino Linotype" w:cs="Palatino Linotype"/>
          <w:i/>
          <w:sz w:val="22"/>
          <w:szCs w:val="22"/>
        </w:rPr>
        <w:t xml:space="preserve"> El nombre de la persona física o jurídica colectiva adjudicada; </w:t>
      </w:r>
    </w:p>
    <w:p w14:paraId="1E3327C8"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6)</w:t>
      </w:r>
      <w:r w:rsidRPr="0057241C">
        <w:rPr>
          <w:rFonts w:ascii="Palatino Linotype" w:eastAsia="Palatino Linotype" w:hAnsi="Palatino Linotype" w:cs="Palatino Linotype"/>
          <w:i/>
          <w:sz w:val="22"/>
          <w:szCs w:val="22"/>
        </w:rPr>
        <w:t xml:space="preserve"> La unidad administrativa solicitante y la responsable de su ejecución; </w:t>
      </w:r>
    </w:p>
    <w:p w14:paraId="2B89E1DA"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 xml:space="preserve">7) </w:t>
      </w:r>
      <w:r w:rsidRPr="0057241C">
        <w:rPr>
          <w:rFonts w:ascii="Palatino Linotype" w:eastAsia="Palatino Linotype" w:hAnsi="Palatino Linotype" w:cs="Palatino Linotype"/>
          <w:i/>
          <w:sz w:val="22"/>
          <w:szCs w:val="22"/>
        </w:rPr>
        <w:t xml:space="preserve">El número, fecha, el monto del contrato y el plazo de entrega o de ejecución de los servicios u obra; </w:t>
      </w:r>
    </w:p>
    <w:p w14:paraId="63AA2988"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8)</w:t>
      </w:r>
      <w:r w:rsidRPr="0057241C">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14:paraId="12082F3C"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9)</w:t>
      </w:r>
      <w:r w:rsidRPr="0057241C">
        <w:rPr>
          <w:rFonts w:ascii="Palatino Linotype" w:eastAsia="Palatino Linotype" w:hAnsi="Palatino Linotype" w:cs="Palatino Linotype"/>
          <w:i/>
          <w:sz w:val="22"/>
          <w:szCs w:val="22"/>
        </w:rPr>
        <w:t xml:space="preserve"> Los informes de avance sobre las obras o servicios contratados; </w:t>
      </w:r>
    </w:p>
    <w:p w14:paraId="5F08C8B1"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10)</w:t>
      </w:r>
      <w:r w:rsidRPr="0057241C">
        <w:rPr>
          <w:rFonts w:ascii="Palatino Linotype" w:eastAsia="Palatino Linotype" w:hAnsi="Palatino Linotype" w:cs="Palatino Linotype"/>
          <w:i/>
          <w:sz w:val="22"/>
          <w:szCs w:val="22"/>
        </w:rPr>
        <w:t xml:space="preserve"> El convenio de terminación; y </w:t>
      </w:r>
    </w:p>
    <w:p w14:paraId="6F081B78" w14:textId="77777777" w:rsidR="0004700B" w:rsidRPr="0057241C" w:rsidRDefault="0004700B" w:rsidP="0004700B">
      <w:pPr>
        <w:tabs>
          <w:tab w:val="left" w:pos="42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11)</w:t>
      </w:r>
      <w:r w:rsidRPr="0057241C">
        <w:rPr>
          <w:rFonts w:ascii="Palatino Linotype" w:eastAsia="Palatino Linotype" w:hAnsi="Palatino Linotype" w:cs="Palatino Linotype"/>
          <w:i/>
          <w:sz w:val="22"/>
          <w:szCs w:val="22"/>
        </w:rPr>
        <w:t xml:space="preserve"> El finiquito;”</w:t>
      </w:r>
    </w:p>
    <w:p w14:paraId="2512BD63" w14:textId="77777777" w:rsidR="0004700B" w:rsidRPr="0057241C" w:rsidRDefault="0004700B" w:rsidP="0004700B">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14:paraId="5AF83CEE" w14:textId="77777777" w:rsidR="0004700B" w:rsidRPr="0057241C" w:rsidRDefault="0004700B" w:rsidP="0004700B">
      <w:pPr>
        <w:tabs>
          <w:tab w:val="left" w:pos="709"/>
        </w:tabs>
        <w:spacing w:before="240" w:after="240" w:line="360" w:lineRule="auto"/>
        <w:ind w:left="284"/>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  </w:t>
      </w:r>
      <w:r w:rsidRPr="0057241C">
        <w:rPr>
          <w:rFonts w:ascii="Palatino Linotype" w:eastAsia="Palatino Linotype" w:hAnsi="Palatino Linotype" w:cs="Palatino Linotype"/>
          <w:b/>
          <w:sz w:val="22"/>
          <w:szCs w:val="22"/>
        </w:rPr>
        <w:t xml:space="preserve">Licitación pública: </w:t>
      </w:r>
      <w:r w:rsidRPr="0057241C">
        <w:rPr>
          <w:rFonts w:ascii="Palatino Linotype" w:eastAsia="Palatino Linotype" w:hAnsi="Palatino Linotype" w:cs="Palatino Linotype"/>
          <w:sz w:val="22"/>
          <w:szCs w:val="22"/>
        </w:rPr>
        <w:t>convocatoria y fundamentos legales aplicables para llevarla a cabo, nombre de los participantes, nombre del ganador y razones, área solicitante y responsable de su ejecución, convocatorias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0046589F" w14:textId="77777777" w:rsidR="0004700B" w:rsidRPr="0057241C" w:rsidRDefault="0004700B" w:rsidP="0004700B">
      <w:pPr>
        <w:tabs>
          <w:tab w:val="left" w:pos="709"/>
        </w:tabs>
        <w:spacing w:before="240" w:after="240" w:line="360" w:lineRule="auto"/>
        <w:ind w:left="284"/>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 </w:t>
      </w:r>
      <w:r w:rsidRPr="0057241C">
        <w:rPr>
          <w:rFonts w:ascii="Palatino Linotype" w:eastAsia="Palatino Linotype" w:hAnsi="Palatino Linotype" w:cs="Palatino Linotype"/>
          <w:b/>
          <w:sz w:val="22"/>
          <w:szCs w:val="22"/>
        </w:rPr>
        <w:t xml:space="preserve">Invitación restringida: </w:t>
      </w:r>
      <w:r w:rsidRPr="0057241C">
        <w:rPr>
          <w:rFonts w:ascii="Palatino Linotype" w:eastAsia="Palatino Linotype" w:hAnsi="Palatino Linotype" w:cs="Palatino Linotype"/>
          <w:sz w:val="22"/>
          <w:szCs w:val="22"/>
        </w:rPr>
        <w:t>invitación emitida y fundamentos legales aplicables para llevarla a cabo, nombre de los participantes o invitados, nombre del ganador y razones, área solicitante y responsable de su ejecución, invitaciones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25C27D4B" w14:textId="77777777" w:rsidR="0004700B" w:rsidRPr="0057241C" w:rsidRDefault="0004700B" w:rsidP="0004700B">
      <w:pPr>
        <w:tabs>
          <w:tab w:val="left" w:pos="709"/>
        </w:tabs>
        <w:spacing w:before="240" w:after="240" w:line="360" w:lineRule="auto"/>
        <w:ind w:left="284"/>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 </w:t>
      </w:r>
      <w:r w:rsidRPr="0057241C">
        <w:rPr>
          <w:rFonts w:ascii="Palatino Linotype" w:eastAsia="Palatino Linotype" w:hAnsi="Palatino Linotype" w:cs="Palatino Linotype"/>
          <w:b/>
          <w:sz w:val="22"/>
          <w:szCs w:val="22"/>
        </w:rPr>
        <w:t xml:space="preserve">Adjudicaciones directas: </w:t>
      </w:r>
      <w:r w:rsidRPr="0057241C">
        <w:rPr>
          <w:rFonts w:ascii="Palatino Linotype" w:eastAsia="Palatino Linotype" w:hAnsi="Palatino Linotype" w:cs="Palatino Linotype"/>
          <w:sz w:val="22"/>
          <w:szCs w:val="22"/>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14:paraId="314D5C32" w14:textId="77777777" w:rsidR="0004700B" w:rsidRPr="0057241C" w:rsidRDefault="0004700B" w:rsidP="0004700B">
      <w:pPr>
        <w:spacing w:before="240" w:after="240" w:line="360" w:lineRule="auto"/>
        <w:ind w:right="51"/>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Por ende,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para el cumplimiento de la obligación de transparencia señalada en el artículo 70  fracción XXVIII de la Ley General de Transparencia y Acceso a la Información Pública, vigentes a la fecha de la solicitud, los sujetos obligados deben publicar información sobre los actos, contratos y convenios celebrados, misma que </w:t>
      </w:r>
      <w:r w:rsidRPr="0057241C">
        <w:rPr>
          <w:rFonts w:ascii="Palatino Linotype" w:eastAsia="Palatino Linotype" w:hAnsi="Palatino Linotype" w:cs="Palatino Linotype"/>
          <w:b/>
          <w:sz w:val="22"/>
          <w:szCs w:val="22"/>
        </w:rPr>
        <w:t>debe presentarse en una base de datos en la que cada registro se hará por tipo de procedimiento, ya sea licitación pública, invitación restringida o adjudicación directa,</w:t>
      </w:r>
      <w:r w:rsidRPr="0057241C">
        <w:rPr>
          <w:rFonts w:ascii="Palatino Linotype" w:eastAsia="Palatino Linotype" w:hAnsi="Palatino Linotype" w:cs="Palatino Linotype"/>
          <w:sz w:val="22"/>
          <w:szCs w:val="22"/>
        </w:rPr>
        <w:t xml:space="preserve"> especificando para cada tipo de procedimiento la materia, pudiendo ser obra pública, servicios relacionados con obra pública, arrendamiento, adquisiciones, o servicios, así como el carácter de cada uno, es decir, nacional o internacional, </w:t>
      </w:r>
      <w:r w:rsidRPr="0057241C">
        <w:rPr>
          <w:rFonts w:ascii="Palatino Linotype" w:eastAsia="Palatino Linotype" w:hAnsi="Palatino Linotype" w:cs="Palatino Linotype"/>
          <w:b/>
          <w:bCs/>
          <w:sz w:val="22"/>
          <w:szCs w:val="22"/>
        </w:rPr>
        <w:t>además se debe elaborar versión pública los documentos fuente que deban ser publicados</w:t>
      </w:r>
      <w:r w:rsidRPr="0057241C">
        <w:rPr>
          <w:rFonts w:ascii="Palatino Linotype" w:eastAsia="Palatino Linotype" w:hAnsi="Palatino Linotype" w:cs="Palatino Linotype"/>
          <w:sz w:val="22"/>
          <w:szCs w:val="22"/>
        </w:rPr>
        <w:t xml:space="preserve"> en este apartado, </w:t>
      </w:r>
      <w:r w:rsidRPr="0057241C">
        <w:rPr>
          <w:rFonts w:ascii="Palatino Linotype" w:eastAsia="Palatino Linotype" w:hAnsi="Palatino Linotype" w:cs="Palatino Linotype"/>
          <w:b/>
          <w:bCs/>
          <w:sz w:val="22"/>
          <w:szCs w:val="22"/>
        </w:rPr>
        <w:t xml:space="preserve">tales como </w:t>
      </w:r>
      <w:r w:rsidRPr="0057241C">
        <w:rPr>
          <w:rFonts w:ascii="Palatino Linotype" w:eastAsia="Palatino Linotype" w:hAnsi="Palatino Linotype" w:cs="Palatino Linotype"/>
          <w:b/>
          <w:bCs/>
          <w:sz w:val="22"/>
          <w:szCs w:val="22"/>
          <w:u w:val="single"/>
        </w:rPr>
        <w:t>contratos,</w:t>
      </w:r>
      <w:r w:rsidRPr="0057241C">
        <w:rPr>
          <w:rFonts w:ascii="Palatino Linotype" w:eastAsia="Palatino Linotype" w:hAnsi="Palatino Linotype" w:cs="Palatino Linotype"/>
          <w:sz w:val="22"/>
          <w:szCs w:val="22"/>
        </w:rPr>
        <w:t xml:space="preserve">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7FD6C9FE" w14:textId="77777777" w:rsidR="0004700B" w:rsidRPr="0057241C" w:rsidRDefault="0004700B" w:rsidP="0004700B">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En este sentido, se colige que la información requerida por la persona solicitante versa sobre una obligación de transparencia de oficio, y que por tal motivo el </w:t>
      </w:r>
      <w:r w:rsidRPr="0057241C">
        <w:rPr>
          <w:rFonts w:ascii="Palatino Linotype" w:eastAsia="Palatino Linotype" w:hAnsi="Palatino Linotype" w:cs="Palatino Linotype"/>
          <w:b/>
          <w:sz w:val="22"/>
          <w:szCs w:val="22"/>
        </w:rPr>
        <w:t>Sujeto Obligado</w:t>
      </w:r>
      <w:r w:rsidRPr="0057241C">
        <w:rPr>
          <w:rFonts w:ascii="Palatino Linotype" w:eastAsia="Palatino Linotype" w:hAnsi="Palatino Linotype" w:cs="Palatino Linotype"/>
          <w:sz w:val="22"/>
          <w:szCs w:val="22"/>
        </w:rPr>
        <w:t xml:space="preserve"> se encuentra constreñido a poner a disposición del público dicha información, de manera permanente y actualizada a través de los portales de internet y en la Plataforma Nacional de Transparencia, no obstante, si bien ha quedado claro que la información que es hoy tema de estudio, por su naturaleza debe encontrarse pública a través del portal referido,  no es óbice para que éste sea el único medio por el cual la solicitud pueda ser atendida, en virtud de que los sujetos obligados se encuentran constreñidos a documentar todo acto que derive del ejercicio de sus facultades, competencias o funciones considerando su eventual publicación, en términos de los artículos 18 y 24 fracción XXII de la Ley de la Materia, que a la letra señalan lo siguiente:</w:t>
      </w:r>
    </w:p>
    <w:p w14:paraId="6E1021B0"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r w:rsidRPr="0057241C">
        <w:rPr>
          <w:rFonts w:ascii="Palatino Linotype" w:eastAsia="Palatino Linotype" w:hAnsi="Palatino Linotype" w:cs="Palatino Linotype"/>
          <w:b/>
          <w:i/>
          <w:sz w:val="22"/>
          <w:szCs w:val="22"/>
        </w:rPr>
        <w:t>Artículo 18.</w:t>
      </w:r>
      <w:r w:rsidRPr="0057241C">
        <w:rPr>
          <w:rFonts w:ascii="Palatino Linotype" w:eastAsia="Palatino Linotype" w:hAnsi="Palatino Linotype" w:cs="Palatino Linotype"/>
          <w:i/>
          <w:sz w:val="22"/>
          <w:szCs w:val="22"/>
        </w:rPr>
        <w:t xml:space="preserve"> Los sujetos obligados </w:t>
      </w:r>
      <w:r w:rsidRPr="0057241C">
        <w:rPr>
          <w:rFonts w:ascii="Palatino Linotype" w:eastAsia="Palatino Linotype" w:hAnsi="Palatino Linotype" w:cs="Palatino Linotype"/>
          <w:b/>
          <w:i/>
          <w:sz w:val="22"/>
          <w:szCs w:val="22"/>
        </w:rPr>
        <w:t>deberán documentar todo acto</w:t>
      </w:r>
      <w:r w:rsidRPr="0057241C">
        <w:rPr>
          <w:rFonts w:ascii="Palatino Linotype" w:eastAsia="Palatino Linotype" w:hAnsi="Palatino Linotype" w:cs="Palatino Linotype"/>
          <w:i/>
          <w:sz w:val="22"/>
          <w:szCs w:val="22"/>
        </w:rPr>
        <w:t xml:space="preserve"> </w:t>
      </w:r>
      <w:r w:rsidRPr="0057241C">
        <w:rPr>
          <w:rFonts w:ascii="Palatino Linotype" w:eastAsia="Palatino Linotype" w:hAnsi="Palatino Linotype" w:cs="Palatino Linotype"/>
          <w:b/>
          <w:i/>
          <w:sz w:val="22"/>
          <w:szCs w:val="22"/>
        </w:rPr>
        <w:t>que derive del ejercicio de sus facultades, competencias o funciones</w:t>
      </w:r>
      <w:r w:rsidRPr="0057241C">
        <w:rPr>
          <w:rFonts w:ascii="Palatino Linotype" w:eastAsia="Palatino Linotype" w:hAnsi="Palatino Linotype" w:cs="Palatino Linotype"/>
          <w:i/>
          <w:sz w:val="22"/>
          <w:szCs w:val="22"/>
        </w:rPr>
        <w:t>, considerando desde su origen la eventual publicidad y reutilización de la información que generen.</w:t>
      </w:r>
    </w:p>
    <w:p w14:paraId="7BE9460F"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p>
    <w:p w14:paraId="3F31A7A8"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Artículo 24.</w:t>
      </w:r>
      <w:r w:rsidRPr="0057241C">
        <w:rPr>
          <w:rFonts w:ascii="Palatino Linotype" w:eastAsia="Palatino Linotype" w:hAnsi="Palatino Linotype" w:cs="Palatino Linotype"/>
          <w:i/>
          <w:sz w:val="22"/>
          <w:szCs w:val="22"/>
        </w:rPr>
        <w:t xml:space="preserve"> Para el cumplimiento de los objetivos de esta Ley</w:t>
      </w:r>
      <w:r w:rsidRPr="0057241C">
        <w:rPr>
          <w:rFonts w:ascii="Palatino Linotype" w:eastAsia="Palatino Linotype" w:hAnsi="Palatino Linotype" w:cs="Palatino Linotype"/>
          <w:b/>
          <w:i/>
          <w:sz w:val="22"/>
          <w:szCs w:val="22"/>
        </w:rPr>
        <w:t>, los sujetos obligados deberán cumplir con las siguientes obligaciones</w:t>
      </w:r>
      <w:r w:rsidRPr="0057241C">
        <w:rPr>
          <w:rFonts w:ascii="Palatino Linotype" w:eastAsia="Palatino Linotype" w:hAnsi="Palatino Linotype" w:cs="Palatino Linotype"/>
          <w:i/>
          <w:sz w:val="22"/>
          <w:szCs w:val="22"/>
        </w:rPr>
        <w:t>, según corresponda, de acuerdo a su naturaleza:</w:t>
      </w:r>
    </w:p>
    <w:p w14:paraId="6EF9BBC2"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p>
    <w:p w14:paraId="7DA4F89C" w14:textId="77777777" w:rsidR="0004700B" w:rsidRPr="0057241C" w:rsidRDefault="0004700B" w:rsidP="0004700B">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XXII.</w:t>
      </w:r>
      <w:r w:rsidRPr="0057241C">
        <w:rPr>
          <w:rFonts w:ascii="Palatino Linotype" w:eastAsia="Palatino Linotype" w:hAnsi="Palatino Linotype" w:cs="Palatino Linotype"/>
          <w:i/>
          <w:sz w:val="22"/>
          <w:szCs w:val="22"/>
        </w:rPr>
        <w:t xml:space="preserve"> </w:t>
      </w:r>
      <w:r w:rsidRPr="0057241C">
        <w:rPr>
          <w:rFonts w:ascii="Palatino Linotype" w:eastAsia="Palatino Linotype" w:hAnsi="Palatino Linotype" w:cs="Palatino Linotype"/>
          <w:b/>
          <w:i/>
          <w:sz w:val="22"/>
          <w:szCs w:val="22"/>
        </w:rPr>
        <w:t>Documentar todo acto que derive del ejercicio de sus facultades, competencias o funciones</w:t>
      </w:r>
      <w:r w:rsidRPr="0057241C">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14:paraId="3128D8FF" w14:textId="77777777" w:rsidR="00855868" w:rsidRPr="0057241C" w:rsidRDefault="00D67451" w:rsidP="00855868">
      <w:pPr>
        <w:spacing w:before="240" w:after="240" w:line="360" w:lineRule="auto"/>
        <w:ind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Con relación a las facturas, </w:t>
      </w:r>
      <w:r w:rsidR="00855868" w:rsidRPr="0057241C">
        <w:rPr>
          <w:rFonts w:ascii="Palatino Linotype" w:eastAsia="Palatino Linotype" w:hAnsi="Palatino Linotype" w:cs="Palatino Linotype"/>
          <w:sz w:val="22"/>
          <w:szCs w:val="22"/>
        </w:rPr>
        <w:t>se debe partir de lo dispuesto en los artículos 342, 343, 344 y 345 del Código Financiero del Estado de México y Municipios, los cuales disponen el sistema y las políticas que deben seguirse para llevar el registro contable y presupuestal de las operaciones financieras, en los siguientes términos:</w:t>
      </w:r>
    </w:p>
    <w:p w14:paraId="07197E4A" w14:textId="77777777" w:rsidR="00855868" w:rsidRPr="0057241C" w:rsidRDefault="00855868" w:rsidP="00855868">
      <w:pPr>
        <w:spacing w:before="120" w:after="120"/>
        <w:ind w:left="862" w:right="86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r w:rsidRPr="0057241C">
        <w:rPr>
          <w:rFonts w:ascii="Palatino Linotype" w:eastAsia="Palatino Linotype" w:hAnsi="Palatino Linotype" w:cs="Palatino Linotype"/>
          <w:b/>
          <w:i/>
          <w:sz w:val="22"/>
          <w:szCs w:val="22"/>
        </w:rPr>
        <w:t>Artículo 342.-</w:t>
      </w:r>
      <w:r w:rsidRPr="0057241C">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780E9394" w14:textId="77777777" w:rsidR="00855868" w:rsidRPr="0057241C" w:rsidRDefault="00855868" w:rsidP="00855868">
      <w:pPr>
        <w:spacing w:before="120" w:after="120"/>
        <w:ind w:left="862" w:right="86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En el caso de los municipios,</w:t>
      </w:r>
      <w:r w:rsidRPr="0057241C">
        <w:rPr>
          <w:rFonts w:ascii="Palatino Linotype" w:eastAsia="Palatino Linotype" w:hAnsi="Palatino Linotype" w:cs="Palatino Linotype"/>
          <w:i/>
          <w:sz w:val="22"/>
          <w:szCs w:val="22"/>
        </w:rPr>
        <w:t xml:space="preserve"> el registro a que se refiere el párrafo anterior, se realizará conforme al sistema y a las disposiciones en materia de </w:t>
      </w:r>
      <w:r w:rsidRPr="0057241C">
        <w:rPr>
          <w:rFonts w:ascii="Palatino Linotype" w:eastAsia="Palatino Linotype" w:hAnsi="Palatino Linotype" w:cs="Palatino Linotype"/>
          <w:b/>
          <w:i/>
          <w:sz w:val="22"/>
          <w:szCs w:val="22"/>
        </w:rPr>
        <w:t>planeación, programación, presupuestación, evaluación y contabilidad gubernamental</w:t>
      </w:r>
      <w:r w:rsidRPr="0057241C">
        <w:rPr>
          <w:rFonts w:ascii="Palatino Linotype" w:eastAsia="Palatino Linotype" w:hAnsi="Palatino Linotype" w:cs="Palatino Linotype"/>
          <w:i/>
          <w:sz w:val="22"/>
          <w:szCs w:val="22"/>
        </w:rPr>
        <w:t>, que se aprueben en el marco del Sistema de Coordinación Hacendaria del Estado de México.</w:t>
      </w:r>
    </w:p>
    <w:p w14:paraId="62408588" w14:textId="77777777" w:rsidR="00855868" w:rsidRPr="0057241C" w:rsidRDefault="00855868" w:rsidP="00855868">
      <w:pPr>
        <w:spacing w:before="120" w:after="120"/>
        <w:ind w:left="862" w:right="86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Artículo 343.-</w:t>
      </w:r>
      <w:r w:rsidRPr="0057241C">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604F9A7B" w14:textId="77777777" w:rsidR="00855868" w:rsidRPr="0057241C" w:rsidRDefault="00855868" w:rsidP="00855868">
      <w:pPr>
        <w:spacing w:before="120" w:after="120"/>
        <w:ind w:left="862" w:right="86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68E645FC" w14:textId="77777777" w:rsidR="00855868" w:rsidRPr="0057241C" w:rsidRDefault="00855868" w:rsidP="00855868">
      <w:pPr>
        <w:spacing w:before="120" w:after="120"/>
        <w:ind w:left="862" w:right="862"/>
        <w:jc w:val="both"/>
        <w:rPr>
          <w:rFonts w:ascii="Palatino Linotype" w:eastAsia="Palatino Linotype" w:hAnsi="Palatino Linotype" w:cs="Palatino Linotype"/>
          <w:b/>
          <w:i/>
          <w:sz w:val="22"/>
          <w:szCs w:val="22"/>
        </w:rPr>
      </w:pPr>
      <w:r w:rsidRPr="0057241C">
        <w:rPr>
          <w:rFonts w:ascii="Palatino Linotype" w:eastAsia="Palatino Linotype" w:hAnsi="Palatino Linotype" w:cs="Palatino Linotype"/>
          <w:b/>
          <w:i/>
          <w:sz w:val="22"/>
          <w:szCs w:val="22"/>
        </w:rPr>
        <w:t xml:space="preserve">Artículo 344.- Los Entes Públicos, a través de cualquiera de sus unidades administrativas, de acuerdo con su naturaleza jurídica y según corresponda, </w:t>
      </w:r>
      <w:r w:rsidRPr="0057241C">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57241C">
        <w:rPr>
          <w:rFonts w:ascii="Palatino Linotype" w:eastAsia="Palatino Linotype" w:hAnsi="Palatino Linotype" w:cs="Palatino Linotype"/>
          <w:b/>
          <w:i/>
          <w:sz w:val="22"/>
          <w:szCs w:val="22"/>
        </w:rPr>
        <w:t>.</w:t>
      </w:r>
    </w:p>
    <w:p w14:paraId="6517C490" w14:textId="77777777" w:rsidR="00855868" w:rsidRPr="0057241C" w:rsidRDefault="00855868" w:rsidP="00855868">
      <w:pPr>
        <w:spacing w:before="120" w:after="120"/>
        <w:ind w:left="862" w:right="86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 xml:space="preserve">Todo registro contable y presupuestal </w:t>
      </w:r>
      <w:r w:rsidRPr="0057241C">
        <w:rPr>
          <w:rFonts w:ascii="Palatino Linotype" w:eastAsia="Palatino Linotype" w:hAnsi="Palatino Linotype" w:cs="Palatino Linotype"/>
          <w:b/>
          <w:i/>
          <w:sz w:val="22"/>
          <w:szCs w:val="22"/>
          <w:u w:val="single"/>
        </w:rPr>
        <w:t>deberá estar soportado con los documentos de registro, justificativos y comprobatorios originales, en copias certificadas o en medios electrónicos, según corresponda</w:t>
      </w:r>
      <w:r w:rsidRPr="0057241C">
        <w:rPr>
          <w:rFonts w:ascii="Palatino Linotype" w:eastAsia="Palatino Linotype" w:hAnsi="Palatino Linotype" w:cs="Palatino Linotype"/>
          <w:b/>
          <w:i/>
          <w:sz w:val="22"/>
          <w:szCs w:val="22"/>
        </w:rPr>
        <w:t xml:space="preserve">, los que deberán </w:t>
      </w:r>
      <w:r w:rsidRPr="0057241C">
        <w:rPr>
          <w:rFonts w:ascii="Palatino Linotype" w:eastAsia="Palatino Linotype" w:hAnsi="Palatino Linotype" w:cs="Palatino Linotype"/>
          <w:b/>
          <w:i/>
          <w:sz w:val="22"/>
          <w:szCs w:val="22"/>
          <w:u w:val="single"/>
        </w:rPr>
        <w:t>permanecer en custodia y conservación</w:t>
      </w:r>
      <w:r w:rsidRPr="0057241C">
        <w:rPr>
          <w:rFonts w:ascii="Palatino Linotype" w:eastAsia="Palatino Linotype" w:hAnsi="Palatino Linotype" w:cs="Palatino Linotype"/>
          <w:b/>
          <w:i/>
          <w:sz w:val="22"/>
          <w:szCs w:val="22"/>
        </w:rPr>
        <w:t xml:space="preserve"> de los Entes Públicos ejecutores del gasto a </w:t>
      </w:r>
      <w:r w:rsidRPr="0057241C">
        <w:rPr>
          <w:rFonts w:ascii="Palatino Linotype" w:eastAsia="Palatino Linotype" w:hAnsi="Palatino Linotype" w:cs="Palatino Linotype"/>
          <w:b/>
          <w:i/>
          <w:sz w:val="22"/>
          <w:szCs w:val="22"/>
          <w:u w:val="single"/>
        </w:rPr>
        <w:t>través de las unidades administrativas correspondientes de conformidad con las disposiciones aplicables y a disposición de los Órganos de Fiscalización locales y federales</w:t>
      </w:r>
      <w:r w:rsidRPr="0057241C">
        <w:rPr>
          <w:rFonts w:ascii="Palatino Linotype" w:eastAsia="Palatino Linotype" w:hAnsi="Palatino Linotype" w:cs="Palatino Linotype"/>
          <w:b/>
          <w:i/>
          <w:sz w:val="22"/>
          <w:szCs w:val="22"/>
        </w:rPr>
        <w:t xml:space="preserve">, de acuerdo a su naturaleza, </w:t>
      </w:r>
      <w:r w:rsidRPr="0057241C">
        <w:rPr>
          <w:rFonts w:ascii="Palatino Linotype" w:eastAsia="Palatino Linotype" w:hAnsi="Palatino Linotype" w:cs="Palatino Linotype"/>
          <w:b/>
          <w:i/>
          <w:sz w:val="22"/>
          <w:szCs w:val="22"/>
          <w:u w:val="single"/>
        </w:rPr>
        <w:t>así como de los órganos internos de control</w:t>
      </w:r>
      <w:r w:rsidRPr="0057241C">
        <w:rPr>
          <w:rFonts w:ascii="Palatino Linotype" w:eastAsia="Palatino Linotype" w:hAnsi="Palatino Linotype" w:cs="Palatino Linotype"/>
          <w:b/>
          <w:i/>
          <w:sz w:val="22"/>
          <w:szCs w:val="22"/>
        </w:rPr>
        <w:t>;</w:t>
      </w:r>
      <w:r w:rsidRPr="0057241C">
        <w:rPr>
          <w:rFonts w:ascii="Palatino Linotype" w:eastAsia="Palatino Linotype" w:hAnsi="Palatino Linotype" w:cs="Palatino Linotype"/>
          <w:i/>
          <w:sz w:val="22"/>
          <w:szCs w:val="22"/>
        </w:rPr>
        <w:t xml:space="preserve"> </w:t>
      </w:r>
      <w:r w:rsidRPr="0057241C">
        <w:rPr>
          <w:rFonts w:ascii="Palatino Linotype" w:eastAsia="Palatino Linotype" w:hAnsi="Palatino Linotype" w:cs="Palatino Linotype"/>
          <w:b/>
          <w:i/>
          <w:sz w:val="22"/>
          <w:szCs w:val="22"/>
          <w:u w:val="single"/>
        </w:rPr>
        <w:t>por un término de 6 años</w:t>
      </w:r>
      <w:r w:rsidRPr="0057241C">
        <w:rPr>
          <w:rFonts w:ascii="Palatino Linotype" w:eastAsia="Palatino Linotype" w:hAnsi="Palatino Linotype" w:cs="Palatino Linotype"/>
          <w:b/>
          <w:i/>
          <w:sz w:val="22"/>
          <w:szCs w:val="22"/>
        </w:rPr>
        <w:t>,</w:t>
      </w:r>
      <w:r w:rsidRPr="0057241C">
        <w:rPr>
          <w:rFonts w:ascii="Palatino Linotype" w:eastAsia="Palatino Linotype" w:hAnsi="Palatino Linotype" w:cs="Palatino Linotype"/>
          <w:i/>
          <w:sz w:val="22"/>
          <w:szCs w:val="22"/>
        </w:rPr>
        <w:t xml:space="preserve"> </w:t>
      </w:r>
      <w:r w:rsidRPr="0057241C">
        <w:rPr>
          <w:rFonts w:ascii="Palatino Linotype" w:eastAsia="Palatino Linotype" w:hAnsi="Palatino Linotype" w:cs="Palatino Linotype"/>
          <w:b/>
          <w:i/>
          <w:sz w:val="22"/>
          <w:szCs w:val="22"/>
          <w:u w:val="single"/>
        </w:rPr>
        <w:t>contados a partir del ejercicio presupuestal siguiente al que corresponda</w:t>
      </w:r>
      <w:r w:rsidRPr="0057241C">
        <w:rPr>
          <w:rFonts w:ascii="Palatino Linotype" w:eastAsia="Palatino Linotype" w:hAnsi="Palatino Linotype" w:cs="Palatino Linotype"/>
          <w:i/>
          <w:sz w:val="22"/>
          <w:szCs w:val="22"/>
        </w:rPr>
        <w:t>,</w:t>
      </w:r>
      <w:r w:rsidRPr="0057241C">
        <w:rPr>
          <w:rFonts w:ascii="Palatino Linotype" w:eastAsia="Palatino Linotype" w:hAnsi="Palatino Linotype" w:cs="Palatino Linotype"/>
          <w:b/>
          <w:i/>
          <w:sz w:val="22"/>
          <w:szCs w:val="22"/>
        </w:rPr>
        <w:t xml:space="preserve"> </w:t>
      </w:r>
      <w:r w:rsidRPr="0057241C">
        <w:rPr>
          <w:rFonts w:ascii="Palatino Linotype" w:eastAsia="Palatino Linotype" w:hAnsi="Palatino Linotype" w:cs="Palatino Linotype"/>
          <w:i/>
          <w:sz w:val="22"/>
          <w:szCs w:val="22"/>
        </w:rPr>
        <w:t>en el caso de los Municipios, dicha obligación corresponderá a la Tesorería.</w:t>
      </w:r>
    </w:p>
    <w:p w14:paraId="5BDCB75B" w14:textId="77777777" w:rsidR="00855868" w:rsidRPr="0057241C" w:rsidRDefault="00855868" w:rsidP="00855868">
      <w:pPr>
        <w:spacing w:before="120" w:after="120"/>
        <w:ind w:left="862" w:right="86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Tratándose de documentos de carácter histórico, se estará a lo dispuesto por la legislación de la materia.</w:t>
      </w:r>
    </w:p>
    <w:p w14:paraId="3D72FF3E" w14:textId="77777777" w:rsidR="00855868" w:rsidRPr="0057241C" w:rsidRDefault="00855868" w:rsidP="00855868">
      <w:pPr>
        <w:spacing w:before="120" w:after="120"/>
        <w:ind w:left="862" w:right="86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p>
    <w:p w14:paraId="7FB6B78D" w14:textId="77777777" w:rsidR="00855868" w:rsidRPr="0057241C" w:rsidRDefault="00855868" w:rsidP="00855868">
      <w:pPr>
        <w:spacing w:before="120" w:after="120"/>
        <w:ind w:left="862" w:right="862"/>
        <w:jc w:val="both"/>
        <w:rPr>
          <w:rFonts w:ascii="Palatino Linotype" w:eastAsia="Palatino Linotype" w:hAnsi="Palatino Linotype" w:cs="Palatino Linotype"/>
          <w:b/>
          <w:i/>
          <w:sz w:val="22"/>
          <w:szCs w:val="22"/>
        </w:rPr>
      </w:pPr>
      <w:r w:rsidRPr="0057241C">
        <w:rPr>
          <w:rFonts w:ascii="Palatino Linotype" w:eastAsia="Palatino Linotype" w:hAnsi="Palatino Linotype" w:cs="Palatino Linotype"/>
          <w:b/>
          <w:i/>
          <w:sz w:val="22"/>
          <w:szCs w:val="22"/>
        </w:rPr>
        <w:t>Artículo 345.-</w:t>
      </w:r>
      <w:r w:rsidRPr="0057241C">
        <w:rPr>
          <w:rFonts w:ascii="Palatino Linotype" w:eastAsia="Palatino Linotype" w:hAnsi="Palatino Linotype" w:cs="Palatino Linotype"/>
          <w:i/>
          <w:sz w:val="22"/>
          <w:szCs w:val="22"/>
        </w:rPr>
        <w:t xml:space="preserve"> </w:t>
      </w:r>
      <w:r w:rsidRPr="0057241C">
        <w:rPr>
          <w:rFonts w:ascii="Palatino Linotype" w:eastAsia="Palatino Linotype" w:hAnsi="Palatino Linotype" w:cs="Palatino Linotype"/>
          <w:b/>
          <w:i/>
          <w:sz w:val="22"/>
          <w:szCs w:val="22"/>
        </w:rPr>
        <w:t>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w:t>
      </w:r>
    </w:p>
    <w:p w14:paraId="1FAC87BF" w14:textId="77777777" w:rsidR="00855868" w:rsidRPr="0057241C" w:rsidRDefault="00855868" w:rsidP="00855868">
      <w:pPr>
        <w:spacing w:before="120" w:after="120"/>
        <w:ind w:left="862" w:right="86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57241C">
        <w:rPr>
          <w:rFonts w:ascii="Palatino Linotype" w:eastAsia="Palatino Linotype" w:hAnsi="Palatino Linotype" w:cs="Palatino Linotype"/>
          <w:b/>
          <w:i/>
          <w:sz w:val="22"/>
          <w:szCs w:val="22"/>
        </w:rPr>
        <w:t>deberán estar agregados en forma electrónica a cada póliza de registro contable</w:t>
      </w:r>
      <w:r w:rsidRPr="0057241C">
        <w:rPr>
          <w:rFonts w:ascii="Palatino Linotype" w:eastAsia="Palatino Linotype" w:hAnsi="Palatino Linotype" w:cs="Palatino Linotype"/>
          <w:i/>
          <w:sz w:val="22"/>
          <w:szCs w:val="22"/>
        </w:rPr>
        <w:t>.</w:t>
      </w:r>
    </w:p>
    <w:p w14:paraId="38E0770A" w14:textId="77777777" w:rsidR="00855868" w:rsidRPr="0057241C" w:rsidRDefault="00855868" w:rsidP="00855868">
      <w:pPr>
        <w:spacing w:before="120" w:after="120"/>
        <w:ind w:left="862" w:right="862"/>
        <w:jc w:val="both"/>
        <w:rPr>
          <w:rFonts w:ascii="Palatino Linotype" w:eastAsia="Palatino Linotype" w:hAnsi="Palatino Linotype" w:cs="Palatino Linotype"/>
          <w:b/>
          <w:i/>
          <w:sz w:val="22"/>
          <w:szCs w:val="22"/>
        </w:rPr>
      </w:pPr>
      <w:r w:rsidRPr="0057241C">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sidRPr="0057241C">
        <w:rPr>
          <w:rFonts w:ascii="Palatino Linotype" w:eastAsia="Palatino Linotype" w:hAnsi="Palatino Linotype" w:cs="Palatino Linotype"/>
          <w:b/>
          <w:i/>
          <w:sz w:val="22"/>
          <w:szCs w:val="22"/>
        </w:rPr>
        <w:t>”</w:t>
      </w:r>
    </w:p>
    <w:p w14:paraId="16438D82"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389863A8"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Asimismo, que los entes públicos tiene la obligación de registrarán contablemente el efecto patrimonial y presupuestal de las operaciones financieras que realicen, en el momento en que ocurran, por lo que </w:t>
      </w:r>
      <w:r w:rsidRPr="0057241C">
        <w:rPr>
          <w:rFonts w:ascii="Palatino Linotype" w:eastAsia="Palatino Linotype" w:hAnsi="Palatino Linotype" w:cs="Palatino Linotype"/>
          <w:b/>
          <w:sz w:val="22"/>
          <w:szCs w:val="22"/>
        </w:rPr>
        <w:t>todo registro contable y presupuestal deberá estar soportado con los documentos comprobatorios originales o en medios electrónicos</w:t>
      </w:r>
      <w:r w:rsidRPr="0057241C">
        <w:rPr>
          <w:rFonts w:ascii="Palatino Linotype" w:eastAsia="Palatino Linotype" w:hAnsi="Palatino Linotype" w:cs="Palatino Linotype"/>
          <w:sz w:val="22"/>
          <w:szCs w:val="22"/>
        </w:rPr>
        <w:t xml:space="preserve">, los que </w:t>
      </w:r>
      <w:r w:rsidRPr="0057241C">
        <w:rPr>
          <w:rFonts w:ascii="Palatino Linotype" w:eastAsia="Palatino Linotype" w:hAnsi="Palatino Linotype" w:cs="Palatino Linotype"/>
          <w:b/>
          <w:sz w:val="22"/>
          <w:szCs w:val="22"/>
          <w:u w:val="single"/>
        </w:rPr>
        <w:t>deberán permanecer en custodia y conservación</w:t>
      </w:r>
      <w:r w:rsidRPr="0057241C">
        <w:rPr>
          <w:rFonts w:ascii="Palatino Linotype" w:eastAsia="Palatino Linotype" w:hAnsi="Palatino Linotype" w:cs="Palatino Linotype"/>
          <w:sz w:val="22"/>
          <w:szCs w:val="22"/>
        </w:rPr>
        <w:t xml:space="preserve"> de los Entes Públicos a través de las unidades administrativas que ejercieron el gasto y a disposición de los Órganos de Fiscalización y de los órganos internos de control </w:t>
      </w:r>
      <w:r w:rsidRPr="0057241C">
        <w:rPr>
          <w:rFonts w:ascii="Palatino Linotype" w:eastAsia="Palatino Linotype" w:hAnsi="Palatino Linotype" w:cs="Palatino Linotype"/>
          <w:b/>
          <w:sz w:val="22"/>
          <w:szCs w:val="22"/>
          <w:u w:val="single"/>
        </w:rPr>
        <w:t>por un término de seis años</w:t>
      </w:r>
      <w:r w:rsidRPr="0057241C">
        <w:rPr>
          <w:rFonts w:ascii="Palatino Linotype" w:eastAsia="Palatino Linotype" w:hAnsi="Palatino Linotype" w:cs="Palatino Linotype"/>
          <w:sz w:val="22"/>
          <w:szCs w:val="22"/>
        </w:rPr>
        <w:t>, los cuales se cuentan a partir del ejercicio presupuestal siguiente al que corresponda. Dicha obligación corresponde a las tesorerías o a las áreas equivalentes.</w:t>
      </w:r>
    </w:p>
    <w:p w14:paraId="4933FD0C" w14:textId="77777777" w:rsidR="00855868" w:rsidRPr="0057241C" w:rsidRDefault="00855868" w:rsidP="00855868">
      <w:pPr>
        <w:spacing w:before="240" w:after="240" w:line="360" w:lineRule="auto"/>
        <w:ind w:right="-232"/>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Debe decirse que las facturas emitidas en favor de los proveedores, contratistas o prestadores de servicios, la cual se encuentra definida en el Glosario de Términos Hacendarios que emite el Instituto Hacendario del Estado de México, como:</w:t>
      </w:r>
    </w:p>
    <w:p w14:paraId="6A7F871B" w14:textId="77777777" w:rsidR="00855868" w:rsidRPr="0057241C" w:rsidRDefault="00855868" w:rsidP="00855868">
      <w:pPr>
        <w:spacing w:before="120" w:after="120"/>
        <w:ind w:left="851" w:right="902"/>
        <w:jc w:val="both"/>
        <w:rPr>
          <w:rFonts w:ascii="Palatino Linotype" w:eastAsia="Palatino Linotype" w:hAnsi="Palatino Linotype" w:cs="Palatino Linotype"/>
          <w:b/>
          <w:i/>
          <w:sz w:val="22"/>
          <w:szCs w:val="22"/>
        </w:rPr>
      </w:pPr>
      <w:r w:rsidRPr="0057241C">
        <w:rPr>
          <w:rFonts w:ascii="Palatino Linotype" w:eastAsia="Palatino Linotype" w:hAnsi="Palatino Linotype" w:cs="Palatino Linotype"/>
          <w:i/>
          <w:sz w:val="22"/>
          <w:szCs w:val="22"/>
        </w:rPr>
        <w:t>“</w:t>
      </w:r>
      <w:r w:rsidRPr="0057241C">
        <w:rPr>
          <w:rFonts w:ascii="Palatino Linotype" w:eastAsia="Palatino Linotype" w:hAnsi="Palatino Linotype" w:cs="Palatino Linotype"/>
          <w:b/>
          <w:i/>
          <w:sz w:val="22"/>
          <w:szCs w:val="22"/>
        </w:rPr>
        <w:t>FACTURA</w:t>
      </w:r>
    </w:p>
    <w:p w14:paraId="396EF72B"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Es el documento fiscal que emite la persona física o moral para comprobar la venta o adquisición de un bien y/o servicio.” (Sic)</w:t>
      </w:r>
    </w:p>
    <w:p w14:paraId="710CF6B9"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196209B3"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w:t>
      </w:r>
      <w:r w:rsidRPr="0057241C">
        <w:rPr>
          <w:rFonts w:ascii="Palatino Linotype" w:eastAsia="Palatino Linotype" w:hAnsi="Palatino Linotype" w:cs="Palatino Linotype"/>
          <w:sz w:val="22"/>
          <w:szCs w:val="22"/>
          <w:vertAlign w:val="superscript"/>
        </w:rPr>
        <w:footnoteReference w:id="1"/>
      </w:r>
      <w:r w:rsidRPr="0057241C">
        <w:rPr>
          <w:rFonts w:ascii="Palatino Linotype" w:eastAsia="Palatino Linotype" w:hAnsi="Palatino Linotype" w:cs="Palatino Linotype"/>
          <w:sz w:val="22"/>
          <w:szCs w:val="22"/>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611AE07B" w14:textId="77777777" w:rsidR="00855868" w:rsidRPr="0057241C" w:rsidRDefault="00855868" w:rsidP="00855868">
      <w:pPr>
        <w:spacing w:before="120" w:after="120"/>
        <w:ind w:left="850" w:right="902" w:hanging="10"/>
        <w:jc w:val="both"/>
        <w:rPr>
          <w:rFonts w:ascii="Palatino Linotype" w:eastAsia="Palatino Linotype" w:hAnsi="Palatino Linotype" w:cs="Palatino Linotype"/>
          <w:b/>
          <w:i/>
          <w:sz w:val="22"/>
          <w:szCs w:val="22"/>
        </w:rPr>
      </w:pPr>
      <w:r w:rsidRPr="0057241C">
        <w:rPr>
          <w:rFonts w:ascii="Palatino Linotype" w:eastAsia="Palatino Linotype" w:hAnsi="Palatino Linotype" w:cs="Palatino Linotype"/>
          <w:b/>
          <w:i/>
          <w:sz w:val="22"/>
          <w:szCs w:val="22"/>
        </w:rPr>
        <w:t>“REGISTRO CONTABLE</w:t>
      </w:r>
    </w:p>
    <w:p w14:paraId="5F22C153" w14:textId="77777777" w:rsidR="00855868" w:rsidRPr="0057241C" w:rsidRDefault="00855868" w:rsidP="00855868">
      <w:pPr>
        <w:spacing w:before="120" w:after="120"/>
        <w:ind w:left="850" w:right="902" w:hanging="1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Asiento que se realiza en los libros de contabilidad de las actividades relacionadas con el ingreso y egresos de un ente económico.”</w:t>
      </w:r>
    </w:p>
    <w:p w14:paraId="535F638B" w14:textId="77777777" w:rsidR="00855868" w:rsidRPr="0057241C" w:rsidRDefault="00855868" w:rsidP="00855868">
      <w:pPr>
        <w:spacing w:before="120" w:after="120"/>
        <w:ind w:left="850" w:right="902" w:hanging="10"/>
        <w:jc w:val="both"/>
        <w:rPr>
          <w:rFonts w:ascii="Palatino Linotype" w:eastAsia="Palatino Linotype" w:hAnsi="Palatino Linotype" w:cs="Palatino Linotype"/>
          <w:b/>
          <w:i/>
          <w:sz w:val="22"/>
          <w:szCs w:val="22"/>
        </w:rPr>
      </w:pPr>
      <w:r w:rsidRPr="0057241C">
        <w:rPr>
          <w:rFonts w:ascii="Palatino Linotype" w:eastAsia="Palatino Linotype" w:hAnsi="Palatino Linotype" w:cs="Palatino Linotype"/>
          <w:b/>
          <w:i/>
          <w:sz w:val="22"/>
          <w:szCs w:val="22"/>
        </w:rPr>
        <w:t>“REGISTRO PRESUPUESTARIO</w:t>
      </w:r>
    </w:p>
    <w:p w14:paraId="0D7AB5E6" w14:textId="77777777" w:rsidR="00855868" w:rsidRPr="0057241C" w:rsidRDefault="00855868" w:rsidP="00855868">
      <w:pPr>
        <w:spacing w:before="120" w:after="120"/>
        <w:ind w:left="850" w:right="902" w:hanging="1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w:t>
      </w:r>
    </w:p>
    <w:p w14:paraId="37A0E955" w14:textId="77777777" w:rsidR="00855868" w:rsidRPr="0057241C" w:rsidRDefault="00855868" w:rsidP="00855868">
      <w:pPr>
        <w:spacing w:before="240" w:after="240" w:line="360" w:lineRule="auto"/>
        <w:ind w:right="51"/>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3324453C"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Por otra parte, se establece que el sistema de contabilidad sobre base acumulativa total se sustentará en los principios de contabilidad gubernamental.</w:t>
      </w:r>
    </w:p>
    <w:p w14:paraId="1180E318"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1894D076"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Correlativo a lo anterior, es preciso referir una definición de </w:t>
      </w:r>
      <w:r w:rsidRPr="0057241C">
        <w:rPr>
          <w:rFonts w:ascii="Palatino Linotype" w:eastAsia="Palatino Linotype" w:hAnsi="Palatino Linotype" w:cs="Palatino Linotype"/>
          <w:i/>
          <w:sz w:val="22"/>
          <w:szCs w:val="22"/>
        </w:rPr>
        <w:t>póliza contable</w:t>
      </w:r>
      <w:r w:rsidRPr="0057241C">
        <w:rPr>
          <w:rFonts w:ascii="Palatino Linotype" w:eastAsia="Palatino Linotype" w:hAnsi="Palatino Linotype" w:cs="Palatino Linotype"/>
          <w:sz w:val="22"/>
          <w:szCs w:val="22"/>
        </w:rPr>
        <w:t>, la cual, primeramente, no está definida en el Código Financiero del Estado de México y Municipios; no obstante, el ya mencionado Glosario la define como:</w:t>
      </w:r>
    </w:p>
    <w:p w14:paraId="200DEFF3" w14:textId="77777777" w:rsidR="00855868" w:rsidRPr="0057241C" w:rsidRDefault="00855868" w:rsidP="00855868">
      <w:pPr>
        <w:spacing w:before="120" w:after="120"/>
        <w:ind w:left="862" w:right="902"/>
        <w:jc w:val="both"/>
        <w:rPr>
          <w:rFonts w:ascii="Palatino Linotype" w:eastAsia="Palatino Linotype" w:hAnsi="Palatino Linotype" w:cs="Palatino Linotype"/>
          <w:b/>
          <w:i/>
          <w:sz w:val="22"/>
          <w:szCs w:val="22"/>
        </w:rPr>
      </w:pPr>
      <w:r w:rsidRPr="0057241C">
        <w:rPr>
          <w:rFonts w:ascii="Palatino Linotype" w:eastAsia="Palatino Linotype" w:hAnsi="Palatino Linotype" w:cs="Palatino Linotype"/>
          <w:i/>
          <w:sz w:val="22"/>
          <w:szCs w:val="22"/>
        </w:rPr>
        <w:t>“</w:t>
      </w:r>
      <w:r w:rsidRPr="0057241C">
        <w:rPr>
          <w:rFonts w:ascii="Palatino Linotype" w:eastAsia="Palatino Linotype" w:hAnsi="Palatino Linotype" w:cs="Palatino Linotype"/>
          <w:b/>
          <w:i/>
          <w:sz w:val="22"/>
          <w:szCs w:val="22"/>
        </w:rPr>
        <w:t>PÓLIZA CONTABLE</w:t>
      </w:r>
    </w:p>
    <w:p w14:paraId="51BAEFC7" w14:textId="77777777" w:rsidR="00855868" w:rsidRPr="0057241C" w:rsidRDefault="00855868" w:rsidP="00855868">
      <w:pPr>
        <w:spacing w:before="120" w:after="120"/>
        <w:ind w:left="862"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 xml:space="preserve">Documento en el cual se asientan en forma individual todas y cada una de las operaciones desarrolladas por una institución, así como la información necesaria para la identificación de dichas operaciones.” </w:t>
      </w:r>
    </w:p>
    <w:p w14:paraId="0B8D8F78" w14:textId="77777777" w:rsidR="00855868" w:rsidRPr="0057241C" w:rsidRDefault="00855868" w:rsidP="00855868">
      <w:pPr>
        <w:spacing w:before="240" w:after="240" w:line="360" w:lineRule="auto"/>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sz w:val="22"/>
          <w:szCs w:val="22"/>
        </w:rPr>
        <w:t xml:space="preserve">Así, se advierte que la </w:t>
      </w:r>
      <w:r w:rsidRPr="0057241C">
        <w:rPr>
          <w:rFonts w:ascii="Palatino Linotype" w:eastAsia="Palatino Linotype" w:hAnsi="Palatino Linotype" w:cs="Palatino Linotype"/>
          <w:i/>
          <w:sz w:val="22"/>
          <w:szCs w:val="22"/>
        </w:rPr>
        <w:t>póliza contable</w:t>
      </w:r>
      <w:r w:rsidRPr="0057241C">
        <w:rPr>
          <w:rFonts w:ascii="Palatino Linotype" w:eastAsia="Palatino Linotype" w:hAnsi="Palatino Linotype" w:cs="Palatino Linotype"/>
          <w:sz w:val="22"/>
          <w:szCs w:val="22"/>
        </w:rPr>
        <w:t xml:space="preserve"> constituye un registro contable y presupuestal con el que cuentan los Municipios para el registro de operaciones relacionadas con </w:t>
      </w:r>
      <w:r w:rsidRPr="0057241C">
        <w:rPr>
          <w:rFonts w:ascii="Palatino Linotype" w:eastAsia="Palatino Linotype" w:hAnsi="Palatino Linotype" w:cs="Palatino Linotype"/>
          <w:sz w:val="22"/>
          <w:szCs w:val="22"/>
          <w:u w:val="single"/>
        </w:rPr>
        <w:t>ingresos y egresos</w:t>
      </w:r>
      <w:r w:rsidRPr="0057241C">
        <w:rPr>
          <w:rFonts w:ascii="Palatino Linotype" w:eastAsia="Palatino Linotype" w:hAnsi="Palatino Linotype" w:cs="Palatino Linotype"/>
          <w:sz w:val="22"/>
          <w:szCs w:val="22"/>
        </w:rPr>
        <w:t xml:space="preserve"> y se anexan los documentos o comprobantes que justifiquen las anotaciones y cantidades en ellas registradas, lo que permite la identificación plena de dichas operaciones.</w:t>
      </w:r>
    </w:p>
    <w:p w14:paraId="50C5B0D4"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En este sentido, existen diversos tipos de pólizas contables de acuerdo a las operaciones realizadas, dentro de las cuales, encontramos las </w:t>
      </w:r>
      <w:r w:rsidRPr="0057241C">
        <w:rPr>
          <w:rFonts w:ascii="Palatino Linotype" w:eastAsia="Palatino Linotype" w:hAnsi="Palatino Linotype" w:cs="Palatino Linotype"/>
          <w:i/>
          <w:sz w:val="22"/>
          <w:szCs w:val="22"/>
        </w:rPr>
        <w:t xml:space="preserve">pólizas de ingresos y egresos. </w:t>
      </w:r>
      <w:r w:rsidRPr="0057241C">
        <w:rPr>
          <w:rFonts w:ascii="Palatino Linotype" w:eastAsia="Palatino Linotype" w:hAnsi="Palatino Linotype" w:cs="Palatino Linotype"/>
          <w:b/>
          <w:sz w:val="22"/>
          <w:szCs w:val="22"/>
          <w:u w:val="single"/>
        </w:rPr>
        <w:t>Las primeras</w:t>
      </w:r>
      <w:r w:rsidRPr="0057241C">
        <w:rPr>
          <w:rFonts w:ascii="Palatino Linotype" w:eastAsia="Palatino Linotype" w:hAnsi="Palatino Linotype" w:cs="Palatino Linotype"/>
          <w:b/>
          <w:sz w:val="22"/>
          <w:szCs w:val="22"/>
        </w:rPr>
        <w:t xml:space="preserve"> registran todas las entradas de dinero, </w:t>
      </w:r>
      <w:r w:rsidRPr="0057241C">
        <w:rPr>
          <w:rFonts w:ascii="Palatino Linotype" w:eastAsia="Palatino Linotype" w:hAnsi="Palatino Linotype" w:cs="Palatino Linotype"/>
          <w:sz w:val="22"/>
          <w:szCs w:val="22"/>
        </w:rPr>
        <w:t xml:space="preserve">mientras que </w:t>
      </w:r>
      <w:r w:rsidRPr="0057241C">
        <w:rPr>
          <w:rFonts w:ascii="Palatino Linotype" w:eastAsia="Palatino Linotype" w:hAnsi="Palatino Linotype" w:cs="Palatino Linotype"/>
          <w:b/>
          <w:sz w:val="22"/>
          <w:szCs w:val="22"/>
          <w:u w:val="single"/>
        </w:rPr>
        <w:t>las segundas</w:t>
      </w:r>
      <w:r w:rsidRPr="0057241C">
        <w:rPr>
          <w:rFonts w:ascii="Palatino Linotype" w:eastAsia="Palatino Linotype" w:hAnsi="Palatino Linotype" w:cs="Palatino Linotype"/>
          <w:sz w:val="22"/>
          <w:szCs w:val="22"/>
        </w:rPr>
        <w:t xml:space="preserve"> </w:t>
      </w:r>
      <w:r w:rsidRPr="0057241C">
        <w:rPr>
          <w:rFonts w:ascii="Palatino Linotype" w:eastAsia="Palatino Linotype" w:hAnsi="Palatino Linotype" w:cs="Palatino Linotype"/>
          <w:b/>
          <w:sz w:val="22"/>
          <w:szCs w:val="22"/>
        </w:rPr>
        <w:t>son aquellas en las cuales se anotan diariamente las operaciones que representan gastos, es decir, salidas de dinero</w:t>
      </w:r>
      <w:r w:rsidRPr="0057241C">
        <w:rPr>
          <w:rFonts w:ascii="Palatino Linotype" w:eastAsia="Palatino Linotype" w:hAnsi="Palatino Linotype" w:cs="Palatino Linotype"/>
          <w:sz w:val="22"/>
          <w:szCs w:val="22"/>
        </w:rPr>
        <w:t xml:space="preserve"> las que, además, </w:t>
      </w:r>
      <w:r w:rsidRPr="0057241C">
        <w:rPr>
          <w:rFonts w:ascii="Palatino Linotype" w:eastAsia="Palatino Linotype" w:hAnsi="Palatino Linotype" w:cs="Palatino Linotype"/>
          <w:b/>
          <w:sz w:val="22"/>
          <w:szCs w:val="22"/>
        </w:rPr>
        <w:t xml:space="preserve">deben encontrarse acompañadas de las documentales que sirven de soporte de dicho movimiento; </w:t>
      </w:r>
      <w:r w:rsidRPr="0057241C">
        <w:rPr>
          <w:rFonts w:ascii="Palatino Linotype" w:eastAsia="Palatino Linotype" w:hAnsi="Palatino Linotype" w:cs="Palatino Linotype"/>
          <w:sz w:val="22"/>
          <w:szCs w:val="22"/>
        </w:rPr>
        <w:t xml:space="preserve">lo anterior </w:t>
      </w:r>
      <w:r w:rsidRPr="0057241C">
        <w:rPr>
          <w:rFonts w:ascii="Palatino Linotype" w:eastAsia="Palatino Linotype" w:hAnsi="Palatino Linotype" w:cs="Palatino Linotype"/>
          <w:b/>
          <w:sz w:val="22"/>
          <w:szCs w:val="22"/>
        </w:rPr>
        <w:t>independientemente de la modalidad</w:t>
      </w:r>
      <w:r w:rsidRPr="0057241C">
        <w:rPr>
          <w:rFonts w:ascii="Palatino Linotype" w:eastAsia="Palatino Linotype" w:hAnsi="Palatino Linotype" w:cs="Palatino Linotype"/>
          <w:sz w:val="22"/>
          <w:szCs w:val="22"/>
        </w:rPr>
        <w:t xml:space="preserve"> ya sea en efectivo, transferencia, cheque o pagaré, mediante la expedición de facturas.</w:t>
      </w:r>
    </w:p>
    <w:p w14:paraId="4B1DA4BC" w14:textId="77777777" w:rsidR="00855868" w:rsidRPr="0057241C" w:rsidRDefault="00855868" w:rsidP="00855868">
      <w:pPr>
        <w:spacing w:before="240" w:after="240" w:line="360" w:lineRule="auto"/>
        <w:ind w:right="51"/>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Atento a lo anterior, como ya ha sido mencionado en la normatividad antes citada, todo registro contable y presupuestal deberá estar soportado con los documentos comprobatorios originales, como lo son las facturas o pagos fiscales digitales por internet, mismos que deberán permanecer en custodia y conservación de la Unidad Administrativa correspondiente y a disposición del Órgano Superior de Fiscalización del Estado de México; por un término de seis años contados a partir del ejercicio presupuestal siguiente al que corresponda, tal y como se establece en el Código Financiero del Estado de México. </w:t>
      </w:r>
    </w:p>
    <w:p w14:paraId="4B459378" w14:textId="77777777" w:rsidR="00855868" w:rsidRPr="0057241C" w:rsidRDefault="00855868" w:rsidP="00855868">
      <w:pPr>
        <w:spacing w:before="240" w:after="240" w:line="360" w:lineRule="auto"/>
        <w:ind w:right="-232"/>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Aunado a lo anterior, conviene referir que de conformidad con los Lineamientos para la integración y presentación de los Informes Trimestrales Estatales y Municipales del Ejercicio Fiscal 2025, emitidos por el Órgano Superior de Fiscalización del Estado de México, OSFEM, el </w:t>
      </w:r>
      <w:r w:rsidRPr="0057241C">
        <w:rPr>
          <w:rFonts w:ascii="Palatino Linotype" w:eastAsia="Palatino Linotype" w:hAnsi="Palatino Linotype" w:cs="Palatino Linotype"/>
          <w:b/>
          <w:sz w:val="22"/>
          <w:szCs w:val="22"/>
        </w:rPr>
        <w:t xml:space="preserve">Sujeto Obligado, </w:t>
      </w:r>
      <w:r w:rsidRPr="0057241C">
        <w:rPr>
          <w:rFonts w:ascii="Palatino Linotype" w:eastAsia="Palatino Linotype" w:hAnsi="Palatino Linotype" w:cs="Palatino Linotype"/>
          <w:sz w:val="22"/>
          <w:szCs w:val="22"/>
        </w:rPr>
        <w:t xml:space="preserve">como ente fiscalizable cuenta con la obligación de remitir a dicho Órgano, para su revisión la </w:t>
      </w:r>
      <w:r w:rsidRPr="0057241C">
        <w:rPr>
          <w:rFonts w:ascii="Palatino Linotype" w:eastAsia="Palatino Linotype" w:hAnsi="Palatino Linotype" w:cs="Palatino Linotype"/>
          <w:b/>
          <w:sz w:val="22"/>
          <w:szCs w:val="22"/>
        </w:rPr>
        <w:t>pólizas con documentos comprobatorios</w:t>
      </w:r>
      <w:r w:rsidRPr="0057241C">
        <w:rPr>
          <w:rFonts w:ascii="Palatino Linotype" w:eastAsia="Palatino Linotype" w:hAnsi="Palatino Linotype" w:cs="Palatino Linotype"/>
          <w:sz w:val="22"/>
          <w:szCs w:val="22"/>
        </w:rPr>
        <w:t>, como parte de los informes trimestrales, específicamente, en el Módulo 1 Información Contable y Financiera:</w:t>
      </w:r>
    </w:p>
    <w:p w14:paraId="47372DE6" w14:textId="20BE425D" w:rsidR="00855868" w:rsidRPr="0057241C" w:rsidRDefault="00855868" w:rsidP="00E6139E">
      <w:pPr>
        <w:spacing w:before="240" w:after="240" w:line="360" w:lineRule="auto"/>
        <w:ind w:right="-232"/>
        <w:jc w:val="center"/>
        <w:rPr>
          <w:rFonts w:ascii="Palatino Linotype" w:eastAsia="Palatino Linotype" w:hAnsi="Palatino Linotype" w:cs="Palatino Linotype"/>
          <w:sz w:val="22"/>
          <w:szCs w:val="22"/>
        </w:rPr>
      </w:pPr>
      <w:r w:rsidRPr="0057241C">
        <w:rPr>
          <w:rFonts w:ascii="Palatino Linotype" w:eastAsia="Palatino Linotype" w:hAnsi="Palatino Linotype" w:cs="Palatino Linotype"/>
          <w:noProof/>
          <w:sz w:val="22"/>
          <w:szCs w:val="22"/>
        </w:rPr>
        <w:drawing>
          <wp:inline distT="0" distB="0" distL="0" distR="0" wp14:anchorId="225B623C" wp14:editId="5518B20B">
            <wp:extent cx="4140000" cy="1136414"/>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0000" cy="1136414"/>
                    </a:xfrm>
                    <a:prstGeom prst="rect">
                      <a:avLst/>
                    </a:prstGeom>
                  </pic:spPr>
                </pic:pic>
              </a:graphicData>
            </a:graphic>
          </wp:inline>
        </w:drawing>
      </w:r>
      <w:r w:rsidRPr="0057241C">
        <w:rPr>
          <w:rFonts w:ascii="Palatino Linotype" w:eastAsia="Palatino Linotype" w:hAnsi="Palatino Linotype" w:cs="Palatino Linotype"/>
          <w:noProof/>
          <w:sz w:val="22"/>
          <w:szCs w:val="22"/>
        </w:rPr>
        <w:drawing>
          <wp:inline distT="0" distB="0" distL="0" distR="0" wp14:anchorId="3BD3D185" wp14:editId="4819BEAC">
            <wp:extent cx="5612130" cy="359410"/>
            <wp:effectExtent l="0" t="0" r="762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59410"/>
                    </a:xfrm>
                    <a:prstGeom prst="rect">
                      <a:avLst/>
                    </a:prstGeom>
                  </pic:spPr>
                </pic:pic>
              </a:graphicData>
            </a:graphic>
          </wp:inline>
        </w:drawing>
      </w:r>
      <w:r w:rsidRPr="0057241C">
        <w:rPr>
          <w:rFonts w:ascii="Palatino Linotype" w:hAnsi="Palatino Linotype"/>
          <w:noProof/>
          <w:sz w:val="22"/>
          <w:szCs w:val="22"/>
        </w:rPr>
        <w:drawing>
          <wp:inline distT="0" distB="0" distL="0" distR="0" wp14:anchorId="1EB4A0C8" wp14:editId="30467A9D">
            <wp:extent cx="4140000" cy="1084414"/>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0000" cy="1084414"/>
                    </a:xfrm>
                    <a:prstGeom prst="rect">
                      <a:avLst/>
                    </a:prstGeom>
                  </pic:spPr>
                </pic:pic>
              </a:graphicData>
            </a:graphic>
          </wp:inline>
        </w:drawing>
      </w:r>
    </w:p>
    <w:p w14:paraId="2AE89916" w14:textId="77777777" w:rsidR="00855868" w:rsidRPr="0057241C" w:rsidRDefault="00855868" w:rsidP="00855868">
      <w:pPr>
        <w:spacing w:before="240" w:after="240" w:line="360" w:lineRule="auto"/>
        <w:ind w:right="-232"/>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Para el cumplimiento de dicha obligación la información debe ser entregada a través de los siguientes formatos:</w:t>
      </w:r>
    </w:p>
    <w:p w14:paraId="3845B43D" w14:textId="77777777" w:rsidR="00855868" w:rsidRPr="0057241C" w:rsidRDefault="00855868" w:rsidP="00855868">
      <w:pPr>
        <w:spacing w:before="240" w:after="240" w:line="360" w:lineRule="auto"/>
        <w:ind w:right="-232"/>
        <w:jc w:val="center"/>
        <w:rPr>
          <w:rFonts w:ascii="Palatino Linotype" w:eastAsia="Palatino Linotype" w:hAnsi="Palatino Linotype" w:cs="Palatino Linotype"/>
          <w:sz w:val="22"/>
          <w:szCs w:val="22"/>
        </w:rPr>
      </w:pPr>
      <w:r w:rsidRPr="0057241C">
        <w:rPr>
          <w:rFonts w:ascii="Palatino Linotype" w:eastAsia="Palatino Linotype" w:hAnsi="Palatino Linotype" w:cs="Palatino Linotype"/>
          <w:noProof/>
          <w:sz w:val="22"/>
          <w:szCs w:val="22"/>
        </w:rPr>
        <w:drawing>
          <wp:inline distT="0" distB="0" distL="0" distR="0" wp14:anchorId="2708CF22" wp14:editId="60DB2003">
            <wp:extent cx="4140000" cy="384071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 b="17031"/>
                    <a:stretch/>
                  </pic:blipFill>
                  <pic:spPr bwMode="auto">
                    <a:xfrm>
                      <a:off x="0" y="0"/>
                      <a:ext cx="4140000" cy="3840710"/>
                    </a:xfrm>
                    <a:prstGeom prst="rect">
                      <a:avLst/>
                    </a:prstGeom>
                    <a:ln>
                      <a:noFill/>
                    </a:ln>
                    <a:extLst>
                      <a:ext uri="{53640926-AAD7-44D8-BBD7-CCE9431645EC}">
                        <a14:shadowObscured xmlns:a14="http://schemas.microsoft.com/office/drawing/2010/main"/>
                      </a:ext>
                    </a:extLst>
                  </pic:spPr>
                </pic:pic>
              </a:graphicData>
            </a:graphic>
          </wp:inline>
        </w:drawing>
      </w:r>
    </w:p>
    <w:p w14:paraId="65205A6E" w14:textId="51680607" w:rsidR="00855868" w:rsidRPr="0057241C" w:rsidRDefault="00E6139E" w:rsidP="00855868">
      <w:pPr>
        <w:spacing w:before="240" w:after="240" w:line="360" w:lineRule="auto"/>
        <w:ind w:right="-232"/>
        <w:jc w:val="center"/>
        <w:rPr>
          <w:rFonts w:ascii="Palatino Linotype" w:eastAsia="Palatino Linotype" w:hAnsi="Palatino Linotype" w:cs="Palatino Linotype"/>
          <w:sz w:val="22"/>
          <w:szCs w:val="22"/>
        </w:rPr>
      </w:pPr>
      <w:r w:rsidRPr="0057241C">
        <w:rPr>
          <w:rFonts w:ascii="Palatino Linotype" w:eastAsia="Palatino Linotype" w:hAnsi="Palatino Linotype" w:cs="Palatino Linotype"/>
          <w:noProof/>
          <w:sz w:val="22"/>
          <w:szCs w:val="22"/>
        </w:rPr>
        <w:drawing>
          <wp:inline distT="0" distB="0" distL="0" distR="0" wp14:anchorId="5A0ACA04" wp14:editId="0583F4F6">
            <wp:extent cx="4859510" cy="892972"/>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4339" b="-773"/>
                    <a:stretch/>
                  </pic:blipFill>
                  <pic:spPr bwMode="auto">
                    <a:xfrm>
                      <a:off x="0" y="0"/>
                      <a:ext cx="4859655" cy="892999"/>
                    </a:xfrm>
                    <a:prstGeom prst="rect">
                      <a:avLst/>
                    </a:prstGeom>
                    <a:ln>
                      <a:noFill/>
                    </a:ln>
                    <a:extLst>
                      <a:ext uri="{53640926-AAD7-44D8-BBD7-CCE9431645EC}">
                        <a14:shadowObscured xmlns:a14="http://schemas.microsoft.com/office/drawing/2010/main"/>
                      </a:ext>
                    </a:extLst>
                  </pic:spPr>
                </pic:pic>
              </a:graphicData>
            </a:graphic>
          </wp:inline>
        </w:drawing>
      </w:r>
      <w:r w:rsidR="00855868" w:rsidRPr="0057241C">
        <w:rPr>
          <w:rFonts w:ascii="Palatino Linotype" w:eastAsia="Palatino Linotype" w:hAnsi="Palatino Linotype" w:cs="Palatino Linotype"/>
          <w:noProof/>
          <w:sz w:val="22"/>
          <w:szCs w:val="22"/>
        </w:rPr>
        <w:drawing>
          <wp:inline distT="0" distB="0" distL="0" distR="0" wp14:anchorId="321D3C28" wp14:editId="26998CC5">
            <wp:extent cx="4860000" cy="322240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0000" cy="3222403"/>
                    </a:xfrm>
                    <a:prstGeom prst="rect">
                      <a:avLst/>
                    </a:prstGeom>
                  </pic:spPr>
                </pic:pic>
              </a:graphicData>
            </a:graphic>
          </wp:inline>
        </w:drawing>
      </w:r>
    </w:p>
    <w:p w14:paraId="253A18BC" w14:textId="77777777" w:rsidR="00855868" w:rsidRPr="0057241C" w:rsidRDefault="00855868" w:rsidP="00855868">
      <w:pPr>
        <w:spacing w:before="240" w:after="240" w:line="360" w:lineRule="auto"/>
        <w:ind w:right="-232"/>
        <w:jc w:val="center"/>
        <w:rPr>
          <w:rFonts w:ascii="Palatino Linotype" w:eastAsia="Palatino Linotype" w:hAnsi="Palatino Linotype" w:cs="Palatino Linotype"/>
          <w:sz w:val="22"/>
          <w:szCs w:val="22"/>
        </w:rPr>
      </w:pPr>
      <w:r w:rsidRPr="0057241C">
        <w:rPr>
          <w:rFonts w:ascii="Palatino Linotype" w:eastAsia="Palatino Linotype" w:hAnsi="Palatino Linotype" w:cs="Palatino Linotype"/>
          <w:noProof/>
          <w:sz w:val="22"/>
          <w:szCs w:val="22"/>
        </w:rPr>
        <w:drawing>
          <wp:inline distT="0" distB="0" distL="0" distR="0" wp14:anchorId="6BBA2AEB" wp14:editId="600D72E7">
            <wp:extent cx="4860000" cy="202175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62720"/>
                    <a:stretch/>
                  </pic:blipFill>
                  <pic:spPr bwMode="auto">
                    <a:xfrm>
                      <a:off x="0" y="0"/>
                      <a:ext cx="4860000" cy="2021753"/>
                    </a:xfrm>
                    <a:prstGeom prst="rect">
                      <a:avLst/>
                    </a:prstGeom>
                    <a:ln>
                      <a:noFill/>
                    </a:ln>
                    <a:extLst>
                      <a:ext uri="{53640926-AAD7-44D8-BBD7-CCE9431645EC}">
                        <a14:shadowObscured xmlns:a14="http://schemas.microsoft.com/office/drawing/2010/main"/>
                      </a:ext>
                    </a:extLst>
                  </pic:spPr>
                </pic:pic>
              </a:graphicData>
            </a:graphic>
          </wp:inline>
        </w:drawing>
      </w:r>
    </w:p>
    <w:p w14:paraId="40D3B7EB" w14:textId="77777777" w:rsidR="00855868" w:rsidRPr="0057241C" w:rsidRDefault="00855868" w:rsidP="00855868">
      <w:pPr>
        <w:spacing w:before="240" w:after="240" w:line="360" w:lineRule="auto"/>
        <w:ind w:right="-232"/>
        <w:jc w:val="center"/>
        <w:rPr>
          <w:rFonts w:ascii="Palatino Linotype" w:eastAsia="Palatino Linotype" w:hAnsi="Palatino Linotype" w:cs="Palatino Linotype"/>
          <w:sz w:val="22"/>
          <w:szCs w:val="22"/>
        </w:rPr>
      </w:pPr>
      <w:r w:rsidRPr="0057241C">
        <w:rPr>
          <w:rFonts w:ascii="Palatino Linotype" w:eastAsia="Palatino Linotype" w:hAnsi="Palatino Linotype" w:cs="Palatino Linotype"/>
          <w:noProof/>
          <w:sz w:val="22"/>
          <w:szCs w:val="22"/>
        </w:rPr>
        <w:drawing>
          <wp:inline distT="0" distB="0" distL="0" distR="0" wp14:anchorId="7EFDF9BB" wp14:editId="706277C3">
            <wp:extent cx="4860000" cy="3350799"/>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8212"/>
                    <a:stretch/>
                  </pic:blipFill>
                  <pic:spPr bwMode="auto">
                    <a:xfrm>
                      <a:off x="0" y="0"/>
                      <a:ext cx="4860000" cy="3350799"/>
                    </a:xfrm>
                    <a:prstGeom prst="rect">
                      <a:avLst/>
                    </a:prstGeom>
                    <a:ln>
                      <a:noFill/>
                    </a:ln>
                    <a:extLst>
                      <a:ext uri="{53640926-AAD7-44D8-BBD7-CCE9431645EC}">
                        <a14:shadowObscured xmlns:a14="http://schemas.microsoft.com/office/drawing/2010/main"/>
                      </a:ext>
                    </a:extLst>
                  </pic:spPr>
                </pic:pic>
              </a:graphicData>
            </a:graphic>
          </wp:inline>
        </w:drawing>
      </w:r>
    </w:p>
    <w:p w14:paraId="15438120" w14:textId="77777777" w:rsidR="00855868" w:rsidRPr="0057241C" w:rsidRDefault="00855868" w:rsidP="00855868">
      <w:pPr>
        <w:spacing w:before="240" w:after="240" w:line="360" w:lineRule="auto"/>
        <w:ind w:right="-232"/>
        <w:jc w:val="center"/>
        <w:rPr>
          <w:rFonts w:ascii="Palatino Linotype" w:eastAsia="Palatino Linotype" w:hAnsi="Palatino Linotype" w:cs="Palatino Linotype"/>
          <w:sz w:val="22"/>
          <w:szCs w:val="22"/>
        </w:rPr>
      </w:pPr>
      <w:r w:rsidRPr="0057241C">
        <w:rPr>
          <w:rFonts w:ascii="Palatino Linotype" w:eastAsia="Palatino Linotype" w:hAnsi="Palatino Linotype" w:cs="Palatino Linotype"/>
          <w:noProof/>
          <w:sz w:val="22"/>
          <w:szCs w:val="22"/>
        </w:rPr>
        <w:drawing>
          <wp:inline distT="0" distB="0" distL="0" distR="0" wp14:anchorId="0C99655C" wp14:editId="73D23517">
            <wp:extent cx="4860000" cy="242649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3921"/>
                    <a:stretch/>
                  </pic:blipFill>
                  <pic:spPr bwMode="auto">
                    <a:xfrm>
                      <a:off x="0" y="0"/>
                      <a:ext cx="4860000" cy="2426496"/>
                    </a:xfrm>
                    <a:prstGeom prst="rect">
                      <a:avLst/>
                    </a:prstGeom>
                    <a:ln>
                      <a:noFill/>
                    </a:ln>
                    <a:extLst>
                      <a:ext uri="{53640926-AAD7-44D8-BBD7-CCE9431645EC}">
                        <a14:shadowObscured xmlns:a14="http://schemas.microsoft.com/office/drawing/2010/main"/>
                      </a:ext>
                    </a:extLst>
                  </pic:spPr>
                </pic:pic>
              </a:graphicData>
            </a:graphic>
          </wp:inline>
        </w:drawing>
      </w:r>
      <w:r w:rsidRPr="0057241C">
        <w:rPr>
          <w:rFonts w:ascii="Palatino Linotype" w:eastAsia="Palatino Linotype" w:hAnsi="Palatino Linotype" w:cs="Palatino Linotype"/>
          <w:noProof/>
          <w:sz w:val="22"/>
          <w:szCs w:val="22"/>
        </w:rPr>
        <w:drawing>
          <wp:inline distT="0" distB="0" distL="0" distR="0" wp14:anchorId="624B95CF" wp14:editId="08BF1A1E">
            <wp:extent cx="4860000" cy="771730"/>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5803"/>
                    <a:stretch/>
                  </pic:blipFill>
                  <pic:spPr bwMode="auto">
                    <a:xfrm>
                      <a:off x="0" y="0"/>
                      <a:ext cx="4860000" cy="771730"/>
                    </a:xfrm>
                    <a:prstGeom prst="rect">
                      <a:avLst/>
                    </a:prstGeom>
                    <a:ln>
                      <a:noFill/>
                    </a:ln>
                    <a:extLst>
                      <a:ext uri="{53640926-AAD7-44D8-BBD7-CCE9431645EC}">
                        <a14:shadowObscured xmlns:a14="http://schemas.microsoft.com/office/drawing/2010/main"/>
                      </a:ext>
                    </a:extLst>
                  </pic:spPr>
                </pic:pic>
              </a:graphicData>
            </a:graphic>
          </wp:inline>
        </w:drawing>
      </w:r>
    </w:p>
    <w:p w14:paraId="59BD586E" w14:textId="4AC0B64A"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Por otro lado, resulta pertinente señalar que el Manual para la Planeación, Programación y Presupuesto de Egresos Municipal, para el Ejercicio Fiscal 2025, integra como anexo el “Clasificador por objeto del gasto”,  el cual se constituye un elemento fundamental del sistema general de cuentas donde cada componente destaca aspectos concretos del 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14:paraId="4FF64974" w14:textId="77777777" w:rsidR="00855868" w:rsidRPr="0057241C" w:rsidRDefault="00855868" w:rsidP="00855868">
      <w:pPr>
        <w:spacing w:before="280" w:after="28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La estructura del Clasificador, según lo previsto en el anexo,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14:paraId="366CCAA5"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noProof/>
          <w:sz w:val="22"/>
          <w:szCs w:val="22"/>
        </w:rPr>
        <w:drawing>
          <wp:inline distT="0" distB="0" distL="0" distR="0" wp14:anchorId="2659A44D" wp14:editId="5800E8AD">
            <wp:extent cx="5610225" cy="933450"/>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5610225" cy="933450"/>
                    </a:xfrm>
                    <a:prstGeom prst="rect">
                      <a:avLst/>
                    </a:prstGeom>
                    <a:ln/>
                  </pic:spPr>
                </pic:pic>
              </a:graphicData>
            </a:graphic>
          </wp:inline>
        </w:drawing>
      </w:r>
    </w:p>
    <w:p w14:paraId="06A6FE2D" w14:textId="77777777" w:rsidR="00855868" w:rsidRPr="0057241C" w:rsidRDefault="00855868" w:rsidP="00855868">
      <w:pPr>
        <w:spacing w:before="280" w:after="28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Debiendo definir cada una de las partes que lo integran como sigue:</w:t>
      </w:r>
    </w:p>
    <w:p w14:paraId="4F71BCD8" w14:textId="77777777" w:rsidR="00855868" w:rsidRPr="0057241C" w:rsidRDefault="00855868" w:rsidP="00855868">
      <w:pPr>
        <w:numPr>
          <w:ilvl w:val="0"/>
          <w:numId w:val="10"/>
        </w:numPr>
        <w:pBdr>
          <w:top w:val="nil"/>
          <w:left w:val="nil"/>
          <w:bottom w:val="nil"/>
          <w:right w:val="nil"/>
          <w:between w:val="nil"/>
        </w:pBdr>
        <w:spacing w:before="120" w:after="120" w:line="276" w:lineRule="auto"/>
        <w:ind w:hanging="357"/>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b/>
          <w:sz w:val="22"/>
          <w:szCs w:val="22"/>
        </w:rPr>
        <w:t>Capítulo:</w:t>
      </w:r>
      <w:r w:rsidRPr="0057241C">
        <w:rPr>
          <w:rFonts w:ascii="Palatino Linotype" w:eastAsia="Palatino Linotype" w:hAnsi="Palatino Linotype" w:cs="Palatino Linotype"/>
          <w:sz w:val="22"/>
          <w:szCs w:val="22"/>
        </w:rPr>
        <w:t xml:space="preserve"> Es el mayor nivel de agregación que identifica el conjunto homogéneo y ordenado de los bienes y servicios requeridos por los entes públicos. </w:t>
      </w:r>
    </w:p>
    <w:p w14:paraId="596682A8" w14:textId="77777777" w:rsidR="00855868" w:rsidRPr="0057241C" w:rsidRDefault="00855868" w:rsidP="00855868">
      <w:pPr>
        <w:numPr>
          <w:ilvl w:val="0"/>
          <w:numId w:val="10"/>
        </w:numPr>
        <w:pBdr>
          <w:top w:val="nil"/>
          <w:left w:val="nil"/>
          <w:bottom w:val="nil"/>
          <w:right w:val="nil"/>
          <w:between w:val="nil"/>
        </w:pBdr>
        <w:spacing w:before="120" w:after="120" w:line="276" w:lineRule="auto"/>
        <w:ind w:hanging="357"/>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b/>
          <w:sz w:val="22"/>
          <w:szCs w:val="22"/>
        </w:rPr>
        <w:t>Concepto:</w:t>
      </w:r>
      <w:r w:rsidRPr="0057241C">
        <w:rPr>
          <w:rFonts w:ascii="Palatino Linotype" w:eastAsia="Palatino Linotype" w:hAnsi="Palatino Linotype" w:cs="Palatino Linotype"/>
          <w:sz w:val="22"/>
          <w:szCs w:val="22"/>
        </w:rPr>
        <w:t xml:space="preserve"> Son subconjuntos homogéneos y ordenados en forma específica, producto de la desagregación de los bienes y servicios, incluidos en cada capítulo. </w:t>
      </w:r>
    </w:p>
    <w:p w14:paraId="4CAF5F37" w14:textId="77777777" w:rsidR="00855868" w:rsidRPr="0057241C" w:rsidRDefault="00855868" w:rsidP="00855868">
      <w:pPr>
        <w:numPr>
          <w:ilvl w:val="0"/>
          <w:numId w:val="10"/>
        </w:numPr>
        <w:pBdr>
          <w:top w:val="nil"/>
          <w:left w:val="nil"/>
          <w:bottom w:val="nil"/>
          <w:right w:val="nil"/>
          <w:between w:val="nil"/>
        </w:pBdr>
        <w:spacing w:before="120" w:after="120" w:line="276" w:lineRule="auto"/>
        <w:ind w:hanging="357"/>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b/>
          <w:sz w:val="22"/>
          <w:szCs w:val="22"/>
        </w:rPr>
        <w:t>Partida:</w:t>
      </w:r>
      <w:r w:rsidRPr="0057241C">
        <w:rPr>
          <w:rFonts w:ascii="Palatino Linotype" w:eastAsia="Palatino Linotype" w:hAnsi="Palatino Linotype" w:cs="Palatino Linotype"/>
          <w:sz w:val="22"/>
          <w:szCs w:val="22"/>
        </w:rPr>
        <w:t xml:space="preserve"> Es el nivel de agregación más específico en el cual se describen las expresiones concretas y detalladas de los bienes y servicios que se adquieren y se compone de: </w:t>
      </w:r>
    </w:p>
    <w:p w14:paraId="7EE4A84E" w14:textId="77777777" w:rsidR="00855868" w:rsidRPr="0057241C" w:rsidRDefault="00855868" w:rsidP="00855868">
      <w:pPr>
        <w:numPr>
          <w:ilvl w:val="0"/>
          <w:numId w:val="11"/>
        </w:numPr>
        <w:pBdr>
          <w:top w:val="nil"/>
          <w:left w:val="nil"/>
          <w:bottom w:val="nil"/>
          <w:right w:val="nil"/>
          <w:between w:val="nil"/>
        </w:pBdr>
        <w:spacing w:before="120" w:line="276"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b/>
          <w:sz w:val="22"/>
          <w:szCs w:val="22"/>
        </w:rPr>
        <w:t>La Partida Genérica</w:t>
      </w:r>
      <w:r w:rsidRPr="0057241C">
        <w:rPr>
          <w:rFonts w:ascii="Palatino Linotype" w:eastAsia="Palatino Linotype" w:hAnsi="Palatino Linotype" w:cs="Palatino Linotype"/>
          <w:sz w:val="22"/>
          <w:szCs w:val="22"/>
        </w:rPr>
        <w:t xml:space="preserve"> se refiere al tercer dígito, el cual logrará la armonización a todos los niveles de gobierno.</w:t>
      </w:r>
    </w:p>
    <w:p w14:paraId="2519A4AF" w14:textId="77777777" w:rsidR="00855868" w:rsidRPr="0057241C" w:rsidRDefault="00855868" w:rsidP="00855868">
      <w:pPr>
        <w:numPr>
          <w:ilvl w:val="0"/>
          <w:numId w:val="11"/>
        </w:numPr>
        <w:pBdr>
          <w:top w:val="nil"/>
          <w:left w:val="nil"/>
          <w:bottom w:val="nil"/>
          <w:right w:val="nil"/>
          <w:between w:val="nil"/>
        </w:pBdr>
        <w:spacing w:after="120" w:line="276" w:lineRule="auto"/>
        <w:ind w:hanging="357"/>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b/>
          <w:sz w:val="22"/>
          <w:szCs w:val="22"/>
        </w:rPr>
        <w:t>La Partida Específica</w:t>
      </w:r>
      <w:r w:rsidRPr="0057241C">
        <w:rPr>
          <w:rFonts w:ascii="Palatino Linotype" w:eastAsia="Palatino Linotype" w:hAnsi="Palatino Linotype" w:cs="Palatino Linotype"/>
          <w:sz w:val="22"/>
          <w:szCs w:val="22"/>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63CF9A39"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De acuerdo con este nivel de desagregación del Clasificador por Objeto del Gasto Estatal y Municipal, la definición de los Capítulos de gasto es la siguiente: </w:t>
      </w:r>
    </w:p>
    <w:p w14:paraId="2E5C75F1" w14:textId="77777777" w:rsidR="00855868" w:rsidRPr="0057241C" w:rsidRDefault="00855868" w:rsidP="00855868">
      <w:pPr>
        <w:spacing w:before="240" w:after="240"/>
        <w:ind w:left="426"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b/>
          <w:sz w:val="22"/>
          <w:szCs w:val="22"/>
        </w:rPr>
        <w:t>1000 SERVICIOS PERSONALES.</w:t>
      </w:r>
      <w:r w:rsidRPr="0057241C">
        <w:rPr>
          <w:rFonts w:ascii="Palatino Linotype" w:eastAsia="Palatino Linotype" w:hAnsi="Palatino Linotype" w:cs="Palatino Linotype"/>
          <w:sz w:val="22"/>
          <w:szCs w:val="22"/>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14:paraId="2C257458" w14:textId="77777777" w:rsidR="00855868" w:rsidRPr="0057241C" w:rsidRDefault="00855868" w:rsidP="00855868">
      <w:pPr>
        <w:spacing w:before="240" w:after="240"/>
        <w:ind w:left="426"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b/>
          <w:sz w:val="22"/>
          <w:szCs w:val="22"/>
        </w:rPr>
        <w:t>2000 MATERIALES Y SUMINISTROS</w:t>
      </w:r>
      <w:r w:rsidRPr="0057241C">
        <w:rPr>
          <w:rFonts w:ascii="Palatino Linotype" w:eastAsia="Palatino Linotype" w:hAnsi="Palatino Linotype" w:cs="Palatino Linotype"/>
          <w:sz w:val="22"/>
          <w:szCs w:val="22"/>
        </w:rPr>
        <w:t xml:space="preserve">. Agrupa las asignaciones destinadas a la adquisición de toda clase de insumos y suministros requeridos para la prestación de bienes y servicios públicos y para el desempeño de las actividades administrativas. </w:t>
      </w:r>
    </w:p>
    <w:p w14:paraId="33ED2CFC" w14:textId="77777777" w:rsidR="00855868" w:rsidRPr="0057241C" w:rsidRDefault="00855868" w:rsidP="00855868">
      <w:pPr>
        <w:spacing w:before="240" w:after="240"/>
        <w:ind w:left="426" w:right="49"/>
        <w:jc w:val="both"/>
        <w:rPr>
          <w:rFonts w:ascii="Palatino Linotype" w:eastAsia="Palatino Linotype" w:hAnsi="Palatino Linotype" w:cs="Palatino Linotype"/>
          <w:b/>
          <w:i/>
          <w:sz w:val="22"/>
          <w:szCs w:val="22"/>
        </w:rPr>
      </w:pPr>
      <w:r w:rsidRPr="0057241C">
        <w:rPr>
          <w:rFonts w:ascii="Palatino Linotype" w:eastAsia="Palatino Linotype" w:hAnsi="Palatino Linotype" w:cs="Palatino Linotype"/>
          <w:b/>
          <w:sz w:val="22"/>
          <w:szCs w:val="22"/>
        </w:rPr>
        <w:t>3000 SERVICIOS GENERALES</w:t>
      </w:r>
      <w:r w:rsidRPr="0057241C">
        <w:rPr>
          <w:rFonts w:ascii="Palatino Linotype" w:eastAsia="Palatino Linotype" w:hAnsi="Palatino Linotype" w:cs="Palatino Linotype"/>
          <w:b/>
          <w:i/>
          <w:sz w:val="22"/>
          <w:szCs w:val="22"/>
        </w:rPr>
        <w:t xml:space="preserve">. </w:t>
      </w:r>
      <w:r w:rsidRPr="0057241C">
        <w:rPr>
          <w:rFonts w:ascii="Palatino Linotype" w:eastAsia="Palatino Linotype" w:hAnsi="Palatino Linotype" w:cs="Palatino Linotype"/>
          <w:sz w:val="22"/>
          <w:szCs w:val="22"/>
        </w:rPr>
        <w:t>Asignaciones destinadas a cubrir el costo de todo tipo de servicios que se contraten con particulares o instituciones del propio sector público; así como los servicios oficiales requeridos para el desempeño de actividades vinculadas con la función pública</w:t>
      </w:r>
      <w:r w:rsidRPr="0057241C">
        <w:rPr>
          <w:rFonts w:ascii="Palatino Linotype" w:eastAsia="Palatino Linotype" w:hAnsi="Palatino Linotype" w:cs="Palatino Linotype"/>
          <w:b/>
          <w:i/>
          <w:sz w:val="22"/>
          <w:szCs w:val="22"/>
        </w:rPr>
        <w:t xml:space="preserve">. </w:t>
      </w:r>
    </w:p>
    <w:p w14:paraId="2CE3914C" w14:textId="77777777" w:rsidR="00855868" w:rsidRPr="0057241C" w:rsidRDefault="00855868" w:rsidP="00855868">
      <w:pPr>
        <w:spacing w:before="240" w:after="240"/>
        <w:ind w:left="426"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b/>
          <w:sz w:val="22"/>
          <w:szCs w:val="22"/>
        </w:rPr>
        <w:t>4000 TRANSFERENCIAS, ASIGNACIONES, SUBSIDIOS Y OTRAS AYUDAS</w:t>
      </w:r>
      <w:r w:rsidRPr="0057241C">
        <w:rPr>
          <w:rFonts w:ascii="Palatino Linotype" w:eastAsia="Palatino Linotype" w:hAnsi="Palatino Linotype" w:cs="Palatino Linotype"/>
          <w:sz w:val="22"/>
          <w:szCs w:val="22"/>
        </w:rPr>
        <w:t>. 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14:paraId="3149CA9B" w14:textId="77777777" w:rsidR="00855868" w:rsidRPr="0057241C" w:rsidRDefault="00855868" w:rsidP="00855868">
      <w:pPr>
        <w:spacing w:before="240" w:after="240"/>
        <w:ind w:left="426" w:right="49"/>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5000 BIENES MUEBLES, INMUEBLES E INTANGIBLES</w:t>
      </w:r>
      <w:r w:rsidRPr="0057241C">
        <w:rPr>
          <w:rFonts w:ascii="Palatino Linotype" w:eastAsia="Palatino Linotype" w:hAnsi="Palatino Linotype" w:cs="Palatino Linotype"/>
          <w:i/>
          <w:sz w:val="22"/>
          <w:szCs w:val="22"/>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14:paraId="76EE6669" w14:textId="77777777" w:rsidR="00855868" w:rsidRPr="0057241C" w:rsidRDefault="00855868" w:rsidP="00855868">
      <w:pPr>
        <w:spacing w:before="240" w:after="240"/>
        <w:ind w:left="426"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b/>
          <w:sz w:val="22"/>
          <w:szCs w:val="22"/>
        </w:rPr>
        <w:t>6000 INVERSIÓN PÚBLICA.</w:t>
      </w:r>
      <w:r w:rsidRPr="0057241C">
        <w:rPr>
          <w:rFonts w:ascii="Palatino Linotype" w:eastAsia="Palatino Linotype" w:hAnsi="Palatino Linotype" w:cs="Palatino Linotype"/>
          <w:sz w:val="22"/>
          <w:szCs w:val="22"/>
        </w:rPr>
        <w:t xml:space="preserve"> Asignaciones destinadas a obras por contrato y proyectos productivos y acciones de fomento. Incluye los gastos en estudios de pre‐inversión y preparación del proyecto. </w:t>
      </w:r>
    </w:p>
    <w:p w14:paraId="32DBBCA3" w14:textId="77777777" w:rsidR="00855868" w:rsidRPr="0057241C" w:rsidRDefault="00855868" w:rsidP="00855868">
      <w:pPr>
        <w:spacing w:before="240" w:after="240"/>
        <w:ind w:left="426"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b/>
          <w:sz w:val="22"/>
          <w:szCs w:val="22"/>
        </w:rPr>
        <w:t>7000 INVERSIONES FINANCIERAS Y OTRAS PROVISIONES</w:t>
      </w:r>
      <w:r w:rsidRPr="0057241C">
        <w:rPr>
          <w:rFonts w:ascii="Palatino Linotype" w:eastAsia="Palatino Linotype" w:hAnsi="Palatino Linotype" w:cs="Palatino Linotype"/>
          <w:sz w:val="22"/>
          <w:szCs w:val="22"/>
        </w:rPr>
        <w:t xml:space="preserve">.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 </w:t>
      </w:r>
    </w:p>
    <w:p w14:paraId="32E081AC" w14:textId="77777777" w:rsidR="00855868" w:rsidRPr="0057241C" w:rsidRDefault="00855868" w:rsidP="00855868">
      <w:pPr>
        <w:spacing w:before="240" w:after="240"/>
        <w:ind w:left="426"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b/>
          <w:sz w:val="22"/>
          <w:szCs w:val="22"/>
        </w:rPr>
        <w:t>8000 PARTICIPACIONES Y APORTACIONES.</w:t>
      </w:r>
      <w:r w:rsidRPr="0057241C">
        <w:rPr>
          <w:rFonts w:ascii="Palatino Linotype" w:eastAsia="Palatino Linotype" w:hAnsi="Palatino Linotype" w:cs="Palatino Linotype"/>
          <w:sz w:val="22"/>
          <w:szCs w:val="22"/>
        </w:rPr>
        <w:t xml:space="preserve"> 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14:paraId="69DB6FC2" w14:textId="77777777" w:rsidR="00855868" w:rsidRPr="0057241C" w:rsidRDefault="00855868" w:rsidP="00855868">
      <w:pPr>
        <w:spacing w:before="240" w:after="240"/>
        <w:ind w:left="426"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b/>
          <w:sz w:val="22"/>
          <w:szCs w:val="22"/>
        </w:rPr>
        <w:t>9000 DEUDA PÚBLICA</w:t>
      </w:r>
      <w:r w:rsidRPr="0057241C">
        <w:rPr>
          <w:rFonts w:ascii="Palatino Linotype" w:eastAsia="Palatino Linotype" w:hAnsi="Palatino Linotype" w:cs="Palatino Linotype"/>
          <w:sz w:val="22"/>
          <w:szCs w:val="22"/>
        </w:rPr>
        <w:t xml:space="preserve">.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 </w:t>
      </w:r>
    </w:p>
    <w:p w14:paraId="1AF8ECD0" w14:textId="4ABBCCF0"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En este tenor, el Capítulo 5000 contempla el siguiente concepto o subcapítulo, partida genérica y partida específica atinente con el tema que nos ocupa:</w:t>
      </w:r>
    </w:p>
    <w:p w14:paraId="073017AD" w14:textId="0C31655A" w:rsidR="00855868" w:rsidRPr="0057241C" w:rsidRDefault="00855868" w:rsidP="00193AE1">
      <w:pPr>
        <w:tabs>
          <w:tab w:val="left" w:pos="975"/>
        </w:tabs>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noProof/>
          <w:sz w:val="22"/>
          <w:szCs w:val="22"/>
        </w:rPr>
        <w:drawing>
          <wp:inline distT="0" distB="0" distL="0" distR="0" wp14:anchorId="19D37B8C" wp14:editId="61F1755B">
            <wp:extent cx="5612130" cy="38671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86715"/>
                    </a:xfrm>
                    <a:prstGeom prst="rect">
                      <a:avLst/>
                    </a:prstGeom>
                  </pic:spPr>
                </pic:pic>
              </a:graphicData>
            </a:graphic>
          </wp:inline>
        </w:drawing>
      </w:r>
      <w:r w:rsidRPr="0057241C">
        <w:rPr>
          <w:rFonts w:ascii="Palatino Linotype" w:eastAsia="Palatino Linotype" w:hAnsi="Palatino Linotype" w:cs="Palatino Linotype"/>
          <w:noProof/>
          <w:sz w:val="22"/>
          <w:szCs w:val="22"/>
        </w:rPr>
        <w:drawing>
          <wp:inline distT="0" distB="0" distL="0" distR="0" wp14:anchorId="60774857" wp14:editId="3A8E9D32">
            <wp:extent cx="5612130" cy="129984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299845"/>
                    </a:xfrm>
                    <a:prstGeom prst="rect">
                      <a:avLst/>
                    </a:prstGeom>
                  </pic:spPr>
                </pic:pic>
              </a:graphicData>
            </a:graphic>
          </wp:inline>
        </w:drawing>
      </w:r>
    </w:p>
    <w:p w14:paraId="41F99F07" w14:textId="4B4CD6F9"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Asimismo, no debe perderse de vista que el </w:t>
      </w:r>
      <w:r w:rsidRPr="0057241C">
        <w:rPr>
          <w:rFonts w:ascii="Palatino Linotype" w:eastAsia="Palatino Linotype" w:hAnsi="Palatino Linotype" w:cs="Palatino Linotype"/>
          <w:b/>
          <w:sz w:val="22"/>
          <w:szCs w:val="22"/>
        </w:rPr>
        <w:t xml:space="preserve">Sujeto Obligado </w:t>
      </w:r>
      <w:r w:rsidRPr="0057241C">
        <w:rPr>
          <w:rFonts w:ascii="Palatino Linotype" w:eastAsia="Palatino Linotype" w:hAnsi="Palatino Linotype" w:cs="Palatino Linotype"/>
          <w:sz w:val="22"/>
          <w:szCs w:val="22"/>
        </w:rPr>
        <w:t xml:space="preserve">como ente fiscalizable se encuentra constreñido a rendir informes del ejercicio del presupuesto ante las autoridades fiscalizadoras, por lo que se estima que se encuentra en posibilidad de proporcionar </w:t>
      </w:r>
      <w:bookmarkStart w:id="10" w:name="_Hlk212661289"/>
      <w:r w:rsidRPr="0057241C">
        <w:rPr>
          <w:rFonts w:ascii="Palatino Linotype" w:eastAsia="Palatino Linotype" w:hAnsi="Palatino Linotype" w:cs="Palatino Linotype"/>
          <w:sz w:val="22"/>
          <w:szCs w:val="22"/>
        </w:rPr>
        <w:t>las facturas derivadas de la adquisición de vehículos utilitarios del ayuntamiento, del uno de enero al dieciocho de agosto de dos mil veinticinco, información que deberá proporcionarse en versión pública de ser procedente, de conformidad con el considerando siguiente</w:t>
      </w:r>
      <w:bookmarkEnd w:id="10"/>
      <w:r w:rsidRPr="0057241C">
        <w:rPr>
          <w:rFonts w:ascii="Palatino Linotype" w:eastAsia="Palatino Linotype" w:hAnsi="Palatino Linotype" w:cs="Palatino Linotype"/>
          <w:sz w:val="22"/>
          <w:szCs w:val="22"/>
        </w:rPr>
        <w:t>, para tener por satisfecho el Derecho de acceso de la persona solicitante.</w:t>
      </w:r>
    </w:p>
    <w:p w14:paraId="68E6DA7E" w14:textId="73A41689" w:rsidR="00793D53" w:rsidRPr="0057241C" w:rsidRDefault="00793D53"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Finalmente, derivado de la consulta realizada en diversos medios de comunicación, se localizaron diversas notas </w:t>
      </w:r>
      <w:r w:rsidR="00FD3624" w:rsidRPr="0057241C">
        <w:rPr>
          <w:rFonts w:ascii="Palatino Linotype" w:eastAsia="Palatino Linotype" w:hAnsi="Palatino Linotype" w:cs="Palatino Linotype"/>
          <w:sz w:val="22"/>
          <w:szCs w:val="22"/>
        </w:rPr>
        <w:t>periodísticas, de las cuales se despende que el Gobierno del Estado de México hizo entrega de 40 patrullas a Texcoco, de las cuales cinco unidades estarían destinadas a labores de protección civil, como se lee en seguida: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746F91" w:rsidRPr="0057241C" w14:paraId="494BB6DE" w14:textId="77777777" w:rsidTr="00FD3624">
        <w:tc>
          <w:tcPr>
            <w:tcW w:w="4414" w:type="dxa"/>
          </w:tcPr>
          <w:p w14:paraId="0DC5E962" w14:textId="33624194" w:rsidR="00FD3624" w:rsidRPr="0057241C" w:rsidRDefault="00FD3624" w:rsidP="00FD3624">
            <w:pPr>
              <w:spacing w:before="240" w:after="240" w:line="360" w:lineRule="auto"/>
              <w:jc w:val="center"/>
              <w:rPr>
                <w:rFonts w:ascii="Palatino Linotype" w:eastAsia="Palatino Linotype" w:hAnsi="Palatino Linotype" w:cs="Palatino Linotype"/>
                <w:sz w:val="22"/>
                <w:szCs w:val="22"/>
              </w:rPr>
            </w:pPr>
            <w:r w:rsidRPr="0057241C">
              <w:rPr>
                <w:rFonts w:ascii="Palatino Linotype" w:eastAsia="Palatino Linotype" w:hAnsi="Palatino Linotype" w:cs="Palatino Linotype"/>
                <w:noProof/>
                <w:sz w:val="22"/>
                <w:szCs w:val="22"/>
              </w:rPr>
              <w:drawing>
                <wp:inline distT="0" distB="0" distL="0" distR="0" wp14:anchorId="5B7A9A6A" wp14:editId="77465D72">
                  <wp:extent cx="2160000" cy="373496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 b="39278"/>
                          <a:stretch/>
                        </pic:blipFill>
                        <pic:spPr bwMode="auto">
                          <a:xfrm>
                            <a:off x="0" y="0"/>
                            <a:ext cx="2160000" cy="3734962"/>
                          </a:xfrm>
                          <a:prstGeom prst="rect">
                            <a:avLst/>
                          </a:prstGeom>
                          <a:ln>
                            <a:noFill/>
                          </a:ln>
                          <a:extLst>
                            <a:ext uri="{53640926-AAD7-44D8-BBD7-CCE9431645EC}">
                              <a14:shadowObscured xmlns:a14="http://schemas.microsoft.com/office/drawing/2010/main"/>
                            </a:ext>
                          </a:extLst>
                        </pic:spPr>
                      </pic:pic>
                    </a:graphicData>
                  </a:graphic>
                </wp:inline>
              </w:drawing>
            </w:r>
          </w:p>
        </w:tc>
        <w:tc>
          <w:tcPr>
            <w:tcW w:w="4414" w:type="dxa"/>
          </w:tcPr>
          <w:p w14:paraId="6EC7C50B" w14:textId="77777777" w:rsidR="00FD3624" w:rsidRPr="0057241C" w:rsidRDefault="00FD3624" w:rsidP="00FD3624">
            <w:pPr>
              <w:spacing w:before="240" w:after="240" w:line="360" w:lineRule="auto"/>
              <w:jc w:val="center"/>
              <w:rPr>
                <w:rFonts w:ascii="Palatino Linotype" w:eastAsia="Palatino Linotype" w:hAnsi="Palatino Linotype" w:cs="Palatino Linotype"/>
                <w:sz w:val="22"/>
                <w:szCs w:val="22"/>
              </w:rPr>
            </w:pPr>
            <w:r w:rsidRPr="0057241C">
              <w:rPr>
                <w:rFonts w:ascii="Palatino Linotype" w:eastAsia="Palatino Linotype" w:hAnsi="Palatino Linotype" w:cs="Palatino Linotype"/>
                <w:noProof/>
                <w:sz w:val="22"/>
                <w:szCs w:val="22"/>
              </w:rPr>
              <w:drawing>
                <wp:inline distT="0" distB="0" distL="0" distR="0" wp14:anchorId="1D96F6DE" wp14:editId="1C1A6BED">
                  <wp:extent cx="2160000" cy="330394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3303947"/>
                          </a:xfrm>
                          <a:prstGeom prst="rect">
                            <a:avLst/>
                          </a:prstGeom>
                        </pic:spPr>
                      </pic:pic>
                    </a:graphicData>
                  </a:graphic>
                </wp:inline>
              </w:drawing>
            </w:r>
          </w:p>
          <w:p w14:paraId="7C970946" w14:textId="55EEDB9B" w:rsidR="00FD3624" w:rsidRPr="0057241C" w:rsidRDefault="00FD3624" w:rsidP="00FD3624">
            <w:pPr>
              <w:spacing w:before="120" w:after="120"/>
              <w:jc w:val="both"/>
              <w:rPr>
                <w:rFonts w:ascii="Palatino Linotype" w:eastAsia="Palatino Linotype" w:hAnsi="Palatino Linotype" w:cs="Palatino Linotype"/>
                <w:sz w:val="16"/>
                <w:szCs w:val="16"/>
              </w:rPr>
            </w:pPr>
            <w:r w:rsidRPr="0057241C">
              <w:rPr>
                <w:rFonts w:ascii="Palatino Linotype" w:eastAsia="Palatino Linotype" w:hAnsi="Palatino Linotype" w:cs="Palatino Linotype"/>
                <w:sz w:val="16"/>
                <w:szCs w:val="16"/>
              </w:rPr>
              <w:t>Consultado en: https://www.planamayor.com.mx/entrega-gobierno-edomex-40-patrullas-a-texcoco-para-reforzar-estrategia-operativa-oriente/</w:t>
            </w:r>
          </w:p>
        </w:tc>
      </w:tr>
    </w:tbl>
    <w:p w14:paraId="4561FEA5" w14:textId="77777777" w:rsidR="00FD3624" w:rsidRPr="0057241C" w:rsidRDefault="00FD3624" w:rsidP="00FD3624">
      <w:pPr>
        <w:spacing w:before="240" w:after="240" w:line="360" w:lineRule="auto"/>
        <w:jc w:val="both"/>
        <w:rPr>
          <w:rFonts w:ascii="Palatino Linotype" w:hAnsi="Palatino Linotype" w:cs="Tahoma"/>
          <w:b/>
          <w:bCs/>
          <w:sz w:val="22"/>
          <w:szCs w:val="22"/>
        </w:rPr>
      </w:pPr>
      <w:r w:rsidRPr="0057241C">
        <w:rPr>
          <w:rFonts w:ascii="Palatino Linotype" w:hAnsi="Palatino Linotype" w:cs="Tahoma"/>
          <w:bCs/>
          <w:sz w:val="22"/>
          <w:szCs w:val="22"/>
        </w:rPr>
        <w:t xml:space="preserve">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57241C">
        <w:rPr>
          <w:rFonts w:ascii="Palatino Linotype" w:hAnsi="Palatino Linotype" w:cs="Tahoma"/>
          <w:b/>
          <w:bCs/>
          <w:i/>
          <w:sz w:val="22"/>
          <w:szCs w:val="22"/>
        </w:rPr>
        <w:t>“NOTAS PERIODISTICAS, EL CONOCIMIENTO QUE DE ELLAS SE OBTIENE NO CONSTITUYE ‘UN HECHO PUBLICO Y NOTORIO”</w:t>
      </w:r>
      <w:r w:rsidRPr="0057241C">
        <w:rPr>
          <w:rFonts w:ascii="Palatino Linotype" w:hAnsi="Palatino Linotype" w:cs="Tahoma"/>
          <w:bCs/>
          <w:sz w:val="22"/>
          <w:szCs w:val="22"/>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w:t>
      </w:r>
      <w:r w:rsidRPr="0057241C">
        <w:rPr>
          <w:rFonts w:ascii="Palatino Linotype" w:hAnsi="Palatino Linotype" w:cs="Tahoma"/>
          <w:b/>
          <w:bCs/>
          <w:sz w:val="22"/>
          <w:szCs w:val="22"/>
        </w:rPr>
        <w:t xml:space="preserve">sólo se pueden tomar como </w:t>
      </w:r>
      <w:r w:rsidRPr="0057241C">
        <w:rPr>
          <w:rFonts w:ascii="Palatino Linotype" w:hAnsi="Palatino Linotype" w:cs="Tahoma"/>
          <w:b/>
          <w:bCs/>
          <w:sz w:val="22"/>
          <w:szCs w:val="22"/>
          <w:u w:val="single"/>
        </w:rPr>
        <w:t>indicios.</w:t>
      </w:r>
    </w:p>
    <w:p w14:paraId="0C02BDEC" w14:textId="6B35EC3E" w:rsidR="008A7191" w:rsidRPr="0057241C" w:rsidRDefault="00FD3624" w:rsidP="008A7191">
      <w:pPr>
        <w:spacing w:before="240" w:after="240" w:line="360" w:lineRule="auto"/>
        <w:jc w:val="both"/>
        <w:rPr>
          <w:rFonts w:ascii="Palatino Linotype" w:eastAsia="Palatino Linotype" w:hAnsi="Palatino Linotype" w:cs="Palatino Linotype"/>
          <w:sz w:val="22"/>
          <w:szCs w:val="22"/>
        </w:rPr>
      </w:pPr>
      <w:r w:rsidRPr="0057241C">
        <w:rPr>
          <w:rFonts w:ascii="Palatino Linotype" w:hAnsi="Palatino Linotype" w:cs="Tahoma"/>
          <w:sz w:val="22"/>
        </w:rPr>
        <w:t xml:space="preserve">Por consiguiente, toda vez que no se puede tener certeza sobre la adquisición de los vehículos referidos en la solicitud por parte del </w:t>
      </w:r>
      <w:r w:rsidRPr="0057241C">
        <w:rPr>
          <w:rFonts w:ascii="Palatino Linotype" w:hAnsi="Palatino Linotype" w:cs="Tahoma"/>
          <w:b/>
          <w:sz w:val="22"/>
        </w:rPr>
        <w:t>Sujeto Obligado</w:t>
      </w:r>
      <w:r w:rsidRPr="0057241C">
        <w:rPr>
          <w:rFonts w:ascii="Palatino Linotype" w:hAnsi="Palatino Linotype" w:cs="Tahoma"/>
          <w:sz w:val="22"/>
        </w:rPr>
        <w:t xml:space="preserve">, </w:t>
      </w:r>
      <w:r w:rsidR="008A7191" w:rsidRPr="0057241C">
        <w:rPr>
          <w:rFonts w:ascii="Palatino Linotype" w:hAnsi="Palatino Linotype" w:cs="Tahoma"/>
          <w:sz w:val="22"/>
        </w:rPr>
        <w:t xml:space="preserve">dado que pudo tratarse de una donación por parte del Gobierno del Estado, por lo que en caso de no contar con la información que se ordena, </w:t>
      </w:r>
      <w:r w:rsidR="008A7191" w:rsidRPr="0057241C">
        <w:rPr>
          <w:rFonts w:ascii="Palatino Linotype" w:eastAsia="Palatino Linotype" w:hAnsi="Palatino Linotype" w:cs="Palatino Linotype"/>
          <w:sz w:val="22"/>
          <w:szCs w:val="22"/>
        </w:rPr>
        <w:t>por no haberse generado, deberá hacerlo de conocimiento de la persona solicitante de manera fundada y motivada, en términos de lo dispuesto por el artículo 19, párrafo segundo de la Ley de Transparencia y Acceso a la Información Pública del Estado de México y Municipios, a saber:</w:t>
      </w:r>
    </w:p>
    <w:p w14:paraId="603CC9A5" w14:textId="77777777" w:rsidR="008A7191" w:rsidRPr="0057241C" w:rsidRDefault="008A7191" w:rsidP="008A7191">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r w:rsidRPr="0057241C">
        <w:rPr>
          <w:rFonts w:ascii="Palatino Linotype" w:eastAsia="Palatino Linotype" w:hAnsi="Palatino Linotype" w:cs="Palatino Linotype"/>
          <w:b/>
          <w:i/>
          <w:sz w:val="22"/>
          <w:szCs w:val="22"/>
        </w:rPr>
        <w:t>Artículo 19</w:t>
      </w:r>
      <w:r w:rsidRPr="0057241C">
        <w:rPr>
          <w:rFonts w:ascii="Palatino Linotype" w:eastAsia="Palatino Linotype" w:hAnsi="Palatino Linotype" w:cs="Palatino Linotype"/>
          <w:i/>
          <w:sz w:val="22"/>
          <w:szCs w:val="22"/>
        </w:rPr>
        <w:t>…</w:t>
      </w:r>
    </w:p>
    <w:p w14:paraId="726AB30B" w14:textId="68297573" w:rsidR="00FD3624" w:rsidRPr="0057241C" w:rsidRDefault="008A7191" w:rsidP="008A7191">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071D5672" w14:textId="75D82A07" w:rsidR="00FD3624" w:rsidRPr="0057241C" w:rsidRDefault="00FD3624" w:rsidP="00FD3624">
      <w:pPr>
        <w:spacing w:before="240" w:after="240" w:line="360" w:lineRule="auto"/>
        <w:jc w:val="center"/>
        <w:rPr>
          <w:rFonts w:ascii="Palatino Linotype" w:eastAsia="Palatino Linotype" w:hAnsi="Palatino Linotype" w:cs="Palatino Linotype"/>
          <w:sz w:val="22"/>
          <w:szCs w:val="22"/>
        </w:rPr>
      </w:pPr>
    </w:p>
    <w:p w14:paraId="7901782F" w14:textId="77777777" w:rsidR="00FD3624" w:rsidRPr="0057241C" w:rsidRDefault="00FD3624" w:rsidP="00855868">
      <w:pPr>
        <w:spacing w:before="240" w:after="240" w:line="360" w:lineRule="auto"/>
        <w:jc w:val="both"/>
        <w:rPr>
          <w:rFonts w:ascii="Palatino Linotype" w:eastAsia="Palatino Linotype" w:hAnsi="Palatino Linotype" w:cs="Palatino Linotype"/>
          <w:sz w:val="22"/>
          <w:szCs w:val="22"/>
        </w:rPr>
      </w:pPr>
    </w:p>
    <w:p w14:paraId="00525421" w14:textId="01544D6E" w:rsidR="00193AE1" w:rsidRPr="0057241C" w:rsidRDefault="00193AE1" w:rsidP="00193AE1">
      <w:pPr>
        <w:tabs>
          <w:tab w:val="left" w:pos="975"/>
        </w:tabs>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De lo hasta aquí expuesto, se concluye que los motivos de inconformidad de la parte </w:t>
      </w:r>
      <w:r w:rsidRPr="0057241C">
        <w:rPr>
          <w:rFonts w:ascii="Palatino Linotype" w:eastAsia="Palatino Linotype" w:hAnsi="Palatino Linotype" w:cs="Palatino Linotype"/>
          <w:b/>
          <w:sz w:val="22"/>
          <w:szCs w:val="22"/>
        </w:rPr>
        <w:t xml:space="preserve">Recurrente </w:t>
      </w:r>
      <w:r w:rsidRPr="0057241C">
        <w:rPr>
          <w:rFonts w:ascii="Palatino Linotype" w:eastAsia="Palatino Linotype" w:hAnsi="Palatino Linotype" w:cs="Palatino Linotype"/>
          <w:sz w:val="22"/>
          <w:szCs w:val="22"/>
        </w:rPr>
        <w:t xml:space="preserve">devienen fundados, siendo procedente </w:t>
      </w:r>
      <w:r w:rsidR="00A37863" w:rsidRPr="0057241C">
        <w:rPr>
          <w:rFonts w:ascii="Palatino Linotype" w:eastAsia="Palatino Linotype" w:hAnsi="Palatino Linotype" w:cs="Palatino Linotype"/>
          <w:i/>
          <w:sz w:val="22"/>
          <w:szCs w:val="22"/>
        </w:rPr>
        <w:t>Revocar</w:t>
      </w:r>
      <w:r w:rsidRPr="0057241C">
        <w:rPr>
          <w:rFonts w:ascii="Palatino Linotype" w:eastAsia="Palatino Linotype" w:hAnsi="Palatino Linotype" w:cs="Palatino Linotype"/>
          <w:i/>
          <w:sz w:val="22"/>
          <w:szCs w:val="22"/>
        </w:rPr>
        <w:t xml:space="preserve"> </w:t>
      </w:r>
      <w:r w:rsidRPr="0057241C">
        <w:rPr>
          <w:rFonts w:ascii="Palatino Linotype" w:eastAsia="Palatino Linotype" w:hAnsi="Palatino Linotype" w:cs="Palatino Linotype"/>
          <w:sz w:val="22"/>
          <w:szCs w:val="22"/>
        </w:rPr>
        <w:t xml:space="preserve">la respuesta proporcionada por el </w:t>
      </w:r>
      <w:r w:rsidRPr="0057241C">
        <w:rPr>
          <w:rFonts w:ascii="Palatino Linotype" w:eastAsia="Palatino Linotype" w:hAnsi="Palatino Linotype" w:cs="Palatino Linotype"/>
          <w:b/>
          <w:sz w:val="22"/>
          <w:szCs w:val="22"/>
        </w:rPr>
        <w:t xml:space="preserve">Sujeto Obligado </w:t>
      </w:r>
      <w:r w:rsidRPr="0057241C">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2E80AA79" w14:textId="77777777" w:rsidR="00855868" w:rsidRPr="0057241C" w:rsidRDefault="00855868" w:rsidP="00855868">
      <w:pPr>
        <w:spacing w:before="240" w:after="240" w:line="360" w:lineRule="auto"/>
        <w:ind w:right="51"/>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b/>
          <w:sz w:val="22"/>
          <w:szCs w:val="22"/>
        </w:rPr>
        <w:t xml:space="preserve">Quinto. Versión Pública. </w:t>
      </w:r>
      <w:r w:rsidRPr="0057241C">
        <w:rPr>
          <w:rFonts w:ascii="Palatino Linotype" w:eastAsia="Palatino Linotype" w:hAnsi="Palatino Linotype" w:cs="Palatino Linotype"/>
          <w:sz w:val="22"/>
          <w:szCs w:val="22"/>
        </w:rPr>
        <w:t>Como fue debidamente apuntado, el </w:t>
      </w:r>
      <w:r w:rsidRPr="0057241C">
        <w:rPr>
          <w:rFonts w:ascii="Palatino Linotype" w:eastAsia="Palatino Linotype" w:hAnsi="Palatino Linotype" w:cs="Palatino Linotype"/>
          <w:b/>
          <w:sz w:val="22"/>
          <w:szCs w:val="22"/>
        </w:rPr>
        <w:t>Sujeto Obligado</w:t>
      </w:r>
      <w:r w:rsidRPr="0057241C">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1918A526" w14:textId="77777777" w:rsidR="00855868" w:rsidRPr="0057241C" w:rsidRDefault="00855868" w:rsidP="00855868">
      <w:pPr>
        <w:spacing w:before="240" w:after="240" w:line="360" w:lineRule="auto"/>
        <w:ind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61845754" w14:textId="77777777" w:rsidR="00855868" w:rsidRPr="0057241C" w:rsidRDefault="00855868" w:rsidP="00855868">
      <w:pPr>
        <w:spacing w:before="240" w:after="240" w:line="360" w:lineRule="auto"/>
        <w:ind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2D171805" w14:textId="77777777" w:rsidR="00855868" w:rsidRPr="0057241C" w:rsidRDefault="00855868" w:rsidP="00855868">
      <w:pPr>
        <w:spacing w:before="240" w:after="240" w:line="360" w:lineRule="auto"/>
        <w:ind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establecen:</w:t>
      </w:r>
    </w:p>
    <w:p w14:paraId="6A013DDF"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sz w:val="22"/>
          <w:szCs w:val="22"/>
        </w:rPr>
        <w:t> </w:t>
      </w:r>
      <w:r w:rsidRPr="0057241C">
        <w:rPr>
          <w:rFonts w:ascii="Palatino Linotype" w:eastAsia="Palatino Linotype" w:hAnsi="Palatino Linotype" w:cs="Palatino Linotype"/>
          <w:i/>
          <w:sz w:val="22"/>
          <w:szCs w:val="22"/>
        </w:rPr>
        <w:t>“</w:t>
      </w:r>
      <w:r w:rsidRPr="0057241C">
        <w:rPr>
          <w:rFonts w:ascii="Palatino Linotype" w:eastAsia="Palatino Linotype" w:hAnsi="Palatino Linotype" w:cs="Palatino Linotype"/>
          <w:b/>
          <w:i/>
          <w:sz w:val="22"/>
          <w:szCs w:val="22"/>
        </w:rPr>
        <w:t>Artículo 3.</w:t>
      </w:r>
      <w:r w:rsidRPr="0057241C">
        <w:rPr>
          <w:rFonts w:ascii="Palatino Linotype" w:eastAsia="Palatino Linotype" w:hAnsi="Palatino Linotype" w:cs="Palatino Linotype"/>
          <w:i/>
          <w:sz w:val="22"/>
          <w:szCs w:val="22"/>
        </w:rPr>
        <w:t xml:space="preserve"> Para los efectos de la presente Ley se entenderá por:</w:t>
      </w:r>
    </w:p>
    <w:p w14:paraId="4CAF8DD8" w14:textId="77777777" w:rsidR="00855868" w:rsidRPr="0057241C" w:rsidRDefault="00855868" w:rsidP="00855868">
      <w:pPr>
        <w:tabs>
          <w:tab w:val="left" w:pos="127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p>
    <w:p w14:paraId="05E17EA6" w14:textId="77777777" w:rsidR="00855868" w:rsidRPr="0057241C" w:rsidRDefault="00855868" w:rsidP="00855868">
      <w:pPr>
        <w:tabs>
          <w:tab w:val="left" w:pos="127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IX. Datos personales</w:t>
      </w:r>
      <w:r w:rsidRPr="0057241C">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36C45E5A" w14:textId="77777777" w:rsidR="00855868" w:rsidRPr="0057241C" w:rsidRDefault="00855868" w:rsidP="00855868">
      <w:pPr>
        <w:tabs>
          <w:tab w:val="left" w:pos="127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p>
    <w:p w14:paraId="26647771" w14:textId="77777777" w:rsidR="00855868" w:rsidRPr="0057241C" w:rsidRDefault="00855868" w:rsidP="00855868">
      <w:pPr>
        <w:tabs>
          <w:tab w:val="left" w:pos="127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XX. Información clasificada</w:t>
      </w:r>
      <w:r w:rsidRPr="0057241C">
        <w:rPr>
          <w:rFonts w:ascii="Palatino Linotype" w:eastAsia="Palatino Linotype" w:hAnsi="Palatino Linotype" w:cs="Palatino Linotype"/>
          <w:i/>
          <w:sz w:val="22"/>
          <w:szCs w:val="22"/>
        </w:rPr>
        <w:t>: Aquella considerada por la presente Ley como reservada o confidencial;</w:t>
      </w:r>
    </w:p>
    <w:p w14:paraId="7746EE3C" w14:textId="77777777" w:rsidR="00855868" w:rsidRPr="0057241C" w:rsidRDefault="00855868" w:rsidP="00855868">
      <w:pPr>
        <w:tabs>
          <w:tab w:val="left" w:pos="127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XXI. Información confidencial</w:t>
      </w:r>
      <w:r w:rsidRPr="0057241C">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72E58DF" w14:textId="77777777" w:rsidR="00855868" w:rsidRPr="0057241C" w:rsidRDefault="00855868" w:rsidP="00855868">
      <w:pPr>
        <w:tabs>
          <w:tab w:val="left" w:pos="127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p>
    <w:p w14:paraId="48146490" w14:textId="77777777" w:rsidR="00855868" w:rsidRPr="0057241C" w:rsidRDefault="00855868" w:rsidP="00855868">
      <w:pPr>
        <w:tabs>
          <w:tab w:val="left" w:pos="127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XXXII. Protección de Datos Personales</w:t>
      </w:r>
      <w:r w:rsidRPr="0057241C">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5162C466" w14:textId="77777777" w:rsidR="00855868" w:rsidRPr="0057241C" w:rsidRDefault="00855868" w:rsidP="00855868">
      <w:pPr>
        <w:tabs>
          <w:tab w:val="left" w:pos="127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p>
    <w:p w14:paraId="55155FF6" w14:textId="77777777" w:rsidR="00855868" w:rsidRPr="0057241C" w:rsidRDefault="00855868" w:rsidP="00855868">
      <w:pPr>
        <w:tabs>
          <w:tab w:val="left" w:pos="1276"/>
        </w:tabs>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XLV. Versión pública</w:t>
      </w:r>
      <w:r w:rsidRPr="0057241C">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00F3137"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 Artículo 6</w:t>
      </w:r>
      <w:r w:rsidRPr="0057241C">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1DFE472"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p>
    <w:p w14:paraId="154BBE9C"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Artículo 91.</w:t>
      </w:r>
      <w:r w:rsidRPr="0057241C">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57241C">
        <w:rPr>
          <w:rFonts w:ascii="Palatino Linotype" w:eastAsia="Palatino Linotype" w:hAnsi="Palatino Linotype" w:cs="Palatino Linotype"/>
          <w:i/>
          <w:sz w:val="22"/>
          <w:szCs w:val="22"/>
        </w:rPr>
        <w:br/>
        <w:t>…</w:t>
      </w:r>
    </w:p>
    <w:p w14:paraId="15DC2E4E"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Artículo 132.</w:t>
      </w:r>
      <w:r w:rsidRPr="0057241C">
        <w:rPr>
          <w:rFonts w:ascii="Palatino Linotype" w:eastAsia="Palatino Linotype" w:hAnsi="Palatino Linotype" w:cs="Palatino Linotype"/>
          <w:i/>
          <w:sz w:val="22"/>
          <w:szCs w:val="22"/>
        </w:rPr>
        <w:t xml:space="preserve"> La clasificación de la información se llevará a cabo en el momento en que:</w:t>
      </w:r>
    </w:p>
    <w:p w14:paraId="3AE932B0"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w:t>
      </w:r>
      <w:r w:rsidRPr="0057241C">
        <w:rPr>
          <w:rFonts w:ascii="Palatino Linotype" w:eastAsia="Palatino Linotype" w:hAnsi="Palatino Linotype" w:cs="Palatino Linotype"/>
          <w:i/>
          <w:sz w:val="22"/>
          <w:szCs w:val="22"/>
        </w:rPr>
        <w:t>. Se reciba una solicitud de acceso a la información;</w:t>
      </w:r>
    </w:p>
    <w:p w14:paraId="1F4A674D"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II.</w:t>
      </w:r>
      <w:r w:rsidRPr="0057241C">
        <w:rPr>
          <w:rFonts w:ascii="Palatino Linotype" w:eastAsia="Palatino Linotype" w:hAnsi="Palatino Linotype" w:cs="Palatino Linotype"/>
          <w:i/>
          <w:sz w:val="22"/>
          <w:szCs w:val="22"/>
        </w:rPr>
        <w:t xml:space="preserve"> Se determine mediante resolución de autoridad competente; o</w:t>
      </w:r>
    </w:p>
    <w:p w14:paraId="0469B4E4"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III.</w:t>
      </w:r>
      <w:r w:rsidRPr="0057241C">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664D3FFB"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w:t>
      </w:r>
    </w:p>
    <w:p w14:paraId="3C9C6004"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Artículo 137.</w:t>
      </w:r>
      <w:r w:rsidRPr="0057241C">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61C5F81"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 Artículo 143.</w:t>
      </w:r>
      <w:r w:rsidRPr="0057241C">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1988C0D7"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w:t>
      </w:r>
      <w:r w:rsidRPr="0057241C">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E5ABDF1" w14:textId="77777777" w:rsidR="00855868" w:rsidRPr="0057241C" w:rsidRDefault="00855868" w:rsidP="00855868">
      <w:pPr>
        <w:spacing w:before="240" w:after="240" w:line="360" w:lineRule="auto"/>
        <w:ind w:right="50"/>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57241C">
        <w:rPr>
          <w:rFonts w:ascii="Palatino Linotype" w:eastAsia="Palatino Linotype" w:hAnsi="Palatino Linotype" w:cs="Palatino Linotype"/>
          <w:b/>
          <w:sz w:val="22"/>
          <w:szCs w:val="22"/>
        </w:rPr>
        <w:t>Sujeto Obligado</w:t>
      </w:r>
      <w:r w:rsidRPr="0057241C">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6A35851D" w14:textId="77777777" w:rsidR="00855868" w:rsidRPr="0057241C" w:rsidRDefault="00855868" w:rsidP="00855868">
      <w:pPr>
        <w:spacing w:before="240" w:after="240" w:line="360" w:lineRule="auto"/>
        <w:ind w:right="50"/>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2409D14"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domicilio particular, el número de cuenta bancaria exclusivamente de particulares, entre otros.</w:t>
      </w:r>
    </w:p>
    <w:p w14:paraId="23D6BF31"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La </w:t>
      </w:r>
      <w:r w:rsidRPr="0057241C">
        <w:rPr>
          <w:rFonts w:ascii="Palatino Linotype" w:eastAsia="Palatino Linotype" w:hAnsi="Palatino Linotype" w:cs="Palatino Linotype"/>
          <w:b/>
          <w:sz w:val="22"/>
          <w:szCs w:val="22"/>
        </w:rPr>
        <w:t>clave de elector</w:t>
      </w:r>
      <w:r w:rsidRPr="0057241C">
        <w:rPr>
          <w:rFonts w:ascii="Palatino Linotype" w:eastAsia="Palatino Linotype" w:hAnsi="Palatino Linotype" w:cs="Palatino Linotype"/>
          <w:sz w:val="22"/>
          <w:szCs w:val="22"/>
        </w:rPr>
        <w:t>,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14:paraId="007173C0"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El </w:t>
      </w:r>
      <w:r w:rsidRPr="0057241C">
        <w:rPr>
          <w:rFonts w:ascii="Palatino Linotype" w:eastAsia="Palatino Linotype" w:hAnsi="Palatino Linotype" w:cs="Palatino Linotype"/>
          <w:b/>
          <w:sz w:val="22"/>
          <w:szCs w:val="22"/>
        </w:rPr>
        <w:t>número de OCR,</w:t>
      </w:r>
      <w:r w:rsidRPr="0057241C">
        <w:rPr>
          <w:rFonts w:ascii="Palatino Linotype" w:eastAsia="Palatino Linotype" w:hAnsi="Palatino Linotype" w:cs="Palatino Linotype"/>
          <w:sz w:val="22"/>
          <w:szCs w:val="22"/>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14:paraId="1B724207"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La </w:t>
      </w:r>
      <w:r w:rsidRPr="0057241C">
        <w:rPr>
          <w:rFonts w:ascii="Palatino Linotype" w:eastAsia="Palatino Linotype" w:hAnsi="Palatino Linotype" w:cs="Palatino Linotype"/>
          <w:b/>
          <w:sz w:val="22"/>
          <w:szCs w:val="22"/>
        </w:rPr>
        <w:t>clave única del registro de población,</w:t>
      </w:r>
      <w:r w:rsidRPr="0057241C">
        <w:rPr>
          <w:rFonts w:ascii="Palatino Linotype" w:eastAsia="Palatino Linotype" w:hAnsi="Palatino Linotype" w:cs="Palatino Linotype"/>
          <w:i/>
          <w:sz w:val="22"/>
          <w:szCs w:val="22"/>
        </w:rPr>
        <w:t xml:space="preserve"> </w:t>
      </w:r>
      <w:r w:rsidRPr="0057241C">
        <w:rPr>
          <w:rFonts w:ascii="Palatino Linotype" w:eastAsia="Palatino Linotype" w:hAnsi="Palatino Linotype" w:cs="Palatino Linotype"/>
          <w:sz w:val="22"/>
          <w:szCs w:val="22"/>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095BBFA5" w14:textId="77777777" w:rsidR="00855868" w:rsidRPr="0057241C" w:rsidRDefault="00855868" w:rsidP="00855868">
      <w:pPr>
        <w:spacing w:before="240" w:after="240" w:line="360" w:lineRule="auto"/>
        <w:ind w:right="50"/>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Por cuanto hace al </w:t>
      </w:r>
      <w:r w:rsidRPr="0057241C">
        <w:rPr>
          <w:rFonts w:ascii="Palatino Linotype" w:eastAsia="Palatino Linotype" w:hAnsi="Palatino Linotype" w:cs="Palatino Linotype"/>
          <w:b/>
          <w:sz w:val="22"/>
          <w:szCs w:val="22"/>
        </w:rPr>
        <w:t xml:space="preserve">Registro Federal de Contribuyentes (RFC) </w:t>
      </w:r>
      <w:r w:rsidRPr="0057241C">
        <w:rPr>
          <w:rFonts w:ascii="Palatino Linotype" w:eastAsia="Palatino Linotype" w:hAnsi="Palatino Linotype" w:cs="Palatino Linotype"/>
          <w:sz w:val="22"/>
          <w:szCs w:val="22"/>
        </w:rPr>
        <w:t>y</w:t>
      </w:r>
      <w:r w:rsidRPr="0057241C">
        <w:rPr>
          <w:rFonts w:ascii="Palatino Linotype" w:eastAsia="Palatino Linotype" w:hAnsi="Palatino Linotype" w:cs="Palatino Linotype"/>
          <w:b/>
          <w:sz w:val="22"/>
          <w:szCs w:val="22"/>
        </w:rPr>
        <w:t xml:space="preserve"> el domicilio fiscal </w:t>
      </w:r>
      <w:r w:rsidRPr="0057241C">
        <w:rPr>
          <w:rFonts w:ascii="Palatino Linotype" w:eastAsia="Palatino Linotype" w:hAnsi="Palatino Linotype" w:cs="Palatino Linotype"/>
          <w:sz w:val="22"/>
          <w:szCs w:val="22"/>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1FD3C54B" w14:textId="77777777" w:rsidR="00855868" w:rsidRPr="0057241C" w:rsidRDefault="00855868" w:rsidP="00855868">
      <w:pPr>
        <w:spacing w:before="240" w:after="240" w:line="360" w:lineRule="auto"/>
        <w:ind w:right="50"/>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1A448DC0" w14:textId="77777777" w:rsidR="00855868" w:rsidRPr="0057241C" w:rsidRDefault="00855868" w:rsidP="00855868">
      <w:pPr>
        <w:spacing w:before="240" w:after="240" w:line="360" w:lineRule="auto"/>
        <w:ind w:right="50"/>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57241C">
        <w:rPr>
          <w:rFonts w:ascii="Palatino Linotype" w:eastAsia="Palatino Linotype" w:hAnsi="Palatino Linotype" w:cs="Palatino Linotype"/>
          <w:b/>
          <w:sz w:val="22"/>
          <w:szCs w:val="22"/>
        </w:rPr>
        <w:t>no puede considerarse como información clasificada lo relativo a su nombre, registro federal de contribuyentes y domicilio fiscal</w:t>
      </w:r>
      <w:r w:rsidRPr="0057241C">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14:paraId="52FEC31F"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Robustece lo anterior el criterio orientador 04/21 emitido por el Instituto Nacional de Transparencia, Acceso a la Información y Protección de Datos Personales, INAI, el cual refiere:</w:t>
      </w:r>
    </w:p>
    <w:p w14:paraId="12905F95"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 xml:space="preserve">“Registro Federal de Contribuyentes (RFC) de personas físicas proveedoras o contratistas. </w:t>
      </w:r>
      <w:r w:rsidRPr="0057241C">
        <w:rPr>
          <w:rFonts w:ascii="Palatino Linotype" w:eastAsia="Palatino Linotype" w:hAnsi="Palatino Linotype" w:cs="Palatino Linotype"/>
          <w:i/>
          <w:sz w:val="22"/>
          <w:szCs w:val="22"/>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47AF94B8" w14:textId="77777777" w:rsidR="00855868" w:rsidRPr="0057241C" w:rsidRDefault="00855868" w:rsidP="00855868">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El </w:t>
      </w:r>
      <w:r w:rsidRPr="0057241C">
        <w:rPr>
          <w:rFonts w:ascii="Palatino Linotype" w:eastAsia="Palatino Linotype" w:hAnsi="Palatino Linotype" w:cs="Palatino Linotype"/>
          <w:b/>
          <w:sz w:val="22"/>
          <w:szCs w:val="22"/>
        </w:rPr>
        <w:t>domicilio particular</w:t>
      </w:r>
      <w:r w:rsidRPr="0057241C">
        <w:rPr>
          <w:rFonts w:ascii="Palatino Linotype" w:eastAsia="Palatino Linotype" w:hAnsi="Palatino Linotype" w:cs="Palatino Linotype"/>
          <w:sz w:val="22"/>
          <w:szCs w:val="22"/>
        </w:rPr>
        <w:t xml:space="preserve">,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35E93C86" w14:textId="77777777" w:rsidR="00855868" w:rsidRPr="0057241C" w:rsidRDefault="00855868" w:rsidP="00855868">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b/>
          <w:sz w:val="22"/>
          <w:szCs w:val="22"/>
        </w:rPr>
      </w:pPr>
      <w:r w:rsidRPr="0057241C">
        <w:rPr>
          <w:rFonts w:ascii="Palatino Linotype" w:eastAsia="Palatino Linotype" w:hAnsi="Palatino Linotype" w:cs="Palatino Linotype"/>
          <w:sz w:val="22"/>
          <w:szCs w:val="22"/>
        </w:rPr>
        <w:t>De la misma manera, lo establece el artículo 29 del Código Civil Federal, al precisar que el domicilio de personas físicas</w:t>
      </w:r>
      <w:r w:rsidRPr="0057241C">
        <w:rPr>
          <w:rFonts w:ascii="Palatino Linotype" w:eastAsia="Palatino Linotype" w:hAnsi="Palatino Linotype" w:cs="Palatino Linotype"/>
          <w:b/>
          <w:sz w:val="22"/>
          <w:szCs w:val="22"/>
        </w:rPr>
        <w:t xml:space="preserve">, </w:t>
      </w:r>
      <w:r w:rsidRPr="0057241C">
        <w:rPr>
          <w:rFonts w:ascii="Palatino Linotype" w:eastAsia="Palatino Linotype" w:hAnsi="Palatino Linotype" w:cs="Palatino Linotype"/>
          <w:sz w:val="22"/>
          <w:szCs w:val="22"/>
        </w:rPr>
        <w:t>es el lugar donde residen habitualmente, el lugar del centro principal de sus negocios, donde residan o el lugar donde se encuentren.</w:t>
      </w:r>
    </w:p>
    <w:p w14:paraId="4FC3A6D0" w14:textId="77777777" w:rsidR="00855868" w:rsidRPr="0057241C" w:rsidRDefault="00855868" w:rsidP="00855868">
      <w:pPr>
        <w:spacing w:before="240" w:after="240" w:line="360" w:lineRule="auto"/>
        <w:ind w:right="-93"/>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1FE35401" w14:textId="77777777" w:rsidR="00855868" w:rsidRPr="0057241C" w:rsidRDefault="00855868" w:rsidP="00855868">
      <w:pPr>
        <w:spacing w:before="240" w:after="240" w:line="360" w:lineRule="auto"/>
        <w:ind w:right="-93"/>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Por lo tanto, se actualiza la clasificación del domicilio y su comprobante, de conformidad con la fracción I, del artículo 143 de la Ley de Transparencia y Acceso a la Información Pública del Estado de México y Municipios.</w:t>
      </w:r>
    </w:p>
    <w:p w14:paraId="6F1A670D" w14:textId="77777777" w:rsidR="00855868" w:rsidRPr="0057241C" w:rsidRDefault="00855868" w:rsidP="00855868">
      <w:pPr>
        <w:spacing w:before="240" w:after="240" w:line="360" w:lineRule="auto"/>
        <w:ind w:right="-93"/>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El </w:t>
      </w:r>
      <w:r w:rsidRPr="0057241C">
        <w:rPr>
          <w:rFonts w:ascii="Palatino Linotype" w:eastAsia="Palatino Linotype" w:hAnsi="Palatino Linotype" w:cs="Palatino Linotype"/>
          <w:b/>
          <w:sz w:val="22"/>
          <w:szCs w:val="22"/>
        </w:rPr>
        <w:t>teléfono particular</w:t>
      </w:r>
      <w:r w:rsidRPr="0057241C">
        <w:rPr>
          <w:rFonts w:ascii="Palatino Linotype" w:eastAsia="Palatino Linotype" w:hAnsi="Palatino Linotype" w:cs="Palatino Linotype"/>
          <w:sz w:val="22"/>
          <w:szCs w:val="22"/>
        </w:rPr>
        <w:t>, debido a que se trata de información que le compete únicamente al servidor público, pues es un medio mediante el cual puede ser ubicado, es susceptible de ser clasificado como confidencial de conformidad con la fracción I, del artículo 143 de la Ley de Transparencia y Acceso a la Información Pública del Estado de México y Municipios.</w:t>
      </w:r>
    </w:p>
    <w:p w14:paraId="62F062DE" w14:textId="77777777" w:rsidR="00855868" w:rsidRPr="0057241C" w:rsidRDefault="00855868" w:rsidP="0085586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El </w:t>
      </w:r>
      <w:r w:rsidRPr="0057241C">
        <w:rPr>
          <w:rFonts w:ascii="Palatino Linotype" w:eastAsia="Palatino Linotype" w:hAnsi="Palatino Linotype" w:cs="Palatino Linotype"/>
          <w:b/>
          <w:sz w:val="22"/>
          <w:szCs w:val="22"/>
        </w:rPr>
        <w:t xml:space="preserve">correo electrónico particular, </w:t>
      </w:r>
      <w:r w:rsidRPr="0057241C">
        <w:rPr>
          <w:rFonts w:ascii="Palatino Linotype" w:eastAsia="Palatino Linotype" w:hAnsi="Palatino Linotype" w:cs="Palatino Linotype"/>
          <w:sz w:val="22"/>
          <w:szCs w:val="22"/>
        </w:rPr>
        <w:t>al ser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 En ese sentido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3B0DD64F" w14:textId="77777777" w:rsidR="00855868" w:rsidRPr="0057241C" w:rsidRDefault="00855868" w:rsidP="00855868">
      <w:pPr>
        <w:tabs>
          <w:tab w:val="left" w:pos="4962"/>
        </w:tabs>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Por cuanto hace a las </w:t>
      </w:r>
      <w:r w:rsidRPr="0057241C">
        <w:rPr>
          <w:rFonts w:ascii="Palatino Linotype" w:eastAsia="Palatino Linotype" w:hAnsi="Palatino Linotype" w:cs="Palatino Linotype"/>
          <w:b/>
          <w:sz w:val="22"/>
          <w:szCs w:val="22"/>
        </w:rPr>
        <w:t>identificaciones oficiales con fotografía de particulares</w:t>
      </w:r>
      <w:r w:rsidRPr="0057241C">
        <w:rPr>
          <w:rFonts w:ascii="Palatino Linotype" w:eastAsia="Palatino Linotype" w:hAnsi="Palatino Linotype" w:cs="Palatino Linotype"/>
          <w:sz w:val="22"/>
          <w:szCs w:val="22"/>
        </w:rPr>
        <w:t>, como credencial para votar o pasaporte, entre otras, es de señalar que dichos documentos guardan la naturaleza de información confidencial en su totalidad, al conformarse de datos personales como fecha de nacimiento, domicilio, así como la reproducción fiel de las características físicas de una persona en un momento determinado, por tanto, es información que se considerada por regla general, como un dato personal confidencial susceptible de protegerse en términos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14:paraId="1CE3719D" w14:textId="77777777" w:rsidR="00855868" w:rsidRPr="0057241C" w:rsidRDefault="00855868" w:rsidP="00855868">
      <w:pPr>
        <w:spacing w:before="240" w:after="240" w:line="360" w:lineRule="auto"/>
        <w:ind w:right="50"/>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El </w:t>
      </w:r>
      <w:r w:rsidRPr="0057241C">
        <w:rPr>
          <w:rFonts w:ascii="Palatino Linotype" w:eastAsia="Palatino Linotype" w:hAnsi="Palatino Linotype" w:cs="Palatino Linotype"/>
          <w:b/>
          <w:sz w:val="22"/>
          <w:szCs w:val="22"/>
        </w:rPr>
        <w:t>número de cuenta bancaria</w:t>
      </w:r>
      <w:r w:rsidRPr="0057241C">
        <w:rPr>
          <w:rFonts w:ascii="Palatino Linotype" w:eastAsia="Palatino Linotype" w:hAnsi="Palatino Linotype" w:cs="Palatino Linotype"/>
          <w:sz w:val="22"/>
          <w:szCs w:val="22"/>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5C8A5080" w14:textId="77777777" w:rsidR="00855868" w:rsidRPr="0057241C" w:rsidRDefault="00855868" w:rsidP="00855868">
      <w:pPr>
        <w:spacing w:before="240" w:after="240" w:line="360" w:lineRule="auto"/>
        <w:ind w:right="50"/>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413F2EBE" w14:textId="77777777" w:rsidR="00855868" w:rsidRPr="0057241C" w:rsidRDefault="00855868" w:rsidP="00855868">
      <w:pPr>
        <w:spacing w:before="240" w:after="240" w:line="360" w:lineRule="auto"/>
        <w:ind w:right="50"/>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2FF10C9C" w14:textId="77777777" w:rsidR="00855868" w:rsidRPr="0057241C" w:rsidRDefault="00855868" w:rsidP="00855868">
      <w:pPr>
        <w:spacing w:before="240" w:after="240" w:line="360" w:lineRule="auto"/>
        <w:ind w:right="50"/>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4D7D917D" w14:textId="77777777" w:rsidR="00855868" w:rsidRPr="0057241C" w:rsidRDefault="00855868" w:rsidP="00855868">
      <w:pPr>
        <w:spacing w:before="240" w:after="240" w:line="360" w:lineRule="auto"/>
        <w:ind w:right="50"/>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Es por esta razón que se debe omitir el o los números de cuentas bancarias de particulares en las versiones públicas que se hagan para ser entregadas.</w:t>
      </w:r>
    </w:p>
    <w:p w14:paraId="654359ED" w14:textId="77777777" w:rsidR="00855868" w:rsidRPr="0057241C" w:rsidRDefault="00855868" w:rsidP="00855868">
      <w:pPr>
        <w:spacing w:before="240" w:after="240" w:line="360" w:lineRule="auto"/>
        <w:ind w:right="50"/>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Lo anterior, </w:t>
      </w:r>
      <w:r w:rsidRPr="0057241C">
        <w:rPr>
          <w:rFonts w:ascii="Palatino Linotype" w:eastAsia="Palatino Linotype" w:hAnsi="Palatino Linotype" w:cs="Palatino Linotype"/>
          <w:b/>
          <w:sz w:val="22"/>
          <w:szCs w:val="22"/>
        </w:rPr>
        <w:t xml:space="preserve">no es así tratándose de las cuentas bancarias o claves interbancarias de los Sujetos Obligados </w:t>
      </w:r>
      <w:r w:rsidRPr="0057241C">
        <w:rPr>
          <w:rFonts w:ascii="Palatino Linotype" w:eastAsia="Palatino Linotype" w:hAnsi="Palatino Linotype" w:cs="Palatino Linotype"/>
          <w:sz w:val="22"/>
          <w:szCs w:val="22"/>
        </w:rPr>
        <w:t>ya que su publicidad cede a la rendición de cuentas al transparentar la forma en que son administrados los recursos públicos.</w:t>
      </w:r>
    </w:p>
    <w:p w14:paraId="63DDBA0E"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Lo argumentado encuentra sustento en los Criterios orientadores con  Claves de control SO/010/2017 y SO/011/2017, emitidos por el entonces Instituto Nacional de Transparencia, Acceso a la Información y Protección de Datos Personales, INAI, que llevan por rubro y texto los siguientes:</w:t>
      </w:r>
    </w:p>
    <w:p w14:paraId="4C378693"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r w:rsidRPr="0057241C">
        <w:rPr>
          <w:rFonts w:ascii="Palatino Linotype" w:eastAsia="Palatino Linotype" w:hAnsi="Palatino Linotype" w:cs="Palatino Linotype"/>
          <w:b/>
          <w:i/>
          <w:sz w:val="22"/>
          <w:szCs w:val="22"/>
        </w:rPr>
        <w:t>Cuentas bancarias y/o CLABE interbancaria de personas físicas y morales privadas.</w:t>
      </w:r>
      <w:r w:rsidRPr="0057241C">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93286EE"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57241C">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26EFD8C" w14:textId="77777777" w:rsidR="00855868" w:rsidRPr="0057241C" w:rsidRDefault="00855868" w:rsidP="00855868">
      <w:pPr>
        <w:spacing w:before="240" w:after="240" w:line="360" w:lineRule="auto"/>
        <w:ind w:right="50"/>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Relacionado con lo anterior, el </w:t>
      </w:r>
      <w:r w:rsidRPr="0057241C">
        <w:rPr>
          <w:rFonts w:ascii="Palatino Linotype" w:eastAsia="Palatino Linotype" w:hAnsi="Palatino Linotype" w:cs="Palatino Linotype"/>
          <w:b/>
          <w:sz w:val="22"/>
          <w:szCs w:val="22"/>
        </w:rPr>
        <w:t>nombre de las personas físicas</w:t>
      </w:r>
      <w:r w:rsidRPr="0057241C">
        <w:rPr>
          <w:rFonts w:ascii="Palatino Linotype" w:eastAsia="Palatino Linotype" w:hAnsi="Palatino Linotype" w:cs="Palatino Linotype"/>
          <w:sz w:val="22"/>
          <w:szCs w:val="22"/>
        </w:rPr>
        <w:t xml:space="preserve"> o los </w:t>
      </w:r>
      <w:r w:rsidRPr="0057241C">
        <w:rPr>
          <w:rFonts w:ascii="Palatino Linotype" w:eastAsia="Palatino Linotype" w:hAnsi="Palatino Linotype" w:cs="Palatino Linotype"/>
          <w:b/>
          <w:sz w:val="22"/>
          <w:szCs w:val="22"/>
        </w:rPr>
        <w:t>representantes legales de las personas morales</w:t>
      </w:r>
      <w:r w:rsidRPr="0057241C">
        <w:rPr>
          <w:rFonts w:ascii="Palatino Linotype" w:eastAsia="Palatino Linotype" w:hAnsi="Palatino Linotype" w:cs="Palatino Linotype"/>
          <w:sz w:val="22"/>
          <w:szCs w:val="22"/>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2701E0B1" w14:textId="77777777" w:rsidR="00855868" w:rsidRPr="0057241C" w:rsidRDefault="00855868" w:rsidP="00855868">
      <w:pPr>
        <w:spacing w:before="240" w:after="240" w:line="360" w:lineRule="auto"/>
        <w:ind w:right="50"/>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0E15B175"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r w:rsidRPr="0057241C">
        <w:rPr>
          <w:rFonts w:ascii="Palatino Linotype" w:eastAsia="Palatino Linotype" w:hAnsi="Palatino Linotype" w:cs="Palatino Linotype"/>
          <w:b/>
          <w:i/>
          <w:sz w:val="22"/>
          <w:szCs w:val="22"/>
        </w:rPr>
        <w:t>Artículo 23.</w:t>
      </w:r>
      <w:r w:rsidRPr="0057241C">
        <w:rPr>
          <w:rFonts w:ascii="Palatino Linotype" w:eastAsia="Palatino Linotype" w:hAnsi="Palatino Linotype" w:cs="Palatino Linotype"/>
          <w:i/>
          <w:sz w:val="22"/>
          <w:szCs w:val="22"/>
        </w:rPr>
        <w:t xml:space="preserve"> (…)</w:t>
      </w:r>
    </w:p>
    <w:p w14:paraId="71459018"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4B5EA93" w14:textId="77777777" w:rsidR="00855868" w:rsidRPr="0057241C" w:rsidRDefault="00855868" w:rsidP="00855868">
      <w:pPr>
        <w:spacing w:before="280" w:after="28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Asimismo, resulta aplicable el contenido del criterio de interpretación 01/19 emitido por el Instituto Nacional de Transparencia, Acceso a la Información, y Protección de Datos Personales, INAI, que lleva por rubro y texto los siguientes;</w:t>
      </w:r>
    </w:p>
    <w:p w14:paraId="21F4B4A3"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“Datos de identificación del representante o apoderado legal.</w:t>
      </w:r>
      <w:r w:rsidRPr="0057241C">
        <w:rPr>
          <w:rFonts w:ascii="Palatino Linotype" w:eastAsia="Palatino Linotype" w:hAnsi="Palatino Linotype" w:cs="Palatino Linotype"/>
          <w:i/>
          <w:sz w:val="22"/>
          <w:szCs w:val="22"/>
        </w:rPr>
        <w:t xml:space="preserve"> </w:t>
      </w:r>
      <w:r w:rsidRPr="0057241C">
        <w:rPr>
          <w:rFonts w:ascii="Palatino Linotype" w:eastAsia="Palatino Linotype" w:hAnsi="Palatino Linotype" w:cs="Palatino Linotype"/>
          <w:b/>
          <w:i/>
          <w:sz w:val="22"/>
          <w:szCs w:val="22"/>
        </w:rPr>
        <w:t xml:space="preserve">Naturaleza jurídica. </w:t>
      </w:r>
      <w:r w:rsidRPr="0057241C">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57241C">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57241C">
        <w:rPr>
          <w:rFonts w:ascii="Palatino Linotype" w:eastAsia="Palatino Linotype" w:hAnsi="Palatino Linotype" w:cs="Palatino Linotype"/>
          <w:i/>
          <w:sz w:val="22"/>
          <w:szCs w:val="22"/>
        </w:rPr>
        <w:t>.”</w:t>
      </w:r>
    </w:p>
    <w:p w14:paraId="06E4280F" w14:textId="58477BDE" w:rsidR="00855868" w:rsidRPr="0057241C" w:rsidRDefault="00DC2289"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Por cuanto hace a las patrullas municipales, </w:t>
      </w:r>
      <w:r w:rsidR="00855868" w:rsidRPr="0057241C">
        <w:rPr>
          <w:rFonts w:ascii="Palatino Linotype" w:eastAsia="Palatino Linotype" w:hAnsi="Palatino Linotype" w:cs="Palatino Linotype"/>
          <w:sz w:val="22"/>
          <w:szCs w:val="22"/>
        </w:rPr>
        <w:t>se considera que el Ayuntamiento, deberá entregar el acuerdo de clasificación emitido por el Comité de Transparencia, en donde de manera fundada y motivada, a través de una prueba de daño, confirme la clasificación como reservada, en términ</w:t>
      </w:r>
      <w:r w:rsidRPr="0057241C">
        <w:rPr>
          <w:rFonts w:ascii="Palatino Linotype" w:eastAsia="Palatino Linotype" w:hAnsi="Palatino Linotype" w:cs="Palatino Linotype"/>
          <w:sz w:val="22"/>
          <w:szCs w:val="22"/>
        </w:rPr>
        <w:t xml:space="preserve">os del artículo 140, fracción </w:t>
      </w:r>
      <w:r w:rsidR="00855868" w:rsidRPr="0057241C">
        <w:rPr>
          <w:rFonts w:ascii="Palatino Linotype" w:eastAsia="Palatino Linotype" w:hAnsi="Palatino Linotype" w:cs="Palatino Linotype"/>
          <w:sz w:val="22"/>
          <w:szCs w:val="22"/>
        </w:rPr>
        <w:t xml:space="preserve">IV de la Ley de Transparencia y Acceso a la Información Pública del Estado de México y Municipios, </w:t>
      </w:r>
      <w:r w:rsidRPr="0057241C">
        <w:rPr>
          <w:rFonts w:ascii="Palatino Linotype" w:eastAsia="Palatino Linotype" w:hAnsi="Palatino Linotype" w:cs="Palatino Linotype"/>
          <w:sz w:val="22"/>
          <w:szCs w:val="22"/>
        </w:rPr>
        <w:t xml:space="preserve">para el caso de que el soporte documental mediante el cual se dará cumplimiento a la presente resolución incluya </w:t>
      </w:r>
      <w:r w:rsidR="00855868" w:rsidRPr="0057241C">
        <w:rPr>
          <w:rFonts w:ascii="Palatino Linotype" w:eastAsia="Palatino Linotype" w:hAnsi="Palatino Linotype"/>
          <w:b/>
          <w:sz w:val="22"/>
          <w:szCs w:val="22"/>
          <w:u w:val="single"/>
        </w:rPr>
        <w:t xml:space="preserve">las </w:t>
      </w:r>
      <w:r w:rsidR="00855868" w:rsidRPr="0057241C">
        <w:rPr>
          <w:rFonts w:ascii="Palatino Linotype" w:eastAsia="Palatino Linotype" w:hAnsi="Palatino Linotype" w:cs="Palatino Linotype"/>
          <w:b/>
          <w:sz w:val="22"/>
          <w:szCs w:val="22"/>
          <w:u w:val="single"/>
        </w:rPr>
        <w:t xml:space="preserve">especificaciones técnicas y equipamiento de </w:t>
      </w:r>
      <w:r w:rsidRPr="0057241C">
        <w:rPr>
          <w:rFonts w:ascii="Palatino Linotype" w:eastAsia="Palatino Linotype" w:hAnsi="Palatino Linotype" w:cs="Palatino Linotype"/>
          <w:b/>
          <w:sz w:val="22"/>
          <w:szCs w:val="22"/>
          <w:u w:val="single"/>
        </w:rPr>
        <w:t>dichos vehículos</w:t>
      </w:r>
      <w:r w:rsidR="00855868" w:rsidRPr="0057241C">
        <w:rPr>
          <w:rFonts w:ascii="Palatino Linotype" w:eastAsia="Palatino Linotype" w:hAnsi="Palatino Linotype" w:cs="Palatino Linotype"/>
          <w:b/>
          <w:sz w:val="22"/>
          <w:szCs w:val="22"/>
          <w:u w:val="single"/>
        </w:rPr>
        <w:t>,</w:t>
      </w:r>
      <w:r w:rsidR="00855868" w:rsidRPr="0057241C">
        <w:rPr>
          <w:rFonts w:ascii="Palatino Linotype" w:eastAsia="Palatino Linotype" w:hAnsi="Palatino Linotype" w:cs="Palatino Linotype"/>
          <w:sz w:val="22"/>
          <w:szCs w:val="22"/>
        </w:rPr>
        <w:t xml:space="preserve"> a través de la versión pública que entregue.</w:t>
      </w:r>
    </w:p>
    <w:p w14:paraId="79E17D3F"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Lo anterior, sin perder de vista que la Constitución Política de los Estados Unidos Mexicanos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5A8EC3C2"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Asimismo, es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31F8DCA4"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 que literalmente señala:</w:t>
      </w:r>
    </w:p>
    <w:p w14:paraId="33356063" w14:textId="77777777" w:rsidR="00855868" w:rsidRPr="0057241C" w:rsidRDefault="00855868" w:rsidP="00855868">
      <w:pPr>
        <w:tabs>
          <w:tab w:val="left" w:pos="7938"/>
        </w:tabs>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r w:rsidRPr="0057241C">
        <w:rPr>
          <w:rFonts w:ascii="Palatino Linotype" w:eastAsia="Palatino Linotype" w:hAnsi="Palatino Linotype" w:cs="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57241C">
        <w:rPr>
          <w:rFonts w:ascii="Palatino Linotype" w:eastAsia="Palatino Linotype" w:hAnsi="Palatino Linotype" w:cs="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21BF8385"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Por todo lo anterior, la reserva de la información implica una clasificación, la cual debe entenderse como el proceso mediante el cual el</w:t>
      </w:r>
      <w:r w:rsidRPr="0057241C">
        <w:rPr>
          <w:rFonts w:ascii="Palatino Linotype" w:eastAsia="Palatino Linotype" w:hAnsi="Palatino Linotype" w:cs="Palatino Linotype"/>
          <w:b/>
          <w:sz w:val="22"/>
          <w:szCs w:val="22"/>
        </w:rPr>
        <w:t xml:space="preserve"> Sujeto Obligado</w:t>
      </w:r>
      <w:r w:rsidRPr="0057241C">
        <w:rPr>
          <w:rFonts w:ascii="Palatino Linotype" w:eastAsia="Palatino Linotype" w:hAnsi="Palatino Linotype" w:cs="Palatino Linotype"/>
          <w:sz w:val="22"/>
          <w:szCs w:val="22"/>
        </w:rPr>
        <w:t xml:space="preserve"> determina que la información en su poder actualiza alguno de los supuestos conforme a las normas aplicables.</w:t>
      </w:r>
    </w:p>
    <w:p w14:paraId="4B2538B8"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57241C">
        <w:rPr>
          <w:rFonts w:ascii="Palatino Linotype" w:eastAsia="Palatino Linotype" w:hAnsi="Palatino Linotype" w:cs="Palatino Linotype"/>
          <w:b/>
          <w:sz w:val="22"/>
          <w:szCs w:val="22"/>
        </w:rPr>
        <w:t>Sujeto Obligado</w:t>
      </w:r>
      <w:r w:rsidRPr="0057241C">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el</w:t>
      </w:r>
      <w:r w:rsidRPr="0057241C">
        <w:rPr>
          <w:rFonts w:ascii="Palatino Linotype" w:eastAsia="Palatino Linotype" w:hAnsi="Palatino Linotype" w:cs="Palatino Linotype"/>
          <w:b/>
          <w:sz w:val="22"/>
          <w:szCs w:val="22"/>
        </w:rPr>
        <w:t xml:space="preserve"> Sujeto Obligado</w:t>
      </w:r>
      <w:r w:rsidRPr="0057241C">
        <w:rPr>
          <w:rFonts w:ascii="Palatino Linotype" w:eastAsia="Palatino Linotype" w:hAnsi="Palatino Linotype" w:cs="Palatino Linotype"/>
          <w:sz w:val="22"/>
          <w:szCs w:val="22"/>
        </w:rPr>
        <w:t xml:space="preserve"> debe, en todo momento, aplicar una prueba de daño.</w:t>
      </w:r>
    </w:p>
    <w:p w14:paraId="6DFDB58B"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392A995F"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324A9F5D" w14:textId="77777777" w:rsidR="00855868" w:rsidRPr="0057241C" w:rsidRDefault="00855868" w:rsidP="00855868">
      <w:pPr>
        <w:numPr>
          <w:ilvl w:val="0"/>
          <w:numId w:val="13"/>
        </w:numPr>
        <w:tabs>
          <w:tab w:val="left" w:pos="709"/>
          <w:tab w:val="left" w:pos="851"/>
        </w:tabs>
        <w:spacing w:before="240" w:after="240" w:line="360" w:lineRule="auto"/>
        <w:ind w:left="284" w:firstLine="0"/>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Se reciba una solicitud de acceso a la información;</w:t>
      </w:r>
    </w:p>
    <w:p w14:paraId="73D0820E" w14:textId="77777777" w:rsidR="00855868" w:rsidRPr="0057241C" w:rsidRDefault="00855868" w:rsidP="00855868">
      <w:pPr>
        <w:numPr>
          <w:ilvl w:val="0"/>
          <w:numId w:val="13"/>
        </w:numPr>
        <w:tabs>
          <w:tab w:val="left" w:pos="709"/>
          <w:tab w:val="left" w:pos="851"/>
        </w:tabs>
        <w:spacing w:before="240" w:after="240" w:line="360" w:lineRule="auto"/>
        <w:ind w:left="284" w:firstLine="0"/>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Se determine mediante resolución de autoridad competente; y/o</w:t>
      </w:r>
    </w:p>
    <w:p w14:paraId="211A5A09" w14:textId="77777777" w:rsidR="00855868" w:rsidRPr="0057241C" w:rsidRDefault="00855868" w:rsidP="00855868">
      <w:pPr>
        <w:numPr>
          <w:ilvl w:val="0"/>
          <w:numId w:val="13"/>
        </w:numPr>
        <w:tabs>
          <w:tab w:val="left" w:pos="709"/>
          <w:tab w:val="left" w:pos="851"/>
        </w:tabs>
        <w:spacing w:before="240" w:after="240" w:line="360" w:lineRule="auto"/>
        <w:ind w:left="284" w:firstLine="0"/>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Se generen versiones públicas para dar cumplimiento a las obligaciones de transparencia previstas en la Ley.</w:t>
      </w:r>
    </w:p>
    <w:p w14:paraId="0AFCC3FE"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Situación que se robustece con el artículo 141 de la misma Ley, que señala que las causales de reserva previstas, se deberán fundar y motivar, a través de la aplicación de la prueba de daño.</w:t>
      </w:r>
    </w:p>
    <w:p w14:paraId="1DF7AE02"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41DB482F" w14:textId="77777777" w:rsidR="00855868" w:rsidRPr="0057241C" w:rsidRDefault="00855868" w:rsidP="00855868">
      <w:pPr>
        <w:numPr>
          <w:ilvl w:val="0"/>
          <w:numId w:val="12"/>
        </w:numPr>
        <w:spacing w:before="240" w:after="240" w:line="360" w:lineRule="auto"/>
        <w:ind w:left="284" w:firstLine="0"/>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La divulgación de la información representa un </w:t>
      </w:r>
      <w:r w:rsidRPr="0057241C">
        <w:rPr>
          <w:rFonts w:ascii="Palatino Linotype" w:eastAsia="Palatino Linotype" w:hAnsi="Palatino Linotype" w:cs="Palatino Linotype"/>
          <w:b/>
          <w:sz w:val="22"/>
          <w:szCs w:val="22"/>
        </w:rPr>
        <w:t>riesgo real, demostrable e identificable del perjuicio significativo al interés público o a la seguridad pública</w:t>
      </w:r>
      <w:r w:rsidRPr="0057241C">
        <w:rPr>
          <w:rFonts w:ascii="Palatino Linotype" w:eastAsia="Palatino Linotype" w:hAnsi="Palatino Linotype" w:cs="Palatino Linotype"/>
          <w:sz w:val="22"/>
          <w:szCs w:val="22"/>
        </w:rPr>
        <w:t>;</w:t>
      </w:r>
    </w:p>
    <w:p w14:paraId="146D1B87" w14:textId="77777777" w:rsidR="00855868" w:rsidRPr="0057241C" w:rsidRDefault="00855868" w:rsidP="00855868">
      <w:pPr>
        <w:numPr>
          <w:ilvl w:val="0"/>
          <w:numId w:val="12"/>
        </w:numPr>
        <w:spacing w:before="240" w:after="240" w:line="360" w:lineRule="auto"/>
        <w:ind w:left="284" w:firstLine="0"/>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El riesgo de perjuicio que supondría la divulgación supera el interés público general de que se difunda; y,</w:t>
      </w:r>
    </w:p>
    <w:p w14:paraId="38C5C576" w14:textId="77777777" w:rsidR="00855868" w:rsidRPr="0057241C" w:rsidRDefault="00855868" w:rsidP="00855868">
      <w:pPr>
        <w:numPr>
          <w:ilvl w:val="0"/>
          <w:numId w:val="12"/>
        </w:numPr>
        <w:spacing w:before="240" w:after="240" w:line="360" w:lineRule="auto"/>
        <w:ind w:left="284" w:firstLine="0"/>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16351B48" w14:textId="77777777" w:rsidR="00855868" w:rsidRPr="0057241C" w:rsidRDefault="00855868" w:rsidP="00855868">
      <w:pPr>
        <w:widowControl w:val="0"/>
        <w:tabs>
          <w:tab w:val="left" w:pos="1276"/>
          <w:tab w:val="left" w:pos="1701"/>
          <w:tab w:val="left" w:pos="1843"/>
        </w:tabs>
        <w:spacing w:before="240" w:after="240" w:line="360" w:lineRule="auto"/>
        <w:ind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Atento a lo anterior, es necesario hacer hincapié que para el caso de que existan causas presentes que impiden la publicidad de la información durante cierto periodo de tiempo, debe clasificar la información 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0E6463B7" w14:textId="77777777" w:rsidR="00855868" w:rsidRPr="0057241C" w:rsidRDefault="00855868" w:rsidP="00855868">
      <w:pPr>
        <w:spacing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Ahora bien, respecto a la información que habrá de ser reservada, resulta necesario señalar que de conformidad con el artículo 3, fracciones XXIV de la Ley de Transparencia y Acceso a la Información Pública del Estado de México y Municipios, se define de la siguiente manera:</w:t>
      </w:r>
    </w:p>
    <w:p w14:paraId="32BDB865" w14:textId="77777777" w:rsidR="00855868" w:rsidRPr="0057241C" w:rsidRDefault="00855868" w:rsidP="00855868">
      <w:pPr>
        <w:ind w:left="851" w:right="567"/>
        <w:jc w:val="both"/>
        <w:rPr>
          <w:rFonts w:ascii="Palatino Linotype" w:eastAsia="Palatino Linotype" w:hAnsi="Palatino Linotype" w:cs="Palatino Linotype"/>
          <w:b/>
          <w:i/>
          <w:sz w:val="22"/>
          <w:szCs w:val="22"/>
        </w:rPr>
      </w:pPr>
      <w:r w:rsidRPr="0057241C">
        <w:rPr>
          <w:rFonts w:ascii="Palatino Linotype" w:eastAsia="Palatino Linotype" w:hAnsi="Palatino Linotype" w:cs="Palatino Linotype"/>
          <w:b/>
          <w:i/>
          <w:sz w:val="22"/>
          <w:szCs w:val="22"/>
        </w:rPr>
        <w:t>“…</w:t>
      </w:r>
    </w:p>
    <w:p w14:paraId="3357C938" w14:textId="77777777" w:rsidR="00855868" w:rsidRPr="0057241C" w:rsidRDefault="00855868" w:rsidP="00855868">
      <w:pPr>
        <w:ind w:left="851" w:right="567"/>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XXIV. Información reservada:</w:t>
      </w:r>
      <w:r w:rsidRPr="0057241C">
        <w:rPr>
          <w:rFonts w:ascii="Palatino Linotype" w:eastAsia="Palatino Linotype" w:hAnsi="Palatino Linotype" w:cs="Palatino Linotype"/>
          <w:i/>
          <w:sz w:val="22"/>
          <w:szCs w:val="22"/>
        </w:rPr>
        <w:t xml:space="preserve"> La clasificada con este carácter de manera temporal por las disposiciones de esta Ley, cuya divulgación puede causar daño en términos de lo establecido por esta Ley…”</w:t>
      </w:r>
    </w:p>
    <w:p w14:paraId="49CF2A9B"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En síntesis, se determina que, excepcionalmente la información pública podrá ser clasificada como reservada temporalmente por razones de interés público, en los términos de las causas legítimas y estrictamente necesarias previstas por la Ley de Transparencia, por lo que los Sujetos Obligados deben garantizar el derecho de acceso a la información pública, pero también tienen </w:t>
      </w:r>
      <w:r w:rsidRPr="0057241C">
        <w:rPr>
          <w:rFonts w:ascii="Palatino Linotype" w:eastAsia="Palatino Linotype" w:hAnsi="Palatino Linotype" w:cs="Palatino Linotype"/>
          <w:b/>
          <w:sz w:val="22"/>
          <w:szCs w:val="22"/>
        </w:rPr>
        <w:t>la obligación de proteger los datos personales contenidos en la información en su poder</w:t>
      </w:r>
      <w:r w:rsidRPr="0057241C">
        <w:rPr>
          <w:rFonts w:ascii="Palatino Linotype" w:eastAsia="Palatino Linotype" w:hAnsi="Palatino Linotype" w:cs="Palatino Linotype"/>
          <w:sz w:val="22"/>
          <w:szCs w:val="22"/>
        </w:rPr>
        <w:t xml:space="preserve">, así como </w:t>
      </w:r>
      <w:r w:rsidRPr="0057241C">
        <w:rPr>
          <w:rFonts w:ascii="Palatino Linotype" w:eastAsia="Palatino Linotype" w:hAnsi="Palatino Linotype" w:cs="Palatino Linotype"/>
          <w:b/>
          <w:sz w:val="22"/>
          <w:szCs w:val="22"/>
        </w:rPr>
        <w:t>aquella que recaiga en alguna causal de reserva que señale la Ley</w:t>
      </w:r>
      <w:r w:rsidRPr="0057241C">
        <w:rPr>
          <w:rFonts w:ascii="Palatino Linotype" w:eastAsia="Palatino Linotype" w:hAnsi="Palatino Linotype" w:cs="Palatino Linotype"/>
          <w:sz w:val="22"/>
          <w:szCs w:val="22"/>
        </w:rPr>
        <w:t>.</w:t>
      </w:r>
    </w:p>
    <w:p w14:paraId="2BA25E2B"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0F0353A4"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Asimismo, se destaca que la versión pública que elabore el </w:t>
      </w:r>
      <w:r w:rsidRPr="0057241C">
        <w:rPr>
          <w:rFonts w:ascii="Palatino Linotype" w:eastAsia="Palatino Linotype" w:hAnsi="Palatino Linotype" w:cs="Palatino Linotype"/>
          <w:b/>
          <w:sz w:val="22"/>
          <w:szCs w:val="22"/>
        </w:rPr>
        <w:t>Sujeto Obligado</w:t>
      </w:r>
      <w:r w:rsidRPr="0057241C">
        <w:rPr>
          <w:rFonts w:ascii="Palatino Linotype" w:eastAsia="Palatino Linotype" w:hAnsi="Palatino Linotype" w:cs="Palatino Linotype"/>
          <w:sz w:val="22"/>
          <w:szCs w:val="22"/>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57241C">
        <w:rPr>
          <w:rFonts w:ascii="Palatino Linotype" w:eastAsia="Palatino Linotype" w:hAnsi="Palatino Linotype" w:cs="Palatino Linotype"/>
          <w:b/>
          <w:sz w:val="22"/>
          <w:szCs w:val="22"/>
        </w:rPr>
        <w:t>Recurrente</w:t>
      </w:r>
      <w:r w:rsidRPr="0057241C">
        <w:rPr>
          <w:rFonts w:ascii="Palatino Linotype" w:eastAsia="Palatino Linotype" w:hAnsi="Palatino Linotype" w:cs="Palatino Linotype"/>
          <w:sz w:val="22"/>
          <w:szCs w:val="22"/>
        </w:rPr>
        <w:t>.</w:t>
      </w:r>
    </w:p>
    <w:p w14:paraId="4BF80A35" w14:textId="77777777" w:rsidR="00855868" w:rsidRPr="0057241C" w:rsidRDefault="00855868" w:rsidP="00855868">
      <w:pPr>
        <w:spacing w:before="240" w:after="240" w:line="360" w:lineRule="auto"/>
        <w:ind w:right="50"/>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5AC629B"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“Artículo 49.</w:t>
      </w:r>
      <w:r w:rsidRPr="0057241C">
        <w:rPr>
          <w:rFonts w:ascii="Palatino Linotype" w:eastAsia="Palatino Linotype" w:hAnsi="Palatino Linotype" w:cs="Palatino Linotype"/>
          <w:i/>
          <w:sz w:val="22"/>
          <w:szCs w:val="22"/>
        </w:rPr>
        <w:t xml:space="preserve"> </w:t>
      </w:r>
      <w:r w:rsidRPr="0057241C">
        <w:rPr>
          <w:rFonts w:ascii="Palatino Linotype" w:eastAsia="Palatino Linotype" w:hAnsi="Palatino Linotype" w:cs="Palatino Linotype"/>
          <w:b/>
          <w:i/>
          <w:sz w:val="22"/>
          <w:szCs w:val="22"/>
        </w:rPr>
        <w:t>Los Comités de Transparencia</w:t>
      </w:r>
      <w:r w:rsidRPr="0057241C">
        <w:rPr>
          <w:rFonts w:ascii="Palatino Linotype" w:eastAsia="Palatino Linotype" w:hAnsi="Palatino Linotype" w:cs="Palatino Linotype"/>
          <w:i/>
          <w:sz w:val="22"/>
          <w:szCs w:val="22"/>
        </w:rPr>
        <w:t xml:space="preserve"> tendrán las siguientes atribuciones:</w:t>
      </w:r>
    </w:p>
    <w:p w14:paraId="414F957F"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VIII. Aprobar, modificar o revocar la clasificación de la información</w:t>
      </w:r>
      <w:r w:rsidRPr="0057241C">
        <w:rPr>
          <w:rFonts w:ascii="Palatino Linotype" w:eastAsia="Palatino Linotype" w:hAnsi="Palatino Linotype" w:cs="Palatino Linotype"/>
          <w:i/>
          <w:sz w:val="22"/>
          <w:szCs w:val="22"/>
        </w:rPr>
        <w:t>…”</w:t>
      </w:r>
    </w:p>
    <w:p w14:paraId="25270407"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r w:rsidRPr="0057241C">
        <w:rPr>
          <w:rFonts w:ascii="Palatino Linotype" w:eastAsia="Palatino Linotype" w:hAnsi="Palatino Linotype" w:cs="Palatino Linotype"/>
          <w:b/>
          <w:i/>
          <w:sz w:val="22"/>
          <w:szCs w:val="22"/>
        </w:rPr>
        <w:t>Artículo 53.</w:t>
      </w:r>
      <w:r w:rsidRPr="0057241C">
        <w:rPr>
          <w:rFonts w:ascii="Palatino Linotype" w:eastAsia="Palatino Linotype" w:hAnsi="Palatino Linotype" w:cs="Palatino Linotype"/>
          <w:i/>
          <w:sz w:val="22"/>
          <w:szCs w:val="22"/>
        </w:rPr>
        <w:t xml:space="preserve"> Las </w:t>
      </w:r>
      <w:r w:rsidRPr="0057241C">
        <w:rPr>
          <w:rFonts w:ascii="Palatino Linotype" w:eastAsia="Palatino Linotype" w:hAnsi="Palatino Linotype" w:cs="Palatino Linotype"/>
          <w:b/>
          <w:i/>
          <w:sz w:val="22"/>
          <w:szCs w:val="22"/>
        </w:rPr>
        <w:t>Unidades de Transparencia</w:t>
      </w:r>
      <w:r w:rsidRPr="0057241C">
        <w:rPr>
          <w:rFonts w:ascii="Palatino Linotype" w:eastAsia="Palatino Linotype" w:hAnsi="Palatino Linotype" w:cs="Palatino Linotype"/>
          <w:i/>
          <w:sz w:val="22"/>
          <w:szCs w:val="22"/>
        </w:rPr>
        <w:t xml:space="preserve"> tendrán las siguientes </w:t>
      </w:r>
      <w:r w:rsidRPr="0057241C">
        <w:rPr>
          <w:rFonts w:ascii="Palatino Linotype" w:eastAsia="Palatino Linotype" w:hAnsi="Palatino Linotype" w:cs="Palatino Linotype"/>
          <w:b/>
          <w:i/>
          <w:sz w:val="22"/>
          <w:szCs w:val="22"/>
        </w:rPr>
        <w:t>funciones</w:t>
      </w:r>
      <w:r w:rsidRPr="0057241C">
        <w:rPr>
          <w:rFonts w:ascii="Palatino Linotype" w:eastAsia="Palatino Linotype" w:hAnsi="Palatino Linotype" w:cs="Palatino Linotype"/>
          <w:i/>
          <w:sz w:val="22"/>
          <w:szCs w:val="22"/>
        </w:rPr>
        <w:t>:</w:t>
      </w:r>
    </w:p>
    <w:p w14:paraId="64D240AE"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X. Presentar ante el Comité, el proyecto de clasificación de información</w:t>
      </w:r>
      <w:r w:rsidRPr="0057241C">
        <w:rPr>
          <w:rFonts w:ascii="Palatino Linotype" w:eastAsia="Palatino Linotype" w:hAnsi="Palatino Linotype" w:cs="Palatino Linotype"/>
          <w:i/>
          <w:sz w:val="22"/>
          <w:szCs w:val="22"/>
        </w:rPr>
        <w:t xml:space="preserve">…” </w:t>
      </w:r>
    </w:p>
    <w:p w14:paraId="71083FA1"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“Artículo 59.</w:t>
      </w:r>
      <w:r w:rsidRPr="0057241C">
        <w:rPr>
          <w:rFonts w:ascii="Palatino Linotype" w:eastAsia="Palatino Linotype" w:hAnsi="Palatino Linotype" w:cs="Palatino Linotype"/>
          <w:i/>
          <w:sz w:val="22"/>
          <w:szCs w:val="22"/>
        </w:rPr>
        <w:t xml:space="preserve"> Los </w:t>
      </w:r>
      <w:r w:rsidRPr="0057241C">
        <w:rPr>
          <w:rFonts w:ascii="Palatino Linotype" w:eastAsia="Palatino Linotype" w:hAnsi="Palatino Linotype" w:cs="Palatino Linotype"/>
          <w:b/>
          <w:i/>
          <w:sz w:val="22"/>
          <w:szCs w:val="22"/>
        </w:rPr>
        <w:t>servidores públicos habilitados</w:t>
      </w:r>
      <w:r w:rsidRPr="0057241C">
        <w:rPr>
          <w:rFonts w:ascii="Palatino Linotype" w:eastAsia="Palatino Linotype" w:hAnsi="Palatino Linotype" w:cs="Palatino Linotype"/>
          <w:i/>
          <w:sz w:val="22"/>
          <w:szCs w:val="22"/>
        </w:rPr>
        <w:t xml:space="preserve"> tendrán las </w:t>
      </w:r>
      <w:r w:rsidRPr="0057241C">
        <w:rPr>
          <w:rFonts w:ascii="Palatino Linotype" w:eastAsia="Palatino Linotype" w:hAnsi="Palatino Linotype" w:cs="Palatino Linotype"/>
          <w:b/>
          <w:i/>
          <w:sz w:val="22"/>
          <w:szCs w:val="22"/>
        </w:rPr>
        <w:t>funciones</w:t>
      </w:r>
      <w:r w:rsidRPr="0057241C">
        <w:rPr>
          <w:rFonts w:ascii="Palatino Linotype" w:eastAsia="Palatino Linotype" w:hAnsi="Palatino Linotype" w:cs="Palatino Linotype"/>
          <w:i/>
          <w:sz w:val="22"/>
          <w:szCs w:val="22"/>
        </w:rPr>
        <w:t xml:space="preserve"> siguientes:</w:t>
      </w:r>
    </w:p>
    <w:p w14:paraId="647DFD52"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57241C">
        <w:rPr>
          <w:rFonts w:ascii="Palatino Linotype" w:eastAsia="Palatino Linotype" w:hAnsi="Palatino Linotype" w:cs="Palatino Linotype"/>
          <w:i/>
          <w:sz w:val="22"/>
          <w:szCs w:val="22"/>
        </w:rPr>
        <w:t>, la cual tendrá los fundamentos y argumentos en que se basa dicha propuesta…”</w:t>
      </w:r>
    </w:p>
    <w:p w14:paraId="506C1A1D"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E32B6E1"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5A9EC89A"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r w:rsidRPr="0057241C">
        <w:rPr>
          <w:rFonts w:ascii="Palatino Linotype" w:eastAsia="Palatino Linotype" w:hAnsi="Palatino Linotype" w:cs="Palatino Linotype"/>
          <w:b/>
          <w:i/>
          <w:sz w:val="22"/>
          <w:szCs w:val="22"/>
        </w:rPr>
        <w:t>Artículo 149.</w:t>
      </w:r>
      <w:r w:rsidRPr="0057241C">
        <w:rPr>
          <w:rFonts w:ascii="Palatino Linotype" w:eastAsia="Palatino Linotype" w:hAnsi="Palatino Linotype" w:cs="Palatino Linotype"/>
          <w:i/>
          <w:sz w:val="22"/>
          <w:szCs w:val="22"/>
        </w:rPr>
        <w:t xml:space="preserve"> El </w:t>
      </w:r>
      <w:r w:rsidRPr="0057241C">
        <w:rPr>
          <w:rFonts w:ascii="Palatino Linotype" w:eastAsia="Palatino Linotype" w:hAnsi="Palatino Linotype" w:cs="Palatino Linotype"/>
          <w:b/>
          <w:i/>
          <w:sz w:val="22"/>
          <w:szCs w:val="22"/>
        </w:rPr>
        <w:t>acuerdo que clasifique la información como confidencial</w:t>
      </w:r>
      <w:r w:rsidRPr="0057241C">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1882A73F" w14:textId="77777777" w:rsidR="00855868" w:rsidRPr="0057241C" w:rsidRDefault="00855868" w:rsidP="00855868">
      <w:pPr>
        <w:spacing w:before="240" w:after="240" w:line="360" w:lineRule="auto"/>
        <w:ind w:right="51"/>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Es decir, el </w:t>
      </w:r>
      <w:r w:rsidRPr="0057241C">
        <w:rPr>
          <w:rFonts w:ascii="Palatino Linotype" w:eastAsia="Palatino Linotype" w:hAnsi="Palatino Linotype" w:cs="Palatino Linotype"/>
          <w:b/>
          <w:sz w:val="22"/>
          <w:szCs w:val="22"/>
        </w:rPr>
        <w:t>Sujeto Obligado</w:t>
      </w:r>
      <w:r w:rsidRPr="0057241C">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6756D38E" w14:textId="77777777" w:rsidR="00855868" w:rsidRPr="0057241C" w:rsidRDefault="00855868" w:rsidP="00855868">
      <w:pPr>
        <w:spacing w:before="240" w:after="240" w:line="360" w:lineRule="auto"/>
        <w:ind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Atento a lo anterior, cabe señalar que el Comité de Transparencia del </w:t>
      </w:r>
      <w:r w:rsidRPr="0057241C">
        <w:rPr>
          <w:rFonts w:ascii="Palatino Linotype" w:eastAsia="Palatino Linotype" w:hAnsi="Palatino Linotype" w:cs="Palatino Linotype"/>
          <w:b/>
          <w:sz w:val="22"/>
          <w:szCs w:val="22"/>
        </w:rPr>
        <w:t>Sujeto Obligado</w:t>
      </w:r>
      <w:r w:rsidRPr="0057241C">
        <w:rPr>
          <w:rFonts w:ascii="Palatino Linotype" w:eastAsia="Palatino Linotype" w:hAnsi="Palatino Linotype" w:cs="Palatino Linotype"/>
          <w:sz w:val="22"/>
          <w:szCs w:val="22"/>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08FEED38" w14:textId="77777777" w:rsidR="00855868" w:rsidRPr="0057241C" w:rsidRDefault="00855868" w:rsidP="00855868">
      <w:pPr>
        <w:tabs>
          <w:tab w:val="left" w:pos="8222"/>
        </w:tabs>
        <w:spacing w:before="120" w:after="120"/>
        <w:ind w:left="851" w:right="1134"/>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 xml:space="preserve"> “</w:t>
      </w:r>
      <w:r w:rsidRPr="0057241C">
        <w:rPr>
          <w:rFonts w:ascii="Palatino Linotype" w:eastAsia="Palatino Linotype" w:hAnsi="Palatino Linotype" w:cs="Palatino Linotype"/>
          <w:b/>
          <w:i/>
          <w:sz w:val="22"/>
          <w:szCs w:val="22"/>
        </w:rPr>
        <w:t>Segundo.-</w:t>
      </w:r>
      <w:r w:rsidRPr="0057241C">
        <w:rPr>
          <w:rFonts w:ascii="Palatino Linotype" w:eastAsia="Palatino Linotype" w:hAnsi="Palatino Linotype" w:cs="Palatino Linotype"/>
          <w:i/>
          <w:sz w:val="22"/>
          <w:szCs w:val="22"/>
        </w:rPr>
        <w:t xml:space="preserve"> Para efectos de los presentes Lineamientos Generales, se entenderá por:</w:t>
      </w:r>
    </w:p>
    <w:p w14:paraId="36DF2FC5" w14:textId="77777777" w:rsidR="00855868" w:rsidRPr="0057241C" w:rsidRDefault="00855868" w:rsidP="00855868">
      <w:pPr>
        <w:tabs>
          <w:tab w:val="left" w:pos="8222"/>
        </w:tabs>
        <w:spacing w:before="120" w:after="120"/>
        <w:ind w:left="851" w:right="1134"/>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XVIII.</w:t>
      </w:r>
      <w:r w:rsidRPr="0057241C">
        <w:rPr>
          <w:rFonts w:ascii="Palatino Linotype" w:eastAsia="Palatino Linotype" w:hAnsi="Palatino Linotype" w:cs="Palatino Linotype"/>
          <w:i/>
          <w:sz w:val="22"/>
          <w:szCs w:val="22"/>
        </w:rPr>
        <w:t xml:space="preserve"> </w:t>
      </w:r>
      <w:r w:rsidRPr="0057241C">
        <w:rPr>
          <w:rFonts w:ascii="Palatino Linotype" w:eastAsia="Palatino Linotype" w:hAnsi="Palatino Linotype" w:cs="Palatino Linotype"/>
          <w:b/>
          <w:i/>
          <w:sz w:val="22"/>
          <w:szCs w:val="22"/>
        </w:rPr>
        <w:t>Versión pública:</w:t>
      </w:r>
      <w:r w:rsidRPr="0057241C">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57241C">
        <w:rPr>
          <w:rFonts w:ascii="Palatino Linotype" w:eastAsia="Palatino Linotype" w:hAnsi="Palatino Linotype" w:cs="Palatino Linotype"/>
          <w:b/>
          <w:i/>
          <w:sz w:val="22"/>
          <w:szCs w:val="22"/>
        </w:rPr>
        <w:t>fundando y motivando la</w:t>
      </w:r>
      <w:r w:rsidRPr="0057241C">
        <w:rPr>
          <w:rFonts w:ascii="Palatino Linotype" w:eastAsia="Palatino Linotype" w:hAnsi="Palatino Linotype" w:cs="Palatino Linotype"/>
          <w:i/>
          <w:sz w:val="22"/>
          <w:szCs w:val="22"/>
        </w:rPr>
        <w:t xml:space="preserve"> </w:t>
      </w:r>
      <w:r w:rsidRPr="0057241C">
        <w:rPr>
          <w:rFonts w:ascii="Palatino Linotype" w:eastAsia="Palatino Linotype" w:hAnsi="Palatino Linotype" w:cs="Palatino Linotype"/>
          <w:b/>
          <w:i/>
          <w:sz w:val="22"/>
          <w:szCs w:val="22"/>
        </w:rPr>
        <w:t>reserva o confidencialidad</w:t>
      </w:r>
      <w:r w:rsidRPr="0057241C">
        <w:rPr>
          <w:rFonts w:ascii="Palatino Linotype" w:eastAsia="Palatino Linotype" w:hAnsi="Palatino Linotype" w:cs="Palatino Linotype"/>
          <w:i/>
          <w:sz w:val="22"/>
          <w:szCs w:val="22"/>
        </w:rPr>
        <w:t>, a través de la resolución que para tal efecto emita el Comité de Transparencia.</w:t>
      </w:r>
    </w:p>
    <w:p w14:paraId="2B387BC6" w14:textId="77777777" w:rsidR="00855868" w:rsidRPr="0057241C" w:rsidRDefault="00855868" w:rsidP="00855868">
      <w:pPr>
        <w:tabs>
          <w:tab w:val="left" w:pos="8222"/>
        </w:tabs>
        <w:spacing w:before="120" w:after="120"/>
        <w:ind w:left="851" w:right="1134"/>
        <w:jc w:val="both"/>
        <w:rPr>
          <w:rFonts w:ascii="Palatino Linotype" w:eastAsia="Palatino Linotype" w:hAnsi="Palatino Linotype" w:cs="Palatino Linotype"/>
          <w:b/>
          <w:i/>
          <w:sz w:val="22"/>
          <w:szCs w:val="22"/>
        </w:rPr>
      </w:pPr>
      <w:r w:rsidRPr="0057241C">
        <w:rPr>
          <w:rFonts w:ascii="Palatino Linotype" w:eastAsia="Palatino Linotype" w:hAnsi="Palatino Linotype" w:cs="Palatino Linotype"/>
          <w:b/>
          <w:i/>
          <w:sz w:val="22"/>
          <w:szCs w:val="22"/>
        </w:rPr>
        <w:t>...</w:t>
      </w:r>
    </w:p>
    <w:p w14:paraId="30F1214A" w14:textId="77777777" w:rsidR="00855868" w:rsidRPr="0057241C" w:rsidRDefault="00855868" w:rsidP="00855868">
      <w:pPr>
        <w:tabs>
          <w:tab w:val="left" w:pos="8222"/>
        </w:tabs>
        <w:spacing w:before="120" w:after="120"/>
        <w:ind w:left="851" w:right="1134"/>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Cuarto.</w:t>
      </w:r>
      <w:r w:rsidRPr="0057241C">
        <w:rPr>
          <w:rFonts w:ascii="Palatino Linotype" w:eastAsia="Palatino Linotype" w:hAnsi="Palatino Linotype" w:cs="Palatino Linotype"/>
          <w:i/>
          <w:sz w:val="22"/>
          <w:szCs w:val="22"/>
        </w:rPr>
        <w:t xml:space="preserve"> </w:t>
      </w:r>
      <w:r w:rsidRPr="0057241C">
        <w:rPr>
          <w:rFonts w:ascii="Palatino Linotype" w:eastAsia="Palatino Linotype" w:hAnsi="Palatino Linotype" w:cs="Palatino Linotype"/>
          <w:b/>
          <w:i/>
          <w:sz w:val="22"/>
          <w:szCs w:val="22"/>
        </w:rPr>
        <w:t>Para clasificar la información como</w:t>
      </w:r>
      <w:r w:rsidRPr="0057241C">
        <w:rPr>
          <w:rFonts w:ascii="Palatino Linotype" w:eastAsia="Palatino Linotype" w:hAnsi="Palatino Linotype" w:cs="Palatino Linotype"/>
          <w:i/>
          <w:sz w:val="22"/>
          <w:szCs w:val="22"/>
        </w:rPr>
        <w:t xml:space="preserve"> </w:t>
      </w:r>
      <w:r w:rsidRPr="0057241C">
        <w:rPr>
          <w:rFonts w:ascii="Palatino Linotype" w:eastAsia="Palatino Linotype" w:hAnsi="Palatino Linotype" w:cs="Palatino Linotype"/>
          <w:b/>
          <w:i/>
          <w:sz w:val="22"/>
          <w:szCs w:val="22"/>
        </w:rPr>
        <w:t>reservada o</w:t>
      </w:r>
      <w:r w:rsidRPr="0057241C">
        <w:rPr>
          <w:rFonts w:ascii="Palatino Linotype" w:eastAsia="Palatino Linotype" w:hAnsi="Palatino Linotype" w:cs="Palatino Linotype"/>
          <w:i/>
          <w:sz w:val="22"/>
          <w:szCs w:val="22"/>
        </w:rPr>
        <w:t xml:space="preserve"> </w:t>
      </w:r>
      <w:r w:rsidRPr="0057241C">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57241C">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D96DCDD" w14:textId="77777777" w:rsidR="00855868" w:rsidRPr="0057241C" w:rsidRDefault="00855868" w:rsidP="00855868">
      <w:pPr>
        <w:tabs>
          <w:tab w:val="left" w:pos="8222"/>
        </w:tabs>
        <w:spacing w:before="120" w:after="120"/>
        <w:ind w:left="851" w:right="1134"/>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0FA3E0FB" w14:textId="77777777" w:rsidR="00855868" w:rsidRPr="0057241C" w:rsidRDefault="00855868" w:rsidP="00855868">
      <w:pPr>
        <w:tabs>
          <w:tab w:val="left" w:pos="8222"/>
        </w:tabs>
        <w:spacing w:before="120" w:after="120"/>
        <w:ind w:left="851" w:right="1134"/>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Quinto.</w:t>
      </w:r>
      <w:r w:rsidRPr="0057241C">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CFAB6BB" w14:textId="77777777" w:rsidR="00855868" w:rsidRPr="0057241C" w:rsidRDefault="00855868" w:rsidP="00855868">
      <w:pPr>
        <w:tabs>
          <w:tab w:val="left" w:pos="8222"/>
        </w:tabs>
        <w:spacing w:before="120" w:after="120"/>
        <w:ind w:left="851" w:right="1134"/>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Sexto.</w:t>
      </w:r>
      <w:r w:rsidRPr="0057241C">
        <w:rPr>
          <w:rFonts w:ascii="Palatino Linotype" w:eastAsia="Palatino Linotype" w:hAnsi="Palatino Linotype" w:cs="Palatino Linotype"/>
          <w:i/>
          <w:sz w:val="22"/>
          <w:szCs w:val="22"/>
        </w:rPr>
        <w:t xml:space="preserve"> Se deroga.</w:t>
      </w:r>
    </w:p>
    <w:p w14:paraId="5940EA97" w14:textId="77777777" w:rsidR="00855868" w:rsidRPr="0057241C" w:rsidRDefault="00855868" w:rsidP="00855868">
      <w:pPr>
        <w:tabs>
          <w:tab w:val="left" w:pos="8222"/>
        </w:tabs>
        <w:spacing w:before="120" w:after="120"/>
        <w:ind w:left="851" w:right="1134"/>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Séptimo.</w:t>
      </w:r>
      <w:r w:rsidRPr="0057241C">
        <w:rPr>
          <w:rFonts w:ascii="Palatino Linotype" w:eastAsia="Palatino Linotype" w:hAnsi="Palatino Linotype" w:cs="Palatino Linotype"/>
          <w:i/>
          <w:sz w:val="22"/>
          <w:szCs w:val="22"/>
        </w:rPr>
        <w:t xml:space="preserve"> La clasificación de la información se llevará a cabo en el momento en que:</w:t>
      </w:r>
    </w:p>
    <w:p w14:paraId="2A7487B6" w14:textId="77777777" w:rsidR="00855868" w:rsidRPr="0057241C" w:rsidRDefault="00855868" w:rsidP="00855868">
      <w:pPr>
        <w:tabs>
          <w:tab w:val="left" w:pos="8222"/>
        </w:tabs>
        <w:spacing w:before="120" w:after="120"/>
        <w:ind w:left="851" w:right="1134"/>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w:t>
      </w:r>
      <w:r w:rsidRPr="0057241C">
        <w:rPr>
          <w:rFonts w:ascii="Palatino Linotype" w:eastAsia="Palatino Linotype" w:hAnsi="Palatino Linotype" w:cs="Palatino Linotype"/>
          <w:i/>
          <w:sz w:val="22"/>
          <w:szCs w:val="22"/>
        </w:rPr>
        <w:t xml:space="preserve"> Se reciba una solicitud de acceso a la información;</w:t>
      </w:r>
    </w:p>
    <w:p w14:paraId="53871753" w14:textId="77777777" w:rsidR="00855868" w:rsidRPr="0057241C" w:rsidRDefault="00855868" w:rsidP="00855868">
      <w:pPr>
        <w:tabs>
          <w:tab w:val="left" w:pos="8222"/>
        </w:tabs>
        <w:spacing w:before="120" w:after="120"/>
        <w:ind w:left="851" w:right="1134"/>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II.</w:t>
      </w:r>
      <w:r w:rsidRPr="0057241C">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0096AC90" w14:textId="77777777" w:rsidR="00855868" w:rsidRPr="0057241C" w:rsidRDefault="00855868" w:rsidP="00855868">
      <w:pPr>
        <w:tabs>
          <w:tab w:val="left" w:pos="8222"/>
        </w:tabs>
        <w:spacing w:before="120" w:after="120"/>
        <w:ind w:left="851" w:right="1134"/>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III.</w:t>
      </w:r>
      <w:r w:rsidRPr="0057241C">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F66C8E2" w14:textId="77777777" w:rsidR="00855868" w:rsidRPr="0057241C" w:rsidRDefault="00855868" w:rsidP="00855868">
      <w:pPr>
        <w:tabs>
          <w:tab w:val="left" w:pos="8222"/>
        </w:tabs>
        <w:spacing w:before="120" w:after="120"/>
        <w:ind w:left="851" w:right="1134"/>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57241C">
        <w:rPr>
          <w:rFonts w:ascii="Palatino Linotype" w:eastAsia="Palatino Linotype" w:hAnsi="Palatino Linotype" w:cs="Palatino Linotype"/>
          <w:sz w:val="22"/>
          <w:szCs w:val="22"/>
        </w:rPr>
        <w:t xml:space="preserve">, </w:t>
      </w:r>
      <w:r w:rsidRPr="0057241C">
        <w:rPr>
          <w:rFonts w:ascii="Palatino Linotype" w:eastAsia="Palatino Linotype" w:hAnsi="Palatino Linotype" w:cs="Palatino Linotype"/>
          <w:i/>
          <w:sz w:val="22"/>
          <w:szCs w:val="22"/>
        </w:rPr>
        <w:t>conforme a su naturaleza, si encuadra en una causal de reserva o de confidencialidad.</w:t>
      </w:r>
    </w:p>
    <w:p w14:paraId="15356544" w14:textId="77777777" w:rsidR="00855868" w:rsidRPr="0057241C" w:rsidRDefault="00855868" w:rsidP="00855868">
      <w:pPr>
        <w:tabs>
          <w:tab w:val="left" w:pos="8222"/>
        </w:tabs>
        <w:spacing w:before="120" w:after="120"/>
        <w:ind w:left="851" w:right="1134"/>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Octavo.</w:t>
      </w:r>
      <w:r w:rsidRPr="0057241C">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C7A948B" w14:textId="77777777" w:rsidR="00855868" w:rsidRPr="0057241C" w:rsidRDefault="00855868" w:rsidP="00855868">
      <w:pPr>
        <w:tabs>
          <w:tab w:val="left" w:pos="8222"/>
        </w:tabs>
        <w:spacing w:before="120" w:after="120"/>
        <w:ind w:left="851" w:right="1134"/>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45A1687B" w14:textId="77777777" w:rsidR="00855868" w:rsidRPr="0057241C" w:rsidRDefault="00855868" w:rsidP="00855868">
      <w:pPr>
        <w:tabs>
          <w:tab w:val="left" w:pos="8222"/>
        </w:tabs>
        <w:spacing w:before="120" w:after="120"/>
        <w:ind w:left="851" w:right="1134"/>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5C321FE2" w14:textId="77777777" w:rsidR="00855868" w:rsidRPr="0057241C" w:rsidRDefault="00855868" w:rsidP="00855868">
      <w:pPr>
        <w:tabs>
          <w:tab w:val="left" w:pos="8222"/>
        </w:tabs>
        <w:spacing w:before="120" w:after="120"/>
        <w:ind w:left="851" w:right="1134"/>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Noveno.</w:t>
      </w:r>
      <w:r w:rsidRPr="0057241C">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9FDFBD8" w14:textId="77777777" w:rsidR="00855868" w:rsidRPr="0057241C" w:rsidRDefault="00855868" w:rsidP="00855868">
      <w:pPr>
        <w:tabs>
          <w:tab w:val="left" w:pos="8222"/>
        </w:tabs>
        <w:spacing w:before="120" w:after="120"/>
        <w:ind w:left="851" w:right="1134"/>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Décimo.</w:t>
      </w:r>
      <w:r w:rsidRPr="0057241C">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FB33FAB" w14:textId="77777777" w:rsidR="00855868" w:rsidRPr="0057241C" w:rsidRDefault="00855868" w:rsidP="00855868">
      <w:pPr>
        <w:tabs>
          <w:tab w:val="left" w:pos="8222"/>
        </w:tabs>
        <w:spacing w:before="120" w:after="120"/>
        <w:ind w:left="851" w:right="1134"/>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4A9E77C9" w14:textId="77777777" w:rsidR="00855868" w:rsidRPr="0057241C" w:rsidRDefault="00855868" w:rsidP="00855868">
      <w:pPr>
        <w:tabs>
          <w:tab w:val="left" w:pos="8222"/>
        </w:tabs>
        <w:spacing w:before="120" w:after="120"/>
        <w:ind w:left="851" w:right="1134"/>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Décimo primero.</w:t>
      </w:r>
      <w:r w:rsidRPr="0057241C">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3C662CD1" w14:textId="77777777" w:rsidR="00855868" w:rsidRPr="0057241C" w:rsidRDefault="00855868" w:rsidP="00855868">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57241C">
        <w:rPr>
          <w:rFonts w:ascii="Palatino Linotype" w:eastAsia="Palatino Linotype" w:hAnsi="Palatino Linotype" w:cs="Palatino Linotype"/>
          <w:b/>
          <w:sz w:val="22"/>
          <w:szCs w:val="22"/>
        </w:rPr>
        <w:t>Sujeto Obligado</w:t>
      </w:r>
      <w:r w:rsidRPr="0057241C">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36D21CC0"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 xml:space="preserve"> “Quincuagésimo. </w:t>
      </w:r>
      <w:r w:rsidRPr="0057241C">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5A5CEE3" w14:textId="77777777" w:rsidR="00855868" w:rsidRPr="0057241C" w:rsidRDefault="00855868" w:rsidP="0085586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 xml:space="preserve">Quincuagésimo primero. </w:t>
      </w:r>
      <w:r w:rsidRPr="0057241C">
        <w:rPr>
          <w:rFonts w:ascii="Palatino Linotype" w:eastAsia="Palatino Linotype" w:hAnsi="Palatino Linotype" w:cs="Palatino Linotype"/>
          <w:i/>
          <w:sz w:val="22"/>
          <w:szCs w:val="22"/>
        </w:rPr>
        <w:t xml:space="preserve">Toda acta del Comité de Transparencia deberá contener: </w:t>
      </w:r>
    </w:p>
    <w:p w14:paraId="34FEABD7" w14:textId="77777777" w:rsidR="00855868" w:rsidRPr="0057241C" w:rsidRDefault="00855868" w:rsidP="0085586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w:t>
      </w:r>
      <w:r w:rsidRPr="0057241C">
        <w:rPr>
          <w:rFonts w:ascii="Palatino Linotype" w:eastAsia="Palatino Linotype" w:hAnsi="Palatino Linotype" w:cs="Palatino Linotype"/>
          <w:i/>
          <w:sz w:val="22"/>
          <w:szCs w:val="22"/>
        </w:rPr>
        <w:t xml:space="preserve"> El número de sesión y fecha; </w:t>
      </w:r>
    </w:p>
    <w:p w14:paraId="291314A0" w14:textId="77777777" w:rsidR="00855868" w:rsidRPr="0057241C" w:rsidRDefault="00855868" w:rsidP="0085586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II</w:t>
      </w:r>
      <w:r w:rsidRPr="0057241C">
        <w:rPr>
          <w:rFonts w:ascii="Palatino Linotype" w:eastAsia="Palatino Linotype" w:hAnsi="Palatino Linotype" w:cs="Palatino Linotype"/>
          <w:i/>
          <w:sz w:val="22"/>
          <w:szCs w:val="22"/>
        </w:rPr>
        <w:t xml:space="preserve">. El nombre del área que solicitó la clasificación de información; </w:t>
      </w:r>
    </w:p>
    <w:p w14:paraId="5C0AF678" w14:textId="77777777" w:rsidR="00855868" w:rsidRPr="0057241C" w:rsidRDefault="00855868" w:rsidP="0085586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III</w:t>
      </w:r>
      <w:r w:rsidRPr="0057241C">
        <w:rPr>
          <w:rFonts w:ascii="Palatino Linotype" w:eastAsia="Palatino Linotype" w:hAnsi="Palatino Linotype" w:cs="Palatino Linotype"/>
          <w:i/>
          <w:sz w:val="22"/>
          <w:szCs w:val="22"/>
        </w:rPr>
        <w:t xml:space="preserve">. La fundamentación legal y motivación correspondiente; </w:t>
      </w:r>
    </w:p>
    <w:p w14:paraId="2B9E4A36" w14:textId="77777777" w:rsidR="00855868" w:rsidRPr="0057241C" w:rsidRDefault="00855868" w:rsidP="0085586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IV</w:t>
      </w:r>
      <w:r w:rsidRPr="0057241C">
        <w:rPr>
          <w:rFonts w:ascii="Palatino Linotype" w:eastAsia="Palatino Linotype" w:hAnsi="Palatino Linotype" w:cs="Palatino Linotype"/>
          <w:i/>
          <w:sz w:val="22"/>
          <w:szCs w:val="22"/>
        </w:rPr>
        <w:t xml:space="preserve">. La resolución o resoluciones aprobadas; y </w:t>
      </w:r>
    </w:p>
    <w:p w14:paraId="7291D3AE" w14:textId="77777777" w:rsidR="00855868" w:rsidRPr="0057241C" w:rsidRDefault="00855868" w:rsidP="0085586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V</w:t>
      </w:r>
      <w:r w:rsidRPr="0057241C">
        <w:rPr>
          <w:rFonts w:ascii="Palatino Linotype" w:eastAsia="Palatino Linotype" w:hAnsi="Palatino Linotype" w:cs="Palatino Linotype"/>
          <w:i/>
          <w:sz w:val="22"/>
          <w:szCs w:val="22"/>
        </w:rPr>
        <w:t xml:space="preserve">. La rúbrica o firma digital de cada integrante del Comité de Transparencia. </w:t>
      </w:r>
    </w:p>
    <w:p w14:paraId="5F72A0C9" w14:textId="77777777" w:rsidR="00855868" w:rsidRPr="0057241C" w:rsidRDefault="00855868" w:rsidP="0085586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4B8F327C" w14:textId="77777777" w:rsidR="00855868" w:rsidRPr="0057241C" w:rsidRDefault="00855868" w:rsidP="0085586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w:t>
      </w:r>
      <w:r w:rsidRPr="0057241C">
        <w:rPr>
          <w:rFonts w:ascii="Palatino Linotype" w:eastAsia="Palatino Linotype" w:hAnsi="Palatino Linotype" w:cs="Palatino Linotype"/>
          <w:i/>
          <w:sz w:val="22"/>
          <w:szCs w:val="22"/>
        </w:rPr>
        <w:t xml:space="preserve"> Los motivos y razonamientos que sustenten la confirmación o modificación de la prueba de daño;</w:t>
      </w:r>
    </w:p>
    <w:p w14:paraId="4F90955D" w14:textId="77777777" w:rsidR="00855868" w:rsidRPr="0057241C" w:rsidRDefault="00855868" w:rsidP="00855868">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57241C">
        <w:rPr>
          <w:rFonts w:ascii="Palatino Linotype" w:eastAsia="Palatino Linotype" w:hAnsi="Palatino Linotype" w:cs="Palatino Linotype"/>
          <w:b/>
          <w:i/>
          <w:sz w:val="22"/>
          <w:szCs w:val="22"/>
        </w:rPr>
        <w:t>II</w:t>
      </w:r>
      <w:r w:rsidRPr="0057241C">
        <w:rPr>
          <w:rFonts w:ascii="Palatino Linotype" w:eastAsia="Palatino Linotype" w:hAnsi="Palatino Linotype" w:cs="Palatino Linotype"/>
          <w:i/>
          <w:sz w:val="22"/>
          <w:szCs w:val="22"/>
        </w:rPr>
        <w:t>. Descripción de las partes o secciones reservadas, en caso de clasificación parcial</w:t>
      </w:r>
      <w:r w:rsidRPr="0057241C">
        <w:rPr>
          <w:rFonts w:ascii="Palatino Linotype" w:eastAsia="Palatino Linotype" w:hAnsi="Palatino Linotype" w:cs="Palatino Linotype"/>
          <w:b/>
          <w:i/>
          <w:sz w:val="22"/>
          <w:szCs w:val="22"/>
        </w:rPr>
        <w:t xml:space="preserve">; </w:t>
      </w:r>
    </w:p>
    <w:p w14:paraId="78BEF436" w14:textId="77777777" w:rsidR="00855868" w:rsidRPr="0057241C" w:rsidRDefault="00855868" w:rsidP="0085586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III.</w:t>
      </w:r>
      <w:r w:rsidRPr="0057241C">
        <w:rPr>
          <w:rFonts w:ascii="Palatino Linotype" w:eastAsia="Palatino Linotype" w:hAnsi="Palatino Linotype" w:cs="Palatino Linotype"/>
          <w:i/>
          <w:sz w:val="22"/>
          <w:szCs w:val="22"/>
        </w:rPr>
        <w:t xml:space="preserve"> El periodo por el que mantendrá su clasificación y fecha de expiración; y </w:t>
      </w:r>
    </w:p>
    <w:p w14:paraId="50ABBD3E" w14:textId="77777777" w:rsidR="00855868" w:rsidRPr="0057241C" w:rsidRDefault="00855868" w:rsidP="0085586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IV.</w:t>
      </w:r>
      <w:r w:rsidRPr="0057241C">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6787D6A7" w14:textId="77777777" w:rsidR="00855868" w:rsidRPr="0057241C" w:rsidRDefault="00855868" w:rsidP="0085586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142AA6B" w14:textId="77777777" w:rsidR="00855868" w:rsidRPr="0057241C" w:rsidRDefault="00855868" w:rsidP="0085586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590BE56" w14:textId="77777777" w:rsidR="00855868" w:rsidRPr="0057241C" w:rsidRDefault="00855868" w:rsidP="00855868">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2CE2BF90" w14:textId="77777777" w:rsidR="00855868" w:rsidRPr="0057241C" w:rsidRDefault="00855868" w:rsidP="00855868">
      <w:pPr>
        <w:spacing w:before="120" w:after="12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r w:rsidRPr="0057241C">
        <w:rPr>
          <w:rFonts w:ascii="Palatino Linotype" w:eastAsia="Palatino Linotype" w:hAnsi="Palatino Linotype" w:cs="Palatino Linotype"/>
          <w:b/>
          <w:i/>
          <w:sz w:val="22"/>
          <w:szCs w:val="22"/>
        </w:rPr>
        <w:t>Quincuagésimo segundo</w:t>
      </w:r>
      <w:r w:rsidRPr="0057241C">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1DBB462" w14:textId="77777777" w:rsidR="00855868" w:rsidRPr="0057241C" w:rsidRDefault="00855868" w:rsidP="00855868">
      <w:pPr>
        <w:spacing w:before="120" w:after="12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34A3C881" w14:textId="77777777" w:rsidR="00855868" w:rsidRPr="0057241C" w:rsidRDefault="00855868" w:rsidP="00855868">
      <w:pPr>
        <w:spacing w:before="120" w:after="12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w:t>
      </w:r>
      <w:r w:rsidRPr="0057241C">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0A4FB97C" w14:textId="77777777" w:rsidR="00855868" w:rsidRPr="0057241C" w:rsidRDefault="00855868" w:rsidP="00855868">
      <w:pPr>
        <w:spacing w:before="120" w:after="12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II.</w:t>
      </w:r>
      <w:r w:rsidRPr="0057241C">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2F8B7B80" w14:textId="77777777" w:rsidR="00855868" w:rsidRPr="0057241C" w:rsidRDefault="00855868" w:rsidP="00855868">
      <w:pPr>
        <w:spacing w:before="120" w:after="12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III.</w:t>
      </w:r>
      <w:r w:rsidRPr="0057241C">
        <w:rPr>
          <w:rFonts w:ascii="Palatino Linotype" w:eastAsia="Palatino Linotype" w:hAnsi="Palatino Linotype" w:cs="Palatino Linotype"/>
          <w:i/>
          <w:sz w:val="22"/>
          <w:szCs w:val="22"/>
        </w:rPr>
        <w:t xml:space="preserve"> Señalar las personas o instancias autorizadas a acceder a la información clasificada.</w:t>
      </w:r>
    </w:p>
    <w:p w14:paraId="150DB2D9" w14:textId="77777777" w:rsidR="00855868" w:rsidRPr="0057241C" w:rsidRDefault="00855868" w:rsidP="00855868">
      <w:pPr>
        <w:spacing w:before="120" w:after="12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4992DE09" w14:textId="77777777" w:rsidR="00855868" w:rsidRPr="0057241C" w:rsidRDefault="00855868" w:rsidP="00855868">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w:t>
      </w:r>
    </w:p>
    <w:p w14:paraId="225CE9BF" w14:textId="77777777" w:rsidR="00855868" w:rsidRPr="0057241C" w:rsidRDefault="00855868" w:rsidP="00855868">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57241C">
        <w:rPr>
          <w:rFonts w:ascii="Palatino Linotype" w:eastAsia="Palatino Linotype" w:hAnsi="Palatino Linotype" w:cs="Palatino Linotype"/>
          <w:b/>
          <w:i/>
          <w:sz w:val="22"/>
          <w:szCs w:val="22"/>
        </w:rPr>
        <w:t xml:space="preserve">Quincuagésimo cuarto. </w:t>
      </w:r>
      <w:r w:rsidRPr="0057241C">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57241C">
        <w:rPr>
          <w:rFonts w:ascii="Palatino Linotype" w:eastAsia="Palatino Linotype" w:hAnsi="Palatino Linotype" w:cs="Palatino Linotype"/>
          <w:b/>
          <w:i/>
          <w:sz w:val="22"/>
          <w:szCs w:val="22"/>
        </w:rPr>
        <w:t xml:space="preserve"> </w:t>
      </w:r>
    </w:p>
    <w:p w14:paraId="617FFC22"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 xml:space="preserve">Quincuagésimo quinto. </w:t>
      </w:r>
      <w:r w:rsidRPr="0057241C">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5F88397" w14:textId="77777777" w:rsidR="00855868" w:rsidRPr="0057241C" w:rsidRDefault="00855868" w:rsidP="00855868">
      <w:pPr>
        <w:spacing w:before="120" w:after="120"/>
        <w:ind w:left="851" w:right="902"/>
        <w:jc w:val="both"/>
        <w:rPr>
          <w:rFonts w:ascii="Palatino Linotype" w:eastAsia="Palatino Linotype" w:hAnsi="Palatino Linotype" w:cs="Palatino Linotype"/>
          <w:b/>
          <w:i/>
          <w:sz w:val="22"/>
          <w:szCs w:val="22"/>
        </w:rPr>
      </w:pPr>
      <w:r w:rsidRPr="0057241C">
        <w:rPr>
          <w:rFonts w:ascii="Palatino Linotype" w:eastAsia="Palatino Linotype" w:hAnsi="Palatino Linotype" w:cs="Palatino Linotype"/>
          <w:b/>
          <w:i/>
          <w:sz w:val="22"/>
          <w:szCs w:val="22"/>
        </w:rPr>
        <w:t>...</w:t>
      </w:r>
    </w:p>
    <w:p w14:paraId="29DCE62A"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Quincuagésimo séptimo</w:t>
      </w:r>
      <w:r w:rsidRPr="0057241C">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A76967A"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w:t>
      </w:r>
      <w:r w:rsidRPr="0057241C">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52778928"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II.</w:t>
      </w:r>
      <w:r w:rsidRPr="0057241C">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4ED59E45"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III</w:t>
      </w:r>
      <w:r w:rsidRPr="0057241C">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42595A1"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60EA3626" w14:textId="77777777" w:rsidR="00855868" w:rsidRPr="0057241C" w:rsidRDefault="00855868" w:rsidP="00855868">
      <w:pPr>
        <w:spacing w:before="120" w:after="120"/>
        <w:ind w:left="851" w:right="902"/>
        <w:jc w:val="both"/>
        <w:rPr>
          <w:rFonts w:ascii="Palatino Linotype" w:eastAsia="Palatino Linotype" w:hAnsi="Palatino Linotype" w:cs="Palatino Linotype"/>
          <w:i/>
          <w:sz w:val="22"/>
          <w:szCs w:val="22"/>
        </w:rPr>
      </w:pPr>
      <w:r w:rsidRPr="0057241C">
        <w:rPr>
          <w:rFonts w:ascii="Palatino Linotype" w:eastAsia="Palatino Linotype" w:hAnsi="Palatino Linotype" w:cs="Palatino Linotype"/>
          <w:b/>
          <w:i/>
          <w:sz w:val="22"/>
          <w:szCs w:val="22"/>
        </w:rPr>
        <w:t>Quincuagésimo octavo</w:t>
      </w:r>
      <w:r w:rsidRPr="0057241C">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378EF624" w14:textId="57287FD4" w:rsidR="00193AE1" w:rsidRPr="0057241C" w:rsidRDefault="00193AE1" w:rsidP="00193AE1">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Así, con fundamento en lo prescrito en los artículos </w:t>
      </w:r>
      <w:r w:rsidR="005D5DC9" w:rsidRPr="0057241C">
        <w:rPr>
          <w:rFonts w:ascii="Palatino Linotype" w:eastAsia="Palatino Linotype" w:hAnsi="Palatino Linotype" w:cs="Palatino Linotype"/>
          <w:sz w:val="22"/>
          <w:szCs w:val="22"/>
        </w:rPr>
        <w:t xml:space="preserve">5 párrafos </w:t>
      </w:r>
      <w:r w:rsidR="000E700F" w:rsidRPr="0057241C">
        <w:rPr>
          <w:rFonts w:ascii="Palatino Linotype" w:eastAsia="Palatino Linotype" w:hAnsi="Palatino Linotype" w:cs="Palatino Linotype"/>
          <w:sz w:val="22"/>
          <w:szCs w:val="22"/>
        </w:rPr>
        <w:t xml:space="preserve">cuadragésimo cuarto, cuadragésimo quinto cuadragésimo sexto, de la </w:t>
      </w:r>
      <w:r w:rsidR="005D5DC9" w:rsidRPr="0057241C">
        <w:rPr>
          <w:rFonts w:ascii="Palatino Linotype" w:eastAsia="Palatino Linotype" w:hAnsi="Palatino Linotype" w:cs="Palatino Linotype"/>
          <w:sz w:val="22"/>
          <w:szCs w:val="22"/>
        </w:rPr>
        <w:t>Constitución Política del Estado Libre y Soberano de México; Transitorio Cuarto, párrafo segundo del Decreto número 198 de la “LXII” Legislatura del Estado de México;</w:t>
      </w:r>
      <w:r w:rsidRPr="0057241C">
        <w:rPr>
          <w:rFonts w:ascii="Palatino Linotype" w:eastAsia="Palatino Linotype" w:hAnsi="Palatino Linotype" w:cs="Palatino Linotype"/>
          <w:sz w:val="22"/>
          <w:szCs w:val="22"/>
        </w:rPr>
        <w:t xml:space="preserve"> 2, fracción II; 29, 36 fracciones I y II; 176, 178, 181, 185 y 186 fracción II de la Ley de Transparencia y Acceso a la Información Pública del Estado de México y Municipios, este Pleno:</w:t>
      </w:r>
    </w:p>
    <w:p w14:paraId="0285A7B6" w14:textId="77777777" w:rsidR="00193AE1" w:rsidRPr="0057241C" w:rsidRDefault="00193AE1" w:rsidP="00193AE1">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57241C">
        <w:rPr>
          <w:rFonts w:ascii="Palatino Linotype" w:eastAsia="Palatino Linotype" w:hAnsi="Palatino Linotype" w:cs="Palatino Linotype"/>
          <w:b/>
          <w:sz w:val="22"/>
          <w:szCs w:val="22"/>
        </w:rPr>
        <w:t>III. R E S U E L V E</w:t>
      </w:r>
    </w:p>
    <w:p w14:paraId="5C7FA26B" w14:textId="7C02FB9D" w:rsidR="00193AE1" w:rsidRPr="0057241C" w:rsidRDefault="00193AE1" w:rsidP="00193AE1">
      <w:pPr>
        <w:spacing w:before="240" w:after="240" w:line="360" w:lineRule="auto"/>
        <w:jc w:val="both"/>
        <w:rPr>
          <w:rFonts w:ascii="Palatino Linotype" w:eastAsia="Palatino Linotype" w:hAnsi="Palatino Linotype" w:cs="Palatino Linotype"/>
          <w:sz w:val="22"/>
          <w:szCs w:val="22"/>
        </w:rPr>
      </w:pPr>
      <w:bookmarkStart w:id="11" w:name="_heading=h.26in1rg" w:colFirst="0" w:colLast="0"/>
      <w:bookmarkEnd w:id="11"/>
      <w:r w:rsidRPr="0057241C">
        <w:rPr>
          <w:rFonts w:ascii="Palatino Linotype" w:eastAsia="Palatino Linotype" w:hAnsi="Palatino Linotype" w:cs="Palatino Linotype"/>
          <w:b/>
          <w:sz w:val="22"/>
          <w:szCs w:val="22"/>
        </w:rPr>
        <w:t xml:space="preserve">Primero. </w:t>
      </w:r>
      <w:r w:rsidRPr="0057241C">
        <w:rPr>
          <w:rFonts w:ascii="Palatino Linotype" w:eastAsia="Palatino Linotype" w:hAnsi="Palatino Linotype" w:cs="Palatino Linotype"/>
          <w:sz w:val="22"/>
          <w:szCs w:val="22"/>
        </w:rPr>
        <w:t>Resultan</w:t>
      </w:r>
      <w:r w:rsidRPr="0057241C">
        <w:rPr>
          <w:rFonts w:ascii="Palatino Linotype" w:eastAsia="Palatino Linotype" w:hAnsi="Palatino Linotype" w:cs="Palatino Linotype"/>
          <w:b/>
          <w:sz w:val="22"/>
          <w:szCs w:val="22"/>
        </w:rPr>
        <w:t xml:space="preserve"> fundadas</w:t>
      </w:r>
      <w:r w:rsidRPr="0057241C">
        <w:rPr>
          <w:rFonts w:ascii="Palatino Linotype" w:eastAsia="Palatino Linotype" w:hAnsi="Palatino Linotype" w:cs="Palatino Linotype"/>
          <w:sz w:val="22"/>
          <w:szCs w:val="22"/>
        </w:rPr>
        <w:t xml:space="preserve"> las razones o motivos de inconformidad hechos valer por la parte</w:t>
      </w:r>
      <w:r w:rsidRPr="0057241C">
        <w:rPr>
          <w:rFonts w:ascii="Palatino Linotype" w:eastAsia="Palatino Linotype" w:hAnsi="Palatino Linotype" w:cs="Palatino Linotype"/>
          <w:b/>
          <w:sz w:val="22"/>
          <w:szCs w:val="22"/>
        </w:rPr>
        <w:t xml:space="preserve"> Recurrente</w:t>
      </w:r>
      <w:r w:rsidRPr="0057241C">
        <w:rPr>
          <w:rFonts w:ascii="Palatino Linotype" w:eastAsia="Palatino Linotype" w:hAnsi="Palatino Linotype" w:cs="Palatino Linotype"/>
          <w:sz w:val="22"/>
          <w:szCs w:val="22"/>
        </w:rPr>
        <w:t xml:space="preserve"> en el recurso de revisión </w:t>
      </w:r>
      <w:r w:rsidR="00AC6FF0" w:rsidRPr="0057241C">
        <w:rPr>
          <w:rFonts w:ascii="Palatino Linotype" w:eastAsia="Palatino Linotype" w:hAnsi="Palatino Linotype" w:cs="Palatino Linotype"/>
          <w:b/>
          <w:sz w:val="22"/>
          <w:szCs w:val="22"/>
        </w:rPr>
        <w:t>10</w:t>
      </w:r>
      <w:r w:rsidR="00855868" w:rsidRPr="0057241C">
        <w:rPr>
          <w:rFonts w:ascii="Palatino Linotype" w:eastAsia="Palatino Linotype" w:hAnsi="Palatino Linotype" w:cs="Palatino Linotype"/>
          <w:b/>
          <w:sz w:val="22"/>
          <w:szCs w:val="22"/>
        </w:rPr>
        <w:t>829</w:t>
      </w:r>
      <w:r w:rsidRPr="0057241C">
        <w:rPr>
          <w:rFonts w:ascii="Palatino Linotype" w:eastAsia="Palatino Linotype" w:hAnsi="Palatino Linotype" w:cs="Palatino Linotype"/>
          <w:b/>
          <w:sz w:val="22"/>
          <w:szCs w:val="22"/>
        </w:rPr>
        <w:t>/INFOEM/IP/RR/202</w:t>
      </w:r>
      <w:r w:rsidR="00625B99" w:rsidRPr="0057241C">
        <w:rPr>
          <w:rFonts w:ascii="Palatino Linotype" w:eastAsia="Palatino Linotype" w:hAnsi="Palatino Linotype" w:cs="Palatino Linotype"/>
          <w:b/>
          <w:sz w:val="22"/>
          <w:szCs w:val="22"/>
        </w:rPr>
        <w:t>5</w:t>
      </w:r>
      <w:r w:rsidRPr="0057241C">
        <w:rPr>
          <w:rFonts w:ascii="Palatino Linotype" w:eastAsia="Palatino Linotype" w:hAnsi="Palatino Linotype" w:cs="Palatino Linotype"/>
          <w:sz w:val="22"/>
          <w:szCs w:val="22"/>
        </w:rPr>
        <w:t xml:space="preserve">; por lo que, en términos del </w:t>
      </w:r>
      <w:r w:rsidRPr="0057241C">
        <w:rPr>
          <w:rFonts w:ascii="Palatino Linotype" w:eastAsia="Palatino Linotype" w:hAnsi="Palatino Linotype" w:cs="Palatino Linotype"/>
          <w:b/>
          <w:sz w:val="22"/>
          <w:szCs w:val="22"/>
        </w:rPr>
        <w:t>Considerando</w:t>
      </w:r>
      <w:r w:rsidRPr="0057241C">
        <w:rPr>
          <w:rFonts w:ascii="Palatino Linotype" w:eastAsia="Palatino Linotype" w:hAnsi="Palatino Linotype" w:cs="Palatino Linotype"/>
          <w:sz w:val="22"/>
          <w:szCs w:val="22"/>
        </w:rPr>
        <w:t xml:space="preserve"> </w:t>
      </w:r>
      <w:r w:rsidRPr="0057241C">
        <w:rPr>
          <w:rFonts w:ascii="Palatino Linotype" w:eastAsia="Palatino Linotype" w:hAnsi="Palatino Linotype" w:cs="Palatino Linotype"/>
          <w:b/>
          <w:sz w:val="22"/>
          <w:szCs w:val="22"/>
        </w:rPr>
        <w:t xml:space="preserve">Cuarto </w:t>
      </w:r>
      <w:r w:rsidRPr="0057241C">
        <w:rPr>
          <w:rFonts w:ascii="Palatino Linotype" w:eastAsia="Palatino Linotype" w:hAnsi="Palatino Linotype" w:cs="Palatino Linotype"/>
          <w:sz w:val="22"/>
          <w:szCs w:val="22"/>
        </w:rPr>
        <w:t xml:space="preserve">de esta resolución, se </w:t>
      </w:r>
      <w:r w:rsidR="0054543F" w:rsidRPr="0057241C">
        <w:rPr>
          <w:rFonts w:ascii="Palatino Linotype" w:eastAsia="Palatino Linotype" w:hAnsi="Palatino Linotype" w:cs="Palatino Linotype"/>
          <w:b/>
          <w:sz w:val="22"/>
          <w:szCs w:val="22"/>
        </w:rPr>
        <w:t>Revoca</w:t>
      </w:r>
      <w:r w:rsidRPr="0057241C">
        <w:rPr>
          <w:rFonts w:ascii="Palatino Linotype" w:eastAsia="Palatino Linotype" w:hAnsi="Palatino Linotype" w:cs="Palatino Linotype"/>
          <w:b/>
          <w:sz w:val="22"/>
          <w:szCs w:val="22"/>
        </w:rPr>
        <w:t xml:space="preserve"> </w:t>
      </w:r>
      <w:r w:rsidRPr="0057241C">
        <w:rPr>
          <w:rFonts w:ascii="Palatino Linotype" w:eastAsia="Palatino Linotype" w:hAnsi="Palatino Linotype" w:cs="Palatino Linotype"/>
          <w:sz w:val="22"/>
          <w:szCs w:val="22"/>
        </w:rPr>
        <w:t xml:space="preserve">la respuesta emitida por el </w:t>
      </w:r>
      <w:r w:rsidRPr="0057241C">
        <w:rPr>
          <w:rFonts w:ascii="Palatino Linotype" w:eastAsia="Palatino Linotype" w:hAnsi="Palatino Linotype" w:cs="Palatino Linotype"/>
          <w:b/>
          <w:sz w:val="22"/>
          <w:szCs w:val="22"/>
        </w:rPr>
        <w:t xml:space="preserve">Sujeto Obligado. </w:t>
      </w:r>
    </w:p>
    <w:p w14:paraId="3F306F48" w14:textId="1BE8F2D6" w:rsidR="001A60C5" w:rsidRPr="0057241C" w:rsidRDefault="00193AE1" w:rsidP="001A60C5">
      <w:pPr>
        <w:spacing w:before="240" w:after="240" w:line="360" w:lineRule="auto"/>
        <w:ind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b/>
          <w:sz w:val="22"/>
          <w:szCs w:val="22"/>
        </w:rPr>
        <w:t xml:space="preserve">Segundo. </w:t>
      </w:r>
      <w:r w:rsidRPr="0057241C">
        <w:rPr>
          <w:rFonts w:ascii="Palatino Linotype" w:eastAsia="Palatino Linotype" w:hAnsi="Palatino Linotype" w:cs="Palatino Linotype"/>
          <w:sz w:val="22"/>
          <w:szCs w:val="22"/>
        </w:rPr>
        <w:t xml:space="preserve">Se </w:t>
      </w:r>
      <w:r w:rsidRPr="0057241C">
        <w:rPr>
          <w:rFonts w:ascii="Palatino Linotype" w:eastAsia="Palatino Linotype" w:hAnsi="Palatino Linotype" w:cs="Palatino Linotype"/>
          <w:b/>
          <w:sz w:val="22"/>
          <w:szCs w:val="22"/>
        </w:rPr>
        <w:t>Ordena</w:t>
      </w:r>
      <w:r w:rsidRPr="0057241C">
        <w:rPr>
          <w:rFonts w:ascii="Palatino Linotype" w:eastAsia="Palatino Linotype" w:hAnsi="Palatino Linotype" w:cs="Palatino Linotype"/>
          <w:sz w:val="22"/>
          <w:szCs w:val="22"/>
        </w:rPr>
        <w:t xml:space="preserve"> al </w:t>
      </w:r>
      <w:r w:rsidRPr="0057241C">
        <w:rPr>
          <w:rFonts w:ascii="Palatino Linotype" w:eastAsia="Palatino Linotype" w:hAnsi="Palatino Linotype" w:cs="Palatino Linotype"/>
          <w:b/>
          <w:sz w:val="22"/>
          <w:szCs w:val="22"/>
        </w:rPr>
        <w:t>Sujeto Obligado</w:t>
      </w:r>
      <w:r w:rsidRPr="0057241C">
        <w:rPr>
          <w:rFonts w:ascii="Palatino Linotype" w:eastAsia="Palatino Linotype" w:hAnsi="Palatino Linotype" w:cs="Palatino Linotype"/>
          <w:sz w:val="22"/>
          <w:szCs w:val="22"/>
        </w:rPr>
        <w:t xml:space="preserve">, en términos de los Considerandos </w:t>
      </w:r>
      <w:r w:rsidRPr="0057241C">
        <w:rPr>
          <w:rFonts w:ascii="Palatino Linotype" w:eastAsia="Palatino Linotype" w:hAnsi="Palatino Linotype" w:cs="Palatino Linotype"/>
          <w:b/>
          <w:sz w:val="22"/>
          <w:szCs w:val="22"/>
        </w:rPr>
        <w:t xml:space="preserve">Cuarto </w:t>
      </w:r>
      <w:r w:rsidRPr="0057241C">
        <w:rPr>
          <w:rFonts w:ascii="Palatino Linotype" w:eastAsia="Palatino Linotype" w:hAnsi="Palatino Linotype" w:cs="Palatino Linotype"/>
          <w:sz w:val="22"/>
          <w:szCs w:val="22"/>
        </w:rPr>
        <w:t xml:space="preserve">y </w:t>
      </w:r>
      <w:r w:rsidRPr="0057241C">
        <w:rPr>
          <w:rFonts w:ascii="Palatino Linotype" w:eastAsia="Palatino Linotype" w:hAnsi="Palatino Linotype" w:cs="Palatino Linotype"/>
          <w:b/>
          <w:sz w:val="22"/>
          <w:szCs w:val="22"/>
        </w:rPr>
        <w:t xml:space="preserve">Quinto </w:t>
      </w:r>
      <w:r w:rsidRPr="0057241C">
        <w:rPr>
          <w:rFonts w:ascii="Palatino Linotype" w:eastAsia="Palatino Linotype" w:hAnsi="Palatino Linotype" w:cs="Palatino Linotype"/>
          <w:sz w:val="22"/>
          <w:szCs w:val="22"/>
        </w:rPr>
        <w:t xml:space="preserve">de esta resolución, haga entrega, </w:t>
      </w:r>
      <w:r w:rsidR="001A60C5" w:rsidRPr="0057241C">
        <w:rPr>
          <w:rFonts w:ascii="Palatino Linotype" w:eastAsia="Palatino Linotype" w:hAnsi="Palatino Linotype" w:cs="Palatino Linotype"/>
          <w:sz w:val="22"/>
          <w:szCs w:val="22"/>
        </w:rPr>
        <w:t xml:space="preserve">vía </w:t>
      </w:r>
      <w:r w:rsidR="001A60C5" w:rsidRPr="0057241C">
        <w:rPr>
          <w:rFonts w:ascii="Palatino Linotype" w:eastAsia="Palatino Linotype" w:hAnsi="Palatino Linotype" w:cs="Palatino Linotype"/>
          <w:b/>
          <w:sz w:val="22"/>
          <w:szCs w:val="22"/>
        </w:rPr>
        <w:t>SAIMEX</w:t>
      </w:r>
      <w:r w:rsidR="001A60C5" w:rsidRPr="0057241C">
        <w:rPr>
          <w:rFonts w:ascii="Palatino Linotype" w:eastAsia="Palatino Linotype" w:hAnsi="Palatino Linotype" w:cs="Palatino Linotype"/>
          <w:sz w:val="22"/>
          <w:szCs w:val="22"/>
        </w:rPr>
        <w:t>, en versión pública</w:t>
      </w:r>
      <w:r w:rsidR="0054543F" w:rsidRPr="0057241C">
        <w:rPr>
          <w:rFonts w:ascii="Palatino Linotype" w:eastAsia="Palatino Linotype" w:hAnsi="Palatino Linotype" w:cs="Palatino Linotype"/>
          <w:sz w:val="22"/>
          <w:szCs w:val="22"/>
        </w:rPr>
        <w:t xml:space="preserve"> de ser procedente</w:t>
      </w:r>
      <w:r w:rsidR="001A60C5" w:rsidRPr="0057241C">
        <w:rPr>
          <w:rFonts w:ascii="Palatino Linotype" w:eastAsia="Palatino Linotype" w:hAnsi="Palatino Linotype" w:cs="Palatino Linotype"/>
          <w:sz w:val="22"/>
          <w:szCs w:val="22"/>
        </w:rPr>
        <w:t>, de lo siguiente:</w:t>
      </w:r>
    </w:p>
    <w:p w14:paraId="3BDE3C75" w14:textId="1C1C7877" w:rsidR="00802B29" w:rsidRPr="0057241C" w:rsidRDefault="009B7ACC" w:rsidP="00AC6FF0">
      <w:pPr>
        <w:spacing w:before="240" w:after="240" w:line="360" w:lineRule="auto"/>
        <w:ind w:left="284" w:right="49"/>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1.</w:t>
      </w:r>
      <w:r w:rsidR="00DC2289" w:rsidRPr="0057241C">
        <w:rPr>
          <w:rFonts w:ascii="Palatino Linotype" w:eastAsia="Palatino Linotype" w:hAnsi="Palatino Linotype" w:cs="Palatino Linotype"/>
          <w:sz w:val="22"/>
          <w:szCs w:val="22"/>
        </w:rPr>
        <w:t xml:space="preserve"> Los contratos celebrados para la adquisición de las 35 patrullas y las 5 unidades de protección civil del uno de enero al dieciocho de agosto de dos mil veinticinco, así como las facturas correspondientes</w:t>
      </w:r>
      <w:r w:rsidR="0054543F" w:rsidRPr="0057241C">
        <w:rPr>
          <w:rFonts w:ascii="Palatino Linotype" w:eastAsia="Palatino Linotype" w:hAnsi="Palatino Linotype" w:cs="Palatino Linotype"/>
          <w:sz w:val="22"/>
          <w:szCs w:val="22"/>
        </w:rPr>
        <w:t>.</w:t>
      </w:r>
    </w:p>
    <w:p w14:paraId="74AB4F6D" w14:textId="7E0151BE" w:rsidR="00193AE1" w:rsidRPr="0057241C" w:rsidRDefault="00193AE1" w:rsidP="00701A9C">
      <w:pPr>
        <w:spacing w:before="120" w:after="120"/>
        <w:ind w:left="284"/>
        <w:jc w:val="both"/>
        <w:rPr>
          <w:rFonts w:ascii="Palatino Linotype" w:eastAsia="Palatino Linotype" w:hAnsi="Palatino Linotype" w:cs="Palatino Linotype"/>
          <w:i/>
          <w:sz w:val="20"/>
          <w:szCs w:val="20"/>
        </w:rPr>
      </w:pPr>
      <w:r w:rsidRPr="0057241C">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57241C">
        <w:rPr>
          <w:rFonts w:ascii="Palatino Linotype" w:eastAsia="Palatino Linotype" w:hAnsi="Palatino Linotype" w:cs="Palatino Linotype"/>
          <w:b/>
          <w:i/>
          <w:sz w:val="20"/>
          <w:szCs w:val="20"/>
        </w:rPr>
        <w:t>Recurrente</w:t>
      </w:r>
      <w:r w:rsidRPr="0057241C">
        <w:rPr>
          <w:rFonts w:ascii="Palatino Linotype" w:eastAsia="Palatino Linotype" w:hAnsi="Palatino Linotype" w:cs="Palatino Linotype"/>
          <w:i/>
          <w:sz w:val="20"/>
          <w:szCs w:val="20"/>
        </w:rPr>
        <w:t>, en términos de los artículos 49, fracción VIII, de la Ley de Transparencia y Acceso a la Información Pública del Estado de México y Municipios.</w:t>
      </w:r>
    </w:p>
    <w:p w14:paraId="226DFD9F" w14:textId="513E799E" w:rsidR="0054543F" w:rsidRPr="0057241C" w:rsidRDefault="0054543F" w:rsidP="0054543F">
      <w:pPr>
        <w:spacing w:before="120" w:after="120"/>
        <w:ind w:left="284"/>
        <w:jc w:val="both"/>
        <w:rPr>
          <w:rFonts w:ascii="Palatino Linotype" w:eastAsia="Palatino Linotype" w:hAnsi="Palatino Linotype" w:cs="Palatino Linotype"/>
          <w:i/>
          <w:sz w:val="20"/>
          <w:szCs w:val="20"/>
        </w:rPr>
      </w:pPr>
      <w:r w:rsidRPr="0057241C">
        <w:rPr>
          <w:rFonts w:ascii="Palatino Linotype" w:eastAsia="Palatino Linotype" w:hAnsi="Palatino Linotype" w:cs="Palatino Linotype"/>
          <w:i/>
          <w:sz w:val="20"/>
          <w:szCs w:val="20"/>
        </w:rPr>
        <w:t xml:space="preserve">En el supuesto que la información que se ordena no obre en los archivos del </w:t>
      </w:r>
      <w:r w:rsidRPr="0057241C">
        <w:rPr>
          <w:rFonts w:ascii="Palatino Linotype" w:eastAsia="Palatino Linotype" w:hAnsi="Palatino Linotype" w:cs="Palatino Linotype"/>
          <w:b/>
          <w:i/>
          <w:sz w:val="20"/>
          <w:szCs w:val="20"/>
        </w:rPr>
        <w:t>Sujeto Obligado, por no haberse generado, poseído o administrado</w:t>
      </w:r>
      <w:r w:rsidRPr="0057241C">
        <w:rPr>
          <w:rFonts w:ascii="Palatino Linotype" w:eastAsia="Palatino Linotype" w:hAnsi="Palatino Linotype" w:cs="Palatino Linotype"/>
          <w:i/>
          <w:sz w:val="20"/>
          <w:szCs w:val="20"/>
        </w:rPr>
        <w:t xml:space="preserve">, bastará con que así lo haga del conocimiento de la parte </w:t>
      </w:r>
      <w:r w:rsidRPr="0057241C">
        <w:rPr>
          <w:rFonts w:ascii="Palatino Linotype" w:eastAsia="Palatino Linotype" w:hAnsi="Palatino Linotype" w:cs="Palatino Linotype"/>
          <w:b/>
          <w:i/>
          <w:sz w:val="20"/>
          <w:szCs w:val="20"/>
        </w:rPr>
        <w:t>Recurrente</w:t>
      </w:r>
      <w:r w:rsidRPr="0057241C">
        <w:rPr>
          <w:rFonts w:ascii="Palatino Linotype" w:eastAsia="Palatino Linotype" w:hAnsi="Palatino Linotype" w:cs="Palatino Linotype"/>
          <w:i/>
          <w:sz w:val="20"/>
          <w:szCs w:val="20"/>
        </w:rPr>
        <w:t>, en términos del artículo 19, párrafo segundo de la Ley de Transparencia y Acceso a la Información Pública del Estado de México y Municipios, para tener por colmado el requerimiento de información.</w:t>
      </w:r>
    </w:p>
    <w:p w14:paraId="6B12F0AC" w14:textId="77777777" w:rsidR="00193AE1" w:rsidRPr="0057241C" w:rsidRDefault="00193AE1" w:rsidP="00193AE1">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b/>
          <w:sz w:val="22"/>
          <w:szCs w:val="22"/>
        </w:rPr>
        <w:t xml:space="preserve">Tercero. Notifíquese, </w:t>
      </w:r>
      <w:r w:rsidRPr="0057241C">
        <w:rPr>
          <w:rFonts w:ascii="Palatino Linotype" w:eastAsia="Palatino Linotype" w:hAnsi="Palatino Linotype" w:cs="Palatino Linotype"/>
          <w:sz w:val="22"/>
          <w:szCs w:val="22"/>
        </w:rPr>
        <w:t xml:space="preserve">vía </w:t>
      </w:r>
      <w:r w:rsidRPr="0057241C">
        <w:rPr>
          <w:rFonts w:ascii="Palatino Linotype" w:eastAsia="Palatino Linotype" w:hAnsi="Palatino Linotype" w:cs="Palatino Linotype"/>
          <w:b/>
          <w:sz w:val="22"/>
          <w:szCs w:val="22"/>
        </w:rPr>
        <w:t>SAIMEX</w:t>
      </w:r>
      <w:r w:rsidRPr="0057241C">
        <w:rPr>
          <w:rFonts w:ascii="Palatino Linotype" w:eastAsia="Palatino Linotype" w:hAnsi="Palatino Linotype" w:cs="Palatino Linotype"/>
          <w:sz w:val="22"/>
          <w:szCs w:val="22"/>
        </w:rPr>
        <w:t xml:space="preserve">, al Titular de la Unidad de Transparencia del </w:t>
      </w:r>
      <w:r w:rsidRPr="0057241C">
        <w:rPr>
          <w:rFonts w:ascii="Palatino Linotype" w:eastAsia="Palatino Linotype" w:hAnsi="Palatino Linotype" w:cs="Palatino Linotype"/>
          <w:b/>
          <w:sz w:val="22"/>
          <w:szCs w:val="22"/>
        </w:rPr>
        <w:t>Sujeto Obligado,</w:t>
      </w:r>
      <w:r w:rsidRPr="0057241C">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0A7DBDD" w14:textId="77777777" w:rsidR="00193AE1" w:rsidRPr="0057241C" w:rsidRDefault="00193AE1" w:rsidP="00193AE1">
      <w:pPr>
        <w:spacing w:before="240" w:after="240" w:line="360" w:lineRule="auto"/>
        <w:jc w:val="both"/>
        <w:rPr>
          <w:rFonts w:ascii="Palatino Linotype" w:eastAsia="Palatino Linotype" w:hAnsi="Palatino Linotype" w:cs="Palatino Linotype"/>
          <w:sz w:val="22"/>
          <w:szCs w:val="22"/>
        </w:rPr>
      </w:pPr>
      <w:r w:rsidRPr="0057241C">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57241C">
        <w:rPr>
          <w:rFonts w:ascii="Palatino Linotype" w:eastAsia="Palatino Linotype" w:hAnsi="Palatino Linotype" w:cs="Palatino Linotype"/>
          <w:b/>
          <w:sz w:val="22"/>
          <w:szCs w:val="22"/>
        </w:rPr>
        <w:t>Sujeto Obligado</w:t>
      </w:r>
      <w:r w:rsidRPr="0057241C">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52AA7DFB" w14:textId="77777777" w:rsidR="00193AE1" w:rsidRPr="0057241C" w:rsidRDefault="00193AE1" w:rsidP="00193AE1">
      <w:pPr>
        <w:spacing w:before="240" w:after="240" w:line="360" w:lineRule="auto"/>
        <w:jc w:val="both"/>
        <w:rPr>
          <w:rFonts w:ascii="Palatino Linotype" w:eastAsia="Palatino Linotype" w:hAnsi="Palatino Linotype" w:cs="Palatino Linotype"/>
          <w:sz w:val="22"/>
          <w:szCs w:val="22"/>
        </w:rPr>
      </w:pPr>
      <w:bookmarkStart w:id="12" w:name="_heading=h.17dp8vu" w:colFirst="0" w:colLast="0"/>
      <w:bookmarkEnd w:id="12"/>
      <w:r w:rsidRPr="0057241C">
        <w:rPr>
          <w:rFonts w:ascii="Palatino Linotype" w:eastAsia="Palatino Linotype" w:hAnsi="Palatino Linotype" w:cs="Palatino Linotype"/>
          <w:b/>
          <w:sz w:val="22"/>
          <w:szCs w:val="22"/>
        </w:rPr>
        <w:t xml:space="preserve">Cuarto.  Notifíquese, </w:t>
      </w:r>
      <w:r w:rsidRPr="0057241C">
        <w:rPr>
          <w:rFonts w:ascii="Palatino Linotype" w:eastAsia="Palatino Linotype" w:hAnsi="Palatino Linotype" w:cs="Palatino Linotype"/>
          <w:sz w:val="22"/>
          <w:szCs w:val="22"/>
        </w:rPr>
        <w:t xml:space="preserve">vía </w:t>
      </w:r>
      <w:r w:rsidRPr="0057241C">
        <w:rPr>
          <w:rFonts w:ascii="Palatino Linotype" w:eastAsia="Palatino Linotype" w:hAnsi="Palatino Linotype" w:cs="Palatino Linotype"/>
          <w:b/>
          <w:sz w:val="22"/>
          <w:szCs w:val="22"/>
        </w:rPr>
        <w:t>SAIMEX</w:t>
      </w:r>
      <w:r w:rsidRPr="0057241C">
        <w:rPr>
          <w:rFonts w:ascii="Palatino Linotype" w:eastAsia="Palatino Linotype" w:hAnsi="Palatino Linotype" w:cs="Palatino Linotype"/>
          <w:sz w:val="22"/>
          <w:szCs w:val="22"/>
        </w:rPr>
        <w:t xml:space="preserve">, a la parte </w:t>
      </w:r>
      <w:r w:rsidRPr="0057241C">
        <w:rPr>
          <w:rFonts w:ascii="Palatino Linotype" w:eastAsia="Palatino Linotype" w:hAnsi="Palatino Linotype" w:cs="Palatino Linotype"/>
          <w:b/>
          <w:sz w:val="22"/>
          <w:szCs w:val="22"/>
        </w:rPr>
        <w:t>Recurrente</w:t>
      </w:r>
      <w:r w:rsidRPr="0057241C">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D598642" w14:textId="5293FCF3" w:rsidR="00562A90" w:rsidRPr="00746F91" w:rsidRDefault="0062255D">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3" w:name="_heading=h.lnxbz9" w:colFirst="0" w:colLast="0"/>
      <w:bookmarkEnd w:id="13"/>
      <w:r w:rsidRPr="0057241C">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746F91" w:rsidRPr="0057241C">
        <w:rPr>
          <w:rFonts w:ascii="Palatino Linotype" w:eastAsia="Palatino Linotype" w:hAnsi="Palatino Linotype" w:cs="Palatino Linotype"/>
          <w:sz w:val="22"/>
          <w:szCs w:val="22"/>
        </w:rPr>
        <w:t xml:space="preserve"> EMITIENDO VOTO PARTICULAR</w:t>
      </w:r>
      <w:r w:rsidRPr="0057241C">
        <w:rPr>
          <w:rFonts w:ascii="Palatino Linotype" w:eastAsia="Palatino Linotype" w:hAnsi="Palatino Linotype" w:cs="Palatino Linotype"/>
          <w:sz w:val="22"/>
          <w:szCs w:val="22"/>
        </w:rPr>
        <w:t xml:space="preserve"> Y GUADALUPE RAMÍREZ PEÑA, EN LA </w:t>
      </w:r>
      <w:r w:rsidR="00425F35" w:rsidRPr="0057241C">
        <w:rPr>
          <w:rFonts w:ascii="Palatino Linotype" w:eastAsia="Palatino Linotype" w:hAnsi="Palatino Linotype" w:cs="Palatino Linotype"/>
          <w:sz w:val="22"/>
          <w:szCs w:val="22"/>
        </w:rPr>
        <w:t>CUADRAGÉSIMA</w:t>
      </w:r>
      <w:r w:rsidR="005F7A69" w:rsidRPr="0057241C">
        <w:rPr>
          <w:rFonts w:ascii="Palatino Linotype" w:eastAsia="Palatino Linotype" w:hAnsi="Palatino Linotype" w:cs="Palatino Linotype"/>
          <w:sz w:val="22"/>
          <w:szCs w:val="22"/>
        </w:rPr>
        <w:t xml:space="preserve"> </w:t>
      </w:r>
      <w:r w:rsidR="001D0F50" w:rsidRPr="0057241C">
        <w:rPr>
          <w:rFonts w:ascii="Palatino Linotype" w:eastAsia="Palatino Linotype" w:hAnsi="Palatino Linotype" w:cs="Palatino Linotype"/>
          <w:sz w:val="22"/>
          <w:szCs w:val="22"/>
        </w:rPr>
        <w:t xml:space="preserve">CUARTA </w:t>
      </w:r>
      <w:r w:rsidRPr="0057241C">
        <w:rPr>
          <w:rFonts w:ascii="Palatino Linotype" w:eastAsia="Palatino Linotype" w:hAnsi="Palatino Linotype" w:cs="Palatino Linotype"/>
          <w:sz w:val="22"/>
          <w:szCs w:val="22"/>
        </w:rPr>
        <w:t xml:space="preserve">SESIÓN ORDINARIA CELEBRADA EL </w:t>
      </w:r>
      <w:r w:rsidR="001D0F50" w:rsidRPr="0057241C">
        <w:rPr>
          <w:rFonts w:ascii="Palatino Linotype" w:eastAsia="Palatino Linotype" w:hAnsi="Palatino Linotype" w:cs="Palatino Linotype"/>
          <w:sz w:val="22"/>
          <w:szCs w:val="22"/>
        </w:rPr>
        <w:t xml:space="preserve">DIEZ </w:t>
      </w:r>
      <w:r w:rsidR="005F7A69" w:rsidRPr="0057241C">
        <w:rPr>
          <w:rFonts w:ascii="Palatino Linotype" w:eastAsia="Palatino Linotype" w:hAnsi="Palatino Linotype" w:cs="Palatino Linotype"/>
          <w:sz w:val="22"/>
          <w:szCs w:val="22"/>
        </w:rPr>
        <w:t>DE DICIEMBRE</w:t>
      </w:r>
      <w:r w:rsidRPr="0057241C">
        <w:rPr>
          <w:rFonts w:ascii="Palatino Linotype" w:eastAsia="Palatino Linotype" w:hAnsi="Palatino Linotype" w:cs="Palatino Linotype"/>
          <w:sz w:val="22"/>
          <w:szCs w:val="22"/>
        </w:rPr>
        <w:t xml:space="preserve"> DE DOS MIL VEINTICINCO, ANTE EL SECRETARIO TÉCNICO DEL PLENO ALEXIS TAPIA RAMÍREZ.</w:t>
      </w:r>
    </w:p>
    <w:p w14:paraId="7E80776D" w14:textId="77777777" w:rsidR="00562A90" w:rsidRPr="00746F91" w:rsidRDefault="00562A90">
      <w:pPr>
        <w:spacing w:line="360" w:lineRule="auto"/>
        <w:jc w:val="both"/>
        <w:rPr>
          <w:rFonts w:ascii="Palatino Linotype" w:eastAsia="Palatino Linotype" w:hAnsi="Palatino Linotype" w:cs="Palatino Linotype"/>
          <w:sz w:val="22"/>
          <w:szCs w:val="22"/>
        </w:rPr>
      </w:pPr>
    </w:p>
    <w:p w14:paraId="21728E8E" w14:textId="77777777" w:rsidR="00562A90" w:rsidRPr="00746F91" w:rsidRDefault="00562A90">
      <w:pPr>
        <w:spacing w:line="360" w:lineRule="auto"/>
        <w:jc w:val="center"/>
        <w:rPr>
          <w:rFonts w:ascii="Palatino Linotype" w:eastAsia="Palatino Linotype" w:hAnsi="Palatino Linotype" w:cs="Palatino Linotype"/>
          <w:sz w:val="22"/>
          <w:szCs w:val="22"/>
        </w:rPr>
      </w:pPr>
    </w:p>
    <w:p w14:paraId="42D39E19" w14:textId="77777777" w:rsidR="00562A90" w:rsidRPr="00746F91" w:rsidRDefault="00562A90">
      <w:pPr>
        <w:spacing w:line="360" w:lineRule="auto"/>
        <w:jc w:val="both"/>
        <w:rPr>
          <w:rFonts w:ascii="Palatino Linotype" w:eastAsia="Palatino Linotype" w:hAnsi="Palatino Linotype" w:cs="Palatino Linotype"/>
          <w:sz w:val="22"/>
          <w:szCs w:val="22"/>
        </w:rPr>
      </w:pPr>
    </w:p>
    <w:p w14:paraId="4B650DFB" w14:textId="77777777" w:rsidR="00562A90" w:rsidRPr="00746F91" w:rsidRDefault="00562A90">
      <w:pPr>
        <w:spacing w:line="360" w:lineRule="auto"/>
        <w:jc w:val="both"/>
        <w:rPr>
          <w:rFonts w:ascii="Palatino Linotype" w:eastAsia="Palatino Linotype" w:hAnsi="Palatino Linotype" w:cs="Palatino Linotype"/>
          <w:sz w:val="22"/>
          <w:szCs w:val="22"/>
        </w:rPr>
      </w:pPr>
    </w:p>
    <w:p w14:paraId="7ED63B69" w14:textId="77777777" w:rsidR="00562A90" w:rsidRPr="00746F91" w:rsidRDefault="00562A90">
      <w:pPr>
        <w:spacing w:line="360" w:lineRule="auto"/>
        <w:jc w:val="both"/>
        <w:rPr>
          <w:rFonts w:ascii="Palatino Linotype" w:eastAsia="Palatino Linotype" w:hAnsi="Palatino Linotype" w:cs="Palatino Linotype"/>
          <w:sz w:val="22"/>
          <w:szCs w:val="22"/>
        </w:rPr>
      </w:pPr>
    </w:p>
    <w:p w14:paraId="7BB21431" w14:textId="77777777" w:rsidR="00562A90" w:rsidRPr="00746F91" w:rsidRDefault="00562A90">
      <w:pPr>
        <w:spacing w:line="360" w:lineRule="auto"/>
        <w:jc w:val="both"/>
        <w:rPr>
          <w:rFonts w:ascii="Palatino Linotype" w:eastAsia="Palatino Linotype" w:hAnsi="Palatino Linotype" w:cs="Palatino Linotype"/>
          <w:sz w:val="22"/>
          <w:szCs w:val="22"/>
        </w:rPr>
      </w:pPr>
    </w:p>
    <w:p w14:paraId="79BD8F1D" w14:textId="77777777" w:rsidR="00562A90" w:rsidRPr="00746F91" w:rsidRDefault="00562A90">
      <w:pPr>
        <w:spacing w:line="360" w:lineRule="auto"/>
        <w:jc w:val="both"/>
        <w:rPr>
          <w:rFonts w:ascii="Palatino Linotype" w:eastAsia="Palatino Linotype" w:hAnsi="Palatino Linotype" w:cs="Palatino Linotype"/>
          <w:sz w:val="22"/>
          <w:szCs w:val="22"/>
        </w:rPr>
      </w:pPr>
    </w:p>
    <w:p w14:paraId="78283A5A" w14:textId="77777777" w:rsidR="00562A90" w:rsidRPr="00746F91" w:rsidRDefault="00562A90">
      <w:pPr>
        <w:spacing w:line="360" w:lineRule="auto"/>
        <w:jc w:val="both"/>
        <w:rPr>
          <w:rFonts w:ascii="Palatino Linotype" w:eastAsia="Palatino Linotype" w:hAnsi="Palatino Linotype" w:cs="Palatino Linotype"/>
          <w:sz w:val="22"/>
          <w:szCs w:val="22"/>
        </w:rPr>
      </w:pPr>
    </w:p>
    <w:p w14:paraId="3A538169" w14:textId="77777777" w:rsidR="00562A90" w:rsidRPr="00746F91" w:rsidRDefault="00562A90">
      <w:pPr>
        <w:spacing w:line="360" w:lineRule="auto"/>
        <w:jc w:val="both"/>
        <w:rPr>
          <w:rFonts w:ascii="Palatino Linotype" w:eastAsia="Palatino Linotype" w:hAnsi="Palatino Linotype" w:cs="Palatino Linotype"/>
          <w:sz w:val="22"/>
          <w:szCs w:val="22"/>
        </w:rPr>
      </w:pPr>
    </w:p>
    <w:p w14:paraId="30987695" w14:textId="77777777" w:rsidR="00562A90" w:rsidRPr="00746F91" w:rsidRDefault="00562A90">
      <w:pPr>
        <w:spacing w:line="360" w:lineRule="auto"/>
        <w:jc w:val="both"/>
        <w:rPr>
          <w:rFonts w:ascii="Palatino Linotype" w:eastAsia="Palatino Linotype" w:hAnsi="Palatino Linotype" w:cs="Palatino Linotype"/>
          <w:sz w:val="22"/>
          <w:szCs w:val="22"/>
        </w:rPr>
      </w:pPr>
    </w:p>
    <w:p w14:paraId="6409F902" w14:textId="77777777" w:rsidR="00562A90" w:rsidRPr="00746F91" w:rsidRDefault="00562A90">
      <w:pPr>
        <w:spacing w:line="360" w:lineRule="auto"/>
        <w:jc w:val="both"/>
        <w:rPr>
          <w:rFonts w:ascii="Palatino Linotype" w:eastAsia="Palatino Linotype" w:hAnsi="Palatino Linotype" w:cs="Palatino Linotype"/>
          <w:sz w:val="22"/>
          <w:szCs w:val="22"/>
        </w:rPr>
      </w:pPr>
    </w:p>
    <w:p w14:paraId="6DA2BB7C" w14:textId="77777777" w:rsidR="00562A90" w:rsidRPr="00746F91" w:rsidRDefault="00562A90">
      <w:pPr>
        <w:spacing w:line="360" w:lineRule="auto"/>
        <w:jc w:val="both"/>
        <w:rPr>
          <w:rFonts w:ascii="Palatino Linotype" w:eastAsia="Palatino Linotype" w:hAnsi="Palatino Linotype" w:cs="Palatino Linotype"/>
          <w:sz w:val="22"/>
          <w:szCs w:val="22"/>
        </w:rPr>
      </w:pPr>
    </w:p>
    <w:p w14:paraId="16FF6442" w14:textId="77777777" w:rsidR="00562A90" w:rsidRPr="00746F91" w:rsidRDefault="00562A90">
      <w:pPr>
        <w:spacing w:line="360" w:lineRule="auto"/>
        <w:jc w:val="both"/>
        <w:rPr>
          <w:rFonts w:ascii="Palatino Linotype" w:eastAsia="Palatino Linotype" w:hAnsi="Palatino Linotype" w:cs="Palatino Linotype"/>
          <w:sz w:val="22"/>
          <w:szCs w:val="22"/>
        </w:rPr>
      </w:pPr>
    </w:p>
    <w:p w14:paraId="5EB5F424" w14:textId="77777777" w:rsidR="00562A90" w:rsidRPr="00746F91" w:rsidRDefault="00562A90">
      <w:pPr>
        <w:spacing w:line="360" w:lineRule="auto"/>
        <w:jc w:val="both"/>
        <w:rPr>
          <w:rFonts w:ascii="Palatino Linotype" w:eastAsia="Palatino Linotype" w:hAnsi="Palatino Linotype" w:cs="Palatino Linotype"/>
          <w:sz w:val="22"/>
          <w:szCs w:val="22"/>
        </w:rPr>
      </w:pPr>
    </w:p>
    <w:p w14:paraId="056403D1" w14:textId="77777777" w:rsidR="00562A90" w:rsidRPr="00746F91" w:rsidRDefault="00562A90">
      <w:pPr>
        <w:spacing w:line="360" w:lineRule="auto"/>
        <w:jc w:val="both"/>
        <w:rPr>
          <w:rFonts w:ascii="Palatino Linotype" w:eastAsia="Palatino Linotype" w:hAnsi="Palatino Linotype" w:cs="Palatino Linotype"/>
          <w:sz w:val="22"/>
          <w:szCs w:val="22"/>
        </w:rPr>
      </w:pPr>
    </w:p>
    <w:p w14:paraId="68F30A44" w14:textId="77777777" w:rsidR="00562A90" w:rsidRPr="00746F91" w:rsidRDefault="00562A90">
      <w:pPr>
        <w:spacing w:line="360" w:lineRule="auto"/>
        <w:jc w:val="both"/>
        <w:rPr>
          <w:rFonts w:ascii="Palatino Linotype" w:eastAsia="Palatino Linotype" w:hAnsi="Palatino Linotype" w:cs="Palatino Linotype"/>
          <w:sz w:val="22"/>
          <w:szCs w:val="22"/>
        </w:rPr>
      </w:pPr>
    </w:p>
    <w:p w14:paraId="4EDDCC63" w14:textId="77777777" w:rsidR="00562A90" w:rsidRPr="00746F91" w:rsidRDefault="00562A90">
      <w:pPr>
        <w:spacing w:line="360" w:lineRule="auto"/>
        <w:jc w:val="both"/>
        <w:rPr>
          <w:rFonts w:ascii="Palatino Linotype" w:eastAsia="Palatino Linotype" w:hAnsi="Palatino Linotype" w:cs="Palatino Linotype"/>
          <w:sz w:val="22"/>
          <w:szCs w:val="22"/>
        </w:rPr>
      </w:pPr>
    </w:p>
    <w:p w14:paraId="2DF6CB35" w14:textId="77777777" w:rsidR="00562A90" w:rsidRPr="00746F91" w:rsidRDefault="00562A90">
      <w:pPr>
        <w:spacing w:line="360" w:lineRule="auto"/>
        <w:jc w:val="both"/>
        <w:rPr>
          <w:rFonts w:ascii="Palatino Linotype" w:eastAsia="Palatino Linotype" w:hAnsi="Palatino Linotype" w:cs="Palatino Linotype"/>
          <w:sz w:val="22"/>
          <w:szCs w:val="22"/>
        </w:rPr>
      </w:pPr>
    </w:p>
    <w:p w14:paraId="6FDE708A" w14:textId="77777777" w:rsidR="00562A90" w:rsidRPr="00746F91" w:rsidRDefault="00562A90">
      <w:pPr>
        <w:spacing w:line="360" w:lineRule="auto"/>
        <w:jc w:val="both"/>
        <w:rPr>
          <w:rFonts w:ascii="Palatino Linotype" w:eastAsia="Palatino Linotype" w:hAnsi="Palatino Linotype" w:cs="Palatino Linotype"/>
          <w:sz w:val="22"/>
          <w:szCs w:val="22"/>
        </w:rPr>
      </w:pPr>
    </w:p>
    <w:p w14:paraId="4390587E" w14:textId="77777777" w:rsidR="00562A90" w:rsidRPr="00746F91" w:rsidRDefault="00562A90">
      <w:pPr>
        <w:spacing w:line="360" w:lineRule="auto"/>
        <w:jc w:val="both"/>
        <w:rPr>
          <w:rFonts w:ascii="Palatino Linotype" w:eastAsia="Palatino Linotype" w:hAnsi="Palatino Linotype" w:cs="Palatino Linotype"/>
          <w:sz w:val="22"/>
          <w:szCs w:val="22"/>
        </w:rPr>
      </w:pPr>
    </w:p>
    <w:sectPr w:rsidR="00562A90" w:rsidRPr="00746F91">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4D4B5" w14:textId="77777777" w:rsidR="00DD53C8" w:rsidRDefault="00DD53C8">
      <w:r>
        <w:separator/>
      </w:r>
    </w:p>
  </w:endnote>
  <w:endnote w:type="continuationSeparator" w:id="0">
    <w:p w14:paraId="273F3758" w14:textId="77777777" w:rsidR="00DD53C8" w:rsidRDefault="00DD5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2E014" w14:textId="699ECA48" w:rsidR="00396F4F" w:rsidRDefault="00396F4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51D67">
      <w:rPr>
        <w:rFonts w:ascii="Palatino Linotype" w:eastAsia="Palatino Linotype" w:hAnsi="Palatino Linotype" w:cs="Palatino Linotype"/>
        <w:b/>
        <w:noProof/>
        <w:color w:val="000000"/>
        <w:sz w:val="20"/>
        <w:szCs w:val="20"/>
      </w:rPr>
      <w:t>61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51D67">
      <w:rPr>
        <w:rFonts w:ascii="Palatino Linotype" w:eastAsia="Palatino Linotype" w:hAnsi="Palatino Linotype" w:cs="Palatino Linotype"/>
        <w:b/>
        <w:noProof/>
        <w:color w:val="000000"/>
        <w:sz w:val="20"/>
        <w:szCs w:val="20"/>
      </w:rPr>
      <w:t>62</w:t>
    </w:r>
    <w:r>
      <w:rPr>
        <w:rFonts w:ascii="Palatino Linotype" w:eastAsia="Palatino Linotype" w:hAnsi="Palatino Linotype" w:cs="Palatino Linotype"/>
        <w:b/>
        <w:color w:val="000000"/>
        <w:sz w:val="20"/>
        <w:szCs w:val="20"/>
      </w:rPr>
      <w:fldChar w:fldCharType="end"/>
    </w:r>
  </w:p>
  <w:p w14:paraId="49CB52A8" w14:textId="77777777" w:rsidR="00396F4F" w:rsidRDefault="00396F4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59AB5" w14:textId="159E6D9A" w:rsidR="00396F4F" w:rsidRDefault="00396F4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51D6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51D67">
      <w:rPr>
        <w:rFonts w:ascii="Palatino Linotype" w:eastAsia="Palatino Linotype" w:hAnsi="Palatino Linotype" w:cs="Palatino Linotype"/>
        <w:b/>
        <w:noProof/>
        <w:color w:val="000000"/>
        <w:sz w:val="20"/>
        <w:szCs w:val="20"/>
      </w:rPr>
      <w:t>62</w:t>
    </w:r>
    <w:r>
      <w:rPr>
        <w:rFonts w:ascii="Palatino Linotype" w:eastAsia="Palatino Linotype" w:hAnsi="Palatino Linotype" w:cs="Palatino Linotype"/>
        <w:b/>
        <w:color w:val="000000"/>
        <w:sz w:val="20"/>
        <w:szCs w:val="20"/>
      </w:rPr>
      <w:fldChar w:fldCharType="end"/>
    </w:r>
  </w:p>
  <w:p w14:paraId="21ECF124" w14:textId="77777777" w:rsidR="00396F4F" w:rsidRDefault="00396F4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DA9CE3" w14:textId="77777777" w:rsidR="00DD53C8" w:rsidRDefault="00DD53C8">
      <w:r>
        <w:separator/>
      </w:r>
    </w:p>
  </w:footnote>
  <w:footnote w:type="continuationSeparator" w:id="0">
    <w:p w14:paraId="3783C337" w14:textId="77777777" w:rsidR="00DD53C8" w:rsidRDefault="00DD53C8">
      <w:r>
        <w:continuationSeparator/>
      </w:r>
    </w:p>
  </w:footnote>
  <w:footnote w:id="1">
    <w:p w14:paraId="35EB125C" w14:textId="77777777" w:rsidR="00396F4F" w:rsidRDefault="00396F4F" w:rsidP="0085586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162C2146" w14:textId="77777777" w:rsidR="00396F4F" w:rsidRDefault="00D51D67" w:rsidP="00855868">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1">
        <w:r w:rsidR="00396F4F">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396F4F">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2AF42" w14:textId="77777777" w:rsidR="00396F4F" w:rsidRDefault="00396F4F">
    <w:pPr>
      <w:rPr>
        <w:rFonts w:ascii="Cambria" w:eastAsia="Cambria" w:hAnsi="Cambria" w:cs="Cambria"/>
        <w:color w:val="000000"/>
      </w:rPr>
    </w:pPr>
    <w:r>
      <w:rPr>
        <w:noProof/>
      </w:rPr>
      <w:drawing>
        <wp:anchor distT="0" distB="0" distL="0" distR="0" simplePos="0" relativeHeight="251658240" behindDoc="1" locked="0" layoutInCell="1" hidden="0" allowOverlap="1" wp14:anchorId="5A33C493" wp14:editId="0F090F1A">
          <wp:simplePos x="0" y="0"/>
          <wp:positionH relativeFrom="column">
            <wp:posOffset>-1080091</wp:posOffset>
          </wp:positionH>
          <wp:positionV relativeFrom="paragraph">
            <wp:posOffset>-488262</wp:posOffset>
          </wp:positionV>
          <wp:extent cx="7809865" cy="10165715"/>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a"/>
      <w:tblW w:w="5953" w:type="dxa"/>
      <w:tblInd w:w="3261" w:type="dxa"/>
      <w:tblLayout w:type="fixed"/>
      <w:tblLook w:val="0400" w:firstRow="0" w:lastRow="0" w:firstColumn="0" w:lastColumn="0" w:noHBand="0" w:noVBand="1"/>
    </w:tblPr>
    <w:tblGrid>
      <w:gridCol w:w="2489"/>
      <w:gridCol w:w="3464"/>
    </w:tblGrid>
    <w:tr w:rsidR="00396F4F" w14:paraId="4679E995" w14:textId="77777777">
      <w:tc>
        <w:tcPr>
          <w:tcW w:w="2489" w:type="dxa"/>
        </w:tcPr>
        <w:p w14:paraId="1CBA62BA" w14:textId="77777777" w:rsidR="00396F4F" w:rsidRDefault="00396F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356A34D7" w14:textId="099F9E1B" w:rsidR="00396F4F" w:rsidRDefault="00396F4F" w:rsidP="001D0F5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10829/INFOEM/IP/RR/2025</w:t>
          </w:r>
        </w:p>
      </w:tc>
    </w:tr>
    <w:tr w:rsidR="00396F4F" w14:paraId="6CFA67DE" w14:textId="77777777">
      <w:trPr>
        <w:trHeight w:val="228"/>
      </w:trPr>
      <w:tc>
        <w:tcPr>
          <w:tcW w:w="2489" w:type="dxa"/>
          <w:vAlign w:val="center"/>
        </w:tcPr>
        <w:p w14:paraId="4E02CBED" w14:textId="77777777" w:rsidR="00396F4F" w:rsidRDefault="00396F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5C5611EC" w14:textId="49280D6B" w:rsidR="00396F4F" w:rsidRDefault="00396F4F">
          <w:pPr>
            <w:ind w:left="-45" w:right="176"/>
            <w:jc w:val="both"/>
            <w:rPr>
              <w:rFonts w:ascii="Palatino Linotype" w:eastAsia="Palatino Linotype" w:hAnsi="Palatino Linotype" w:cs="Palatino Linotype"/>
              <w:b/>
              <w:sz w:val="22"/>
              <w:szCs w:val="22"/>
            </w:rPr>
          </w:pPr>
          <w:r w:rsidRPr="001D0F50">
            <w:rPr>
              <w:rFonts w:ascii="Palatino Linotype" w:eastAsia="Palatino Linotype" w:hAnsi="Palatino Linotype" w:cs="Palatino Linotype"/>
              <w:b/>
              <w:sz w:val="22"/>
              <w:szCs w:val="22"/>
            </w:rPr>
            <w:t>Ayuntamiento de Texcoco</w:t>
          </w:r>
        </w:p>
      </w:tc>
    </w:tr>
    <w:tr w:rsidR="00396F4F" w14:paraId="6FF09322" w14:textId="77777777">
      <w:tc>
        <w:tcPr>
          <w:tcW w:w="2489" w:type="dxa"/>
          <w:vAlign w:val="center"/>
        </w:tcPr>
        <w:p w14:paraId="5D6FA762" w14:textId="77777777" w:rsidR="00396F4F" w:rsidRDefault="00396F4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1F753EA2" w14:textId="77777777" w:rsidR="00396F4F" w:rsidRDefault="00396F4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B4967B9" w14:textId="77777777" w:rsidR="00396F4F" w:rsidRDefault="00396F4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D5ECA" w14:textId="77777777" w:rsidR="00396F4F" w:rsidRDefault="00396F4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9951343" wp14:editId="1710E1BC">
          <wp:simplePos x="0" y="0"/>
          <wp:positionH relativeFrom="column">
            <wp:posOffset>-1080134</wp:posOffset>
          </wp:positionH>
          <wp:positionV relativeFrom="paragraph">
            <wp:posOffset>-369892</wp:posOffset>
          </wp:positionV>
          <wp:extent cx="7809865" cy="10165715"/>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b"/>
      <w:tblW w:w="5953" w:type="dxa"/>
      <w:tblInd w:w="3261" w:type="dxa"/>
      <w:tblLayout w:type="fixed"/>
      <w:tblLook w:val="0400" w:firstRow="0" w:lastRow="0" w:firstColumn="0" w:lastColumn="0" w:noHBand="0" w:noVBand="1"/>
    </w:tblPr>
    <w:tblGrid>
      <w:gridCol w:w="2489"/>
      <w:gridCol w:w="3464"/>
    </w:tblGrid>
    <w:tr w:rsidR="00396F4F" w14:paraId="0800C61A" w14:textId="77777777">
      <w:tc>
        <w:tcPr>
          <w:tcW w:w="2489" w:type="dxa"/>
        </w:tcPr>
        <w:p w14:paraId="45AA4645" w14:textId="77777777" w:rsidR="00396F4F" w:rsidRDefault="00396F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3056AB92" w14:textId="4812B650" w:rsidR="00396F4F" w:rsidRDefault="00396F4F" w:rsidP="001D0F5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10829/INFOEM/IP/RR/2025</w:t>
          </w:r>
        </w:p>
      </w:tc>
    </w:tr>
    <w:tr w:rsidR="00396F4F" w14:paraId="62298F76" w14:textId="77777777">
      <w:tc>
        <w:tcPr>
          <w:tcW w:w="2489" w:type="dxa"/>
        </w:tcPr>
        <w:p w14:paraId="20BC808E" w14:textId="77777777" w:rsidR="00396F4F" w:rsidRDefault="00396F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14:paraId="7A9C8865" w14:textId="3BF92AB9" w:rsidR="00396F4F" w:rsidRPr="00606C35" w:rsidRDefault="00D51D67" w:rsidP="00D51D67">
          <w:pPr>
            <w:ind w:right="17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 xml:space="preserve">XXXXXXXX XXXXXXX XXXXXXXX </w:t>
          </w:r>
        </w:p>
      </w:tc>
    </w:tr>
    <w:tr w:rsidR="00396F4F" w14:paraId="356DF698" w14:textId="77777777">
      <w:trPr>
        <w:trHeight w:val="228"/>
      </w:trPr>
      <w:tc>
        <w:tcPr>
          <w:tcW w:w="2489" w:type="dxa"/>
          <w:vAlign w:val="center"/>
        </w:tcPr>
        <w:p w14:paraId="6F719CF9" w14:textId="77777777" w:rsidR="00396F4F" w:rsidRDefault="00396F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749FE701" w14:textId="2FA9A0D3" w:rsidR="00396F4F" w:rsidRDefault="00396F4F">
          <w:pPr>
            <w:ind w:left="-45" w:right="176"/>
            <w:jc w:val="both"/>
            <w:rPr>
              <w:rFonts w:ascii="Palatino Linotype" w:eastAsia="Palatino Linotype" w:hAnsi="Palatino Linotype" w:cs="Palatino Linotype"/>
              <w:b/>
              <w:sz w:val="22"/>
              <w:szCs w:val="22"/>
            </w:rPr>
          </w:pPr>
          <w:r w:rsidRPr="001D0F50">
            <w:rPr>
              <w:rFonts w:ascii="Palatino Linotype" w:eastAsia="Palatino Linotype" w:hAnsi="Palatino Linotype" w:cs="Palatino Linotype"/>
              <w:b/>
              <w:sz w:val="22"/>
              <w:szCs w:val="22"/>
            </w:rPr>
            <w:t>Ayuntamiento de Texcoco</w:t>
          </w:r>
        </w:p>
      </w:tc>
    </w:tr>
    <w:tr w:rsidR="00396F4F" w14:paraId="70857C53" w14:textId="77777777">
      <w:tc>
        <w:tcPr>
          <w:tcW w:w="2489" w:type="dxa"/>
          <w:vAlign w:val="center"/>
        </w:tcPr>
        <w:p w14:paraId="5699E7FB" w14:textId="77777777" w:rsidR="00396F4F" w:rsidRDefault="00396F4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69655BF4" w14:textId="77777777" w:rsidR="00396F4F" w:rsidRDefault="00396F4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FF7071" w14:textId="77777777" w:rsidR="00396F4F" w:rsidRDefault="00396F4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65543"/>
    <w:multiLevelType w:val="multilevel"/>
    <w:tmpl w:val="418890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4E1E8B"/>
    <w:multiLevelType w:val="multilevel"/>
    <w:tmpl w:val="C92646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5329F5"/>
    <w:multiLevelType w:val="multilevel"/>
    <w:tmpl w:val="A6488AC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1A915B4D"/>
    <w:multiLevelType w:val="multilevel"/>
    <w:tmpl w:val="DFECD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03496D"/>
    <w:multiLevelType w:val="multilevel"/>
    <w:tmpl w:val="3E0CA868"/>
    <w:lvl w:ilvl="0">
      <w:start w:val="1"/>
      <w:numFmt w:val="lowerLetter"/>
      <w:lvlText w:val="%1)"/>
      <w:lvlJc w:val="left"/>
      <w:pPr>
        <w:ind w:left="1068" w:hanging="360"/>
      </w:pPr>
      <w:rPr>
        <w:rFonts w:ascii="Palatino Linotype" w:eastAsia="Palatino Linotype" w:hAnsi="Palatino Linotype" w:cs="Palatino Linotype"/>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 w15:restartNumberingAfterBreak="0">
    <w:nsid w:val="26084782"/>
    <w:multiLevelType w:val="hybridMultilevel"/>
    <w:tmpl w:val="6A5CB0CE"/>
    <w:lvl w:ilvl="0" w:tplc="783622CA">
      <w:start w:val="1"/>
      <w:numFmt w:val="decimal"/>
      <w:lvlText w:val="%1."/>
      <w:lvlJc w:val="left"/>
      <w:pPr>
        <w:ind w:left="644" w:hanging="360"/>
      </w:pPr>
      <w:rPr>
        <w:rFonts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2BFA62C2"/>
    <w:multiLevelType w:val="multilevel"/>
    <w:tmpl w:val="DCC88850"/>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526C364D"/>
    <w:multiLevelType w:val="hybridMultilevel"/>
    <w:tmpl w:val="7B608ACC"/>
    <w:lvl w:ilvl="0" w:tplc="F676A41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9A655F"/>
    <w:multiLevelType w:val="multilevel"/>
    <w:tmpl w:val="5DBC5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85862FB"/>
    <w:multiLevelType w:val="hybridMultilevel"/>
    <w:tmpl w:val="F97CB6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4E1354D"/>
    <w:multiLevelType w:val="multilevel"/>
    <w:tmpl w:val="0270FEBC"/>
    <w:lvl w:ilvl="0">
      <w:start w:val="1"/>
      <w:numFmt w:val="bullet"/>
      <w:lvlText w:val="-"/>
      <w:lvlJc w:val="left"/>
      <w:pPr>
        <w:ind w:left="3195" w:hanging="359"/>
      </w:pPr>
      <w:rPr>
        <w:rFonts w:ascii="Palatino Linotype" w:eastAsia="Palatino Linotype" w:hAnsi="Palatino Linotype" w:cs="Palatino Linotype"/>
      </w:rPr>
    </w:lvl>
    <w:lvl w:ilvl="1">
      <w:start w:val="1"/>
      <w:numFmt w:val="bullet"/>
      <w:lvlText w:val="o"/>
      <w:lvlJc w:val="left"/>
      <w:pPr>
        <w:ind w:left="3915" w:hanging="360"/>
      </w:pPr>
      <w:rPr>
        <w:rFonts w:ascii="Courier New" w:eastAsia="Courier New" w:hAnsi="Courier New" w:cs="Courier New"/>
      </w:rPr>
    </w:lvl>
    <w:lvl w:ilvl="2">
      <w:start w:val="1"/>
      <w:numFmt w:val="bullet"/>
      <w:lvlText w:val="▪"/>
      <w:lvlJc w:val="left"/>
      <w:pPr>
        <w:ind w:left="4635" w:hanging="360"/>
      </w:pPr>
      <w:rPr>
        <w:rFonts w:ascii="Noto Sans Symbols" w:eastAsia="Noto Sans Symbols" w:hAnsi="Noto Sans Symbols" w:cs="Noto Sans Symbols"/>
      </w:rPr>
    </w:lvl>
    <w:lvl w:ilvl="3">
      <w:start w:val="1"/>
      <w:numFmt w:val="bullet"/>
      <w:lvlText w:val="●"/>
      <w:lvlJc w:val="left"/>
      <w:pPr>
        <w:ind w:left="5355" w:hanging="360"/>
      </w:pPr>
      <w:rPr>
        <w:rFonts w:ascii="Noto Sans Symbols" w:eastAsia="Noto Sans Symbols" w:hAnsi="Noto Sans Symbols" w:cs="Noto Sans Symbols"/>
      </w:rPr>
    </w:lvl>
    <w:lvl w:ilvl="4">
      <w:start w:val="1"/>
      <w:numFmt w:val="bullet"/>
      <w:lvlText w:val="o"/>
      <w:lvlJc w:val="left"/>
      <w:pPr>
        <w:ind w:left="6075" w:hanging="360"/>
      </w:pPr>
      <w:rPr>
        <w:rFonts w:ascii="Courier New" w:eastAsia="Courier New" w:hAnsi="Courier New" w:cs="Courier New"/>
      </w:rPr>
    </w:lvl>
    <w:lvl w:ilvl="5">
      <w:start w:val="1"/>
      <w:numFmt w:val="bullet"/>
      <w:lvlText w:val="▪"/>
      <w:lvlJc w:val="left"/>
      <w:pPr>
        <w:ind w:left="6795" w:hanging="360"/>
      </w:pPr>
      <w:rPr>
        <w:rFonts w:ascii="Noto Sans Symbols" w:eastAsia="Noto Sans Symbols" w:hAnsi="Noto Sans Symbols" w:cs="Noto Sans Symbols"/>
      </w:rPr>
    </w:lvl>
    <w:lvl w:ilvl="6">
      <w:start w:val="1"/>
      <w:numFmt w:val="bullet"/>
      <w:lvlText w:val="●"/>
      <w:lvlJc w:val="left"/>
      <w:pPr>
        <w:ind w:left="7515" w:hanging="360"/>
      </w:pPr>
      <w:rPr>
        <w:rFonts w:ascii="Noto Sans Symbols" w:eastAsia="Noto Sans Symbols" w:hAnsi="Noto Sans Symbols" w:cs="Noto Sans Symbols"/>
      </w:rPr>
    </w:lvl>
    <w:lvl w:ilvl="7">
      <w:start w:val="1"/>
      <w:numFmt w:val="bullet"/>
      <w:lvlText w:val="o"/>
      <w:lvlJc w:val="left"/>
      <w:pPr>
        <w:ind w:left="8235" w:hanging="360"/>
      </w:pPr>
      <w:rPr>
        <w:rFonts w:ascii="Courier New" w:eastAsia="Courier New" w:hAnsi="Courier New" w:cs="Courier New"/>
      </w:rPr>
    </w:lvl>
    <w:lvl w:ilvl="8">
      <w:start w:val="1"/>
      <w:numFmt w:val="bullet"/>
      <w:lvlText w:val="▪"/>
      <w:lvlJc w:val="left"/>
      <w:pPr>
        <w:ind w:left="8955" w:hanging="360"/>
      </w:pPr>
      <w:rPr>
        <w:rFonts w:ascii="Noto Sans Symbols" w:eastAsia="Noto Sans Symbols" w:hAnsi="Noto Sans Symbols" w:cs="Noto Sans Symbols"/>
      </w:rPr>
    </w:lvl>
  </w:abstractNum>
  <w:abstractNum w:abstractNumId="11" w15:restartNumberingAfterBreak="0">
    <w:nsid w:val="786C0896"/>
    <w:multiLevelType w:val="multilevel"/>
    <w:tmpl w:val="114CF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BD4592D"/>
    <w:multiLevelType w:val="multilevel"/>
    <w:tmpl w:val="BB5AF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5"/>
  </w:num>
  <w:num w:numId="3">
    <w:abstractNumId w:val="2"/>
  </w:num>
  <w:num w:numId="4">
    <w:abstractNumId w:val="8"/>
  </w:num>
  <w:num w:numId="5">
    <w:abstractNumId w:val="10"/>
  </w:num>
  <w:num w:numId="6">
    <w:abstractNumId w:val="3"/>
  </w:num>
  <w:num w:numId="7">
    <w:abstractNumId w:val="7"/>
  </w:num>
  <w:num w:numId="8">
    <w:abstractNumId w:val="1"/>
  </w:num>
  <w:num w:numId="9">
    <w:abstractNumId w:val="9"/>
  </w:num>
  <w:num w:numId="10">
    <w:abstractNumId w:val="11"/>
  </w:num>
  <w:num w:numId="11">
    <w:abstractNumId w:val="4"/>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A90"/>
    <w:rsid w:val="0001097C"/>
    <w:rsid w:val="0002069B"/>
    <w:rsid w:val="00024E98"/>
    <w:rsid w:val="000301F3"/>
    <w:rsid w:val="000427D6"/>
    <w:rsid w:val="00042B5C"/>
    <w:rsid w:val="0004700B"/>
    <w:rsid w:val="0004748F"/>
    <w:rsid w:val="000477B0"/>
    <w:rsid w:val="00056BCC"/>
    <w:rsid w:val="00057964"/>
    <w:rsid w:val="000621BD"/>
    <w:rsid w:val="0007137F"/>
    <w:rsid w:val="00080D86"/>
    <w:rsid w:val="00080F70"/>
    <w:rsid w:val="00082489"/>
    <w:rsid w:val="000A48FE"/>
    <w:rsid w:val="000B6AB7"/>
    <w:rsid w:val="000C2629"/>
    <w:rsid w:val="000D6DE3"/>
    <w:rsid w:val="000E700F"/>
    <w:rsid w:val="000F7088"/>
    <w:rsid w:val="001050DE"/>
    <w:rsid w:val="001062CC"/>
    <w:rsid w:val="001128C8"/>
    <w:rsid w:val="00116DA6"/>
    <w:rsid w:val="00117A90"/>
    <w:rsid w:val="0012179F"/>
    <w:rsid w:val="00142B50"/>
    <w:rsid w:val="00145E45"/>
    <w:rsid w:val="00150961"/>
    <w:rsid w:val="0015439E"/>
    <w:rsid w:val="00163A18"/>
    <w:rsid w:val="00172883"/>
    <w:rsid w:val="0017486E"/>
    <w:rsid w:val="0017599F"/>
    <w:rsid w:val="001772A1"/>
    <w:rsid w:val="00177FD6"/>
    <w:rsid w:val="00193AE1"/>
    <w:rsid w:val="00195067"/>
    <w:rsid w:val="00196087"/>
    <w:rsid w:val="0019691D"/>
    <w:rsid w:val="00197136"/>
    <w:rsid w:val="001A41F7"/>
    <w:rsid w:val="001A60C5"/>
    <w:rsid w:val="001B0D75"/>
    <w:rsid w:val="001D0F50"/>
    <w:rsid w:val="001E2948"/>
    <w:rsid w:val="001F1281"/>
    <w:rsid w:val="00227EDF"/>
    <w:rsid w:val="002305F2"/>
    <w:rsid w:val="00257D93"/>
    <w:rsid w:val="00273FF8"/>
    <w:rsid w:val="00277C5E"/>
    <w:rsid w:val="00285C22"/>
    <w:rsid w:val="00286DF8"/>
    <w:rsid w:val="002905AC"/>
    <w:rsid w:val="00290CED"/>
    <w:rsid w:val="00291E03"/>
    <w:rsid w:val="002929C0"/>
    <w:rsid w:val="0029329E"/>
    <w:rsid w:val="002B3CD9"/>
    <w:rsid w:val="002B4E65"/>
    <w:rsid w:val="002C4768"/>
    <w:rsid w:val="002D1845"/>
    <w:rsid w:val="002D3758"/>
    <w:rsid w:val="002E233E"/>
    <w:rsid w:val="002F0D5B"/>
    <w:rsid w:val="002F1DF9"/>
    <w:rsid w:val="00316C2A"/>
    <w:rsid w:val="0032051B"/>
    <w:rsid w:val="00323E61"/>
    <w:rsid w:val="00331EE8"/>
    <w:rsid w:val="00332040"/>
    <w:rsid w:val="003366B5"/>
    <w:rsid w:val="00336B49"/>
    <w:rsid w:val="00337D82"/>
    <w:rsid w:val="00343411"/>
    <w:rsid w:val="003441C4"/>
    <w:rsid w:val="00344A00"/>
    <w:rsid w:val="0034706E"/>
    <w:rsid w:val="003637C7"/>
    <w:rsid w:val="00365716"/>
    <w:rsid w:val="003659A8"/>
    <w:rsid w:val="003705B7"/>
    <w:rsid w:val="00370D9C"/>
    <w:rsid w:val="00381A61"/>
    <w:rsid w:val="00381B66"/>
    <w:rsid w:val="00383558"/>
    <w:rsid w:val="003846F2"/>
    <w:rsid w:val="0038512D"/>
    <w:rsid w:val="00396F4F"/>
    <w:rsid w:val="003A0AEB"/>
    <w:rsid w:val="003A1162"/>
    <w:rsid w:val="003A3BA9"/>
    <w:rsid w:val="003A5391"/>
    <w:rsid w:val="003B453E"/>
    <w:rsid w:val="003C2C96"/>
    <w:rsid w:val="003C71C4"/>
    <w:rsid w:val="003D2176"/>
    <w:rsid w:val="003D5BB6"/>
    <w:rsid w:val="003D68F4"/>
    <w:rsid w:val="003E1AAB"/>
    <w:rsid w:val="003E43DE"/>
    <w:rsid w:val="0040335D"/>
    <w:rsid w:val="00425F35"/>
    <w:rsid w:val="00445C80"/>
    <w:rsid w:val="00446A9F"/>
    <w:rsid w:val="00447DB1"/>
    <w:rsid w:val="0045092C"/>
    <w:rsid w:val="00453C10"/>
    <w:rsid w:val="00453D2A"/>
    <w:rsid w:val="00464621"/>
    <w:rsid w:val="00482F68"/>
    <w:rsid w:val="0048548C"/>
    <w:rsid w:val="004864B2"/>
    <w:rsid w:val="004A01CE"/>
    <w:rsid w:val="004A5F1A"/>
    <w:rsid w:val="004B105A"/>
    <w:rsid w:val="004B31C3"/>
    <w:rsid w:val="004E07A1"/>
    <w:rsid w:val="004E3F9B"/>
    <w:rsid w:val="004E4C62"/>
    <w:rsid w:val="004E4E0D"/>
    <w:rsid w:val="004F017B"/>
    <w:rsid w:val="004F3270"/>
    <w:rsid w:val="004F32D6"/>
    <w:rsid w:val="004F3F24"/>
    <w:rsid w:val="004F7818"/>
    <w:rsid w:val="00503188"/>
    <w:rsid w:val="00503745"/>
    <w:rsid w:val="005039C8"/>
    <w:rsid w:val="0050733D"/>
    <w:rsid w:val="0051150E"/>
    <w:rsid w:val="00512DC5"/>
    <w:rsid w:val="00520D54"/>
    <w:rsid w:val="00531B5E"/>
    <w:rsid w:val="005375DC"/>
    <w:rsid w:val="0054543F"/>
    <w:rsid w:val="005504B5"/>
    <w:rsid w:val="00554CDE"/>
    <w:rsid w:val="005577B9"/>
    <w:rsid w:val="00560092"/>
    <w:rsid w:val="00561B43"/>
    <w:rsid w:val="005626F7"/>
    <w:rsid w:val="00562A90"/>
    <w:rsid w:val="0056342B"/>
    <w:rsid w:val="0057241C"/>
    <w:rsid w:val="005725CD"/>
    <w:rsid w:val="005759CD"/>
    <w:rsid w:val="005867AF"/>
    <w:rsid w:val="00593F06"/>
    <w:rsid w:val="005A5876"/>
    <w:rsid w:val="005C39B2"/>
    <w:rsid w:val="005C40B8"/>
    <w:rsid w:val="005D261D"/>
    <w:rsid w:val="005D2646"/>
    <w:rsid w:val="005D5307"/>
    <w:rsid w:val="005D5DC9"/>
    <w:rsid w:val="005D7519"/>
    <w:rsid w:val="005F0996"/>
    <w:rsid w:val="005F5898"/>
    <w:rsid w:val="005F5F2E"/>
    <w:rsid w:val="005F7A69"/>
    <w:rsid w:val="006014E6"/>
    <w:rsid w:val="006035E6"/>
    <w:rsid w:val="00606953"/>
    <w:rsid w:val="00606C35"/>
    <w:rsid w:val="00621F2F"/>
    <w:rsid w:val="0062255D"/>
    <w:rsid w:val="00625B99"/>
    <w:rsid w:val="00630B2A"/>
    <w:rsid w:val="006339DE"/>
    <w:rsid w:val="006341A1"/>
    <w:rsid w:val="006422BD"/>
    <w:rsid w:val="006525F8"/>
    <w:rsid w:val="00652E8E"/>
    <w:rsid w:val="00656465"/>
    <w:rsid w:val="00660BE7"/>
    <w:rsid w:val="006653FA"/>
    <w:rsid w:val="0067401E"/>
    <w:rsid w:val="006765A1"/>
    <w:rsid w:val="00680BBB"/>
    <w:rsid w:val="006824F8"/>
    <w:rsid w:val="00685FA0"/>
    <w:rsid w:val="0068770D"/>
    <w:rsid w:val="00690386"/>
    <w:rsid w:val="00691286"/>
    <w:rsid w:val="00694159"/>
    <w:rsid w:val="006B3E15"/>
    <w:rsid w:val="006B5AD9"/>
    <w:rsid w:val="006B7FBA"/>
    <w:rsid w:val="006C1457"/>
    <w:rsid w:val="006D08E6"/>
    <w:rsid w:val="006D7A13"/>
    <w:rsid w:val="006E1160"/>
    <w:rsid w:val="006E1F52"/>
    <w:rsid w:val="006E4FFF"/>
    <w:rsid w:val="0070132B"/>
    <w:rsid w:val="007014FE"/>
    <w:rsid w:val="00701A9C"/>
    <w:rsid w:val="0071417D"/>
    <w:rsid w:val="007146B1"/>
    <w:rsid w:val="007169CC"/>
    <w:rsid w:val="00725A92"/>
    <w:rsid w:val="007271E9"/>
    <w:rsid w:val="00736B85"/>
    <w:rsid w:val="00736F00"/>
    <w:rsid w:val="00745EE8"/>
    <w:rsid w:val="00746F91"/>
    <w:rsid w:val="0075193B"/>
    <w:rsid w:val="00754910"/>
    <w:rsid w:val="007610BD"/>
    <w:rsid w:val="0076666E"/>
    <w:rsid w:val="0076674E"/>
    <w:rsid w:val="00776DCE"/>
    <w:rsid w:val="0077708E"/>
    <w:rsid w:val="00780601"/>
    <w:rsid w:val="007808C6"/>
    <w:rsid w:val="00786BAA"/>
    <w:rsid w:val="00792513"/>
    <w:rsid w:val="00793D53"/>
    <w:rsid w:val="007A1919"/>
    <w:rsid w:val="007A1E0D"/>
    <w:rsid w:val="007A57B6"/>
    <w:rsid w:val="007B46BD"/>
    <w:rsid w:val="007B5A84"/>
    <w:rsid w:val="007C51FC"/>
    <w:rsid w:val="007C556D"/>
    <w:rsid w:val="007C7BBE"/>
    <w:rsid w:val="007D1B31"/>
    <w:rsid w:val="007E0A49"/>
    <w:rsid w:val="007F1E1C"/>
    <w:rsid w:val="00801532"/>
    <w:rsid w:val="00802B29"/>
    <w:rsid w:val="00804C97"/>
    <w:rsid w:val="00817D68"/>
    <w:rsid w:val="008203F2"/>
    <w:rsid w:val="00835BDB"/>
    <w:rsid w:val="00835E7D"/>
    <w:rsid w:val="008468A0"/>
    <w:rsid w:val="008525DE"/>
    <w:rsid w:val="00855868"/>
    <w:rsid w:val="00856962"/>
    <w:rsid w:val="00866013"/>
    <w:rsid w:val="008715C7"/>
    <w:rsid w:val="00871859"/>
    <w:rsid w:val="0087690A"/>
    <w:rsid w:val="00877B8B"/>
    <w:rsid w:val="0088183C"/>
    <w:rsid w:val="00885D6D"/>
    <w:rsid w:val="008A065E"/>
    <w:rsid w:val="008A13FF"/>
    <w:rsid w:val="008A7191"/>
    <w:rsid w:val="008A7390"/>
    <w:rsid w:val="008A7B4A"/>
    <w:rsid w:val="008B0B99"/>
    <w:rsid w:val="008B686C"/>
    <w:rsid w:val="008C0285"/>
    <w:rsid w:val="008C3AAF"/>
    <w:rsid w:val="008C5299"/>
    <w:rsid w:val="008D0A7E"/>
    <w:rsid w:val="008D3666"/>
    <w:rsid w:val="008D52CE"/>
    <w:rsid w:val="008D5E7B"/>
    <w:rsid w:val="00904214"/>
    <w:rsid w:val="00904E27"/>
    <w:rsid w:val="009124A3"/>
    <w:rsid w:val="00920130"/>
    <w:rsid w:val="00921BA8"/>
    <w:rsid w:val="00923B69"/>
    <w:rsid w:val="00931D1C"/>
    <w:rsid w:val="00934D15"/>
    <w:rsid w:val="009374BB"/>
    <w:rsid w:val="00940C41"/>
    <w:rsid w:val="009544B1"/>
    <w:rsid w:val="00957E45"/>
    <w:rsid w:val="00962C60"/>
    <w:rsid w:val="009702EC"/>
    <w:rsid w:val="00971AD4"/>
    <w:rsid w:val="00971F18"/>
    <w:rsid w:val="00972387"/>
    <w:rsid w:val="009731A8"/>
    <w:rsid w:val="00974192"/>
    <w:rsid w:val="00974B1D"/>
    <w:rsid w:val="00985285"/>
    <w:rsid w:val="0098579C"/>
    <w:rsid w:val="009924A9"/>
    <w:rsid w:val="00992890"/>
    <w:rsid w:val="009A0DF3"/>
    <w:rsid w:val="009A6CA6"/>
    <w:rsid w:val="009B7ACC"/>
    <w:rsid w:val="009C1089"/>
    <w:rsid w:val="009C557D"/>
    <w:rsid w:val="009D40BF"/>
    <w:rsid w:val="009E66E4"/>
    <w:rsid w:val="009E7EAF"/>
    <w:rsid w:val="009F66A2"/>
    <w:rsid w:val="009F704A"/>
    <w:rsid w:val="00A003FF"/>
    <w:rsid w:val="00A00FA7"/>
    <w:rsid w:val="00A0520F"/>
    <w:rsid w:val="00A211BA"/>
    <w:rsid w:val="00A21B6E"/>
    <w:rsid w:val="00A228C4"/>
    <w:rsid w:val="00A25935"/>
    <w:rsid w:val="00A314C7"/>
    <w:rsid w:val="00A332E5"/>
    <w:rsid w:val="00A37863"/>
    <w:rsid w:val="00A4550B"/>
    <w:rsid w:val="00A4663E"/>
    <w:rsid w:val="00A56BC6"/>
    <w:rsid w:val="00A63029"/>
    <w:rsid w:val="00A738A8"/>
    <w:rsid w:val="00A76C70"/>
    <w:rsid w:val="00A8219B"/>
    <w:rsid w:val="00A84BFD"/>
    <w:rsid w:val="00A86924"/>
    <w:rsid w:val="00A878CB"/>
    <w:rsid w:val="00AB07A5"/>
    <w:rsid w:val="00AB2069"/>
    <w:rsid w:val="00AC2DDD"/>
    <w:rsid w:val="00AC6FF0"/>
    <w:rsid w:val="00AD5EFE"/>
    <w:rsid w:val="00AE2F40"/>
    <w:rsid w:val="00AE4EEE"/>
    <w:rsid w:val="00AF03E6"/>
    <w:rsid w:val="00AF0A6C"/>
    <w:rsid w:val="00AF3F55"/>
    <w:rsid w:val="00AF51BA"/>
    <w:rsid w:val="00AF69B9"/>
    <w:rsid w:val="00B163DC"/>
    <w:rsid w:val="00B20319"/>
    <w:rsid w:val="00B331A7"/>
    <w:rsid w:val="00B35DED"/>
    <w:rsid w:val="00B42DC6"/>
    <w:rsid w:val="00B44E12"/>
    <w:rsid w:val="00B506C5"/>
    <w:rsid w:val="00B50E24"/>
    <w:rsid w:val="00B51D4D"/>
    <w:rsid w:val="00B63CDB"/>
    <w:rsid w:val="00B767CD"/>
    <w:rsid w:val="00B8271A"/>
    <w:rsid w:val="00B834C9"/>
    <w:rsid w:val="00B84F30"/>
    <w:rsid w:val="00B90458"/>
    <w:rsid w:val="00B906D5"/>
    <w:rsid w:val="00B93B88"/>
    <w:rsid w:val="00BA35E4"/>
    <w:rsid w:val="00BA39B7"/>
    <w:rsid w:val="00BA61EA"/>
    <w:rsid w:val="00BB55AD"/>
    <w:rsid w:val="00BC4A18"/>
    <w:rsid w:val="00BD56A8"/>
    <w:rsid w:val="00BD5CEC"/>
    <w:rsid w:val="00BE3ACA"/>
    <w:rsid w:val="00BE4401"/>
    <w:rsid w:val="00BF1DE2"/>
    <w:rsid w:val="00BF57BE"/>
    <w:rsid w:val="00C018C9"/>
    <w:rsid w:val="00C03654"/>
    <w:rsid w:val="00C11552"/>
    <w:rsid w:val="00C13F03"/>
    <w:rsid w:val="00C1737F"/>
    <w:rsid w:val="00C31DBE"/>
    <w:rsid w:val="00C3322F"/>
    <w:rsid w:val="00C41418"/>
    <w:rsid w:val="00C42014"/>
    <w:rsid w:val="00C42D18"/>
    <w:rsid w:val="00C43492"/>
    <w:rsid w:val="00C43D28"/>
    <w:rsid w:val="00C4409A"/>
    <w:rsid w:val="00C52BF5"/>
    <w:rsid w:val="00C602CE"/>
    <w:rsid w:val="00C715CA"/>
    <w:rsid w:val="00C754EE"/>
    <w:rsid w:val="00C8383A"/>
    <w:rsid w:val="00C91D47"/>
    <w:rsid w:val="00C93C73"/>
    <w:rsid w:val="00C97E1B"/>
    <w:rsid w:val="00CA1F90"/>
    <w:rsid w:val="00CA54A3"/>
    <w:rsid w:val="00CA763A"/>
    <w:rsid w:val="00CB0F0E"/>
    <w:rsid w:val="00CB575B"/>
    <w:rsid w:val="00CB6CDB"/>
    <w:rsid w:val="00CD09AE"/>
    <w:rsid w:val="00CD41CF"/>
    <w:rsid w:val="00CF49DF"/>
    <w:rsid w:val="00D00489"/>
    <w:rsid w:val="00D03477"/>
    <w:rsid w:val="00D05004"/>
    <w:rsid w:val="00D20443"/>
    <w:rsid w:val="00D35F60"/>
    <w:rsid w:val="00D4252D"/>
    <w:rsid w:val="00D4656F"/>
    <w:rsid w:val="00D5007D"/>
    <w:rsid w:val="00D51D67"/>
    <w:rsid w:val="00D54429"/>
    <w:rsid w:val="00D56C0B"/>
    <w:rsid w:val="00D67451"/>
    <w:rsid w:val="00D70645"/>
    <w:rsid w:val="00D73336"/>
    <w:rsid w:val="00D741C6"/>
    <w:rsid w:val="00D800D2"/>
    <w:rsid w:val="00D87701"/>
    <w:rsid w:val="00DA16F6"/>
    <w:rsid w:val="00DA2EBC"/>
    <w:rsid w:val="00DA5A7A"/>
    <w:rsid w:val="00DB3A94"/>
    <w:rsid w:val="00DB5B9D"/>
    <w:rsid w:val="00DB7EEE"/>
    <w:rsid w:val="00DC2289"/>
    <w:rsid w:val="00DC246F"/>
    <w:rsid w:val="00DC662E"/>
    <w:rsid w:val="00DC69BC"/>
    <w:rsid w:val="00DD1979"/>
    <w:rsid w:val="00DD53C8"/>
    <w:rsid w:val="00DE191D"/>
    <w:rsid w:val="00DE1FB1"/>
    <w:rsid w:val="00DF0C0B"/>
    <w:rsid w:val="00DF5DA7"/>
    <w:rsid w:val="00DF5E2A"/>
    <w:rsid w:val="00E13001"/>
    <w:rsid w:val="00E15A1A"/>
    <w:rsid w:val="00E15DF2"/>
    <w:rsid w:val="00E2174F"/>
    <w:rsid w:val="00E22ACB"/>
    <w:rsid w:val="00E34062"/>
    <w:rsid w:val="00E35449"/>
    <w:rsid w:val="00E55C63"/>
    <w:rsid w:val="00E55F9B"/>
    <w:rsid w:val="00E6139E"/>
    <w:rsid w:val="00E669EA"/>
    <w:rsid w:val="00E6787E"/>
    <w:rsid w:val="00E70382"/>
    <w:rsid w:val="00E715FC"/>
    <w:rsid w:val="00E748EC"/>
    <w:rsid w:val="00E80390"/>
    <w:rsid w:val="00E84E08"/>
    <w:rsid w:val="00E85496"/>
    <w:rsid w:val="00E904FD"/>
    <w:rsid w:val="00E9255D"/>
    <w:rsid w:val="00EA3726"/>
    <w:rsid w:val="00EB0F34"/>
    <w:rsid w:val="00EC3036"/>
    <w:rsid w:val="00EC4146"/>
    <w:rsid w:val="00ED013D"/>
    <w:rsid w:val="00ED0825"/>
    <w:rsid w:val="00ED47F2"/>
    <w:rsid w:val="00EF0D72"/>
    <w:rsid w:val="00EF5073"/>
    <w:rsid w:val="00F013DA"/>
    <w:rsid w:val="00F07312"/>
    <w:rsid w:val="00F117F7"/>
    <w:rsid w:val="00F14BC9"/>
    <w:rsid w:val="00F16F95"/>
    <w:rsid w:val="00F2456A"/>
    <w:rsid w:val="00F2657D"/>
    <w:rsid w:val="00F31CEB"/>
    <w:rsid w:val="00F34997"/>
    <w:rsid w:val="00F4372C"/>
    <w:rsid w:val="00F456A7"/>
    <w:rsid w:val="00F52E4E"/>
    <w:rsid w:val="00F550B5"/>
    <w:rsid w:val="00F64878"/>
    <w:rsid w:val="00F65DCF"/>
    <w:rsid w:val="00F6604C"/>
    <w:rsid w:val="00F83945"/>
    <w:rsid w:val="00F8454B"/>
    <w:rsid w:val="00F84D2C"/>
    <w:rsid w:val="00F84EDF"/>
    <w:rsid w:val="00F866FE"/>
    <w:rsid w:val="00F86742"/>
    <w:rsid w:val="00F8691F"/>
    <w:rsid w:val="00F87495"/>
    <w:rsid w:val="00F94A8A"/>
    <w:rsid w:val="00F952FA"/>
    <w:rsid w:val="00F960C9"/>
    <w:rsid w:val="00FA1BC1"/>
    <w:rsid w:val="00FB3D2C"/>
    <w:rsid w:val="00FD0ED3"/>
    <w:rsid w:val="00FD3624"/>
    <w:rsid w:val="00FD60CA"/>
    <w:rsid w:val="00FF2516"/>
    <w:rsid w:val="00FF3183"/>
    <w:rsid w:val="00FF63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218B14"/>
  <w15:docId w15:val="{416C2562-28EE-4A6C-AC10-AB1C5EB5F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a">
    <w:basedOn w:val="TableNormalf1"/>
    <w:tblPr>
      <w:tblStyleRowBandSize w:val="1"/>
      <w:tblStyleColBandSize w:val="1"/>
      <w:tblCellMar>
        <w:left w:w="115" w:type="dxa"/>
        <w:right w:w="115" w:type="dxa"/>
      </w:tblCellMar>
    </w:tblPr>
  </w:style>
  <w:style w:type="table" w:customStyle="1" w:styleId="a0">
    <w:basedOn w:val="TableNormalf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0"/>
    <w:tblPr>
      <w:tblStyleRowBandSize w:val="1"/>
      <w:tblStyleColBandSize w:val="1"/>
      <w:tblCellMar>
        <w:left w:w="115" w:type="dxa"/>
        <w:right w:w="115" w:type="dxa"/>
      </w:tblCellMar>
    </w:tblPr>
  </w:style>
  <w:style w:type="table" w:customStyle="1" w:styleId="a4">
    <w:basedOn w:val="TableNormalf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
    <w:tblPr>
      <w:tblStyleRowBandSize w:val="1"/>
      <w:tblStyleColBandSize w:val="1"/>
      <w:tblCellMar>
        <w:left w:w="108" w:type="dxa"/>
        <w:right w:w="108" w:type="dxa"/>
      </w:tblCellMar>
    </w:tblPr>
  </w:style>
  <w:style w:type="table" w:customStyle="1" w:styleId="a6">
    <w:basedOn w:val="TableNormalf"/>
    <w:tblPr>
      <w:tblStyleRowBandSize w:val="1"/>
      <w:tblStyleColBandSize w:val="1"/>
      <w:tblCellMar>
        <w:left w:w="108" w:type="dxa"/>
        <w:right w:w="108" w:type="dxa"/>
      </w:tblCellMar>
    </w:tblPr>
  </w:style>
  <w:style w:type="table" w:customStyle="1" w:styleId="a7">
    <w:basedOn w:val="TableNormalf"/>
    <w:tblPr>
      <w:tblStyleRowBandSize w:val="1"/>
      <w:tblStyleColBandSize w:val="1"/>
      <w:tblCellMar>
        <w:left w:w="108" w:type="dxa"/>
        <w:right w:w="108" w:type="dxa"/>
      </w:tblCellMar>
    </w:tblPr>
  </w:style>
  <w:style w:type="table" w:customStyle="1" w:styleId="a8">
    <w:basedOn w:val="TableNormalf"/>
    <w:tblPr>
      <w:tblStyleRowBandSize w:val="1"/>
      <w:tblStyleColBandSize w:val="1"/>
      <w:tblCellMar>
        <w:left w:w="108" w:type="dxa"/>
        <w:right w:w="108" w:type="dxa"/>
      </w:tblCellMar>
    </w:tblPr>
  </w:style>
  <w:style w:type="table" w:customStyle="1" w:styleId="a9">
    <w:basedOn w:val="TableNormalf"/>
    <w:tblPr>
      <w:tblStyleRowBandSize w:val="1"/>
      <w:tblStyleColBandSize w:val="1"/>
      <w:tblCellMar>
        <w:left w:w="108" w:type="dxa"/>
        <w:right w:w="108" w:type="dxa"/>
      </w:tblCellMar>
    </w:tblPr>
  </w:style>
  <w:style w:type="table" w:customStyle="1" w:styleId="aa">
    <w:basedOn w:val="TableNormalf"/>
    <w:tblPr>
      <w:tblStyleRowBandSize w:val="1"/>
      <w:tblStyleColBandSize w:val="1"/>
      <w:tblCellMar>
        <w:left w:w="115" w:type="dxa"/>
        <w:right w:w="115" w:type="dxa"/>
      </w:tblCellMar>
    </w:tblPr>
  </w:style>
  <w:style w:type="table" w:customStyle="1" w:styleId="ab">
    <w:basedOn w:val="TableNormalf"/>
    <w:tblPr>
      <w:tblStyleRowBandSize w:val="1"/>
      <w:tblStyleColBandSize w:val="1"/>
      <w:tblCellMar>
        <w:left w:w="115" w:type="dxa"/>
        <w:right w:w="115" w:type="dxa"/>
      </w:tblCellMar>
    </w:tblPr>
  </w:style>
  <w:style w:type="table" w:customStyle="1" w:styleId="ac">
    <w:basedOn w:val="TableNormale"/>
    <w:tblPr>
      <w:tblStyleRowBandSize w:val="1"/>
      <w:tblStyleColBandSize w:val="1"/>
      <w:tblCellMar>
        <w:left w:w="108" w:type="dxa"/>
        <w:right w:w="108" w:type="dxa"/>
      </w:tblCellMar>
    </w:tblPr>
  </w:style>
  <w:style w:type="table" w:customStyle="1" w:styleId="ad">
    <w:basedOn w:val="TableNormale"/>
    <w:tblPr>
      <w:tblStyleRowBandSize w:val="1"/>
      <w:tblStyleColBandSize w:val="1"/>
      <w:tblCellMar>
        <w:left w:w="115" w:type="dxa"/>
        <w:right w:w="115" w:type="dxa"/>
      </w:tblCellMar>
    </w:tblPr>
  </w:style>
  <w:style w:type="table" w:customStyle="1" w:styleId="ae">
    <w:basedOn w:val="TableNormale"/>
    <w:tblPr>
      <w:tblStyleRowBandSize w:val="1"/>
      <w:tblStyleColBandSize w:val="1"/>
      <w:tblCellMar>
        <w:left w:w="115" w:type="dxa"/>
        <w:right w:w="115" w:type="dxa"/>
      </w:tblCellMar>
    </w:tblPr>
  </w:style>
  <w:style w:type="table" w:customStyle="1" w:styleId="af">
    <w:basedOn w:val="TableNormald"/>
    <w:tblPr>
      <w:tblStyleRowBandSize w:val="1"/>
      <w:tblStyleColBandSize w:val="1"/>
      <w:tblCellMar>
        <w:left w:w="115" w:type="dxa"/>
        <w:right w:w="115" w:type="dxa"/>
      </w:tblCellMar>
    </w:tblPr>
  </w:style>
  <w:style w:type="table" w:customStyle="1" w:styleId="af0">
    <w:basedOn w:val="TableNormald"/>
    <w:tblPr>
      <w:tblStyleRowBandSize w:val="1"/>
      <w:tblStyleColBandSize w:val="1"/>
      <w:tblCellMar>
        <w:left w:w="115" w:type="dxa"/>
        <w:right w:w="115" w:type="dxa"/>
      </w:tblCellMar>
    </w:tblPr>
  </w:style>
  <w:style w:type="table" w:customStyle="1" w:styleId="af1">
    <w:basedOn w:val="TableNormald"/>
    <w:tblPr>
      <w:tblStyleRowBandSize w:val="1"/>
      <w:tblStyleColBandSize w:val="1"/>
      <w:tblCellMar>
        <w:left w:w="115" w:type="dxa"/>
        <w:right w:w="115" w:type="dxa"/>
      </w:tblCellMar>
    </w:tblPr>
  </w:style>
  <w:style w:type="table" w:customStyle="1" w:styleId="af2">
    <w:basedOn w:val="TableNormalc"/>
    <w:tblPr>
      <w:tblStyleRowBandSize w:val="1"/>
      <w:tblStyleColBandSize w:val="1"/>
      <w:tblCellMar>
        <w:left w:w="115" w:type="dxa"/>
        <w:right w:w="115" w:type="dxa"/>
      </w:tblCellMar>
    </w:tblPr>
  </w:style>
  <w:style w:type="table" w:customStyle="1" w:styleId="af3">
    <w:basedOn w:val="TableNormalc"/>
    <w:tblPr>
      <w:tblStyleRowBandSize w:val="1"/>
      <w:tblStyleColBandSize w:val="1"/>
      <w:tblCellMar>
        <w:left w:w="115" w:type="dxa"/>
        <w:right w:w="115" w:type="dxa"/>
      </w:tblCellMar>
    </w:tblPr>
  </w:style>
  <w:style w:type="table" w:customStyle="1" w:styleId="af4">
    <w:basedOn w:val="TableNormalb"/>
    <w:tblPr>
      <w:tblStyleRowBandSize w:val="1"/>
      <w:tblStyleColBandSize w:val="1"/>
      <w:tblCellMar>
        <w:left w:w="115" w:type="dxa"/>
        <w:right w:w="115" w:type="dxa"/>
      </w:tblCellMar>
    </w:tblPr>
  </w:style>
  <w:style w:type="table" w:customStyle="1" w:styleId="af5">
    <w:basedOn w:val="TableNormalb"/>
    <w:tblPr>
      <w:tblStyleRowBandSize w:val="1"/>
      <w:tblStyleColBandSize w:val="1"/>
      <w:tblCellMar>
        <w:left w:w="115" w:type="dxa"/>
        <w:right w:w="115" w:type="dxa"/>
      </w:tblCellMar>
    </w:tblPr>
  </w:style>
  <w:style w:type="table" w:customStyle="1" w:styleId="af6">
    <w:basedOn w:val="TableNormala"/>
    <w:tblPr>
      <w:tblStyleRowBandSize w:val="1"/>
      <w:tblStyleColBandSize w:val="1"/>
      <w:tblCellMar>
        <w:left w:w="115" w:type="dxa"/>
        <w:right w:w="115" w:type="dxa"/>
      </w:tblCellMar>
    </w:tblPr>
  </w:style>
  <w:style w:type="table" w:customStyle="1" w:styleId="af7">
    <w:basedOn w:val="TableNormala"/>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9"/>
    <w:tblPr>
      <w:tblStyleRowBandSize w:val="1"/>
      <w:tblStyleColBandSize w:val="1"/>
      <w:tblCellMar>
        <w:left w:w="115" w:type="dxa"/>
        <w:right w:w="115" w:type="dxa"/>
      </w:tblCellMar>
    </w:tblPr>
  </w:style>
  <w:style w:type="table" w:customStyle="1" w:styleId="af9">
    <w:basedOn w:val="TableNormal9"/>
    <w:tblPr>
      <w:tblStyleRowBandSize w:val="1"/>
      <w:tblStyleColBandSize w:val="1"/>
      <w:tblCellMar>
        <w:left w:w="115" w:type="dxa"/>
        <w:right w:w="115" w:type="dxa"/>
      </w:tblCellMar>
    </w:tblPr>
  </w:style>
  <w:style w:type="table" w:customStyle="1" w:styleId="afa">
    <w:basedOn w:val="TableNormal8"/>
    <w:tblPr>
      <w:tblStyleRowBandSize w:val="1"/>
      <w:tblStyleColBandSize w:val="1"/>
      <w:tblCellMar>
        <w:left w:w="115" w:type="dxa"/>
        <w:right w:w="115" w:type="dxa"/>
      </w:tblCellMar>
    </w:tblPr>
  </w:style>
  <w:style w:type="table" w:customStyle="1" w:styleId="afb">
    <w:basedOn w:val="TableNormal8"/>
    <w:tblPr>
      <w:tblStyleRowBandSize w:val="1"/>
      <w:tblStyleColBandSize w:val="1"/>
      <w:tblCellMar>
        <w:left w:w="115" w:type="dxa"/>
        <w:right w:w="115" w:type="dxa"/>
      </w:tblCellMar>
    </w:tblPr>
  </w:style>
  <w:style w:type="table" w:customStyle="1" w:styleId="afc">
    <w:basedOn w:val="TableNormal7"/>
    <w:tblPr>
      <w:tblStyleRowBandSize w:val="1"/>
      <w:tblStyleColBandSize w:val="1"/>
      <w:tblCellMar>
        <w:left w:w="115" w:type="dxa"/>
        <w:right w:w="115" w:type="dxa"/>
      </w:tblCellMar>
    </w:tblPr>
  </w:style>
  <w:style w:type="table" w:customStyle="1" w:styleId="afd">
    <w:basedOn w:val="TableNormal7"/>
    <w:tblPr>
      <w:tblStyleRowBandSize w:val="1"/>
      <w:tblStyleColBandSize w:val="1"/>
      <w:tblCellMar>
        <w:left w:w="115" w:type="dxa"/>
        <w:right w:w="115" w:type="dxa"/>
      </w:tblCellMar>
    </w:tblPr>
  </w:style>
  <w:style w:type="table" w:customStyle="1" w:styleId="afe">
    <w:basedOn w:val="TableNormal6"/>
    <w:tblPr>
      <w:tblStyleRowBandSize w:val="1"/>
      <w:tblStyleColBandSize w:val="1"/>
      <w:tblCellMar>
        <w:left w:w="115" w:type="dxa"/>
        <w:right w:w="115" w:type="dxa"/>
      </w:tblCellMar>
    </w:tblPr>
  </w:style>
  <w:style w:type="table" w:customStyle="1" w:styleId="aff">
    <w:basedOn w:val="TableNormal6"/>
    <w:tblPr>
      <w:tblStyleRowBandSize w:val="1"/>
      <w:tblStyleColBandSize w:val="1"/>
      <w:tblCellMar>
        <w:left w:w="115" w:type="dxa"/>
        <w:right w:w="115" w:type="dxa"/>
      </w:tblCellMar>
    </w:tblPr>
  </w:style>
  <w:style w:type="table" w:customStyle="1" w:styleId="aff0">
    <w:basedOn w:val="TableNormal5"/>
    <w:tblPr>
      <w:tblStyleRowBandSize w:val="1"/>
      <w:tblStyleColBandSize w:val="1"/>
      <w:tblCellMar>
        <w:left w:w="115" w:type="dxa"/>
        <w:right w:w="115" w:type="dxa"/>
      </w:tblCellMar>
    </w:tblPr>
  </w:style>
  <w:style w:type="table" w:customStyle="1" w:styleId="aff1">
    <w:basedOn w:val="TableNormal5"/>
    <w:tblPr>
      <w:tblStyleRowBandSize w:val="1"/>
      <w:tblStyleColBandSize w:val="1"/>
      <w:tblCellMar>
        <w:left w:w="115" w:type="dxa"/>
        <w:right w:w="115" w:type="dxa"/>
      </w:tblCellMar>
    </w:tblPr>
  </w:style>
  <w:style w:type="table" w:customStyle="1" w:styleId="aff2">
    <w:basedOn w:val="TableNormal4"/>
    <w:tblPr>
      <w:tblStyleRowBandSize w:val="1"/>
      <w:tblStyleColBandSize w:val="1"/>
      <w:tblCellMar>
        <w:left w:w="115" w:type="dxa"/>
        <w:right w:w="115" w:type="dxa"/>
      </w:tblCellMar>
    </w:tblPr>
  </w:style>
  <w:style w:type="table" w:customStyle="1" w:styleId="aff3">
    <w:basedOn w:val="TableNormal4"/>
    <w:tblPr>
      <w:tblStyleRowBandSize w:val="1"/>
      <w:tblStyleColBandSize w:val="1"/>
      <w:tblCellMar>
        <w:left w:w="115" w:type="dxa"/>
        <w:right w:w="115" w:type="dxa"/>
      </w:tblCellMar>
    </w:tblPr>
  </w:style>
  <w:style w:type="table" w:customStyle="1" w:styleId="aff4">
    <w:basedOn w:val="TableNormal3"/>
    <w:tblPr>
      <w:tblStyleRowBandSize w:val="1"/>
      <w:tblStyleColBandSize w:val="1"/>
      <w:tblCellMar>
        <w:left w:w="115" w:type="dxa"/>
        <w:right w:w="115" w:type="dxa"/>
      </w:tblCellMar>
    </w:tblPr>
  </w:style>
  <w:style w:type="table" w:customStyle="1" w:styleId="aff5">
    <w:basedOn w:val="TableNormal3"/>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left w:w="115" w:type="dxa"/>
        <w:right w:w="115" w:type="dxa"/>
      </w:tblCellMar>
    </w:tblPr>
  </w:style>
  <w:style w:type="table" w:customStyle="1" w:styleId="aff7">
    <w:basedOn w:val="TableNormal2"/>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229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LwJaCJCy7O9JGy830EkbZ7Q/Jg==">CgMxLjAyCWguM3JkY3JqbjIOaC5kYWozajJ4bzZxNjYyCGguZ2pkZ3hzMgloLjNkeTZ2a20yCWguMzBqMHpsbDIJaC4yczhleW8xMghoLnR5amN3dDIJaC4yZXQ5MnAwMg5oLmgydzd1eXAyZDU5YjIJaC4xdDNoNXNmMgloLjFmb2I5dGUyDmguaG56eHNjaDVneXN6Mg5oLm90M3FxNnZ4YTA4ZjIIaC5sbnhiejk4AHIhMUFJNmZEOE5kY3VESlVnRFJaeWo0bThuWmExSndnbU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17205</Words>
  <Characters>94633</Characters>
  <Application>Microsoft Office Word</Application>
  <DocSecurity>0</DocSecurity>
  <Lines>788</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2025-12-12T16:54:00Z</cp:lastPrinted>
  <dcterms:created xsi:type="dcterms:W3CDTF">2026-01-20T18:26:00Z</dcterms:created>
  <dcterms:modified xsi:type="dcterms:W3CDTF">2026-01-20T18:26:00Z</dcterms:modified>
</cp:coreProperties>
</file>