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7B75FD" w:rsidRDefault="009D3673" w:rsidP="007B75FD">
      <w:pPr>
        <w:spacing w:line="360" w:lineRule="auto"/>
        <w:ind w:right="49"/>
        <w:jc w:val="both"/>
        <w:rPr>
          <w:rFonts w:ascii="Palatino Linotype" w:eastAsia="Palatino Linotype" w:hAnsi="Palatino Linotype" w:cs="Palatino Linotype"/>
          <w:color w:val="000000" w:themeColor="text1"/>
        </w:rPr>
      </w:pPr>
      <w:bookmarkStart w:id="0" w:name="_GoBack"/>
      <w:bookmarkEnd w:id="0"/>
      <w:r w:rsidRPr="007B75FD">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w:t>
      </w:r>
      <w:r w:rsidR="0081462E" w:rsidRPr="007B75FD">
        <w:rPr>
          <w:rFonts w:ascii="Palatino Linotype" w:eastAsia="Palatino Linotype" w:hAnsi="Palatino Linotype" w:cs="Palatino Linotype"/>
          <w:color w:val="000000" w:themeColor="text1"/>
        </w:rPr>
        <w:t xml:space="preserve">tado de México; </w:t>
      </w:r>
      <w:r w:rsidR="007B75FD">
        <w:rPr>
          <w:rFonts w:ascii="Palatino Linotype" w:eastAsia="Palatino Linotype" w:hAnsi="Palatino Linotype" w:cs="Palatino Linotype"/>
          <w:b/>
          <w:color w:val="000000" w:themeColor="text1"/>
        </w:rPr>
        <w:t xml:space="preserve">de fecha veinte (20) </w:t>
      </w:r>
      <w:r w:rsidR="007B75FD" w:rsidRPr="00157555">
        <w:rPr>
          <w:rFonts w:ascii="Palatino Linotype" w:eastAsia="Palatino Linotype" w:hAnsi="Palatino Linotype" w:cs="Palatino Linotype"/>
          <w:b/>
          <w:color w:val="000000" w:themeColor="text1"/>
        </w:rPr>
        <w:t xml:space="preserve">de </w:t>
      </w:r>
      <w:r w:rsidR="007B75FD">
        <w:rPr>
          <w:rFonts w:ascii="Palatino Linotype" w:eastAsia="Palatino Linotype" w:hAnsi="Palatino Linotype" w:cs="Palatino Linotype"/>
          <w:b/>
          <w:color w:val="000000" w:themeColor="text1"/>
        </w:rPr>
        <w:t xml:space="preserve">noviembre </w:t>
      </w:r>
      <w:r w:rsidR="007B75FD" w:rsidRPr="00157555">
        <w:rPr>
          <w:rFonts w:ascii="Palatino Linotype" w:eastAsia="Palatino Linotype" w:hAnsi="Palatino Linotype" w:cs="Palatino Linotype"/>
          <w:b/>
          <w:color w:val="000000" w:themeColor="text1"/>
        </w:rPr>
        <w:t>de dos mil veinticinco</w:t>
      </w:r>
      <w:r w:rsidRPr="007B75FD">
        <w:rPr>
          <w:rFonts w:ascii="Palatino Linotype" w:eastAsia="Palatino Linotype" w:hAnsi="Palatino Linotype" w:cs="Palatino Linotype"/>
          <w:color w:val="000000" w:themeColor="text1"/>
        </w:rPr>
        <w:t>.</w:t>
      </w: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7B75FD">
      <w:pPr>
        <w:spacing w:line="360" w:lineRule="auto"/>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b/>
          <w:color w:val="000000" w:themeColor="text1"/>
        </w:rPr>
        <w:t xml:space="preserve">VISTAS </w:t>
      </w:r>
      <w:r w:rsidRPr="007B75FD">
        <w:rPr>
          <w:rFonts w:ascii="Palatino Linotype" w:eastAsia="Palatino Linotype" w:hAnsi="Palatino Linotype" w:cs="Palatino Linotype"/>
          <w:color w:val="000000" w:themeColor="text1"/>
        </w:rPr>
        <w:t xml:space="preserve">las constancias para resolver el Recurso de Revisión </w:t>
      </w:r>
      <w:r w:rsidR="00C40549" w:rsidRPr="007B75FD">
        <w:rPr>
          <w:rFonts w:ascii="Palatino Linotype" w:eastAsia="Palatino Linotype" w:hAnsi="Palatino Linotype" w:cs="Palatino Linotype"/>
          <w:b/>
          <w:color w:val="000000" w:themeColor="text1"/>
        </w:rPr>
        <w:t>05073/INFOEM/IP/RR/2025</w:t>
      </w:r>
      <w:r w:rsidRPr="007B75FD">
        <w:rPr>
          <w:rFonts w:ascii="Palatino Linotype" w:eastAsia="Palatino Linotype" w:hAnsi="Palatino Linotype" w:cs="Palatino Linotype"/>
          <w:b/>
          <w:color w:val="000000" w:themeColor="text1"/>
        </w:rPr>
        <w:t>,</w:t>
      </w:r>
      <w:r w:rsidRPr="007B75FD">
        <w:rPr>
          <w:rFonts w:ascii="Palatino Linotype" w:eastAsia="Palatino Linotype" w:hAnsi="Palatino Linotype" w:cs="Palatino Linotype"/>
          <w:color w:val="000000" w:themeColor="text1"/>
        </w:rPr>
        <w:t xml:space="preserve"> presentado por </w:t>
      </w:r>
      <w:r w:rsidR="00C40549" w:rsidRPr="007B75FD">
        <w:rPr>
          <w:rFonts w:ascii="Palatino Linotype" w:eastAsia="Palatino Linotype" w:hAnsi="Palatino Linotype" w:cs="Palatino Linotype"/>
          <w:b/>
          <w:color w:val="000000" w:themeColor="text1"/>
        </w:rPr>
        <w:t>una persona que no proporcionó datos de identificación</w:t>
      </w:r>
      <w:r w:rsidRPr="007B75FD">
        <w:rPr>
          <w:rFonts w:ascii="Palatino Linotype" w:eastAsia="Palatino Linotype" w:hAnsi="Palatino Linotype" w:cs="Palatino Linotype"/>
          <w:b/>
          <w:color w:val="000000" w:themeColor="text1"/>
        </w:rPr>
        <w:t>,</w:t>
      </w:r>
      <w:r w:rsidRPr="007B75FD">
        <w:rPr>
          <w:rFonts w:ascii="Palatino Linotype" w:eastAsia="Palatino Linotype" w:hAnsi="Palatino Linotype" w:cs="Palatino Linotype"/>
          <w:color w:val="000000" w:themeColor="text1"/>
        </w:rPr>
        <w:t xml:space="preserve"> a quien en lo sucesivo se denominará como </w:t>
      </w:r>
      <w:r w:rsidRPr="007B75FD">
        <w:rPr>
          <w:rFonts w:ascii="Palatino Linotype" w:eastAsia="Palatino Linotype" w:hAnsi="Palatino Linotype" w:cs="Palatino Linotype"/>
          <w:b/>
          <w:color w:val="000000" w:themeColor="text1"/>
        </w:rPr>
        <w:t>EL RECURRENTE</w:t>
      </w:r>
      <w:r w:rsidRPr="007B75FD">
        <w:rPr>
          <w:rFonts w:ascii="Palatino Linotype" w:eastAsia="Palatino Linotype" w:hAnsi="Palatino Linotype" w:cs="Palatino Linotype"/>
          <w:color w:val="000000" w:themeColor="text1"/>
        </w:rPr>
        <w:t xml:space="preserve">, en contra de la respuesta otorgada a la </w:t>
      </w:r>
      <w:r w:rsidR="00DD2D9F" w:rsidRPr="007B75FD">
        <w:rPr>
          <w:rFonts w:ascii="Palatino Linotype" w:eastAsia="Palatino Linotype" w:hAnsi="Palatino Linotype" w:cs="Palatino Linotype"/>
          <w:color w:val="000000" w:themeColor="text1"/>
        </w:rPr>
        <w:t>S</w:t>
      </w:r>
      <w:r w:rsidRPr="007B75FD">
        <w:rPr>
          <w:rFonts w:ascii="Palatino Linotype" w:eastAsia="Palatino Linotype" w:hAnsi="Palatino Linotype" w:cs="Palatino Linotype"/>
          <w:color w:val="000000" w:themeColor="text1"/>
        </w:rPr>
        <w:t xml:space="preserve">olicitud de </w:t>
      </w:r>
      <w:r w:rsidR="00DD2D9F" w:rsidRPr="007B75FD">
        <w:rPr>
          <w:rFonts w:ascii="Palatino Linotype" w:eastAsia="Palatino Linotype" w:hAnsi="Palatino Linotype" w:cs="Palatino Linotype"/>
          <w:color w:val="000000" w:themeColor="text1"/>
        </w:rPr>
        <w:t>I</w:t>
      </w:r>
      <w:r w:rsidRPr="007B75FD">
        <w:rPr>
          <w:rFonts w:ascii="Palatino Linotype" w:eastAsia="Palatino Linotype" w:hAnsi="Palatino Linotype" w:cs="Palatino Linotype"/>
          <w:color w:val="000000" w:themeColor="text1"/>
        </w:rPr>
        <w:t xml:space="preserve">nformación </w:t>
      </w:r>
      <w:r w:rsidR="00C40549" w:rsidRPr="007B75FD">
        <w:rPr>
          <w:rFonts w:ascii="Palatino Linotype" w:eastAsia="Palatino Linotype" w:hAnsi="Palatino Linotype" w:cs="Palatino Linotype"/>
          <w:b/>
          <w:color w:val="000000" w:themeColor="text1"/>
        </w:rPr>
        <w:t>00250/ZINACANT/IP/2025</w:t>
      </w:r>
      <w:r w:rsidRPr="007B75FD">
        <w:rPr>
          <w:rFonts w:ascii="Palatino Linotype" w:eastAsia="Palatino Linotype" w:hAnsi="Palatino Linotype" w:cs="Palatino Linotype"/>
          <w:color w:val="000000" w:themeColor="text1"/>
        </w:rPr>
        <w:t>, por parte de</w:t>
      </w:r>
      <w:r w:rsidR="00F916D5" w:rsidRPr="007B75FD">
        <w:rPr>
          <w:rFonts w:ascii="Palatino Linotype" w:eastAsia="Palatino Linotype" w:hAnsi="Palatino Linotype" w:cs="Palatino Linotype"/>
          <w:color w:val="000000" w:themeColor="text1"/>
        </w:rPr>
        <w:t xml:space="preserve"> </w:t>
      </w:r>
      <w:r w:rsidRPr="007B75FD">
        <w:rPr>
          <w:rFonts w:ascii="Palatino Linotype" w:eastAsia="Palatino Linotype" w:hAnsi="Palatino Linotype" w:cs="Palatino Linotype"/>
          <w:color w:val="000000" w:themeColor="text1"/>
        </w:rPr>
        <w:t>l</w:t>
      </w:r>
      <w:r w:rsidR="00F916D5" w:rsidRPr="007B75FD">
        <w:rPr>
          <w:rFonts w:ascii="Palatino Linotype" w:eastAsia="Palatino Linotype" w:hAnsi="Palatino Linotype" w:cs="Palatino Linotype"/>
          <w:color w:val="000000" w:themeColor="text1"/>
        </w:rPr>
        <w:t>a</w:t>
      </w:r>
      <w:r w:rsidRPr="007B75FD">
        <w:rPr>
          <w:rFonts w:ascii="Palatino Linotype" w:eastAsia="Palatino Linotype" w:hAnsi="Palatino Linotype" w:cs="Palatino Linotype"/>
          <w:color w:val="000000" w:themeColor="text1"/>
        </w:rPr>
        <w:t xml:space="preserve"> </w:t>
      </w:r>
      <w:r w:rsidR="00C40549" w:rsidRPr="007B75FD">
        <w:rPr>
          <w:rFonts w:ascii="Palatino Linotype" w:eastAsia="Palatino Linotype" w:hAnsi="Palatino Linotype" w:cs="Palatino Linotype"/>
          <w:b/>
          <w:color w:val="000000" w:themeColor="text1"/>
        </w:rPr>
        <w:t>Ayuntamiento de Zinacantepec</w:t>
      </w:r>
      <w:r w:rsidRPr="007B75FD">
        <w:rPr>
          <w:rFonts w:ascii="Palatino Linotype" w:eastAsia="Palatino Linotype" w:hAnsi="Palatino Linotype" w:cs="Palatino Linotype"/>
          <w:b/>
          <w:color w:val="000000" w:themeColor="text1"/>
        </w:rPr>
        <w:t xml:space="preserve">, </w:t>
      </w:r>
      <w:r w:rsidRPr="007B75FD">
        <w:rPr>
          <w:rFonts w:ascii="Palatino Linotype" w:eastAsia="Palatino Linotype" w:hAnsi="Palatino Linotype" w:cs="Palatino Linotype"/>
          <w:color w:val="000000" w:themeColor="text1"/>
        </w:rPr>
        <w:t xml:space="preserve">en adelante </w:t>
      </w:r>
      <w:r w:rsidRPr="007B75FD">
        <w:rPr>
          <w:rFonts w:ascii="Palatino Linotype" w:eastAsia="Palatino Linotype" w:hAnsi="Palatino Linotype" w:cs="Palatino Linotype"/>
          <w:b/>
          <w:color w:val="000000" w:themeColor="text1"/>
        </w:rPr>
        <w:t>EL SUJETO OBLIGADO,</w:t>
      </w:r>
      <w:r w:rsidRPr="007B75FD">
        <w:rPr>
          <w:rFonts w:ascii="Palatino Linotype" w:eastAsia="Palatino Linotype" w:hAnsi="Palatino Linotype" w:cs="Palatino Linotype"/>
          <w:color w:val="000000" w:themeColor="text1"/>
        </w:rPr>
        <w:t xml:space="preserve"> se emite la presente </w:t>
      </w:r>
      <w:r w:rsidR="0081462E" w:rsidRPr="007B75FD">
        <w:rPr>
          <w:rFonts w:ascii="Palatino Linotype" w:eastAsia="Palatino Linotype" w:hAnsi="Palatino Linotype" w:cs="Palatino Linotype"/>
          <w:color w:val="000000" w:themeColor="text1"/>
        </w:rPr>
        <w:t>R</w:t>
      </w:r>
      <w:r w:rsidRPr="007B75FD">
        <w:rPr>
          <w:rFonts w:ascii="Palatino Linotype" w:eastAsia="Palatino Linotype" w:hAnsi="Palatino Linotype" w:cs="Palatino Linotype"/>
          <w:color w:val="000000" w:themeColor="text1"/>
        </w:rPr>
        <w:t>esolución con base en los siguientes:</w:t>
      </w: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7B75FD">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B75FD">
        <w:rPr>
          <w:rFonts w:ascii="Palatino Linotype" w:eastAsia="Palatino Linotype" w:hAnsi="Palatino Linotype" w:cs="Palatino Linotype"/>
          <w:b/>
          <w:color w:val="000000" w:themeColor="text1"/>
          <w:sz w:val="24"/>
          <w:szCs w:val="24"/>
        </w:rPr>
        <w:t>A N T E C E D E N T E S</w:t>
      </w:r>
    </w:p>
    <w:p w:rsidR="00B84DF1" w:rsidRPr="007B75FD" w:rsidRDefault="00B84DF1" w:rsidP="007B75F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B84DF1" w:rsidRPr="007B75FD" w:rsidRDefault="009D3673" w:rsidP="007B75FD">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El día</w:t>
      </w:r>
      <w:r w:rsidRPr="007B75FD">
        <w:rPr>
          <w:rFonts w:ascii="Palatino Linotype" w:eastAsia="Palatino Linotype" w:hAnsi="Palatino Linotype" w:cs="Palatino Linotype"/>
          <w:b/>
          <w:color w:val="000000" w:themeColor="text1"/>
        </w:rPr>
        <w:t xml:space="preserve"> </w:t>
      </w:r>
      <w:r w:rsidR="00C40549" w:rsidRPr="007B75FD">
        <w:rPr>
          <w:rFonts w:ascii="Palatino Linotype" w:eastAsia="Palatino Linotype" w:hAnsi="Palatino Linotype" w:cs="Palatino Linotype"/>
          <w:b/>
          <w:color w:val="000000" w:themeColor="text1"/>
        </w:rPr>
        <w:t>ocho</w:t>
      </w:r>
      <w:r w:rsidR="00053809" w:rsidRPr="007B75FD">
        <w:rPr>
          <w:rFonts w:ascii="Palatino Linotype" w:eastAsia="Palatino Linotype" w:hAnsi="Palatino Linotype" w:cs="Palatino Linotype"/>
          <w:b/>
          <w:color w:val="000000" w:themeColor="text1"/>
        </w:rPr>
        <w:t xml:space="preserve"> de </w:t>
      </w:r>
      <w:r w:rsidR="00DD2D9F" w:rsidRPr="007B75FD">
        <w:rPr>
          <w:rFonts w:ascii="Palatino Linotype" w:eastAsia="Palatino Linotype" w:hAnsi="Palatino Linotype" w:cs="Palatino Linotype"/>
          <w:b/>
          <w:color w:val="000000" w:themeColor="text1"/>
        </w:rPr>
        <w:t>abril</w:t>
      </w:r>
      <w:r w:rsidRPr="007B75FD">
        <w:rPr>
          <w:rFonts w:ascii="Palatino Linotype" w:eastAsia="Palatino Linotype" w:hAnsi="Palatino Linotype" w:cs="Palatino Linotype"/>
          <w:b/>
          <w:color w:val="000000" w:themeColor="text1"/>
        </w:rPr>
        <w:t xml:space="preserve"> dos mil veintic</w:t>
      </w:r>
      <w:r w:rsidR="00AC01CA" w:rsidRPr="007B75FD">
        <w:rPr>
          <w:rFonts w:ascii="Palatino Linotype" w:eastAsia="Palatino Linotype" w:hAnsi="Palatino Linotype" w:cs="Palatino Linotype"/>
          <w:b/>
          <w:color w:val="000000" w:themeColor="text1"/>
        </w:rPr>
        <w:t>inco</w:t>
      </w:r>
      <w:r w:rsidRPr="007B75FD">
        <w:rPr>
          <w:rFonts w:ascii="Palatino Linotype" w:eastAsia="Palatino Linotype" w:hAnsi="Palatino Linotype" w:cs="Palatino Linotype"/>
          <w:color w:val="000000" w:themeColor="text1"/>
        </w:rPr>
        <w:t>,</w:t>
      </w:r>
      <w:r w:rsidRPr="007B75FD">
        <w:rPr>
          <w:rFonts w:ascii="Palatino Linotype" w:eastAsia="Palatino Linotype" w:hAnsi="Palatino Linotype" w:cs="Palatino Linotype"/>
          <w:b/>
          <w:color w:val="000000" w:themeColor="text1"/>
        </w:rPr>
        <w:t xml:space="preserve"> </w:t>
      </w:r>
      <w:r w:rsidRPr="007B75FD">
        <w:rPr>
          <w:rFonts w:ascii="Palatino Linotype" w:eastAsia="Palatino Linotype" w:hAnsi="Palatino Linotype" w:cs="Palatino Linotype"/>
          <w:color w:val="000000" w:themeColor="text1"/>
        </w:rPr>
        <w:t>se presentó ante el Sujeto Obligado vía Sistema de Acceso a la Información Mexiquense, en adelante (SAIMEX), la siguiente solicitud de información pública:</w:t>
      </w:r>
    </w:p>
    <w:p w:rsidR="00B84DF1" w:rsidRPr="007B75FD" w:rsidRDefault="00B84DF1" w:rsidP="007B75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7B75FD">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w:t>
      </w:r>
      <w:r w:rsidR="00C40549" w:rsidRPr="007B75FD">
        <w:rPr>
          <w:rFonts w:ascii="Palatino Linotype" w:eastAsia="Palatino Linotype" w:hAnsi="Palatino Linotype" w:cs="Palatino Linotype"/>
          <w:i/>
          <w:color w:val="000000" w:themeColor="text1"/>
        </w:rPr>
        <w:t>Informes completos de auditorías financieras realizadas a la administración municipal durante el periodo 2018-2024, detallando ingresos, egresos, observaciones y acciones correctivas implementadas.</w:t>
      </w:r>
      <w:r w:rsidRPr="007B75FD">
        <w:rPr>
          <w:rFonts w:ascii="Palatino Linotype" w:eastAsia="Palatino Linotype" w:hAnsi="Palatino Linotype" w:cs="Palatino Linotype"/>
          <w:i/>
          <w:color w:val="000000" w:themeColor="text1"/>
        </w:rPr>
        <w:t>”</w:t>
      </w:r>
    </w:p>
    <w:p w:rsidR="00B84DF1" w:rsidRDefault="00B84DF1" w:rsidP="007B75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357A9C" w:rsidRPr="007B75FD" w:rsidRDefault="00357A9C" w:rsidP="007B75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7B75FD">
      <w:pPr>
        <w:numPr>
          <w:ilvl w:val="0"/>
          <w:numId w:val="2"/>
        </w:numPr>
        <w:pBdr>
          <w:top w:val="nil"/>
          <w:left w:val="nil"/>
          <w:bottom w:val="nil"/>
          <w:right w:val="nil"/>
          <w:between w:val="nil"/>
        </w:pBdr>
        <w:tabs>
          <w:tab w:val="left" w:pos="0"/>
        </w:tabs>
        <w:spacing w:line="360" w:lineRule="auto"/>
        <w:ind w:left="0"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Se eligió como modalidad de entrega de la información: A través del </w:t>
      </w:r>
      <w:r w:rsidRPr="007B75FD">
        <w:rPr>
          <w:rFonts w:ascii="Palatino Linotype" w:eastAsia="Palatino Linotype" w:hAnsi="Palatino Linotype" w:cs="Palatino Linotype"/>
          <w:b/>
          <w:color w:val="000000" w:themeColor="text1"/>
        </w:rPr>
        <w:t>SAIMEX.</w:t>
      </w:r>
    </w:p>
    <w:p w:rsidR="00053809" w:rsidRPr="007B75FD" w:rsidRDefault="00053809" w:rsidP="007B75F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0B1E4A" w:rsidRPr="007B75FD" w:rsidRDefault="009D3673" w:rsidP="007B75FD">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lastRenderedPageBreak/>
        <w:t xml:space="preserve">El </w:t>
      </w:r>
      <w:r w:rsidR="00DD2D9F" w:rsidRPr="007B75FD">
        <w:rPr>
          <w:rFonts w:ascii="Palatino Linotype" w:eastAsia="Palatino Linotype" w:hAnsi="Palatino Linotype" w:cs="Palatino Linotype"/>
          <w:b/>
          <w:color w:val="000000" w:themeColor="text1"/>
        </w:rPr>
        <w:t>veintinueve</w:t>
      </w:r>
      <w:r w:rsidR="007219D3" w:rsidRPr="007B75FD">
        <w:rPr>
          <w:rFonts w:ascii="Palatino Linotype" w:eastAsia="Palatino Linotype" w:hAnsi="Palatino Linotype" w:cs="Palatino Linotype"/>
          <w:b/>
          <w:color w:val="000000" w:themeColor="text1"/>
        </w:rPr>
        <w:t xml:space="preserve"> de </w:t>
      </w:r>
      <w:r w:rsidR="00DD2D9F" w:rsidRPr="007B75FD">
        <w:rPr>
          <w:rFonts w:ascii="Palatino Linotype" w:eastAsia="Palatino Linotype" w:hAnsi="Palatino Linotype" w:cs="Palatino Linotype"/>
          <w:b/>
          <w:color w:val="000000" w:themeColor="text1"/>
        </w:rPr>
        <w:t>abril</w:t>
      </w:r>
      <w:r w:rsidR="00654047" w:rsidRPr="007B75FD">
        <w:rPr>
          <w:rFonts w:ascii="Palatino Linotype" w:eastAsia="Palatino Linotype" w:hAnsi="Palatino Linotype" w:cs="Palatino Linotype"/>
          <w:b/>
          <w:color w:val="000000" w:themeColor="text1"/>
        </w:rPr>
        <w:t xml:space="preserve"> de dos mil veinticinco</w:t>
      </w:r>
      <w:r w:rsidRPr="007B75FD">
        <w:rPr>
          <w:rFonts w:ascii="Palatino Linotype" w:eastAsia="Palatino Linotype" w:hAnsi="Palatino Linotype" w:cs="Palatino Linotype"/>
          <w:color w:val="000000" w:themeColor="text1"/>
        </w:rPr>
        <w:t xml:space="preserve">, el </w:t>
      </w:r>
      <w:r w:rsidR="00654047" w:rsidRPr="007B75FD">
        <w:rPr>
          <w:rFonts w:ascii="Palatino Linotype" w:eastAsia="Palatino Linotype" w:hAnsi="Palatino Linotype" w:cs="Palatino Linotype"/>
          <w:b/>
          <w:color w:val="000000" w:themeColor="text1"/>
        </w:rPr>
        <w:t>SUJETO OBLIGADO</w:t>
      </w:r>
      <w:r w:rsidRPr="007B75FD">
        <w:rPr>
          <w:rFonts w:ascii="Palatino Linotype" w:eastAsia="Palatino Linotype" w:hAnsi="Palatino Linotype" w:cs="Palatino Linotype"/>
          <w:b/>
          <w:color w:val="000000" w:themeColor="text1"/>
        </w:rPr>
        <w:t>,</w:t>
      </w:r>
      <w:r w:rsidRPr="007B75FD">
        <w:rPr>
          <w:rFonts w:ascii="Palatino Linotype" w:eastAsia="Palatino Linotype" w:hAnsi="Palatino Linotype" w:cs="Palatino Linotype"/>
          <w:color w:val="000000" w:themeColor="text1"/>
        </w:rPr>
        <w:t xml:space="preserve"> dio respuesta a través </w:t>
      </w:r>
      <w:r w:rsidR="00256B55" w:rsidRPr="007B75FD">
        <w:rPr>
          <w:rFonts w:ascii="Palatino Linotype" w:eastAsia="Palatino Linotype" w:hAnsi="Palatino Linotype" w:cs="Palatino Linotype"/>
          <w:color w:val="000000" w:themeColor="text1"/>
        </w:rPr>
        <w:t>de</w:t>
      </w:r>
      <w:r w:rsidR="005254F3" w:rsidRPr="007B75FD">
        <w:rPr>
          <w:rFonts w:ascii="Palatino Linotype" w:eastAsia="Palatino Linotype" w:hAnsi="Palatino Linotype" w:cs="Palatino Linotype"/>
          <w:color w:val="000000" w:themeColor="text1"/>
        </w:rPr>
        <w:t xml:space="preserve">l </w:t>
      </w:r>
      <w:r w:rsidR="00EB041A" w:rsidRPr="007B75FD">
        <w:rPr>
          <w:rFonts w:ascii="Palatino Linotype" w:eastAsia="Palatino Linotype" w:hAnsi="Palatino Linotype" w:cs="Palatino Linotype"/>
          <w:color w:val="000000" w:themeColor="text1"/>
        </w:rPr>
        <w:t xml:space="preserve">a través del archivo denominado </w:t>
      </w:r>
      <w:r w:rsidR="00C40549" w:rsidRPr="007B75FD">
        <w:rPr>
          <w:rFonts w:ascii="Palatino Linotype" w:eastAsia="Palatino Linotype" w:hAnsi="Palatino Linotype" w:cs="Palatino Linotype"/>
          <w:b/>
          <w:i/>
          <w:color w:val="000000" w:themeColor="text1"/>
        </w:rPr>
        <w:t>SOLICITUD 0250_25 OFICIO.pdf, Oficio 0600 Solicitud 0250.pdf y RESPUESTA SOLICITUD 250.pdf</w:t>
      </w:r>
      <w:r w:rsidR="00EB041A" w:rsidRPr="007B75FD">
        <w:rPr>
          <w:rFonts w:ascii="Palatino Linotype" w:eastAsia="Palatino Linotype" w:hAnsi="Palatino Linotype" w:cs="Palatino Linotype"/>
          <w:color w:val="000000" w:themeColor="text1"/>
        </w:rPr>
        <w:t>, cuyo</w:t>
      </w:r>
      <w:r w:rsidR="000B1E4A" w:rsidRPr="007B75FD">
        <w:rPr>
          <w:rFonts w:ascii="Palatino Linotype" w:hAnsi="Palatino Linotype"/>
          <w:color w:val="000000" w:themeColor="text1"/>
        </w:rPr>
        <w:t xml:space="preserve"> </w:t>
      </w:r>
      <w:r w:rsidR="000B1E4A" w:rsidRPr="007B75FD">
        <w:rPr>
          <w:rFonts w:ascii="Palatino Linotype" w:eastAsia="Palatino Linotype" w:hAnsi="Palatino Linotype" w:cs="Palatino Linotype"/>
          <w:color w:val="000000" w:themeColor="text1"/>
        </w:rPr>
        <w:t>que corresponde el primero de ellos a un oficio sig</w:t>
      </w:r>
      <w:r w:rsidR="003E6A6E" w:rsidRPr="007B75FD">
        <w:rPr>
          <w:rFonts w:ascii="Palatino Linotype" w:eastAsia="Palatino Linotype" w:hAnsi="Palatino Linotype" w:cs="Palatino Linotype"/>
          <w:color w:val="000000" w:themeColor="text1"/>
        </w:rPr>
        <w:t>nado por el Contralor Municipal</w:t>
      </w:r>
      <w:r w:rsidR="000B1E4A" w:rsidRPr="007B75FD">
        <w:rPr>
          <w:rFonts w:ascii="Palatino Linotype" w:eastAsia="Palatino Linotype" w:hAnsi="Palatino Linotype" w:cs="Palatino Linotype"/>
          <w:color w:val="000000" w:themeColor="text1"/>
        </w:rPr>
        <w:t xml:space="preserve"> quien informa: que con relación a los informes de auditorías financieras realizadas durante la administración municipal  de los años 2018, 2018, 2020, 2021, 2022 y 2023 es información pública que ya consta en el Sistema de Información Pública de Oficio (Ipomex), en el que pueden ser consultados o descargados, informando para tal efecto de los pasos a seguir.</w:t>
      </w:r>
    </w:p>
    <w:p w:rsidR="000B1E4A" w:rsidRPr="007B75FD" w:rsidRDefault="000B1E4A" w:rsidP="007B75F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81462E" w:rsidRPr="007B75FD" w:rsidRDefault="000B1E4A" w:rsidP="007B75FD">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color w:val="000000" w:themeColor="text1"/>
        </w:rPr>
        <w:t xml:space="preserve">El segundo oficio corresponde a un oficio suscrito por el Titular de la Unidad de Transparencia, mediante el cual </w:t>
      </w:r>
      <w:r w:rsidR="003E6A6E" w:rsidRPr="007B75FD">
        <w:rPr>
          <w:rFonts w:ascii="Palatino Linotype" w:eastAsia="Palatino Linotype" w:hAnsi="Palatino Linotype" w:cs="Palatino Linotype"/>
          <w:color w:val="000000" w:themeColor="text1"/>
        </w:rPr>
        <w:t>notifica</w:t>
      </w:r>
      <w:r w:rsidRPr="007B75FD">
        <w:rPr>
          <w:rFonts w:ascii="Palatino Linotype" w:eastAsia="Palatino Linotype" w:hAnsi="Palatino Linotype" w:cs="Palatino Linotype"/>
          <w:color w:val="000000" w:themeColor="text1"/>
        </w:rPr>
        <w:t xml:space="preserve"> la respuesta emitida por el servidor público habilitado. Finalmente un oficio suscrito por el Tesorero Municipal en el que se refiere que no existe</w:t>
      </w:r>
      <w:r w:rsidR="003E6A6E" w:rsidRPr="007B75FD">
        <w:rPr>
          <w:rFonts w:ascii="Palatino Linotype" w:eastAsia="Palatino Linotype" w:hAnsi="Palatino Linotype" w:cs="Palatino Linotype"/>
          <w:color w:val="000000" w:themeColor="text1"/>
        </w:rPr>
        <w:t>n</w:t>
      </w:r>
      <w:r w:rsidRPr="007B75FD">
        <w:rPr>
          <w:rFonts w:ascii="Palatino Linotype" w:eastAsia="Palatino Linotype" w:hAnsi="Palatino Linotype" w:cs="Palatino Linotype"/>
          <w:color w:val="000000" w:themeColor="text1"/>
        </w:rPr>
        <w:t xml:space="preserve"> en esa área</w:t>
      </w:r>
      <w:r w:rsidR="003E6A6E" w:rsidRPr="007B75FD">
        <w:rPr>
          <w:rFonts w:ascii="Palatino Linotype" w:eastAsia="Palatino Linotype" w:hAnsi="Palatino Linotype" w:cs="Palatino Linotype"/>
          <w:color w:val="000000" w:themeColor="text1"/>
        </w:rPr>
        <w:t>,</w:t>
      </w:r>
      <w:r w:rsidRPr="007B75FD">
        <w:rPr>
          <w:rFonts w:ascii="Palatino Linotype" w:eastAsia="Palatino Linotype" w:hAnsi="Palatino Linotype" w:cs="Palatino Linotype"/>
          <w:color w:val="000000" w:themeColor="text1"/>
        </w:rPr>
        <w:t xml:space="preserve"> documentales que se refieran a informes completos de </w:t>
      </w:r>
      <w:r w:rsidR="003E6A6E" w:rsidRPr="007B75FD">
        <w:rPr>
          <w:rFonts w:ascii="Palatino Linotype" w:eastAsia="Palatino Linotype" w:hAnsi="Palatino Linotype" w:cs="Palatino Linotype"/>
          <w:color w:val="000000" w:themeColor="text1"/>
        </w:rPr>
        <w:t>auditorías</w:t>
      </w:r>
      <w:r w:rsidRPr="007B75FD">
        <w:rPr>
          <w:rFonts w:ascii="Palatino Linotype" w:eastAsia="Palatino Linotype" w:hAnsi="Palatino Linotype" w:cs="Palatino Linotype"/>
          <w:color w:val="000000" w:themeColor="text1"/>
        </w:rPr>
        <w:t xml:space="preserve"> financieras.</w:t>
      </w:r>
    </w:p>
    <w:p w:rsidR="00DB20B2" w:rsidRPr="007B75FD" w:rsidRDefault="00DB20B2" w:rsidP="007B75F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themeColor="text1"/>
        </w:rPr>
      </w:pPr>
    </w:p>
    <w:p w:rsidR="00B84DF1" w:rsidRPr="007B75FD" w:rsidRDefault="009D3673" w:rsidP="007B75FD">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El</w:t>
      </w:r>
      <w:r w:rsidRPr="007B75FD">
        <w:rPr>
          <w:rFonts w:ascii="Palatino Linotype" w:eastAsia="Palatino Linotype" w:hAnsi="Palatino Linotype" w:cs="Palatino Linotype"/>
          <w:b/>
          <w:color w:val="000000" w:themeColor="text1"/>
        </w:rPr>
        <w:t xml:space="preserve"> </w:t>
      </w:r>
      <w:r w:rsidR="003E6A6E" w:rsidRPr="007B75FD">
        <w:rPr>
          <w:rFonts w:ascii="Palatino Linotype" w:eastAsia="Palatino Linotype" w:hAnsi="Palatino Linotype" w:cs="Palatino Linotype"/>
          <w:b/>
          <w:color w:val="000000" w:themeColor="text1"/>
        </w:rPr>
        <w:t>seis</w:t>
      </w:r>
      <w:r w:rsidR="00EB041A" w:rsidRPr="007B75FD">
        <w:rPr>
          <w:rFonts w:ascii="Palatino Linotype" w:eastAsia="Palatino Linotype" w:hAnsi="Palatino Linotype" w:cs="Palatino Linotype"/>
          <w:b/>
          <w:color w:val="000000" w:themeColor="text1"/>
        </w:rPr>
        <w:t xml:space="preserve"> de mayo</w:t>
      </w:r>
      <w:r w:rsidR="00DB20B2" w:rsidRPr="007B75FD">
        <w:rPr>
          <w:rFonts w:ascii="Palatino Linotype" w:eastAsia="Palatino Linotype" w:hAnsi="Palatino Linotype" w:cs="Palatino Linotype"/>
          <w:b/>
          <w:color w:val="000000" w:themeColor="text1"/>
        </w:rPr>
        <w:t xml:space="preserve"> dos mil veinticinco</w:t>
      </w:r>
      <w:r w:rsidRPr="007B75FD">
        <w:rPr>
          <w:rFonts w:ascii="Palatino Linotype" w:eastAsia="Palatino Linotype" w:hAnsi="Palatino Linotype" w:cs="Palatino Linotype"/>
          <w:color w:val="000000" w:themeColor="text1"/>
        </w:rPr>
        <w:t>, el particular interpuso el recurso de revisión en contra de la respuesta, realizando las siguientes manifestaciones:</w:t>
      </w:r>
    </w:p>
    <w:p w:rsidR="00AD30C0" w:rsidRPr="007B75FD" w:rsidRDefault="00AD30C0" w:rsidP="007B75F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357A9C">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bookmarkStart w:id="2" w:name="_heading=h.30j0zll" w:colFirst="0" w:colLast="0"/>
      <w:bookmarkEnd w:id="2"/>
      <w:r w:rsidRPr="007B75FD">
        <w:rPr>
          <w:rFonts w:ascii="Palatino Linotype" w:eastAsia="Palatino Linotype" w:hAnsi="Palatino Linotype" w:cs="Palatino Linotype"/>
          <w:b/>
          <w:color w:val="000000" w:themeColor="text1"/>
        </w:rPr>
        <w:t xml:space="preserve">ACTO IMPUGNADO: </w:t>
      </w:r>
      <w:r w:rsidRPr="007B75FD">
        <w:rPr>
          <w:rFonts w:ascii="Palatino Linotype" w:eastAsia="Palatino Linotype" w:hAnsi="Palatino Linotype" w:cs="Palatino Linotype"/>
          <w:i/>
          <w:color w:val="000000" w:themeColor="text1"/>
        </w:rPr>
        <w:t>“</w:t>
      </w:r>
      <w:r w:rsidR="003E6A6E" w:rsidRPr="007B75FD">
        <w:rPr>
          <w:rFonts w:ascii="Palatino Linotype" w:eastAsia="Palatino Linotype" w:hAnsi="Palatino Linotype" w:cs="Palatino Linotype"/>
          <w:i/>
          <w:color w:val="000000" w:themeColor="text1"/>
        </w:rPr>
        <w:t>NO ENTREGA INFORMACION</w:t>
      </w:r>
      <w:r w:rsidRPr="007B75FD">
        <w:rPr>
          <w:rFonts w:ascii="Palatino Linotype" w:eastAsia="Palatino Linotype" w:hAnsi="Palatino Linotype" w:cs="Palatino Linotype"/>
          <w:i/>
          <w:color w:val="000000" w:themeColor="text1"/>
        </w:rPr>
        <w:t>”</w:t>
      </w:r>
    </w:p>
    <w:p w:rsidR="00AD30C0" w:rsidRPr="007B75FD" w:rsidRDefault="00AD30C0" w:rsidP="00357A9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B84DF1" w:rsidRPr="007B75FD" w:rsidRDefault="009D3673" w:rsidP="00357A9C">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color w:val="000000" w:themeColor="text1"/>
        </w:rPr>
        <w:t xml:space="preserve">RAZONES O MOTIVOS DE LA INCONFORMIDAD: </w:t>
      </w:r>
      <w:r w:rsidRPr="007B75FD">
        <w:rPr>
          <w:rFonts w:ascii="Palatino Linotype" w:eastAsia="Palatino Linotype" w:hAnsi="Palatino Linotype" w:cs="Palatino Linotype"/>
          <w:i/>
          <w:color w:val="000000" w:themeColor="text1"/>
        </w:rPr>
        <w:t>“</w:t>
      </w:r>
      <w:r w:rsidR="003E6A6E" w:rsidRPr="007B75FD">
        <w:rPr>
          <w:rFonts w:ascii="Palatino Linotype" w:eastAsia="Palatino Linotype" w:hAnsi="Palatino Linotype" w:cs="Palatino Linotype"/>
          <w:i/>
          <w:color w:val="000000" w:themeColor="text1"/>
        </w:rPr>
        <w:t>NO ENTREGA INFORMACION</w:t>
      </w:r>
      <w:r w:rsidRPr="007B75FD">
        <w:rPr>
          <w:rFonts w:ascii="Palatino Linotype" w:eastAsia="Palatino Linotype" w:hAnsi="Palatino Linotype" w:cs="Palatino Linotype"/>
          <w:i/>
          <w:color w:val="000000" w:themeColor="text1"/>
        </w:rPr>
        <w:t>”</w:t>
      </w:r>
    </w:p>
    <w:p w:rsidR="003E6A6E" w:rsidRPr="007B75FD" w:rsidRDefault="003E6A6E" w:rsidP="007B75FD">
      <w:pPr>
        <w:pStyle w:val="Prrafodelista"/>
        <w:ind w:left="0" w:right="49"/>
        <w:jc w:val="both"/>
        <w:rPr>
          <w:rFonts w:ascii="Palatino Linotype" w:eastAsia="Palatino Linotype" w:hAnsi="Palatino Linotype" w:cs="Palatino Linotype"/>
          <w:i/>
          <w:color w:val="000000" w:themeColor="text1"/>
        </w:rPr>
      </w:pPr>
    </w:p>
    <w:p w:rsidR="00B84DF1" w:rsidRPr="007B75FD" w:rsidRDefault="009D3673" w:rsidP="007B75F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lastRenderedPageBreak/>
        <w:t xml:space="preserve">Con fundamento en lo dispuesto por el artículo 185 fracción II de la ley de la materia, se acordó a las partes a efecto de que en un plazo máximo de siete días, el Recurrente </w:t>
      </w:r>
      <w:r w:rsidR="003E6A6E" w:rsidRPr="007B75FD">
        <w:rPr>
          <w:rFonts w:ascii="Palatino Linotype" w:eastAsia="Palatino Linotype" w:hAnsi="Palatino Linotype" w:cs="Palatino Linotype"/>
          <w:color w:val="000000" w:themeColor="text1"/>
        </w:rPr>
        <w:t>manifestara</w:t>
      </w:r>
      <w:r w:rsidRPr="007B75FD">
        <w:rPr>
          <w:rFonts w:ascii="Palatino Linotype" w:eastAsia="Palatino Linotype" w:hAnsi="Palatino Linotype" w:cs="Palatino Linotype"/>
          <w:color w:val="000000" w:themeColor="text1"/>
        </w:rPr>
        <w:t xml:space="preserve"> lo que a su derecho conviniera, ofreciera pruebas y alegatos, y el Sujeto Obligado presentará el Informe Justificado.</w:t>
      </w:r>
      <w:r w:rsidR="003E6A6E" w:rsidRPr="007B75FD">
        <w:rPr>
          <w:rFonts w:ascii="Palatino Linotype" w:eastAsia="Palatino Linotype" w:hAnsi="Palatino Linotype" w:cs="Palatino Linotype"/>
          <w:color w:val="000000" w:themeColor="text1"/>
        </w:rPr>
        <w:t xml:space="preserve"> No obstante las partes no emitieron pronunciamiento alguno en dicha etapa.</w:t>
      </w:r>
    </w:p>
    <w:p w:rsidR="00DB20B2" w:rsidRPr="007B75FD" w:rsidRDefault="00DB20B2" w:rsidP="007B75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F40827" w:rsidRPr="007B75FD" w:rsidRDefault="009D3673" w:rsidP="007B75F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El </w:t>
      </w:r>
      <w:r w:rsidR="003E6A6E" w:rsidRPr="007B75FD">
        <w:rPr>
          <w:rFonts w:ascii="Palatino Linotype" w:eastAsia="Palatino Linotype" w:hAnsi="Palatino Linotype" w:cs="Palatino Linotype"/>
          <w:b/>
          <w:color w:val="000000" w:themeColor="text1"/>
        </w:rPr>
        <w:t>doce</w:t>
      </w:r>
      <w:r w:rsidR="00AA22C2" w:rsidRPr="007B75FD">
        <w:rPr>
          <w:rFonts w:ascii="Palatino Linotype" w:eastAsia="Palatino Linotype" w:hAnsi="Palatino Linotype" w:cs="Palatino Linotype"/>
          <w:b/>
          <w:color w:val="000000" w:themeColor="text1"/>
        </w:rPr>
        <w:t xml:space="preserve"> de </w:t>
      </w:r>
      <w:r w:rsidR="005D593D" w:rsidRPr="007B75FD">
        <w:rPr>
          <w:rFonts w:ascii="Palatino Linotype" w:eastAsia="Palatino Linotype" w:hAnsi="Palatino Linotype" w:cs="Palatino Linotype"/>
          <w:b/>
          <w:color w:val="000000" w:themeColor="text1"/>
        </w:rPr>
        <w:t xml:space="preserve">noviembre </w:t>
      </w:r>
      <w:r w:rsidRPr="007B75FD">
        <w:rPr>
          <w:rFonts w:ascii="Palatino Linotype" w:eastAsia="Palatino Linotype" w:hAnsi="Palatino Linotype" w:cs="Palatino Linotype"/>
          <w:b/>
          <w:color w:val="000000" w:themeColor="text1"/>
        </w:rPr>
        <w:t>del año en curso</w:t>
      </w:r>
      <w:r w:rsidR="00AA22C2" w:rsidRPr="007B75FD">
        <w:rPr>
          <w:rFonts w:ascii="Palatino Linotype" w:eastAsia="Palatino Linotype" w:hAnsi="Palatino Linotype" w:cs="Palatino Linotype"/>
          <w:color w:val="000000" w:themeColor="text1"/>
        </w:rPr>
        <w:t xml:space="preserve">, </w:t>
      </w:r>
      <w:r w:rsidR="00F40827" w:rsidRPr="007B75FD">
        <w:rPr>
          <w:rFonts w:ascii="Palatino Linotype" w:eastAsia="Palatino Linotype" w:hAnsi="Palatino Linotype" w:cs="Palatino Linotype"/>
          <w:color w:val="000000" w:themeColor="text1"/>
        </w:rPr>
        <w:t xml:space="preserve">se amplió el término para resolver el Recurso de Revisión por un periodo de quince días hábiles adicionales al lapso ordinario. Al respecto 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rsidR="00F40827" w:rsidRPr="007B75FD" w:rsidRDefault="00F40827" w:rsidP="007B75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bookmarkStart w:id="3" w:name="_heading=h.c4a064s8p7s9" w:colFirst="0" w:colLast="0"/>
      <w:bookmarkEnd w:id="3"/>
    </w:p>
    <w:p w:rsidR="00B84DF1" w:rsidRPr="00357A9C" w:rsidRDefault="00F40827" w:rsidP="007B75F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color w:val="000000" w:themeColor="text1"/>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 Seguidamente, mediante Acuerdo de </w:t>
      </w:r>
      <w:r w:rsidR="003E6A6E" w:rsidRPr="007B75FD">
        <w:rPr>
          <w:rFonts w:ascii="Palatino Linotype" w:eastAsia="Palatino Linotype" w:hAnsi="Palatino Linotype" w:cs="Palatino Linotype"/>
          <w:color w:val="000000" w:themeColor="text1"/>
        </w:rPr>
        <w:t>misma fecha</w:t>
      </w:r>
      <w:r w:rsidRPr="007B75FD">
        <w:rPr>
          <w:rFonts w:ascii="Palatino Linotype" w:eastAsia="Palatino Linotype" w:hAnsi="Palatino Linotype" w:cs="Palatino Linotype"/>
          <w:color w:val="000000" w:themeColor="text1"/>
        </w:rPr>
        <w:t xml:space="preserve">, </w:t>
      </w:r>
      <w:r w:rsidR="009D3673" w:rsidRPr="007B75FD">
        <w:rPr>
          <w:rFonts w:ascii="Palatino Linotype" w:eastAsia="Palatino Linotype" w:hAnsi="Palatino Linotype" w:cs="Palatino Linotype"/>
          <w:color w:val="000000" w:themeColor="text1"/>
        </w:rPr>
        <w:t>la Comisionada Ponente dictó el cierre del periodo de instrucción y, ordenó la resolución que conforme a Derecho proceda, de acuerdo a las siguientes:</w:t>
      </w:r>
      <w:r w:rsidR="00CB4A28" w:rsidRPr="007B75FD">
        <w:rPr>
          <w:rFonts w:ascii="Palatino Linotype" w:eastAsia="Palatino Linotype" w:hAnsi="Palatino Linotype" w:cs="Palatino Linotype"/>
          <w:color w:val="000000" w:themeColor="text1"/>
        </w:rPr>
        <w:t xml:space="preserve"> </w:t>
      </w:r>
      <w:r w:rsidR="00357A9C">
        <w:rPr>
          <w:rFonts w:ascii="Palatino Linotype" w:eastAsia="Palatino Linotype" w:hAnsi="Palatino Linotype" w:cs="Palatino Linotype"/>
          <w:color w:val="000000" w:themeColor="text1"/>
        </w:rPr>
        <w:t>-----------------------------------------------------------------------------------------</w:t>
      </w:r>
    </w:p>
    <w:p w:rsidR="00357A9C" w:rsidRDefault="00357A9C" w:rsidP="00357A9C">
      <w:pPr>
        <w:pStyle w:val="Prrafodelista"/>
        <w:rPr>
          <w:rFonts w:ascii="Palatino Linotype" w:eastAsia="Palatino Linotype" w:hAnsi="Palatino Linotype" w:cs="Palatino Linotype"/>
          <w:b/>
          <w:color w:val="000000" w:themeColor="text1"/>
        </w:rPr>
      </w:pPr>
    </w:p>
    <w:p w:rsidR="00357A9C" w:rsidRPr="007B75FD" w:rsidRDefault="00357A9C" w:rsidP="00357A9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190AFA" w:rsidRPr="007B75FD" w:rsidRDefault="00190AFA" w:rsidP="007B75FD">
      <w:pPr>
        <w:pStyle w:val="Prrafodelista"/>
        <w:ind w:left="0" w:right="49"/>
        <w:jc w:val="both"/>
        <w:rPr>
          <w:rFonts w:ascii="Palatino Linotype" w:eastAsia="Palatino Linotype" w:hAnsi="Palatino Linotype" w:cs="Palatino Linotype"/>
          <w:b/>
          <w:color w:val="000000" w:themeColor="text1"/>
        </w:rPr>
      </w:pPr>
    </w:p>
    <w:p w:rsidR="00B84DF1" w:rsidRPr="007B75FD" w:rsidRDefault="009D3673" w:rsidP="007B75FD">
      <w:pPr>
        <w:pStyle w:val="Ttulo2"/>
        <w:spacing w:before="0" w:line="360" w:lineRule="auto"/>
        <w:ind w:right="49"/>
        <w:jc w:val="both"/>
        <w:rPr>
          <w:rFonts w:ascii="Palatino Linotype" w:eastAsia="Palatino Linotype" w:hAnsi="Palatino Linotype" w:cs="Palatino Linotype"/>
          <w:b/>
          <w:color w:val="000000" w:themeColor="text1"/>
          <w:sz w:val="24"/>
          <w:szCs w:val="24"/>
        </w:rPr>
      </w:pPr>
      <w:bookmarkStart w:id="4" w:name="_heading=h.3znysh7" w:colFirst="0" w:colLast="0"/>
      <w:bookmarkEnd w:id="4"/>
      <w:r w:rsidRPr="007B75FD">
        <w:rPr>
          <w:rFonts w:ascii="Palatino Linotype" w:eastAsia="Palatino Linotype" w:hAnsi="Palatino Linotype" w:cs="Palatino Linotype"/>
          <w:b/>
          <w:color w:val="000000" w:themeColor="text1"/>
          <w:sz w:val="24"/>
          <w:szCs w:val="24"/>
        </w:rPr>
        <w:lastRenderedPageBreak/>
        <w:t>PRIMERA. Competencia</w:t>
      </w:r>
    </w:p>
    <w:p w:rsidR="00B84DF1" w:rsidRPr="007B75FD" w:rsidRDefault="00BD6479" w:rsidP="007B75F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535A3" w:rsidRPr="007B75FD" w:rsidRDefault="006535A3" w:rsidP="007B75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7B75FD">
      <w:pPr>
        <w:pStyle w:val="Ttulo2"/>
        <w:spacing w:before="0" w:line="360" w:lineRule="auto"/>
        <w:ind w:right="49"/>
        <w:jc w:val="both"/>
        <w:rPr>
          <w:rFonts w:ascii="Palatino Linotype" w:eastAsia="Palatino Linotype" w:hAnsi="Palatino Linotype" w:cs="Palatino Linotype"/>
          <w:b/>
          <w:color w:val="000000" w:themeColor="text1"/>
          <w:sz w:val="24"/>
          <w:szCs w:val="24"/>
        </w:rPr>
      </w:pPr>
      <w:bookmarkStart w:id="5" w:name="_heading=h.2et92p0" w:colFirst="0" w:colLast="0"/>
      <w:bookmarkEnd w:id="5"/>
      <w:r w:rsidRPr="007B75FD">
        <w:rPr>
          <w:rFonts w:ascii="Palatino Linotype" w:eastAsia="Palatino Linotype" w:hAnsi="Palatino Linotype" w:cs="Palatino Linotype"/>
          <w:b/>
          <w:color w:val="000000" w:themeColor="text1"/>
          <w:sz w:val="24"/>
          <w:szCs w:val="24"/>
        </w:rPr>
        <w:t>SEGUNDA. Procedencia.</w:t>
      </w:r>
    </w:p>
    <w:p w:rsidR="00B84DF1" w:rsidRDefault="009D3673" w:rsidP="007B75F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357A9C" w:rsidRPr="007B75FD" w:rsidRDefault="00357A9C" w:rsidP="00357A9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26452F" w:rsidRPr="007B75FD" w:rsidRDefault="0026452F" w:rsidP="007B75F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6452F" w:rsidRPr="007B75FD" w:rsidRDefault="0026452F"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lastRenderedPageBreak/>
        <w:t>"</w:t>
      </w:r>
      <w:r w:rsidRPr="007B75FD">
        <w:rPr>
          <w:rFonts w:ascii="Palatino Linotype" w:eastAsia="Palatino Linotype" w:hAnsi="Palatino Linotype" w:cs="Palatino Linotype"/>
          <w:b/>
          <w:i/>
          <w:color w:val="000000" w:themeColor="text1"/>
        </w:rPr>
        <w:t>Las solicitudes anónimas</w:t>
      </w:r>
      <w:r w:rsidRPr="007B75FD">
        <w:rPr>
          <w:rFonts w:ascii="Palatino Linotype" w:eastAsia="Palatino Linotype" w:hAnsi="Palatino Linotype" w:cs="Palatino Linotype"/>
          <w:i/>
          <w:color w:val="000000" w:themeColor="text1"/>
        </w:rPr>
        <w:t xml:space="preserve">, con nombre incompleto o seudónimo </w:t>
      </w:r>
      <w:r w:rsidRPr="007B75FD">
        <w:rPr>
          <w:rFonts w:ascii="Palatino Linotype" w:eastAsia="Palatino Linotype" w:hAnsi="Palatino Linotype" w:cs="Palatino Linotype"/>
          <w:b/>
          <w:i/>
          <w:color w:val="000000" w:themeColor="text1"/>
        </w:rPr>
        <w:t>serán procedentes para su trámite por parte del sujeto obligado ante quien se presente</w:t>
      </w:r>
      <w:r w:rsidRPr="007B75FD">
        <w:rPr>
          <w:rFonts w:ascii="Palatino Linotype" w:eastAsia="Palatino Linotype" w:hAnsi="Palatino Linotype" w:cs="Palatino Linotype"/>
          <w:i/>
          <w:color w:val="000000" w:themeColor="text1"/>
        </w:rPr>
        <w:t>. No podrá requerirse información adicional con motivo del nombre proporcionado por el solicitante."</w:t>
      </w:r>
    </w:p>
    <w:p w:rsidR="0026452F" w:rsidRPr="007B75FD" w:rsidRDefault="0026452F" w:rsidP="007B75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7B75F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7B75F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B84DF1" w:rsidRPr="007B75FD" w:rsidRDefault="00B84DF1" w:rsidP="007B75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7B75FD">
      <w:pPr>
        <w:pStyle w:val="Ttulo1"/>
        <w:spacing w:before="0" w:line="360" w:lineRule="auto"/>
        <w:ind w:right="49"/>
        <w:jc w:val="both"/>
        <w:rPr>
          <w:rFonts w:ascii="Palatino Linotype" w:eastAsia="Palatino Linotype" w:hAnsi="Palatino Linotype" w:cs="Palatino Linotype"/>
          <w:b/>
          <w:color w:val="000000" w:themeColor="text1"/>
          <w:sz w:val="24"/>
          <w:szCs w:val="24"/>
        </w:rPr>
      </w:pPr>
      <w:bookmarkStart w:id="6" w:name="_heading=h.tyjcwt" w:colFirst="0" w:colLast="0"/>
      <w:bookmarkEnd w:id="6"/>
      <w:r w:rsidRPr="007B75FD">
        <w:rPr>
          <w:rFonts w:ascii="Palatino Linotype" w:eastAsia="Palatino Linotype" w:hAnsi="Palatino Linotype" w:cs="Palatino Linotype"/>
          <w:b/>
          <w:color w:val="000000" w:themeColor="text1"/>
          <w:sz w:val="24"/>
          <w:szCs w:val="24"/>
        </w:rPr>
        <w:t xml:space="preserve">TERCERA. </w:t>
      </w:r>
      <w:r w:rsidR="00B44995" w:rsidRPr="007B75FD">
        <w:rPr>
          <w:rFonts w:ascii="Palatino Linotype" w:eastAsia="Palatino Linotype" w:hAnsi="Palatino Linotype" w:cs="Palatino Linotype"/>
          <w:b/>
          <w:color w:val="000000" w:themeColor="text1"/>
          <w:sz w:val="24"/>
          <w:szCs w:val="24"/>
        </w:rPr>
        <w:t>De</w:t>
      </w:r>
      <w:r w:rsidR="001268E9" w:rsidRPr="007B75FD">
        <w:rPr>
          <w:rFonts w:ascii="Palatino Linotype" w:eastAsia="Palatino Linotype" w:hAnsi="Palatino Linotype" w:cs="Palatino Linotype"/>
          <w:b/>
          <w:color w:val="000000" w:themeColor="text1"/>
          <w:sz w:val="24"/>
          <w:szCs w:val="24"/>
        </w:rPr>
        <w:t xml:space="preserve">l planteamiento de la </w:t>
      </w:r>
      <w:r w:rsidR="001268E9" w:rsidRPr="007B75FD">
        <w:rPr>
          <w:rFonts w:ascii="Palatino Linotype" w:eastAsia="Palatino Linotype" w:hAnsi="Palatino Linotype" w:cs="Palatino Linotype"/>
          <w:b/>
          <w:i/>
          <w:color w:val="000000" w:themeColor="text1"/>
          <w:sz w:val="24"/>
          <w:szCs w:val="24"/>
        </w:rPr>
        <w:t>Litis</w:t>
      </w:r>
    </w:p>
    <w:p w:rsidR="00B84DF1" w:rsidRPr="007B75FD" w:rsidRDefault="009D3673" w:rsidP="007B75F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Se solicitó tener acceso, a la información </w:t>
      </w:r>
      <w:r w:rsidR="002536CF" w:rsidRPr="007B75FD">
        <w:rPr>
          <w:rFonts w:ascii="Palatino Linotype" w:eastAsia="Palatino Linotype" w:hAnsi="Palatino Linotype" w:cs="Palatino Linotype"/>
          <w:color w:val="000000" w:themeColor="text1"/>
        </w:rPr>
        <w:t>siguiente del periodo el periodo 2018-2024</w:t>
      </w:r>
      <w:r w:rsidRPr="007B75FD">
        <w:rPr>
          <w:rFonts w:ascii="Palatino Linotype" w:eastAsia="Palatino Linotype" w:hAnsi="Palatino Linotype" w:cs="Palatino Linotype"/>
          <w:color w:val="000000" w:themeColor="text1"/>
        </w:rPr>
        <w:t>:</w:t>
      </w:r>
    </w:p>
    <w:p w:rsidR="00732B28" w:rsidRPr="007B75FD" w:rsidRDefault="002536CF" w:rsidP="00357A9C">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color w:val="000000" w:themeColor="text1"/>
        </w:rPr>
        <w:t>Informes completos de auditorías financieras, del que se adviertan los ingresos, egresos, observaciones y acciones correctivas implementadas.</w:t>
      </w:r>
    </w:p>
    <w:p w:rsidR="00B84DF1" w:rsidRPr="007B75FD" w:rsidRDefault="00B84DF1" w:rsidP="007B75F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B84DF1" w:rsidRPr="007B75FD" w:rsidRDefault="009D3673" w:rsidP="007B75FD">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En respuesta, el </w:t>
      </w:r>
      <w:r w:rsidR="00454DEC" w:rsidRPr="007B75FD">
        <w:rPr>
          <w:rFonts w:ascii="Palatino Linotype" w:eastAsia="Palatino Linotype" w:hAnsi="Palatino Linotype" w:cs="Palatino Linotype"/>
          <w:b/>
          <w:color w:val="000000" w:themeColor="text1"/>
        </w:rPr>
        <w:t xml:space="preserve">SUJETO OBLIGADO </w:t>
      </w:r>
      <w:r w:rsidR="00454DEC" w:rsidRPr="007B75FD">
        <w:rPr>
          <w:rFonts w:ascii="Palatino Linotype" w:eastAsia="Palatino Linotype" w:hAnsi="Palatino Linotype" w:cs="Palatino Linotype"/>
          <w:color w:val="000000" w:themeColor="text1"/>
        </w:rPr>
        <w:t xml:space="preserve">contestó </w:t>
      </w:r>
      <w:r w:rsidR="00732B28" w:rsidRPr="007B75FD">
        <w:rPr>
          <w:rFonts w:ascii="Palatino Linotype" w:eastAsia="Palatino Linotype" w:hAnsi="Palatino Linotype" w:cs="Palatino Linotype"/>
          <w:color w:val="000000" w:themeColor="text1"/>
        </w:rPr>
        <w:t>mediante el archivo descrito en el</w:t>
      </w:r>
      <w:r w:rsidR="003D2130" w:rsidRPr="007B75FD">
        <w:rPr>
          <w:rFonts w:ascii="Palatino Linotype" w:eastAsia="Palatino Linotype" w:hAnsi="Palatino Linotype" w:cs="Palatino Linotype"/>
          <w:color w:val="000000" w:themeColor="text1"/>
        </w:rPr>
        <w:t xml:space="preserve"> </w:t>
      </w:r>
      <w:r w:rsidR="00732B28" w:rsidRPr="007B75FD">
        <w:rPr>
          <w:rFonts w:ascii="Palatino Linotype" w:eastAsia="Palatino Linotype" w:hAnsi="Palatino Linotype" w:cs="Palatino Linotype"/>
          <w:color w:val="000000" w:themeColor="text1"/>
        </w:rPr>
        <w:t>P</w:t>
      </w:r>
      <w:r w:rsidRPr="007B75FD">
        <w:rPr>
          <w:rFonts w:ascii="Palatino Linotype" w:eastAsia="Palatino Linotype" w:hAnsi="Palatino Linotype" w:cs="Palatino Linotype"/>
          <w:color w:val="000000" w:themeColor="text1"/>
        </w:rPr>
        <w:t>árrafo 2. Inconforme con la respuesta, se interpuso recurso de revisión</w:t>
      </w:r>
      <w:r w:rsidR="00961CA6" w:rsidRPr="007B75FD">
        <w:rPr>
          <w:rFonts w:ascii="Palatino Linotype" w:eastAsia="Palatino Linotype" w:hAnsi="Palatino Linotype" w:cs="Palatino Linotype"/>
          <w:color w:val="000000" w:themeColor="text1"/>
        </w:rPr>
        <w:t xml:space="preserve"> argumentando de manera general, </w:t>
      </w:r>
      <w:r w:rsidR="00F83ABE" w:rsidRPr="007B75FD">
        <w:rPr>
          <w:rFonts w:ascii="Palatino Linotype" w:eastAsia="Palatino Linotype" w:hAnsi="Palatino Linotype" w:cs="Palatino Linotype"/>
          <w:color w:val="000000" w:themeColor="text1"/>
        </w:rPr>
        <w:t>la negativa a la entrega de la información</w:t>
      </w:r>
      <w:r w:rsidR="008849B8" w:rsidRPr="007B75FD">
        <w:rPr>
          <w:rFonts w:ascii="Palatino Linotype" w:eastAsia="Palatino Linotype" w:hAnsi="Palatino Linotype" w:cs="Palatino Linotype"/>
          <w:color w:val="000000" w:themeColor="text1"/>
        </w:rPr>
        <w:t>.</w:t>
      </w:r>
    </w:p>
    <w:p w:rsidR="00DA717F" w:rsidRPr="007B75FD" w:rsidRDefault="00DA717F"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7B75FD">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lastRenderedPageBreak/>
        <w:t>En dichas condiciones, la controversia a resolver en el presente proveído, corresponde a determinar si se actualiza</w:t>
      </w:r>
      <w:r w:rsidR="008849B8" w:rsidRPr="007B75FD">
        <w:rPr>
          <w:rFonts w:ascii="Palatino Linotype" w:eastAsia="Palatino Linotype" w:hAnsi="Palatino Linotype" w:cs="Palatino Linotype"/>
          <w:color w:val="000000" w:themeColor="text1"/>
        </w:rPr>
        <w:t>n</w:t>
      </w:r>
      <w:r w:rsidRPr="007B75FD">
        <w:rPr>
          <w:rFonts w:ascii="Palatino Linotype" w:eastAsia="Palatino Linotype" w:hAnsi="Palatino Linotype" w:cs="Palatino Linotype"/>
          <w:color w:val="000000" w:themeColor="text1"/>
        </w:rPr>
        <w:t xml:space="preserve"> la</w:t>
      </w:r>
      <w:r w:rsidR="008849B8" w:rsidRPr="007B75FD">
        <w:rPr>
          <w:rFonts w:ascii="Palatino Linotype" w:eastAsia="Palatino Linotype" w:hAnsi="Palatino Linotype" w:cs="Palatino Linotype"/>
          <w:color w:val="000000" w:themeColor="text1"/>
        </w:rPr>
        <w:t>s</w:t>
      </w:r>
      <w:r w:rsidRPr="007B75FD">
        <w:rPr>
          <w:rFonts w:ascii="Palatino Linotype" w:eastAsia="Palatino Linotype" w:hAnsi="Palatino Linotype" w:cs="Palatino Linotype"/>
          <w:color w:val="000000" w:themeColor="text1"/>
        </w:rPr>
        <w:t xml:space="preserve"> causal</w:t>
      </w:r>
      <w:r w:rsidR="008849B8" w:rsidRPr="007B75FD">
        <w:rPr>
          <w:rFonts w:ascii="Palatino Linotype" w:eastAsia="Palatino Linotype" w:hAnsi="Palatino Linotype" w:cs="Palatino Linotype"/>
          <w:color w:val="000000" w:themeColor="text1"/>
        </w:rPr>
        <w:t>es</w:t>
      </w:r>
      <w:r w:rsidRPr="007B75FD">
        <w:rPr>
          <w:rFonts w:ascii="Palatino Linotype" w:eastAsia="Palatino Linotype" w:hAnsi="Palatino Linotype" w:cs="Palatino Linotype"/>
          <w:color w:val="000000" w:themeColor="text1"/>
        </w:rPr>
        <w:t xml:space="preserve"> de procedencia prevista</w:t>
      </w:r>
      <w:r w:rsidR="008849B8" w:rsidRPr="007B75FD">
        <w:rPr>
          <w:rFonts w:ascii="Palatino Linotype" w:eastAsia="Palatino Linotype" w:hAnsi="Palatino Linotype" w:cs="Palatino Linotype"/>
          <w:color w:val="000000" w:themeColor="text1"/>
        </w:rPr>
        <w:t xml:space="preserve">s en </w:t>
      </w:r>
      <w:r w:rsidRPr="007B75FD">
        <w:rPr>
          <w:rFonts w:ascii="Palatino Linotype" w:eastAsia="Palatino Linotype" w:hAnsi="Palatino Linotype" w:cs="Palatino Linotype"/>
          <w:color w:val="000000" w:themeColor="text1"/>
        </w:rPr>
        <w:t>l</w:t>
      </w:r>
      <w:r w:rsidR="008849B8" w:rsidRPr="007B75FD">
        <w:rPr>
          <w:rFonts w:ascii="Palatino Linotype" w:eastAsia="Palatino Linotype" w:hAnsi="Palatino Linotype" w:cs="Palatino Linotype"/>
          <w:color w:val="000000" w:themeColor="text1"/>
        </w:rPr>
        <w:t>os</w:t>
      </w:r>
      <w:r w:rsidRPr="007B75FD">
        <w:rPr>
          <w:rFonts w:ascii="Palatino Linotype" w:eastAsia="Palatino Linotype" w:hAnsi="Palatino Linotype" w:cs="Palatino Linotype"/>
          <w:color w:val="000000" w:themeColor="text1"/>
        </w:rPr>
        <w:t xml:space="preserve"> artículo</w:t>
      </w:r>
      <w:r w:rsidR="008849B8" w:rsidRPr="007B75FD">
        <w:rPr>
          <w:rFonts w:ascii="Palatino Linotype" w:eastAsia="Palatino Linotype" w:hAnsi="Palatino Linotype" w:cs="Palatino Linotype"/>
          <w:color w:val="000000" w:themeColor="text1"/>
        </w:rPr>
        <w:t>s</w:t>
      </w:r>
      <w:r w:rsidRPr="007B75FD">
        <w:rPr>
          <w:rFonts w:ascii="Palatino Linotype" w:eastAsia="Palatino Linotype" w:hAnsi="Palatino Linotype" w:cs="Palatino Linotype"/>
          <w:color w:val="000000" w:themeColor="text1"/>
        </w:rPr>
        <w:t xml:space="preserve"> 179, fracción </w:t>
      </w:r>
      <w:r w:rsidR="00732B28" w:rsidRPr="007B75FD">
        <w:rPr>
          <w:rFonts w:ascii="Palatino Linotype" w:eastAsia="Palatino Linotype" w:hAnsi="Palatino Linotype" w:cs="Palatino Linotype"/>
          <w:color w:val="000000" w:themeColor="text1"/>
        </w:rPr>
        <w:t>I</w:t>
      </w:r>
      <w:r w:rsidRPr="007B75FD">
        <w:rPr>
          <w:rFonts w:ascii="Palatino Linotype" w:eastAsia="Palatino Linotype" w:hAnsi="Palatino Linotype" w:cs="Palatino Linotype"/>
          <w:b/>
          <w:color w:val="000000" w:themeColor="text1"/>
        </w:rPr>
        <w:t xml:space="preserve"> </w:t>
      </w:r>
      <w:r w:rsidRPr="007B75FD">
        <w:rPr>
          <w:rFonts w:ascii="Palatino Linotype" w:eastAsia="Palatino Linotype" w:hAnsi="Palatino Linotype" w:cs="Palatino Linotype"/>
          <w:color w:val="000000" w:themeColor="text1"/>
        </w:rPr>
        <w:t>de la Ley de Transparencia y Acceso a la Información Pública del Estado de</w:t>
      </w:r>
      <w:r w:rsidRPr="007B75FD">
        <w:rPr>
          <w:rFonts w:ascii="Palatino Linotype" w:eastAsia="Palatino Linotype" w:hAnsi="Palatino Linotype" w:cs="Palatino Linotype"/>
          <w:b/>
          <w:color w:val="000000" w:themeColor="text1"/>
        </w:rPr>
        <w:t xml:space="preserve"> </w:t>
      </w:r>
      <w:r w:rsidRPr="007B75FD">
        <w:rPr>
          <w:rFonts w:ascii="Palatino Linotype" w:eastAsia="Palatino Linotype" w:hAnsi="Palatino Linotype" w:cs="Palatino Linotype"/>
          <w:color w:val="000000" w:themeColor="text1"/>
        </w:rPr>
        <w:t>México</w:t>
      </w:r>
      <w:r w:rsidRPr="007B75FD">
        <w:rPr>
          <w:rFonts w:ascii="Palatino Linotype" w:eastAsia="Palatino Linotype" w:hAnsi="Palatino Linotype" w:cs="Palatino Linotype"/>
          <w:b/>
          <w:color w:val="000000" w:themeColor="text1"/>
        </w:rPr>
        <w:t xml:space="preserve"> </w:t>
      </w:r>
      <w:r w:rsidRPr="007B75FD">
        <w:rPr>
          <w:rFonts w:ascii="Palatino Linotype" w:eastAsia="Palatino Linotype" w:hAnsi="Palatino Linotype" w:cs="Palatino Linotype"/>
          <w:color w:val="000000" w:themeColor="text1"/>
        </w:rPr>
        <w:t>y</w:t>
      </w:r>
      <w:r w:rsidRPr="007B75FD">
        <w:rPr>
          <w:rFonts w:ascii="Palatino Linotype" w:eastAsia="Palatino Linotype" w:hAnsi="Palatino Linotype" w:cs="Palatino Linotype"/>
          <w:b/>
          <w:color w:val="000000" w:themeColor="text1"/>
        </w:rPr>
        <w:t xml:space="preserve"> </w:t>
      </w:r>
      <w:r w:rsidRPr="007B75FD">
        <w:rPr>
          <w:rFonts w:ascii="Palatino Linotype" w:eastAsia="Palatino Linotype" w:hAnsi="Palatino Linotype" w:cs="Palatino Linotype"/>
          <w:color w:val="000000" w:themeColor="text1"/>
        </w:rPr>
        <w:t xml:space="preserve">Municipios; </w:t>
      </w:r>
      <w:r w:rsidR="008849B8" w:rsidRPr="007B75FD">
        <w:rPr>
          <w:rFonts w:ascii="Palatino Linotype" w:eastAsia="Palatino Linotype" w:hAnsi="Palatino Linotype" w:cs="Palatino Linotype"/>
          <w:color w:val="000000" w:themeColor="text1"/>
        </w:rPr>
        <w:t>fracciones</w:t>
      </w:r>
      <w:r w:rsidRPr="007B75FD">
        <w:rPr>
          <w:rFonts w:ascii="Palatino Linotype" w:eastAsia="Palatino Linotype" w:hAnsi="Palatino Linotype" w:cs="Palatino Linotype"/>
          <w:color w:val="000000" w:themeColor="text1"/>
        </w:rPr>
        <w:t xml:space="preserve"> que determina</w:t>
      </w:r>
      <w:r w:rsidR="008849B8" w:rsidRPr="007B75FD">
        <w:rPr>
          <w:rFonts w:ascii="Palatino Linotype" w:eastAsia="Palatino Linotype" w:hAnsi="Palatino Linotype" w:cs="Palatino Linotype"/>
          <w:color w:val="000000" w:themeColor="text1"/>
        </w:rPr>
        <w:t>n</w:t>
      </w:r>
      <w:r w:rsidRPr="007B75FD">
        <w:rPr>
          <w:rFonts w:ascii="Palatino Linotype" w:eastAsia="Palatino Linotype" w:hAnsi="Palatino Linotype" w:cs="Palatino Linotype"/>
          <w:color w:val="000000" w:themeColor="text1"/>
        </w:rPr>
        <w:t xml:space="preserve"> </w:t>
      </w:r>
      <w:r w:rsidR="003C24E7" w:rsidRPr="007B75FD">
        <w:rPr>
          <w:rFonts w:ascii="Palatino Linotype" w:eastAsia="Palatino Linotype" w:hAnsi="Palatino Linotype" w:cs="Palatino Linotype"/>
          <w:color w:val="000000" w:themeColor="text1"/>
        </w:rPr>
        <w:t>la</w:t>
      </w:r>
      <w:r w:rsidR="00F83ABE" w:rsidRPr="007B75FD">
        <w:rPr>
          <w:rFonts w:ascii="Palatino Linotype" w:eastAsia="Palatino Linotype" w:hAnsi="Palatino Linotype" w:cs="Palatino Linotype"/>
          <w:color w:val="000000" w:themeColor="text1"/>
        </w:rPr>
        <w:t xml:space="preserve"> negativa a la</w:t>
      </w:r>
      <w:r w:rsidR="003C24E7" w:rsidRPr="007B75FD">
        <w:rPr>
          <w:rFonts w:ascii="Palatino Linotype" w:eastAsia="Palatino Linotype" w:hAnsi="Palatino Linotype" w:cs="Palatino Linotype"/>
          <w:color w:val="000000" w:themeColor="text1"/>
        </w:rPr>
        <w:t xml:space="preserve"> entrega de </w:t>
      </w:r>
      <w:r w:rsidR="00F83ABE" w:rsidRPr="007B75FD">
        <w:rPr>
          <w:rFonts w:ascii="Palatino Linotype" w:eastAsia="Palatino Linotype" w:hAnsi="Palatino Linotype" w:cs="Palatino Linotype"/>
          <w:color w:val="000000" w:themeColor="text1"/>
        </w:rPr>
        <w:t xml:space="preserve">la </w:t>
      </w:r>
      <w:r w:rsidR="008849B8" w:rsidRPr="007B75FD">
        <w:rPr>
          <w:rFonts w:ascii="Palatino Linotype" w:eastAsia="Palatino Linotype" w:hAnsi="Palatino Linotype" w:cs="Palatino Linotype"/>
          <w:color w:val="000000" w:themeColor="text1"/>
        </w:rPr>
        <w:t xml:space="preserve">información </w:t>
      </w:r>
      <w:r w:rsidR="00F83ABE" w:rsidRPr="007B75FD">
        <w:rPr>
          <w:rFonts w:ascii="Palatino Linotype" w:eastAsia="Palatino Linotype" w:hAnsi="Palatino Linotype" w:cs="Palatino Linotype"/>
          <w:color w:val="000000" w:themeColor="text1"/>
        </w:rPr>
        <w:t>solicitada</w:t>
      </w:r>
      <w:r w:rsidRPr="007B75FD">
        <w:rPr>
          <w:rFonts w:ascii="Palatino Linotype" w:eastAsia="Palatino Linotype" w:hAnsi="Palatino Linotype" w:cs="Palatino Linotype"/>
          <w:color w:val="000000" w:themeColor="text1"/>
        </w:rPr>
        <w:t>.</w:t>
      </w:r>
      <w:r w:rsidR="003D2130" w:rsidRPr="007B75FD">
        <w:rPr>
          <w:rFonts w:ascii="Palatino Linotype" w:eastAsia="Palatino Linotype" w:hAnsi="Palatino Linotype" w:cs="Palatino Linotype"/>
          <w:color w:val="000000" w:themeColor="text1"/>
        </w:rPr>
        <w:t xml:space="preserve"> De modo tal que el presente R</w:t>
      </w:r>
      <w:r w:rsidRPr="007B75FD">
        <w:rPr>
          <w:rFonts w:ascii="Palatino Linotype" w:eastAsia="Palatino Linotype" w:hAnsi="Palatino Linotype" w:cs="Palatino Linotype"/>
          <w:color w:val="000000" w:themeColor="text1"/>
        </w:rPr>
        <w:t xml:space="preserve">ecurso de </w:t>
      </w:r>
      <w:r w:rsidR="003D2130" w:rsidRPr="007B75FD">
        <w:rPr>
          <w:rFonts w:ascii="Palatino Linotype" w:eastAsia="Palatino Linotype" w:hAnsi="Palatino Linotype" w:cs="Palatino Linotype"/>
          <w:color w:val="000000" w:themeColor="text1"/>
        </w:rPr>
        <w:t>R</w:t>
      </w:r>
      <w:r w:rsidRPr="007B75FD">
        <w:rPr>
          <w:rFonts w:ascii="Palatino Linotype" w:eastAsia="Palatino Linotype" w:hAnsi="Palatino Linotype" w:cs="Palatino Linotype"/>
          <w:color w:val="000000" w:themeColor="text1"/>
        </w:rPr>
        <w:t>evisión se abocará en determinar si el Sujeto Obligado con su respuesta ciertamente actualiza</w:t>
      </w:r>
      <w:r w:rsidR="008849B8" w:rsidRPr="007B75FD">
        <w:rPr>
          <w:rFonts w:ascii="Palatino Linotype" w:eastAsia="Palatino Linotype" w:hAnsi="Palatino Linotype" w:cs="Palatino Linotype"/>
          <w:color w:val="000000" w:themeColor="text1"/>
        </w:rPr>
        <w:t>n</w:t>
      </w:r>
      <w:r w:rsidRPr="007B75FD">
        <w:rPr>
          <w:rFonts w:ascii="Palatino Linotype" w:eastAsia="Palatino Linotype" w:hAnsi="Palatino Linotype" w:cs="Palatino Linotype"/>
          <w:color w:val="000000" w:themeColor="text1"/>
        </w:rPr>
        <w:t xml:space="preserve"> la</w:t>
      </w:r>
      <w:r w:rsidR="008849B8" w:rsidRPr="007B75FD">
        <w:rPr>
          <w:rFonts w:ascii="Palatino Linotype" w:eastAsia="Palatino Linotype" w:hAnsi="Palatino Linotype" w:cs="Palatino Linotype"/>
          <w:color w:val="000000" w:themeColor="text1"/>
        </w:rPr>
        <w:t>s</w:t>
      </w:r>
      <w:r w:rsidRPr="007B75FD">
        <w:rPr>
          <w:rFonts w:ascii="Palatino Linotype" w:eastAsia="Palatino Linotype" w:hAnsi="Palatino Linotype" w:cs="Palatino Linotype"/>
          <w:color w:val="000000" w:themeColor="text1"/>
        </w:rPr>
        <w:t xml:space="preserve"> causal</w:t>
      </w:r>
      <w:r w:rsidR="008849B8" w:rsidRPr="007B75FD">
        <w:rPr>
          <w:rFonts w:ascii="Palatino Linotype" w:eastAsia="Palatino Linotype" w:hAnsi="Palatino Linotype" w:cs="Palatino Linotype"/>
          <w:color w:val="000000" w:themeColor="text1"/>
        </w:rPr>
        <w:t>es</w:t>
      </w:r>
      <w:r w:rsidRPr="007B75FD">
        <w:rPr>
          <w:rFonts w:ascii="Palatino Linotype" w:eastAsia="Palatino Linotype" w:hAnsi="Palatino Linotype" w:cs="Palatino Linotype"/>
          <w:color w:val="000000" w:themeColor="text1"/>
        </w:rPr>
        <w:t xml:space="preserve"> de procedencia</w:t>
      </w:r>
      <w:r w:rsidRPr="007B75FD">
        <w:rPr>
          <w:rFonts w:ascii="Palatino Linotype" w:eastAsia="Palatino Linotype" w:hAnsi="Palatino Linotype" w:cs="Palatino Linotype"/>
          <w:b/>
          <w:color w:val="000000" w:themeColor="text1"/>
        </w:rPr>
        <w:t xml:space="preserve"> </w:t>
      </w:r>
      <w:r w:rsidRPr="007B75FD">
        <w:rPr>
          <w:rFonts w:ascii="Palatino Linotype" w:eastAsia="Palatino Linotype" w:hAnsi="Palatino Linotype" w:cs="Palatino Linotype"/>
          <w:color w:val="000000" w:themeColor="text1"/>
        </w:rPr>
        <w:t>señalada</w:t>
      </w:r>
      <w:r w:rsidR="008849B8" w:rsidRPr="007B75FD">
        <w:rPr>
          <w:rFonts w:ascii="Palatino Linotype" w:eastAsia="Palatino Linotype" w:hAnsi="Palatino Linotype" w:cs="Palatino Linotype"/>
          <w:color w:val="000000" w:themeColor="text1"/>
        </w:rPr>
        <w:t>s</w:t>
      </w:r>
      <w:r w:rsidRPr="007B75FD">
        <w:rPr>
          <w:rFonts w:ascii="Palatino Linotype" w:eastAsia="Palatino Linotype" w:hAnsi="Palatino Linotype" w:cs="Palatino Linotype"/>
          <w:color w:val="000000" w:themeColor="text1"/>
        </w:rPr>
        <w:t>.</w:t>
      </w: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1268E9" w:rsidRPr="007B75FD" w:rsidRDefault="001268E9" w:rsidP="007B75FD">
      <w:pPr>
        <w:pStyle w:val="Ttulo1"/>
        <w:spacing w:before="0" w:line="360" w:lineRule="auto"/>
        <w:ind w:right="49"/>
        <w:jc w:val="both"/>
        <w:rPr>
          <w:rFonts w:ascii="Palatino Linotype" w:eastAsia="Palatino Linotype" w:hAnsi="Palatino Linotype" w:cs="Palatino Linotype"/>
          <w:b/>
          <w:color w:val="000000" w:themeColor="text1"/>
          <w:sz w:val="24"/>
          <w:szCs w:val="24"/>
        </w:rPr>
      </w:pPr>
      <w:r w:rsidRPr="007B75FD">
        <w:rPr>
          <w:rFonts w:ascii="Palatino Linotype" w:eastAsia="Palatino Linotype" w:hAnsi="Palatino Linotype" w:cs="Palatino Linotype"/>
          <w:b/>
          <w:color w:val="000000" w:themeColor="text1"/>
          <w:sz w:val="24"/>
          <w:szCs w:val="24"/>
        </w:rPr>
        <w:t>CUA</w:t>
      </w:r>
      <w:r w:rsidR="00871D55" w:rsidRPr="007B75FD">
        <w:rPr>
          <w:rFonts w:ascii="Palatino Linotype" w:eastAsia="Palatino Linotype" w:hAnsi="Palatino Linotype" w:cs="Palatino Linotype"/>
          <w:b/>
          <w:color w:val="000000" w:themeColor="text1"/>
          <w:sz w:val="24"/>
          <w:szCs w:val="24"/>
        </w:rPr>
        <w:t>R</w:t>
      </w:r>
      <w:r w:rsidRPr="007B75FD">
        <w:rPr>
          <w:rFonts w:ascii="Palatino Linotype" w:eastAsia="Palatino Linotype" w:hAnsi="Palatino Linotype" w:cs="Palatino Linotype"/>
          <w:b/>
          <w:color w:val="000000" w:themeColor="text1"/>
          <w:sz w:val="24"/>
          <w:szCs w:val="24"/>
        </w:rPr>
        <w:t xml:space="preserve">TO. </w:t>
      </w:r>
      <w:r w:rsidR="00871D55" w:rsidRPr="007B75FD">
        <w:rPr>
          <w:rFonts w:ascii="Palatino Linotype" w:eastAsia="Palatino Linotype" w:hAnsi="Palatino Linotype" w:cs="Palatino Linotype"/>
          <w:b/>
          <w:color w:val="000000" w:themeColor="text1"/>
          <w:sz w:val="24"/>
          <w:szCs w:val="24"/>
        </w:rPr>
        <w:t>Estudio y resolución</w:t>
      </w:r>
    </w:p>
    <w:p w:rsidR="00B84DF1" w:rsidRPr="007B75FD" w:rsidRDefault="009D3673" w:rsidP="007B75FD">
      <w:pPr>
        <w:numPr>
          <w:ilvl w:val="0"/>
          <w:numId w:val="1"/>
        </w:numPr>
        <w:spacing w:line="360" w:lineRule="auto"/>
        <w:ind w:left="0" w:right="49" w:firstLine="0"/>
        <w:jc w:val="both"/>
        <w:rPr>
          <w:rFonts w:ascii="Palatino Linotype" w:eastAsia="Palatino Linotype" w:hAnsi="Palatino Linotype" w:cs="Palatino Linotype"/>
          <w:color w:val="000000" w:themeColor="text1"/>
        </w:rPr>
      </w:pPr>
      <w:bookmarkStart w:id="7" w:name="_heading=h.3dy6vkm" w:colFirst="0" w:colLast="0"/>
      <w:bookmarkEnd w:id="7"/>
      <w:r w:rsidRPr="007B75FD">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55B77" w:rsidRPr="007B75FD" w:rsidRDefault="00655B77"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7B75FD">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D2130" w:rsidRPr="007B75FD" w:rsidRDefault="003D2130" w:rsidP="007B75FD">
      <w:pPr>
        <w:pStyle w:val="Prrafodelista"/>
        <w:spacing w:line="360" w:lineRule="auto"/>
        <w:ind w:left="0" w:right="49"/>
        <w:jc w:val="both"/>
        <w:rPr>
          <w:rFonts w:ascii="Palatino Linotype" w:eastAsia="Palatino Linotype" w:hAnsi="Palatino Linotype" w:cs="Palatino Linotype"/>
          <w:color w:val="000000" w:themeColor="text1"/>
        </w:rPr>
      </w:pPr>
    </w:p>
    <w:p w:rsidR="00B84DF1" w:rsidRPr="007B75FD" w:rsidRDefault="009D3673" w:rsidP="007B75FD">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0C1666" w:rsidRPr="007B75FD" w:rsidRDefault="000C1666" w:rsidP="007B75FD">
      <w:pPr>
        <w:pStyle w:val="Prrafodelista"/>
        <w:ind w:left="0" w:right="49"/>
        <w:jc w:val="both"/>
        <w:rPr>
          <w:rFonts w:ascii="Palatino Linotype" w:eastAsia="Palatino Linotype" w:hAnsi="Palatino Linotype" w:cs="Palatino Linotype"/>
          <w:color w:val="000000" w:themeColor="text1"/>
        </w:rPr>
      </w:pPr>
    </w:p>
    <w:p w:rsidR="00B218CE" w:rsidRPr="007B75FD" w:rsidRDefault="00871D55" w:rsidP="007B75FD">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Luego entonces</w:t>
      </w:r>
      <w:r w:rsidR="009D3673" w:rsidRPr="007B75FD">
        <w:rPr>
          <w:rFonts w:ascii="Palatino Linotype" w:eastAsia="Palatino Linotype" w:hAnsi="Palatino Linotype" w:cs="Palatino Linotype"/>
          <w:color w:val="000000" w:themeColor="text1"/>
        </w:rPr>
        <w:t xml:space="preserve">, es dable traer a contexto </w:t>
      </w:r>
      <w:r w:rsidR="00AD404A" w:rsidRPr="007B75FD">
        <w:rPr>
          <w:rFonts w:ascii="Palatino Linotype" w:eastAsia="Palatino Linotype" w:hAnsi="Palatino Linotype" w:cs="Palatino Linotype"/>
          <w:color w:val="000000" w:themeColor="text1"/>
        </w:rPr>
        <w:t xml:space="preserve">primeramente el motivo de inconformidad que versó en la </w:t>
      </w:r>
      <w:r w:rsidR="00F83ABE" w:rsidRPr="007B75FD">
        <w:rPr>
          <w:rFonts w:ascii="Palatino Linotype" w:eastAsia="Palatino Linotype" w:hAnsi="Palatino Linotype" w:cs="Palatino Linotype"/>
          <w:color w:val="000000" w:themeColor="text1"/>
        </w:rPr>
        <w:t xml:space="preserve">no entrega de información; contexto que resulta </w:t>
      </w:r>
      <w:r w:rsidR="00F83ABE" w:rsidRPr="007B75FD">
        <w:rPr>
          <w:rFonts w:ascii="Palatino Linotype" w:eastAsia="Palatino Linotype" w:hAnsi="Palatino Linotype" w:cs="Palatino Linotype"/>
          <w:i/>
          <w:color w:val="000000" w:themeColor="text1"/>
        </w:rPr>
        <w:t xml:space="preserve">de facto </w:t>
      </w:r>
      <w:r w:rsidR="00F83ABE" w:rsidRPr="007B75FD">
        <w:rPr>
          <w:rFonts w:ascii="Palatino Linotype" w:eastAsia="Palatino Linotype" w:hAnsi="Palatino Linotype" w:cs="Palatino Linotype"/>
          <w:color w:val="000000" w:themeColor="text1"/>
        </w:rPr>
        <w:t xml:space="preserve">parcialmente improcedente, al desprenderse de las constancias de respuesta antes descritas que el </w:t>
      </w:r>
      <w:r w:rsidR="00F83ABE" w:rsidRPr="007B75FD">
        <w:rPr>
          <w:rFonts w:ascii="Palatino Linotype" w:eastAsia="Palatino Linotype" w:hAnsi="Palatino Linotype" w:cs="Palatino Linotype"/>
          <w:b/>
          <w:color w:val="000000" w:themeColor="text1"/>
        </w:rPr>
        <w:t>SUJETO OBLIGADO</w:t>
      </w:r>
      <w:r w:rsidR="00F83ABE" w:rsidRPr="007B75FD">
        <w:rPr>
          <w:rFonts w:ascii="Palatino Linotype" w:eastAsia="Palatino Linotype" w:hAnsi="Palatino Linotype" w:cs="Palatino Linotype"/>
          <w:color w:val="000000" w:themeColor="text1"/>
        </w:rPr>
        <w:t xml:space="preserve"> si emitió un pronunciamiento con la finalidad de atender la solicitud de información.</w:t>
      </w:r>
    </w:p>
    <w:p w:rsidR="000C1666" w:rsidRPr="007B75FD" w:rsidRDefault="000C1666" w:rsidP="007B75FD">
      <w:pPr>
        <w:pStyle w:val="Prrafodelista"/>
        <w:ind w:left="0" w:right="49"/>
        <w:jc w:val="both"/>
        <w:rPr>
          <w:rFonts w:ascii="Palatino Linotype" w:eastAsia="Palatino Linotype" w:hAnsi="Palatino Linotype" w:cs="Palatino Linotype"/>
          <w:color w:val="000000" w:themeColor="text1"/>
        </w:rPr>
      </w:pPr>
    </w:p>
    <w:p w:rsidR="007843D1" w:rsidRPr="007B75FD" w:rsidRDefault="00F83ABE" w:rsidP="007B75FD">
      <w:pPr>
        <w:numPr>
          <w:ilvl w:val="0"/>
          <w:numId w:val="1"/>
        </w:numPr>
        <w:spacing w:line="360" w:lineRule="auto"/>
        <w:ind w:left="0" w:right="49" w:firstLine="0"/>
        <w:jc w:val="both"/>
        <w:rPr>
          <w:rFonts w:ascii="Palatino Linotype" w:hAnsi="Palatino Linotype" w:cs="Arial"/>
          <w:color w:val="000000" w:themeColor="text1"/>
          <w:lang w:val="es-ES"/>
        </w:rPr>
      </w:pPr>
      <w:r w:rsidRPr="007B75FD">
        <w:rPr>
          <w:rFonts w:ascii="Palatino Linotype" w:eastAsia="Palatino Linotype" w:hAnsi="Palatino Linotype" w:cs="Palatino Linotype"/>
          <w:color w:val="000000" w:themeColor="text1"/>
        </w:rPr>
        <w:t>Aunque ciertamente no se remitió soporte documental en estricto sentido vía SAIMEX; sino enlaces de Internet para la consulta y descarga de lo solicitado. Al respecto</w:t>
      </w:r>
      <w:r w:rsidR="007843D1" w:rsidRPr="007B75FD">
        <w:rPr>
          <w:rFonts w:ascii="Palatino Linotype" w:eastAsia="Palatino Linotype" w:hAnsi="Palatino Linotype" w:cs="Palatino Linotype"/>
          <w:color w:val="000000" w:themeColor="text1"/>
        </w:rPr>
        <w:t xml:space="preserve"> resulta oportuno recordar que ciertamente se puede satisfacerse el derecho de acceso a la información con la entrega de enlaces de Internet, para lo cual l</w:t>
      </w:r>
      <w:r w:rsidR="007843D1" w:rsidRPr="007B75FD">
        <w:rPr>
          <w:rFonts w:ascii="Palatino Linotype" w:hAnsi="Palatino Linotype" w:cs="Arial"/>
          <w:color w:val="000000" w:themeColor="text1"/>
          <w:lang w:val="es-ES"/>
        </w:rPr>
        <w:t xml:space="preserve">os artículos 11 y 161, de la Ley de Transparencia y </w:t>
      </w:r>
      <w:r w:rsidR="007843D1" w:rsidRPr="007B75FD">
        <w:rPr>
          <w:rFonts w:ascii="Palatino Linotype" w:eastAsia="Palatino Linotype" w:hAnsi="Palatino Linotype" w:cs="Palatino Linotype"/>
          <w:color w:val="000000" w:themeColor="text1"/>
        </w:rPr>
        <w:t>Acceso</w:t>
      </w:r>
      <w:r w:rsidR="007843D1" w:rsidRPr="007B75FD">
        <w:rPr>
          <w:rFonts w:ascii="Palatino Linotype" w:hAnsi="Palatino Linotype" w:cs="Arial"/>
          <w:color w:val="000000" w:themeColor="text1"/>
          <w:lang w:val="es-ES"/>
        </w:rPr>
        <w:t xml:space="preserve"> a la Información Pública del Estado de México y Municipios señalan diversas características que debe tener la información desde el momento de su </w:t>
      </w:r>
      <w:r w:rsidR="007843D1" w:rsidRPr="007B75FD">
        <w:rPr>
          <w:rFonts w:ascii="Palatino Linotype" w:hAnsi="Palatino Linotype" w:cs="Arial"/>
          <w:color w:val="000000" w:themeColor="text1"/>
          <w:lang w:val="es-ES"/>
        </w:rPr>
        <w:lastRenderedPageBreak/>
        <w:t>generación, publicación y entrega, así como la forma en que se deberá consultar la información, señalando una fuente precisa y concreta, en los siguientes preceptos:</w:t>
      </w:r>
    </w:p>
    <w:p w:rsidR="007843D1" w:rsidRPr="007B75FD" w:rsidRDefault="007843D1" w:rsidP="007B75FD">
      <w:pPr>
        <w:spacing w:line="360" w:lineRule="auto"/>
        <w:ind w:right="49"/>
        <w:jc w:val="both"/>
        <w:rPr>
          <w:rFonts w:ascii="Palatino Linotype" w:eastAsiaTheme="minorHAnsi" w:hAnsi="Palatino Linotype" w:cstheme="minorBidi"/>
          <w:i/>
          <w:color w:val="000000" w:themeColor="text1"/>
          <w:lang w:eastAsia="en-US"/>
        </w:rPr>
      </w:pPr>
      <w:r w:rsidRPr="007B75FD">
        <w:rPr>
          <w:rFonts w:ascii="Palatino Linotype" w:hAnsi="Palatino Linotype"/>
          <w:b/>
          <w:i/>
          <w:color w:val="000000" w:themeColor="text1"/>
        </w:rPr>
        <w:t>Artículo 11.</w:t>
      </w:r>
      <w:r w:rsidRPr="007B75FD">
        <w:rPr>
          <w:rFonts w:ascii="Palatino Linotype" w:hAnsi="Palatino Linotype"/>
          <w:i/>
          <w:color w:val="000000" w:themeColor="text1"/>
        </w:rPr>
        <w:t xml:space="preserve"> En la generación, publicación y</w:t>
      </w:r>
      <w:r w:rsidRPr="007B75FD">
        <w:rPr>
          <w:rFonts w:ascii="Palatino Linotype" w:hAnsi="Palatino Linotype"/>
          <w:b/>
          <w:i/>
          <w:color w:val="000000" w:themeColor="text1"/>
        </w:rPr>
        <w:t xml:space="preserve"> </w:t>
      </w:r>
      <w:r w:rsidRPr="007B75FD">
        <w:rPr>
          <w:rFonts w:ascii="Palatino Linotype" w:hAnsi="Palatino Linotype"/>
          <w:b/>
          <w:i/>
          <w:color w:val="000000" w:themeColor="text1"/>
          <w:u w:val="single"/>
        </w:rPr>
        <w:t>entrega de información se deberá</w:t>
      </w:r>
      <w:r w:rsidRPr="007B75FD">
        <w:rPr>
          <w:rFonts w:ascii="Palatino Linotype" w:hAnsi="Palatino Linotype"/>
          <w:i/>
          <w:color w:val="000000" w:themeColor="text1"/>
        </w:rPr>
        <w:t xml:space="preserve"> </w:t>
      </w:r>
      <w:r w:rsidRPr="007B75FD">
        <w:rPr>
          <w:rFonts w:ascii="Palatino Linotype" w:hAnsi="Palatino Linotype"/>
          <w:b/>
          <w:i/>
          <w:color w:val="000000" w:themeColor="text1"/>
          <w:u w:val="single"/>
        </w:rPr>
        <w:t>garantizar que ésta sea accesible, actualizada, completa, congruente, confiable, verificable, veraz, integral, oportuna y expedita</w:t>
      </w:r>
      <w:r w:rsidRPr="007B75FD">
        <w:rPr>
          <w:rFonts w:ascii="Palatino Linotype" w:hAnsi="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7843D1" w:rsidRPr="007B75FD" w:rsidRDefault="007843D1" w:rsidP="007B75FD">
      <w:pPr>
        <w:spacing w:line="360" w:lineRule="auto"/>
        <w:ind w:right="49"/>
        <w:jc w:val="both"/>
        <w:rPr>
          <w:rFonts w:ascii="Palatino Linotype" w:hAnsi="Palatino Linotype"/>
          <w:b/>
          <w:i/>
          <w:color w:val="000000" w:themeColor="text1"/>
        </w:rPr>
      </w:pPr>
      <w:r w:rsidRPr="007B75FD">
        <w:rPr>
          <w:rFonts w:ascii="Palatino Linotype" w:hAnsi="Palatino Linotype"/>
          <w:b/>
          <w:i/>
          <w:color w:val="000000" w:themeColor="text1"/>
        </w:rPr>
        <w:t>[…]</w:t>
      </w:r>
    </w:p>
    <w:p w:rsidR="007843D1" w:rsidRPr="007B75FD" w:rsidRDefault="007843D1" w:rsidP="007B75FD">
      <w:pPr>
        <w:spacing w:line="360" w:lineRule="auto"/>
        <w:ind w:right="49"/>
        <w:jc w:val="both"/>
        <w:rPr>
          <w:rFonts w:ascii="Palatino Linotype" w:hAnsi="Palatino Linotype"/>
          <w:b/>
          <w:i/>
          <w:color w:val="000000" w:themeColor="text1"/>
        </w:rPr>
      </w:pPr>
    </w:p>
    <w:p w:rsidR="007843D1" w:rsidRPr="007B75FD" w:rsidRDefault="007843D1" w:rsidP="007B75FD">
      <w:pPr>
        <w:spacing w:line="360" w:lineRule="auto"/>
        <w:ind w:right="49"/>
        <w:jc w:val="both"/>
        <w:rPr>
          <w:rFonts w:ascii="Palatino Linotype" w:hAnsi="Palatino Linotype"/>
          <w:color w:val="000000" w:themeColor="text1"/>
        </w:rPr>
      </w:pPr>
      <w:r w:rsidRPr="007B75FD">
        <w:rPr>
          <w:rFonts w:ascii="Palatino Linotype" w:hAnsi="Palatino Linotype"/>
          <w:b/>
          <w:i/>
          <w:color w:val="000000" w:themeColor="text1"/>
        </w:rPr>
        <w:t>Artículo 161.</w:t>
      </w:r>
      <w:r w:rsidRPr="007B75FD">
        <w:rPr>
          <w:rFonts w:ascii="Palatino Linotype" w:hAnsi="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7B75FD">
        <w:rPr>
          <w:rFonts w:ascii="Palatino Linotype" w:hAnsi="Palatino Linotype"/>
          <w:b/>
          <w:i/>
          <w:color w:val="000000" w:themeColor="text1"/>
        </w:rPr>
        <w:t xml:space="preserve">la fuente, el lugar y la forma en que puede consultar, reproducir o adquirir dicha información en un plazo no mayor a cinco días hábiles. </w:t>
      </w:r>
      <w:r w:rsidRPr="007B75FD">
        <w:rPr>
          <w:rFonts w:ascii="Palatino Linotype" w:hAnsi="Palatino Linotype"/>
          <w:b/>
          <w:i/>
          <w:color w:val="000000" w:themeColor="text1"/>
          <w:u w:val="single"/>
        </w:rPr>
        <w:t>La fuente deberá ser precisa y concreta y no debe implicar que el solicitante realice una búsqueda en toda la información que se encuentre disponible.</w:t>
      </w:r>
      <w:r w:rsidRPr="007B75FD">
        <w:rPr>
          <w:rFonts w:ascii="Palatino Linotype" w:hAnsi="Palatino Linotype"/>
          <w:color w:val="000000" w:themeColor="text1"/>
        </w:rPr>
        <w:t xml:space="preserve"> </w:t>
      </w:r>
    </w:p>
    <w:p w:rsidR="007843D1" w:rsidRPr="007B75FD" w:rsidRDefault="007843D1" w:rsidP="007B75FD">
      <w:pPr>
        <w:spacing w:line="360" w:lineRule="auto"/>
        <w:ind w:right="49"/>
        <w:contextualSpacing/>
        <w:jc w:val="both"/>
        <w:rPr>
          <w:rFonts w:ascii="Palatino Linotype" w:hAnsi="Palatino Linotype"/>
          <w:b/>
          <w:i/>
          <w:color w:val="000000" w:themeColor="text1"/>
          <w:u w:val="single"/>
        </w:rPr>
      </w:pPr>
      <w:r w:rsidRPr="007B75FD">
        <w:rPr>
          <w:rFonts w:ascii="Palatino Linotype" w:hAnsi="Palatino Linotype"/>
          <w:b/>
          <w:i/>
          <w:color w:val="000000" w:themeColor="text1"/>
          <w:u w:val="single"/>
        </w:rPr>
        <w:t>Capítulo III</w:t>
      </w:r>
    </w:p>
    <w:p w:rsidR="007843D1" w:rsidRPr="007B75FD" w:rsidRDefault="007843D1" w:rsidP="007B75FD">
      <w:pPr>
        <w:spacing w:line="360" w:lineRule="auto"/>
        <w:ind w:right="49"/>
        <w:contextualSpacing/>
        <w:jc w:val="both"/>
        <w:rPr>
          <w:rFonts w:ascii="Palatino Linotype" w:hAnsi="Palatino Linotype"/>
          <w:b/>
          <w:i/>
          <w:color w:val="000000" w:themeColor="text1"/>
          <w:u w:val="single"/>
        </w:rPr>
      </w:pPr>
      <w:r w:rsidRPr="007B75FD">
        <w:rPr>
          <w:rFonts w:ascii="Palatino Linotype" w:hAnsi="Palatino Linotype"/>
          <w:b/>
          <w:i/>
          <w:color w:val="000000" w:themeColor="text1"/>
          <w:u w:val="single"/>
        </w:rPr>
        <w:t>De las Obligaciones de Transparencia</w:t>
      </w:r>
    </w:p>
    <w:p w:rsidR="007843D1" w:rsidRPr="007B75FD" w:rsidRDefault="007843D1" w:rsidP="007B75FD">
      <w:pPr>
        <w:spacing w:line="360" w:lineRule="auto"/>
        <w:ind w:right="49"/>
        <w:contextualSpacing/>
        <w:jc w:val="both"/>
        <w:rPr>
          <w:rFonts w:ascii="Palatino Linotype" w:hAnsi="Palatino Linotype"/>
          <w:b/>
          <w:i/>
          <w:color w:val="000000" w:themeColor="text1"/>
          <w:u w:val="single"/>
        </w:rPr>
      </w:pPr>
      <w:r w:rsidRPr="007B75FD">
        <w:rPr>
          <w:rFonts w:ascii="Palatino Linotype" w:hAnsi="Palatino Linotype"/>
          <w:b/>
          <w:i/>
          <w:color w:val="000000" w:themeColor="text1"/>
          <w:u w:val="single"/>
        </w:rPr>
        <w:t>Específicas de los Sujetos Obligados</w:t>
      </w:r>
    </w:p>
    <w:p w:rsidR="00D55102" w:rsidRPr="007B75FD" w:rsidRDefault="00D55102" w:rsidP="007B75FD">
      <w:pPr>
        <w:spacing w:line="360" w:lineRule="auto"/>
        <w:ind w:right="49"/>
        <w:contextualSpacing/>
        <w:jc w:val="both"/>
        <w:rPr>
          <w:rFonts w:ascii="Palatino Linotype" w:hAnsi="Palatino Linotype"/>
          <w:b/>
          <w:i/>
          <w:color w:val="000000" w:themeColor="text1"/>
          <w:u w:val="single"/>
        </w:rPr>
      </w:pPr>
    </w:p>
    <w:p w:rsidR="007843D1" w:rsidRPr="007B75FD" w:rsidRDefault="007843D1" w:rsidP="007B75FD">
      <w:pPr>
        <w:spacing w:line="360" w:lineRule="auto"/>
        <w:ind w:right="49"/>
        <w:contextualSpacing/>
        <w:jc w:val="both"/>
        <w:rPr>
          <w:rFonts w:ascii="Palatino Linotype" w:hAnsi="Palatino Linotype"/>
          <w:i/>
          <w:color w:val="000000" w:themeColor="text1"/>
          <w:u w:val="single"/>
        </w:rPr>
      </w:pPr>
      <w:r w:rsidRPr="007B75FD">
        <w:rPr>
          <w:rFonts w:ascii="Palatino Linotype" w:hAnsi="Palatino Linotype"/>
          <w:b/>
          <w:i/>
          <w:color w:val="000000" w:themeColor="text1"/>
          <w:u w:val="single"/>
        </w:rPr>
        <w:t xml:space="preserve">Artículo 94. </w:t>
      </w:r>
      <w:r w:rsidRPr="007B75FD">
        <w:rPr>
          <w:rFonts w:ascii="Palatino Linotype" w:hAnsi="Palatino Linotype"/>
          <w:i/>
          <w:color w:val="000000" w:themeColor="text1"/>
          <w:u w:val="single"/>
        </w:rPr>
        <w:t>Además de las obligaciones de transparencia común a que se refiere el Capítulo II de este Título, los sujetos obligados del Poder Ejecutivo Local y municipales, deberán poner a disposición del público y actualizar la siguiente información:</w:t>
      </w:r>
    </w:p>
    <w:p w:rsidR="007843D1" w:rsidRPr="007B75FD" w:rsidRDefault="007843D1" w:rsidP="007B75FD">
      <w:pPr>
        <w:spacing w:line="360" w:lineRule="auto"/>
        <w:ind w:right="49"/>
        <w:contextualSpacing/>
        <w:jc w:val="both"/>
        <w:rPr>
          <w:rFonts w:ascii="Palatino Linotype" w:hAnsi="Palatino Linotype"/>
          <w:i/>
          <w:color w:val="000000" w:themeColor="text1"/>
          <w:u w:val="single"/>
        </w:rPr>
      </w:pPr>
      <w:r w:rsidRPr="007B75FD">
        <w:rPr>
          <w:rFonts w:ascii="Palatino Linotype" w:hAnsi="Palatino Linotype"/>
          <w:i/>
          <w:color w:val="000000" w:themeColor="text1"/>
          <w:u w:val="single"/>
        </w:rPr>
        <w:t>I. En el caso del Poder Ejecutivo y los Municipios, en el ámbito de su competencia:</w:t>
      </w:r>
    </w:p>
    <w:p w:rsidR="007843D1" w:rsidRPr="007B75FD" w:rsidRDefault="007843D1" w:rsidP="007B75FD">
      <w:pPr>
        <w:spacing w:line="360" w:lineRule="auto"/>
        <w:ind w:right="49"/>
        <w:contextualSpacing/>
        <w:jc w:val="both"/>
        <w:rPr>
          <w:rFonts w:ascii="Palatino Linotype" w:hAnsi="Palatino Linotype"/>
          <w:i/>
          <w:color w:val="000000" w:themeColor="text1"/>
          <w:u w:val="single"/>
        </w:rPr>
      </w:pPr>
      <w:r w:rsidRPr="007B75FD">
        <w:rPr>
          <w:rFonts w:ascii="Palatino Linotype" w:hAnsi="Palatino Linotype"/>
          <w:i/>
          <w:color w:val="000000" w:themeColor="text1"/>
          <w:u w:val="single"/>
        </w:rPr>
        <w:lastRenderedPageBreak/>
        <w:t>(…)</w:t>
      </w:r>
    </w:p>
    <w:p w:rsidR="007843D1" w:rsidRPr="007B75FD" w:rsidRDefault="007843D1" w:rsidP="007B75FD">
      <w:pPr>
        <w:spacing w:line="360" w:lineRule="auto"/>
        <w:ind w:right="49"/>
        <w:contextualSpacing/>
        <w:jc w:val="both"/>
        <w:rPr>
          <w:rFonts w:ascii="Palatino Linotype" w:hAnsi="Palatino Linotype"/>
          <w:i/>
          <w:color w:val="000000" w:themeColor="text1"/>
          <w:u w:val="single"/>
        </w:rPr>
      </w:pPr>
    </w:p>
    <w:p w:rsidR="007843D1" w:rsidRPr="007B75FD" w:rsidRDefault="007843D1" w:rsidP="007B75FD">
      <w:pPr>
        <w:spacing w:line="360" w:lineRule="auto"/>
        <w:ind w:right="49"/>
        <w:contextualSpacing/>
        <w:jc w:val="both"/>
        <w:rPr>
          <w:rFonts w:ascii="Palatino Linotype" w:hAnsi="Palatino Linotype"/>
          <w:i/>
          <w:color w:val="000000" w:themeColor="text1"/>
          <w:u w:val="single"/>
        </w:rPr>
      </w:pPr>
      <w:r w:rsidRPr="007B75FD">
        <w:rPr>
          <w:rFonts w:ascii="Palatino Linotype" w:hAnsi="Palatino Linotype"/>
          <w:i/>
          <w:color w:val="000000" w:themeColor="text1"/>
          <w:u w:val="single"/>
        </w:rPr>
        <w:t>f) La información detallada que contengan los planes de desarrollo urbano, ordenamiento territorial y ecológico, los tipos y usos de suelo, licencias de uso y construcción otorgadas por los gobiernos municipales.</w:t>
      </w:r>
    </w:p>
    <w:p w:rsidR="007843D1" w:rsidRPr="007B75FD" w:rsidRDefault="007843D1" w:rsidP="007B75FD">
      <w:pPr>
        <w:spacing w:line="360" w:lineRule="auto"/>
        <w:ind w:right="49"/>
        <w:jc w:val="both"/>
        <w:rPr>
          <w:rFonts w:ascii="Palatino Linotype" w:hAnsi="Palatino Linotype" w:cs="Arial"/>
          <w:color w:val="000000" w:themeColor="text1"/>
          <w:lang w:val="es-ES"/>
        </w:rPr>
      </w:pPr>
    </w:p>
    <w:p w:rsidR="007843D1" w:rsidRPr="007B75FD" w:rsidRDefault="007843D1" w:rsidP="007B75FD">
      <w:pPr>
        <w:numPr>
          <w:ilvl w:val="0"/>
          <w:numId w:val="1"/>
        </w:numPr>
        <w:spacing w:line="360" w:lineRule="auto"/>
        <w:ind w:left="0" w:right="49" w:firstLine="0"/>
        <w:jc w:val="both"/>
        <w:rPr>
          <w:rFonts w:ascii="Palatino Linotype" w:hAnsi="Palatino Linotype" w:cs="Arial"/>
          <w:color w:val="000000" w:themeColor="text1"/>
          <w:lang w:val="es-ES"/>
        </w:rPr>
      </w:pPr>
      <w:r w:rsidRPr="007B75FD">
        <w:rPr>
          <w:rFonts w:ascii="Palatino Linotype" w:eastAsia="Palatino Linotype" w:hAnsi="Palatino Linotype" w:cs="Palatino Linotype"/>
          <w:color w:val="000000" w:themeColor="text1"/>
        </w:rPr>
        <w:t>De</w:t>
      </w:r>
      <w:r w:rsidRPr="007B75FD">
        <w:rPr>
          <w:rFonts w:ascii="Palatino Linotype" w:hAnsi="Palatino Linotype" w:cs="Arial"/>
          <w:color w:val="000000" w:themeColor="text1"/>
          <w:lang w:val="es-ES"/>
        </w:rPr>
        <w:t xml:space="preserve"> los artículos transcritos se establecen las características que debe tener la </w:t>
      </w:r>
      <w:r w:rsidRPr="007B75FD">
        <w:rPr>
          <w:rFonts w:ascii="Palatino Linotype" w:eastAsia="Palatino Linotype" w:hAnsi="Palatino Linotype" w:cs="Palatino Linotype"/>
          <w:color w:val="000000" w:themeColor="text1"/>
        </w:rPr>
        <w:t>información</w:t>
      </w:r>
      <w:r w:rsidRPr="007B75FD">
        <w:rPr>
          <w:rFonts w:ascii="Palatino Linotype" w:hAnsi="Palatino Linotype" w:cs="Arial"/>
          <w:color w:val="000000" w:themeColor="text1"/>
          <w:lang w:val="es-ES"/>
        </w:rPr>
        <w:t xml:space="preserve">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7B75FD">
        <w:rPr>
          <w:rFonts w:ascii="Palatino Linotype" w:hAnsi="Palatino Linotype" w:cs="Arial"/>
          <w:b/>
          <w:color w:val="000000" w:themeColor="text1"/>
          <w:u w:val="single"/>
          <w:lang w:val="es-ES"/>
        </w:rPr>
        <w:t>haciéndole saber al solicitante como podrá consultar, reproducir o adquirir la información, en un plazo no mayor a cinco días hábiles</w:t>
      </w:r>
      <w:r w:rsidRPr="007B75FD">
        <w:rPr>
          <w:rFonts w:ascii="Palatino Linotype" w:hAnsi="Palatino Linotype" w:cs="Arial"/>
          <w:color w:val="000000" w:themeColor="text1"/>
          <w:lang w:val="es-ES"/>
        </w:rPr>
        <w:t>, comprendiendo:</w:t>
      </w:r>
    </w:p>
    <w:p w:rsidR="00D55102" w:rsidRPr="007B75FD" w:rsidRDefault="00D55102" w:rsidP="007B75FD">
      <w:pPr>
        <w:spacing w:line="360" w:lineRule="auto"/>
        <w:ind w:right="49"/>
        <w:jc w:val="both"/>
        <w:rPr>
          <w:rFonts w:ascii="Palatino Linotype" w:hAnsi="Palatino Linotype" w:cs="Arial"/>
          <w:color w:val="000000" w:themeColor="text1"/>
          <w:lang w:val="es-ES"/>
        </w:rPr>
      </w:pPr>
    </w:p>
    <w:p w:rsidR="007843D1" w:rsidRPr="007B75FD" w:rsidRDefault="007843D1" w:rsidP="00357A9C">
      <w:pPr>
        <w:pStyle w:val="Prrafodelista"/>
        <w:numPr>
          <w:ilvl w:val="0"/>
          <w:numId w:val="21"/>
        </w:numPr>
        <w:spacing w:line="360" w:lineRule="auto"/>
        <w:ind w:left="0" w:right="49" w:firstLine="0"/>
        <w:contextualSpacing w:val="0"/>
        <w:jc w:val="both"/>
        <w:rPr>
          <w:rFonts w:ascii="Palatino Linotype" w:hAnsi="Palatino Linotype" w:cs="Arial"/>
          <w:color w:val="000000" w:themeColor="text1"/>
          <w:lang w:val="es-ES"/>
        </w:rPr>
      </w:pPr>
      <w:r w:rsidRPr="007B75FD">
        <w:rPr>
          <w:rFonts w:ascii="Palatino Linotype" w:hAnsi="Palatino Linotype" w:cs="Arial"/>
          <w:color w:val="000000" w:themeColor="text1"/>
        </w:rPr>
        <w:t>La fuente</w:t>
      </w:r>
    </w:p>
    <w:p w:rsidR="007843D1" w:rsidRPr="007B75FD" w:rsidRDefault="007843D1" w:rsidP="00357A9C">
      <w:pPr>
        <w:pStyle w:val="Prrafodelista"/>
        <w:numPr>
          <w:ilvl w:val="0"/>
          <w:numId w:val="21"/>
        </w:numPr>
        <w:spacing w:line="360" w:lineRule="auto"/>
        <w:ind w:left="0" w:right="49" w:firstLine="0"/>
        <w:contextualSpacing w:val="0"/>
        <w:jc w:val="both"/>
        <w:rPr>
          <w:rFonts w:ascii="Palatino Linotype" w:hAnsi="Palatino Linotype" w:cs="Arial"/>
          <w:color w:val="000000" w:themeColor="text1"/>
        </w:rPr>
      </w:pPr>
      <w:r w:rsidRPr="007B75FD">
        <w:rPr>
          <w:rFonts w:ascii="Palatino Linotype" w:hAnsi="Palatino Linotype" w:cs="Arial"/>
          <w:color w:val="000000" w:themeColor="text1"/>
        </w:rPr>
        <w:t>El lugar y</w:t>
      </w:r>
    </w:p>
    <w:p w:rsidR="007843D1" w:rsidRPr="007B75FD" w:rsidRDefault="007843D1" w:rsidP="00357A9C">
      <w:pPr>
        <w:pStyle w:val="Prrafodelista"/>
        <w:numPr>
          <w:ilvl w:val="0"/>
          <w:numId w:val="21"/>
        </w:numPr>
        <w:spacing w:line="360" w:lineRule="auto"/>
        <w:ind w:left="0" w:right="49" w:firstLine="0"/>
        <w:contextualSpacing w:val="0"/>
        <w:jc w:val="both"/>
        <w:rPr>
          <w:rFonts w:ascii="Palatino Linotype" w:hAnsi="Palatino Linotype" w:cs="Arial"/>
          <w:color w:val="000000" w:themeColor="text1"/>
        </w:rPr>
      </w:pPr>
      <w:r w:rsidRPr="007B75FD">
        <w:rPr>
          <w:rFonts w:ascii="Palatino Linotype" w:hAnsi="Palatino Linotype" w:cs="Arial"/>
          <w:color w:val="000000" w:themeColor="text1"/>
        </w:rPr>
        <w:t xml:space="preserve">La forma </w:t>
      </w:r>
    </w:p>
    <w:p w:rsidR="007843D1" w:rsidRPr="007B75FD" w:rsidRDefault="007843D1" w:rsidP="00357A9C">
      <w:pPr>
        <w:spacing w:line="360" w:lineRule="auto"/>
        <w:ind w:right="49"/>
        <w:jc w:val="both"/>
        <w:rPr>
          <w:rFonts w:ascii="Palatino Linotype" w:hAnsi="Palatino Linotype" w:cs="Arial"/>
          <w:color w:val="000000" w:themeColor="text1"/>
          <w:lang w:val="es-ES"/>
        </w:rPr>
      </w:pPr>
      <w:r w:rsidRPr="007B75FD">
        <w:rPr>
          <w:rFonts w:ascii="Palatino Linotype" w:hAnsi="Palatino Linotype" w:cs="Arial"/>
          <w:color w:val="000000" w:themeColor="text1"/>
          <w:lang w:val="es-ES"/>
        </w:rPr>
        <w:t xml:space="preserve">Asimismo, se establece que la fuente de la información </w:t>
      </w:r>
      <w:r w:rsidRPr="007B75FD">
        <w:rPr>
          <w:rFonts w:ascii="Palatino Linotype" w:hAnsi="Palatino Linotype" w:cs="Arial"/>
          <w:b/>
          <w:color w:val="000000" w:themeColor="text1"/>
          <w:lang w:val="es-ES"/>
        </w:rPr>
        <w:t>deberá ser</w:t>
      </w:r>
      <w:r w:rsidRPr="007B75FD">
        <w:rPr>
          <w:rFonts w:ascii="Palatino Linotype" w:hAnsi="Palatino Linotype" w:cs="Arial"/>
          <w:color w:val="000000" w:themeColor="text1"/>
          <w:lang w:val="es-ES"/>
        </w:rPr>
        <w:t>:</w:t>
      </w:r>
    </w:p>
    <w:p w:rsidR="007843D1" w:rsidRPr="007B75FD" w:rsidRDefault="007843D1" w:rsidP="00357A9C">
      <w:pPr>
        <w:pStyle w:val="Prrafodelista"/>
        <w:numPr>
          <w:ilvl w:val="0"/>
          <w:numId w:val="22"/>
        </w:numPr>
        <w:spacing w:line="360" w:lineRule="auto"/>
        <w:ind w:left="0" w:right="49" w:firstLine="0"/>
        <w:contextualSpacing w:val="0"/>
        <w:jc w:val="both"/>
        <w:rPr>
          <w:rFonts w:ascii="Palatino Linotype" w:hAnsi="Palatino Linotype" w:cs="Arial"/>
          <w:color w:val="000000" w:themeColor="text1"/>
          <w:lang w:val="es-ES"/>
        </w:rPr>
      </w:pPr>
      <w:r w:rsidRPr="007B75FD">
        <w:rPr>
          <w:rFonts w:ascii="Palatino Linotype" w:hAnsi="Palatino Linotype" w:cs="Arial"/>
          <w:color w:val="000000" w:themeColor="text1"/>
        </w:rPr>
        <w:t>Precisa</w:t>
      </w:r>
    </w:p>
    <w:p w:rsidR="007843D1" w:rsidRPr="007B75FD" w:rsidRDefault="007843D1" w:rsidP="00357A9C">
      <w:pPr>
        <w:pStyle w:val="Prrafodelista"/>
        <w:numPr>
          <w:ilvl w:val="0"/>
          <w:numId w:val="22"/>
        </w:numPr>
        <w:spacing w:line="360" w:lineRule="auto"/>
        <w:ind w:left="0" w:right="49" w:firstLine="0"/>
        <w:contextualSpacing w:val="0"/>
        <w:jc w:val="both"/>
        <w:rPr>
          <w:rFonts w:ascii="Palatino Linotype" w:hAnsi="Palatino Linotype" w:cs="Arial"/>
          <w:color w:val="000000" w:themeColor="text1"/>
        </w:rPr>
      </w:pPr>
      <w:r w:rsidRPr="007B75FD">
        <w:rPr>
          <w:rFonts w:ascii="Palatino Linotype" w:hAnsi="Palatino Linotype" w:cs="Arial"/>
          <w:color w:val="000000" w:themeColor="text1"/>
        </w:rPr>
        <w:t>Concreta</w:t>
      </w:r>
    </w:p>
    <w:p w:rsidR="007843D1" w:rsidRPr="007B75FD" w:rsidRDefault="007843D1" w:rsidP="00357A9C">
      <w:pPr>
        <w:pStyle w:val="Prrafodelista"/>
        <w:numPr>
          <w:ilvl w:val="0"/>
          <w:numId w:val="22"/>
        </w:numPr>
        <w:spacing w:line="360" w:lineRule="auto"/>
        <w:ind w:left="0" w:right="49" w:firstLine="0"/>
        <w:contextualSpacing w:val="0"/>
        <w:jc w:val="both"/>
        <w:rPr>
          <w:rFonts w:ascii="Palatino Linotype" w:hAnsi="Palatino Linotype" w:cs="Arial"/>
          <w:color w:val="000000" w:themeColor="text1"/>
          <w:u w:val="single"/>
        </w:rPr>
      </w:pPr>
      <w:r w:rsidRPr="007B75FD">
        <w:rPr>
          <w:rFonts w:ascii="Palatino Linotype" w:hAnsi="Palatino Linotype" w:cs="Arial"/>
          <w:color w:val="000000" w:themeColor="text1"/>
          <w:u w:val="single"/>
        </w:rPr>
        <w:t>Y NO debe implicar que el solicitante realice una búsqueda en toda la información que se encuentre disponible.</w:t>
      </w:r>
    </w:p>
    <w:p w:rsidR="007843D1" w:rsidRPr="007B75FD" w:rsidRDefault="007843D1" w:rsidP="007B75FD">
      <w:pPr>
        <w:pStyle w:val="Prrafodelista"/>
        <w:spacing w:line="360" w:lineRule="auto"/>
        <w:ind w:left="0" w:right="49"/>
        <w:jc w:val="both"/>
        <w:rPr>
          <w:rFonts w:ascii="Palatino Linotype" w:hAnsi="Palatino Linotype" w:cs="Arial"/>
          <w:b/>
          <w:color w:val="000000" w:themeColor="text1"/>
          <w:u w:val="single"/>
        </w:rPr>
      </w:pPr>
    </w:p>
    <w:p w:rsidR="007843D1" w:rsidRPr="007B75FD" w:rsidRDefault="007843D1" w:rsidP="007B75FD">
      <w:pPr>
        <w:numPr>
          <w:ilvl w:val="0"/>
          <w:numId w:val="1"/>
        </w:numPr>
        <w:spacing w:line="360" w:lineRule="auto"/>
        <w:ind w:left="0" w:right="49" w:firstLine="0"/>
        <w:jc w:val="both"/>
        <w:rPr>
          <w:rFonts w:ascii="Palatino Linotype" w:hAnsi="Palatino Linotype" w:cs="Arial"/>
          <w:color w:val="000000" w:themeColor="text1"/>
        </w:rPr>
      </w:pPr>
      <w:r w:rsidRPr="007B75FD">
        <w:rPr>
          <w:rFonts w:ascii="Palatino Linotype" w:hAnsi="Palatino Linotype" w:cs="Arial"/>
          <w:color w:val="000000" w:themeColor="text1"/>
        </w:rPr>
        <w:t xml:space="preserve">Imperativos legales que establecen el procedimiento que debe seguir </w:t>
      </w:r>
      <w:r w:rsidRPr="007B75FD">
        <w:rPr>
          <w:rFonts w:ascii="Palatino Linotype" w:hAnsi="Palatino Linotype" w:cs="Arial"/>
          <w:b/>
          <w:color w:val="000000" w:themeColor="text1"/>
        </w:rPr>
        <w:t xml:space="preserve">El Sujeto Obligado </w:t>
      </w:r>
      <w:r w:rsidRPr="007B75FD">
        <w:rPr>
          <w:rFonts w:ascii="Palatino Linotype" w:hAnsi="Palatino Linotype" w:cs="Arial"/>
          <w:color w:val="000000" w:themeColor="text1"/>
        </w:rPr>
        <w:t xml:space="preserve">para que pueda tomarse como válida su orientación sobre la forma en que puede </w:t>
      </w:r>
      <w:r w:rsidRPr="007B75FD">
        <w:rPr>
          <w:rFonts w:ascii="Palatino Linotype" w:hAnsi="Palatino Linotype" w:cs="Arial"/>
          <w:color w:val="000000" w:themeColor="text1"/>
          <w:lang w:val="es-ES"/>
        </w:rPr>
        <w:lastRenderedPageBreak/>
        <w:t>consultar</w:t>
      </w:r>
      <w:r w:rsidRPr="007B75FD">
        <w:rPr>
          <w:rFonts w:ascii="Palatino Linotype" w:hAnsi="Palatino Linotype" w:cs="Arial"/>
          <w:color w:val="000000" w:themeColor="text1"/>
        </w:rPr>
        <w:t xml:space="preserve"> la información requerida, y que en la especie si acontece, pues, la </w:t>
      </w:r>
      <w:r w:rsidRPr="007B75FD">
        <w:rPr>
          <w:rFonts w:ascii="Palatino Linotype" w:eastAsia="Palatino Linotype" w:hAnsi="Palatino Linotype" w:cs="Palatino Linotype"/>
          <w:color w:val="000000" w:themeColor="text1"/>
        </w:rPr>
        <w:t>fuente</w:t>
      </w:r>
      <w:r w:rsidRPr="007B75FD">
        <w:rPr>
          <w:rFonts w:ascii="Palatino Linotype" w:hAnsi="Palatino Linotype" w:cs="Arial"/>
          <w:color w:val="000000" w:themeColor="text1"/>
        </w:rPr>
        <w:t xml:space="preserve"> </w:t>
      </w:r>
      <w:r w:rsidRPr="007B75FD">
        <w:rPr>
          <w:rFonts w:ascii="Palatino Linotype" w:hAnsi="Palatino Linotype" w:cs="Arial"/>
          <w:color w:val="000000" w:themeColor="text1"/>
          <w:lang w:val="es-ES"/>
        </w:rPr>
        <w:t>donde</w:t>
      </w:r>
      <w:r w:rsidRPr="007B75FD">
        <w:rPr>
          <w:rFonts w:ascii="Palatino Linotype" w:hAnsi="Palatino Linotype" w:cs="Arial"/>
          <w:color w:val="000000" w:themeColor="text1"/>
        </w:rPr>
        <w:t xml:space="preserve"> se encuentra la información, </w:t>
      </w:r>
      <w:r w:rsidRPr="007B75FD">
        <w:rPr>
          <w:rFonts w:ascii="Palatino Linotype" w:hAnsi="Palatino Linotype" w:cs="Arial"/>
          <w:b/>
          <w:color w:val="000000" w:themeColor="text1"/>
          <w:u w:val="single"/>
        </w:rPr>
        <w:t>es precisa</w:t>
      </w:r>
      <w:r w:rsidRPr="007B75FD">
        <w:rPr>
          <w:rFonts w:ascii="Palatino Linotype" w:hAnsi="Palatino Linotype" w:cs="Arial"/>
          <w:color w:val="000000" w:themeColor="text1"/>
        </w:rPr>
        <w:t xml:space="preserve"> por señalarse el lugar específico donde se encuentra la información solicitada; </w:t>
      </w:r>
      <w:r w:rsidRPr="007B75FD">
        <w:rPr>
          <w:rFonts w:ascii="Palatino Linotype" w:hAnsi="Palatino Linotype" w:cs="Arial"/>
          <w:b/>
          <w:color w:val="000000" w:themeColor="text1"/>
          <w:u w:val="single"/>
        </w:rPr>
        <w:t>es concreta</w:t>
      </w:r>
      <w:r w:rsidRPr="007B75FD">
        <w:rPr>
          <w:rFonts w:ascii="Palatino Linotype" w:hAnsi="Palatino Linotype" w:cs="Arial"/>
          <w:color w:val="000000" w:themeColor="text1"/>
        </w:rPr>
        <w:t xml:space="preserve"> porque su fuente es sólida; y por último, su fuente </w:t>
      </w:r>
      <w:r w:rsidRPr="007B75FD">
        <w:rPr>
          <w:rFonts w:ascii="Palatino Linotype" w:hAnsi="Palatino Linotype" w:cs="Arial"/>
          <w:b/>
          <w:color w:val="000000" w:themeColor="text1"/>
        </w:rPr>
        <w:t>NO implica que el solicitante realice una búsqueda en toda la información que se encuentra disponible</w:t>
      </w:r>
      <w:r w:rsidRPr="007B75FD">
        <w:rPr>
          <w:rFonts w:ascii="Palatino Linotype" w:hAnsi="Palatino Linotype" w:cs="Arial"/>
          <w:color w:val="000000" w:themeColor="text1"/>
        </w:rPr>
        <w:t>, lo que a todas luces cumple el numeral citado.</w:t>
      </w:r>
    </w:p>
    <w:p w:rsidR="007843D1" w:rsidRPr="007B75FD" w:rsidRDefault="007843D1" w:rsidP="007B75FD">
      <w:pPr>
        <w:spacing w:line="360" w:lineRule="auto"/>
        <w:ind w:right="49"/>
        <w:jc w:val="both"/>
        <w:rPr>
          <w:rFonts w:ascii="Palatino Linotype" w:hAnsi="Palatino Linotype" w:cs="Arial"/>
          <w:color w:val="000000" w:themeColor="text1"/>
        </w:rPr>
      </w:pPr>
    </w:p>
    <w:p w:rsidR="007843D1" w:rsidRPr="007B75FD" w:rsidRDefault="007843D1" w:rsidP="007B75FD">
      <w:pPr>
        <w:numPr>
          <w:ilvl w:val="0"/>
          <w:numId w:val="1"/>
        </w:numPr>
        <w:spacing w:line="360" w:lineRule="auto"/>
        <w:ind w:left="0" w:right="49" w:firstLine="0"/>
        <w:jc w:val="both"/>
        <w:rPr>
          <w:rFonts w:ascii="Palatino Linotype" w:eastAsia="Palatino Linotype" w:hAnsi="Palatino Linotype" w:cs="Palatino Linotype"/>
          <w:bCs/>
          <w:color w:val="000000" w:themeColor="text1"/>
        </w:rPr>
      </w:pPr>
      <w:r w:rsidRPr="007B75FD">
        <w:rPr>
          <w:rFonts w:ascii="Palatino Linotype" w:eastAsia="Palatino Linotype" w:hAnsi="Palatino Linotype" w:cs="Palatino Linotype"/>
          <w:bCs/>
          <w:color w:val="000000" w:themeColor="text1"/>
        </w:rPr>
        <w:t xml:space="preserve">En </w:t>
      </w:r>
      <w:r w:rsidRPr="007B75FD">
        <w:rPr>
          <w:rFonts w:ascii="Palatino Linotype" w:hAnsi="Palatino Linotype" w:cs="Arial"/>
          <w:color w:val="000000" w:themeColor="text1"/>
        </w:rPr>
        <w:t>esa</w:t>
      </w:r>
      <w:r w:rsidRPr="007B75FD">
        <w:rPr>
          <w:rFonts w:ascii="Palatino Linotype" w:eastAsia="Palatino Linotype" w:hAnsi="Palatino Linotype" w:cs="Palatino Linotype"/>
          <w:bCs/>
          <w:color w:val="000000" w:themeColor="text1"/>
        </w:rPr>
        <w:t xml:space="preserve"> </w:t>
      </w:r>
      <w:r w:rsidRPr="007B75FD">
        <w:rPr>
          <w:rFonts w:ascii="Palatino Linotype" w:hAnsi="Palatino Linotype" w:cs="Arial"/>
          <w:color w:val="000000" w:themeColor="text1"/>
        </w:rPr>
        <w:t>tesitura</w:t>
      </w:r>
      <w:r w:rsidRPr="007B75FD">
        <w:rPr>
          <w:rFonts w:ascii="Palatino Linotype" w:eastAsia="Palatino Linotype" w:hAnsi="Palatino Linotype" w:cs="Palatino Linotype"/>
          <w:bCs/>
          <w:color w:val="000000" w:themeColor="text1"/>
        </w:rPr>
        <w:t xml:space="preserve"> el enlace entregado se advierte que NO se encuentra en formato abierto al obrar en un archivo PDF de solo lectura; es decir que no permite la selección del texto y tampoco dar clic sobre el enlace de Internet a efecto de dirigir directamente al sitio web, siendo la única forma de ingreso, el copiar la dirección electrónico de manera manual, lo que incumple con las características que establece la Ley de la materia antes referidas.</w:t>
      </w:r>
    </w:p>
    <w:p w:rsidR="007843D1" w:rsidRPr="007B75FD" w:rsidRDefault="007843D1" w:rsidP="007B75FD">
      <w:pPr>
        <w:pStyle w:val="Prrafodelista"/>
        <w:spacing w:line="360" w:lineRule="auto"/>
        <w:ind w:left="0" w:right="49"/>
        <w:jc w:val="both"/>
        <w:rPr>
          <w:rFonts w:ascii="Palatino Linotype" w:eastAsia="Palatino Linotype" w:hAnsi="Palatino Linotype" w:cs="Palatino Linotype"/>
          <w:bCs/>
          <w:color w:val="000000" w:themeColor="text1"/>
        </w:rPr>
      </w:pPr>
    </w:p>
    <w:p w:rsidR="007843D1" w:rsidRPr="007B75FD" w:rsidRDefault="00842AE7" w:rsidP="007B75FD">
      <w:pPr>
        <w:numPr>
          <w:ilvl w:val="0"/>
          <w:numId w:val="1"/>
        </w:numPr>
        <w:spacing w:line="360" w:lineRule="auto"/>
        <w:ind w:left="0" w:right="49" w:firstLine="0"/>
        <w:jc w:val="both"/>
        <w:rPr>
          <w:rFonts w:ascii="Palatino Linotype" w:eastAsia="Palatino Linotype" w:hAnsi="Palatino Linotype" w:cs="Palatino Linotype"/>
          <w:bCs/>
          <w:color w:val="000000" w:themeColor="text1"/>
        </w:rPr>
      </w:pPr>
      <w:r w:rsidRPr="007B75FD">
        <w:rPr>
          <w:rFonts w:ascii="Palatino Linotype" w:eastAsia="Palatino Linotype" w:hAnsi="Palatino Linotype" w:cs="Palatino Linotype"/>
          <w:bCs/>
          <w:color w:val="000000" w:themeColor="text1"/>
        </w:rPr>
        <w:t>Por tanto, resulta improcedente dar observancia a los enlaces remitidos; sumado a que el particular no emitió pronunciamiento alguno que permite arribar a la conclusión de que si ingreso al contenido de los enlace, lo que permitiría ingresar a su análisis aun y cuando no cumplan las características antes referidas, dispuestas por la Ley de la materia.</w:t>
      </w:r>
    </w:p>
    <w:p w:rsidR="007843D1" w:rsidRPr="007B75FD" w:rsidRDefault="007843D1" w:rsidP="007B75FD">
      <w:pPr>
        <w:pStyle w:val="Prrafodelista"/>
        <w:spacing w:line="360" w:lineRule="auto"/>
        <w:ind w:left="0" w:right="49"/>
        <w:jc w:val="both"/>
        <w:rPr>
          <w:rFonts w:ascii="Palatino Linotype" w:eastAsia="Palatino Linotype" w:hAnsi="Palatino Linotype" w:cs="Palatino Linotype"/>
          <w:bCs/>
          <w:color w:val="000000" w:themeColor="text1"/>
        </w:rPr>
      </w:pPr>
    </w:p>
    <w:p w:rsidR="001B604D" w:rsidRDefault="007843D1" w:rsidP="007B75FD">
      <w:pPr>
        <w:numPr>
          <w:ilvl w:val="0"/>
          <w:numId w:val="1"/>
        </w:numPr>
        <w:spacing w:line="360" w:lineRule="auto"/>
        <w:ind w:left="0" w:right="49" w:firstLine="0"/>
        <w:jc w:val="both"/>
        <w:rPr>
          <w:rFonts w:ascii="Palatino Linotype" w:hAnsi="Palatino Linotype"/>
          <w:color w:val="000000" w:themeColor="text1"/>
        </w:rPr>
      </w:pPr>
      <w:r w:rsidRPr="007B75FD">
        <w:rPr>
          <w:rFonts w:ascii="Palatino Linotype" w:eastAsia="Palatino Linotype" w:hAnsi="Palatino Linotype" w:cs="Palatino Linotype"/>
          <w:bCs/>
          <w:color w:val="000000" w:themeColor="text1"/>
        </w:rPr>
        <w:t>Luego entonces</w:t>
      </w:r>
      <w:r w:rsidR="00842AE7" w:rsidRPr="007B75FD">
        <w:rPr>
          <w:rFonts w:ascii="Palatino Linotype" w:eastAsia="Palatino Linotype" w:hAnsi="Palatino Linotype" w:cs="Palatino Linotype"/>
          <w:bCs/>
          <w:color w:val="000000" w:themeColor="text1"/>
        </w:rPr>
        <w:t>, resulta necesario realizar las siguientes precisiones en cuanto a la naturaleza de lo solicitado</w:t>
      </w:r>
      <w:r w:rsidR="001B604D" w:rsidRPr="007B75FD">
        <w:rPr>
          <w:rFonts w:ascii="Palatino Linotype" w:eastAsia="Palatino Linotype" w:hAnsi="Palatino Linotype" w:cs="Palatino Linotype"/>
          <w:bCs/>
          <w:color w:val="000000" w:themeColor="text1"/>
        </w:rPr>
        <w:t xml:space="preserve">. </w:t>
      </w:r>
      <w:r w:rsidR="001B604D" w:rsidRPr="007B75FD">
        <w:rPr>
          <w:rFonts w:ascii="Palatino Linotype" w:hAnsi="Palatino Linotype"/>
          <w:color w:val="000000" w:themeColor="text1"/>
        </w:rPr>
        <w:t xml:space="preserve">El Glosario de Términos, siglas y acrónimos del Informe de Resultados Ejercicio Fiscal </w:t>
      </w:r>
      <w:r w:rsidR="000578CC" w:rsidRPr="007B75FD">
        <w:rPr>
          <w:rFonts w:ascii="Palatino Linotype" w:hAnsi="Palatino Linotype"/>
          <w:color w:val="000000" w:themeColor="text1"/>
        </w:rPr>
        <w:t>del</w:t>
      </w:r>
      <w:r w:rsidR="001B604D" w:rsidRPr="007B75FD">
        <w:rPr>
          <w:rFonts w:ascii="Palatino Linotype" w:hAnsi="Palatino Linotype"/>
          <w:color w:val="000000" w:themeColor="text1"/>
        </w:rPr>
        <w:t xml:space="preserve"> trienio que se solicita la información, emitidos por el Órgano Superior de Fiscalización del Estado de México, establece lo siguiente:</w:t>
      </w:r>
    </w:p>
    <w:p w:rsidR="001B604D" w:rsidRPr="007B75FD" w:rsidRDefault="001B604D" w:rsidP="00357A9C">
      <w:pPr>
        <w:pStyle w:val="Prrafodelista"/>
        <w:widowControl w:val="0"/>
        <w:numPr>
          <w:ilvl w:val="0"/>
          <w:numId w:val="25"/>
        </w:numPr>
        <w:spacing w:line="360" w:lineRule="auto"/>
        <w:ind w:left="0" w:right="49" w:firstLine="0"/>
        <w:jc w:val="both"/>
        <w:rPr>
          <w:rFonts w:ascii="Palatino Linotype" w:hAnsi="Palatino Linotype"/>
          <w:color w:val="000000" w:themeColor="text1"/>
        </w:rPr>
      </w:pPr>
      <w:r w:rsidRPr="007B75FD">
        <w:rPr>
          <w:rFonts w:ascii="Palatino Linotype" w:hAnsi="Palatino Linotype"/>
          <w:b/>
          <w:bCs/>
          <w:color w:val="000000" w:themeColor="text1"/>
        </w:rPr>
        <w:t xml:space="preserve">Actos de Fiscalización: </w:t>
      </w:r>
      <w:r w:rsidRPr="007B75FD">
        <w:rPr>
          <w:rFonts w:ascii="Palatino Linotype" w:hAnsi="Palatino Linotype"/>
          <w:color w:val="000000" w:themeColor="text1"/>
        </w:rPr>
        <w:t>Auditorías, revisiones, visitas e inspecciones que realiza el Órgano Superior de Fiscalización del Estado de México.</w:t>
      </w:r>
    </w:p>
    <w:p w:rsidR="001B604D" w:rsidRPr="007B75FD" w:rsidRDefault="001B604D" w:rsidP="00357A9C">
      <w:pPr>
        <w:pStyle w:val="Prrafodelista"/>
        <w:widowControl w:val="0"/>
        <w:spacing w:line="360" w:lineRule="auto"/>
        <w:ind w:left="0" w:right="49"/>
        <w:jc w:val="both"/>
        <w:rPr>
          <w:rFonts w:ascii="Palatino Linotype" w:hAnsi="Palatino Linotype"/>
          <w:color w:val="000000" w:themeColor="text1"/>
        </w:rPr>
      </w:pPr>
    </w:p>
    <w:p w:rsidR="001B604D" w:rsidRPr="007B75FD" w:rsidRDefault="001B604D" w:rsidP="00357A9C">
      <w:pPr>
        <w:pStyle w:val="Prrafodelista"/>
        <w:widowControl w:val="0"/>
        <w:numPr>
          <w:ilvl w:val="0"/>
          <w:numId w:val="25"/>
        </w:numPr>
        <w:spacing w:line="360" w:lineRule="auto"/>
        <w:ind w:left="0" w:right="49" w:firstLine="0"/>
        <w:jc w:val="both"/>
        <w:rPr>
          <w:rFonts w:ascii="Palatino Linotype" w:hAnsi="Palatino Linotype"/>
          <w:color w:val="000000" w:themeColor="text1"/>
        </w:rPr>
      </w:pPr>
      <w:r w:rsidRPr="007B75FD">
        <w:rPr>
          <w:rFonts w:ascii="Palatino Linotype" w:hAnsi="Palatino Linotype"/>
          <w:b/>
          <w:bCs/>
          <w:color w:val="000000" w:themeColor="text1"/>
        </w:rPr>
        <w:lastRenderedPageBreak/>
        <w:t>Auditoría:</w:t>
      </w:r>
      <w:r w:rsidRPr="007B75FD">
        <w:rPr>
          <w:rFonts w:ascii="Palatino Linotype" w:hAnsi="Palatino Linotype"/>
          <w:color w:val="000000" w:themeColor="text1"/>
        </w:rPr>
        <w:t xml:space="preserve"> Examen objetivo y sistemático de la gestión presupuestal, financiera y administrativa en la que se obtiene y se evalúa evidencia para determinar si las acciones llevadas a cabo por los entes sujetos a revisión se realizaron de conformidad con la normatividad establecida, o con base en principios que aseguren una gestión pública adecuada.</w:t>
      </w:r>
    </w:p>
    <w:p w:rsidR="001B604D" w:rsidRPr="007B75FD" w:rsidRDefault="001B604D" w:rsidP="00357A9C">
      <w:pPr>
        <w:pStyle w:val="Prrafodelista"/>
        <w:widowControl w:val="0"/>
        <w:numPr>
          <w:ilvl w:val="0"/>
          <w:numId w:val="25"/>
        </w:numPr>
        <w:spacing w:line="360" w:lineRule="auto"/>
        <w:ind w:left="0" w:right="49" w:firstLine="0"/>
        <w:jc w:val="both"/>
        <w:rPr>
          <w:rFonts w:ascii="Palatino Linotype" w:hAnsi="Palatino Linotype"/>
          <w:b/>
          <w:bCs/>
          <w:color w:val="000000" w:themeColor="text1"/>
        </w:rPr>
      </w:pPr>
      <w:r w:rsidRPr="007B75FD">
        <w:rPr>
          <w:rFonts w:ascii="Palatino Linotype" w:hAnsi="Palatino Linotype"/>
          <w:b/>
          <w:bCs/>
          <w:color w:val="000000" w:themeColor="text1"/>
        </w:rPr>
        <w:t>Entidades Fiscalizables:</w:t>
      </w:r>
      <w:r w:rsidRPr="007B75FD">
        <w:rPr>
          <w:rFonts w:ascii="Palatino Linotype" w:hAnsi="Palatino Linotype"/>
          <w:color w:val="000000" w:themeColor="text1"/>
        </w:rPr>
        <w:t xml:space="preserve"> Los poderes públicos, municipios, organismos autónomos, organismos auxiliares, fideicomisos públicos asimilados y simples, privados y, en general, cualquier entidad, persona física o jurídica colectiva, pública o privada, mandato, fondo u otra figura análoga que haya captado, recaudado, administrado, manejado, ejercido, cobrado o recibido en pago directo o indirectamente recursos públicos del estado o municipios, o en su caso de la federación.</w:t>
      </w:r>
    </w:p>
    <w:p w:rsidR="001B604D" w:rsidRPr="007B75FD" w:rsidRDefault="001B604D" w:rsidP="00357A9C">
      <w:pPr>
        <w:pStyle w:val="Prrafodelista"/>
        <w:numPr>
          <w:ilvl w:val="0"/>
          <w:numId w:val="25"/>
        </w:numPr>
        <w:spacing w:line="360" w:lineRule="auto"/>
        <w:ind w:left="0" w:right="49" w:firstLine="0"/>
        <w:jc w:val="both"/>
        <w:rPr>
          <w:rFonts w:ascii="Palatino Linotype" w:hAnsi="Palatino Linotype"/>
          <w:b/>
          <w:bCs/>
          <w:color w:val="000000" w:themeColor="text1"/>
        </w:rPr>
      </w:pPr>
      <w:r w:rsidRPr="007B75FD">
        <w:rPr>
          <w:rFonts w:ascii="Palatino Linotype" w:hAnsi="Palatino Linotype"/>
          <w:b/>
          <w:bCs/>
          <w:color w:val="000000" w:themeColor="text1"/>
        </w:rPr>
        <w:t xml:space="preserve">Etapa de Resultados Finales: </w:t>
      </w:r>
      <w:r w:rsidRPr="007B75FD">
        <w:rPr>
          <w:rFonts w:ascii="Palatino Linotype" w:hAnsi="Palatino Linotype"/>
          <w:color w:val="000000" w:themeColor="text1"/>
        </w:rPr>
        <w:t>Periodo de presentación de los resultados (hallazgos), observaciones y las recomendaciones, que incluye el desahogo del acto protocolario, previa convocatoria. En dicho acto se realiza la entrega de los resultados finales mediante oficio y se declara la conclusión de los trabajos de auditoría.</w:t>
      </w:r>
    </w:p>
    <w:p w:rsidR="001B604D" w:rsidRPr="007B75FD" w:rsidRDefault="001B604D" w:rsidP="00357A9C">
      <w:pPr>
        <w:pStyle w:val="Prrafodelista"/>
        <w:numPr>
          <w:ilvl w:val="0"/>
          <w:numId w:val="25"/>
        </w:numPr>
        <w:spacing w:line="360" w:lineRule="auto"/>
        <w:ind w:left="0" w:right="49" w:firstLine="0"/>
        <w:jc w:val="both"/>
        <w:rPr>
          <w:rFonts w:ascii="Palatino Linotype" w:hAnsi="Palatino Linotype"/>
          <w:b/>
          <w:bCs/>
          <w:color w:val="000000" w:themeColor="text1"/>
        </w:rPr>
      </w:pPr>
      <w:r w:rsidRPr="007B75FD">
        <w:rPr>
          <w:rFonts w:ascii="Palatino Linotype" w:hAnsi="Palatino Linotype"/>
          <w:b/>
          <w:bCs/>
          <w:color w:val="000000" w:themeColor="text1"/>
        </w:rPr>
        <w:t xml:space="preserve">Informes de Auditoría: </w:t>
      </w:r>
      <w:r w:rsidRPr="007B75FD">
        <w:rPr>
          <w:rFonts w:ascii="Palatino Linotype" w:hAnsi="Palatino Linotype"/>
          <w:color w:val="000000" w:themeColor="text1"/>
        </w:rPr>
        <w:t>Documentos individuales que se derivan de las funciones de fiscalización, de carácter público, para comunicar los resultados obtenidos.</w:t>
      </w:r>
    </w:p>
    <w:p w:rsidR="001B604D" w:rsidRPr="007B75FD" w:rsidRDefault="001B604D" w:rsidP="007B75FD">
      <w:pPr>
        <w:widowControl w:val="0"/>
        <w:spacing w:line="360" w:lineRule="auto"/>
        <w:ind w:right="49"/>
        <w:jc w:val="both"/>
        <w:rPr>
          <w:rFonts w:ascii="Palatino Linotype" w:hAnsi="Palatino Linotype"/>
          <w:color w:val="000000" w:themeColor="text1"/>
        </w:rPr>
      </w:pPr>
    </w:p>
    <w:p w:rsidR="001B604D" w:rsidRPr="007B75FD" w:rsidRDefault="001B604D" w:rsidP="007B75FD">
      <w:pPr>
        <w:numPr>
          <w:ilvl w:val="0"/>
          <w:numId w:val="1"/>
        </w:numPr>
        <w:spacing w:line="360" w:lineRule="auto"/>
        <w:ind w:left="0" w:right="49" w:firstLine="0"/>
        <w:jc w:val="both"/>
        <w:rPr>
          <w:rFonts w:ascii="Palatino Linotype" w:hAnsi="Palatino Linotype"/>
          <w:color w:val="000000" w:themeColor="text1"/>
        </w:rPr>
      </w:pPr>
      <w:r w:rsidRPr="007B75FD">
        <w:rPr>
          <w:rFonts w:ascii="Palatino Linotype" w:hAnsi="Palatino Linotype"/>
          <w:color w:val="000000" w:themeColor="text1"/>
        </w:rPr>
        <w:t xml:space="preserve">En ese orden de ideas, los artículos 4º y 8º de la Ley de Fiscalización Superior del Estado de </w:t>
      </w:r>
      <w:r w:rsidRPr="007B75FD">
        <w:rPr>
          <w:rFonts w:ascii="Palatino Linotype" w:eastAsia="Palatino Linotype" w:hAnsi="Palatino Linotype" w:cs="Palatino Linotype"/>
          <w:bCs/>
          <w:color w:val="000000" w:themeColor="text1"/>
        </w:rPr>
        <w:t>México</w:t>
      </w:r>
      <w:r w:rsidRPr="007B75FD">
        <w:rPr>
          <w:rFonts w:ascii="Palatino Linotype" w:hAnsi="Palatino Linotype"/>
          <w:color w:val="000000" w:themeColor="text1"/>
        </w:rPr>
        <w:t>, precisa que el Órgano Superior de Fiscalización del Estado de México, precisan lo siguiente:</w:t>
      </w:r>
    </w:p>
    <w:p w:rsidR="001B604D" w:rsidRPr="007B75FD" w:rsidRDefault="001B604D" w:rsidP="00357A9C">
      <w:pPr>
        <w:pStyle w:val="Prrafodelista"/>
        <w:widowControl w:val="0"/>
        <w:numPr>
          <w:ilvl w:val="0"/>
          <w:numId w:val="26"/>
        </w:numPr>
        <w:spacing w:line="360" w:lineRule="auto"/>
        <w:ind w:left="0" w:right="49" w:firstLine="0"/>
        <w:jc w:val="both"/>
        <w:rPr>
          <w:rFonts w:ascii="Palatino Linotype" w:hAnsi="Palatino Linotype"/>
          <w:color w:val="000000" w:themeColor="text1"/>
        </w:rPr>
      </w:pPr>
      <w:r w:rsidRPr="007B75FD">
        <w:rPr>
          <w:rFonts w:ascii="Palatino Linotype" w:hAnsi="Palatino Linotype"/>
          <w:color w:val="000000" w:themeColor="text1"/>
        </w:rPr>
        <w:t>Son sujetos de fiscalización, entre otros los Municipio del Estado de México.</w:t>
      </w:r>
    </w:p>
    <w:p w:rsidR="001B604D" w:rsidRPr="007B75FD" w:rsidRDefault="001B604D" w:rsidP="00357A9C">
      <w:pPr>
        <w:pStyle w:val="Prrafodelista"/>
        <w:widowControl w:val="0"/>
        <w:numPr>
          <w:ilvl w:val="0"/>
          <w:numId w:val="26"/>
        </w:numPr>
        <w:spacing w:line="360" w:lineRule="auto"/>
        <w:ind w:left="0" w:right="49" w:firstLine="0"/>
        <w:jc w:val="both"/>
        <w:rPr>
          <w:rFonts w:ascii="Palatino Linotype" w:hAnsi="Palatino Linotype"/>
          <w:color w:val="000000" w:themeColor="text1"/>
        </w:rPr>
      </w:pPr>
      <w:r w:rsidRPr="007B75FD">
        <w:rPr>
          <w:rFonts w:ascii="Palatino Linotype" w:hAnsi="Palatino Linotype"/>
          <w:color w:val="000000" w:themeColor="text1"/>
        </w:rPr>
        <w:t xml:space="preserve">El Órgano Superior de Fiscalización será el encargado de fiscalizar en todo momento, respecto del año inmediato anterior, los ingresos y egresos de las entidades fiscalizables a </w:t>
      </w:r>
      <w:r w:rsidRPr="007B75FD">
        <w:rPr>
          <w:rFonts w:ascii="Palatino Linotype" w:hAnsi="Palatino Linotype"/>
          <w:color w:val="000000" w:themeColor="text1"/>
        </w:rPr>
        <w:lastRenderedPageBreak/>
        <w:t>efecto de comprobar que su recaudación, administración, desempeño, niveles de deuda y aplicación se apegue a las disposiciones legales, administrativas, presupuestales, financieras y de planeación aplicables; y del ejercicio, la custodia y aplicación de los recursos estatales y municipales, así como los recursos federales, en términos de los convenios correspondientes; así como, realizar las auditorías y revisiones establecidas en el programa anual de auditorías.</w:t>
      </w:r>
    </w:p>
    <w:p w:rsidR="001B604D" w:rsidRPr="007B75FD" w:rsidRDefault="001B604D" w:rsidP="007B75FD">
      <w:pPr>
        <w:widowControl w:val="0"/>
        <w:spacing w:line="360" w:lineRule="auto"/>
        <w:ind w:right="49"/>
        <w:jc w:val="both"/>
        <w:rPr>
          <w:rFonts w:ascii="Palatino Linotype" w:hAnsi="Palatino Linotype"/>
          <w:color w:val="000000" w:themeColor="text1"/>
        </w:rPr>
      </w:pPr>
    </w:p>
    <w:p w:rsidR="001B604D" w:rsidRDefault="001B604D" w:rsidP="007B75FD">
      <w:pPr>
        <w:numPr>
          <w:ilvl w:val="0"/>
          <w:numId w:val="1"/>
        </w:numPr>
        <w:spacing w:line="360" w:lineRule="auto"/>
        <w:ind w:left="0" w:right="49" w:firstLine="0"/>
        <w:jc w:val="both"/>
        <w:rPr>
          <w:rFonts w:ascii="Palatino Linotype" w:hAnsi="Palatino Linotype"/>
          <w:color w:val="000000" w:themeColor="text1"/>
        </w:rPr>
      </w:pPr>
      <w:r w:rsidRPr="007B75FD">
        <w:rPr>
          <w:rFonts w:ascii="Palatino Linotype" w:hAnsi="Palatino Linotype"/>
          <w:color w:val="000000" w:themeColor="text1"/>
        </w:rPr>
        <w:t>Conforme a lo anterior, se logra vislumbrar que, dentro del Estado de México, existe el Órgano Superior de Fiscalización del Estado de México, que se encarga de realizar los actos de fiscalización, entre los cuales se encuentran las auditorías, a los sujetos fiscalizables, incluyendo a los Municipios.</w:t>
      </w:r>
    </w:p>
    <w:p w:rsidR="007B75FD" w:rsidRPr="007B75FD" w:rsidRDefault="007B75FD" w:rsidP="007B75FD">
      <w:pPr>
        <w:spacing w:line="360" w:lineRule="auto"/>
        <w:ind w:right="49"/>
        <w:jc w:val="both"/>
        <w:rPr>
          <w:rFonts w:ascii="Palatino Linotype" w:hAnsi="Palatino Linotype"/>
          <w:color w:val="000000" w:themeColor="text1"/>
        </w:rPr>
      </w:pPr>
    </w:p>
    <w:p w:rsidR="001B604D" w:rsidRPr="007B75FD" w:rsidRDefault="001B604D" w:rsidP="007B75FD">
      <w:pPr>
        <w:numPr>
          <w:ilvl w:val="0"/>
          <w:numId w:val="1"/>
        </w:numPr>
        <w:spacing w:line="360" w:lineRule="auto"/>
        <w:ind w:left="0" w:right="49" w:firstLine="0"/>
        <w:jc w:val="both"/>
        <w:rPr>
          <w:rFonts w:ascii="Palatino Linotype" w:hAnsi="Palatino Linotype"/>
          <w:color w:val="000000" w:themeColor="text1"/>
        </w:rPr>
      </w:pPr>
      <w:r w:rsidRPr="007B75FD">
        <w:rPr>
          <w:rFonts w:ascii="Palatino Linotype" w:hAnsi="Palatino Linotype"/>
          <w:color w:val="000000" w:themeColor="text1"/>
        </w:rPr>
        <w:t>En ese orden de ideas, el artículo 2º, fracción XIII, de la Ley de Fiscalización del Estado de México, precisa que el Informe de Auditoría es el documento técnico mediante el cual se presentan los datos que identificar los resultados finales obtenidos con las observaciones determinadas en la auditoría a la entidad fiscalizada; lo cual, toma relevancia pues conforme al artículo 53 Bis de dicha normatividad, el Ente Fiscalizador contará con treinta días hábiles a efecto de notificar a las entidades fiscalizables el informe de auditoría.</w:t>
      </w:r>
    </w:p>
    <w:p w:rsidR="001B604D" w:rsidRPr="007B75FD" w:rsidRDefault="001B604D" w:rsidP="007B75FD">
      <w:pPr>
        <w:widowControl w:val="0"/>
        <w:spacing w:line="360" w:lineRule="auto"/>
        <w:ind w:right="49"/>
        <w:jc w:val="both"/>
        <w:rPr>
          <w:rFonts w:ascii="Palatino Linotype" w:hAnsi="Palatino Linotype"/>
          <w:color w:val="000000" w:themeColor="text1"/>
        </w:rPr>
      </w:pPr>
    </w:p>
    <w:p w:rsidR="001B604D" w:rsidRPr="007B75FD" w:rsidRDefault="001B604D" w:rsidP="007B75FD">
      <w:pPr>
        <w:widowControl w:val="0"/>
        <w:numPr>
          <w:ilvl w:val="0"/>
          <w:numId w:val="1"/>
        </w:numPr>
        <w:spacing w:line="360" w:lineRule="auto"/>
        <w:ind w:left="0" w:right="49" w:firstLine="0"/>
        <w:jc w:val="both"/>
        <w:rPr>
          <w:rFonts w:ascii="Palatino Linotype" w:hAnsi="Palatino Linotype"/>
          <w:color w:val="000000" w:themeColor="text1"/>
        </w:rPr>
      </w:pPr>
      <w:r w:rsidRPr="007B75FD">
        <w:rPr>
          <w:rFonts w:ascii="Palatino Linotype" w:hAnsi="Palatino Linotype"/>
          <w:color w:val="000000" w:themeColor="text1"/>
        </w:rPr>
        <w:t xml:space="preserve">De tal suerte, que el Órgano Superior de Fiscalización del Estado de México planea y ejecuta Auditorías a los municipios, cuyo resultado final es notificado a dichos entes fiscalizables, mediante el Informe de Auditoría; por lo que, es de señalar que los Particulares no son peritos en la materia y no se encuentran constreñidos a conocer el nombre exacto de los documentos que se emiten durante un proceso de fiscalización, por lo que, en el presente caso, quiere acceder aquel que contenga los resultados finales, que se traduce al Informe de </w:t>
      </w:r>
      <w:r w:rsidRPr="007B75FD">
        <w:rPr>
          <w:rFonts w:ascii="Palatino Linotype" w:hAnsi="Palatino Linotype"/>
          <w:color w:val="000000" w:themeColor="text1"/>
        </w:rPr>
        <w:lastRenderedPageBreak/>
        <w:t>Auditoría.</w:t>
      </w:r>
    </w:p>
    <w:p w:rsidR="000578CC" w:rsidRPr="007B75FD" w:rsidRDefault="000578CC" w:rsidP="007B75FD">
      <w:pPr>
        <w:pStyle w:val="Prrafodelista"/>
        <w:ind w:left="0" w:right="49"/>
        <w:rPr>
          <w:rFonts w:ascii="Palatino Linotype" w:hAnsi="Palatino Linotype"/>
          <w:color w:val="000000" w:themeColor="text1"/>
        </w:rPr>
      </w:pPr>
    </w:p>
    <w:p w:rsidR="000578CC" w:rsidRPr="007B75FD" w:rsidRDefault="000578CC" w:rsidP="007B75FD">
      <w:pPr>
        <w:widowControl w:val="0"/>
        <w:numPr>
          <w:ilvl w:val="0"/>
          <w:numId w:val="1"/>
        </w:numPr>
        <w:spacing w:line="360" w:lineRule="auto"/>
        <w:ind w:left="0" w:right="49" w:firstLine="0"/>
        <w:jc w:val="both"/>
        <w:rPr>
          <w:rFonts w:ascii="Palatino Linotype" w:hAnsi="Palatino Linotype"/>
          <w:color w:val="000000" w:themeColor="text1"/>
        </w:rPr>
      </w:pPr>
      <w:r w:rsidRPr="007B75FD">
        <w:rPr>
          <w:rFonts w:ascii="Palatino Linotype" w:hAnsi="Palatino Linotype"/>
          <w:color w:val="000000" w:themeColor="text1"/>
        </w:rPr>
        <w:t>Ahora bien, de la respuesta emitida se advierte que es emitida por el servidor público habilitado competente, como lo es el de la Contraloría Municipal. Lo anterior resulta así; toda vez que del artículo 12 del Manual de Organización del Órgano Interno de Control Municipal, establece lo siguiente:</w:t>
      </w:r>
    </w:p>
    <w:p w:rsidR="000578CC" w:rsidRPr="007B75FD" w:rsidRDefault="000578CC" w:rsidP="007B75FD">
      <w:pPr>
        <w:pStyle w:val="Prrafodelista"/>
        <w:spacing w:line="360" w:lineRule="auto"/>
        <w:ind w:left="0" w:right="49"/>
        <w:rPr>
          <w:rFonts w:ascii="Palatino Linotype" w:hAnsi="Palatino Linotype"/>
          <w:i/>
          <w:color w:val="000000" w:themeColor="text1"/>
        </w:rPr>
      </w:pPr>
      <w:r w:rsidRPr="007B75FD">
        <w:rPr>
          <w:rFonts w:ascii="Palatino Linotype" w:hAnsi="Palatino Linotype"/>
          <w:i/>
          <w:color w:val="000000" w:themeColor="text1"/>
        </w:rPr>
        <w:t xml:space="preserve">"Artículo 112. El Órgano Interno de Control Municipal, tendrá a su cargo las funciones siguientes: </w:t>
      </w:r>
    </w:p>
    <w:p w:rsidR="000578CC" w:rsidRPr="007B75FD" w:rsidRDefault="000578CC" w:rsidP="007B75FD">
      <w:pPr>
        <w:pStyle w:val="Prrafodelista"/>
        <w:spacing w:line="360" w:lineRule="auto"/>
        <w:ind w:left="0" w:right="49"/>
        <w:rPr>
          <w:rFonts w:ascii="Palatino Linotype" w:hAnsi="Palatino Linotype"/>
          <w:i/>
          <w:color w:val="000000" w:themeColor="text1"/>
        </w:rPr>
      </w:pPr>
      <w:r w:rsidRPr="007B75FD">
        <w:rPr>
          <w:rFonts w:ascii="Palatino Linotype" w:hAnsi="Palatino Linotype"/>
          <w:i/>
          <w:color w:val="000000" w:themeColor="text1"/>
        </w:rPr>
        <w:t>…</w:t>
      </w:r>
    </w:p>
    <w:p w:rsidR="000578CC" w:rsidRPr="007B75FD" w:rsidRDefault="000578CC" w:rsidP="007B75FD">
      <w:pPr>
        <w:pStyle w:val="Prrafodelista"/>
        <w:spacing w:line="360" w:lineRule="auto"/>
        <w:ind w:left="0" w:right="49"/>
        <w:rPr>
          <w:rFonts w:ascii="Palatino Linotype" w:hAnsi="Palatino Linotype"/>
          <w:i/>
          <w:color w:val="000000" w:themeColor="text1"/>
        </w:rPr>
      </w:pPr>
      <w:r w:rsidRPr="007B75FD">
        <w:rPr>
          <w:rFonts w:ascii="Palatino Linotype" w:hAnsi="Palatino Linotype"/>
          <w:i/>
          <w:color w:val="000000" w:themeColor="text1"/>
        </w:rPr>
        <w:t>VIII. Coordinarse con el Órgano Superior de Fiscalización del Estado de México y la Contraloría del Poder Legislativo y con la Secretaría de la Contraloría del Estado para el cumplimiento de sus funciones;</w:t>
      </w:r>
    </w:p>
    <w:p w:rsidR="000578CC" w:rsidRPr="007B75FD" w:rsidRDefault="000578CC" w:rsidP="007B75FD">
      <w:pPr>
        <w:pStyle w:val="Prrafodelista"/>
        <w:spacing w:line="360" w:lineRule="auto"/>
        <w:ind w:left="0" w:right="49"/>
        <w:rPr>
          <w:rFonts w:ascii="Palatino Linotype" w:hAnsi="Palatino Linotype"/>
          <w:i/>
          <w:color w:val="000000" w:themeColor="text1"/>
        </w:rPr>
      </w:pPr>
      <w:r w:rsidRPr="007B75FD">
        <w:rPr>
          <w:rFonts w:ascii="Palatino Linotype" w:hAnsi="Palatino Linotype"/>
          <w:i/>
          <w:color w:val="000000" w:themeColor="text1"/>
        </w:rPr>
        <w:t>…</w:t>
      </w:r>
    </w:p>
    <w:p w:rsidR="000578CC" w:rsidRPr="007B75FD" w:rsidRDefault="000578CC" w:rsidP="007B75FD">
      <w:pPr>
        <w:pStyle w:val="Prrafodelista"/>
        <w:spacing w:line="360" w:lineRule="auto"/>
        <w:ind w:left="0" w:right="49"/>
        <w:rPr>
          <w:rFonts w:ascii="Palatino Linotype" w:hAnsi="Palatino Linotype"/>
          <w:i/>
          <w:color w:val="000000" w:themeColor="text1"/>
        </w:rPr>
      </w:pPr>
      <w:r w:rsidRPr="007B75FD">
        <w:rPr>
          <w:rFonts w:ascii="Palatino Linotype" w:hAnsi="Palatino Linotype"/>
          <w:i/>
          <w:color w:val="000000" w:themeColor="text1"/>
        </w:rPr>
        <w:t xml:space="preserve">XI. Realizar auditorías y evaluaciones e informar del resultado de las mismas al ayuntamiento;  </w:t>
      </w:r>
    </w:p>
    <w:p w:rsidR="000578CC" w:rsidRPr="007B75FD" w:rsidRDefault="000578CC" w:rsidP="007B75FD">
      <w:pPr>
        <w:pStyle w:val="Prrafodelista"/>
        <w:spacing w:line="360" w:lineRule="auto"/>
        <w:ind w:left="0" w:right="49"/>
        <w:rPr>
          <w:rFonts w:ascii="Palatino Linotype" w:hAnsi="Palatino Linotype"/>
          <w:i/>
          <w:color w:val="000000" w:themeColor="text1"/>
        </w:rPr>
      </w:pPr>
      <w:r w:rsidRPr="007B75FD">
        <w:rPr>
          <w:rFonts w:ascii="Palatino Linotype" w:hAnsi="Palatino Linotype"/>
          <w:i/>
          <w:color w:val="000000" w:themeColor="text1"/>
        </w:rPr>
        <w:t>…"</w:t>
      </w:r>
    </w:p>
    <w:p w:rsidR="00AF15AF" w:rsidRPr="007B75FD" w:rsidRDefault="00AF15AF" w:rsidP="007B75FD">
      <w:pPr>
        <w:pStyle w:val="Prrafodelista"/>
        <w:spacing w:line="360" w:lineRule="auto"/>
        <w:ind w:left="0" w:right="49"/>
        <w:rPr>
          <w:rFonts w:ascii="Palatino Linotype" w:hAnsi="Palatino Linotype"/>
          <w:color w:val="000000" w:themeColor="text1"/>
        </w:rPr>
      </w:pPr>
    </w:p>
    <w:p w:rsidR="000578CC" w:rsidRPr="007B75FD" w:rsidRDefault="00AF15AF" w:rsidP="007B75FD">
      <w:pPr>
        <w:widowControl w:val="0"/>
        <w:numPr>
          <w:ilvl w:val="0"/>
          <w:numId w:val="1"/>
        </w:numPr>
        <w:spacing w:line="360" w:lineRule="auto"/>
        <w:ind w:left="0" w:right="49" w:firstLine="0"/>
        <w:jc w:val="both"/>
        <w:rPr>
          <w:rFonts w:ascii="Palatino Linotype" w:eastAsia="Palatino Linotype" w:hAnsi="Palatino Linotype" w:cs="Palatino Linotype"/>
          <w:bCs/>
          <w:color w:val="000000" w:themeColor="text1"/>
        </w:rPr>
      </w:pPr>
      <w:r w:rsidRPr="007B75FD">
        <w:rPr>
          <w:rFonts w:ascii="Palatino Linotype" w:hAnsi="Palatino Linotype"/>
          <w:color w:val="000000" w:themeColor="text1"/>
        </w:rPr>
        <w:t xml:space="preserve">Luego entonces, </w:t>
      </w:r>
      <w:r w:rsidR="000578CC" w:rsidRPr="007B75FD">
        <w:rPr>
          <w:rFonts w:ascii="Palatino Linotype" w:hAnsi="Palatino Linotype"/>
          <w:color w:val="000000" w:themeColor="text1"/>
        </w:rPr>
        <w:t>la Contraloría Municipal dentro de sus atribuciones se encarga de coadyuvar con el Órgano Superior de Fiscalización del Estado de México, la Contraloría del Poder Legislativo y la Secretaría de la Contraloría del Estado para el</w:t>
      </w:r>
      <w:r w:rsidRPr="007B75FD">
        <w:rPr>
          <w:rFonts w:ascii="Palatino Linotype" w:hAnsi="Palatino Linotype"/>
          <w:color w:val="000000" w:themeColor="text1"/>
        </w:rPr>
        <w:t xml:space="preserve"> cumplimiento de sus funciones. De lo anterior se concluye que si bien se turnó al área competente, este emitió una respuesta deficiente al remitir enlaces con características contrarias a las dispuestas en la Ley de la materia; o bien por no adjuntar al expediente electrónico de la solicitud de información, lo requerido. Sin embargo, no pasa desapercibido que sumado a la fuente obligacional anteriormente plasmada, con la respuesta emitida, el </w:t>
      </w:r>
      <w:r w:rsidRPr="007B75FD">
        <w:rPr>
          <w:rFonts w:ascii="Palatino Linotype" w:hAnsi="Palatino Linotype"/>
          <w:b/>
          <w:color w:val="000000" w:themeColor="text1"/>
        </w:rPr>
        <w:t>SUJETO OBLIGADO</w:t>
      </w:r>
      <w:r w:rsidRPr="007B75FD">
        <w:rPr>
          <w:rFonts w:ascii="Palatino Linotype" w:hAnsi="Palatino Linotype"/>
          <w:color w:val="000000" w:themeColor="text1"/>
        </w:rPr>
        <w:t xml:space="preserve"> acepto de manera expresa, que si cuenta con lo solicitado, tan es así que informo que ya es información </w:t>
      </w:r>
      <w:r w:rsidRPr="007B75FD">
        <w:rPr>
          <w:rFonts w:ascii="Palatino Linotype" w:hAnsi="Palatino Linotype"/>
          <w:color w:val="000000" w:themeColor="text1"/>
        </w:rPr>
        <w:lastRenderedPageBreak/>
        <w:t>pública que obra en su portal de información pública de oficio, siendo procedente entregar la información solicitada.</w:t>
      </w:r>
    </w:p>
    <w:p w:rsidR="00FB07EE" w:rsidRPr="007B75FD" w:rsidRDefault="00FB07EE" w:rsidP="007B75FD">
      <w:pPr>
        <w:spacing w:line="360" w:lineRule="auto"/>
        <w:ind w:right="49"/>
        <w:jc w:val="both"/>
        <w:rPr>
          <w:rFonts w:ascii="Palatino Linotype" w:eastAsia="Calibri" w:hAnsi="Palatino Linotype" w:cs="Tahoma"/>
          <w:bCs/>
          <w:color w:val="000000" w:themeColor="text1"/>
          <w:lang w:eastAsia="en-US"/>
        </w:rPr>
      </w:pPr>
    </w:p>
    <w:p w:rsidR="00871D55" w:rsidRPr="007B75FD" w:rsidRDefault="00871D5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Con la determinación anterior, se estima quedara por colmado el derecho de acceso a </w:t>
      </w:r>
      <w:r w:rsidRPr="007B75FD">
        <w:rPr>
          <w:rFonts w:ascii="Palatino Linotype" w:hAnsi="Palatino Linotype"/>
          <w:color w:val="000000" w:themeColor="text1"/>
        </w:rPr>
        <w:t>la</w:t>
      </w:r>
      <w:r w:rsidRPr="007B75FD">
        <w:rPr>
          <w:rFonts w:ascii="Palatino Linotype" w:eastAsia="Palatino Linotype" w:hAnsi="Palatino Linotype" w:cs="Palatino Linotype"/>
          <w:color w:val="000000" w:themeColor="text1"/>
        </w:rPr>
        <w:t xml:space="preserve"> información del ahora Recurrente; toda vez que el Derecho que tutela este Órgano </w:t>
      </w:r>
      <w:r w:rsidRPr="007B75FD">
        <w:rPr>
          <w:rFonts w:ascii="Palatino Linotype" w:hAnsi="Palatino Linotype"/>
          <w:color w:val="000000" w:themeColor="text1"/>
        </w:rPr>
        <w:t>Garante</w:t>
      </w:r>
      <w:r w:rsidRPr="007B75FD">
        <w:rPr>
          <w:rFonts w:ascii="Palatino Linotype" w:eastAsia="Palatino Linotype" w:hAnsi="Palatino Linotype" w:cs="Palatino Linotype"/>
          <w:color w:val="000000" w:themeColor="text1"/>
        </w:rPr>
        <w:t xml:space="preserve"> corresponde a la  </w:t>
      </w:r>
      <w:r w:rsidRPr="007B75FD">
        <w:rPr>
          <w:rFonts w:ascii="Palatino Linotype" w:eastAsia="Palatino Linotype" w:hAnsi="Palatino Linotype" w:cs="Palatino Linotype"/>
          <w:i/>
          <w:color w:val="000000" w:themeColor="text1"/>
        </w:rPr>
        <w:t>igualdad de oportunidades para recibir, buscar e impartir información</w:t>
      </w:r>
      <w:r w:rsidRPr="007B75FD">
        <w:rPr>
          <w:rFonts w:ascii="Palatino Linotype" w:eastAsia="Palatino Linotype" w:hAnsi="Palatino Linotype" w:cs="Palatino Linotype"/>
          <w:i/>
          <w:color w:val="000000" w:themeColor="text1"/>
          <w:vertAlign w:val="superscript"/>
        </w:rPr>
        <w:footnoteReference w:id="1"/>
      </w:r>
      <w:r w:rsidRPr="007B75FD">
        <w:rPr>
          <w:rFonts w:ascii="Palatino Linotype" w:eastAsia="Palatino Linotype" w:hAnsi="Palatino Linotype" w:cs="Palatino Linotype"/>
          <w:i/>
          <w:color w:val="000000" w:themeColor="text1"/>
        </w:rPr>
        <w:t xml:space="preserve"> en posesión de cualquier autoridad, entidad, órgano y organismo de los </w:t>
      </w:r>
      <w:r w:rsidRPr="007B75FD">
        <w:rPr>
          <w:rFonts w:ascii="Palatino Linotype" w:eastAsia="Palatino Linotype" w:hAnsi="Palatino Linotype" w:cs="Palatino Linotype"/>
          <w:color w:val="000000" w:themeColor="text1"/>
        </w:rPr>
        <w:t>poderes</w:t>
      </w:r>
      <w:r w:rsidRPr="007B75FD">
        <w:rPr>
          <w:rFonts w:ascii="Palatino Linotype" w:eastAsia="Palatino Linotype" w:hAnsi="Palatino Linotype" w:cs="Palatino Linotype"/>
          <w:i/>
          <w:color w:val="000000" w:themeColor="text1"/>
        </w:rPr>
        <w:t xml:space="preserve"> Ejecutivo, Legislativo y Judicial, órganos autónomos, partidos políticos, </w:t>
      </w:r>
      <w:r w:rsidRPr="007B75FD">
        <w:rPr>
          <w:rFonts w:ascii="Palatino Linotype" w:eastAsia="Palatino Linotype" w:hAnsi="Palatino Linotype" w:cs="Palatino Linotype"/>
          <w:color w:val="000000" w:themeColor="text1"/>
        </w:rPr>
        <w:t>fideicomisos</w:t>
      </w:r>
      <w:r w:rsidRPr="007B75FD">
        <w:rPr>
          <w:rFonts w:ascii="Palatino Linotype" w:eastAsia="Palatino Linotype" w:hAnsi="Palatino Linotype" w:cs="Palatino Linotype"/>
          <w:i/>
          <w:color w:val="000000" w:themeColor="text1"/>
        </w:rPr>
        <w:t>, y fondos públicos, así como de cualquier persona física, moral o sindicato que reciba y ejerza recursos públicos o realice actos de autoridad en el ámbito federal, estatal y municipal</w:t>
      </w:r>
      <w:r w:rsidRPr="007B75FD">
        <w:rPr>
          <w:rFonts w:ascii="Palatino Linotype" w:eastAsia="Palatino Linotype" w:hAnsi="Palatino Linotype" w:cs="Palatino Linotype"/>
          <w:color w:val="000000" w:themeColor="text1"/>
          <w:vertAlign w:val="superscript"/>
        </w:rPr>
        <w:footnoteReference w:id="2"/>
      </w:r>
      <w:r w:rsidRPr="007B75FD">
        <w:rPr>
          <w:rFonts w:ascii="Palatino Linotype" w:eastAsia="Palatino Linotype" w:hAnsi="Palatino Linotype" w:cs="Palatino Linotype"/>
          <w:i/>
          <w:color w:val="000000" w:themeColor="text1"/>
        </w:rPr>
        <w:t xml:space="preserve"> </w:t>
      </w:r>
      <w:r w:rsidRPr="007B75FD">
        <w:rPr>
          <w:rFonts w:ascii="Palatino Linotype" w:eastAsia="Palatino Linotype" w:hAnsi="Palatino Linotype" w:cs="Palatino Linotype"/>
          <w:color w:val="000000" w:themeColor="text1"/>
        </w:rPr>
        <w:t xml:space="preserve">que se constituye como una herramienta fundamental para </w:t>
      </w:r>
      <w:r w:rsidRPr="007B75FD">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7B75FD">
        <w:rPr>
          <w:rFonts w:ascii="Palatino Linotype" w:eastAsia="Palatino Linotype" w:hAnsi="Palatino Linotype" w:cs="Palatino Linotype"/>
          <w:i/>
          <w:color w:val="000000" w:themeColor="text1"/>
          <w:vertAlign w:val="superscript"/>
        </w:rPr>
        <w:footnoteReference w:id="3"/>
      </w:r>
      <w:r w:rsidRPr="007B75FD">
        <w:rPr>
          <w:rFonts w:ascii="Palatino Linotype" w:eastAsia="Palatino Linotype" w:hAnsi="Palatino Linotype" w:cs="Palatino Linotype"/>
          <w:color w:val="000000" w:themeColor="text1"/>
        </w:rPr>
        <w:t>fomentando</w:t>
      </w:r>
      <w:r w:rsidRPr="007B75FD">
        <w:rPr>
          <w:rFonts w:ascii="Palatino Linotype" w:eastAsia="Palatino Linotype" w:hAnsi="Palatino Linotype" w:cs="Palatino Linotype"/>
          <w:i/>
          <w:color w:val="000000" w:themeColor="text1"/>
        </w:rPr>
        <w:t xml:space="preserve"> la transparencia de las actividades estatales y</w:t>
      </w:r>
      <w:r w:rsidRPr="007B75FD">
        <w:rPr>
          <w:rFonts w:ascii="Palatino Linotype" w:eastAsia="Palatino Linotype" w:hAnsi="Palatino Linotype" w:cs="Palatino Linotype"/>
          <w:color w:val="000000" w:themeColor="text1"/>
        </w:rPr>
        <w:t xml:space="preserve"> promoviendo</w:t>
      </w:r>
      <w:r w:rsidRPr="007B75FD">
        <w:rPr>
          <w:rFonts w:ascii="Palatino Linotype" w:eastAsia="Palatino Linotype" w:hAnsi="Palatino Linotype" w:cs="Palatino Linotype"/>
          <w:i/>
          <w:color w:val="000000" w:themeColor="text1"/>
        </w:rPr>
        <w:t xml:space="preserve"> la responsabilidad de los funcionarios sobre su gestión pública</w:t>
      </w:r>
      <w:r w:rsidRPr="007B75FD">
        <w:rPr>
          <w:rFonts w:ascii="Palatino Linotype" w:eastAsia="Palatino Linotype" w:hAnsi="Palatino Linotype" w:cs="Palatino Linotype"/>
          <w:i/>
          <w:color w:val="000000" w:themeColor="text1"/>
          <w:vertAlign w:val="superscript"/>
        </w:rPr>
        <w:footnoteReference w:id="4"/>
      </w:r>
      <w:r w:rsidRPr="007B75FD">
        <w:rPr>
          <w:rFonts w:ascii="Palatino Linotype" w:eastAsia="Palatino Linotype" w:hAnsi="Palatino Linotype" w:cs="Palatino Linotype"/>
          <w:i/>
          <w:color w:val="000000" w:themeColor="text1"/>
        </w:rPr>
        <w:t xml:space="preserve"> </w:t>
      </w:r>
      <w:r w:rsidRPr="007B75FD">
        <w:rPr>
          <w:rFonts w:ascii="Palatino Linotype" w:eastAsia="Palatino Linotype" w:hAnsi="Palatino Linotype" w:cs="Palatino Linotype"/>
          <w:color w:val="000000" w:themeColor="text1"/>
        </w:rPr>
        <w:t>que permite</w:t>
      </w:r>
      <w:r w:rsidRPr="007B75F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7B75FD">
        <w:rPr>
          <w:rFonts w:ascii="Palatino Linotype" w:eastAsia="Palatino Linotype" w:hAnsi="Palatino Linotype" w:cs="Palatino Linotype"/>
          <w:i/>
          <w:color w:val="000000" w:themeColor="text1"/>
          <w:vertAlign w:val="superscript"/>
        </w:rPr>
        <w:footnoteReference w:id="5"/>
      </w:r>
      <w:r w:rsidRPr="007B75FD">
        <w:rPr>
          <w:rFonts w:ascii="Palatino Linotype" w:eastAsia="Palatino Linotype" w:hAnsi="Palatino Linotype" w:cs="Palatino Linotype"/>
          <w:color w:val="000000" w:themeColor="text1"/>
        </w:rPr>
        <w:t xml:space="preserve"> ” </w:t>
      </w:r>
    </w:p>
    <w:p w:rsidR="000C1666" w:rsidRPr="007B75FD" w:rsidRDefault="000C1666" w:rsidP="007B75FD">
      <w:pPr>
        <w:pStyle w:val="Sinespaciado"/>
        <w:spacing w:line="360" w:lineRule="auto"/>
        <w:ind w:right="49"/>
        <w:jc w:val="both"/>
        <w:rPr>
          <w:rFonts w:ascii="Palatino Linotype" w:eastAsia="Palatino Linotype" w:hAnsi="Palatino Linotype" w:cs="Palatino Linotype"/>
          <w:color w:val="000000" w:themeColor="text1"/>
        </w:rPr>
      </w:pPr>
    </w:p>
    <w:p w:rsidR="00871D55" w:rsidRPr="007B75FD" w:rsidRDefault="00871D5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en el orden administrativo número 0002-11, emitido por Acuerdo </w:t>
      </w:r>
      <w:r w:rsidRPr="007B75FD">
        <w:rPr>
          <w:rFonts w:ascii="Palatino Linotype" w:eastAsia="Palatino Linotype" w:hAnsi="Palatino Linotype" w:cs="Palatino Linotype"/>
          <w:color w:val="000000" w:themeColor="text1"/>
        </w:rPr>
        <w:lastRenderedPageBreak/>
        <w:t>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71D55" w:rsidRPr="007B75FD" w:rsidRDefault="00871D55" w:rsidP="007B75FD">
      <w:pPr>
        <w:spacing w:line="360" w:lineRule="auto"/>
        <w:ind w:right="49"/>
        <w:jc w:val="both"/>
        <w:rPr>
          <w:rFonts w:ascii="Palatino Linotype" w:eastAsia="Palatino Linotype" w:hAnsi="Palatino Linotype" w:cs="Palatino Linotype"/>
          <w:b/>
          <w:i/>
          <w:color w:val="000000" w:themeColor="text1"/>
        </w:rPr>
      </w:pPr>
      <w:r w:rsidRPr="007B75FD">
        <w:rPr>
          <w:rFonts w:ascii="Palatino Linotype" w:eastAsia="Palatino Linotype" w:hAnsi="Palatino Linotype" w:cs="Palatino Linotype"/>
          <w:b/>
          <w:i/>
          <w:color w:val="000000" w:themeColor="text1"/>
        </w:rPr>
        <w:t>“CRITERIO 0002-11</w:t>
      </w:r>
    </w:p>
    <w:p w:rsidR="00871D55" w:rsidRPr="007B75FD" w:rsidRDefault="00871D5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7B75FD">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71D55" w:rsidRPr="007B75FD" w:rsidRDefault="00871D5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71D55" w:rsidRPr="007B75FD" w:rsidRDefault="00871D5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871D55" w:rsidRPr="007B75FD" w:rsidRDefault="00871D5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871D55" w:rsidRPr="007B75FD" w:rsidRDefault="00871D5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871D55" w:rsidRPr="007B75FD" w:rsidRDefault="00871D55" w:rsidP="007B75FD">
      <w:pPr>
        <w:spacing w:line="360" w:lineRule="auto"/>
        <w:ind w:right="49"/>
        <w:jc w:val="both"/>
        <w:rPr>
          <w:rFonts w:ascii="Palatino Linotype" w:eastAsia="Palatino Linotype" w:hAnsi="Palatino Linotype" w:cs="Palatino Linotype"/>
          <w:color w:val="000000" w:themeColor="text1"/>
        </w:rPr>
      </w:pPr>
    </w:p>
    <w:p w:rsidR="00871D55" w:rsidRPr="007B75FD" w:rsidRDefault="00871D5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Es así que, todos los actos de autoridad que realicen los Sujetos Obligados </w:t>
      </w:r>
      <w:r w:rsidRPr="007B75FD">
        <w:rPr>
          <w:rFonts w:ascii="Palatino Linotype" w:eastAsia="Palatino Linotype" w:hAnsi="Palatino Linotype" w:cs="Palatino Linotype"/>
          <w:b/>
          <w:color w:val="000000" w:themeColor="text1"/>
        </w:rPr>
        <w:t xml:space="preserve">deben </w:t>
      </w:r>
      <w:r w:rsidRPr="007B75FD">
        <w:rPr>
          <w:rFonts w:ascii="Palatino Linotype" w:eastAsia="Palatino Linotype" w:hAnsi="Palatino Linotype" w:cs="Palatino Linotype"/>
          <w:color w:val="000000" w:themeColor="text1"/>
        </w:rPr>
        <w:t>estar</w:t>
      </w:r>
      <w:r w:rsidRPr="007B75FD">
        <w:rPr>
          <w:rFonts w:ascii="Palatino Linotype" w:eastAsia="Palatino Linotype" w:hAnsi="Palatino Linotype" w:cs="Palatino Linotype"/>
          <w:b/>
          <w:color w:val="000000" w:themeColor="text1"/>
        </w:rPr>
        <w:t xml:space="preserve"> </w:t>
      </w:r>
      <w:r w:rsidRPr="007B75FD">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871D55" w:rsidRPr="007B75FD" w:rsidRDefault="00871D5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lastRenderedPageBreak/>
        <w:t>Además, debemos tomar en cuenta los artículos 4 y 12 (antes transcrito), de la Ley de Transparencia y Acceso a la Información Pública del Estado de México y Municipios, los cuales establecen lo siguiente:</w:t>
      </w:r>
    </w:p>
    <w:p w:rsidR="00871D55" w:rsidRPr="007B75FD" w:rsidRDefault="00871D5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 xml:space="preserve">“Artículo 4. </w:t>
      </w:r>
      <w:r w:rsidRPr="007B75FD">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871D55" w:rsidRPr="007B75FD" w:rsidRDefault="00871D5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Toda la información</w:t>
      </w:r>
      <w:r w:rsidRPr="007B75FD">
        <w:rPr>
          <w:rFonts w:ascii="Palatino Linotype" w:eastAsia="Palatino Linotype" w:hAnsi="Palatino Linotype" w:cs="Palatino Linotype"/>
          <w:i/>
          <w:color w:val="000000" w:themeColor="text1"/>
        </w:rPr>
        <w:t xml:space="preserve"> generada, obtenida, adquirida, transformada, administrada o </w:t>
      </w:r>
      <w:r w:rsidRPr="007B75FD">
        <w:rPr>
          <w:rFonts w:ascii="Palatino Linotype" w:eastAsia="Palatino Linotype" w:hAnsi="Palatino Linotype" w:cs="Palatino Linotype"/>
          <w:b/>
          <w:i/>
          <w:color w:val="000000" w:themeColor="text1"/>
        </w:rPr>
        <w:t>en posesión de los sujetos obligados es pública</w:t>
      </w:r>
      <w:r w:rsidRPr="007B75FD">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71D55" w:rsidRPr="007B75FD" w:rsidRDefault="00871D5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71D55" w:rsidRPr="007B75FD" w:rsidRDefault="00871D55" w:rsidP="007B75FD">
      <w:pPr>
        <w:spacing w:line="360" w:lineRule="auto"/>
        <w:ind w:right="49"/>
        <w:jc w:val="both"/>
        <w:rPr>
          <w:rFonts w:ascii="Palatino Linotype" w:eastAsia="Palatino Linotype" w:hAnsi="Palatino Linotype" w:cs="Palatino Linotype"/>
          <w:color w:val="000000" w:themeColor="text1"/>
        </w:rPr>
      </w:pPr>
    </w:p>
    <w:p w:rsidR="00871D55" w:rsidRPr="007B75FD" w:rsidRDefault="00871D5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B75FD">
        <w:rPr>
          <w:rFonts w:ascii="Palatino Linotype" w:eastAsia="Palatino Linotype" w:hAnsi="Palatino Linotype" w:cs="Palatino Linotype"/>
          <w:color w:val="000000" w:themeColor="text1"/>
          <w:vertAlign w:val="superscript"/>
        </w:rPr>
        <w:footnoteReference w:id="6"/>
      </w:r>
      <w:r w:rsidRPr="007B75FD">
        <w:rPr>
          <w:rFonts w:ascii="Palatino Linotype" w:eastAsia="Palatino Linotype" w:hAnsi="Palatino Linotype" w:cs="Palatino Linotype"/>
          <w:color w:val="000000" w:themeColor="text1"/>
        </w:rPr>
        <w:t xml:space="preserve"> y máxima publicidad, </w:t>
      </w:r>
      <w:r w:rsidRPr="007B75FD">
        <w:rPr>
          <w:rFonts w:ascii="Palatino Linotype" w:eastAsia="Palatino Linotype" w:hAnsi="Palatino Linotype" w:cs="Palatino Linotype"/>
          <w:color w:val="000000" w:themeColor="text1"/>
        </w:rPr>
        <w:lastRenderedPageBreak/>
        <w:t>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871D55" w:rsidRPr="007B75FD" w:rsidRDefault="00871D55" w:rsidP="007B75FD">
      <w:pPr>
        <w:spacing w:line="360" w:lineRule="auto"/>
        <w:ind w:right="49"/>
        <w:jc w:val="both"/>
        <w:rPr>
          <w:rFonts w:ascii="Palatino Linotype" w:eastAsia="Palatino Linotype" w:hAnsi="Palatino Linotype" w:cs="Palatino Linotype"/>
          <w:color w:val="000000" w:themeColor="text1"/>
        </w:rPr>
      </w:pPr>
    </w:p>
    <w:p w:rsidR="00871D55" w:rsidRPr="007B75FD" w:rsidRDefault="00871D5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871D55" w:rsidRPr="007B75FD" w:rsidRDefault="00871D55" w:rsidP="007B75FD">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7B75FD">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w:t>
      </w:r>
      <w:r w:rsidRPr="007B75FD">
        <w:rPr>
          <w:rFonts w:ascii="Palatino Linotype" w:eastAsia="Palatino Linotype" w:hAnsi="Palatino Linotype" w:cs="Palatino Linotype"/>
          <w:i/>
          <w:color w:val="000000" w:themeColor="text1"/>
        </w:rPr>
        <w:lastRenderedPageBreak/>
        <w:t>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94544" w:rsidRPr="007B75FD" w:rsidRDefault="00194544" w:rsidP="007B75FD">
      <w:pPr>
        <w:spacing w:line="360" w:lineRule="auto"/>
        <w:ind w:right="49"/>
        <w:jc w:val="both"/>
        <w:rPr>
          <w:rFonts w:ascii="Palatino Linotype" w:eastAsia="Palatino Linotype" w:hAnsi="Palatino Linotype" w:cs="Palatino Linotype"/>
          <w:color w:val="000000" w:themeColor="text1"/>
        </w:rPr>
      </w:pPr>
    </w:p>
    <w:p w:rsidR="004E2345" w:rsidRPr="007B75FD" w:rsidRDefault="004E2345" w:rsidP="007B75FD">
      <w:pPr>
        <w:spacing w:line="360" w:lineRule="auto"/>
        <w:ind w:right="49"/>
        <w:jc w:val="both"/>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b/>
          <w:color w:val="000000" w:themeColor="text1"/>
        </w:rPr>
        <w:t>QUINTO. De la versión pública.</w:t>
      </w:r>
    </w:p>
    <w:p w:rsidR="004E2345" w:rsidRPr="007B75FD" w:rsidRDefault="004E234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Finalmente, debe señalarse que lo ordenado </w:t>
      </w:r>
      <w:r w:rsidRPr="007B75FD">
        <w:rPr>
          <w:rFonts w:ascii="Palatino Linotype" w:eastAsia="Palatino Linotype" w:hAnsi="Palatino Linotype" w:cs="Palatino Linotype"/>
          <w:color w:val="000000" w:themeColor="text1"/>
          <w:u w:val="single"/>
        </w:rPr>
        <w:t>eventualmente</w:t>
      </w:r>
      <w:r w:rsidRPr="007B75FD">
        <w:rPr>
          <w:rFonts w:ascii="Palatino Linotype" w:eastAsia="Palatino Linotype" w:hAnsi="Palatino Linotype" w:cs="Palatino Linotype"/>
          <w:color w:val="000000" w:themeColor="text1"/>
        </w:rPr>
        <w:t xml:space="preserve"> pudiera contener datos personales, por lo que de ser el caso, sujeto obligado, para dar cumplimiento a la presente Resolución, deberá proceder a la elaboración de la versión pública de tales documentos a fin de satisfacer el derecho de acceso a la información pública del recurrente sin menoscabo al derecho a la protección de los datos personales de terceros.</w:t>
      </w:r>
    </w:p>
    <w:p w:rsidR="004E2345" w:rsidRPr="007B75FD" w:rsidRDefault="004E2345" w:rsidP="007B75FD">
      <w:pPr>
        <w:pStyle w:val="Prrafodelista"/>
        <w:spacing w:line="360" w:lineRule="auto"/>
        <w:ind w:left="0" w:right="49"/>
        <w:jc w:val="both"/>
        <w:rPr>
          <w:rFonts w:ascii="Palatino Linotype" w:eastAsia="Palatino Linotype" w:hAnsi="Palatino Linotype" w:cs="Palatino Linotype"/>
          <w:color w:val="000000" w:themeColor="text1"/>
        </w:rPr>
      </w:pPr>
    </w:p>
    <w:p w:rsidR="004E2345" w:rsidRPr="007B75FD" w:rsidRDefault="004E234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w:t>
      </w:r>
      <w:r w:rsidRPr="007B75FD">
        <w:rPr>
          <w:rFonts w:ascii="Palatino Linotype" w:eastAsia="Palatino Linotype" w:hAnsi="Palatino Linotype" w:cs="Palatino Linotype"/>
          <w:b/>
          <w:i/>
          <w:color w:val="000000" w:themeColor="text1"/>
        </w:rPr>
        <w:t>Artículo 3</w:t>
      </w:r>
      <w:r w:rsidRPr="007B75FD">
        <w:rPr>
          <w:rFonts w:ascii="Palatino Linotype" w:eastAsia="Palatino Linotype" w:hAnsi="Palatino Linotype" w:cs="Palatino Linotype"/>
          <w:i/>
          <w:color w:val="000000" w:themeColor="text1"/>
        </w:rPr>
        <w:t>. Para los efectos de la presente Ley se entenderá por:</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IX. Datos personales</w:t>
      </w:r>
      <w:r w:rsidRPr="007B75FD">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XX. Información clasificada</w:t>
      </w:r>
      <w:r w:rsidRPr="007B75FD">
        <w:rPr>
          <w:rFonts w:ascii="Palatino Linotype" w:eastAsia="Palatino Linotype" w:hAnsi="Palatino Linotype" w:cs="Palatino Linotype"/>
          <w:i/>
          <w:color w:val="000000" w:themeColor="text1"/>
        </w:rPr>
        <w:t>: Aquella considerada por la presente Ley como reservada o confidencial;</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 xml:space="preserve">XXI. Información confidencial: </w:t>
      </w:r>
      <w:r w:rsidRPr="007B75FD">
        <w:rPr>
          <w:rFonts w:ascii="Palatino Linotype" w:eastAsia="Palatino Linotype" w:hAnsi="Palatino Linotype" w:cs="Palatino Linotype"/>
          <w:i/>
          <w:color w:val="000000" w:themeColor="text1"/>
        </w:rPr>
        <w:t xml:space="preserve">Se considera como información confidencial los secretos bancario, fiduciario, industrial, comercial, fiscal, bursátil y postal, cuya titularidad corresponda a particulares, </w:t>
      </w:r>
      <w:r w:rsidRPr="007B75FD">
        <w:rPr>
          <w:rFonts w:ascii="Palatino Linotype" w:eastAsia="Palatino Linotype" w:hAnsi="Palatino Linotype" w:cs="Palatino Linotype"/>
          <w:i/>
          <w:color w:val="000000" w:themeColor="text1"/>
        </w:rPr>
        <w:lastRenderedPageBreak/>
        <w:t>sujetos de derecho internacional o a sujetos obligados cuando no involucren el ejercicio de recursos públicos;</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XLV. Versión pública:</w:t>
      </w:r>
      <w:r w:rsidRPr="007B75FD">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Artículo 91.</w:t>
      </w:r>
      <w:r w:rsidRPr="007B75FD">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Artículo 132.</w:t>
      </w:r>
      <w:r w:rsidRPr="007B75FD">
        <w:rPr>
          <w:rFonts w:ascii="Palatino Linotype" w:eastAsia="Palatino Linotype" w:hAnsi="Palatino Linotype" w:cs="Palatino Linotype"/>
          <w:i/>
          <w:color w:val="000000" w:themeColor="text1"/>
        </w:rPr>
        <w:t xml:space="preserve"> La clasificación de la información se llevará a cabo en el momento en que:</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I</w:t>
      </w:r>
      <w:r w:rsidRPr="007B75FD">
        <w:rPr>
          <w:rFonts w:ascii="Palatino Linotype" w:eastAsia="Palatino Linotype" w:hAnsi="Palatino Linotype" w:cs="Palatino Linotype"/>
          <w:i/>
          <w:color w:val="000000" w:themeColor="text1"/>
        </w:rPr>
        <w:t>. Se reciba una solicitud de acceso a la información;</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II.</w:t>
      </w:r>
      <w:r w:rsidRPr="007B75FD">
        <w:rPr>
          <w:rFonts w:ascii="Palatino Linotype" w:eastAsia="Palatino Linotype" w:hAnsi="Palatino Linotype" w:cs="Palatino Linotype"/>
          <w:i/>
          <w:color w:val="000000" w:themeColor="text1"/>
        </w:rPr>
        <w:t xml:space="preserve"> Se determine mediante resolución de autoridad competente; o</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III.</w:t>
      </w:r>
      <w:r w:rsidRPr="007B75FD">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Artículo 143</w:t>
      </w:r>
      <w:r w:rsidRPr="007B75FD">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I.</w:t>
      </w:r>
      <w:r w:rsidRPr="007B75FD">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II.</w:t>
      </w:r>
      <w:r w:rsidRPr="007B75FD">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lastRenderedPageBreak/>
        <w:t>III.</w:t>
      </w:r>
      <w:r w:rsidRPr="007B75FD">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p>
    <w:p w:rsidR="004E2345" w:rsidRPr="007B75FD" w:rsidRDefault="004E234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E2345" w:rsidRPr="007B75FD" w:rsidRDefault="004E2345" w:rsidP="007B75FD">
      <w:pPr>
        <w:pStyle w:val="Prrafodelista"/>
        <w:spacing w:line="360" w:lineRule="auto"/>
        <w:ind w:left="0" w:right="49"/>
        <w:jc w:val="both"/>
        <w:rPr>
          <w:rFonts w:ascii="Palatino Linotype" w:eastAsia="Palatino Linotype" w:hAnsi="Palatino Linotype" w:cs="Palatino Linotype"/>
          <w:color w:val="000000" w:themeColor="text1"/>
        </w:rPr>
      </w:pPr>
    </w:p>
    <w:p w:rsidR="004E2345" w:rsidRPr="007B75FD" w:rsidRDefault="004E234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“Quincuagésimo sexto</w:t>
      </w:r>
      <w:r w:rsidRPr="007B75FD">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Quincuagésimo séptimo</w:t>
      </w:r>
      <w:r w:rsidRPr="007B75FD">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lastRenderedPageBreak/>
        <w:t>I.</w:t>
      </w:r>
      <w:r w:rsidRPr="007B75FD">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II.</w:t>
      </w:r>
      <w:r w:rsidRPr="007B75FD">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III.</w:t>
      </w:r>
      <w:r w:rsidRPr="007B75FD">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r w:rsidRPr="007B75FD">
        <w:rPr>
          <w:rFonts w:ascii="Palatino Linotype" w:eastAsia="Palatino Linotype" w:hAnsi="Palatino Linotype" w:cs="Palatino Linotype"/>
          <w:b/>
          <w:i/>
          <w:color w:val="000000" w:themeColor="text1"/>
        </w:rPr>
        <w:t>Quincuagésimo octavo</w:t>
      </w:r>
      <w:r w:rsidRPr="007B75FD">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4E2345" w:rsidRPr="007B75FD" w:rsidRDefault="004E2345" w:rsidP="007B75FD">
      <w:pPr>
        <w:spacing w:line="360" w:lineRule="auto"/>
        <w:ind w:right="49"/>
        <w:jc w:val="both"/>
        <w:rPr>
          <w:rFonts w:ascii="Palatino Linotype" w:eastAsia="Palatino Linotype" w:hAnsi="Palatino Linotype" w:cs="Palatino Linotype"/>
          <w:i/>
          <w:color w:val="000000" w:themeColor="text1"/>
        </w:rPr>
      </w:pPr>
    </w:p>
    <w:p w:rsidR="004E2345" w:rsidRPr="007B75FD" w:rsidRDefault="004E234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B75FD">
        <w:rPr>
          <w:rFonts w:ascii="Palatino Linotype" w:eastAsia="Palatino Linotype" w:hAnsi="Palatino Linotype" w:cs="Palatino Linotype"/>
          <w:b/>
          <w:color w:val="000000" w:themeColor="text1"/>
        </w:rPr>
        <w:t>Sujeto Obligado</w:t>
      </w:r>
      <w:r w:rsidRPr="007B75FD">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E2345" w:rsidRPr="007B75FD" w:rsidRDefault="004E2345" w:rsidP="007B75FD">
      <w:pPr>
        <w:pStyle w:val="Prrafodelista"/>
        <w:spacing w:line="360" w:lineRule="auto"/>
        <w:ind w:left="0" w:right="49"/>
        <w:jc w:val="both"/>
        <w:rPr>
          <w:rFonts w:ascii="Palatino Linotype" w:eastAsia="Palatino Linotype" w:hAnsi="Palatino Linotype" w:cs="Palatino Linotype"/>
          <w:color w:val="000000" w:themeColor="text1"/>
        </w:rPr>
      </w:pPr>
    </w:p>
    <w:p w:rsidR="004E2345" w:rsidRDefault="004E234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Luego entonces, el </w:t>
      </w:r>
      <w:r w:rsidRPr="007B75FD">
        <w:rPr>
          <w:rFonts w:ascii="Palatino Linotype" w:eastAsia="Palatino Linotype" w:hAnsi="Palatino Linotype" w:cs="Palatino Linotype"/>
          <w:b/>
          <w:color w:val="000000" w:themeColor="text1"/>
        </w:rPr>
        <w:t xml:space="preserve">SUJETOS OBLIGADOS </w:t>
      </w:r>
      <w:r w:rsidRPr="007B75FD">
        <w:rPr>
          <w:rFonts w:ascii="Palatino Linotype" w:eastAsia="Palatino Linotype" w:hAnsi="Palatino Linotype" w:cs="Palatino Linotype"/>
          <w:color w:val="000000" w:themeColor="text1"/>
        </w:rPr>
        <w:t xml:space="preserve">será responsable de los datos personales </w:t>
      </w:r>
      <w:r w:rsidRPr="007B75FD">
        <w:rPr>
          <w:rFonts w:ascii="Palatino Linotype" w:eastAsia="Palatino Linotype" w:hAnsi="Palatino Linotype" w:cs="Palatino Linotype"/>
          <w:color w:val="000000" w:themeColor="text1"/>
        </w:rPr>
        <w:lastRenderedPageBreak/>
        <w:t>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B75FD" w:rsidRPr="007B75FD" w:rsidRDefault="007B75FD" w:rsidP="007B75FD">
      <w:pPr>
        <w:widowControl w:val="0"/>
        <w:spacing w:line="360" w:lineRule="auto"/>
        <w:ind w:right="49"/>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7B75FD" w:rsidRPr="007B75FD" w:rsidTr="00357A9C">
        <w:tc>
          <w:tcPr>
            <w:tcW w:w="2689" w:type="dxa"/>
          </w:tcPr>
          <w:p w:rsidR="004E2345" w:rsidRPr="007B75FD" w:rsidRDefault="004E2345" w:rsidP="007B75FD">
            <w:pPr>
              <w:tabs>
                <w:tab w:val="left" w:pos="284"/>
              </w:tabs>
              <w:ind w:right="49"/>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a) Requisitos previos.</w:t>
            </w:r>
          </w:p>
        </w:tc>
        <w:tc>
          <w:tcPr>
            <w:tcW w:w="7087" w:type="dxa"/>
          </w:tcPr>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7B75FD">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7B75FD">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p>
        </w:tc>
      </w:tr>
      <w:tr w:rsidR="007B75FD" w:rsidRPr="007B75FD" w:rsidTr="00357A9C">
        <w:tc>
          <w:tcPr>
            <w:tcW w:w="2689" w:type="dxa"/>
          </w:tcPr>
          <w:p w:rsidR="004E2345" w:rsidRPr="007B75FD" w:rsidRDefault="004E2345" w:rsidP="007B75FD">
            <w:pPr>
              <w:tabs>
                <w:tab w:val="left" w:pos="284"/>
              </w:tabs>
              <w:ind w:right="49"/>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b) Supuestos de clasificación.</w:t>
            </w:r>
          </w:p>
        </w:tc>
        <w:tc>
          <w:tcPr>
            <w:tcW w:w="7087" w:type="dxa"/>
          </w:tcPr>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7B75FD">
              <w:rPr>
                <w:rFonts w:ascii="Palatino Linotype" w:eastAsia="Palatino Linotype" w:hAnsi="Palatino Linotype" w:cs="Palatino Linotype"/>
                <w:color w:val="000000" w:themeColor="text1"/>
              </w:rPr>
              <w:lastRenderedPageBreak/>
              <w:t>acreditarse que se cumple con esta condición y no se pueden ampliar las excepciones o supuestos de clasificación aduciendo analogía o mayoría de razón.</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El </w:t>
            </w:r>
            <w:r w:rsidRPr="007B75FD">
              <w:rPr>
                <w:rFonts w:ascii="Palatino Linotype" w:eastAsia="Palatino Linotype" w:hAnsi="Palatino Linotype" w:cs="Palatino Linotype"/>
                <w:b/>
                <w:color w:val="000000" w:themeColor="text1"/>
              </w:rPr>
              <w:t>Sujeto Obligado</w:t>
            </w:r>
            <w:r w:rsidRPr="007B75F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p>
        </w:tc>
      </w:tr>
      <w:tr w:rsidR="007B75FD" w:rsidRPr="007B75FD" w:rsidTr="00357A9C">
        <w:tc>
          <w:tcPr>
            <w:tcW w:w="2689" w:type="dxa"/>
          </w:tcPr>
          <w:p w:rsidR="004E2345" w:rsidRPr="007B75FD" w:rsidRDefault="004E2345" w:rsidP="007B75FD">
            <w:pPr>
              <w:tabs>
                <w:tab w:val="left" w:pos="284"/>
              </w:tabs>
              <w:ind w:right="49"/>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Es necesario que </w:t>
            </w:r>
            <w:r w:rsidRPr="007B75FD">
              <w:rPr>
                <w:rFonts w:ascii="Palatino Linotype" w:eastAsia="Palatino Linotype" w:hAnsi="Palatino Linotype" w:cs="Palatino Linotype"/>
                <w:b/>
                <w:color w:val="000000" w:themeColor="text1"/>
                <w:u w:val="single"/>
              </w:rPr>
              <w:t>el acto reúna con los requisitos elementales</w:t>
            </w:r>
            <w:r w:rsidRPr="007B75FD">
              <w:rPr>
                <w:rFonts w:ascii="Palatino Linotype" w:eastAsia="Palatino Linotype" w:hAnsi="Palatino Linotype" w:cs="Palatino Linotype"/>
                <w:color w:val="000000" w:themeColor="text1"/>
              </w:rPr>
              <w:t>, entre ellos, que la autoridad que va a emitir el acto de autoridad sea la legalmente facultada para ello.</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p>
        </w:tc>
      </w:tr>
      <w:tr w:rsidR="007B75FD" w:rsidRPr="007B75FD" w:rsidTr="00357A9C">
        <w:tc>
          <w:tcPr>
            <w:tcW w:w="2689" w:type="dxa"/>
          </w:tcPr>
          <w:p w:rsidR="004E2345" w:rsidRPr="007B75FD" w:rsidRDefault="004E2345" w:rsidP="007B75FD">
            <w:pPr>
              <w:tabs>
                <w:tab w:val="left" w:pos="284"/>
              </w:tabs>
              <w:ind w:right="49"/>
              <w:rPr>
                <w:rFonts w:ascii="Palatino Linotype" w:eastAsia="Palatino Linotype" w:hAnsi="Palatino Linotype" w:cs="Palatino Linotype"/>
                <w:color w:val="000000" w:themeColor="text1"/>
              </w:rPr>
            </w:pP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B75FD">
              <w:rPr>
                <w:rFonts w:ascii="Palatino Linotype" w:eastAsia="Palatino Linotype" w:hAnsi="Palatino Linotype" w:cs="Palatino Linotype"/>
                <w:b/>
                <w:color w:val="000000" w:themeColor="text1"/>
              </w:rPr>
              <w:t>Sujetos Obligados</w:t>
            </w:r>
            <w:r w:rsidRPr="007B75FD">
              <w:rPr>
                <w:rFonts w:ascii="Palatino Linotype" w:eastAsia="Palatino Linotype" w:hAnsi="Palatino Linotype" w:cs="Palatino Linotype"/>
                <w:color w:val="000000" w:themeColor="text1"/>
              </w:rPr>
              <w:t xml:space="preserve">, por lo que deberán fundar y motivar debidamente la clasificación. </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lastRenderedPageBreak/>
              <w:t xml:space="preserve">De lo anterior, se desprende que para una correcta </w:t>
            </w:r>
            <w:r w:rsidRPr="007B75FD">
              <w:rPr>
                <w:rFonts w:ascii="Palatino Linotype" w:eastAsia="Palatino Linotype" w:hAnsi="Palatino Linotype" w:cs="Palatino Linotype"/>
                <w:b/>
                <w:color w:val="000000" w:themeColor="text1"/>
              </w:rPr>
              <w:t>clasificación total o parcial</w:t>
            </w:r>
            <w:r w:rsidRPr="007B75F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Ahora bien, </w:t>
            </w:r>
            <w:r w:rsidRPr="007B75FD">
              <w:rPr>
                <w:rFonts w:ascii="Palatino Linotype" w:eastAsia="Palatino Linotype" w:hAnsi="Palatino Linotype" w:cs="Palatino Linotype"/>
                <w:b/>
                <w:color w:val="000000" w:themeColor="text1"/>
                <w:u w:val="single"/>
              </w:rPr>
              <w:t>para cada caso además de fundar y motivar</w:t>
            </w:r>
            <w:r w:rsidRPr="007B75F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p>
        </w:tc>
      </w:tr>
      <w:tr w:rsidR="004E2345" w:rsidRPr="007B75FD" w:rsidTr="00357A9C">
        <w:tc>
          <w:tcPr>
            <w:tcW w:w="2689" w:type="dxa"/>
          </w:tcPr>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4E2345" w:rsidRPr="007B75FD" w:rsidRDefault="004E2345" w:rsidP="007B75FD">
            <w:pPr>
              <w:tabs>
                <w:tab w:val="left" w:pos="284"/>
              </w:tabs>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w:t>
            </w:r>
            <w:r w:rsidRPr="007B75FD">
              <w:rPr>
                <w:rFonts w:ascii="Palatino Linotype" w:eastAsia="Palatino Linotype" w:hAnsi="Palatino Linotype" w:cs="Palatino Linotype"/>
                <w:color w:val="000000" w:themeColor="text1"/>
              </w:rPr>
              <w:lastRenderedPageBreak/>
              <w:t xml:space="preserve">Justicia de la Nación, los servidores públicos nos encontramos sujetos a un régimen menor de protección. </w:t>
            </w:r>
          </w:p>
          <w:p w:rsidR="004E2345" w:rsidRPr="007B75FD" w:rsidRDefault="004E2345" w:rsidP="007B75FD">
            <w:pPr>
              <w:tabs>
                <w:tab w:val="left" w:pos="284"/>
              </w:tabs>
              <w:ind w:right="49"/>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4E2345" w:rsidRPr="007B75FD" w:rsidRDefault="004E2345" w:rsidP="007B75FD">
            <w:pPr>
              <w:tabs>
                <w:tab w:val="left" w:pos="284"/>
              </w:tabs>
              <w:ind w:right="49"/>
              <w:rPr>
                <w:rFonts w:ascii="Palatino Linotype" w:eastAsia="Palatino Linotype" w:hAnsi="Palatino Linotype" w:cs="Palatino Linotype"/>
                <w:color w:val="000000" w:themeColor="text1"/>
              </w:rPr>
            </w:pPr>
          </w:p>
        </w:tc>
      </w:tr>
    </w:tbl>
    <w:p w:rsidR="004E2345" w:rsidRPr="007B75FD" w:rsidRDefault="004E2345" w:rsidP="007B75FD">
      <w:pPr>
        <w:pStyle w:val="Prrafodelista"/>
        <w:spacing w:line="360" w:lineRule="auto"/>
        <w:ind w:left="0" w:right="49"/>
        <w:jc w:val="both"/>
        <w:rPr>
          <w:rFonts w:ascii="Palatino Linotype" w:eastAsia="Palatino Linotype" w:hAnsi="Palatino Linotype" w:cs="Palatino Linotype"/>
          <w:color w:val="000000" w:themeColor="text1"/>
        </w:rPr>
      </w:pPr>
    </w:p>
    <w:p w:rsidR="004E2345" w:rsidRPr="007B75FD" w:rsidRDefault="004E2345" w:rsidP="007B75FD">
      <w:pPr>
        <w:widowControl w:val="0"/>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DC4B10" w:rsidRPr="007B75FD" w:rsidRDefault="00DC4B10" w:rsidP="007B75FD">
      <w:pPr>
        <w:pStyle w:val="Prrafodelista"/>
        <w:ind w:left="0" w:right="49"/>
        <w:jc w:val="both"/>
        <w:rPr>
          <w:rFonts w:ascii="Palatino Linotype" w:eastAsia="Palatino Linotype" w:hAnsi="Palatino Linotype" w:cs="Palatino Linotype"/>
          <w:color w:val="000000" w:themeColor="text1"/>
        </w:rPr>
      </w:pPr>
    </w:p>
    <w:p w:rsidR="00190AFA" w:rsidRPr="007B75FD" w:rsidRDefault="00DC2BB2" w:rsidP="007B75FD">
      <w:pPr>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color w:val="000000" w:themeColor="text1"/>
        </w:rPr>
        <w:t xml:space="preserve">Por lo </w:t>
      </w:r>
      <w:r w:rsidRPr="007B75FD">
        <w:rPr>
          <w:rFonts w:ascii="Palatino Linotype" w:hAnsi="Palatino Linotype"/>
          <w:color w:val="000000" w:themeColor="text1"/>
        </w:rPr>
        <w:t>anteriormente</w:t>
      </w:r>
      <w:r w:rsidRPr="007B75FD">
        <w:rPr>
          <w:rFonts w:ascii="Palatino Linotype" w:eastAsia="Palatino Linotype" w:hAnsi="Palatino Linotype" w:cs="Palatino Linotype"/>
          <w:color w:val="000000" w:themeColor="text1"/>
        </w:rPr>
        <w:t xml:space="preserve"> expuesto y fundado, este </w:t>
      </w:r>
      <w:r w:rsidRPr="007B75FD">
        <w:rPr>
          <w:rFonts w:ascii="Palatino Linotype" w:eastAsia="Palatino Linotype" w:hAnsi="Palatino Linotype" w:cs="Palatino Linotype"/>
          <w:b/>
          <w:color w:val="000000" w:themeColor="text1"/>
        </w:rPr>
        <w:t>ÓRGANO GARANTE</w:t>
      </w:r>
      <w:r w:rsidRPr="007B75FD">
        <w:rPr>
          <w:rFonts w:ascii="Palatino Linotype" w:eastAsia="Palatino Linotype" w:hAnsi="Palatino Linotype" w:cs="Palatino Linotype"/>
          <w:color w:val="000000" w:themeColor="text1"/>
        </w:rPr>
        <w:t xml:space="preserve"> emite los siguientes: </w:t>
      </w:r>
      <w:bookmarkStart w:id="8" w:name="_heading=h.4d34og8" w:colFirst="0" w:colLast="0"/>
      <w:bookmarkEnd w:id="8"/>
    </w:p>
    <w:p w:rsidR="00190AFA" w:rsidRPr="007B75FD" w:rsidRDefault="00190AFA" w:rsidP="007B75FD">
      <w:pPr>
        <w:pStyle w:val="Prrafodelista"/>
        <w:ind w:left="0" w:right="49"/>
        <w:jc w:val="both"/>
        <w:rPr>
          <w:rFonts w:ascii="Palatino Linotype" w:eastAsia="Palatino Linotype" w:hAnsi="Palatino Linotype" w:cs="Palatino Linotype"/>
          <w:b/>
          <w:color w:val="000000" w:themeColor="text1"/>
        </w:rPr>
      </w:pPr>
    </w:p>
    <w:p w:rsidR="00B84DF1" w:rsidRPr="007B75FD" w:rsidRDefault="009D3673" w:rsidP="007B75FD">
      <w:pPr>
        <w:pStyle w:val="Ttulo1"/>
        <w:spacing w:before="0" w:line="360" w:lineRule="auto"/>
        <w:ind w:right="49"/>
        <w:jc w:val="center"/>
        <w:rPr>
          <w:rFonts w:ascii="Palatino Linotype" w:eastAsia="Palatino Linotype" w:hAnsi="Palatino Linotype" w:cs="Palatino Linotype"/>
          <w:b/>
          <w:color w:val="000000" w:themeColor="text1"/>
          <w:sz w:val="24"/>
          <w:szCs w:val="24"/>
        </w:rPr>
      </w:pPr>
      <w:r w:rsidRPr="007B75FD">
        <w:rPr>
          <w:rFonts w:ascii="Palatino Linotype" w:eastAsia="Palatino Linotype" w:hAnsi="Palatino Linotype" w:cs="Palatino Linotype"/>
          <w:b/>
          <w:color w:val="000000" w:themeColor="text1"/>
          <w:sz w:val="24"/>
          <w:szCs w:val="24"/>
        </w:rPr>
        <w:t>R E S O L U T I V O S</w:t>
      </w: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194544" w:rsidRPr="007B75FD" w:rsidRDefault="00194544" w:rsidP="007B75FD">
      <w:pPr>
        <w:spacing w:line="360" w:lineRule="auto"/>
        <w:ind w:right="49"/>
        <w:jc w:val="both"/>
        <w:rPr>
          <w:rFonts w:ascii="Palatino Linotype" w:eastAsia="Palatino Linotype" w:hAnsi="Palatino Linotype" w:cs="Palatino Linotype"/>
          <w:color w:val="000000" w:themeColor="text1"/>
        </w:rPr>
      </w:pPr>
      <w:bookmarkStart w:id="9" w:name="_heading=h.1t3h5sf" w:colFirst="0" w:colLast="0"/>
      <w:bookmarkEnd w:id="9"/>
      <w:r w:rsidRPr="007B75FD">
        <w:rPr>
          <w:rFonts w:ascii="Palatino Linotype" w:eastAsia="Palatino Linotype" w:hAnsi="Palatino Linotype" w:cs="Palatino Linotype"/>
          <w:b/>
          <w:color w:val="000000" w:themeColor="text1"/>
        </w:rPr>
        <w:t>PRIMERO</w:t>
      </w:r>
      <w:r w:rsidRPr="007B75FD">
        <w:rPr>
          <w:rFonts w:ascii="Palatino Linotype" w:eastAsia="Palatino Linotype" w:hAnsi="Palatino Linotype" w:cs="Palatino Linotype"/>
          <w:color w:val="000000" w:themeColor="text1"/>
        </w:rPr>
        <w:t>. Resultan fundadas las</w:t>
      </w:r>
      <w:r w:rsidRPr="007B75FD">
        <w:rPr>
          <w:rFonts w:ascii="Palatino Linotype" w:eastAsia="Palatino Linotype" w:hAnsi="Palatino Linotype" w:cs="Palatino Linotype"/>
          <w:b/>
          <w:color w:val="000000" w:themeColor="text1"/>
        </w:rPr>
        <w:t xml:space="preserve"> </w:t>
      </w:r>
      <w:r w:rsidRPr="007B75FD">
        <w:rPr>
          <w:rFonts w:ascii="Palatino Linotype" w:eastAsia="Palatino Linotype" w:hAnsi="Palatino Linotype" w:cs="Palatino Linotype"/>
          <w:color w:val="000000" w:themeColor="text1"/>
        </w:rPr>
        <w:t xml:space="preserve">razones o motivos de inconformidad hechos valer en el Recurso de Revisión </w:t>
      </w:r>
      <w:r w:rsidR="00C40549" w:rsidRPr="007B75FD">
        <w:rPr>
          <w:rFonts w:ascii="Palatino Linotype" w:eastAsia="Palatino Linotype" w:hAnsi="Palatino Linotype" w:cs="Palatino Linotype"/>
          <w:b/>
          <w:color w:val="000000" w:themeColor="text1"/>
        </w:rPr>
        <w:t>05073/INFOEM/IP/RR/2025</w:t>
      </w:r>
      <w:r w:rsidRPr="007B75FD">
        <w:rPr>
          <w:rFonts w:ascii="Palatino Linotype" w:eastAsia="Palatino Linotype" w:hAnsi="Palatino Linotype" w:cs="Palatino Linotype"/>
          <w:b/>
          <w:color w:val="000000" w:themeColor="text1"/>
        </w:rPr>
        <w:t xml:space="preserve">, </w:t>
      </w:r>
      <w:r w:rsidRPr="007B75FD">
        <w:rPr>
          <w:rFonts w:ascii="Palatino Linotype" w:eastAsia="Palatino Linotype" w:hAnsi="Palatino Linotype" w:cs="Palatino Linotype"/>
          <w:color w:val="000000" w:themeColor="text1"/>
        </w:rPr>
        <w:t>en términos de</w:t>
      </w:r>
      <w:r w:rsidR="004E2345" w:rsidRPr="007B75FD">
        <w:rPr>
          <w:rFonts w:ascii="Palatino Linotype" w:eastAsia="Palatino Linotype" w:hAnsi="Palatino Linotype" w:cs="Palatino Linotype"/>
          <w:color w:val="000000" w:themeColor="text1"/>
        </w:rPr>
        <w:t xml:space="preserve"> </w:t>
      </w:r>
      <w:r w:rsidRPr="007B75FD">
        <w:rPr>
          <w:rFonts w:ascii="Palatino Linotype" w:eastAsia="Palatino Linotype" w:hAnsi="Palatino Linotype" w:cs="Palatino Linotype"/>
          <w:color w:val="000000" w:themeColor="text1"/>
        </w:rPr>
        <w:t>l</w:t>
      </w:r>
      <w:r w:rsidR="004E2345" w:rsidRPr="007B75FD">
        <w:rPr>
          <w:rFonts w:ascii="Palatino Linotype" w:eastAsia="Palatino Linotype" w:hAnsi="Palatino Linotype" w:cs="Palatino Linotype"/>
          <w:color w:val="000000" w:themeColor="text1"/>
        </w:rPr>
        <w:t>os</w:t>
      </w:r>
      <w:r w:rsidRPr="007B75FD">
        <w:rPr>
          <w:rFonts w:ascii="Palatino Linotype" w:eastAsia="Palatino Linotype" w:hAnsi="Palatino Linotype" w:cs="Palatino Linotype"/>
          <w:color w:val="000000" w:themeColor="text1"/>
        </w:rPr>
        <w:t xml:space="preserve"> </w:t>
      </w:r>
      <w:r w:rsidR="00DC4B10" w:rsidRPr="007B75FD">
        <w:rPr>
          <w:rFonts w:ascii="Palatino Linotype" w:eastAsia="Palatino Linotype" w:hAnsi="Palatino Linotype" w:cs="Palatino Linotype"/>
          <w:b/>
          <w:color w:val="000000" w:themeColor="text1"/>
        </w:rPr>
        <w:t>Considerando</w:t>
      </w:r>
      <w:r w:rsidR="004E2345" w:rsidRPr="007B75FD">
        <w:rPr>
          <w:rFonts w:ascii="Palatino Linotype" w:eastAsia="Palatino Linotype" w:hAnsi="Palatino Linotype" w:cs="Palatino Linotype"/>
          <w:b/>
          <w:color w:val="000000" w:themeColor="text1"/>
        </w:rPr>
        <w:t>s</w:t>
      </w:r>
      <w:r w:rsidRPr="007B75FD">
        <w:rPr>
          <w:rFonts w:ascii="Palatino Linotype" w:eastAsia="Palatino Linotype" w:hAnsi="Palatino Linotype" w:cs="Palatino Linotype"/>
          <w:color w:val="000000" w:themeColor="text1"/>
        </w:rPr>
        <w:t xml:space="preserve"> </w:t>
      </w:r>
      <w:r w:rsidRPr="007B75FD">
        <w:rPr>
          <w:rFonts w:ascii="Palatino Linotype" w:eastAsia="Palatino Linotype" w:hAnsi="Palatino Linotype" w:cs="Palatino Linotype"/>
          <w:b/>
          <w:color w:val="000000" w:themeColor="text1"/>
        </w:rPr>
        <w:t>CUARTO</w:t>
      </w:r>
      <w:r w:rsidR="00DC4B10" w:rsidRPr="007B75FD">
        <w:rPr>
          <w:rFonts w:ascii="Palatino Linotype" w:eastAsia="Palatino Linotype" w:hAnsi="Palatino Linotype" w:cs="Palatino Linotype"/>
          <w:b/>
          <w:color w:val="000000" w:themeColor="text1"/>
        </w:rPr>
        <w:t xml:space="preserve"> </w:t>
      </w:r>
      <w:r w:rsidR="004E2345" w:rsidRPr="007B75FD">
        <w:rPr>
          <w:rFonts w:ascii="Palatino Linotype" w:eastAsia="Palatino Linotype" w:hAnsi="Palatino Linotype" w:cs="Palatino Linotype"/>
          <w:b/>
          <w:color w:val="000000" w:themeColor="text1"/>
        </w:rPr>
        <w:t xml:space="preserve">y QUINTO </w:t>
      </w:r>
      <w:r w:rsidRPr="007B75FD">
        <w:rPr>
          <w:rFonts w:ascii="Palatino Linotype" w:eastAsia="Palatino Linotype" w:hAnsi="Palatino Linotype" w:cs="Palatino Linotype"/>
          <w:color w:val="000000" w:themeColor="text1"/>
        </w:rPr>
        <w:t>de la presente Resolución.</w:t>
      </w:r>
    </w:p>
    <w:p w:rsidR="00194544" w:rsidRPr="007B75FD" w:rsidRDefault="00194544" w:rsidP="007B75FD">
      <w:pPr>
        <w:spacing w:line="360" w:lineRule="auto"/>
        <w:ind w:right="49"/>
        <w:jc w:val="both"/>
        <w:rPr>
          <w:rFonts w:ascii="Palatino Linotype" w:eastAsia="Palatino Linotype" w:hAnsi="Palatino Linotype" w:cs="Palatino Linotype"/>
          <w:color w:val="000000" w:themeColor="text1"/>
        </w:rPr>
      </w:pPr>
    </w:p>
    <w:p w:rsidR="00194544" w:rsidRPr="007B75FD" w:rsidRDefault="00194544" w:rsidP="007B75FD">
      <w:pPr>
        <w:spacing w:line="360" w:lineRule="auto"/>
        <w:ind w:right="49"/>
        <w:jc w:val="both"/>
        <w:rPr>
          <w:rFonts w:ascii="Palatino Linotype" w:hAnsi="Palatino Linotype" w:cs="Arial"/>
          <w:color w:val="000000" w:themeColor="text1"/>
        </w:rPr>
      </w:pPr>
      <w:r w:rsidRPr="007B75FD">
        <w:rPr>
          <w:rFonts w:ascii="Palatino Linotype" w:eastAsia="Times New Roman" w:hAnsi="Palatino Linotype" w:cs="Times New Roman"/>
          <w:b/>
          <w:color w:val="000000" w:themeColor="text1"/>
        </w:rPr>
        <w:t xml:space="preserve">SEGUNDO. </w:t>
      </w:r>
      <w:r w:rsidRPr="007B75FD">
        <w:rPr>
          <w:rFonts w:ascii="Palatino Linotype" w:eastAsia="MS Mincho" w:hAnsi="Palatino Linotype" w:cs="Times New Roman"/>
          <w:color w:val="000000" w:themeColor="text1"/>
        </w:rPr>
        <w:t xml:space="preserve">Se </w:t>
      </w:r>
      <w:r w:rsidR="004E2345" w:rsidRPr="007B75FD">
        <w:rPr>
          <w:rFonts w:ascii="Palatino Linotype" w:eastAsia="MS Mincho" w:hAnsi="Palatino Linotype" w:cs="Times New Roman"/>
          <w:b/>
          <w:color w:val="000000" w:themeColor="text1"/>
        </w:rPr>
        <w:t>REVO</w:t>
      </w:r>
      <w:r w:rsidR="001F4159" w:rsidRPr="007B75FD">
        <w:rPr>
          <w:rFonts w:ascii="Palatino Linotype" w:eastAsia="MS Mincho" w:hAnsi="Palatino Linotype" w:cs="Times New Roman"/>
          <w:b/>
          <w:color w:val="000000" w:themeColor="text1"/>
        </w:rPr>
        <w:t>C</w:t>
      </w:r>
      <w:r w:rsidRPr="007B75FD">
        <w:rPr>
          <w:rFonts w:ascii="Palatino Linotype" w:eastAsia="MS Mincho" w:hAnsi="Palatino Linotype" w:cs="Times New Roman"/>
          <w:b/>
          <w:color w:val="000000" w:themeColor="text1"/>
        </w:rPr>
        <w:t xml:space="preserve">A </w:t>
      </w:r>
      <w:r w:rsidRPr="007B75FD">
        <w:rPr>
          <w:rFonts w:ascii="Palatino Linotype" w:eastAsia="MS Mincho" w:hAnsi="Palatino Linotype" w:cs="Times New Roman"/>
          <w:color w:val="000000" w:themeColor="text1"/>
        </w:rPr>
        <w:t xml:space="preserve">la respuesta emitida por el </w:t>
      </w:r>
      <w:r w:rsidR="00C40549" w:rsidRPr="007B75FD">
        <w:rPr>
          <w:rFonts w:ascii="Palatino Linotype" w:hAnsi="Palatino Linotype"/>
          <w:b/>
          <w:bCs/>
          <w:color w:val="000000" w:themeColor="text1"/>
        </w:rPr>
        <w:t>Ayuntamiento de Zinacantepec</w:t>
      </w:r>
      <w:r w:rsidRPr="007B75FD">
        <w:rPr>
          <w:rFonts w:ascii="Palatino Linotype" w:eastAsia="MS Mincho" w:hAnsi="Palatino Linotype" w:cs="Times New Roman"/>
          <w:b/>
          <w:color w:val="000000" w:themeColor="text1"/>
        </w:rPr>
        <w:t xml:space="preserve"> </w:t>
      </w:r>
      <w:r w:rsidRPr="007B75FD">
        <w:rPr>
          <w:rFonts w:ascii="Palatino Linotype" w:eastAsia="MS Mincho" w:hAnsi="Palatino Linotype" w:cs="Times New Roman"/>
          <w:color w:val="000000" w:themeColor="text1"/>
        </w:rPr>
        <w:t xml:space="preserve">y se </w:t>
      </w:r>
      <w:r w:rsidRPr="00925885">
        <w:rPr>
          <w:rFonts w:ascii="Palatino Linotype" w:eastAsia="MS Mincho" w:hAnsi="Palatino Linotype" w:cs="Times New Roman"/>
          <w:b/>
          <w:color w:val="000000" w:themeColor="text1"/>
        </w:rPr>
        <w:t>ORDENA</w:t>
      </w:r>
      <w:r w:rsidRPr="00925885">
        <w:rPr>
          <w:rFonts w:ascii="Palatino Linotype" w:eastAsia="MS Mincho" w:hAnsi="Palatino Linotype" w:cs="Times New Roman"/>
          <w:color w:val="000000" w:themeColor="text1"/>
        </w:rPr>
        <w:t xml:space="preserve"> </w:t>
      </w:r>
      <w:bookmarkStart w:id="10" w:name="_Toc503891610"/>
      <w:bookmarkStart w:id="11" w:name="_Toc453696503"/>
      <w:bookmarkStart w:id="12" w:name="_Toc454301156"/>
      <w:bookmarkStart w:id="13" w:name="_Toc462653938"/>
      <w:bookmarkStart w:id="14" w:name="_Toc477891769"/>
      <w:bookmarkStart w:id="15" w:name="_Toc477891859"/>
      <w:bookmarkStart w:id="16" w:name="_Toc481576260"/>
      <w:bookmarkStart w:id="17" w:name="_Toc492590392"/>
      <w:r w:rsidRPr="00925885">
        <w:rPr>
          <w:rFonts w:ascii="Palatino Linotype" w:eastAsia="MS Mincho" w:hAnsi="Palatino Linotype" w:cs="Times New Roman"/>
          <w:color w:val="000000" w:themeColor="text1"/>
        </w:rPr>
        <w:t xml:space="preserve">entregar vía Sistema de Acceso a la Información Mexiquense (SAIMEX), </w:t>
      </w:r>
      <w:r w:rsidR="00316725" w:rsidRPr="00925885">
        <w:rPr>
          <w:rFonts w:ascii="Palatino Linotype" w:eastAsia="MS Mincho" w:hAnsi="Palatino Linotype" w:cs="Times New Roman"/>
          <w:color w:val="000000" w:themeColor="text1"/>
        </w:rPr>
        <w:t xml:space="preserve">de ser el caso </w:t>
      </w:r>
      <w:r w:rsidR="004E2345" w:rsidRPr="00925885">
        <w:rPr>
          <w:rFonts w:ascii="Palatino Linotype" w:eastAsia="MS Mincho" w:hAnsi="Palatino Linotype" w:cs="Times New Roman"/>
          <w:color w:val="000000" w:themeColor="text1"/>
        </w:rPr>
        <w:t>en versión pública</w:t>
      </w:r>
      <w:r w:rsidRPr="00925885">
        <w:rPr>
          <w:rFonts w:ascii="Palatino Linotype" w:eastAsia="MS Mincho" w:hAnsi="Palatino Linotype" w:cs="Times New Roman"/>
          <w:color w:val="000000" w:themeColor="text1"/>
        </w:rPr>
        <w:t>, la siguiente información</w:t>
      </w:r>
      <w:r w:rsidR="00817964" w:rsidRPr="00925885">
        <w:rPr>
          <w:rFonts w:ascii="Palatino Linotype" w:eastAsia="MS Mincho" w:hAnsi="Palatino Linotype" w:cs="Times New Roman"/>
          <w:color w:val="000000" w:themeColor="text1"/>
        </w:rPr>
        <w:t xml:space="preserve"> de los Ejercicios Fiscales 2018, 2019, 2020, 2021, 2022, 2023 y 2024</w:t>
      </w:r>
      <w:r w:rsidRPr="00925885">
        <w:rPr>
          <w:rFonts w:ascii="Palatino Linotype" w:hAnsi="Palatino Linotype" w:cs="Arial"/>
          <w:color w:val="000000" w:themeColor="text1"/>
        </w:rPr>
        <w:t>:</w:t>
      </w:r>
    </w:p>
    <w:p w:rsidR="009179E0" w:rsidRPr="007B75FD" w:rsidRDefault="00817964" w:rsidP="00357A9C">
      <w:pPr>
        <w:numPr>
          <w:ilvl w:val="0"/>
          <w:numId w:val="27"/>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b/>
          <w:color w:val="000000" w:themeColor="text1"/>
        </w:rPr>
        <w:lastRenderedPageBreak/>
        <w:t>Lo</w:t>
      </w:r>
      <w:r w:rsidR="000B1692" w:rsidRPr="007B75FD">
        <w:rPr>
          <w:rFonts w:ascii="Palatino Linotype" w:eastAsia="Palatino Linotype" w:hAnsi="Palatino Linotype" w:cs="Palatino Linotype"/>
          <w:b/>
          <w:color w:val="000000" w:themeColor="text1"/>
        </w:rPr>
        <w:t>s</w:t>
      </w:r>
      <w:r w:rsidRPr="007B75FD">
        <w:rPr>
          <w:rFonts w:ascii="Palatino Linotype" w:eastAsia="Palatino Linotype" w:hAnsi="Palatino Linotype" w:cs="Palatino Linotype"/>
          <w:b/>
          <w:color w:val="000000" w:themeColor="text1"/>
        </w:rPr>
        <w:t xml:space="preserve"> informes de </w:t>
      </w:r>
      <w:r w:rsidR="009179E0" w:rsidRPr="007B75FD">
        <w:rPr>
          <w:rFonts w:ascii="Palatino Linotype" w:eastAsia="Palatino Linotype" w:hAnsi="Palatino Linotype" w:cs="Palatino Linotype"/>
          <w:b/>
          <w:color w:val="000000" w:themeColor="text1"/>
        </w:rPr>
        <w:t xml:space="preserve">las </w:t>
      </w:r>
      <w:r w:rsidRPr="007B75FD">
        <w:rPr>
          <w:rFonts w:ascii="Palatino Linotype" w:eastAsia="Palatino Linotype" w:hAnsi="Palatino Linotype" w:cs="Palatino Linotype"/>
          <w:b/>
          <w:color w:val="000000" w:themeColor="text1"/>
        </w:rPr>
        <w:t>auditorías financieras</w:t>
      </w:r>
      <w:r w:rsidR="009179E0" w:rsidRPr="007B75FD">
        <w:rPr>
          <w:rFonts w:ascii="Palatino Linotype" w:eastAsia="Palatino Linotype" w:hAnsi="Palatino Linotype" w:cs="Palatino Linotype"/>
          <w:b/>
          <w:color w:val="000000" w:themeColor="text1"/>
        </w:rPr>
        <w:t>;</w:t>
      </w:r>
    </w:p>
    <w:p w:rsidR="00817964" w:rsidRPr="007B75FD" w:rsidRDefault="009179E0" w:rsidP="00357A9C">
      <w:pPr>
        <w:numPr>
          <w:ilvl w:val="0"/>
          <w:numId w:val="27"/>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b/>
          <w:color w:val="000000" w:themeColor="text1"/>
        </w:rPr>
        <w:t>Documento en que consten</w:t>
      </w:r>
      <w:r w:rsidR="00941A88" w:rsidRPr="007B75FD">
        <w:rPr>
          <w:rFonts w:ascii="Palatino Linotype" w:eastAsia="Palatino Linotype" w:hAnsi="Palatino Linotype" w:cs="Palatino Linotype"/>
          <w:b/>
          <w:color w:val="000000" w:themeColor="text1"/>
        </w:rPr>
        <w:t xml:space="preserve"> o se adviertan </w:t>
      </w:r>
      <w:r w:rsidR="00817964" w:rsidRPr="007B75FD">
        <w:rPr>
          <w:rFonts w:ascii="Palatino Linotype" w:eastAsia="Palatino Linotype" w:hAnsi="Palatino Linotype" w:cs="Palatino Linotype"/>
          <w:b/>
          <w:color w:val="000000" w:themeColor="text1"/>
        </w:rPr>
        <w:t>los in</w:t>
      </w:r>
      <w:r w:rsidR="00941A88" w:rsidRPr="007B75FD">
        <w:rPr>
          <w:rFonts w:ascii="Palatino Linotype" w:eastAsia="Palatino Linotype" w:hAnsi="Palatino Linotype" w:cs="Palatino Linotype"/>
          <w:b/>
          <w:color w:val="000000" w:themeColor="text1"/>
        </w:rPr>
        <w:t xml:space="preserve">gresos, egresos, </w:t>
      </w:r>
      <w:r w:rsidRPr="007B75FD">
        <w:rPr>
          <w:rFonts w:ascii="Palatino Linotype" w:eastAsia="Palatino Linotype" w:hAnsi="Palatino Linotype" w:cs="Palatino Linotype"/>
          <w:b/>
          <w:color w:val="000000" w:themeColor="text1"/>
        </w:rPr>
        <w:t xml:space="preserve">y </w:t>
      </w:r>
      <w:r w:rsidR="00941A88" w:rsidRPr="007B75FD">
        <w:rPr>
          <w:rFonts w:ascii="Palatino Linotype" w:eastAsia="Palatino Linotype" w:hAnsi="Palatino Linotype" w:cs="Palatino Linotype"/>
          <w:b/>
          <w:color w:val="000000" w:themeColor="text1"/>
        </w:rPr>
        <w:t>observaciones</w:t>
      </w:r>
      <w:r w:rsidRPr="007B75FD">
        <w:rPr>
          <w:rFonts w:ascii="Palatino Linotype" w:eastAsia="Palatino Linotype" w:hAnsi="Palatino Linotype" w:cs="Palatino Linotype"/>
          <w:b/>
          <w:color w:val="000000" w:themeColor="text1"/>
        </w:rPr>
        <w:t xml:space="preserve"> de las auditorías financieras;</w:t>
      </w:r>
      <w:r w:rsidR="00941A88" w:rsidRPr="007B75FD">
        <w:rPr>
          <w:rFonts w:ascii="Palatino Linotype" w:eastAsia="Palatino Linotype" w:hAnsi="Palatino Linotype" w:cs="Palatino Linotype"/>
          <w:b/>
          <w:color w:val="000000" w:themeColor="text1"/>
        </w:rPr>
        <w:t xml:space="preserve"> así como </w:t>
      </w:r>
      <w:r w:rsidR="007B75FD" w:rsidRPr="007B75FD">
        <w:rPr>
          <w:rFonts w:ascii="Palatino Linotype" w:eastAsia="Palatino Linotype" w:hAnsi="Palatino Linotype" w:cs="Palatino Linotype"/>
          <w:b/>
          <w:color w:val="000000" w:themeColor="text1"/>
        </w:rPr>
        <w:t>las acciones</w:t>
      </w:r>
      <w:r w:rsidR="00817964" w:rsidRPr="007B75FD">
        <w:rPr>
          <w:rFonts w:ascii="Palatino Linotype" w:eastAsia="Palatino Linotype" w:hAnsi="Palatino Linotype" w:cs="Palatino Linotype"/>
          <w:b/>
          <w:color w:val="000000" w:themeColor="text1"/>
        </w:rPr>
        <w:t xml:space="preserve"> correctivas implementadas.</w:t>
      </w:r>
    </w:p>
    <w:p w:rsidR="00316725" w:rsidRPr="007B75FD" w:rsidRDefault="00316725" w:rsidP="007B75FD">
      <w:pPr>
        <w:tabs>
          <w:tab w:val="left" w:pos="8080"/>
        </w:tabs>
        <w:spacing w:line="360" w:lineRule="auto"/>
        <w:ind w:right="49"/>
        <w:jc w:val="both"/>
        <w:rPr>
          <w:rFonts w:ascii="Palatino Linotype" w:eastAsia="Palatino Linotype" w:hAnsi="Palatino Linotype" w:cs="Palatino Linotype"/>
          <w:color w:val="000000" w:themeColor="text1"/>
        </w:rPr>
      </w:pPr>
    </w:p>
    <w:p w:rsidR="00194544" w:rsidRPr="007B75FD" w:rsidRDefault="00316725" w:rsidP="007B75FD">
      <w:pPr>
        <w:tabs>
          <w:tab w:val="left" w:pos="8080"/>
        </w:tabs>
        <w:spacing w:line="360" w:lineRule="auto"/>
        <w:ind w:right="49"/>
        <w:jc w:val="both"/>
        <w:rPr>
          <w:rFonts w:ascii="Palatino Linotype" w:eastAsia="Palatino Linotype" w:hAnsi="Palatino Linotype" w:cs="Palatino Linotype"/>
          <w:color w:val="000000" w:themeColor="text1"/>
        </w:rPr>
      </w:pPr>
      <w:r w:rsidRPr="00925885">
        <w:rPr>
          <w:rFonts w:ascii="Palatino Linotype" w:eastAsia="Palatino Linotype" w:hAnsi="Palatino Linotype" w:cs="Palatino Linotype"/>
          <w:color w:val="000000" w:themeColor="text1"/>
        </w:rPr>
        <w:t>De ser necesaria la elaboración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316725" w:rsidRPr="007B75FD" w:rsidRDefault="00316725" w:rsidP="007B75FD">
      <w:pPr>
        <w:tabs>
          <w:tab w:val="left" w:pos="8080"/>
        </w:tabs>
        <w:spacing w:line="360" w:lineRule="auto"/>
        <w:ind w:right="49"/>
        <w:jc w:val="both"/>
        <w:rPr>
          <w:rFonts w:ascii="Palatino Linotype" w:eastAsia="Palatino Linotype" w:hAnsi="Palatino Linotype" w:cs="Palatino Linotype"/>
          <w:color w:val="000000" w:themeColor="text1"/>
        </w:rPr>
      </w:pPr>
    </w:p>
    <w:bookmarkEnd w:id="10"/>
    <w:bookmarkEnd w:id="11"/>
    <w:bookmarkEnd w:id="12"/>
    <w:bookmarkEnd w:id="13"/>
    <w:bookmarkEnd w:id="14"/>
    <w:bookmarkEnd w:id="15"/>
    <w:bookmarkEnd w:id="16"/>
    <w:bookmarkEnd w:id="17"/>
    <w:p w:rsidR="00194544" w:rsidRPr="007B75FD" w:rsidRDefault="00194544" w:rsidP="007B75FD">
      <w:pPr>
        <w:spacing w:line="360" w:lineRule="auto"/>
        <w:ind w:right="49"/>
        <w:jc w:val="both"/>
        <w:rPr>
          <w:rFonts w:ascii="Palatino Linotype" w:eastAsia="Times New Roman" w:hAnsi="Palatino Linotype" w:cs="Times New Roman"/>
          <w:color w:val="000000" w:themeColor="text1"/>
          <w:lang w:val="es-MX"/>
        </w:rPr>
      </w:pPr>
      <w:r w:rsidRPr="007B75FD">
        <w:rPr>
          <w:rFonts w:ascii="Palatino Linotype" w:eastAsia="Times New Roman" w:hAnsi="Palatino Linotype" w:cs="Arial"/>
          <w:b/>
          <w:bCs/>
          <w:color w:val="000000" w:themeColor="text1"/>
          <w:lang w:val="es-MX"/>
        </w:rPr>
        <w:t>TERCERO</w:t>
      </w:r>
      <w:r w:rsidRPr="007B75FD">
        <w:rPr>
          <w:rFonts w:ascii="Palatino Linotype" w:eastAsia="Times New Roman" w:hAnsi="Palatino Linotype" w:cs="Arial"/>
          <w:b/>
          <w:color w:val="000000" w:themeColor="text1"/>
          <w:lang w:val="es-MX"/>
        </w:rPr>
        <w:t>.</w:t>
      </w:r>
      <w:r w:rsidRPr="007B75FD">
        <w:rPr>
          <w:rFonts w:ascii="Palatino Linotype" w:eastAsia="Palatino Linotype" w:hAnsi="Palatino Linotype" w:cs="Palatino Linotype"/>
          <w:b/>
          <w:color w:val="000000" w:themeColor="text1"/>
          <w:lang w:val="es-MX"/>
        </w:rPr>
        <w:t xml:space="preserve"> </w:t>
      </w:r>
      <w:r w:rsidRPr="007B75FD">
        <w:rPr>
          <w:rFonts w:ascii="Palatino Linotype" w:eastAsia="Times New Roman" w:hAnsi="Palatino Linotype" w:cs="Times New Roman"/>
          <w:b/>
          <w:color w:val="000000" w:themeColor="text1"/>
          <w:lang w:val="es-MX"/>
        </w:rPr>
        <w:t xml:space="preserve">Notifíquese </w:t>
      </w:r>
      <w:r w:rsidRPr="007B75FD">
        <w:rPr>
          <w:rFonts w:ascii="Palatino Linotype" w:eastAsia="Times New Roman" w:hAnsi="Palatino Linotype" w:cs="Times New Roman"/>
          <w:color w:val="000000" w:themeColor="text1"/>
          <w:lang w:val="es-MX"/>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B75FD">
        <w:rPr>
          <w:rFonts w:ascii="Palatino Linotype" w:eastAsia="Times New Roman" w:hAnsi="Palatino Linotype" w:cs="Times New Roman"/>
          <w:b/>
          <w:color w:val="000000" w:themeColor="text1"/>
          <w:lang w:val="es-MX"/>
        </w:rPr>
        <w:t>dé cumplimiento a lo ordenado dentro del plazo de diez días hábiles</w:t>
      </w:r>
      <w:r w:rsidRPr="007B75FD">
        <w:rPr>
          <w:rFonts w:ascii="Palatino Linotype" w:eastAsia="Times New Roman" w:hAnsi="Palatino Linotype" w:cs="Times New Roman"/>
          <w:color w:val="000000" w:themeColor="text1"/>
          <w:lang w:val="es-MX"/>
        </w:rPr>
        <w:t>, e informe a este Instituto en un plazo de tres días hábiles siguientes sobre el cumplimiento dado a la presente y, se le apercibe que en caso de</w:t>
      </w:r>
      <w:r w:rsidR="004242F2" w:rsidRPr="007B75FD">
        <w:rPr>
          <w:rFonts w:ascii="Palatino Linotype" w:eastAsia="Times New Roman" w:hAnsi="Palatino Linotype" w:cs="Times New Roman"/>
          <w:color w:val="000000" w:themeColor="text1"/>
          <w:lang w:val="es-MX"/>
        </w:rPr>
        <w:t xml:space="preserve"> negarse a cumplir la presente R</w:t>
      </w:r>
      <w:r w:rsidRPr="007B75FD">
        <w:rPr>
          <w:rFonts w:ascii="Palatino Linotype" w:eastAsia="Times New Roman" w:hAnsi="Palatino Linotype" w:cs="Times New Roman"/>
          <w:color w:val="000000" w:themeColor="text1"/>
          <w:lang w:val="es-MX"/>
        </w:rPr>
        <w:t>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94544" w:rsidRPr="007B75FD" w:rsidRDefault="00194544" w:rsidP="007B75FD">
      <w:pPr>
        <w:spacing w:line="360" w:lineRule="auto"/>
        <w:ind w:right="49"/>
        <w:jc w:val="both"/>
        <w:rPr>
          <w:rFonts w:ascii="Palatino Linotype" w:eastAsia="Times New Roman" w:hAnsi="Palatino Linotype" w:cs="Times New Roman"/>
          <w:color w:val="000000" w:themeColor="text1"/>
          <w:lang w:val="es-MX"/>
        </w:rPr>
      </w:pPr>
    </w:p>
    <w:p w:rsidR="00194544" w:rsidRPr="007B75FD" w:rsidRDefault="00194544" w:rsidP="007B75FD">
      <w:pPr>
        <w:spacing w:line="360" w:lineRule="auto"/>
        <w:ind w:right="49"/>
        <w:jc w:val="both"/>
        <w:rPr>
          <w:rFonts w:ascii="Palatino Linotype" w:eastAsia="Calibri" w:hAnsi="Palatino Linotype" w:cs="Arial"/>
          <w:bCs/>
          <w:color w:val="000000" w:themeColor="text1"/>
        </w:rPr>
      </w:pPr>
      <w:r w:rsidRPr="007B75FD">
        <w:rPr>
          <w:rFonts w:ascii="Palatino Linotype" w:hAnsi="Palatino Linotype" w:cs="Arial"/>
          <w:b/>
          <w:color w:val="000000" w:themeColor="text1"/>
        </w:rPr>
        <w:t xml:space="preserve">CUARTO. </w:t>
      </w:r>
      <w:r w:rsidRPr="007B75FD">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7B75FD">
        <w:rPr>
          <w:rFonts w:ascii="Palatino Linotype" w:eastAsia="Calibri" w:hAnsi="Palatino Linotype" w:cs="Arial"/>
          <w:b/>
          <w:bCs/>
          <w:color w:val="000000" w:themeColor="text1"/>
        </w:rPr>
        <w:lastRenderedPageBreak/>
        <w:t>SUJETO OBLIGADO</w:t>
      </w:r>
      <w:r w:rsidRPr="007B75FD">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rsidR="00194544" w:rsidRPr="007B75FD" w:rsidRDefault="00194544" w:rsidP="007B75FD">
      <w:pPr>
        <w:spacing w:line="360" w:lineRule="auto"/>
        <w:ind w:right="49"/>
        <w:jc w:val="both"/>
        <w:rPr>
          <w:rFonts w:ascii="Palatino Linotype" w:eastAsia="Calibri" w:hAnsi="Palatino Linotype" w:cs="Arial"/>
          <w:bCs/>
          <w:color w:val="000000" w:themeColor="text1"/>
        </w:rPr>
      </w:pPr>
    </w:p>
    <w:p w:rsidR="00194544" w:rsidRPr="007B75FD" w:rsidRDefault="00194544" w:rsidP="007B75FD">
      <w:pPr>
        <w:tabs>
          <w:tab w:val="left" w:pos="8080"/>
        </w:tabs>
        <w:spacing w:line="360" w:lineRule="auto"/>
        <w:ind w:right="49"/>
        <w:jc w:val="both"/>
        <w:rPr>
          <w:rFonts w:ascii="Palatino Linotype" w:eastAsia="Times New Roman" w:hAnsi="Palatino Linotype" w:cs="Times New Roman"/>
          <w:color w:val="000000" w:themeColor="text1"/>
          <w:lang w:val="es-ES" w:eastAsia="es-MX"/>
        </w:rPr>
      </w:pPr>
      <w:bookmarkStart w:id="18" w:name="_Toc492590393"/>
      <w:bookmarkStart w:id="19" w:name="_Toc503891611"/>
      <w:bookmarkStart w:id="20" w:name="_Toc511647759"/>
      <w:bookmarkStart w:id="21" w:name="_Toc511647820"/>
      <w:r w:rsidRPr="007B75FD">
        <w:rPr>
          <w:rFonts w:ascii="Palatino Linotype" w:eastAsia="Times New Roman" w:hAnsi="Palatino Linotype" w:cs="Times New Roman"/>
          <w:b/>
          <w:color w:val="000000" w:themeColor="text1"/>
        </w:rPr>
        <w:t xml:space="preserve">QUINTO. </w:t>
      </w:r>
      <w:r w:rsidRPr="007B75FD">
        <w:rPr>
          <w:rFonts w:ascii="Palatino Linotype" w:eastAsia="Times New Roman" w:hAnsi="Palatino Linotype" w:cs="Times New Roman"/>
          <w:color w:val="000000" w:themeColor="text1"/>
        </w:rPr>
        <w:t>Notifíquese</w:t>
      </w:r>
      <w:bookmarkEnd w:id="18"/>
      <w:bookmarkEnd w:id="19"/>
      <w:bookmarkEnd w:id="20"/>
      <w:bookmarkEnd w:id="21"/>
      <w:r w:rsidRPr="007B75FD">
        <w:rPr>
          <w:rFonts w:ascii="Palatino Linotype" w:eastAsia="Times New Roman" w:hAnsi="Palatino Linotype" w:cs="Times New Roman"/>
          <w:color w:val="000000" w:themeColor="text1"/>
        </w:rPr>
        <w:t xml:space="preserve"> al </w:t>
      </w:r>
      <w:r w:rsidRPr="007B75FD">
        <w:rPr>
          <w:rFonts w:ascii="Palatino Linotype" w:eastAsia="Times New Roman" w:hAnsi="Palatino Linotype" w:cs="Times New Roman"/>
          <w:b/>
          <w:color w:val="000000" w:themeColor="text1"/>
        </w:rPr>
        <w:t>RECURRENTE</w:t>
      </w:r>
      <w:r w:rsidRPr="007B75FD">
        <w:rPr>
          <w:rFonts w:ascii="Palatino Linotype" w:eastAsia="Times New Roman" w:hAnsi="Palatino Linotype" w:cs="Times New Roman"/>
          <w:color w:val="000000" w:themeColor="text1"/>
        </w:rPr>
        <w:t xml:space="preserve"> la presente</w:t>
      </w:r>
      <w:r w:rsidRPr="007B75FD">
        <w:rPr>
          <w:rFonts w:ascii="Palatino Linotype" w:eastAsia="Times New Roman" w:hAnsi="Palatino Linotype" w:cs="Times New Roman"/>
          <w:color w:val="000000" w:themeColor="text1"/>
          <w:lang w:val="es-ES" w:eastAsia="es-MX"/>
        </w:rPr>
        <w:t xml:space="preserve"> Resolución, vía </w:t>
      </w:r>
      <w:r w:rsidRPr="007B75FD">
        <w:rPr>
          <w:rFonts w:ascii="Palatino Linotype" w:eastAsia="Times New Roman" w:hAnsi="Palatino Linotype" w:cs="Times New Roman"/>
          <w:b/>
          <w:color w:val="000000" w:themeColor="text1"/>
          <w:lang w:val="es-ES" w:eastAsia="es-MX"/>
        </w:rPr>
        <w:t>SAIMEX</w:t>
      </w:r>
      <w:r w:rsidRPr="007B75FD">
        <w:rPr>
          <w:rFonts w:ascii="Palatino Linotype" w:eastAsia="Times New Roman" w:hAnsi="Palatino Linotype" w:cs="Times New Roman"/>
          <w:color w:val="000000" w:themeColor="text1"/>
          <w:lang w:val="es-ES" w:eastAsia="es-MX"/>
        </w:rPr>
        <w:t>.</w:t>
      </w:r>
    </w:p>
    <w:p w:rsidR="004E42F1" w:rsidRPr="007B75FD" w:rsidRDefault="004E42F1" w:rsidP="007B75FD">
      <w:pPr>
        <w:tabs>
          <w:tab w:val="left" w:pos="8080"/>
        </w:tabs>
        <w:spacing w:line="360" w:lineRule="auto"/>
        <w:ind w:right="49"/>
        <w:jc w:val="both"/>
        <w:rPr>
          <w:rFonts w:ascii="Palatino Linotype" w:eastAsia="Times New Roman" w:hAnsi="Palatino Linotype" w:cs="Times New Roman"/>
          <w:color w:val="000000" w:themeColor="text1"/>
          <w:lang w:val="es-ES" w:eastAsia="es-MX"/>
        </w:rPr>
      </w:pPr>
    </w:p>
    <w:p w:rsidR="00194544" w:rsidRPr="007B75FD" w:rsidRDefault="00194544" w:rsidP="007B75FD">
      <w:pPr>
        <w:shd w:val="clear" w:color="auto" w:fill="FFFFFF"/>
        <w:spacing w:line="360" w:lineRule="auto"/>
        <w:ind w:right="49"/>
        <w:jc w:val="both"/>
        <w:rPr>
          <w:rFonts w:ascii="Palatino Linotype" w:eastAsia="Calibri" w:hAnsi="Palatino Linotype"/>
          <w:color w:val="000000" w:themeColor="text1"/>
          <w:lang w:val="es-MX" w:eastAsia="en-US"/>
        </w:rPr>
      </w:pPr>
      <w:r w:rsidRPr="007B75FD">
        <w:rPr>
          <w:rFonts w:ascii="Palatino Linotype" w:eastAsia="Calibri" w:hAnsi="Palatino Linotype"/>
          <w:b/>
          <w:color w:val="000000" w:themeColor="text1"/>
          <w:lang w:eastAsia="en-US"/>
        </w:rPr>
        <w:t xml:space="preserve">SEXTO. </w:t>
      </w:r>
      <w:r w:rsidRPr="007B75FD">
        <w:rPr>
          <w:rFonts w:ascii="Palatino Linotype" w:eastAsia="Calibri" w:hAnsi="Palatino Linotype"/>
          <w:color w:val="000000" w:themeColor="text1"/>
          <w:lang w:eastAsia="en-US"/>
        </w:rPr>
        <w:t>Se hace del conocimiento del</w:t>
      </w:r>
      <w:r w:rsidRPr="007B75FD">
        <w:rPr>
          <w:rFonts w:ascii="Palatino Linotype" w:eastAsia="Calibri" w:hAnsi="Palatino Linotype"/>
          <w:b/>
          <w:color w:val="000000" w:themeColor="text1"/>
          <w:lang w:eastAsia="en-US"/>
        </w:rPr>
        <w:t xml:space="preserve"> RECURRENTE </w:t>
      </w:r>
      <w:r w:rsidRPr="007B75FD">
        <w:rPr>
          <w:rFonts w:ascii="Palatino Linotype" w:eastAsia="Calibri"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B75FD" w:rsidRPr="007B75FD" w:rsidRDefault="007B75FD" w:rsidP="007B75FD">
      <w:pPr>
        <w:shd w:val="clear" w:color="auto" w:fill="FFFFFF"/>
        <w:spacing w:line="360" w:lineRule="auto"/>
        <w:ind w:right="49"/>
        <w:jc w:val="both"/>
        <w:rPr>
          <w:rFonts w:ascii="Palatino Linotype" w:eastAsia="Palatino Linotype" w:hAnsi="Palatino Linotype" w:cs="Palatino Linotype"/>
          <w:color w:val="000000" w:themeColor="text1"/>
        </w:rPr>
      </w:pPr>
    </w:p>
    <w:p w:rsidR="007B75FD" w:rsidRPr="00444783" w:rsidRDefault="007B75FD" w:rsidP="007B75FD">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B84DF1" w:rsidRPr="007B75FD" w:rsidRDefault="00B84DF1" w:rsidP="007B75FD">
      <w:pPr>
        <w:shd w:val="clear" w:color="auto" w:fill="FFFFFF"/>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p w:rsidR="00B84DF1" w:rsidRPr="007B75FD" w:rsidRDefault="009D3673" w:rsidP="007B75FD">
      <w:pPr>
        <w:tabs>
          <w:tab w:val="left" w:pos="3374"/>
        </w:tabs>
        <w:spacing w:line="360" w:lineRule="auto"/>
        <w:ind w:right="49"/>
        <w:jc w:val="both"/>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ab/>
      </w:r>
    </w:p>
    <w:p w:rsidR="00B84DF1" w:rsidRPr="007B75FD" w:rsidRDefault="00B84DF1" w:rsidP="007B75FD">
      <w:pPr>
        <w:tabs>
          <w:tab w:val="left" w:pos="3374"/>
        </w:tabs>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tabs>
          <w:tab w:val="left" w:pos="3374"/>
        </w:tabs>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tabs>
          <w:tab w:val="left" w:pos="3374"/>
        </w:tabs>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tabs>
          <w:tab w:val="left" w:pos="3374"/>
        </w:tabs>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tabs>
          <w:tab w:val="left" w:pos="3374"/>
        </w:tabs>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tabs>
          <w:tab w:val="left" w:pos="3374"/>
        </w:tabs>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tabs>
          <w:tab w:val="left" w:pos="3374"/>
        </w:tabs>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tabs>
          <w:tab w:val="left" w:pos="3374"/>
        </w:tabs>
        <w:spacing w:line="360" w:lineRule="auto"/>
        <w:ind w:right="49"/>
        <w:jc w:val="both"/>
        <w:rPr>
          <w:rFonts w:ascii="Palatino Linotype" w:eastAsia="Palatino Linotype" w:hAnsi="Palatino Linotype" w:cs="Palatino Linotype"/>
          <w:color w:val="000000" w:themeColor="text1"/>
        </w:rPr>
      </w:pPr>
    </w:p>
    <w:p w:rsidR="00B84DF1" w:rsidRPr="007B75FD" w:rsidRDefault="00B84DF1" w:rsidP="007B75FD">
      <w:pPr>
        <w:spacing w:line="360" w:lineRule="auto"/>
        <w:ind w:right="49"/>
        <w:jc w:val="both"/>
        <w:rPr>
          <w:rFonts w:ascii="Palatino Linotype" w:eastAsia="Palatino Linotype" w:hAnsi="Palatino Linotype" w:cs="Palatino Linotype"/>
          <w:color w:val="000000" w:themeColor="text1"/>
        </w:rPr>
      </w:pPr>
    </w:p>
    <w:sectPr w:rsidR="00B84DF1" w:rsidRPr="007B75FD" w:rsidSect="00357A9C">
      <w:headerReference w:type="even" r:id="rId9"/>
      <w:headerReference w:type="default" r:id="rId10"/>
      <w:footerReference w:type="default" r:id="rId11"/>
      <w:headerReference w:type="first" r:id="rId12"/>
      <w:footerReference w:type="first" r:id="rId13"/>
      <w:pgSz w:w="12240" w:h="15840"/>
      <w:pgMar w:top="2268"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B4D" w:rsidRDefault="00FE2B4D">
      <w:r>
        <w:separator/>
      </w:r>
    </w:p>
  </w:endnote>
  <w:endnote w:type="continuationSeparator" w:id="0">
    <w:p w:rsidR="00FE2B4D" w:rsidRDefault="00FE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102" w:rsidRDefault="00D5510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4123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41235">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D55102" w:rsidRDefault="00D5510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102" w:rsidRDefault="00D5510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4123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41235">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D55102" w:rsidRDefault="00D5510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B4D" w:rsidRDefault="00FE2B4D">
      <w:r>
        <w:separator/>
      </w:r>
    </w:p>
  </w:footnote>
  <w:footnote w:type="continuationSeparator" w:id="0">
    <w:p w:rsidR="00FE2B4D" w:rsidRDefault="00FE2B4D">
      <w:r>
        <w:continuationSeparator/>
      </w:r>
    </w:p>
  </w:footnote>
  <w:footnote w:id="1">
    <w:p w:rsidR="00D55102" w:rsidRDefault="00D55102" w:rsidP="00871D55">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2">
    <w:p w:rsidR="00D55102" w:rsidRDefault="00D55102" w:rsidP="00871D55">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3">
    <w:p w:rsidR="00D55102" w:rsidRDefault="00D55102" w:rsidP="00871D5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D55102" w:rsidRDefault="00D55102" w:rsidP="00871D5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D55102" w:rsidRDefault="00D55102" w:rsidP="00871D55">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D55102" w:rsidRDefault="00D55102" w:rsidP="00871D5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D55102" w:rsidRDefault="00D55102" w:rsidP="00871D5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D55102" w:rsidRDefault="00D55102" w:rsidP="00871D55">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102" w:rsidRDefault="00FE2B4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087" w:type="dxa"/>
      <w:tblInd w:w="3261" w:type="dxa"/>
      <w:tblLayout w:type="fixed"/>
      <w:tblLook w:val="0400" w:firstRow="0" w:lastRow="0" w:firstColumn="0" w:lastColumn="0" w:noHBand="0" w:noVBand="1"/>
    </w:tblPr>
    <w:tblGrid>
      <w:gridCol w:w="2976"/>
      <w:gridCol w:w="4111"/>
    </w:tblGrid>
    <w:tr w:rsidR="007B75FD" w:rsidRPr="007B75FD" w:rsidTr="00357A9C">
      <w:trPr>
        <w:trHeight w:val="227"/>
      </w:trPr>
      <w:tc>
        <w:tcPr>
          <w:tcW w:w="2976" w:type="dxa"/>
          <w:vAlign w:val="center"/>
        </w:tcPr>
        <w:p w:rsidR="00D55102" w:rsidRPr="007B75FD" w:rsidRDefault="00D55102" w:rsidP="007B75FD">
          <w:pPr>
            <w:ind w:right="34"/>
            <w:jc w:val="right"/>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b/>
              <w:color w:val="000000" w:themeColor="text1"/>
            </w:rPr>
            <w:t>Recurso de Revisión:</w:t>
          </w:r>
        </w:p>
      </w:tc>
      <w:tc>
        <w:tcPr>
          <w:tcW w:w="4111" w:type="dxa"/>
          <w:vAlign w:val="center"/>
        </w:tcPr>
        <w:p w:rsidR="00D55102" w:rsidRPr="007B75FD" w:rsidRDefault="00D55102" w:rsidP="007B75FD">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7B75FD">
            <w:rPr>
              <w:rFonts w:ascii="Palatino Linotype" w:eastAsia="Palatino Linotype" w:hAnsi="Palatino Linotype" w:cs="Palatino Linotype"/>
              <w:color w:val="000000" w:themeColor="text1"/>
            </w:rPr>
            <w:t>05073/INFOEM/IP/RR/2025</w:t>
          </w:r>
        </w:p>
      </w:tc>
    </w:tr>
    <w:tr w:rsidR="007B75FD" w:rsidRPr="007B75FD" w:rsidTr="00357A9C">
      <w:trPr>
        <w:trHeight w:val="242"/>
      </w:trPr>
      <w:tc>
        <w:tcPr>
          <w:tcW w:w="2976" w:type="dxa"/>
          <w:vAlign w:val="center"/>
        </w:tcPr>
        <w:p w:rsidR="00D55102" w:rsidRPr="007B75FD" w:rsidRDefault="00D55102" w:rsidP="007B75FD">
          <w:pPr>
            <w:ind w:right="34"/>
            <w:jc w:val="right"/>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b/>
              <w:color w:val="000000" w:themeColor="text1"/>
            </w:rPr>
            <w:t>Sujeto Obligado:</w:t>
          </w:r>
        </w:p>
      </w:tc>
      <w:tc>
        <w:tcPr>
          <w:tcW w:w="4111" w:type="dxa"/>
          <w:vAlign w:val="center"/>
        </w:tcPr>
        <w:p w:rsidR="00D55102" w:rsidRPr="007B75FD" w:rsidRDefault="00D55102" w:rsidP="007B75FD">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7B75FD">
            <w:rPr>
              <w:rFonts w:ascii="Palatino Linotype" w:eastAsia="Palatino Linotype" w:hAnsi="Palatino Linotype" w:cs="Palatino Linotype"/>
              <w:color w:val="000000" w:themeColor="text1"/>
            </w:rPr>
            <w:t>Ayuntamiento de Zinacantepec</w:t>
          </w:r>
        </w:p>
      </w:tc>
    </w:tr>
    <w:tr w:rsidR="007B75FD" w:rsidRPr="007B75FD" w:rsidTr="00357A9C">
      <w:trPr>
        <w:trHeight w:val="342"/>
      </w:trPr>
      <w:tc>
        <w:tcPr>
          <w:tcW w:w="2976" w:type="dxa"/>
          <w:vAlign w:val="center"/>
        </w:tcPr>
        <w:p w:rsidR="00D55102" w:rsidRPr="007B75FD" w:rsidRDefault="00D55102" w:rsidP="007B75FD">
          <w:pPr>
            <w:ind w:right="34"/>
            <w:jc w:val="right"/>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b/>
              <w:color w:val="000000" w:themeColor="text1"/>
            </w:rPr>
            <w:t>Comisionada Ponente:</w:t>
          </w:r>
        </w:p>
      </w:tc>
      <w:tc>
        <w:tcPr>
          <w:tcW w:w="4111" w:type="dxa"/>
          <w:vAlign w:val="center"/>
        </w:tcPr>
        <w:p w:rsidR="00D55102" w:rsidRPr="007B75FD" w:rsidRDefault="00D55102" w:rsidP="007B75FD">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María del Rosario Mejía Ayala</w:t>
          </w:r>
        </w:p>
      </w:tc>
    </w:tr>
  </w:tbl>
  <w:p w:rsidR="00D55102" w:rsidRDefault="00FE2B4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2.15pt;margin-top:-11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371" w:type="dxa"/>
      <w:tblInd w:w="3402" w:type="dxa"/>
      <w:tblLayout w:type="fixed"/>
      <w:tblLook w:val="0400" w:firstRow="0" w:lastRow="0" w:firstColumn="0" w:lastColumn="0" w:noHBand="0" w:noVBand="1"/>
    </w:tblPr>
    <w:tblGrid>
      <w:gridCol w:w="2977"/>
      <w:gridCol w:w="4394"/>
    </w:tblGrid>
    <w:tr w:rsidR="00D55102" w:rsidTr="00357A9C">
      <w:trPr>
        <w:trHeight w:val="227"/>
      </w:trPr>
      <w:tc>
        <w:tcPr>
          <w:tcW w:w="2977" w:type="dxa"/>
          <w:vAlign w:val="center"/>
        </w:tcPr>
        <w:p w:rsidR="00D55102" w:rsidRPr="007B75FD" w:rsidRDefault="00D55102" w:rsidP="007B75FD">
          <w:pPr>
            <w:jc w:val="right"/>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b/>
              <w:color w:val="000000" w:themeColor="text1"/>
            </w:rPr>
            <w:t>Recurso de Revisión:</w:t>
          </w:r>
        </w:p>
      </w:tc>
      <w:tc>
        <w:tcPr>
          <w:tcW w:w="4394" w:type="dxa"/>
          <w:vAlign w:val="center"/>
        </w:tcPr>
        <w:p w:rsidR="00D55102" w:rsidRPr="007B75FD" w:rsidRDefault="00D55102" w:rsidP="007B75FD">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7B75FD">
            <w:rPr>
              <w:rFonts w:ascii="Palatino Linotype" w:eastAsia="Palatino Linotype" w:hAnsi="Palatino Linotype" w:cs="Palatino Linotype"/>
              <w:color w:val="000000" w:themeColor="text1"/>
            </w:rPr>
            <w:t>05073/INFOEM/IP/RR/2025</w:t>
          </w:r>
        </w:p>
      </w:tc>
    </w:tr>
    <w:tr w:rsidR="00D55102" w:rsidTr="00357A9C">
      <w:trPr>
        <w:trHeight w:val="242"/>
      </w:trPr>
      <w:tc>
        <w:tcPr>
          <w:tcW w:w="2977" w:type="dxa"/>
          <w:vAlign w:val="center"/>
        </w:tcPr>
        <w:p w:rsidR="00D55102" w:rsidRPr="007B75FD" w:rsidRDefault="00D55102" w:rsidP="007B75FD">
          <w:pPr>
            <w:jc w:val="right"/>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b/>
              <w:color w:val="000000" w:themeColor="text1"/>
            </w:rPr>
            <w:t>Recurrente:</w:t>
          </w:r>
        </w:p>
      </w:tc>
      <w:tc>
        <w:tcPr>
          <w:tcW w:w="4394" w:type="dxa"/>
        </w:tcPr>
        <w:p w:rsidR="00D55102" w:rsidRPr="007B75FD" w:rsidRDefault="00D55102" w:rsidP="007B75FD">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D55102" w:rsidTr="00357A9C">
      <w:trPr>
        <w:trHeight w:val="342"/>
      </w:trPr>
      <w:tc>
        <w:tcPr>
          <w:tcW w:w="2977" w:type="dxa"/>
          <w:vAlign w:val="center"/>
        </w:tcPr>
        <w:p w:rsidR="00D55102" w:rsidRPr="007B75FD" w:rsidRDefault="00D55102" w:rsidP="007B75FD">
          <w:pPr>
            <w:jc w:val="right"/>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b/>
              <w:color w:val="000000" w:themeColor="text1"/>
            </w:rPr>
            <w:t>Sujeto Obligado:</w:t>
          </w:r>
        </w:p>
      </w:tc>
      <w:tc>
        <w:tcPr>
          <w:tcW w:w="4394" w:type="dxa"/>
          <w:vAlign w:val="center"/>
        </w:tcPr>
        <w:p w:rsidR="00D55102" w:rsidRPr="007B75FD" w:rsidRDefault="00D55102" w:rsidP="007B75FD">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7B75FD">
            <w:rPr>
              <w:rFonts w:ascii="Palatino Linotype" w:eastAsia="Palatino Linotype" w:hAnsi="Palatino Linotype" w:cs="Palatino Linotype"/>
              <w:color w:val="000000" w:themeColor="text1"/>
            </w:rPr>
            <w:t>Ayuntamiento de Zinacantepec</w:t>
          </w:r>
        </w:p>
      </w:tc>
    </w:tr>
    <w:tr w:rsidR="00D55102" w:rsidTr="00357A9C">
      <w:trPr>
        <w:trHeight w:val="342"/>
      </w:trPr>
      <w:tc>
        <w:tcPr>
          <w:tcW w:w="2977" w:type="dxa"/>
          <w:vAlign w:val="center"/>
        </w:tcPr>
        <w:p w:rsidR="00D55102" w:rsidRPr="007B75FD" w:rsidRDefault="00D55102" w:rsidP="007B75FD">
          <w:pPr>
            <w:jc w:val="right"/>
            <w:rPr>
              <w:rFonts w:ascii="Palatino Linotype" w:eastAsia="Palatino Linotype" w:hAnsi="Palatino Linotype" w:cs="Palatino Linotype"/>
              <w:b/>
              <w:color w:val="000000" w:themeColor="text1"/>
            </w:rPr>
          </w:pPr>
          <w:r w:rsidRPr="007B75FD">
            <w:rPr>
              <w:rFonts w:ascii="Palatino Linotype" w:eastAsia="Palatino Linotype" w:hAnsi="Palatino Linotype" w:cs="Palatino Linotype"/>
              <w:b/>
              <w:color w:val="000000" w:themeColor="text1"/>
            </w:rPr>
            <w:t>Comisionada Ponente:</w:t>
          </w:r>
        </w:p>
      </w:tc>
      <w:tc>
        <w:tcPr>
          <w:tcW w:w="4394" w:type="dxa"/>
          <w:vAlign w:val="center"/>
        </w:tcPr>
        <w:p w:rsidR="00D55102" w:rsidRPr="007B75FD" w:rsidRDefault="00D55102" w:rsidP="007B75FD">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7B75FD">
            <w:rPr>
              <w:rFonts w:ascii="Palatino Linotype" w:eastAsia="Palatino Linotype" w:hAnsi="Palatino Linotype" w:cs="Palatino Linotype"/>
              <w:color w:val="000000" w:themeColor="text1"/>
            </w:rPr>
            <w:t>María del Rosario Mejía Ayala</w:t>
          </w:r>
        </w:p>
      </w:tc>
    </w:tr>
  </w:tbl>
  <w:p w:rsidR="00D55102" w:rsidRDefault="00FE2B4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1.3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C91A1C"/>
    <w:multiLevelType w:val="hybridMultilevel"/>
    <w:tmpl w:val="C14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A5D0D"/>
    <w:multiLevelType w:val="hybridMultilevel"/>
    <w:tmpl w:val="EA0A0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2D5048"/>
    <w:multiLevelType w:val="multilevel"/>
    <w:tmpl w:val="4FACD004"/>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515" w:hanging="720"/>
      </w:pPr>
      <w:rPr>
        <w:rFonts w:ascii="Palatino Linotype" w:eastAsia="Palatino Linotype" w:hAnsi="Palatino Linotype" w:cs="Palatino Linotype"/>
        <w:b/>
        <w:color w:val="000000"/>
        <w:sz w:val="24"/>
        <w:szCs w:val="24"/>
      </w:rPr>
    </w:lvl>
    <w:lvl w:ilvl="2">
      <w:start w:val="4"/>
      <w:numFmt w:val="lowerRoman"/>
      <w:lvlText w:val="%3."/>
      <w:lvlJc w:val="right"/>
      <w:pPr>
        <w:ind w:left="1875" w:hanging="180"/>
      </w:pPr>
    </w:lvl>
    <w:lvl w:ilvl="3">
      <w:start w:val="1"/>
      <w:numFmt w:val="lowerLetter"/>
      <w:lvlText w:val="%4)"/>
      <w:lvlJc w:val="left"/>
      <w:pPr>
        <w:ind w:left="359" w:hanging="358"/>
      </w:pPr>
    </w:lvl>
    <w:lvl w:ilvl="4">
      <w:start w:val="104"/>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6" w15:restartNumberingAfterBreak="0">
    <w:nsid w:val="1D34034D"/>
    <w:multiLevelType w:val="multilevel"/>
    <w:tmpl w:val="0B5C2BA2"/>
    <w:lvl w:ilvl="0">
      <w:start w:val="1"/>
      <w:numFmt w:val="lowerLetter"/>
      <w:lvlText w:val="%1)"/>
      <w:lvlJc w:val="left"/>
      <w:pPr>
        <w:ind w:left="1068" w:hanging="360"/>
      </w:pPr>
      <w:rPr>
        <w:rFonts w:hint="default"/>
      </w:rPr>
    </w:lvl>
    <w:lvl w:ilvl="1">
      <w:start w:val="1"/>
      <w:numFmt w:val="bullet"/>
      <w:lvlText w:val="o"/>
      <w:lvlJc w:val="left"/>
      <w:pPr>
        <w:ind w:left="1788" w:hanging="360"/>
      </w:pPr>
      <w:rPr>
        <w:rFonts w:ascii="Courier New" w:eastAsia="Courier New" w:hAnsi="Courier New" w:cs="Courier New" w:hint="default"/>
      </w:rPr>
    </w:lvl>
    <w:lvl w:ilvl="2">
      <w:start w:val="1"/>
      <w:numFmt w:val="bullet"/>
      <w:lvlText w:val="▪"/>
      <w:lvlJc w:val="left"/>
      <w:pPr>
        <w:ind w:left="2508" w:hanging="360"/>
      </w:pPr>
      <w:rPr>
        <w:rFonts w:ascii="Noto Sans Symbols" w:eastAsia="Noto Sans Symbols" w:hAnsi="Noto Sans Symbols" w:cs="Noto Sans Symbols" w:hint="default"/>
      </w:rPr>
    </w:lvl>
    <w:lvl w:ilvl="3">
      <w:start w:val="1"/>
      <w:numFmt w:val="bullet"/>
      <w:lvlText w:val="●"/>
      <w:lvlJc w:val="left"/>
      <w:pPr>
        <w:ind w:left="3228" w:hanging="360"/>
      </w:pPr>
      <w:rPr>
        <w:rFonts w:ascii="Noto Sans Symbols" w:eastAsia="Noto Sans Symbols" w:hAnsi="Noto Sans Symbols" w:cs="Noto Sans Symbols" w:hint="default"/>
      </w:rPr>
    </w:lvl>
    <w:lvl w:ilvl="4">
      <w:start w:val="1"/>
      <w:numFmt w:val="bullet"/>
      <w:lvlText w:val="o"/>
      <w:lvlJc w:val="left"/>
      <w:pPr>
        <w:ind w:left="3948" w:hanging="360"/>
      </w:pPr>
      <w:rPr>
        <w:rFonts w:ascii="Courier New" w:eastAsia="Courier New" w:hAnsi="Courier New" w:cs="Courier New" w:hint="default"/>
      </w:rPr>
    </w:lvl>
    <w:lvl w:ilvl="5">
      <w:start w:val="1"/>
      <w:numFmt w:val="bullet"/>
      <w:lvlText w:val="▪"/>
      <w:lvlJc w:val="left"/>
      <w:pPr>
        <w:ind w:left="4668" w:hanging="360"/>
      </w:pPr>
      <w:rPr>
        <w:rFonts w:ascii="Noto Sans Symbols" w:eastAsia="Noto Sans Symbols" w:hAnsi="Noto Sans Symbols" w:cs="Noto Sans Symbols" w:hint="default"/>
      </w:rPr>
    </w:lvl>
    <w:lvl w:ilvl="6">
      <w:start w:val="1"/>
      <w:numFmt w:val="bullet"/>
      <w:lvlText w:val="●"/>
      <w:lvlJc w:val="left"/>
      <w:pPr>
        <w:ind w:left="5388" w:hanging="360"/>
      </w:pPr>
      <w:rPr>
        <w:rFonts w:ascii="Noto Sans Symbols" w:eastAsia="Noto Sans Symbols" w:hAnsi="Noto Sans Symbols" w:cs="Noto Sans Symbols" w:hint="default"/>
      </w:rPr>
    </w:lvl>
    <w:lvl w:ilvl="7">
      <w:start w:val="1"/>
      <w:numFmt w:val="bullet"/>
      <w:lvlText w:val="o"/>
      <w:lvlJc w:val="left"/>
      <w:pPr>
        <w:ind w:left="6108" w:hanging="360"/>
      </w:pPr>
      <w:rPr>
        <w:rFonts w:ascii="Courier New" w:eastAsia="Courier New" w:hAnsi="Courier New" w:cs="Courier New" w:hint="default"/>
      </w:rPr>
    </w:lvl>
    <w:lvl w:ilvl="8">
      <w:start w:val="1"/>
      <w:numFmt w:val="bullet"/>
      <w:lvlText w:val="▪"/>
      <w:lvlJc w:val="left"/>
      <w:pPr>
        <w:ind w:left="6828" w:hanging="360"/>
      </w:pPr>
      <w:rPr>
        <w:rFonts w:ascii="Noto Sans Symbols" w:eastAsia="Noto Sans Symbols" w:hAnsi="Noto Sans Symbols" w:cs="Noto Sans Symbols" w:hint="default"/>
      </w:rPr>
    </w:lvl>
  </w:abstractNum>
  <w:abstractNum w:abstractNumId="7" w15:restartNumberingAfterBreak="0">
    <w:nsid w:val="25003D2F"/>
    <w:multiLevelType w:val="hybridMultilevel"/>
    <w:tmpl w:val="27BE30CA"/>
    <w:lvl w:ilvl="0" w:tplc="FA7C2566">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8"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7291810"/>
    <w:multiLevelType w:val="multilevel"/>
    <w:tmpl w:val="875C4CB6"/>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23"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6"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9"/>
  </w:num>
  <w:num w:numId="3">
    <w:abstractNumId w:val="16"/>
  </w:num>
  <w:num w:numId="4">
    <w:abstractNumId w:val="23"/>
  </w:num>
  <w:num w:numId="5">
    <w:abstractNumId w:val="22"/>
  </w:num>
  <w:num w:numId="6">
    <w:abstractNumId w:val="2"/>
  </w:num>
  <w:num w:numId="7">
    <w:abstractNumId w:val="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6"/>
    <w:lvlOverride w:ilvl="0">
      <w:lvl w:ilvl="0">
        <w:numFmt w:val="decimal"/>
        <w:lvlText w:val="%1."/>
        <w:lvlJc w:val="left"/>
        <w:rPr>
          <w:b/>
        </w:rPr>
      </w:lvl>
    </w:lvlOverride>
  </w:num>
  <w:num w:numId="11">
    <w:abstractNumId w:val="11"/>
  </w:num>
  <w:num w:numId="12">
    <w:abstractNumId w:val="13"/>
  </w:num>
  <w:num w:numId="13">
    <w:abstractNumId w:val="3"/>
  </w:num>
  <w:num w:numId="14">
    <w:abstractNumId w:val="25"/>
  </w:num>
  <w:num w:numId="15">
    <w:abstractNumId w:val="14"/>
  </w:num>
  <w:num w:numId="16">
    <w:abstractNumId w:val="10"/>
  </w:num>
  <w:num w:numId="17">
    <w:abstractNumId w:val="20"/>
  </w:num>
  <w:num w:numId="18">
    <w:abstractNumId w:val="24"/>
  </w:num>
  <w:num w:numId="19">
    <w:abstractNumId w:val="18"/>
  </w:num>
  <w:num w:numId="20">
    <w:abstractNumId w:val="5"/>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1"/>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41443"/>
    <w:rsid w:val="00053809"/>
    <w:rsid w:val="000578CC"/>
    <w:rsid w:val="000A6833"/>
    <w:rsid w:val="000B1692"/>
    <w:rsid w:val="000B1E4A"/>
    <w:rsid w:val="000B554D"/>
    <w:rsid w:val="000C1666"/>
    <w:rsid w:val="000C7A68"/>
    <w:rsid w:val="000E7F59"/>
    <w:rsid w:val="000F1E77"/>
    <w:rsid w:val="00120600"/>
    <w:rsid w:val="001268E9"/>
    <w:rsid w:val="00134848"/>
    <w:rsid w:val="001372B0"/>
    <w:rsid w:val="00137E3A"/>
    <w:rsid w:val="00141235"/>
    <w:rsid w:val="00190AFA"/>
    <w:rsid w:val="00194544"/>
    <w:rsid w:val="001B604D"/>
    <w:rsid w:val="001C3453"/>
    <w:rsid w:val="001F4159"/>
    <w:rsid w:val="001F4487"/>
    <w:rsid w:val="0020206C"/>
    <w:rsid w:val="0021003A"/>
    <w:rsid w:val="0023609E"/>
    <w:rsid w:val="002536CF"/>
    <w:rsid w:val="00254F8F"/>
    <w:rsid w:val="00256B55"/>
    <w:rsid w:val="00260274"/>
    <w:rsid w:val="0026452F"/>
    <w:rsid w:val="00267DE2"/>
    <w:rsid w:val="0029404D"/>
    <w:rsid w:val="002B1760"/>
    <w:rsid w:val="002C1B68"/>
    <w:rsid w:val="002E0DF4"/>
    <w:rsid w:val="002E5220"/>
    <w:rsid w:val="00316725"/>
    <w:rsid w:val="00357A9C"/>
    <w:rsid w:val="003A10C2"/>
    <w:rsid w:val="003B54B3"/>
    <w:rsid w:val="003C24E7"/>
    <w:rsid w:val="003D2130"/>
    <w:rsid w:val="003D622F"/>
    <w:rsid w:val="003D7E7B"/>
    <w:rsid w:val="003E15C4"/>
    <w:rsid w:val="003E6A6E"/>
    <w:rsid w:val="003F6BB8"/>
    <w:rsid w:val="004242F2"/>
    <w:rsid w:val="00425628"/>
    <w:rsid w:val="00435EA5"/>
    <w:rsid w:val="00444423"/>
    <w:rsid w:val="00454DEC"/>
    <w:rsid w:val="004656BC"/>
    <w:rsid w:val="004739A0"/>
    <w:rsid w:val="004A0C6B"/>
    <w:rsid w:val="004E2345"/>
    <w:rsid w:val="004E42F1"/>
    <w:rsid w:val="004E4B9F"/>
    <w:rsid w:val="004F40FD"/>
    <w:rsid w:val="005254F3"/>
    <w:rsid w:val="005531B6"/>
    <w:rsid w:val="00561B00"/>
    <w:rsid w:val="00591803"/>
    <w:rsid w:val="005A4A62"/>
    <w:rsid w:val="005D593D"/>
    <w:rsid w:val="006027C3"/>
    <w:rsid w:val="006261B6"/>
    <w:rsid w:val="006535A3"/>
    <w:rsid w:val="00654047"/>
    <w:rsid w:val="00655B77"/>
    <w:rsid w:val="006629EE"/>
    <w:rsid w:val="00681C04"/>
    <w:rsid w:val="00683338"/>
    <w:rsid w:val="00704604"/>
    <w:rsid w:val="00714C89"/>
    <w:rsid w:val="007219D3"/>
    <w:rsid w:val="00732B28"/>
    <w:rsid w:val="00770959"/>
    <w:rsid w:val="00774A85"/>
    <w:rsid w:val="00783F54"/>
    <w:rsid w:val="007843D1"/>
    <w:rsid w:val="00792763"/>
    <w:rsid w:val="007A0005"/>
    <w:rsid w:val="007A402E"/>
    <w:rsid w:val="007B75FD"/>
    <w:rsid w:val="007D45E8"/>
    <w:rsid w:val="007D4A48"/>
    <w:rsid w:val="0081308A"/>
    <w:rsid w:val="0081462E"/>
    <w:rsid w:val="00817964"/>
    <w:rsid w:val="00825F36"/>
    <w:rsid w:val="008311D3"/>
    <w:rsid w:val="00842AE7"/>
    <w:rsid w:val="008704F4"/>
    <w:rsid w:val="00870735"/>
    <w:rsid w:val="00871D55"/>
    <w:rsid w:val="008849B8"/>
    <w:rsid w:val="00885F80"/>
    <w:rsid w:val="008F2653"/>
    <w:rsid w:val="009179E0"/>
    <w:rsid w:val="00925885"/>
    <w:rsid w:val="00941A88"/>
    <w:rsid w:val="00961CA6"/>
    <w:rsid w:val="00992F46"/>
    <w:rsid w:val="009B1E9E"/>
    <w:rsid w:val="009D3673"/>
    <w:rsid w:val="009F7C6A"/>
    <w:rsid w:val="00A1164D"/>
    <w:rsid w:val="00A36A65"/>
    <w:rsid w:val="00A465C6"/>
    <w:rsid w:val="00A74389"/>
    <w:rsid w:val="00A75239"/>
    <w:rsid w:val="00A979E2"/>
    <w:rsid w:val="00AA153C"/>
    <w:rsid w:val="00AA22C2"/>
    <w:rsid w:val="00AC01CA"/>
    <w:rsid w:val="00AD2D90"/>
    <w:rsid w:val="00AD30C0"/>
    <w:rsid w:val="00AD404A"/>
    <w:rsid w:val="00AD753F"/>
    <w:rsid w:val="00AF15AF"/>
    <w:rsid w:val="00B01467"/>
    <w:rsid w:val="00B02063"/>
    <w:rsid w:val="00B11C54"/>
    <w:rsid w:val="00B218CE"/>
    <w:rsid w:val="00B21ADF"/>
    <w:rsid w:val="00B3387E"/>
    <w:rsid w:val="00B36DB4"/>
    <w:rsid w:val="00B41162"/>
    <w:rsid w:val="00B44995"/>
    <w:rsid w:val="00B84DF1"/>
    <w:rsid w:val="00B87F63"/>
    <w:rsid w:val="00B91685"/>
    <w:rsid w:val="00BD1C92"/>
    <w:rsid w:val="00BD6479"/>
    <w:rsid w:val="00C00ED0"/>
    <w:rsid w:val="00C40549"/>
    <w:rsid w:val="00C40B7F"/>
    <w:rsid w:val="00C62E93"/>
    <w:rsid w:val="00C80FCD"/>
    <w:rsid w:val="00CB4A28"/>
    <w:rsid w:val="00CC0031"/>
    <w:rsid w:val="00CC616B"/>
    <w:rsid w:val="00CD27D3"/>
    <w:rsid w:val="00CF698F"/>
    <w:rsid w:val="00D55102"/>
    <w:rsid w:val="00D82D8C"/>
    <w:rsid w:val="00DA717F"/>
    <w:rsid w:val="00DB20B2"/>
    <w:rsid w:val="00DB43E9"/>
    <w:rsid w:val="00DC2BB2"/>
    <w:rsid w:val="00DC4B10"/>
    <w:rsid w:val="00DC7C5B"/>
    <w:rsid w:val="00DD2D9F"/>
    <w:rsid w:val="00DD370B"/>
    <w:rsid w:val="00DF2FE0"/>
    <w:rsid w:val="00DF36EF"/>
    <w:rsid w:val="00E00C4A"/>
    <w:rsid w:val="00E30F92"/>
    <w:rsid w:val="00E962AE"/>
    <w:rsid w:val="00EB041A"/>
    <w:rsid w:val="00EC5163"/>
    <w:rsid w:val="00EE6F03"/>
    <w:rsid w:val="00EF1144"/>
    <w:rsid w:val="00EF4F1C"/>
    <w:rsid w:val="00F167E6"/>
    <w:rsid w:val="00F17476"/>
    <w:rsid w:val="00F24B38"/>
    <w:rsid w:val="00F321D3"/>
    <w:rsid w:val="00F40827"/>
    <w:rsid w:val="00F467FD"/>
    <w:rsid w:val="00F52821"/>
    <w:rsid w:val="00F83ABE"/>
    <w:rsid w:val="00F916D5"/>
    <w:rsid w:val="00F97F2C"/>
    <w:rsid w:val="00FB07EE"/>
    <w:rsid w:val="00FE2B4D"/>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9DD654-982C-4666-B9DF-0AC20FF1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6727</Words>
  <Characters>37001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8</cp:revision>
  <cp:lastPrinted>2025-11-21T19:37:00Z</cp:lastPrinted>
  <dcterms:created xsi:type="dcterms:W3CDTF">2025-11-18T19:07:00Z</dcterms:created>
  <dcterms:modified xsi:type="dcterms:W3CDTF">2025-11-28T19:18:00Z</dcterms:modified>
</cp:coreProperties>
</file>