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2222FC" w14:textId="77777777" w:rsidR="009B425B" w:rsidRPr="0008269D" w:rsidRDefault="000241E3">
      <w:pPr>
        <w:spacing w:before="240" w:after="240" w:line="360" w:lineRule="auto"/>
        <w:jc w:val="both"/>
        <w:rPr>
          <w:rFonts w:ascii="Palatino Linotype" w:eastAsia="Palatino Linotype" w:hAnsi="Palatino Linotype" w:cs="Palatino Linotype"/>
          <w:sz w:val="22"/>
          <w:szCs w:val="22"/>
        </w:rPr>
      </w:pPr>
      <w:bookmarkStart w:id="0" w:name="_heading=h.3rdcrjn" w:colFirst="0" w:colLast="0"/>
      <w:bookmarkEnd w:id="0"/>
      <w:r w:rsidRPr="0008269D">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veinte de noviembre de dos mil veinticinco. </w:t>
      </w:r>
    </w:p>
    <w:p w14:paraId="29A4F092" w14:textId="0A2EDDB5" w:rsidR="009B425B" w:rsidRPr="0008269D" w:rsidRDefault="000241E3">
      <w:pPr>
        <w:tabs>
          <w:tab w:val="left" w:pos="5812"/>
        </w:tabs>
        <w:spacing w:before="240" w:after="240" w:line="360" w:lineRule="auto"/>
        <w:jc w:val="both"/>
        <w:rPr>
          <w:rFonts w:ascii="Palatino Linotype" w:eastAsia="Palatino Linotype" w:hAnsi="Palatino Linotype" w:cs="Palatino Linotype"/>
          <w:sz w:val="22"/>
          <w:szCs w:val="22"/>
        </w:rPr>
      </w:pPr>
      <w:bookmarkStart w:id="1" w:name="_heading=h.daj3j2xo6q66" w:colFirst="0" w:colLast="0"/>
      <w:bookmarkEnd w:id="1"/>
      <w:r w:rsidRPr="0008269D">
        <w:rPr>
          <w:rFonts w:ascii="Palatino Linotype" w:eastAsia="Palatino Linotype" w:hAnsi="Palatino Linotype" w:cs="Palatino Linotype"/>
          <w:b/>
          <w:bCs/>
          <w:sz w:val="22"/>
          <w:szCs w:val="22"/>
        </w:rPr>
        <w:t>VISTO</w:t>
      </w:r>
      <w:r w:rsidRPr="0008269D">
        <w:rPr>
          <w:rFonts w:ascii="Palatino Linotype" w:eastAsia="Palatino Linotype" w:hAnsi="Palatino Linotype" w:cs="Palatino Linotype"/>
          <w:sz w:val="22"/>
          <w:szCs w:val="22"/>
        </w:rPr>
        <w:t xml:space="preserve"> el expediente formado con motivo del recurso de revisión </w:t>
      </w:r>
      <w:r w:rsidRPr="0008269D">
        <w:rPr>
          <w:rFonts w:ascii="Palatino Linotype" w:eastAsia="Palatino Linotype" w:hAnsi="Palatino Linotype" w:cs="Palatino Linotype"/>
          <w:b/>
          <w:bCs/>
          <w:sz w:val="22"/>
          <w:szCs w:val="22"/>
        </w:rPr>
        <w:t>10954/INFOEM/IP/RR/2025</w:t>
      </w:r>
      <w:r w:rsidRPr="0008269D">
        <w:rPr>
          <w:rFonts w:ascii="Palatino Linotype" w:eastAsia="Palatino Linotype" w:hAnsi="Palatino Linotype" w:cs="Palatino Linotype"/>
          <w:sz w:val="22"/>
          <w:szCs w:val="22"/>
        </w:rPr>
        <w:t>, interpuesto por</w:t>
      </w:r>
      <w:r w:rsidRPr="0008269D">
        <w:rPr>
          <w:rFonts w:ascii="Palatino Linotype" w:eastAsia="Palatino Linotype" w:hAnsi="Palatino Linotype" w:cs="Palatino Linotype"/>
          <w:b/>
          <w:bCs/>
          <w:sz w:val="22"/>
          <w:szCs w:val="22"/>
        </w:rPr>
        <w:t xml:space="preserve"> </w:t>
      </w:r>
      <w:r w:rsidR="00BF4FA5" w:rsidRPr="00BF4FA5">
        <w:rPr>
          <w:rFonts w:ascii="Palatino Linotype" w:eastAsia="Palatino Linotype" w:hAnsi="Palatino Linotype" w:cs="Palatino Linotype"/>
          <w:b/>
          <w:bCs/>
          <w:sz w:val="22"/>
          <w:szCs w:val="22"/>
        </w:rPr>
        <w:t>XXXXXX XXXXX XXXXXXX</w:t>
      </w:r>
      <w:r w:rsidRPr="00BF4FA5">
        <w:rPr>
          <w:rFonts w:ascii="Palatino Linotype" w:eastAsia="Palatino Linotype" w:hAnsi="Palatino Linotype" w:cs="Palatino Linotype"/>
          <w:b/>
          <w:bCs/>
          <w:sz w:val="22"/>
          <w:szCs w:val="22"/>
        </w:rPr>
        <w:t>,</w:t>
      </w:r>
      <w:r w:rsidRPr="0008269D">
        <w:rPr>
          <w:rFonts w:ascii="Palatino Linotype" w:eastAsia="Palatino Linotype" w:hAnsi="Palatino Linotype" w:cs="Palatino Linotype"/>
          <w:sz w:val="22"/>
          <w:szCs w:val="22"/>
        </w:rPr>
        <w:t xml:space="preserve"> en lo sucesivo</w:t>
      </w:r>
      <w:r w:rsidRPr="0008269D">
        <w:rPr>
          <w:rFonts w:ascii="Palatino Linotype" w:eastAsia="Palatino Linotype" w:hAnsi="Palatino Linotype" w:cs="Palatino Linotype"/>
          <w:b/>
          <w:bCs/>
          <w:sz w:val="22"/>
          <w:szCs w:val="22"/>
        </w:rPr>
        <w:t xml:space="preserve"> </w:t>
      </w:r>
      <w:r w:rsidRPr="0008269D">
        <w:rPr>
          <w:rFonts w:ascii="Palatino Linotype" w:eastAsia="Palatino Linotype" w:hAnsi="Palatino Linotype" w:cs="Palatino Linotype"/>
          <w:sz w:val="22"/>
          <w:szCs w:val="22"/>
        </w:rPr>
        <w:t xml:space="preserve">la parte </w:t>
      </w:r>
      <w:r w:rsidRPr="0008269D">
        <w:rPr>
          <w:rFonts w:ascii="Palatino Linotype" w:eastAsia="Palatino Linotype" w:hAnsi="Palatino Linotype" w:cs="Palatino Linotype"/>
          <w:b/>
          <w:bCs/>
          <w:sz w:val="22"/>
          <w:szCs w:val="22"/>
        </w:rPr>
        <w:t>Recurrente,</w:t>
      </w:r>
      <w:r w:rsidRPr="0008269D">
        <w:rPr>
          <w:rFonts w:ascii="Palatino Linotype" w:eastAsia="Palatino Linotype" w:hAnsi="Palatino Linotype" w:cs="Palatino Linotype"/>
          <w:sz w:val="22"/>
          <w:szCs w:val="22"/>
        </w:rPr>
        <w:t xml:space="preserve"> en contra de la respuesta a la solicitud de información con número de folio</w:t>
      </w:r>
      <w:r w:rsidRPr="0008269D">
        <w:rPr>
          <w:rFonts w:ascii="Palatino Linotype" w:eastAsia="Palatino Linotype" w:hAnsi="Palatino Linotype" w:cs="Palatino Linotype"/>
          <w:b/>
          <w:bCs/>
          <w:sz w:val="22"/>
          <w:szCs w:val="22"/>
        </w:rPr>
        <w:t xml:space="preserve"> 00118/DIFEM/IP/2025, </w:t>
      </w:r>
      <w:r w:rsidRPr="0008269D">
        <w:rPr>
          <w:rFonts w:ascii="Palatino Linotype" w:eastAsia="Palatino Linotype" w:hAnsi="Palatino Linotype" w:cs="Palatino Linotype"/>
          <w:sz w:val="22"/>
          <w:szCs w:val="22"/>
        </w:rPr>
        <w:t xml:space="preserve">por parte del </w:t>
      </w:r>
      <w:r w:rsidRPr="0008269D">
        <w:rPr>
          <w:rFonts w:ascii="Palatino Linotype" w:eastAsia="Palatino Linotype" w:hAnsi="Palatino Linotype" w:cs="Palatino Linotype"/>
          <w:b/>
          <w:bCs/>
          <w:sz w:val="22"/>
          <w:szCs w:val="22"/>
        </w:rPr>
        <w:t xml:space="preserve">Sistema para el Desarrollo Integral de la Familia del Estado de México, </w:t>
      </w:r>
      <w:r w:rsidRPr="0008269D">
        <w:rPr>
          <w:rFonts w:ascii="Palatino Linotype" w:eastAsia="Palatino Linotype" w:hAnsi="Palatino Linotype" w:cs="Palatino Linotype"/>
          <w:sz w:val="22"/>
          <w:szCs w:val="22"/>
        </w:rPr>
        <w:t xml:space="preserve">en lo sucesivo el </w:t>
      </w:r>
      <w:r w:rsidRPr="0008269D">
        <w:rPr>
          <w:rFonts w:ascii="Palatino Linotype" w:eastAsia="Palatino Linotype" w:hAnsi="Palatino Linotype" w:cs="Palatino Linotype"/>
          <w:b/>
          <w:bCs/>
          <w:sz w:val="22"/>
          <w:szCs w:val="22"/>
        </w:rPr>
        <w:t xml:space="preserve">Sujeto Obligado, </w:t>
      </w:r>
      <w:r w:rsidRPr="0008269D">
        <w:rPr>
          <w:rFonts w:ascii="Palatino Linotype" w:eastAsia="Palatino Linotype" w:hAnsi="Palatino Linotype" w:cs="Palatino Linotype"/>
          <w:sz w:val="22"/>
          <w:szCs w:val="22"/>
        </w:rPr>
        <w:t xml:space="preserve">se procede a dictar la presente resolución con base en los siguientes: </w:t>
      </w:r>
    </w:p>
    <w:p w14:paraId="37ADCE68" w14:textId="77777777" w:rsidR="009B425B" w:rsidRPr="0008269D" w:rsidRDefault="000241E3">
      <w:pPr>
        <w:spacing w:before="240" w:after="240" w:line="360" w:lineRule="auto"/>
        <w:jc w:val="center"/>
        <w:rPr>
          <w:rFonts w:ascii="Palatino Linotype" w:eastAsia="Palatino Linotype" w:hAnsi="Palatino Linotype" w:cs="Palatino Linotype"/>
          <w:b/>
          <w:bCs/>
          <w:sz w:val="22"/>
          <w:szCs w:val="22"/>
        </w:rPr>
      </w:pPr>
      <w:r w:rsidRPr="0008269D">
        <w:rPr>
          <w:rFonts w:ascii="Palatino Linotype" w:eastAsia="Palatino Linotype" w:hAnsi="Palatino Linotype" w:cs="Palatino Linotype"/>
          <w:b/>
          <w:bCs/>
          <w:sz w:val="22"/>
          <w:szCs w:val="22"/>
        </w:rPr>
        <w:t>I. A N T E C E D E N T E S</w:t>
      </w:r>
    </w:p>
    <w:p w14:paraId="21D43C8E" w14:textId="4F371233" w:rsidR="009B425B" w:rsidRPr="0008269D" w:rsidRDefault="000241E3">
      <w:pPr>
        <w:spacing w:before="240" w:after="240" w:line="360" w:lineRule="auto"/>
        <w:jc w:val="both"/>
        <w:rPr>
          <w:rFonts w:ascii="Palatino Linotype" w:eastAsia="Palatino Linotype" w:hAnsi="Palatino Linotype" w:cs="Palatino Linotype"/>
          <w:sz w:val="22"/>
          <w:szCs w:val="22"/>
        </w:rPr>
      </w:pPr>
      <w:bookmarkStart w:id="2" w:name="_heading=h.gjdgxs" w:colFirst="0" w:colLast="0"/>
      <w:bookmarkEnd w:id="2"/>
      <w:r w:rsidRPr="0008269D">
        <w:rPr>
          <w:rFonts w:ascii="Palatino Linotype" w:eastAsia="Palatino Linotype" w:hAnsi="Palatino Linotype" w:cs="Palatino Linotype"/>
          <w:b/>
          <w:bCs/>
          <w:sz w:val="22"/>
          <w:szCs w:val="22"/>
        </w:rPr>
        <w:t>1. Solicitud de acceso a la información.</w:t>
      </w:r>
      <w:r w:rsidRPr="0008269D">
        <w:rPr>
          <w:rFonts w:ascii="Palatino Linotype" w:eastAsia="Palatino Linotype" w:hAnsi="Palatino Linotype" w:cs="Palatino Linotype"/>
          <w:sz w:val="22"/>
          <w:szCs w:val="22"/>
        </w:rPr>
        <w:t xml:space="preserve"> El </w:t>
      </w:r>
      <w:r w:rsidRPr="0008269D">
        <w:rPr>
          <w:rFonts w:ascii="Palatino Linotype" w:eastAsia="Palatino Linotype" w:hAnsi="Palatino Linotype" w:cs="Palatino Linotype"/>
          <w:b/>
          <w:bCs/>
          <w:sz w:val="22"/>
          <w:szCs w:val="22"/>
        </w:rPr>
        <w:t>uno de septiembre de dos mil veinticinco,</w:t>
      </w:r>
      <w:r w:rsidRPr="0008269D">
        <w:rPr>
          <w:rFonts w:ascii="Palatino Linotype" w:eastAsia="Palatino Linotype" w:hAnsi="Palatino Linotype" w:cs="Palatino Linotype"/>
          <w:sz w:val="22"/>
          <w:szCs w:val="22"/>
        </w:rPr>
        <w:t xml:space="preserve"> la parte </w:t>
      </w:r>
      <w:r w:rsidRPr="0008269D">
        <w:rPr>
          <w:rFonts w:ascii="Palatino Linotype" w:eastAsia="Palatino Linotype" w:hAnsi="Palatino Linotype" w:cs="Palatino Linotype"/>
          <w:b/>
          <w:bCs/>
          <w:sz w:val="22"/>
          <w:szCs w:val="22"/>
        </w:rPr>
        <w:t xml:space="preserve">Recurrente </w:t>
      </w:r>
      <w:r w:rsidRPr="0008269D">
        <w:rPr>
          <w:rFonts w:ascii="Palatino Linotype" w:eastAsia="Palatino Linotype" w:hAnsi="Palatino Linotype" w:cs="Palatino Linotype"/>
          <w:sz w:val="22"/>
          <w:szCs w:val="22"/>
        </w:rPr>
        <w:t xml:space="preserve">presentó la solicitud de acceso a la información pública ante el </w:t>
      </w:r>
      <w:r w:rsidRPr="0008269D">
        <w:rPr>
          <w:rFonts w:ascii="Palatino Linotype" w:eastAsia="Palatino Linotype" w:hAnsi="Palatino Linotype" w:cs="Palatino Linotype"/>
          <w:b/>
          <w:bCs/>
          <w:sz w:val="22"/>
          <w:szCs w:val="22"/>
        </w:rPr>
        <w:t>Sujeto Obligado</w:t>
      </w:r>
      <w:r w:rsidRPr="0008269D">
        <w:rPr>
          <w:rFonts w:ascii="Palatino Linotype" w:eastAsia="Palatino Linotype" w:hAnsi="Palatino Linotype" w:cs="Palatino Linotype"/>
          <w:sz w:val="22"/>
          <w:szCs w:val="22"/>
        </w:rPr>
        <w:t xml:space="preserve">, a través del Sistema de Acceso a la Información Mexiquense, en lo subsecuente el </w:t>
      </w:r>
      <w:r w:rsidRPr="0008269D">
        <w:rPr>
          <w:rFonts w:ascii="Palatino Linotype" w:eastAsia="Palatino Linotype" w:hAnsi="Palatino Linotype" w:cs="Palatino Linotype"/>
          <w:b/>
          <w:bCs/>
          <w:sz w:val="22"/>
          <w:szCs w:val="22"/>
        </w:rPr>
        <w:t>SAIMEX,</w:t>
      </w:r>
      <w:r w:rsidRPr="0008269D">
        <w:rPr>
          <w:rFonts w:ascii="Palatino Linotype" w:eastAsia="Palatino Linotype" w:hAnsi="Palatino Linotype" w:cs="Palatino Linotype"/>
          <w:sz w:val="22"/>
          <w:szCs w:val="22"/>
        </w:rPr>
        <w:t xml:space="preserve"> mediante la cual requirió lo siguiente:</w:t>
      </w:r>
    </w:p>
    <w:p w14:paraId="6623E614" w14:textId="77777777" w:rsidR="009B425B" w:rsidRPr="0008269D" w:rsidRDefault="000241E3">
      <w:pPr>
        <w:spacing w:before="120" w:after="120"/>
        <w:ind w:left="851" w:right="902"/>
        <w:jc w:val="both"/>
        <w:rPr>
          <w:rFonts w:ascii="Palatino Linotype" w:eastAsia="Palatino Linotype" w:hAnsi="Palatino Linotype" w:cs="Palatino Linotype"/>
          <w:b/>
          <w:bCs/>
          <w:i/>
          <w:iCs/>
          <w:sz w:val="22"/>
          <w:szCs w:val="22"/>
        </w:rPr>
      </w:pPr>
      <w:r w:rsidRPr="0008269D">
        <w:rPr>
          <w:rFonts w:ascii="Palatino Linotype" w:eastAsia="Palatino Linotype" w:hAnsi="Palatino Linotype" w:cs="Palatino Linotype"/>
          <w:i/>
          <w:iCs/>
          <w:sz w:val="22"/>
          <w:szCs w:val="22"/>
        </w:rPr>
        <w:t xml:space="preserve"> “Solicitó atentamente la información de cuanto es la producción de verduras de los huertos del DIFEM y los recibos del ingreso del dinero a la caja del difem por la venta de verduras de noviembre de 2023 a agosto de 2025; y a qué fue destinado ese dinero.</w:t>
      </w:r>
      <w:r w:rsidRPr="0008269D">
        <w:rPr>
          <w:rFonts w:ascii="Palatino Linotype" w:eastAsia="Palatino Linotype" w:hAnsi="Palatino Linotype" w:cs="Palatino Linotype"/>
          <w:b/>
          <w:bCs/>
          <w:i/>
          <w:iCs/>
          <w:sz w:val="22"/>
          <w:szCs w:val="22"/>
        </w:rPr>
        <w:t>”</w:t>
      </w:r>
      <w:r w:rsidRPr="0008269D">
        <w:rPr>
          <w:rFonts w:ascii="Palatino Linotype" w:eastAsia="Palatino Linotype" w:hAnsi="Palatino Linotype" w:cs="Palatino Linotype"/>
          <w:i/>
          <w:iCs/>
          <w:sz w:val="22"/>
          <w:szCs w:val="22"/>
        </w:rPr>
        <w:t xml:space="preserve"> (sic) </w:t>
      </w:r>
    </w:p>
    <w:p w14:paraId="0A3E8CF2" w14:textId="77777777" w:rsidR="009B425B" w:rsidRPr="0008269D" w:rsidRDefault="000241E3">
      <w:pPr>
        <w:spacing w:before="240" w:after="240" w:line="360" w:lineRule="auto"/>
        <w:jc w:val="both"/>
        <w:rPr>
          <w:rFonts w:ascii="Palatino Linotype" w:eastAsia="Palatino Linotype" w:hAnsi="Palatino Linotype" w:cs="Palatino Linotype"/>
          <w:sz w:val="22"/>
          <w:szCs w:val="22"/>
        </w:rPr>
      </w:pPr>
      <w:bookmarkStart w:id="3" w:name="_heading=h.3dy6vkm" w:colFirst="0" w:colLast="0"/>
      <w:bookmarkEnd w:id="3"/>
      <w:r w:rsidRPr="0008269D">
        <w:rPr>
          <w:rFonts w:ascii="Palatino Linotype" w:eastAsia="Palatino Linotype" w:hAnsi="Palatino Linotype" w:cs="Palatino Linotype"/>
          <w:b/>
          <w:bCs/>
          <w:sz w:val="22"/>
          <w:szCs w:val="22"/>
        </w:rPr>
        <w:t>Modalidad de Entrega:</w:t>
      </w:r>
      <w:r w:rsidRPr="0008269D">
        <w:rPr>
          <w:rFonts w:ascii="Palatino Linotype" w:eastAsia="Palatino Linotype" w:hAnsi="Palatino Linotype" w:cs="Palatino Linotype"/>
          <w:sz w:val="22"/>
          <w:szCs w:val="22"/>
        </w:rPr>
        <w:t xml:space="preserve"> a través del</w:t>
      </w:r>
      <w:r w:rsidRPr="0008269D">
        <w:rPr>
          <w:rFonts w:ascii="Palatino Linotype" w:eastAsia="Palatino Linotype" w:hAnsi="Palatino Linotype" w:cs="Palatino Linotype"/>
          <w:b/>
          <w:bCs/>
          <w:sz w:val="22"/>
          <w:szCs w:val="22"/>
        </w:rPr>
        <w:t xml:space="preserve"> SAIMEX.</w:t>
      </w:r>
    </w:p>
    <w:p w14:paraId="1CB1E72C" w14:textId="77777777" w:rsidR="009B425B" w:rsidRPr="0008269D" w:rsidRDefault="000241E3">
      <w:pPr>
        <w:spacing w:before="240" w:after="240"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b/>
          <w:bCs/>
          <w:sz w:val="22"/>
          <w:szCs w:val="22"/>
        </w:rPr>
        <w:t xml:space="preserve">2. Respuesta. </w:t>
      </w:r>
      <w:r w:rsidRPr="0008269D">
        <w:rPr>
          <w:rFonts w:ascii="Palatino Linotype" w:eastAsia="Palatino Linotype" w:hAnsi="Palatino Linotype" w:cs="Palatino Linotype"/>
          <w:sz w:val="22"/>
          <w:szCs w:val="22"/>
        </w:rPr>
        <w:t xml:space="preserve">El </w:t>
      </w:r>
      <w:r w:rsidRPr="0008269D">
        <w:rPr>
          <w:rFonts w:ascii="Palatino Linotype" w:eastAsia="Palatino Linotype" w:hAnsi="Palatino Linotype" w:cs="Palatino Linotype"/>
          <w:b/>
          <w:bCs/>
          <w:sz w:val="22"/>
          <w:szCs w:val="22"/>
        </w:rPr>
        <w:t>doce de septiembre de dos mil veinticinco,</w:t>
      </w:r>
      <w:r w:rsidRPr="0008269D">
        <w:rPr>
          <w:rFonts w:ascii="Palatino Linotype" w:eastAsia="Palatino Linotype" w:hAnsi="Palatino Linotype" w:cs="Palatino Linotype"/>
          <w:sz w:val="22"/>
          <w:szCs w:val="22"/>
        </w:rPr>
        <w:t xml:space="preserve"> el </w:t>
      </w:r>
      <w:r w:rsidRPr="0008269D">
        <w:rPr>
          <w:rFonts w:ascii="Palatino Linotype" w:eastAsia="Palatino Linotype" w:hAnsi="Palatino Linotype" w:cs="Palatino Linotype"/>
          <w:b/>
          <w:bCs/>
          <w:sz w:val="22"/>
          <w:szCs w:val="22"/>
        </w:rPr>
        <w:t xml:space="preserve">Sujeto Obligado </w:t>
      </w:r>
      <w:r w:rsidRPr="0008269D">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6FFE52DB" w14:textId="77777777" w:rsidR="009B425B" w:rsidRPr="0008269D" w:rsidRDefault="000241E3">
      <w:pPr>
        <w:spacing w:before="240" w:after="240"/>
        <w:ind w:left="851" w:right="902"/>
        <w:jc w:val="both"/>
        <w:rPr>
          <w:rFonts w:ascii="Palatino Linotype" w:eastAsia="Palatino Linotype" w:hAnsi="Palatino Linotype" w:cs="Palatino Linotype"/>
          <w:i/>
          <w:iCs/>
          <w:sz w:val="22"/>
          <w:szCs w:val="22"/>
        </w:rPr>
      </w:pPr>
      <w:r w:rsidRPr="0008269D">
        <w:rPr>
          <w:rFonts w:ascii="Palatino Linotype" w:eastAsia="Palatino Linotype" w:hAnsi="Palatino Linotype" w:cs="Palatino Linotype"/>
          <w:i/>
          <w:iCs/>
          <w:sz w:val="22"/>
          <w:szCs w:val="22"/>
        </w:rPr>
        <w:lastRenderedPageBreak/>
        <w:t>“…En cumplimiento a lo establecido en los artículos 4, 7, 12, 23, fracción I, 53, fracciones II, IV, V y VI, 59, 162, 163, 164, 176, 177 y 178 de la Ley de Transparencia y Acceso a la Información Pública del Estado de México y Municipios, se adjunta respuesta. Del mismo modo se hace del conocimiento del solicitante el derecho que tiene de inconformarse respecto de la respuesta proporcionada por este Sujeto Obligado, a través de la presentación de un recurso de revisión, el cual deberá interponerse dentro de los 15 días hábiles siguientes a la fecha de esta notificación...” (sic)</w:t>
      </w:r>
    </w:p>
    <w:p w14:paraId="0ABD8D87" w14:textId="77777777" w:rsidR="009B425B" w:rsidRPr="0008269D" w:rsidRDefault="000241E3">
      <w:pPr>
        <w:spacing w:before="240" w:after="240" w:line="360" w:lineRule="auto"/>
        <w:ind w:right="49"/>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 xml:space="preserve">El </w:t>
      </w:r>
      <w:r w:rsidRPr="0008269D">
        <w:rPr>
          <w:rFonts w:ascii="Palatino Linotype" w:eastAsia="Palatino Linotype" w:hAnsi="Palatino Linotype" w:cs="Palatino Linotype"/>
          <w:b/>
          <w:bCs/>
          <w:sz w:val="22"/>
          <w:szCs w:val="22"/>
        </w:rPr>
        <w:t xml:space="preserve">Sujeto Obligado </w:t>
      </w:r>
      <w:r w:rsidRPr="0008269D">
        <w:rPr>
          <w:rFonts w:ascii="Palatino Linotype" w:eastAsia="Palatino Linotype" w:hAnsi="Palatino Linotype" w:cs="Palatino Linotype"/>
          <w:sz w:val="22"/>
          <w:szCs w:val="22"/>
        </w:rPr>
        <w:t>adjuntó lo siguiente:</w:t>
      </w:r>
    </w:p>
    <w:p w14:paraId="24EB3229" w14:textId="77777777" w:rsidR="009B425B" w:rsidRPr="0008269D" w:rsidRDefault="000241E3">
      <w:pPr>
        <w:spacing w:before="240" w:after="240" w:line="360" w:lineRule="auto"/>
        <w:ind w:right="49"/>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 Oficio número 200C0101100200S/Trans/377/2025, mediante el cual el titular de la de la Unidad de Transparencia notificó a la persona solicitante la respuesta proporcionada por los servidores públicos habilitados de la Dirección de Alimentación y Nutrición Familiar y de la Dirección de Finanzas, Planeación y Administración.</w:t>
      </w:r>
    </w:p>
    <w:p w14:paraId="6DF0189F" w14:textId="77777777" w:rsidR="009B425B" w:rsidRPr="0008269D" w:rsidRDefault="000241E3">
      <w:pPr>
        <w:spacing w:before="240" w:after="240" w:line="360" w:lineRule="auto"/>
        <w:ind w:right="49"/>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 Escrito que contiene la respuesta proporcionada por la Dirección de Alimentación y Nutrición Familiar, y la Dirección de Finanzas, Planeación y Administración, en los siguientes términos:</w:t>
      </w:r>
    </w:p>
    <w:p w14:paraId="2EED81C6" w14:textId="77777777" w:rsidR="009B425B" w:rsidRPr="0008269D" w:rsidRDefault="000241E3">
      <w:pPr>
        <w:spacing w:before="120" w:after="120"/>
        <w:ind w:left="851" w:right="902"/>
        <w:jc w:val="both"/>
        <w:rPr>
          <w:rFonts w:ascii="Palatino Linotype" w:eastAsia="Palatino Linotype" w:hAnsi="Palatino Linotype" w:cs="Palatino Linotype"/>
          <w:i/>
          <w:iCs/>
          <w:sz w:val="22"/>
          <w:szCs w:val="22"/>
        </w:rPr>
      </w:pPr>
      <w:r w:rsidRPr="0008269D">
        <w:rPr>
          <w:rFonts w:ascii="Palatino Linotype" w:eastAsia="Palatino Linotype" w:hAnsi="Palatino Linotype" w:cs="Palatino Linotype"/>
          <w:i/>
          <w:iCs/>
          <w:sz w:val="22"/>
          <w:szCs w:val="22"/>
        </w:rPr>
        <w:t>“...</w:t>
      </w:r>
    </w:p>
    <w:p w14:paraId="68986610" w14:textId="77777777" w:rsidR="009B425B" w:rsidRPr="0008269D" w:rsidRDefault="000241E3">
      <w:pPr>
        <w:pBdr>
          <w:top w:val="nil"/>
          <w:left w:val="nil"/>
          <w:bottom w:val="nil"/>
          <w:right w:val="nil"/>
          <w:between w:val="nil"/>
        </w:pBdr>
        <w:spacing w:before="120" w:after="120"/>
        <w:ind w:left="851" w:right="902"/>
        <w:jc w:val="both"/>
        <w:rPr>
          <w:rFonts w:ascii="Palatino Linotype" w:eastAsia="Palatino Linotype" w:hAnsi="Palatino Linotype" w:cs="Palatino Linotype"/>
          <w:b/>
          <w:bCs/>
          <w:i/>
          <w:iCs/>
          <w:color w:val="000000"/>
          <w:sz w:val="22"/>
          <w:szCs w:val="22"/>
        </w:rPr>
      </w:pPr>
      <w:r w:rsidRPr="0008269D">
        <w:rPr>
          <w:rFonts w:ascii="Palatino Linotype" w:eastAsia="Palatino Linotype" w:hAnsi="Palatino Linotype" w:cs="Palatino Linotype"/>
          <w:b/>
          <w:bCs/>
          <w:i/>
          <w:iCs/>
          <w:color w:val="000000"/>
          <w:sz w:val="22"/>
          <w:szCs w:val="22"/>
        </w:rPr>
        <w:t xml:space="preserve">1. Dirección de Alimentación y Nutrición Familiar: </w:t>
      </w:r>
    </w:p>
    <w:p w14:paraId="39906B8C" w14:textId="77777777" w:rsidR="009B425B" w:rsidRPr="0008269D" w:rsidRDefault="000241E3">
      <w:pPr>
        <w:spacing w:before="120" w:after="120"/>
        <w:ind w:left="851" w:right="902"/>
        <w:jc w:val="both"/>
        <w:rPr>
          <w:rFonts w:ascii="Palatino Linotype" w:eastAsia="Palatino Linotype" w:hAnsi="Palatino Linotype" w:cs="Palatino Linotype"/>
          <w:i/>
          <w:iCs/>
          <w:sz w:val="22"/>
          <w:szCs w:val="22"/>
        </w:rPr>
      </w:pPr>
      <w:r w:rsidRPr="0008269D">
        <w:rPr>
          <w:rFonts w:ascii="Palatino Linotype" w:eastAsia="Palatino Linotype" w:hAnsi="Palatino Linotype" w:cs="Palatino Linotype"/>
          <w:i/>
          <w:iCs/>
          <w:sz w:val="22"/>
          <w:szCs w:val="22"/>
        </w:rPr>
        <w:t xml:space="preserve">Con fundamento en lo dispuesto por los artículos 3, fracciones II y XXXIX, 11, 12, 15, 18, 21, 22, 23, fracción I, 24, fracciones XI y XIX y último párrafo, 59, fracciones I, II y III, 150, 160 y 173 de la Ley de Transparencia y Acceso a la Información Pública del Estado de México y Municipios; 16 del Reglamento Interior del Sistema para el Desarrollo Integral de la Familia del Estado de México, en relación con el apartado 200C0101040000L del Manual General de Organización del Sistema para el Desarrollo Integral de la Familia del Estado de México, se informa que: </w:t>
      </w:r>
    </w:p>
    <w:p w14:paraId="747ABDBC" w14:textId="77777777" w:rsidR="009B425B" w:rsidRPr="0008269D" w:rsidRDefault="000241E3">
      <w:pPr>
        <w:spacing w:before="120" w:after="120"/>
        <w:ind w:left="851" w:right="902"/>
        <w:jc w:val="both"/>
        <w:rPr>
          <w:rFonts w:ascii="Palatino Linotype" w:eastAsia="Palatino Linotype" w:hAnsi="Palatino Linotype" w:cs="Palatino Linotype"/>
          <w:i/>
          <w:iCs/>
          <w:sz w:val="22"/>
          <w:szCs w:val="22"/>
        </w:rPr>
      </w:pPr>
      <w:r w:rsidRPr="0008269D">
        <w:rPr>
          <w:rFonts w:ascii="Palatino Linotype" w:eastAsia="Palatino Linotype" w:hAnsi="Palatino Linotype" w:cs="Palatino Linotype"/>
          <w:i/>
          <w:iCs/>
          <w:sz w:val="22"/>
          <w:szCs w:val="22"/>
        </w:rPr>
        <w:t xml:space="preserve">Atendiendo al principio de máxima publicidad y con la finalidad de garantizar el derecho de acceso a la información pública del particular; por cuanto hace a lo señalado en la solicitud de cuenta, se procedió a realizar una búsqueda exhaustiva, </w:t>
      </w:r>
      <w:r w:rsidRPr="0008269D">
        <w:rPr>
          <w:rFonts w:ascii="Palatino Linotype" w:eastAsia="Palatino Linotype" w:hAnsi="Palatino Linotype" w:cs="Palatino Linotype"/>
          <w:i/>
          <w:iCs/>
          <w:sz w:val="22"/>
          <w:szCs w:val="22"/>
        </w:rPr>
        <w:lastRenderedPageBreak/>
        <w:t xml:space="preserve">amplia y razonable de lo requerido dentro de los archivos que obran en la Dirección de Alimentación y Nutrición Familiar, por lo que una vez concluida está, se advierte lo siguiente: </w:t>
      </w:r>
    </w:p>
    <w:p w14:paraId="23CDDA5F" w14:textId="77777777" w:rsidR="009B425B" w:rsidRPr="0008269D" w:rsidRDefault="000241E3">
      <w:pPr>
        <w:spacing w:before="120" w:after="120"/>
        <w:ind w:left="851" w:right="902"/>
        <w:jc w:val="both"/>
        <w:rPr>
          <w:rFonts w:ascii="Palatino Linotype" w:eastAsia="Palatino Linotype" w:hAnsi="Palatino Linotype" w:cs="Palatino Linotype"/>
          <w:i/>
          <w:iCs/>
          <w:sz w:val="22"/>
          <w:szCs w:val="22"/>
        </w:rPr>
      </w:pPr>
      <w:r w:rsidRPr="0008269D">
        <w:rPr>
          <w:rFonts w:ascii="Palatino Linotype" w:eastAsia="Palatino Linotype" w:hAnsi="Palatino Linotype" w:cs="Palatino Linotype"/>
          <w:i/>
          <w:iCs/>
          <w:sz w:val="22"/>
          <w:szCs w:val="22"/>
        </w:rPr>
        <w:t xml:space="preserve">Que la producción de verdura en los huertos demostrativos del DIFEM, en el período noviembre 2023-agosto 2025, asciende a un aproximado de 150 kilogramos, que se emplea para impartir capacitaciones en planteles escolares, grupos de desarrollo y personal de los 125 Sistemas Municipales DIF del Estado de México, asimismo se otorga de manera gratuita en las jornadas DIFEM. </w:t>
      </w:r>
    </w:p>
    <w:p w14:paraId="2B3F38C4" w14:textId="77777777" w:rsidR="009B425B" w:rsidRPr="0008269D" w:rsidRDefault="000241E3">
      <w:pPr>
        <w:spacing w:before="120" w:after="120"/>
        <w:ind w:left="851" w:right="902"/>
        <w:jc w:val="both"/>
        <w:rPr>
          <w:rFonts w:ascii="Palatino Linotype" w:eastAsia="Palatino Linotype" w:hAnsi="Palatino Linotype" w:cs="Palatino Linotype"/>
          <w:i/>
          <w:iCs/>
          <w:sz w:val="22"/>
          <w:szCs w:val="22"/>
        </w:rPr>
      </w:pPr>
      <w:r w:rsidRPr="0008269D">
        <w:rPr>
          <w:rFonts w:ascii="Palatino Linotype" w:eastAsia="Palatino Linotype" w:hAnsi="Palatino Linotype" w:cs="Palatino Linotype"/>
          <w:i/>
          <w:iCs/>
          <w:sz w:val="22"/>
          <w:szCs w:val="22"/>
        </w:rPr>
        <w:t xml:space="preserve">En razón de que son huertos demostrativos no se cuenta con recibos del ingreso del dinero a la caja del DIFEM. </w:t>
      </w:r>
    </w:p>
    <w:p w14:paraId="33719145" w14:textId="77777777" w:rsidR="009B425B" w:rsidRPr="0008269D" w:rsidRDefault="000241E3">
      <w:pPr>
        <w:spacing w:before="120" w:after="120"/>
        <w:ind w:left="851" w:right="902"/>
        <w:jc w:val="both"/>
        <w:rPr>
          <w:rFonts w:ascii="Palatino Linotype" w:eastAsia="Palatino Linotype" w:hAnsi="Palatino Linotype" w:cs="Palatino Linotype"/>
          <w:b/>
          <w:bCs/>
          <w:i/>
          <w:iCs/>
          <w:sz w:val="22"/>
          <w:szCs w:val="22"/>
        </w:rPr>
      </w:pPr>
      <w:r w:rsidRPr="0008269D">
        <w:rPr>
          <w:rFonts w:ascii="Palatino Linotype" w:eastAsia="Palatino Linotype" w:hAnsi="Palatino Linotype" w:cs="Palatino Linotype"/>
          <w:b/>
          <w:bCs/>
          <w:i/>
          <w:iCs/>
          <w:sz w:val="22"/>
          <w:szCs w:val="22"/>
        </w:rPr>
        <w:t xml:space="preserve">2. Dirección de Finanzas, Planeación y Administración: </w:t>
      </w:r>
    </w:p>
    <w:p w14:paraId="26DEC448" w14:textId="77777777" w:rsidR="009B425B" w:rsidRPr="0008269D" w:rsidRDefault="000241E3">
      <w:pPr>
        <w:spacing w:before="120" w:after="120"/>
        <w:ind w:left="851" w:right="902"/>
        <w:jc w:val="both"/>
        <w:rPr>
          <w:rFonts w:ascii="Palatino Linotype" w:eastAsia="Palatino Linotype" w:hAnsi="Palatino Linotype" w:cs="Palatino Linotype"/>
          <w:i/>
          <w:iCs/>
          <w:sz w:val="22"/>
          <w:szCs w:val="22"/>
        </w:rPr>
      </w:pPr>
      <w:r w:rsidRPr="0008269D">
        <w:rPr>
          <w:rFonts w:ascii="Palatino Linotype" w:eastAsia="Palatino Linotype" w:hAnsi="Palatino Linotype" w:cs="Palatino Linotype"/>
          <w:i/>
          <w:iCs/>
          <w:sz w:val="22"/>
          <w:szCs w:val="22"/>
        </w:rPr>
        <w:t xml:space="preserve">Con fundamento en lo dispuesto por los artículos 3, fracciones II y XXXIX, 11, 12, 15, 18, 21, 22, 23, fracción I, 24, fracciones XI y XIX y último párrafo, 59, fracciones I, II y III, 150, 160 y 173 de la Ley de Transparencia y Acceso a la Información Pública del Estado de México y Municipios; 15 fracción XV y 22 del Reglamento Interior del Sistema para el Desarrollo Integral de la Familia del Estado de México, en relación con el apartado 200C0101100000L del Manual General de Organización del Sistema para el Desarrollo Integral de la Familia del Estado de México, se informa: </w:t>
      </w:r>
    </w:p>
    <w:p w14:paraId="4B1CCB2F" w14:textId="77777777" w:rsidR="009B425B" w:rsidRPr="0008269D" w:rsidRDefault="000241E3">
      <w:pPr>
        <w:spacing w:before="120" w:after="120"/>
        <w:ind w:left="851" w:right="902"/>
        <w:jc w:val="both"/>
        <w:rPr>
          <w:rFonts w:ascii="Palatino Linotype" w:eastAsia="Palatino Linotype" w:hAnsi="Palatino Linotype" w:cs="Palatino Linotype"/>
          <w:b/>
          <w:bCs/>
          <w:i/>
          <w:iCs/>
          <w:sz w:val="22"/>
          <w:szCs w:val="22"/>
        </w:rPr>
      </w:pPr>
      <w:r w:rsidRPr="0008269D">
        <w:rPr>
          <w:rFonts w:ascii="Palatino Linotype" w:eastAsia="Palatino Linotype" w:hAnsi="Palatino Linotype" w:cs="Palatino Linotype"/>
          <w:i/>
          <w:iCs/>
          <w:sz w:val="22"/>
          <w:szCs w:val="22"/>
        </w:rPr>
        <w:t xml:space="preserve">Atendiendo al principio de máxima publicidad y con la finalidad de garantizar el derecho de acceso a la información pública del particular, por cuanto hace al período de tiempo señalado en la solicitud de cuenta, se procedió a realizar una búsqueda exhaustiva, amplia y razonable de lo requerido dentro de los archivos que obran en la Dirección de Finanzas, Planeación y Administración, por lo que una vez concluida ésta, se advierte lo siguiente: </w:t>
      </w:r>
    </w:p>
    <w:p w14:paraId="2AAB996D" w14:textId="77777777" w:rsidR="009B425B" w:rsidRPr="0008269D" w:rsidRDefault="000241E3">
      <w:pPr>
        <w:spacing w:before="120" w:after="120"/>
        <w:ind w:left="851" w:right="902"/>
        <w:jc w:val="both"/>
        <w:rPr>
          <w:rFonts w:ascii="Palatino Linotype" w:eastAsia="Palatino Linotype" w:hAnsi="Palatino Linotype" w:cs="Palatino Linotype"/>
          <w:i/>
          <w:iCs/>
          <w:sz w:val="22"/>
          <w:szCs w:val="22"/>
        </w:rPr>
      </w:pPr>
      <w:r w:rsidRPr="0008269D">
        <w:rPr>
          <w:rFonts w:ascii="Palatino Linotype" w:eastAsia="Palatino Linotype" w:hAnsi="Palatino Linotype" w:cs="Palatino Linotype"/>
          <w:i/>
          <w:iCs/>
          <w:sz w:val="22"/>
          <w:szCs w:val="22"/>
        </w:rPr>
        <w:t xml:space="preserve">A la fecha de la presentación de la solicitud de información el DIFEM no ha registrado ingresos por ese concepto, por lo tanto, la Dirección de Finanzas, Planeación y Administración se encuentra imposibilitada para la entrega de la información requerida. </w:t>
      </w:r>
    </w:p>
    <w:p w14:paraId="1429ABCA" w14:textId="77777777" w:rsidR="009B425B" w:rsidRPr="0008269D" w:rsidRDefault="000241E3">
      <w:pPr>
        <w:spacing w:before="120" w:after="120"/>
        <w:ind w:left="851" w:right="902"/>
        <w:jc w:val="both"/>
        <w:rPr>
          <w:rFonts w:ascii="Palatino Linotype" w:eastAsia="Palatino Linotype" w:hAnsi="Palatino Linotype" w:cs="Palatino Linotype"/>
          <w:i/>
          <w:iCs/>
          <w:sz w:val="22"/>
          <w:szCs w:val="22"/>
        </w:rPr>
      </w:pPr>
      <w:r w:rsidRPr="0008269D">
        <w:rPr>
          <w:rFonts w:ascii="Palatino Linotype" w:eastAsia="Palatino Linotype" w:hAnsi="Palatino Linotype" w:cs="Palatino Linotype"/>
          <w:i/>
          <w:iCs/>
          <w:sz w:val="22"/>
          <w:szCs w:val="22"/>
        </w:rPr>
        <w:t>Por lo anteriormente expuesto y fundado, se otorga respuesta en tiempo y forma al requerimiento planteado. ”</w:t>
      </w:r>
    </w:p>
    <w:p w14:paraId="1DB018E9" w14:textId="77777777" w:rsidR="009B425B" w:rsidRPr="0008269D" w:rsidRDefault="009B425B">
      <w:pPr>
        <w:spacing w:line="276" w:lineRule="auto"/>
        <w:jc w:val="both"/>
        <w:rPr>
          <w:rFonts w:ascii="Palatino Linotype" w:eastAsia="Palatino Linotype" w:hAnsi="Palatino Linotype" w:cs="Palatino Linotype"/>
          <w:sz w:val="22"/>
          <w:szCs w:val="22"/>
        </w:rPr>
      </w:pPr>
    </w:p>
    <w:p w14:paraId="07B862C9" w14:textId="77777777" w:rsidR="009B425B" w:rsidRPr="0008269D" w:rsidRDefault="000241E3">
      <w:pPr>
        <w:spacing w:before="240" w:after="240" w:line="360" w:lineRule="auto"/>
        <w:ind w:right="49"/>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 xml:space="preserve"> </w:t>
      </w:r>
    </w:p>
    <w:p w14:paraId="47B27F14" w14:textId="77777777" w:rsidR="009B425B" w:rsidRPr="0008269D" w:rsidRDefault="000241E3">
      <w:pPr>
        <w:spacing w:before="240" w:after="240" w:line="360" w:lineRule="auto"/>
        <w:ind w:right="49"/>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b/>
          <w:bCs/>
          <w:sz w:val="22"/>
          <w:szCs w:val="22"/>
        </w:rPr>
        <w:t xml:space="preserve">3. Interposición del recurso de revisión. </w:t>
      </w:r>
      <w:r w:rsidRPr="0008269D">
        <w:rPr>
          <w:rFonts w:ascii="Palatino Linotype" w:eastAsia="Palatino Linotype" w:hAnsi="Palatino Linotype" w:cs="Palatino Linotype"/>
          <w:sz w:val="22"/>
          <w:szCs w:val="22"/>
        </w:rPr>
        <w:t xml:space="preserve">Inconforme con los términos de la respuesta emitida por parte del </w:t>
      </w:r>
      <w:r w:rsidRPr="0008269D">
        <w:rPr>
          <w:rFonts w:ascii="Palatino Linotype" w:eastAsia="Palatino Linotype" w:hAnsi="Palatino Linotype" w:cs="Palatino Linotype"/>
          <w:b/>
          <w:bCs/>
          <w:sz w:val="22"/>
          <w:szCs w:val="22"/>
        </w:rPr>
        <w:t>Sujeto Obligado</w:t>
      </w:r>
      <w:r w:rsidRPr="0008269D">
        <w:rPr>
          <w:rFonts w:ascii="Palatino Linotype" w:eastAsia="Palatino Linotype" w:hAnsi="Palatino Linotype" w:cs="Palatino Linotype"/>
          <w:sz w:val="22"/>
          <w:szCs w:val="22"/>
        </w:rPr>
        <w:t xml:space="preserve">, el </w:t>
      </w:r>
      <w:r w:rsidRPr="0008269D">
        <w:rPr>
          <w:rFonts w:ascii="Palatino Linotype" w:eastAsia="Palatino Linotype" w:hAnsi="Palatino Linotype" w:cs="Palatino Linotype"/>
          <w:b/>
          <w:bCs/>
          <w:sz w:val="22"/>
          <w:szCs w:val="22"/>
        </w:rPr>
        <w:t>veintitrés de septiembre de dos mil veinticinco,</w:t>
      </w:r>
      <w:r w:rsidRPr="0008269D">
        <w:rPr>
          <w:rFonts w:ascii="Palatino Linotype" w:eastAsia="Palatino Linotype" w:hAnsi="Palatino Linotype" w:cs="Palatino Linotype"/>
          <w:sz w:val="22"/>
          <w:szCs w:val="22"/>
        </w:rPr>
        <w:t xml:space="preserve"> la parte </w:t>
      </w:r>
      <w:r w:rsidRPr="0008269D">
        <w:rPr>
          <w:rFonts w:ascii="Palatino Linotype" w:eastAsia="Palatino Linotype" w:hAnsi="Palatino Linotype" w:cs="Palatino Linotype"/>
          <w:b/>
          <w:bCs/>
          <w:sz w:val="22"/>
          <w:szCs w:val="22"/>
        </w:rPr>
        <w:t>Recurrente</w:t>
      </w:r>
      <w:r w:rsidRPr="0008269D">
        <w:rPr>
          <w:rFonts w:ascii="Palatino Linotype" w:eastAsia="Palatino Linotype" w:hAnsi="Palatino Linotype" w:cs="Palatino Linotype"/>
          <w:sz w:val="22"/>
          <w:szCs w:val="22"/>
        </w:rPr>
        <w:t xml:space="preserve"> interpuso el recurso de revisión a través de </w:t>
      </w:r>
      <w:r w:rsidRPr="0008269D">
        <w:rPr>
          <w:rFonts w:ascii="Palatino Linotype" w:eastAsia="Palatino Linotype" w:hAnsi="Palatino Linotype" w:cs="Palatino Linotype"/>
          <w:b/>
          <w:bCs/>
          <w:sz w:val="22"/>
          <w:szCs w:val="22"/>
        </w:rPr>
        <w:t xml:space="preserve">SAIMEX, </w:t>
      </w:r>
      <w:r w:rsidRPr="0008269D">
        <w:rPr>
          <w:rFonts w:ascii="Palatino Linotype" w:eastAsia="Palatino Linotype" w:hAnsi="Palatino Linotype" w:cs="Palatino Linotype"/>
          <w:sz w:val="22"/>
          <w:szCs w:val="22"/>
        </w:rPr>
        <w:t>en donde se manifestó de la siguiente manera:</w:t>
      </w:r>
    </w:p>
    <w:p w14:paraId="25C1F5BD" w14:textId="77777777" w:rsidR="009B425B" w:rsidRPr="0008269D" w:rsidRDefault="000241E3">
      <w:pPr>
        <w:spacing w:before="240" w:after="240" w:line="360" w:lineRule="auto"/>
        <w:ind w:right="49"/>
        <w:jc w:val="both"/>
        <w:rPr>
          <w:rFonts w:ascii="Palatino Linotype" w:eastAsia="Palatino Linotype" w:hAnsi="Palatino Linotype" w:cs="Palatino Linotype"/>
          <w:b/>
          <w:bCs/>
          <w:sz w:val="22"/>
          <w:szCs w:val="22"/>
        </w:rPr>
      </w:pPr>
      <w:r w:rsidRPr="0008269D">
        <w:rPr>
          <w:rFonts w:ascii="Palatino Linotype" w:eastAsia="Palatino Linotype" w:hAnsi="Palatino Linotype" w:cs="Palatino Linotype"/>
          <w:b/>
          <w:bCs/>
          <w:sz w:val="22"/>
          <w:szCs w:val="22"/>
        </w:rPr>
        <w:t xml:space="preserve">Acto impugnado: </w:t>
      </w:r>
    </w:p>
    <w:p w14:paraId="1CFD147A" w14:textId="77777777" w:rsidR="009B425B" w:rsidRPr="0008269D" w:rsidRDefault="000241E3">
      <w:pPr>
        <w:ind w:left="851" w:right="900"/>
        <w:rPr>
          <w:rFonts w:ascii="Palatino Linotype" w:eastAsia="Palatino Linotype" w:hAnsi="Palatino Linotype" w:cs="Palatino Linotype"/>
          <w:i/>
          <w:iCs/>
          <w:sz w:val="22"/>
          <w:szCs w:val="22"/>
        </w:rPr>
      </w:pPr>
      <w:r w:rsidRPr="0008269D">
        <w:rPr>
          <w:rFonts w:ascii="Palatino Linotype" w:eastAsia="Palatino Linotype" w:hAnsi="Palatino Linotype" w:cs="Palatino Linotype"/>
          <w:i/>
          <w:iCs/>
          <w:sz w:val="22"/>
          <w:szCs w:val="22"/>
        </w:rPr>
        <w:t>“La respuesta del difem” (sic)</w:t>
      </w:r>
    </w:p>
    <w:p w14:paraId="3407445E" w14:textId="77777777" w:rsidR="009B425B" w:rsidRPr="0008269D" w:rsidRDefault="000241E3">
      <w:pPr>
        <w:spacing w:line="360" w:lineRule="auto"/>
        <w:jc w:val="both"/>
        <w:rPr>
          <w:rFonts w:ascii="Palatino Linotype" w:eastAsia="Palatino Linotype" w:hAnsi="Palatino Linotype" w:cs="Palatino Linotype"/>
          <w:sz w:val="22"/>
          <w:szCs w:val="22"/>
        </w:rPr>
      </w:pPr>
      <w:bookmarkStart w:id="4" w:name="_heading=h.30j0zll" w:colFirst="0" w:colLast="0"/>
      <w:bookmarkEnd w:id="4"/>
      <w:r w:rsidRPr="0008269D">
        <w:rPr>
          <w:rFonts w:ascii="Palatino Linotype" w:eastAsia="Palatino Linotype" w:hAnsi="Palatino Linotype" w:cs="Palatino Linotype"/>
          <w:b/>
          <w:bCs/>
          <w:sz w:val="22"/>
          <w:szCs w:val="22"/>
        </w:rPr>
        <w:t>Y, Razones o motivos de inconformidad</w:t>
      </w:r>
      <w:r w:rsidRPr="0008269D">
        <w:rPr>
          <w:rFonts w:ascii="Palatino Linotype" w:eastAsia="Palatino Linotype" w:hAnsi="Palatino Linotype" w:cs="Palatino Linotype"/>
          <w:sz w:val="22"/>
          <w:szCs w:val="22"/>
        </w:rPr>
        <w:t>:</w:t>
      </w:r>
    </w:p>
    <w:p w14:paraId="15D69EE5" w14:textId="77777777" w:rsidR="009B425B" w:rsidRPr="0008269D" w:rsidRDefault="000241E3">
      <w:pPr>
        <w:tabs>
          <w:tab w:val="left" w:pos="2745"/>
        </w:tabs>
        <w:spacing w:before="240" w:after="240"/>
        <w:ind w:left="851" w:right="900"/>
        <w:jc w:val="both"/>
        <w:rPr>
          <w:rFonts w:ascii="Palatino Linotype" w:eastAsia="Palatino Linotype" w:hAnsi="Palatino Linotype" w:cs="Palatino Linotype"/>
          <w:i/>
          <w:iCs/>
          <w:sz w:val="22"/>
          <w:szCs w:val="22"/>
        </w:rPr>
      </w:pPr>
      <w:r w:rsidRPr="0008269D">
        <w:rPr>
          <w:rFonts w:ascii="Palatino Linotype" w:eastAsia="Palatino Linotype" w:hAnsi="Palatino Linotype" w:cs="Palatino Linotype"/>
          <w:i/>
          <w:iCs/>
          <w:sz w:val="22"/>
          <w:szCs w:val="22"/>
        </w:rPr>
        <w:t>“La unidad de transparencia afirma que la producción de los huertos del difem es de tan solo 150 kg en el período solicitado; y que se destina a los municipios. Pero no hace referencia a la venta de verdura que se realiza en los propios huertos; y que el personal refiere que el dinero se le entrega a su directora y/o administrativo. Entonces al tratarse de recursos públicos debe haber documentación que acredite el destino de ese dinero” (sic)</w:t>
      </w:r>
    </w:p>
    <w:p w14:paraId="659A7B60" w14:textId="77777777" w:rsidR="009B425B" w:rsidRPr="0008269D" w:rsidRDefault="000241E3">
      <w:pPr>
        <w:spacing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b/>
          <w:bCs/>
          <w:sz w:val="22"/>
          <w:szCs w:val="22"/>
        </w:rPr>
        <w:t xml:space="preserve">4. Turno. </w:t>
      </w:r>
      <w:r w:rsidRPr="0008269D">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08269D">
        <w:rPr>
          <w:rFonts w:ascii="Palatino Linotype" w:eastAsia="Palatino Linotype" w:hAnsi="Palatino Linotype" w:cs="Palatino Linotype"/>
          <w:b/>
          <w:bCs/>
          <w:sz w:val="22"/>
          <w:szCs w:val="22"/>
        </w:rPr>
        <w:t xml:space="preserve">Guadalupe Ramírez Peña, </w:t>
      </w:r>
      <w:r w:rsidRPr="0008269D">
        <w:rPr>
          <w:rFonts w:ascii="Palatino Linotype" w:eastAsia="Palatino Linotype" w:hAnsi="Palatino Linotype" w:cs="Palatino Linotype"/>
          <w:sz w:val="22"/>
          <w:szCs w:val="22"/>
        </w:rPr>
        <w:t>a efecto de que analizara sobre su admisión o su desechamiento.</w:t>
      </w:r>
    </w:p>
    <w:p w14:paraId="727BF6F3" w14:textId="77777777" w:rsidR="009B425B" w:rsidRPr="0008269D" w:rsidRDefault="000241E3">
      <w:pPr>
        <w:spacing w:before="240" w:after="240" w:line="360" w:lineRule="auto"/>
        <w:jc w:val="both"/>
        <w:rPr>
          <w:rFonts w:ascii="Palatino Linotype" w:eastAsia="Palatino Linotype" w:hAnsi="Palatino Linotype" w:cs="Palatino Linotype"/>
          <w:b/>
          <w:bCs/>
          <w:sz w:val="22"/>
          <w:szCs w:val="22"/>
        </w:rPr>
      </w:pPr>
      <w:r w:rsidRPr="0008269D">
        <w:rPr>
          <w:rFonts w:ascii="Palatino Linotype" w:eastAsia="Palatino Linotype" w:hAnsi="Palatino Linotype" w:cs="Palatino Linotype"/>
          <w:b/>
          <w:bCs/>
          <w:sz w:val="22"/>
          <w:szCs w:val="22"/>
        </w:rPr>
        <w:t>5. Admisión del Recurso de revisión.</w:t>
      </w:r>
      <w:r w:rsidRPr="0008269D">
        <w:rPr>
          <w:rFonts w:ascii="Palatino Linotype" w:eastAsia="Palatino Linotype" w:hAnsi="Palatino Linotype" w:cs="Palatino Linotype"/>
          <w:sz w:val="22"/>
          <w:szCs w:val="22"/>
        </w:rPr>
        <w:t xml:space="preserve"> El</w:t>
      </w:r>
      <w:r w:rsidRPr="0008269D">
        <w:rPr>
          <w:rFonts w:ascii="Palatino Linotype" w:eastAsia="Palatino Linotype" w:hAnsi="Palatino Linotype" w:cs="Palatino Linotype"/>
          <w:b/>
          <w:bCs/>
          <w:sz w:val="22"/>
          <w:szCs w:val="22"/>
        </w:rPr>
        <w:t xml:space="preserve"> veintiséis de septiembre de dos mil veinticinco, </w:t>
      </w:r>
      <w:r w:rsidRPr="0008269D">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08269D">
        <w:rPr>
          <w:rFonts w:ascii="Palatino Linotype" w:eastAsia="Palatino Linotype" w:hAnsi="Palatino Linotype" w:cs="Palatino Linotype"/>
          <w:b/>
          <w:bCs/>
          <w:sz w:val="22"/>
          <w:szCs w:val="22"/>
        </w:rPr>
        <w:t xml:space="preserve">Sujeto Obligado </w:t>
      </w:r>
      <w:r w:rsidRPr="0008269D">
        <w:rPr>
          <w:rFonts w:ascii="Palatino Linotype" w:eastAsia="Palatino Linotype" w:hAnsi="Palatino Linotype" w:cs="Palatino Linotype"/>
          <w:sz w:val="22"/>
          <w:szCs w:val="22"/>
        </w:rPr>
        <w:t>presentara su informe justificado.</w:t>
      </w:r>
    </w:p>
    <w:p w14:paraId="18BDC9C2" w14:textId="77777777" w:rsidR="009B425B" w:rsidRPr="0008269D" w:rsidRDefault="000241E3">
      <w:pPr>
        <w:spacing w:before="240" w:after="240" w:line="360" w:lineRule="auto"/>
        <w:jc w:val="both"/>
        <w:rPr>
          <w:rFonts w:ascii="Palatino Linotype" w:eastAsia="Palatino Linotype" w:hAnsi="Palatino Linotype" w:cs="Palatino Linotype"/>
          <w:sz w:val="22"/>
          <w:szCs w:val="22"/>
        </w:rPr>
      </w:pPr>
      <w:bookmarkStart w:id="5" w:name="_heading=h.2s8eyo1" w:colFirst="0" w:colLast="0"/>
      <w:bookmarkEnd w:id="5"/>
      <w:r w:rsidRPr="0008269D">
        <w:rPr>
          <w:rFonts w:ascii="Palatino Linotype" w:eastAsia="Palatino Linotype" w:hAnsi="Palatino Linotype" w:cs="Palatino Linotype"/>
          <w:b/>
          <w:bCs/>
          <w:sz w:val="22"/>
          <w:szCs w:val="22"/>
        </w:rPr>
        <w:t>6. Manifestaciones</w:t>
      </w:r>
      <w:r w:rsidRPr="0008269D">
        <w:rPr>
          <w:rFonts w:ascii="Palatino Linotype" w:eastAsia="Palatino Linotype" w:hAnsi="Palatino Linotype" w:cs="Palatino Linotype"/>
          <w:sz w:val="22"/>
          <w:szCs w:val="22"/>
        </w:rPr>
        <w:t xml:space="preserve">. El </w:t>
      </w:r>
      <w:r w:rsidRPr="0008269D">
        <w:rPr>
          <w:rFonts w:ascii="Palatino Linotype" w:eastAsia="Palatino Linotype" w:hAnsi="Palatino Linotype" w:cs="Palatino Linotype"/>
          <w:b/>
          <w:bCs/>
          <w:sz w:val="22"/>
          <w:szCs w:val="22"/>
        </w:rPr>
        <w:t xml:space="preserve">tres de octubre de dos mil veinticinco, </w:t>
      </w:r>
      <w:r w:rsidRPr="0008269D">
        <w:rPr>
          <w:rFonts w:ascii="Palatino Linotype" w:eastAsia="Palatino Linotype" w:hAnsi="Palatino Linotype" w:cs="Palatino Linotype"/>
          <w:sz w:val="22"/>
          <w:szCs w:val="22"/>
        </w:rPr>
        <w:t xml:space="preserve">el </w:t>
      </w:r>
      <w:r w:rsidRPr="0008269D">
        <w:rPr>
          <w:rFonts w:ascii="Palatino Linotype" w:eastAsia="Palatino Linotype" w:hAnsi="Palatino Linotype" w:cs="Palatino Linotype"/>
          <w:b/>
          <w:bCs/>
          <w:sz w:val="22"/>
          <w:szCs w:val="22"/>
        </w:rPr>
        <w:t>Sujeto Obligado</w:t>
      </w:r>
      <w:r w:rsidRPr="0008269D">
        <w:rPr>
          <w:rFonts w:ascii="Palatino Linotype" w:eastAsia="Palatino Linotype" w:hAnsi="Palatino Linotype" w:cs="Palatino Linotype"/>
          <w:sz w:val="22"/>
          <w:szCs w:val="22"/>
        </w:rPr>
        <w:t xml:space="preserve"> remitió, a través del SAIMEX, lo siguiente:</w:t>
      </w:r>
    </w:p>
    <w:p w14:paraId="43F1C628" w14:textId="77777777" w:rsidR="009B425B" w:rsidRPr="0008269D" w:rsidRDefault="000241E3">
      <w:pPr>
        <w:spacing w:before="240" w:after="240" w:line="360" w:lineRule="auto"/>
        <w:ind w:left="142"/>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 Oficio número 200C0101100000L/4583/2025, mediante el cual el Director de Finanzas, Planeación y Administración reiteró la respuesta proporcionada en primera instancia manifestando que una vez agotados los procedimientos de búsqueda exhaustiva en los archivos que obran en la Dirección de Finanzas, Planeación y Administración por el período de tiempo señalado, no se localizó registro alguno del que se desprenda que el DIFEM tuvo ingresos por concepto de la venta de verduras producidas en los huertos que administra, lo que trae como consecuencia, la inexistencia de los recibos señalados por la parte interesada y por ende, la imposibilidad del Sujeto Obligado para su entrega.</w:t>
      </w:r>
    </w:p>
    <w:p w14:paraId="2D4BCC97" w14:textId="77777777" w:rsidR="009B425B" w:rsidRPr="0008269D" w:rsidRDefault="000241E3">
      <w:pPr>
        <w:spacing w:before="240" w:after="240" w:line="360" w:lineRule="auto"/>
        <w:ind w:left="142"/>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 Oficio número 200C0101040000L/1258/2025, mediante el cual la Directora de Alimentación y Nutrición Familiar, ratificó en lo sustancial la respuesta proporcionada en primera instancia.</w:t>
      </w:r>
    </w:p>
    <w:p w14:paraId="4FF49173" w14:textId="77777777" w:rsidR="009B425B" w:rsidRPr="0008269D" w:rsidRDefault="000241E3">
      <w:pPr>
        <w:spacing w:before="240" w:after="240"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Una vez analizada la información, se hizo del conocimiento de la persona solicitante a efecto de que manifestara lo que a su derecho estimara conveniente.</w:t>
      </w:r>
    </w:p>
    <w:p w14:paraId="747CC563" w14:textId="77777777" w:rsidR="009B425B" w:rsidRPr="0008269D" w:rsidRDefault="000241E3">
      <w:pPr>
        <w:widowControl w:val="0"/>
        <w:spacing w:before="240" w:line="360" w:lineRule="auto"/>
        <w:jc w:val="both"/>
        <w:rPr>
          <w:rFonts w:ascii="Palatino Linotype" w:eastAsia="Palatino Linotype" w:hAnsi="Palatino Linotype" w:cs="Palatino Linotype"/>
          <w:b/>
          <w:bCs/>
          <w:sz w:val="22"/>
          <w:szCs w:val="22"/>
        </w:rPr>
      </w:pPr>
      <w:r w:rsidRPr="0008269D">
        <w:rPr>
          <w:rFonts w:ascii="Palatino Linotype" w:eastAsia="Palatino Linotype" w:hAnsi="Palatino Linotype" w:cs="Palatino Linotype"/>
          <w:b/>
          <w:bCs/>
          <w:sz w:val="22"/>
          <w:szCs w:val="22"/>
        </w:rPr>
        <w:t>7. Ampliación del término para resolver</w:t>
      </w:r>
      <w:r w:rsidRPr="0008269D">
        <w:rPr>
          <w:rFonts w:ascii="Palatino Linotype" w:eastAsia="Palatino Linotype" w:hAnsi="Palatino Linotype" w:cs="Palatino Linotype"/>
          <w:sz w:val="22"/>
          <w:szCs w:val="22"/>
        </w:rPr>
        <w:t xml:space="preserve">. El trece de noviembre de dos mil veinticinco, se amplió el término para resolver el recurso de revisión en términos del artículo 181 párrafo tercero de la Ley de Transparencia y Acceso a la Información Pública del Estado de México y Municipios, mediante acuerdo notificado el </w:t>
      </w:r>
      <w:r w:rsidRPr="0008269D">
        <w:rPr>
          <w:rFonts w:ascii="Palatino Linotype" w:eastAsia="Palatino Linotype" w:hAnsi="Palatino Linotype" w:cs="Palatino Linotype"/>
          <w:b/>
          <w:bCs/>
          <w:sz w:val="22"/>
          <w:szCs w:val="22"/>
        </w:rPr>
        <w:t xml:space="preserve">dieciocho de noviembre de dos mil veinticinco. </w:t>
      </w:r>
    </w:p>
    <w:p w14:paraId="71AD5448" w14:textId="77777777" w:rsidR="009B425B" w:rsidRPr="0008269D" w:rsidRDefault="000241E3">
      <w:pPr>
        <w:widowControl w:val="0"/>
        <w:spacing w:before="240"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1874EF6" w14:textId="77777777" w:rsidR="009B425B" w:rsidRPr="0008269D" w:rsidRDefault="000241E3">
      <w:pPr>
        <w:spacing w:before="240" w:after="240"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EECF022" w14:textId="77777777" w:rsidR="009B425B" w:rsidRPr="0008269D" w:rsidRDefault="000241E3">
      <w:pPr>
        <w:spacing w:before="240" w:after="240"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2C52E1B" w14:textId="77777777" w:rsidR="009B425B" w:rsidRPr="0008269D" w:rsidRDefault="000241E3">
      <w:pPr>
        <w:spacing w:before="240" w:after="240"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1868EE9" w14:textId="77777777" w:rsidR="009B425B" w:rsidRPr="0008269D" w:rsidRDefault="000241E3">
      <w:pPr>
        <w:spacing w:before="240" w:after="240" w:line="360" w:lineRule="auto"/>
        <w:jc w:val="both"/>
        <w:rPr>
          <w:rFonts w:ascii="Palatino Linotype" w:eastAsia="Palatino Linotype" w:hAnsi="Palatino Linotype" w:cs="Palatino Linotype"/>
          <w:strike/>
          <w:sz w:val="22"/>
          <w:szCs w:val="22"/>
        </w:rPr>
      </w:pPr>
      <w:r w:rsidRPr="0008269D">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422556F6" w14:textId="77777777" w:rsidR="009B425B" w:rsidRPr="0008269D" w:rsidRDefault="000241E3">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2D85FECC" w14:textId="77777777" w:rsidR="009B425B" w:rsidRPr="0008269D" w:rsidRDefault="000241E3">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Actividad Procesal del interesado. Acciones u omisiones del interesado.</w:t>
      </w:r>
    </w:p>
    <w:p w14:paraId="088CB360" w14:textId="77777777" w:rsidR="009B425B" w:rsidRPr="0008269D" w:rsidRDefault="000241E3">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18CA267F" w14:textId="77777777" w:rsidR="009B425B" w:rsidRPr="0008269D" w:rsidRDefault="000241E3">
      <w:pPr>
        <w:tabs>
          <w:tab w:val="left" w:pos="567"/>
        </w:tabs>
        <w:spacing w:before="240" w:after="240" w:line="360" w:lineRule="auto"/>
        <w:ind w:left="284"/>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1E338797" w14:textId="77777777" w:rsidR="009B425B" w:rsidRPr="0008269D" w:rsidRDefault="000241E3">
      <w:pPr>
        <w:spacing w:before="240" w:after="240"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9E58133" w14:textId="77777777" w:rsidR="009B425B" w:rsidRPr="0008269D" w:rsidRDefault="000241E3">
      <w:pPr>
        <w:spacing w:before="240" w:after="240" w:line="360" w:lineRule="auto"/>
        <w:jc w:val="both"/>
        <w:rPr>
          <w:rFonts w:ascii="Palatino Linotype" w:eastAsia="Palatino Linotype" w:hAnsi="Palatino Linotype" w:cs="Palatino Linotype"/>
          <w:b/>
          <w:bCs/>
          <w:sz w:val="22"/>
          <w:szCs w:val="22"/>
        </w:rPr>
      </w:pPr>
      <w:r w:rsidRPr="0008269D">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08269D">
        <w:rPr>
          <w:rFonts w:ascii="Palatino Linotype" w:eastAsia="Palatino Linotype" w:hAnsi="Palatino Linotype" w:cs="Palatino Linotype"/>
          <w:i/>
          <w:iCs/>
          <w:sz w:val="22"/>
          <w:szCs w:val="22"/>
        </w:rPr>
        <w:t>“TÉRMINOS PROCESALES. PARA DETERMINAR SI UN FUNCIONARIO JUDICIAL ACTUÓ INDEBIDAMENTE POR NO RESPETARLOS SE DEBE ATENDER AL PRESUPUESTO QUE CONSIDERÓ EL LEGISLADOR AL FIJARLOS Y LAS CARACTERÍSTICAS DEL CASO.”</w:t>
      </w:r>
      <w:r w:rsidRPr="0008269D">
        <w:rPr>
          <w:rFonts w:ascii="Palatino Linotype" w:eastAsia="Palatino Linotype" w:hAnsi="Palatino Linotype" w:cs="Palatino Linotype"/>
          <w:sz w:val="22"/>
          <w:szCs w:val="22"/>
        </w:rPr>
        <w:t>, visible en la Gaceta del Seminario Judicial de la Federación con el registro digital 205635.</w:t>
      </w:r>
    </w:p>
    <w:p w14:paraId="349A5719" w14:textId="77777777" w:rsidR="009B425B" w:rsidRPr="0008269D" w:rsidRDefault="000241E3">
      <w:pPr>
        <w:spacing w:before="240" w:after="240"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00C1E32" w14:textId="77777777" w:rsidR="009B425B" w:rsidRPr="0008269D" w:rsidRDefault="000241E3">
      <w:pPr>
        <w:spacing w:before="240" w:after="240"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0BEF1BEA" w14:textId="77777777" w:rsidR="009B425B" w:rsidRPr="0008269D" w:rsidRDefault="000241E3">
      <w:pPr>
        <w:spacing w:before="120" w:after="120"/>
        <w:ind w:left="851" w:right="902"/>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 xml:space="preserve"> </w:t>
      </w:r>
      <w:r w:rsidRPr="0008269D">
        <w:rPr>
          <w:rFonts w:ascii="Palatino Linotype" w:eastAsia="Palatino Linotype" w:hAnsi="Palatino Linotype" w:cs="Palatino Linotype"/>
          <w:i/>
          <w:iCs/>
          <w:sz w:val="22"/>
          <w:szCs w:val="22"/>
        </w:rPr>
        <w:t>“</w:t>
      </w:r>
      <w:r w:rsidRPr="0008269D">
        <w:rPr>
          <w:rFonts w:ascii="Palatino Linotype" w:eastAsia="Palatino Linotype" w:hAnsi="Palatino Linotype" w:cs="Palatino Linotype"/>
          <w:b/>
          <w:bCs/>
          <w:i/>
          <w:iCs/>
          <w:sz w:val="22"/>
          <w:szCs w:val="22"/>
        </w:rPr>
        <w:t>PLAZO RAZONABLE PARA RESOLVER. DIMENSIÓN Y EFECTOS DE ESTE CONCEPTO CUANDO SE ADUCE EXCESIVA CARGA DE TRABAJO</w:t>
      </w:r>
      <w:r w:rsidRPr="0008269D">
        <w:rPr>
          <w:rFonts w:ascii="Palatino Linotype" w:eastAsia="Palatino Linotype" w:hAnsi="Palatino Linotype" w:cs="Palatino Linotype"/>
          <w:i/>
          <w:iCs/>
          <w:sz w:val="22"/>
          <w:szCs w:val="22"/>
        </w:rPr>
        <w:t>.”</w:t>
      </w:r>
      <w:r w:rsidRPr="0008269D">
        <w:rPr>
          <w:rFonts w:ascii="Palatino Linotype" w:eastAsia="Palatino Linotype" w:hAnsi="Palatino Linotype" w:cs="Palatino Linotype"/>
          <w:sz w:val="22"/>
          <w:szCs w:val="22"/>
        </w:rPr>
        <w:t xml:space="preserve"> consultable en el Seminario Judicial de la Federación y su gaceta, con el registro digital 2002351.</w:t>
      </w:r>
    </w:p>
    <w:p w14:paraId="6F0E98E0" w14:textId="77777777" w:rsidR="009B425B" w:rsidRPr="0008269D" w:rsidRDefault="000241E3">
      <w:pPr>
        <w:spacing w:before="120" w:after="120"/>
        <w:ind w:left="851" w:right="902"/>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i/>
          <w:iCs/>
          <w:sz w:val="22"/>
          <w:szCs w:val="22"/>
        </w:rPr>
        <w:t>“</w:t>
      </w:r>
      <w:r w:rsidRPr="0008269D">
        <w:rPr>
          <w:rFonts w:ascii="Palatino Linotype" w:eastAsia="Palatino Linotype" w:hAnsi="Palatino Linotype" w:cs="Palatino Linotype"/>
          <w:b/>
          <w:bCs/>
          <w:i/>
          <w:iCs/>
          <w:sz w:val="22"/>
          <w:szCs w:val="22"/>
        </w:rPr>
        <w:t>PLAZO RAZONABLE PARA RESOLVER. CONCEPTO Y ELEMENTOS QUE LO INTEGRAN A LA LUZ DEL DERECHO INTERNACIONAL DE LOS DERECHOS HUMANOS</w:t>
      </w:r>
      <w:r w:rsidRPr="0008269D">
        <w:rPr>
          <w:rFonts w:ascii="Palatino Linotype" w:eastAsia="Palatino Linotype" w:hAnsi="Palatino Linotype" w:cs="Palatino Linotype"/>
          <w:i/>
          <w:iCs/>
          <w:sz w:val="22"/>
          <w:szCs w:val="22"/>
        </w:rPr>
        <w:t>.”</w:t>
      </w:r>
      <w:r w:rsidRPr="0008269D">
        <w:rPr>
          <w:rFonts w:ascii="Palatino Linotype" w:eastAsia="Palatino Linotype" w:hAnsi="Palatino Linotype" w:cs="Palatino Linotype"/>
          <w:sz w:val="22"/>
          <w:szCs w:val="22"/>
        </w:rPr>
        <w:t>, visible en el Seminario Judicial de la Federación y su gaceta, con el registro digital 2002350.</w:t>
      </w:r>
    </w:p>
    <w:p w14:paraId="1E0BC469" w14:textId="77777777" w:rsidR="009B425B" w:rsidRPr="0008269D" w:rsidRDefault="000241E3">
      <w:pPr>
        <w:spacing w:before="240" w:after="240"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447AAD83" w14:textId="77777777" w:rsidR="009B425B" w:rsidRPr="0008269D" w:rsidRDefault="000241E3">
      <w:pPr>
        <w:widowControl w:val="0"/>
        <w:spacing w:before="240" w:line="360" w:lineRule="auto"/>
        <w:jc w:val="both"/>
        <w:rPr>
          <w:rFonts w:ascii="Palatino Linotype" w:eastAsia="Palatino Linotype" w:hAnsi="Palatino Linotype" w:cs="Palatino Linotype"/>
          <w:b/>
          <w:bCs/>
          <w:sz w:val="22"/>
          <w:szCs w:val="22"/>
        </w:rPr>
      </w:pPr>
      <w:r w:rsidRPr="0008269D">
        <w:rPr>
          <w:rFonts w:ascii="Palatino Linotype" w:eastAsia="Palatino Linotype" w:hAnsi="Palatino Linotype" w:cs="Palatino Linotype"/>
          <w:b/>
          <w:bCs/>
          <w:sz w:val="22"/>
          <w:szCs w:val="22"/>
        </w:rPr>
        <w:t xml:space="preserve">8. Cierre de instrucción. </w:t>
      </w:r>
      <w:r w:rsidRPr="0008269D">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08269D">
        <w:rPr>
          <w:rFonts w:ascii="Palatino Linotype" w:eastAsia="Palatino Linotype" w:hAnsi="Palatino Linotype" w:cs="Palatino Linotype"/>
          <w:b/>
          <w:bCs/>
          <w:sz w:val="22"/>
          <w:szCs w:val="22"/>
        </w:rPr>
        <w:t>diecinueve de noviembre de dos mil veinticinco</w:t>
      </w:r>
      <w:r w:rsidRPr="0008269D">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315F4B5D" w14:textId="77777777" w:rsidR="009B425B" w:rsidRPr="0008269D" w:rsidRDefault="000241E3">
      <w:pPr>
        <w:widowControl w:val="0"/>
        <w:spacing w:before="240"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2FDB0148" w14:textId="77777777" w:rsidR="009B425B" w:rsidRPr="0008269D" w:rsidRDefault="009B425B">
      <w:pPr>
        <w:widowControl w:val="0"/>
        <w:spacing w:before="240" w:line="360" w:lineRule="auto"/>
        <w:jc w:val="both"/>
        <w:rPr>
          <w:rFonts w:ascii="Palatino Linotype" w:eastAsia="Palatino Linotype" w:hAnsi="Palatino Linotype" w:cs="Palatino Linotype"/>
          <w:sz w:val="22"/>
          <w:szCs w:val="22"/>
        </w:rPr>
      </w:pPr>
    </w:p>
    <w:p w14:paraId="7FCD0078" w14:textId="77777777" w:rsidR="009B425B" w:rsidRPr="0008269D" w:rsidRDefault="009B425B">
      <w:pPr>
        <w:widowControl w:val="0"/>
        <w:spacing w:before="240" w:line="360" w:lineRule="auto"/>
        <w:jc w:val="both"/>
        <w:rPr>
          <w:rFonts w:ascii="Palatino Linotype" w:eastAsia="Palatino Linotype" w:hAnsi="Palatino Linotype" w:cs="Palatino Linotype"/>
          <w:sz w:val="22"/>
          <w:szCs w:val="22"/>
        </w:rPr>
      </w:pPr>
    </w:p>
    <w:p w14:paraId="7697E936" w14:textId="77777777" w:rsidR="009B425B" w:rsidRPr="0008269D" w:rsidRDefault="000241E3">
      <w:pPr>
        <w:widowControl w:val="0"/>
        <w:spacing w:before="240" w:after="240" w:line="360" w:lineRule="auto"/>
        <w:jc w:val="center"/>
        <w:rPr>
          <w:rFonts w:ascii="Palatino Linotype" w:eastAsia="Palatino Linotype" w:hAnsi="Palatino Linotype" w:cs="Palatino Linotype"/>
          <w:b/>
          <w:bCs/>
          <w:sz w:val="22"/>
          <w:szCs w:val="22"/>
        </w:rPr>
      </w:pPr>
      <w:r w:rsidRPr="0008269D">
        <w:rPr>
          <w:rFonts w:ascii="Palatino Linotype" w:eastAsia="Palatino Linotype" w:hAnsi="Palatino Linotype" w:cs="Palatino Linotype"/>
          <w:b/>
          <w:bCs/>
          <w:sz w:val="22"/>
          <w:szCs w:val="22"/>
        </w:rPr>
        <w:t>II. C O N S I D E R A N D O S</w:t>
      </w:r>
    </w:p>
    <w:p w14:paraId="3CDAB2EE" w14:textId="77777777" w:rsidR="009B425B" w:rsidRPr="0008269D" w:rsidRDefault="000241E3">
      <w:pPr>
        <w:spacing w:before="240" w:after="240"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b/>
          <w:bCs/>
          <w:sz w:val="22"/>
          <w:szCs w:val="22"/>
        </w:rPr>
        <w:t>Primero. Competencia.</w:t>
      </w:r>
      <w:r w:rsidRPr="0008269D">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D0F271C" w14:textId="77777777" w:rsidR="009B425B" w:rsidRPr="0008269D" w:rsidRDefault="000241E3">
      <w:pPr>
        <w:spacing w:before="240" w:after="240" w:line="360" w:lineRule="auto"/>
        <w:jc w:val="both"/>
        <w:rPr>
          <w:rFonts w:ascii="Palatino Linotype" w:eastAsia="Palatino Linotype" w:hAnsi="Palatino Linotype" w:cs="Palatino Linotype"/>
          <w:sz w:val="22"/>
          <w:szCs w:val="22"/>
        </w:rPr>
      </w:pPr>
      <w:bookmarkStart w:id="6" w:name="_heading=h.tyjcwt" w:colFirst="0" w:colLast="0"/>
      <w:bookmarkEnd w:id="6"/>
      <w:r w:rsidRPr="0008269D">
        <w:rPr>
          <w:rFonts w:ascii="Palatino Linotype" w:eastAsia="Palatino Linotype" w:hAnsi="Palatino Linotype" w:cs="Palatino Linotype"/>
          <w:b/>
          <w:bCs/>
          <w:sz w:val="22"/>
          <w:szCs w:val="22"/>
        </w:rPr>
        <w:t>Segundo. Oportunidad y Procedibilidad del Recurso de Revisión</w:t>
      </w:r>
      <w:r w:rsidRPr="0008269D">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95C1E0F" w14:textId="77777777" w:rsidR="009B425B" w:rsidRPr="0008269D" w:rsidRDefault="000241E3">
      <w:pPr>
        <w:spacing w:before="240" w:after="240"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08269D">
        <w:rPr>
          <w:rFonts w:ascii="Palatino Linotype" w:eastAsia="Palatino Linotype" w:hAnsi="Palatino Linotype" w:cs="Palatino Linotype"/>
          <w:b/>
          <w:bCs/>
          <w:sz w:val="22"/>
          <w:szCs w:val="22"/>
        </w:rPr>
        <w:t xml:space="preserve">Sujeto Obligado </w:t>
      </w:r>
      <w:r w:rsidRPr="0008269D">
        <w:rPr>
          <w:rFonts w:ascii="Palatino Linotype" w:eastAsia="Palatino Linotype" w:hAnsi="Palatino Linotype" w:cs="Palatino Linotype"/>
          <w:sz w:val="22"/>
          <w:szCs w:val="22"/>
        </w:rPr>
        <w:t xml:space="preserve">remitió la respuesta a la solicitud de información el día </w:t>
      </w:r>
      <w:r w:rsidRPr="0008269D">
        <w:rPr>
          <w:rFonts w:ascii="Palatino Linotype" w:eastAsia="Palatino Linotype" w:hAnsi="Palatino Linotype" w:cs="Palatino Linotype"/>
          <w:b/>
          <w:bCs/>
          <w:sz w:val="22"/>
          <w:szCs w:val="22"/>
        </w:rPr>
        <w:t xml:space="preserve">doce de septiembre de dos mil veinticinco, </w:t>
      </w:r>
      <w:r w:rsidRPr="0008269D">
        <w:rPr>
          <w:rFonts w:ascii="Palatino Linotype" w:eastAsia="Palatino Linotype" w:hAnsi="Palatino Linotype" w:cs="Palatino Linotype"/>
          <w:sz w:val="22"/>
          <w:szCs w:val="22"/>
        </w:rPr>
        <w:t xml:space="preserve">mientras que el recurso de revisión interpuesto por la parte </w:t>
      </w:r>
      <w:r w:rsidRPr="0008269D">
        <w:rPr>
          <w:rFonts w:ascii="Palatino Linotype" w:eastAsia="Palatino Linotype" w:hAnsi="Palatino Linotype" w:cs="Palatino Linotype"/>
          <w:b/>
          <w:bCs/>
          <w:sz w:val="22"/>
          <w:szCs w:val="22"/>
        </w:rPr>
        <w:t xml:space="preserve">Recurrente, </w:t>
      </w:r>
      <w:r w:rsidRPr="0008269D">
        <w:rPr>
          <w:rFonts w:ascii="Palatino Linotype" w:eastAsia="Palatino Linotype" w:hAnsi="Palatino Linotype" w:cs="Palatino Linotype"/>
          <w:sz w:val="22"/>
          <w:szCs w:val="22"/>
        </w:rPr>
        <w:t>se tuvo por presentado el día</w:t>
      </w:r>
      <w:r w:rsidRPr="0008269D">
        <w:rPr>
          <w:rFonts w:ascii="Palatino Linotype" w:eastAsia="Palatino Linotype" w:hAnsi="Palatino Linotype" w:cs="Palatino Linotype"/>
          <w:b/>
          <w:bCs/>
          <w:sz w:val="22"/>
          <w:szCs w:val="22"/>
        </w:rPr>
        <w:t xml:space="preserve"> veintitrés de septiembre de dos mil veinticinco, </w:t>
      </w:r>
      <w:r w:rsidRPr="0008269D">
        <w:rPr>
          <w:rFonts w:ascii="Palatino Linotype" w:eastAsia="Palatino Linotype" w:hAnsi="Palatino Linotype" w:cs="Palatino Linotype"/>
          <w:sz w:val="22"/>
          <w:szCs w:val="22"/>
        </w:rPr>
        <w:t>esto es, al sexto día hábil posterior a aquel en el que tuvo conocimiento de la respuesta impugnada. En este sentido, se concluye que el presente recurso de revisión se encuentra dentro de los márgenes temporales previstos en las disposiciones legales referidas.</w:t>
      </w:r>
    </w:p>
    <w:p w14:paraId="1DFA0AD4" w14:textId="77777777" w:rsidR="009B425B" w:rsidRPr="0008269D" w:rsidRDefault="000241E3">
      <w:pPr>
        <w:spacing w:before="240" w:after="240"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C7E37A4" w14:textId="77777777" w:rsidR="009B425B" w:rsidRPr="0008269D" w:rsidRDefault="000241E3">
      <w:pPr>
        <w:spacing w:before="240" w:after="240"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08269D">
        <w:rPr>
          <w:rFonts w:ascii="Palatino Linotype" w:eastAsia="Palatino Linotype" w:hAnsi="Palatino Linotype" w:cs="Palatino Linotype"/>
          <w:b/>
          <w:bCs/>
          <w:sz w:val="22"/>
          <w:szCs w:val="22"/>
        </w:rPr>
        <w:t>Recurrente</w:t>
      </w:r>
      <w:r w:rsidRPr="0008269D">
        <w:rPr>
          <w:rFonts w:ascii="Palatino Linotype" w:eastAsia="Palatino Linotype" w:hAnsi="Palatino Linotype" w:cs="Palatino Linotype"/>
          <w:sz w:val="22"/>
          <w:szCs w:val="22"/>
        </w:rPr>
        <w:t xml:space="preserve"> en sus motivos de inconformidad, de acuerdo al artículo 179, fracción V del ordenamiento legal citado, que a la letra dice: </w:t>
      </w:r>
    </w:p>
    <w:p w14:paraId="31295324" w14:textId="77777777" w:rsidR="009B425B" w:rsidRPr="0008269D" w:rsidRDefault="000241E3">
      <w:pPr>
        <w:tabs>
          <w:tab w:val="left" w:pos="7938"/>
        </w:tabs>
        <w:spacing w:before="120" w:after="120"/>
        <w:ind w:left="851" w:right="902"/>
        <w:jc w:val="both"/>
        <w:rPr>
          <w:rFonts w:ascii="Palatino Linotype" w:eastAsia="Palatino Linotype" w:hAnsi="Palatino Linotype" w:cs="Palatino Linotype"/>
          <w:i/>
          <w:iCs/>
          <w:sz w:val="22"/>
          <w:szCs w:val="22"/>
        </w:rPr>
      </w:pPr>
      <w:r w:rsidRPr="0008269D">
        <w:rPr>
          <w:rFonts w:ascii="Palatino Linotype" w:eastAsia="Palatino Linotype" w:hAnsi="Palatino Linotype" w:cs="Palatino Linotype"/>
          <w:i/>
          <w:iCs/>
          <w:sz w:val="22"/>
          <w:szCs w:val="22"/>
        </w:rPr>
        <w:t>“</w:t>
      </w:r>
      <w:r w:rsidRPr="0008269D">
        <w:rPr>
          <w:rFonts w:ascii="Palatino Linotype" w:eastAsia="Palatino Linotype" w:hAnsi="Palatino Linotype" w:cs="Palatino Linotype"/>
          <w:b/>
          <w:bCs/>
          <w:i/>
          <w:iCs/>
          <w:sz w:val="22"/>
          <w:szCs w:val="22"/>
        </w:rPr>
        <w:t>Artículo 179.</w:t>
      </w:r>
      <w:r w:rsidRPr="0008269D">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14:paraId="19674746" w14:textId="77777777" w:rsidR="009B425B" w:rsidRPr="0008269D" w:rsidRDefault="000241E3">
      <w:pPr>
        <w:tabs>
          <w:tab w:val="left" w:pos="7938"/>
        </w:tabs>
        <w:spacing w:before="120" w:after="120"/>
        <w:ind w:left="851" w:right="900"/>
        <w:jc w:val="both"/>
        <w:rPr>
          <w:rFonts w:ascii="Palatino Linotype" w:eastAsia="Palatino Linotype" w:hAnsi="Palatino Linotype" w:cs="Palatino Linotype"/>
          <w:i/>
          <w:iCs/>
          <w:sz w:val="22"/>
          <w:szCs w:val="22"/>
        </w:rPr>
      </w:pPr>
      <w:r w:rsidRPr="0008269D">
        <w:rPr>
          <w:rFonts w:ascii="Palatino Linotype" w:eastAsia="Palatino Linotype" w:hAnsi="Palatino Linotype" w:cs="Palatino Linotype"/>
          <w:i/>
          <w:iCs/>
          <w:sz w:val="22"/>
          <w:szCs w:val="22"/>
        </w:rPr>
        <w:t>...</w:t>
      </w:r>
    </w:p>
    <w:p w14:paraId="2A260EF0" w14:textId="77777777" w:rsidR="009B425B" w:rsidRPr="0008269D" w:rsidRDefault="000241E3">
      <w:pPr>
        <w:tabs>
          <w:tab w:val="left" w:pos="7938"/>
        </w:tabs>
        <w:spacing w:before="120" w:after="120"/>
        <w:ind w:left="851" w:right="900"/>
        <w:jc w:val="both"/>
        <w:rPr>
          <w:rFonts w:ascii="Palatino Linotype" w:eastAsia="Palatino Linotype" w:hAnsi="Palatino Linotype" w:cs="Palatino Linotype"/>
          <w:i/>
          <w:iCs/>
          <w:sz w:val="22"/>
          <w:szCs w:val="22"/>
        </w:rPr>
      </w:pPr>
      <w:r w:rsidRPr="0008269D">
        <w:rPr>
          <w:rFonts w:ascii="Palatino Linotype" w:eastAsia="Palatino Linotype" w:hAnsi="Palatino Linotype" w:cs="Palatino Linotype"/>
          <w:b/>
          <w:bCs/>
          <w:i/>
          <w:iCs/>
          <w:sz w:val="22"/>
          <w:szCs w:val="22"/>
        </w:rPr>
        <w:t>V.</w:t>
      </w:r>
      <w:r w:rsidRPr="0008269D">
        <w:rPr>
          <w:rFonts w:ascii="Palatino Linotype" w:eastAsia="Palatino Linotype" w:hAnsi="Palatino Linotype" w:cs="Palatino Linotype"/>
          <w:i/>
          <w:iCs/>
          <w:sz w:val="22"/>
          <w:szCs w:val="22"/>
        </w:rPr>
        <w:t xml:space="preserve"> La entrega de información incompleta;”</w:t>
      </w:r>
    </w:p>
    <w:p w14:paraId="1117E41C" w14:textId="77777777" w:rsidR="009B425B" w:rsidRPr="0008269D" w:rsidRDefault="000241E3">
      <w:pPr>
        <w:spacing w:before="240" w:after="240" w:line="360" w:lineRule="auto"/>
        <w:jc w:val="both"/>
        <w:rPr>
          <w:rFonts w:ascii="Palatino Linotype" w:eastAsia="Palatino Linotype" w:hAnsi="Palatino Linotype" w:cs="Palatino Linotype"/>
          <w:b/>
          <w:bCs/>
          <w:sz w:val="22"/>
          <w:szCs w:val="22"/>
        </w:rPr>
      </w:pPr>
      <w:r w:rsidRPr="0008269D">
        <w:rPr>
          <w:rFonts w:ascii="Palatino Linotype" w:eastAsia="Palatino Linotype" w:hAnsi="Palatino Linotype" w:cs="Palatino Linotype"/>
          <w:b/>
          <w:bCs/>
          <w:sz w:val="22"/>
          <w:szCs w:val="22"/>
        </w:rPr>
        <w:t xml:space="preserve">Tercero. Materia de la revisión. </w:t>
      </w:r>
      <w:r w:rsidRPr="0008269D">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08269D">
        <w:rPr>
          <w:rFonts w:ascii="Palatino Linotype" w:eastAsia="Palatino Linotype" w:hAnsi="Palatino Linotype" w:cs="Palatino Linotype"/>
          <w:b/>
          <w:bCs/>
          <w:sz w:val="22"/>
          <w:szCs w:val="22"/>
        </w:rPr>
        <w:t xml:space="preserve">verificar si la información proporcionada por el Sujeto Obligado es adecuada y suficiente para satisfacer el derecho de acceso a la información pública </w:t>
      </w:r>
      <w:r w:rsidRPr="0008269D">
        <w:rPr>
          <w:rFonts w:ascii="Palatino Linotype" w:eastAsia="Palatino Linotype" w:hAnsi="Palatino Linotype" w:cs="Palatino Linotype"/>
          <w:sz w:val="22"/>
          <w:szCs w:val="22"/>
        </w:rPr>
        <w:t xml:space="preserve">de la parte </w:t>
      </w:r>
      <w:r w:rsidRPr="0008269D">
        <w:rPr>
          <w:rFonts w:ascii="Palatino Linotype" w:eastAsia="Palatino Linotype" w:hAnsi="Palatino Linotype" w:cs="Palatino Linotype"/>
          <w:b/>
          <w:bCs/>
          <w:sz w:val="22"/>
          <w:szCs w:val="22"/>
        </w:rPr>
        <w:t>Recurrente</w:t>
      </w:r>
      <w:r w:rsidRPr="0008269D">
        <w:rPr>
          <w:rFonts w:ascii="Palatino Linotype" w:eastAsia="Palatino Linotype" w:hAnsi="Palatino Linotype" w:cs="Palatino Linotype"/>
          <w:sz w:val="22"/>
          <w:szCs w:val="22"/>
        </w:rPr>
        <w:t>, o en su defecto, en caso de ser procedente, ordenar la entrega de información.</w:t>
      </w:r>
    </w:p>
    <w:p w14:paraId="5C96AE42" w14:textId="77777777" w:rsidR="009B425B" w:rsidRPr="0008269D" w:rsidRDefault="000241E3">
      <w:pPr>
        <w:spacing w:before="240" w:after="240" w:line="360" w:lineRule="auto"/>
        <w:jc w:val="both"/>
        <w:rPr>
          <w:rFonts w:ascii="Palatino Linotype" w:eastAsia="Palatino Linotype" w:hAnsi="Palatino Linotype" w:cs="Palatino Linotype"/>
          <w:sz w:val="22"/>
          <w:szCs w:val="22"/>
        </w:rPr>
      </w:pPr>
      <w:bookmarkStart w:id="7" w:name="_heading=h.2et92p0" w:colFirst="0" w:colLast="0"/>
      <w:bookmarkEnd w:id="7"/>
      <w:r w:rsidRPr="0008269D">
        <w:rPr>
          <w:rFonts w:ascii="Palatino Linotype" w:eastAsia="Palatino Linotype" w:hAnsi="Palatino Linotype" w:cs="Palatino Linotype"/>
          <w:b/>
          <w:bCs/>
          <w:sz w:val="22"/>
          <w:szCs w:val="22"/>
        </w:rPr>
        <w:t xml:space="preserve">Cuarto. Estudio del asunto. </w:t>
      </w:r>
      <w:r w:rsidRPr="0008269D">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BA7FAA3" w14:textId="77777777" w:rsidR="009B425B" w:rsidRPr="0008269D" w:rsidRDefault="000241E3">
      <w:pPr>
        <w:spacing w:before="120" w:after="120"/>
        <w:ind w:left="851" w:right="902"/>
        <w:jc w:val="both"/>
        <w:rPr>
          <w:rFonts w:ascii="Palatino Linotype" w:eastAsia="Palatino Linotype" w:hAnsi="Palatino Linotype" w:cs="Palatino Linotype"/>
          <w:i/>
          <w:iCs/>
          <w:sz w:val="22"/>
          <w:szCs w:val="22"/>
        </w:rPr>
      </w:pPr>
      <w:r w:rsidRPr="0008269D">
        <w:rPr>
          <w:rFonts w:ascii="Palatino Linotype" w:eastAsia="Palatino Linotype" w:hAnsi="Palatino Linotype" w:cs="Palatino Linotype"/>
          <w:i/>
          <w:iCs/>
          <w:sz w:val="22"/>
          <w:szCs w:val="22"/>
        </w:rPr>
        <w:t>“</w:t>
      </w:r>
      <w:r w:rsidRPr="0008269D">
        <w:rPr>
          <w:rFonts w:ascii="Palatino Linotype" w:eastAsia="Palatino Linotype" w:hAnsi="Palatino Linotype" w:cs="Palatino Linotype"/>
          <w:b/>
          <w:bCs/>
          <w:i/>
          <w:iCs/>
          <w:sz w:val="22"/>
          <w:szCs w:val="22"/>
        </w:rPr>
        <w:t>Artículo 4</w:t>
      </w:r>
      <w:r w:rsidRPr="0008269D">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646FED5" w14:textId="77777777" w:rsidR="009B425B" w:rsidRPr="0008269D" w:rsidRDefault="000241E3">
      <w:pPr>
        <w:spacing w:before="120" w:after="120"/>
        <w:ind w:left="851" w:right="902"/>
        <w:jc w:val="both"/>
        <w:rPr>
          <w:rFonts w:ascii="Palatino Linotype" w:eastAsia="Palatino Linotype" w:hAnsi="Palatino Linotype" w:cs="Palatino Linotype"/>
          <w:i/>
          <w:iCs/>
          <w:sz w:val="22"/>
          <w:szCs w:val="22"/>
        </w:rPr>
      </w:pPr>
      <w:r w:rsidRPr="0008269D">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08269D">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CAAED06" w14:textId="77777777" w:rsidR="009B425B" w:rsidRPr="0008269D" w:rsidRDefault="000241E3">
      <w:pPr>
        <w:spacing w:before="120" w:after="120"/>
        <w:ind w:left="851" w:right="902"/>
        <w:jc w:val="both"/>
        <w:rPr>
          <w:rFonts w:ascii="Palatino Linotype" w:eastAsia="Palatino Linotype" w:hAnsi="Palatino Linotype" w:cs="Palatino Linotype"/>
          <w:i/>
          <w:iCs/>
          <w:sz w:val="22"/>
          <w:szCs w:val="22"/>
        </w:rPr>
      </w:pPr>
      <w:r w:rsidRPr="0008269D">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08269D">
        <w:rPr>
          <w:rFonts w:ascii="Palatino Linotype" w:eastAsia="Palatino Linotype" w:hAnsi="Palatino Linotype" w:cs="Palatino Linotype"/>
          <w:i/>
          <w:iCs/>
          <w:sz w:val="22"/>
          <w:szCs w:val="22"/>
        </w:rPr>
        <w:t>.”</w:t>
      </w:r>
    </w:p>
    <w:p w14:paraId="0453C923" w14:textId="77777777" w:rsidR="009B425B" w:rsidRPr="0008269D" w:rsidRDefault="000241E3">
      <w:pPr>
        <w:spacing w:before="240" w:after="240"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D5801E8" w14:textId="77777777" w:rsidR="009B425B" w:rsidRPr="0008269D" w:rsidRDefault="000241E3">
      <w:pPr>
        <w:spacing w:before="120" w:after="120"/>
        <w:ind w:left="851" w:right="902"/>
        <w:jc w:val="both"/>
        <w:rPr>
          <w:rFonts w:ascii="Palatino Linotype" w:eastAsia="Palatino Linotype" w:hAnsi="Palatino Linotype" w:cs="Palatino Linotype"/>
          <w:i/>
          <w:iCs/>
          <w:sz w:val="22"/>
          <w:szCs w:val="22"/>
        </w:rPr>
      </w:pPr>
      <w:r w:rsidRPr="0008269D">
        <w:rPr>
          <w:rFonts w:ascii="Palatino Linotype" w:eastAsia="Palatino Linotype" w:hAnsi="Palatino Linotype" w:cs="Palatino Linotype"/>
          <w:b/>
          <w:bCs/>
          <w:i/>
          <w:iCs/>
          <w:sz w:val="22"/>
          <w:szCs w:val="22"/>
        </w:rPr>
        <w:t>“Artículo 12.-</w:t>
      </w:r>
      <w:r w:rsidRPr="0008269D">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544DF1FA" w14:textId="77777777" w:rsidR="009B425B" w:rsidRPr="0008269D" w:rsidRDefault="000241E3">
      <w:pPr>
        <w:spacing w:before="120" w:after="120"/>
        <w:ind w:left="851" w:right="902"/>
        <w:jc w:val="both"/>
        <w:rPr>
          <w:rFonts w:ascii="Palatino Linotype" w:eastAsia="Palatino Linotype" w:hAnsi="Palatino Linotype" w:cs="Palatino Linotype"/>
          <w:i/>
          <w:iCs/>
          <w:sz w:val="22"/>
          <w:szCs w:val="22"/>
        </w:rPr>
      </w:pPr>
      <w:r w:rsidRPr="0008269D">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08269D">
        <w:rPr>
          <w:rFonts w:ascii="Palatino Linotype" w:eastAsia="Palatino Linotype" w:hAnsi="Palatino Linotype" w:cs="Palatino Linotype"/>
          <w:i/>
          <w:iCs/>
          <w:sz w:val="22"/>
          <w:szCs w:val="22"/>
        </w:rPr>
        <w:t xml:space="preserve">. </w:t>
      </w:r>
      <w:r w:rsidRPr="0008269D">
        <w:rPr>
          <w:rFonts w:ascii="Palatino Linotype" w:eastAsia="Palatino Linotype" w:hAnsi="Palatino Linotype" w:cs="Palatino Linotype"/>
          <w:b/>
          <w:bCs/>
          <w:i/>
          <w:iCs/>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4D48F5B6" w14:textId="77777777" w:rsidR="009B425B" w:rsidRPr="0008269D" w:rsidRDefault="000241E3">
      <w:pPr>
        <w:spacing w:before="240" w:after="240" w:line="360" w:lineRule="auto"/>
        <w:ind w:right="-93"/>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0307248F" w14:textId="77777777" w:rsidR="009B425B" w:rsidRPr="0008269D" w:rsidRDefault="000241E3">
      <w:pPr>
        <w:spacing w:before="240" w:after="240" w:line="360" w:lineRule="auto"/>
        <w:jc w:val="both"/>
        <w:rPr>
          <w:rFonts w:ascii="Palatino Linotype" w:eastAsia="Palatino Linotype" w:hAnsi="Palatino Linotype" w:cs="Palatino Linotype"/>
          <w:b/>
          <w:bCs/>
          <w:sz w:val="22"/>
          <w:szCs w:val="22"/>
        </w:rPr>
      </w:pPr>
      <w:r w:rsidRPr="0008269D">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08269D">
        <w:rPr>
          <w:rFonts w:ascii="Palatino Linotype" w:eastAsia="Palatino Linotype" w:hAnsi="Palatino Linotype" w:cs="Palatino Linotype"/>
          <w:b/>
          <w:bCs/>
          <w:sz w:val="22"/>
          <w:szCs w:val="22"/>
        </w:rPr>
        <w:t xml:space="preserve"> </w:t>
      </w:r>
    </w:p>
    <w:p w14:paraId="44122278" w14:textId="77777777" w:rsidR="009B425B" w:rsidRPr="0008269D" w:rsidRDefault="000241E3">
      <w:pPr>
        <w:spacing w:before="120" w:after="120"/>
        <w:ind w:left="1134" w:right="902"/>
        <w:jc w:val="both"/>
        <w:rPr>
          <w:rFonts w:ascii="Palatino Linotype" w:eastAsia="Palatino Linotype" w:hAnsi="Palatino Linotype" w:cs="Palatino Linotype"/>
          <w:i/>
          <w:iCs/>
          <w:sz w:val="22"/>
          <w:szCs w:val="22"/>
        </w:rPr>
      </w:pPr>
      <w:r w:rsidRPr="0008269D">
        <w:rPr>
          <w:rFonts w:ascii="Palatino Linotype" w:eastAsia="Palatino Linotype" w:hAnsi="Palatino Linotype" w:cs="Palatino Linotype"/>
          <w:i/>
          <w:iCs/>
          <w:sz w:val="22"/>
          <w:szCs w:val="22"/>
        </w:rPr>
        <w:t xml:space="preserve"> “</w:t>
      </w:r>
      <w:r w:rsidRPr="0008269D">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08269D">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6C128FF" w14:textId="77777777" w:rsidR="009B425B" w:rsidRPr="0008269D" w:rsidRDefault="000241E3">
      <w:pPr>
        <w:spacing w:before="120" w:after="120"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B4E691F" w14:textId="77777777" w:rsidR="009B425B" w:rsidRPr="0008269D" w:rsidRDefault="000241E3">
      <w:pPr>
        <w:spacing w:before="120" w:after="120"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A23A3BA" w14:textId="77777777" w:rsidR="009B425B" w:rsidRPr="0008269D" w:rsidRDefault="000241E3">
      <w:pPr>
        <w:tabs>
          <w:tab w:val="left" w:pos="993"/>
        </w:tabs>
        <w:spacing w:before="120" w:after="120"/>
        <w:ind w:left="851" w:right="902"/>
        <w:jc w:val="both"/>
        <w:rPr>
          <w:rFonts w:ascii="Palatino Linotype" w:eastAsia="Palatino Linotype" w:hAnsi="Palatino Linotype" w:cs="Palatino Linotype"/>
          <w:i/>
          <w:iCs/>
          <w:sz w:val="22"/>
          <w:szCs w:val="22"/>
        </w:rPr>
      </w:pPr>
      <w:r w:rsidRPr="0008269D">
        <w:rPr>
          <w:rFonts w:ascii="Palatino Linotype" w:eastAsia="Palatino Linotype" w:hAnsi="Palatino Linotype" w:cs="Palatino Linotype"/>
          <w:i/>
          <w:iCs/>
          <w:sz w:val="22"/>
          <w:szCs w:val="22"/>
        </w:rPr>
        <w:t>“</w:t>
      </w:r>
      <w:r w:rsidRPr="0008269D">
        <w:rPr>
          <w:rFonts w:ascii="Palatino Linotype" w:eastAsia="Palatino Linotype" w:hAnsi="Palatino Linotype" w:cs="Palatino Linotype"/>
          <w:b/>
          <w:bCs/>
          <w:i/>
          <w:iCs/>
          <w:sz w:val="22"/>
          <w:szCs w:val="22"/>
        </w:rPr>
        <w:t xml:space="preserve">Artículo 3. </w:t>
      </w:r>
      <w:r w:rsidRPr="0008269D">
        <w:rPr>
          <w:rFonts w:ascii="Palatino Linotype" w:eastAsia="Palatino Linotype" w:hAnsi="Palatino Linotype" w:cs="Palatino Linotype"/>
          <w:i/>
          <w:iCs/>
          <w:sz w:val="22"/>
          <w:szCs w:val="22"/>
        </w:rPr>
        <w:t>Para los efectos de la presente Ley se entenderá por:</w:t>
      </w:r>
    </w:p>
    <w:p w14:paraId="544CEBC3" w14:textId="77777777" w:rsidR="009B425B" w:rsidRPr="0008269D" w:rsidRDefault="000241E3">
      <w:pPr>
        <w:tabs>
          <w:tab w:val="left" w:pos="993"/>
        </w:tabs>
        <w:spacing w:before="120" w:after="120"/>
        <w:ind w:left="851" w:right="902"/>
        <w:jc w:val="both"/>
        <w:rPr>
          <w:rFonts w:ascii="Palatino Linotype" w:eastAsia="Palatino Linotype" w:hAnsi="Palatino Linotype" w:cs="Palatino Linotype"/>
          <w:i/>
          <w:iCs/>
          <w:sz w:val="22"/>
          <w:szCs w:val="22"/>
        </w:rPr>
      </w:pPr>
      <w:r w:rsidRPr="0008269D">
        <w:rPr>
          <w:rFonts w:ascii="Palatino Linotype" w:eastAsia="Palatino Linotype" w:hAnsi="Palatino Linotype" w:cs="Palatino Linotype"/>
          <w:i/>
          <w:iCs/>
          <w:sz w:val="22"/>
          <w:szCs w:val="22"/>
        </w:rPr>
        <w:t>…</w:t>
      </w:r>
    </w:p>
    <w:p w14:paraId="25FD85D6" w14:textId="77777777" w:rsidR="009B425B" w:rsidRPr="0008269D" w:rsidRDefault="000241E3">
      <w:pPr>
        <w:tabs>
          <w:tab w:val="left" w:pos="993"/>
        </w:tabs>
        <w:spacing w:before="120" w:after="120"/>
        <w:ind w:left="851" w:right="902"/>
        <w:jc w:val="both"/>
        <w:rPr>
          <w:rFonts w:ascii="Palatino Linotype" w:eastAsia="Palatino Linotype" w:hAnsi="Palatino Linotype" w:cs="Palatino Linotype"/>
          <w:i/>
          <w:iCs/>
          <w:sz w:val="22"/>
          <w:szCs w:val="22"/>
        </w:rPr>
      </w:pPr>
      <w:r w:rsidRPr="0008269D">
        <w:rPr>
          <w:rFonts w:ascii="Palatino Linotype" w:eastAsia="Palatino Linotype" w:hAnsi="Palatino Linotype" w:cs="Palatino Linotype"/>
          <w:b/>
          <w:bCs/>
          <w:i/>
          <w:iCs/>
          <w:sz w:val="22"/>
          <w:szCs w:val="22"/>
        </w:rPr>
        <w:t>XI. Documento:</w:t>
      </w:r>
      <w:r w:rsidRPr="0008269D">
        <w:rPr>
          <w:rFonts w:ascii="Palatino Linotype" w:eastAsia="Palatino Linotype" w:hAnsi="Palatino Linotype" w:cs="Palatino Linotype"/>
          <w:i/>
          <w:iCs/>
          <w:sz w:val="22"/>
          <w:szCs w:val="22"/>
        </w:rPr>
        <w:t xml:space="preserve"> Los expedientes, reportes, estudios, actas</w:t>
      </w:r>
      <w:r w:rsidRPr="0008269D">
        <w:rPr>
          <w:rFonts w:ascii="Palatino Linotype" w:eastAsia="Palatino Linotype" w:hAnsi="Palatino Linotype" w:cs="Palatino Linotype"/>
          <w:b/>
          <w:bCs/>
          <w:i/>
          <w:iCs/>
          <w:sz w:val="22"/>
          <w:szCs w:val="22"/>
        </w:rPr>
        <w:t>,</w:t>
      </w:r>
      <w:r w:rsidRPr="0008269D">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A042F19" w14:textId="77777777" w:rsidR="009B425B" w:rsidRPr="0008269D" w:rsidRDefault="000241E3">
      <w:pPr>
        <w:spacing w:before="240" w:after="240"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D8F8914" w14:textId="77777777" w:rsidR="009B425B" w:rsidRPr="0008269D" w:rsidRDefault="000241E3">
      <w:pPr>
        <w:spacing w:before="120" w:after="120"/>
        <w:ind w:left="851" w:right="902"/>
        <w:jc w:val="both"/>
        <w:rPr>
          <w:rFonts w:ascii="Palatino Linotype" w:eastAsia="Palatino Linotype" w:hAnsi="Palatino Linotype" w:cs="Palatino Linotype"/>
          <w:i/>
          <w:iCs/>
          <w:sz w:val="22"/>
          <w:szCs w:val="22"/>
        </w:rPr>
      </w:pPr>
      <w:r w:rsidRPr="0008269D">
        <w:rPr>
          <w:rFonts w:ascii="Palatino Linotype" w:eastAsia="Palatino Linotype" w:hAnsi="Palatino Linotype" w:cs="Palatino Linotype"/>
          <w:b/>
          <w:bCs/>
          <w:sz w:val="22"/>
          <w:szCs w:val="22"/>
        </w:rPr>
        <w:t>“</w:t>
      </w:r>
      <w:r w:rsidRPr="0008269D">
        <w:rPr>
          <w:rFonts w:ascii="Palatino Linotype" w:eastAsia="Palatino Linotype" w:hAnsi="Palatino Linotype" w:cs="Palatino Linotype"/>
          <w:b/>
          <w:bCs/>
          <w:i/>
          <w:iCs/>
          <w:sz w:val="22"/>
          <w:szCs w:val="22"/>
        </w:rPr>
        <w:t>INFORMACIÓN PÚBLICA, CONCEPTO DE, EN MATERIA DE TRANSPARENCIA. INTERPRETACIÓN SISTEMÁTICA DE LOS ARTÍCULOS 2°, FRACCIÓN V, XV, Y XVI, 3°, 4°, 11 Y 41.</w:t>
      </w:r>
      <w:r w:rsidRPr="0008269D">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68AAA8A" w14:textId="77777777" w:rsidR="009B425B" w:rsidRPr="0008269D" w:rsidRDefault="000241E3">
      <w:pPr>
        <w:spacing w:before="120" w:after="120"/>
        <w:ind w:left="851" w:right="902"/>
        <w:jc w:val="both"/>
        <w:rPr>
          <w:rFonts w:ascii="Palatino Linotype" w:eastAsia="Palatino Linotype" w:hAnsi="Palatino Linotype" w:cs="Palatino Linotype"/>
          <w:i/>
          <w:iCs/>
          <w:sz w:val="22"/>
          <w:szCs w:val="22"/>
        </w:rPr>
      </w:pPr>
      <w:r w:rsidRPr="0008269D">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70BD6E02" w14:textId="77777777" w:rsidR="009B425B" w:rsidRPr="0008269D" w:rsidRDefault="000241E3">
      <w:pPr>
        <w:spacing w:before="120" w:after="120"/>
        <w:ind w:left="1134" w:right="902"/>
        <w:jc w:val="both"/>
        <w:rPr>
          <w:rFonts w:ascii="Palatino Linotype" w:eastAsia="Palatino Linotype" w:hAnsi="Palatino Linotype" w:cs="Palatino Linotype"/>
          <w:i/>
          <w:iCs/>
          <w:sz w:val="22"/>
          <w:szCs w:val="22"/>
        </w:rPr>
      </w:pPr>
      <w:r w:rsidRPr="0008269D">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2E3248ED" w14:textId="77777777" w:rsidR="009B425B" w:rsidRPr="0008269D" w:rsidRDefault="000241E3">
      <w:pPr>
        <w:spacing w:before="120" w:after="120"/>
        <w:ind w:left="1134" w:right="902"/>
        <w:jc w:val="both"/>
        <w:rPr>
          <w:rFonts w:ascii="Palatino Linotype" w:eastAsia="Palatino Linotype" w:hAnsi="Palatino Linotype" w:cs="Palatino Linotype"/>
          <w:i/>
          <w:iCs/>
          <w:sz w:val="22"/>
          <w:szCs w:val="22"/>
        </w:rPr>
      </w:pPr>
      <w:r w:rsidRPr="0008269D">
        <w:rPr>
          <w:rFonts w:ascii="Palatino Linotype" w:eastAsia="Palatino Linotype" w:hAnsi="Palatino Linotype" w:cs="Palatino Linotype"/>
          <w:i/>
          <w:iCs/>
          <w:sz w:val="22"/>
          <w:szCs w:val="22"/>
        </w:rPr>
        <w:t>2) Que se trate de información registrada en cualquier soporte documental, que en ejercicio de las atribuciones conferidas, sea administrada por los Sujetos Obligados, y</w:t>
      </w:r>
    </w:p>
    <w:p w14:paraId="5A246BDC" w14:textId="77777777" w:rsidR="009B425B" w:rsidRPr="0008269D" w:rsidRDefault="000241E3">
      <w:pPr>
        <w:spacing w:before="120" w:after="120"/>
        <w:ind w:left="1134" w:right="902"/>
        <w:jc w:val="both"/>
        <w:rPr>
          <w:rFonts w:ascii="Palatino Linotype" w:eastAsia="Palatino Linotype" w:hAnsi="Palatino Linotype" w:cs="Palatino Linotype"/>
          <w:i/>
          <w:iCs/>
          <w:sz w:val="22"/>
          <w:szCs w:val="22"/>
        </w:rPr>
      </w:pPr>
      <w:r w:rsidRPr="0008269D">
        <w:rPr>
          <w:rFonts w:ascii="Palatino Linotype" w:eastAsia="Palatino Linotype" w:hAnsi="Palatino Linotype" w:cs="Palatino Linotype"/>
          <w:i/>
          <w:iCs/>
          <w:sz w:val="22"/>
          <w:szCs w:val="22"/>
        </w:rPr>
        <w:t>3) Que se trate de información registrada en cualquier soporte documental, que en ejercicio de las atribuciones conferidas, se encuentre en posesión de los Sujetos Obligados.”</w:t>
      </w:r>
    </w:p>
    <w:p w14:paraId="424AC6DD" w14:textId="77777777" w:rsidR="009B425B" w:rsidRPr="0008269D" w:rsidRDefault="000241E3">
      <w:pPr>
        <w:spacing w:before="240" w:after="240" w:line="360" w:lineRule="auto"/>
        <w:ind w:right="51"/>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9BBF45C" w14:textId="77777777" w:rsidR="009B425B" w:rsidRPr="0008269D" w:rsidRDefault="000241E3">
      <w:pPr>
        <w:spacing w:before="240" w:after="240"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En el mismo tenor, los artículos 6, apartado A, fracción I, de la Constitución Política de los Estados Unidos Mexicanos y 5, párrafo cuadragésimo sexto,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4A9A52B9" w14:textId="77777777" w:rsidR="009B425B" w:rsidRPr="0008269D" w:rsidRDefault="000241E3">
      <w:pPr>
        <w:spacing w:before="240" w:after="240" w:line="360" w:lineRule="auto"/>
        <w:ind w:right="51"/>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08269D">
        <w:rPr>
          <w:rFonts w:ascii="Palatino Linotype" w:eastAsia="Palatino Linotype" w:hAnsi="Palatino Linotype" w:cs="Palatino Linotype"/>
          <w:b/>
          <w:bCs/>
          <w:sz w:val="22"/>
          <w:szCs w:val="22"/>
        </w:rPr>
        <w:t>Recurrente</w:t>
      </w:r>
      <w:r w:rsidRPr="0008269D">
        <w:rPr>
          <w:rFonts w:ascii="Palatino Linotype" w:eastAsia="Palatino Linotype" w:hAnsi="Palatino Linotype" w:cs="Palatino Linotype"/>
          <w:sz w:val="22"/>
          <w:szCs w:val="22"/>
        </w:rPr>
        <w:t xml:space="preserve"> </w:t>
      </w:r>
    </w:p>
    <w:p w14:paraId="1D64733A" w14:textId="77777777" w:rsidR="009B425B" w:rsidRPr="0008269D" w:rsidRDefault="000241E3">
      <w:pPr>
        <w:spacing w:before="240" w:after="240" w:line="360" w:lineRule="auto"/>
        <w:ind w:left="284" w:right="51"/>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1. Cantidad de la producción de verduras de los huertos del DIFEM.</w:t>
      </w:r>
    </w:p>
    <w:p w14:paraId="31A540C1" w14:textId="77777777" w:rsidR="009B425B" w:rsidRPr="0008269D" w:rsidRDefault="000241E3">
      <w:pPr>
        <w:spacing w:before="240" w:after="240" w:line="360" w:lineRule="auto"/>
        <w:ind w:left="284" w:right="51"/>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2. Los recibos del ingreso del dinero a la caja del DIFEM por la venta de verduras de noviembre de 2023 a agosto de 2025, y el destino de dicho recurso.</w:t>
      </w:r>
    </w:p>
    <w:p w14:paraId="2BB1E6EF" w14:textId="77777777" w:rsidR="009B425B" w:rsidRPr="0008269D" w:rsidRDefault="000241E3">
      <w:pPr>
        <w:spacing w:before="240" w:after="240" w:line="360" w:lineRule="auto"/>
        <w:ind w:right="51"/>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 xml:space="preserve">El </w:t>
      </w:r>
      <w:r w:rsidRPr="0008269D">
        <w:rPr>
          <w:rFonts w:ascii="Palatino Linotype" w:eastAsia="Palatino Linotype" w:hAnsi="Palatino Linotype" w:cs="Palatino Linotype"/>
          <w:b/>
          <w:bCs/>
          <w:sz w:val="22"/>
          <w:szCs w:val="22"/>
        </w:rPr>
        <w:t xml:space="preserve">Sujeto Obligado </w:t>
      </w:r>
      <w:r w:rsidRPr="0008269D">
        <w:rPr>
          <w:rFonts w:ascii="Palatino Linotype" w:eastAsia="Palatino Linotype" w:hAnsi="Palatino Linotype" w:cs="Palatino Linotype"/>
          <w:sz w:val="22"/>
          <w:szCs w:val="22"/>
        </w:rPr>
        <w:t>atendió la solicitud por conducto de la Dirección de Alimentación y Nutrición Familiar y la Dirección de Finanzas, Planeación y Administración, cuyos servidores públicos habilitados refirieron lo siguiente:</w:t>
      </w:r>
    </w:p>
    <w:p w14:paraId="62F528DA" w14:textId="77777777" w:rsidR="009B425B" w:rsidRPr="0008269D" w:rsidRDefault="000241E3">
      <w:pPr>
        <w:spacing w:before="240" w:after="240" w:line="360" w:lineRule="auto"/>
        <w:ind w:left="284" w:right="51"/>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b/>
          <w:bCs/>
          <w:sz w:val="22"/>
          <w:szCs w:val="22"/>
        </w:rPr>
        <w:t xml:space="preserve">- Dirección de Alimentación y Nutrición Familiar: </w:t>
      </w:r>
      <w:r w:rsidRPr="0008269D">
        <w:rPr>
          <w:rFonts w:ascii="Palatino Linotype" w:eastAsia="Palatino Linotype" w:hAnsi="Palatino Linotype" w:cs="Palatino Linotype"/>
          <w:sz w:val="22"/>
          <w:szCs w:val="22"/>
        </w:rPr>
        <w:t xml:space="preserve">se procedió a realizar una búsqueda exhaustiva, amplia y razonable de lo requerido dentro de los archivos que obran en la Dirección, por lo que una vez concluida está, se advirtió que </w:t>
      </w:r>
      <w:r w:rsidRPr="0008269D">
        <w:rPr>
          <w:rFonts w:ascii="Palatino Linotype" w:eastAsia="Palatino Linotype" w:hAnsi="Palatino Linotype" w:cs="Palatino Linotype"/>
          <w:b/>
          <w:bCs/>
          <w:sz w:val="22"/>
          <w:szCs w:val="22"/>
        </w:rPr>
        <w:t>la producción de verdura en los huertos demostrativos del DIFEM, en el período noviembre 2023-agosto 2025, asciende a un aproximado de 150 kilogramos</w:t>
      </w:r>
      <w:r w:rsidRPr="0008269D">
        <w:rPr>
          <w:rFonts w:ascii="Palatino Linotype" w:eastAsia="Palatino Linotype" w:hAnsi="Palatino Linotype" w:cs="Palatino Linotype"/>
          <w:sz w:val="22"/>
          <w:szCs w:val="22"/>
        </w:rPr>
        <w:t xml:space="preserve">, que se emplea para impartir capacitaciones en planteles escolares, grupos de desarrollo y personal de los 125 Sistemas Municipales DIF del Estado de México, asimismo se otorga de manera gratuita en las jornadas DIFEM. Asimismo, indicó que </w:t>
      </w:r>
      <w:r w:rsidRPr="0008269D">
        <w:rPr>
          <w:rFonts w:ascii="Palatino Linotype" w:eastAsia="Palatino Linotype" w:hAnsi="Palatino Linotype" w:cs="Palatino Linotype"/>
          <w:b/>
          <w:bCs/>
          <w:sz w:val="22"/>
          <w:szCs w:val="22"/>
        </w:rPr>
        <w:t>no se cuenta con recibos del ingreso del dinero a la caja del DIFEM, en razón de que son huertos demostrativos.</w:t>
      </w:r>
    </w:p>
    <w:p w14:paraId="722D1EB7" w14:textId="77777777" w:rsidR="009B425B" w:rsidRPr="0008269D" w:rsidRDefault="000241E3">
      <w:pPr>
        <w:spacing w:before="240" w:after="240" w:line="360" w:lineRule="auto"/>
        <w:ind w:left="284" w:right="51"/>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b/>
          <w:bCs/>
          <w:sz w:val="22"/>
          <w:szCs w:val="22"/>
        </w:rPr>
        <w:t>- Dirección de Finanzas, Planeación y Administración: a</w:t>
      </w:r>
      <w:r w:rsidRPr="0008269D">
        <w:rPr>
          <w:rFonts w:ascii="Palatino Linotype" w:eastAsia="Palatino Linotype" w:hAnsi="Palatino Linotype" w:cs="Palatino Linotype"/>
          <w:sz w:val="22"/>
          <w:szCs w:val="22"/>
        </w:rPr>
        <w:t xml:space="preserve">tendiendo al principio de máxima publicidad y con la finalidad de garantizar el derecho de acceso a la información pública del particular, </w:t>
      </w:r>
      <w:r w:rsidRPr="0008269D">
        <w:rPr>
          <w:rFonts w:ascii="Palatino Linotype" w:eastAsia="Palatino Linotype" w:hAnsi="Palatino Linotype" w:cs="Palatino Linotype"/>
          <w:b/>
          <w:bCs/>
          <w:sz w:val="22"/>
          <w:szCs w:val="22"/>
        </w:rPr>
        <w:t>por cuanto hace al período de tiempo señalado en la solicitud de cuenta, se procedió a realizar una búsqueda exhaustiva, amplia y razonable de lo requerido dentro de los archivos que obran en la Dirección</w:t>
      </w:r>
      <w:r w:rsidRPr="0008269D">
        <w:rPr>
          <w:rFonts w:ascii="Palatino Linotype" w:eastAsia="Palatino Linotype" w:hAnsi="Palatino Linotype" w:cs="Palatino Linotype"/>
          <w:sz w:val="22"/>
          <w:szCs w:val="22"/>
        </w:rPr>
        <w:t xml:space="preserve">, por lo que una vez concluida ésta, se advirtió que </w:t>
      </w:r>
      <w:r w:rsidRPr="0008269D">
        <w:rPr>
          <w:rFonts w:ascii="Palatino Linotype" w:eastAsia="Palatino Linotype" w:hAnsi="Palatino Linotype" w:cs="Palatino Linotype"/>
          <w:b/>
          <w:bCs/>
          <w:sz w:val="22"/>
          <w:szCs w:val="22"/>
        </w:rPr>
        <w:t>a la fecha de la presentación de la solicitud de información el DIFEM no ha registrado ingresos por ese concepto</w:t>
      </w:r>
      <w:r w:rsidRPr="0008269D">
        <w:rPr>
          <w:rFonts w:ascii="Palatino Linotype" w:eastAsia="Palatino Linotype" w:hAnsi="Palatino Linotype" w:cs="Palatino Linotype"/>
          <w:sz w:val="22"/>
          <w:szCs w:val="22"/>
        </w:rPr>
        <w:t xml:space="preserve">, por lo tanto, la Dirección de Finanzas, Planeación y Administración se encuentra imposibilitada para la entrega de la información requerida. </w:t>
      </w:r>
    </w:p>
    <w:p w14:paraId="4800456C" w14:textId="77777777" w:rsidR="009B425B" w:rsidRPr="0008269D" w:rsidRDefault="000241E3">
      <w:pPr>
        <w:spacing w:before="240" w:after="240" w:line="360" w:lineRule="auto"/>
        <w:ind w:right="51"/>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 xml:space="preserve">Al no estar conforme con los términos de la respuesta proporcionada, la parte </w:t>
      </w:r>
      <w:r w:rsidRPr="0008269D">
        <w:rPr>
          <w:rFonts w:ascii="Palatino Linotype" w:eastAsia="Palatino Linotype" w:hAnsi="Palatino Linotype" w:cs="Palatino Linotype"/>
          <w:b/>
          <w:bCs/>
          <w:sz w:val="22"/>
          <w:szCs w:val="22"/>
        </w:rPr>
        <w:t xml:space="preserve">Recurrente </w:t>
      </w:r>
      <w:r w:rsidRPr="0008269D">
        <w:rPr>
          <w:rFonts w:ascii="Palatino Linotype" w:eastAsia="Palatino Linotype" w:hAnsi="Palatino Linotype" w:cs="Palatino Linotype"/>
          <w:sz w:val="22"/>
          <w:szCs w:val="22"/>
        </w:rPr>
        <w:t xml:space="preserve">interpuso el recurso de revisión que nos ocupa, mediante el cual refirió que el </w:t>
      </w:r>
      <w:r w:rsidRPr="0008269D">
        <w:rPr>
          <w:rFonts w:ascii="Palatino Linotype" w:eastAsia="Palatino Linotype" w:hAnsi="Palatino Linotype" w:cs="Palatino Linotype"/>
          <w:b/>
          <w:bCs/>
          <w:sz w:val="22"/>
          <w:szCs w:val="22"/>
        </w:rPr>
        <w:t xml:space="preserve">Sujeto Obligado </w:t>
      </w:r>
      <w:r w:rsidRPr="0008269D">
        <w:rPr>
          <w:rFonts w:ascii="Palatino Linotype" w:eastAsia="Palatino Linotype" w:hAnsi="Palatino Linotype" w:cs="Palatino Linotype"/>
          <w:sz w:val="22"/>
          <w:szCs w:val="22"/>
        </w:rPr>
        <w:t>afirmó que la producción de los huertos del DIFEM es 150kg en el periodo solicitado y que se destina a los municipios, sin embargo, no hizo referencia a la venta de verdura que se realiza en los propios huertos, y que el personal refiere que el dinero se le entrega a  su Directora y/o administrativo, por lo que al tratarse de recursos públicos debe haber documentación que acredite el destino de ese dinero.</w:t>
      </w:r>
    </w:p>
    <w:p w14:paraId="4D740C49" w14:textId="77777777" w:rsidR="009B425B" w:rsidRPr="0008269D" w:rsidRDefault="000241E3">
      <w:pPr>
        <w:spacing w:before="240" w:after="240"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 xml:space="preserve">Es de señalar que de la lectura del motivo de inconformidad de la parte </w:t>
      </w:r>
      <w:r w:rsidRPr="0008269D">
        <w:rPr>
          <w:rFonts w:ascii="Palatino Linotype" w:eastAsia="Palatino Linotype" w:hAnsi="Palatino Linotype" w:cs="Palatino Linotype"/>
          <w:b/>
          <w:bCs/>
          <w:sz w:val="22"/>
          <w:szCs w:val="22"/>
        </w:rPr>
        <w:t xml:space="preserve">Recurrente, </w:t>
      </w:r>
      <w:r w:rsidRPr="0008269D">
        <w:rPr>
          <w:rFonts w:ascii="Palatino Linotype" w:eastAsia="Palatino Linotype" w:hAnsi="Palatino Linotype" w:cs="Palatino Linotype"/>
          <w:sz w:val="22"/>
          <w:szCs w:val="22"/>
        </w:rPr>
        <w:t xml:space="preserve">se advierte que este no versa sobre la totalidad de la información proporcionada por el </w:t>
      </w:r>
      <w:r w:rsidRPr="0008269D">
        <w:rPr>
          <w:rFonts w:ascii="Palatino Linotype" w:eastAsia="Palatino Linotype" w:hAnsi="Palatino Linotype" w:cs="Palatino Linotype"/>
          <w:b/>
          <w:bCs/>
          <w:sz w:val="22"/>
          <w:szCs w:val="22"/>
        </w:rPr>
        <w:t>Sujeto Obligado</w:t>
      </w:r>
      <w:r w:rsidRPr="0008269D">
        <w:rPr>
          <w:rFonts w:ascii="Palatino Linotype" w:eastAsia="Palatino Linotype" w:hAnsi="Palatino Linotype" w:cs="Palatino Linotype"/>
          <w:sz w:val="22"/>
          <w:szCs w:val="22"/>
        </w:rPr>
        <w:t>, ya que se inconformó específicamente por lo que se refiere a los recibos del ingreso del dinero a la caja del DIFEM por la venta de verduras,</w:t>
      </w:r>
      <w:r w:rsidRPr="0008269D">
        <w:rPr>
          <w:rFonts w:ascii="Palatino Linotype" w:eastAsia="Palatino Linotype" w:hAnsi="Palatino Linotype" w:cs="Palatino Linotype"/>
          <w:i/>
          <w:iCs/>
          <w:sz w:val="22"/>
          <w:szCs w:val="22"/>
        </w:rPr>
        <w:t xml:space="preserve"> </w:t>
      </w:r>
      <w:r w:rsidRPr="0008269D">
        <w:rPr>
          <w:rFonts w:ascii="Palatino Linotype" w:eastAsia="Palatino Linotype" w:hAnsi="Palatino Linotype" w:cs="Palatino Linotype"/>
          <w:sz w:val="22"/>
          <w:szCs w:val="22"/>
        </w:rPr>
        <w:t>por tanto, la parte de la respuesta que no fue impugnada, debe declararse consentida, ya que al no haber realizado manifestaciones de inconformidad al respecto, no pueden producirse efectos jurídicos tendentes a revocar, confirmar o modificar el acto, pues en el caso concreto se infiere que la información proporcionada, satisface la solicitud presentada respecto de los requerimientos que no fueron combatidos.</w:t>
      </w:r>
    </w:p>
    <w:p w14:paraId="7808345E" w14:textId="77777777" w:rsidR="009B425B" w:rsidRPr="0008269D" w:rsidRDefault="000241E3">
      <w:pPr>
        <w:spacing w:before="240" w:after="360"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 xml:space="preserve">Lo anterior es así, debido a que cuando la parte </w:t>
      </w:r>
      <w:r w:rsidRPr="0008269D">
        <w:rPr>
          <w:rFonts w:ascii="Palatino Linotype" w:eastAsia="Palatino Linotype" w:hAnsi="Palatino Linotype" w:cs="Palatino Linotype"/>
          <w:b/>
          <w:bCs/>
          <w:sz w:val="22"/>
          <w:szCs w:val="22"/>
        </w:rPr>
        <w:t>Recurrente</w:t>
      </w:r>
      <w:r w:rsidRPr="0008269D">
        <w:rPr>
          <w:rFonts w:ascii="Palatino Linotype" w:eastAsia="Palatino Linotype" w:hAnsi="Palatino Linotype" w:cs="Palatino Linotype"/>
          <w:sz w:val="22"/>
          <w:szCs w:val="22"/>
        </w:rPr>
        <w:t xml:space="preserve"> impugna la respuesta del </w:t>
      </w:r>
      <w:r w:rsidRPr="0008269D">
        <w:rPr>
          <w:rFonts w:ascii="Palatino Linotype" w:eastAsia="Palatino Linotype" w:hAnsi="Palatino Linotype" w:cs="Palatino Linotype"/>
          <w:b/>
          <w:bCs/>
          <w:sz w:val="22"/>
          <w:szCs w:val="22"/>
        </w:rPr>
        <w:t>Sujeto Obligado</w:t>
      </w:r>
      <w:r w:rsidRPr="0008269D">
        <w:rPr>
          <w:rFonts w:ascii="Palatino Linotype" w:eastAsia="Palatino Linotype" w:hAnsi="Palatino Linotype" w:cs="Palatino Linotype"/>
          <w:sz w:val="22"/>
          <w:szCs w:val="22"/>
        </w:rPr>
        <w:t xml:space="preserve">, y éste no expresa razón o motivo de inconformidad en contra de todos los rubros solicitados, dichos rubros deben declararse atendidos, pues se entiende que ésta conforme con la información entregada al no contravenir la misma. </w:t>
      </w:r>
    </w:p>
    <w:p w14:paraId="6DCDF0E8" w14:textId="77777777" w:rsidR="009B425B" w:rsidRPr="0008269D" w:rsidRDefault="000241E3">
      <w:pPr>
        <w:spacing w:before="240" w:after="240"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 xml:space="preserve">Sirve de apoyo a lo anterior, lo plasmado en el criterio orientador con clave de control SO/001/2020, emitido por el entonces Instituto Nacional de Transparencia, Acceso a la Información, y Protección de Datos Personales, INAI, que lleva por rubro y texto, lo siguiente: </w:t>
      </w:r>
    </w:p>
    <w:p w14:paraId="109FF0BE" w14:textId="77777777" w:rsidR="009B425B" w:rsidRPr="0008269D" w:rsidRDefault="000241E3">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8269D">
        <w:rPr>
          <w:rFonts w:ascii="Palatino Linotype" w:eastAsia="Palatino Linotype" w:hAnsi="Palatino Linotype" w:cs="Palatino Linotype"/>
          <w:i/>
          <w:iCs/>
          <w:sz w:val="22"/>
          <w:szCs w:val="22"/>
        </w:rPr>
        <w:t>“</w:t>
      </w:r>
      <w:r w:rsidRPr="0008269D">
        <w:rPr>
          <w:rFonts w:ascii="Palatino Linotype" w:eastAsia="Palatino Linotype" w:hAnsi="Palatino Linotype" w:cs="Palatino Linotype"/>
          <w:b/>
          <w:bCs/>
          <w:i/>
          <w:iCs/>
          <w:sz w:val="22"/>
          <w:szCs w:val="22"/>
        </w:rPr>
        <w:t xml:space="preserve">Actos consentidos tácitamente. Improcedencia de su análisis. </w:t>
      </w:r>
      <w:r w:rsidRPr="0008269D">
        <w:rPr>
          <w:rFonts w:ascii="Palatino Linotype" w:eastAsia="Palatino Linotype" w:hAnsi="Palatino Linotype" w:cs="Palatino Linotype"/>
          <w:i/>
          <w:iCs/>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62E35142" w14:textId="77777777" w:rsidR="009B425B" w:rsidRPr="0008269D" w:rsidRDefault="000241E3">
      <w:pPr>
        <w:spacing w:before="240" w:after="240"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45B13F92" w14:textId="77777777" w:rsidR="009B425B" w:rsidRPr="0008269D" w:rsidRDefault="000241E3">
      <w:pPr>
        <w:ind w:left="851" w:right="900"/>
        <w:jc w:val="both"/>
        <w:rPr>
          <w:rFonts w:ascii="Palatino Linotype" w:eastAsia="Palatino Linotype" w:hAnsi="Palatino Linotype" w:cs="Palatino Linotype"/>
          <w:i/>
          <w:iCs/>
          <w:sz w:val="22"/>
          <w:szCs w:val="22"/>
        </w:rPr>
      </w:pPr>
      <w:r w:rsidRPr="0008269D">
        <w:rPr>
          <w:rFonts w:ascii="Palatino Linotype" w:eastAsia="Palatino Linotype" w:hAnsi="Palatino Linotype" w:cs="Palatino Linotype"/>
          <w:b/>
          <w:bCs/>
          <w:i/>
          <w:iCs/>
          <w:smallCaps/>
          <w:sz w:val="22"/>
          <w:szCs w:val="22"/>
        </w:rPr>
        <w:t xml:space="preserve">“ACTOS CONSENTIDOS. SON LOS QUE NO SE IMPUGNAN MEDIANTE EL RECURSO IDÓNEO. </w:t>
      </w:r>
      <w:r w:rsidRPr="0008269D">
        <w:rPr>
          <w:rFonts w:ascii="Palatino Linotype" w:eastAsia="Palatino Linotype" w:hAnsi="Palatino Linotype" w:cs="Palatino Linotype"/>
          <w:i/>
          <w:iCs/>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BE0A1C6" w14:textId="77777777" w:rsidR="009B425B" w:rsidRPr="0008269D" w:rsidRDefault="000241E3">
      <w:pPr>
        <w:spacing w:before="240" w:after="240"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En consecuencia, se insiste, ante la falta de impugnación eficaz, la respuesta entregada debe declararse consentida por la persona solicitante, y por consiguiente, no es procedente el análisis de fondo en la resolución.</w:t>
      </w:r>
    </w:p>
    <w:p w14:paraId="33AB0BB0" w14:textId="77777777" w:rsidR="009B425B" w:rsidRPr="0008269D" w:rsidRDefault="000241E3">
      <w:pPr>
        <w:spacing w:before="240" w:after="240"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 xml:space="preserve">Ahora bien, en la etapa de manifestaciones, el </w:t>
      </w:r>
      <w:r w:rsidRPr="0008269D">
        <w:rPr>
          <w:rFonts w:ascii="Palatino Linotype" w:eastAsia="Palatino Linotype" w:hAnsi="Palatino Linotype" w:cs="Palatino Linotype"/>
          <w:b/>
          <w:bCs/>
          <w:sz w:val="22"/>
          <w:szCs w:val="22"/>
        </w:rPr>
        <w:t xml:space="preserve">Sujeto Obligado, </w:t>
      </w:r>
      <w:r w:rsidRPr="0008269D">
        <w:rPr>
          <w:rFonts w:ascii="Palatino Linotype" w:eastAsia="Palatino Linotype" w:hAnsi="Palatino Linotype" w:cs="Palatino Linotype"/>
          <w:sz w:val="22"/>
          <w:szCs w:val="22"/>
        </w:rPr>
        <w:t xml:space="preserve">por conducto de la Directora de Alimentación y Nutrición Familiar y la Dirección de Finanzas, Planeación y Administración ratificó en lo sustancial la respuesta proporcionada en primera instancia, reiterando esta última que en el período de tiempo señalado, no se localizó registro alguno del que se desprenda que el DIFEM tuvo ingresos por concepto de la venta de verduras producidas en los huertos que administra, información que se hizo del conocimiento de la parte </w:t>
      </w:r>
      <w:r w:rsidRPr="0008269D">
        <w:rPr>
          <w:rFonts w:ascii="Palatino Linotype" w:eastAsia="Palatino Linotype" w:hAnsi="Palatino Linotype" w:cs="Palatino Linotype"/>
          <w:b/>
          <w:bCs/>
          <w:sz w:val="22"/>
          <w:szCs w:val="22"/>
        </w:rPr>
        <w:t xml:space="preserve">Recurrente, </w:t>
      </w:r>
      <w:r w:rsidRPr="0008269D">
        <w:rPr>
          <w:rFonts w:ascii="Palatino Linotype" w:eastAsia="Palatino Linotype" w:hAnsi="Palatino Linotype" w:cs="Palatino Linotype"/>
          <w:sz w:val="22"/>
          <w:szCs w:val="22"/>
        </w:rPr>
        <w:t>sin embargo, fue omisa en hacer valer manifestaciones o rendir alegatos que conforme a derecho resultaran procedentes, por lo tanto, se tiene por precluido su derecho.</w:t>
      </w:r>
    </w:p>
    <w:p w14:paraId="43EC21D9" w14:textId="77777777" w:rsidR="009B425B" w:rsidRPr="0008269D" w:rsidRDefault="000241E3">
      <w:pPr>
        <w:spacing w:before="280" w:after="280"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 xml:space="preserve">Una vez establecidas las posturas de las partes, se procede al análisis del requerimiento de información combatido, así como la información proporcionada por el </w:t>
      </w:r>
      <w:r w:rsidRPr="0008269D">
        <w:rPr>
          <w:rFonts w:ascii="Palatino Linotype" w:eastAsia="Palatino Linotype" w:hAnsi="Palatino Linotype" w:cs="Palatino Linotype"/>
          <w:b/>
          <w:bCs/>
          <w:sz w:val="22"/>
          <w:szCs w:val="22"/>
        </w:rPr>
        <w:t xml:space="preserve">Sujeto Obligado, </w:t>
      </w:r>
      <w:r w:rsidRPr="0008269D">
        <w:rPr>
          <w:rFonts w:ascii="Palatino Linotype" w:eastAsia="Palatino Linotype" w:hAnsi="Palatino Linotype" w:cs="Palatino Linotype"/>
          <w:sz w:val="22"/>
          <w:szCs w:val="22"/>
        </w:rPr>
        <w:t xml:space="preserve">en contraposición con el motivo de inconformidad alegado por la parte </w:t>
      </w:r>
      <w:r w:rsidRPr="0008269D">
        <w:rPr>
          <w:rFonts w:ascii="Palatino Linotype" w:eastAsia="Palatino Linotype" w:hAnsi="Palatino Linotype" w:cs="Palatino Linotype"/>
          <w:b/>
          <w:bCs/>
          <w:sz w:val="22"/>
          <w:szCs w:val="22"/>
        </w:rPr>
        <w:t xml:space="preserve">Recurrente, </w:t>
      </w:r>
      <w:r w:rsidRPr="0008269D">
        <w:rPr>
          <w:rFonts w:ascii="Palatino Linotype" w:eastAsia="Palatino Linotype" w:hAnsi="Palatino Linotype" w:cs="Palatino Linotype"/>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54DB638A" w14:textId="77777777" w:rsidR="009B425B" w:rsidRPr="0008269D" w:rsidRDefault="000241E3">
      <w:pPr>
        <w:spacing w:before="240" w:after="240"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En este tenor, en primer lugar, es oportuno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7F867993" w14:textId="77777777" w:rsidR="009B425B" w:rsidRPr="0008269D" w:rsidRDefault="000241E3">
      <w:pPr>
        <w:spacing w:before="240" w:after="240"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64F2F170" w14:textId="77777777" w:rsidR="009B425B" w:rsidRPr="0008269D" w:rsidRDefault="000241E3">
      <w:pPr>
        <w:spacing w:before="240" w:after="240" w:line="360" w:lineRule="auto"/>
        <w:ind w:right="51"/>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57254B66" w14:textId="77777777" w:rsidR="009B425B" w:rsidRPr="0008269D" w:rsidRDefault="000241E3">
      <w:pPr>
        <w:spacing w:before="240" w:after="240"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4CCA6F9B" w14:textId="77777777" w:rsidR="009B425B" w:rsidRPr="0008269D" w:rsidRDefault="000241E3">
      <w:pPr>
        <w:spacing w:before="240" w:after="240" w:line="360" w:lineRule="auto"/>
        <w:ind w:right="49"/>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En esta línea de pensamiento, derivado del análisis de las constancias que obran en el expediente electrónico en el que se actúa, se advirtió que la Unidad de Transparencia, turnó la solicitud de información para su atención a la Dirección de Finanzas, Planeación y Administración, como la dependencia responsable de dirigir el proceso de planeación, programación, presupuestación, desarrollo organizacional, registro y evaluación de las operaciones generales del Organismo, entre cuyas funciones, de conformidad con el artículo 22 del Reglamento Interior del Sistema para el Desarrollo Integral de la Familia del Estado de México, y el código estructural del Manual General de Organización del Sistema para el Desarrollo Integral de la Familia del Estado de México, se encuentran las siguientes en su parte conducente:</w:t>
      </w:r>
    </w:p>
    <w:p w14:paraId="0D286833" w14:textId="77777777" w:rsidR="009B425B" w:rsidRPr="0008269D" w:rsidRDefault="000241E3">
      <w:pPr>
        <w:spacing w:before="240" w:after="240" w:line="360" w:lineRule="auto"/>
        <w:ind w:left="284" w:right="49"/>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 Planear, programar, presupuestar, administrar y controlar los recursos humanos, materiales, financieros y técnicos, así como los servicios generales para el funcionamiento de las unidades administrativas del DIFEM, en términos de la normatividad de la materia;</w:t>
      </w:r>
    </w:p>
    <w:p w14:paraId="62322CAA" w14:textId="77777777" w:rsidR="009B425B" w:rsidRPr="0008269D" w:rsidRDefault="000241E3">
      <w:pPr>
        <w:spacing w:before="240" w:after="240" w:line="360" w:lineRule="auto"/>
        <w:ind w:left="284" w:right="49"/>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 Elaborar los estados financieros del DIFEM y realizar el registro de la contabilidad patrimonial y presupuestaria;</w:t>
      </w:r>
    </w:p>
    <w:p w14:paraId="39E8622E" w14:textId="77777777" w:rsidR="009B425B" w:rsidRPr="0008269D" w:rsidRDefault="000241E3">
      <w:pPr>
        <w:spacing w:before="240" w:after="240" w:line="360" w:lineRule="auto"/>
        <w:ind w:left="284" w:right="49"/>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 Coordinar la integración de los Estados Financieros y demás informes externos contable-presupuestales del Organismo.</w:t>
      </w:r>
    </w:p>
    <w:p w14:paraId="230B522F" w14:textId="77777777" w:rsidR="009B425B" w:rsidRPr="0008269D" w:rsidRDefault="000241E3">
      <w:pPr>
        <w:spacing w:before="240" w:after="240" w:line="360" w:lineRule="auto"/>
        <w:ind w:right="49"/>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Con base en las atribuciones citadas se advierte que la Dirección de Finanzas, Planeación y Administración cuenta con competencia para generar, administrar y/o poseer la información que es del interés de la persona solicitante, por lo tanto, se colige que la Unidad de Transparencia, en cumplimiento en los artículos 53, fracción IV y  162 de la Ley de Transparencia y Acceso a la Información Pública del Estado de México y Municipios, garantizó el procedimiento de búsqueda, el cual se constituye como la garantía primaria del derecho humano de acceso a la información pública, y se rige por los principios de simplicidad, rapidez, gratuidad del procedimiento, auxilio y orientación a los particulares con el fin de otorgar la protección más amplia de este derecho, en virtud de que llevó a cabo los pasos que le conmina sus funciones, de acuerdo con la referida Ley, ya que solicitó la información a la unidad administrativa que de acuerdo con sus atribuciones puede dar atención a la misma.</w:t>
      </w:r>
    </w:p>
    <w:p w14:paraId="045C95E4" w14:textId="77777777" w:rsidR="009B425B" w:rsidRPr="0008269D" w:rsidRDefault="000241E3">
      <w:pPr>
        <w:spacing w:before="240" w:after="240" w:line="360" w:lineRule="auto"/>
        <w:ind w:right="49"/>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 xml:space="preserve">En este tenor, el servidor público habilitado refirió que se realizó la búsqueda exhaustiva, amplia y razonable de lo requerido en los archivos que obran en la Dirección de Finanzas, Planeación y Administración en el periodo de tiempo señalado, sin embargo, una vez concluida, </w:t>
      </w:r>
      <w:r w:rsidRPr="0008269D">
        <w:rPr>
          <w:rFonts w:ascii="Palatino Linotype" w:eastAsia="Palatino Linotype" w:hAnsi="Palatino Linotype" w:cs="Palatino Linotype"/>
          <w:b/>
          <w:bCs/>
          <w:sz w:val="22"/>
          <w:szCs w:val="22"/>
        </w:rPr>
        <w:t>no se localizó registro alguno del que se desprenda que el DIFEM tuvo ingresos por concepto de la venta de verduras producidas en los huertos que administra a la fecha de presentación de la solicitud,</w:t>
      </w:r>
      <w:r w:rsidRPr="0008269D">
        <w:rPr>
          <w:rFonts w:ascii="Palatino Linotype" w:eastAsia="Palatino Linotype" w:hAnsi="Palatino Linotype" w:cs="Palatino Linotype"/>
          <w:sz w:val="22"/>
          <w:szCs w:val="22"/>
        </w:rPr>
        <w:t xml:space="preserve"> por lo que se encuentra imposibilitada para la entrega de la información requerida. </w:t>
      </w:r>
    </w:p>
    <w:p w14:paraId="6EEF03DF" w14:textId="77777777" w:rsidR="009B425B" w:rsidRPr="0008269D" w:rsidRDefault="000241E3">
      <w:pPr>
        <w:spacing w:before="240" w:after="240" w:line="360" w:lineRule="auto"/>
        <w:ind w:right="49"/>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 xml:space="preserve">En este tenor, si bien, el </w:t>
      </w:r>
      <w:r w:rsidRPr="0008269D">
        <w:rPr>
          <w:rFonts w:ascii="Palatino Linotype" w:eastAsia="Palatino Linotype" w:hAnsi="Palatino Linotype" w:cs="Palatino Linotype"/>
          <w:b/>
          <w:bCs/>
          <w:sz w:val="22"/>
          <w:szCs w:val="22"/>
        </w:rPr>
        <w:t xml:space="preserve">Sujeto Obligado </w:t>
      </w:r>
      <w:r w:rsidRPr="0008269D">
        <w:rPr>
          <w:rFonts w:ascii="Palatino Linotype" w:eastAsia="Palatino Linotype" w:hAnsi="Palatino Linotype" w:cs="Palatino Linotype"/>
          <w:sz w:val="22"/>
          <w:szCs w:val="22"/>
        </w:rPr>
        <w:t>tiene la facultad, por conducto del Tesorero Municipal, para realizar el pago de facturas por cualquier concepto, tal y como el señalado por la persona solicitante, no es obligatorio que dicha atribución se lleve a cabo en un periodo determinado o para un objeto específico, como el indicado en la solicitud.</w:t>
      </w:r>
    </w:p>
    <w:p w14:paraId="62747D1E" w14:textId="77777777" w:rsidR="009B425B" w:rsidRPr="0008269D" w:rsidRDefault="000241E3">
      <w:pPr>
        <w:spacing w:before="240" w:after="240" w:line="360" w:lineRule="auto"/>
        <w:ind w:right="49"/>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Atento a lo anterior, se precisa que lo manifestado por el servidor público habilitado competente se constituye en una expresión en sentido negativo, esto es, niegan la existencia de información alguna relacionada con ingresos por concepto de la venta de verduras producidas en los huertos que administra el DIFEM, al no haberse generado a la fecha de presentación de la solicitud.</w:t>
      </w:r>
    </w:p>
    <w:p w14:paraId="29F0D286" w14:textId="77777777" w:rsidR="009B425B" w:rsidRPr="0008269D" w:rsidRDefault="000241E3">
      <w:pPr>
        <w:spacing w:before="240" w:after="240" w:line="360" w:lineRule="auto"/>
        <w:ind w:right="49"/>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 xml:space="preserve">Entonces, si se considera el hecho negativo, resulta obvio que el </w:t>
      </w:r>
      <w:r w:rsidRPr="0008269D">
        <w:rPr>
          <w:rFonts w:ascii="Palatino Linotype" w:eastAsia="Palatino Linotype" w:hAnsi="Palatino Linotype" w:cs="Palatino Linotype"/>
          <w:b/>
          <w:bCs/>
          <w:sz w:val="22"/>
          <w:szCs w:val="22"/>
        </w:rPr>
        <w:t>Sujeto Obligado</w:t>
      </w:r>
      <w:r w:rsidRPr="0008269D">
        <w:rPr>
          <w:rFonts w:ascii="Palatino Linotype" w:eastAsia="Palatino Linotype" w:hAnsi="Palatino Linotype" w:cs="Palatino Linotype"/>
          <w:sz w:val="22"/>
          <w:szCs w:val="22"/>
        </w:rPr>
        <w:t xml:space="preserve"> no puede tener en sus archivos información que satisfaga el requerimiento de información, ya que no puede probarse por ser lógica y materialmente imposible, ello aunado a que no es obligatorio que la información se haya generado a la fecha de presentación de la solicitud.</w:t>
      </w:r>
    </w:p>
    <w:p w14:paraId="16C9245E" w14:textId="77777777" w:rsidR="009B425B" w:rsidRPr="0008269D" w:rsidRDefault="000241E3">
      <w:pPr>
        <w:spacing w:before="240" w:after="240" w:line="360" w:lineRule="auto"/>
        <w:ind w:right="49"/>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Sirve de sustento la siguiente Tesis</w:t>
      </w:r>
      <w:r w:rsidRPr="0008269D">
        <w:rPr>
          <w:rFonts w:ascii="Palatino Linotype" w:eastAsia="Palatino Linotype" w:hAnsi="Palatino Linotype" w:cs="Palatino Linotype"/>
          <w:sz w:val="22"/>
          <w:szCs w:val="22"/>
          <w:vertAlign w:val="superscript"/>
        </w:rPr>
        <w:footnoteReference w:id="1"/>
      </w:r>
      <w:r w:rsidRPr="0008269D">
        <w:rPr>
          <w:rFonts w:ascii="Palatino Linotype" w:eastAsia="Palatino Linotype" w:hAnsi="Palatino Linotype" w:cs="Palatino Linotype"/>
          <w:sz w:val="22"/>
          <w:szCs w:val="22"/>
        </w:rPr>
        <w:t xml:space="preserve"> emitida por la Segunda Sala de la Suprema Corte de la Nación, que es del tenor literal siguiente:</w:t>
      </w:r>
    </w:p>
    <w:p w14:paraId="3D84DAC7" w14:textId="77777777" w:rsidR="009B425B" w:rsidRPr="0008269D" w:rsidRDefault="000241E3">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b/>
          <w:bCs/>
          <w:i/>
          <w:iCs/>
          <w:sz w:val="22"/>
          <w:szCs w:val="22"/>
        </w:rPr>
        <w:t xml:space="preserve">“HECHOS NEGATIVOS, NO SON SUSCEPTIBLES DE DEMOSTRACIÓN. </w:t>
      </w:r>
      <w:r w:rsidRPr="0008269D">
        <w:rPr>
          <w:rFonts w:ascii="Palatino Linotype" w:eastAsia="Palatino Linotype" w:hAnsi="Palatino Linotype" w:cs="Palatino Linotype"/>
          <w:i/>
          <w:iCs/>
          <w:sz w:val="22"/>
          <w:szCs w:val="22"/>
        </w:rPr>
        <w:t>Tratándose de un hecho negativo, el Juez no tiene por que invocar prueba alguna de la que se desprenda, ya que es bien sabido que esta clase de hechos no son susceptibles de demostración.”</w:t>
      </w:r>
    </w:p>
    <w:p w14:paraId="2CC9D9B6" w14:textId="77777777" w:rsidR="009B425B" w:rsidRPr="0008269D" w:rsidRDefault="000241E3">
      <w:pPr>
        <w:spacing w:before="240" w:after="240" w:line="360" w:lineRule="auto"/>
        <w:ind w:right="18"/>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De tal manera que basta con la aseveración por parte del servidor público habilitado del área competente para conocer de la información requerida, respeto de la inexistencia de la misma; siendo que de conformidad con lo establecido en el artículo 12, segundo párrafo de la Ley de Transparencia y Acceso a la Información Pública del Estado de México y Municipios, los Sujetos Obligados solo proporcionaran la información pública que se les requiera y que obre en sus archivos y en el estado en que ésta se encuentre, en sentido contrario, no están obligados a proporcionar lo que no tengan en sus archivos.</w:t>
      </w:r>
    </w:p>
    <w:p w14:paraId="56B1F7A7" w14:textId="77777777" w:rsidR="009B425B" w:rsidRPr="0008269D" w:rsidRDefault="000241E3">
      <w:pPr>
        <w:spacing w:before="240" w:after="240" w:line="360" w:lineRule="auto"/>
        <w:ind w:right="18"/>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Y, menos aún, los Sujetos Obligados se encuentran obligados a generar documentos a fin de atender las solicitudes de acceso a la información que les sean formuladas, tal y como se desprende del mismo texto del artículo 12 de la Ley de la Materia en consulta.</w:t>
      </w:r>
    </w:p>
    <w:p w14:paraId="0476A806" w14:textId="77777777" w:rsidR="009B425B" w:rsidRPr="0008269D" w:rsidRDefault="000241E3">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Aunado a lo anterior, respecto al pronunciamiento emitido por la persona servidora pública habilitada competente a fin de dar respuesta a la solicitud planteada, este Pleno considera necesario dejar claro que no está facultado para manifestarse sobre la veracidad de la información proporcionada, conforme lo prevé el artículo 36 de la Ley de Transparencia y Acceso a la Información Pública del Estado de México y Municipios.</w:t>
      </w:r>
    </w:p>
    <w:p w14:paraId="5718A64D" w14:textId="77777777" w:rsidR="009B425B" w:rsidRPr="0008269D" w:rsidRDefault="000241E3">
      <w:pPr>
        <w:spacing w:before="240" w:after="240" w:line="360" w:lineRule="auto"/>
        <w:ind w:right="51"/>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 xml:space="preserve">Derivado de lo expuesto, se concluye que los motivos de inconformidad de la parte </w:t>
      </w:r>
      <w:r w:rsidRPr="0008269D">
        <w:rPr>
          <w:rFonts w:ascii="Palatino Linotype" w:eastAsia="Palatino Linotype" w:hAnsi="Palatino Linotype" w:cs="Palatino Linotype"/>
          <w:b/>
          <w:bCs/>
          <w:sz w:val="22"/>
          <w:szCs w:val="22"/>
        </w:rPr>
        <w:t xml:space="preserve">Recurrente </w:t>
      </w:r>
      <w:r w:rsidRPr="0008269D">
        <w:rPr>
          <w:rFonts w:ascii="Palatino Linotype" w:eastAsia="Palatino Linotype" w:hAnsi="Palatino Linotype" w:cs="Palatino Linotype"/>
          <w:sz w:val="22"/>
          <w:szCs w:val="22"/>
        </w:rPr>
        <w:t xml:space="preserve">devienen infundados, siendo procedente </w:t>
      </w:r>
      <w:r w:rsidRPr="0008269D">
        <w:rPr>
          <w:rFonts w:ascii="Palatino Linotype" w:eastAsia="Palatino Linotype" w:hAnsi="Palatino Linotype" w:cs="Palatino Linotype"/>
          <w:i/>
          <w:iCs/>
          <w:sz w:val="22"/>
          <w:szCs w:val="22"/>
        </w:rPr>
        <w:t xml:space="preserve">Confirmar </w:t>
      </w:r>
      <w:r w:rsidRPr="0008269D">
        <w:rPr>
          <w:rFonts w:ascii="Palatino Linotype" w:eastAsia="Palatino Linotype" w:hAnsi="Palatino Linotype" w:cs="Palatino Linotype"/>
          <w:sz w:val="22"/>
          <w:szCs w:val="22"/>
        </w:rPr>
        <w:t xml:space="preserve">la respuesta proporcionada por el </w:t>
      </w:r>
      <w:r w:rsidRPr="0008269D">
        <w:rPr>
          <w:rFonts w:ascii="Palatino Linotype" w:eastAsia="Palatino Linotype" w:hAnsi="Palatino Linotype" w:cs="Palatino Linotype"/>
          <w:b/>
          <w:bCs/>
          <w:sz w:val="22"/>
          <w:szCs w:val="22"/>
        </w:rPr>
        <w:t xml:space="preserve">Sujeto Obligado </w:t>
      </w:r>
      <w:r w:rsidRPr="0008269D">
        <w:rPr>
          <w:rFonts w:ascii="Palatino Linotype" w:eastAsia="Palatino Linotype" w:hAnsi="Palatino Linotype" w:cs="Palatino Linotype"/>
          <w:sz w:val="22"/>
          <w:szCs w:val="22"/>
        </w:rPr>
        <w:t>en términos del artículo 186, fracción II de la Ley de Transparencia y Acceso a la Información Pública del Estado de México y Municipios.</w:t>
      </w:r>
    </w:p>
    <w:p w14:paraId="67B0B3AF" w14:textId="77777777" w:rsidR="009B425B" w:rsidRPr="0008269D" w:rsidRDefault="000241E3">
      <w:pPr>
        <w:spacing w:before="240" w:after="240"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Así, con fundamento en lo prescrito en los artículos 5 párrafos cuadragésimo cuarto, cuadragésimo quinto cuadragésimo sexto,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00EA2701" w14:textId="77777777" w:rsidR="009B425B" w:rsidRPr="0008269D" w:rsidRDefault="009B425B">
      <w:pPr>
        <w:spacing w:before="240" w:after="240" w:line="360" w:lineRule="auto"/>
        <w:jc w:val="both"/>
        <w:rPr>
          <w:rFonts w:ascii="Palatino Linotype" w:eastAsia="Palatino Linotype" w:hAnsi="Palatino Linotype" w:cs="Palatino Linotype"/>
          <w:sz w:val="22"/>
          <w:szCs w:val="22"/>
        </w:rPr>
      </w:pPr>
    </w:p>
    <w:p w14:paraId="31E71074" w14:textId="77777777" w:rsidR="009B425B" w:rsidRPr="0008269D" w:rsidRDefault="000241E3">
      <w:pPr>
        <w:pBdr>
          <w:top w:val="nil"/>
          <w:left w:val="nil"/>
          <w:bottom w:val="nil"/>
          <w:right w:val="nil"/>
          <w:between w:val="nil"/>
        </w:pBdr>
        <w:spacing w:before="240" w:after="240" w:line="360" w:lineRule="auto"/>
        <w:jc w:val="center"/>
        <w:rPr>
          <w:rFonts w:ascii="Palatino Linotype" w:eastAsia="Palatino Linotype" w:hAnsi="Palatino Linotype" w:cs="Palatino Linotype"/>
          <w:b/>
          <w:bCs/>
          <w:sz w:val="22"/>
          <w:szCs w:val="22"/>
        </w:rPr>
      </w:pPr>
      <w:r w:rsidRPr="0008269D">
        <w:rPr>
          <w:rFonts w:ascii="Palatino Linotype" w:eastAsia="Palatino Linotype" w:hAnsi="Palatino Linotype" w:cs="Palatino Linotype"/>
          <w:b/>
          <w:bCs/>
          <w:sz w:val="22"/>
          <w:szCs w:val="22"/>
        </w:rPr>
        <w:t>III. R E S U E L V E</w:t>
      </w:r>
    </w:p>
    <w:p w14:paraId="086F09BD" w14:textId="77777777" w:rsidR="009B425B" w:rsidRPr="0008269D" w:rsidRDefault="000241E3">
      <w:pPr>
        <w:spacing w:before="240" w:after="240" w:line="360" w:lineRule="auto"/>
        <w:jc w:val="both"/>
        <w:rPr>
          <w:rFonts w:ascii="Palatino Linotype" w:eastAsia="Palatino Linotype" w:hAnsi="Palatino Linotype" w:cs="Palatino Linotype"/>
          <w:sz w:val="22"/>
          <w:szCs w:val="22"/>
        </w:rPr>
      </w:pPr>
      <w:bookmarkStart w:id="8" w:name="_heading=h.26in1rg" w:colFirst="0" w:colLast="0"/>
      <w:bookmarkEnd w:id="8"/>
      <w:r w:rsidRPr="0008269D">
        <w:rPr>
          <w:rFonts w:ascii="Palatino Linotype" w:eastAsia="Palatino Linotype" w:hAnsi="Palatino Linotype" w:cs="Palatino Linotype"/>
          <w:b/>
          <w:bCs/>
          <w:sz w:val="22"/>
          <w:szCs w:val="22"/>
        </w:rPr>
        <w:t xml:space="preserve">Primero. </w:t>
      </w:r>
      <w:r w:rsidRPr="0008269D">
        <w:rPr>
          <w:rFonts w:ascii="Palatino Linotype" w:eastAsia="Palatino Linotype" w:hAnsi="Palatino Linotype" w:cs="Palatino Linotype"/>
          <w:sz w:val="22"/>
          <w:szCs w:val="22"/>
        </w:rPr>
        <w:t>Resultan</w:t>
      </w:r>
      <w:r w:rsidRPr="0008269D">
        <w:rPr>
          <w:rFonts w:ascii="Palatino Linotype" w:eastAsia="Palatino Linotype" w:hAnsi="Palatino Linotype" w:cs="Palatino Linotype"/>
          <w:b/>
          <w:bCs/>
          <w:sz w:val="22"/>
          <w:szCs w:val="22"/>
        </w:rPr>
        <w:t xml:space="preserve"> fundadas</w:t>
      </w:r>
      <w:r w:rsidRPr="0008269D">
        <w:rPr>
          <w:rFonts w:ascii="Palatino Linotype" w:eastAsia="Palatino Linotype" w:hAnsi="Palatino Linotype" w:cs="Palatino Linotype"/>
          <w:sz w:val="22"/>
          <w:szCs w:val="22"/>
        </w:rPr>
        <w:t xml:space="preserve"> las razones o motivos de inconformidad hechos valer por la parte</w:t>
      </w:r>
      <w:r w:rsidRPr="0008269D">
        <w:rPr>
          <w:rFonts w:ascii="Palatino Linotype" w:eastAsia="Palatino Linotype" w:hAnsi="Palatino Linotype" w:cs="Palatino Linotype"/>
          <w:b/>
          <w:bCs/>
          <w:sz w:val="22"/>
          <w:szCs w:val="22"/>
        </w:rPr>
        <w:t xml:space="preserve"> Recurrente</w:t>
      </w:r>
      <w:r w:rsidRPr="0008269D">
        <w:rPr>
          <w:rFonts w:ascii="Palatino Linotype" w:eastAsia="Palatino Linotype" w:hAnsi="Palatino Linotype" w:cs="Palatino Linotype"/>
          <w:sz w:val="22"/>
          <w:szCs w:val="22"/>
        </w:rPr>
        <w:t xml:space="preserve"> en el recurso de revisión </w:t>
      </w:r>
      <w:r w:rsidRPr="0008269D">
        <w:rPr>
          <w:rFonts w:ascii="Palatino Linotype" w:eastAsia="Palatino Linotype" w:hAnsi="Palatino Linotype" w:cs="Palatino Linotype"/>
          <w:b/>
          <w:bCs/>
          <w:sz w:val="22"/>
          <w:szCs w:val="22"/>
        </w:rPr>
        <w:t>10954/INFOEM/IP/RR/2025</w:t>
      </w:r>
      <w:r w:rsidRPr="0008269D">
        <w:rPr>
          <w:rFonts w:ascii="Palatino Linotype" w:eastAsia="Palatino Linotype" w:hAnsi="Palatino Linotype" w:cs="Palatino Linotype"/>
          <w:sz w:val="22"/>
          <w:szCs w:val="22"/>
        </w:rPr>
        <w:t xml:space="preserve">; por lo que, en términos del </w:t>
      </w:r>
      <w:r w:rsidRPr="0008269D">
        <w:rPr>
          <w:rFonts w:ascii="Palatino Linotype" w:eastAsia="Palatino Linotype" w:hAnsi="Palatino Linotype" w:cs="Palatino Linotype"/>
          <w:b/>
          <w:bCs/>
          <w:sz w:val="22"/>
          <w:szCs w:val="22"/>
        </w:rPr>
        <w:t>Considerando</w:t>
      </w:r>
      <w:r w:rsidRPr="0008269D">
        <w:rPr>
          <w:rFonts w:ascii="Palatino Linotype" w:eastAsia="Palatino Linotype" w:hAnsi="Palatino Linotype" w:cs="Palatino Linotype"/>
          <w:sz w:val="22"/>
          <w:szCs w:val="22"/>
        </w:rPr>
        <w:t xml:space="preserve"> </w:t>
      </w:r>
      <w:r w:rsidRPr="0008269D">
        <w:rPr>
          <w:rFonts w:ascii="Palatino Linotype" w:eastAsia="Palatino Linotype" w:hAnsi="Palatino Linotype" w:cs="Palatino Linotype"/>
          <w:b/>
          <w:bCs/>
          <w:sz w:val="22"/>
          <w:szCs w:val="22"/>
        </w:rPr>
        <w:t xml:space="preserve">Cuarto </w:t>
      </w:r>
      <w:r w:rsidRPr="0008269D">
        <w:rPr>
          <w:rFonts w:ascii="Palatino Linotype" w:eastAsia="Palatino Linotype" w:hAnsi="Palatino Linotype" w:cs="Palatino Linotype"/>
          <w:sz w:val="22"/>
          <w:szCs w:val="22"/>
        </w:rPr>
        <w:t xml:space="preserve">de esta resolución, se </w:t>
      </w:r>
      <w:r w:rsidRPr="0008269D">
        <w:rPr>
          <w:rFonts w:ascii="Palatino Linotype" w:eastAsia="Palatino Linotype" w:hAnsi="Palatino Linotype" w:cs="Palatino Linotype"/>
          <w:b/>
          <w:bCs/>
          <w:sz w:val="22"/>
          <w:szCs w:val="22"/>
        </w:rPr>
        <w:t xml:space="preserve">Confirma </w:t>
      </w:r>
      <w:r w:rsidRPr="0008269D">
        <w:rPr>
          <w:rFonts w:ascii="Palatino Linotype" w:eastAsia="Palatino Linotype" w:hAnsi="Palatino Linotype" w:cs="Palatino Linotype"/>
          <w:sz w:val="22"/>
          <w:szCs w:val="22"/>
        </w:rPr>
        <w:t xml:space="preserve">la respuesta emitida por el </w:t>
      </w:r>
      <w:r w:rsidRPr="0008269D">
        <w:rPr>
          <w:rFonts w:ascii="Palatino Linotype" w:eastAsia="Palatino Linotype" w:hAnsi="Palatino Linotype" w:cs="Palatino Linotype"/>
          <w:b/>
          <w:bCs/>
          <w:sz w:val="22"/>
          <w:szCs w:val="22"/>
        </w:rPr>
        <w:t xml:space="preserve">Sujeto Obligado. </w:t>
      </w:r>
    </w:p>
    <w:p w14:paraId="26D53D3D" w14:textId="77777777" w:rsidR="009B425B" w:rsidRPr="0008269D" w:rsidRDefault="000241E3">
      <w:pPr>
        <w:spacing w:before="240" w:after="240" w:line="360" w:lineRule="auto"/>
        <w:jc w:val="both"/>
        <w:rPr>
          <w:rFonts w:ascii="Palatino Linotype" w:eastAsia="Palatino Linotype" w:hAnsi="Palatino Linotype" w:cs="Palatino Linotype"/>
          <w:sz w:val="22"/>
          <w:szCs w:val="22"/>
        </w:rPr>
      </w:pPr>
      <w:bookmarkStart w:id="9" w:name="_heading=h.lnxbz9" w:colFirst="0" w:colLast="0"/>
      <w:bookmarkEnd w:id="9"/>
      <w:r w:rsidRPr="0008269D">
        <w:rPr>
          <w:rFonts w:ascii="Palatino Linotype" w:eastAsia="Palatino Linotype" w:hAnsi="Palatino Linotype" w:cs="Palatino Linotype"/>
          <w:b/>
          <w:bCs/>
          <w:sz w:val="22"/>
          <w:szCs w:val="22"/>
        </w:rPr>
        <w:t xml:space="preserve">Segundo. Notifíquese, </w:t>
      </w:r>
      <w:r w:rsidRPr="0008269D">
        <w:rPr>
          <w:rFonts w:ascii="Palatino Linotype" w:eastAsia="Palatino Linotype" w:hAnsi="Palatino Linotype" w:cs="Palatino Linotype"/>
          <w:sz w:val="22"/>
          <w:szCs w:val="22"/>
        </w:rPr>
        <w:t xml:space="preserve">vía </w:t>
      </w:r>
      <w:r w:rsidRPr="0008269D">
        <w:rPr>
          <w:rFonts w:ascii="Palatino Linotype" w:eastAsia="Palatino Linotype" w:hAnsi="Palatino Linotype" w:cs="Palatino Linotype"/>
          <w:b/>
          <w:bCs/>
          <w:sz w:val="22"/>
          <w:szCs w:val="22"/>
        </w:rPr>
        <w:t xml:space="preserve">SAIMEX, </w:t>
      </w:r>
      <w:r w:rsidRPr="0008269D">
        <w:rPr>
          <w:rFonts w:ascii="Palatino Linotype" w:eastAsia="Palatino Linotype" w:hAnsi="Palatino Linotype" w:cs="Palatino Linotype"/>
          <w:sz w:val="22"/>
          <w:szCs w:val="22"/>
        </w:rPr>
        <w:t xml:space="preserve">al Titular de la Unidad de Transparencia del </w:t>
      </w:r>
      <w:r w:rsidRPr="0008269D">
        <w:rPr>
          <w:rFonts w:ascii="Palatino Linotype" w:eastAsia="Palatino Linotype" w:hAnsi="Palatino Linotype" w:cs="Palatino Linotype"/>
          <w:b/>
          <w:bCs/>
          <w:sz w:val="22"/>
          <w:szCs w:val="22"/>
        </w:rPr>
        <w:t>Sujeto Obligado</w:t>
      </w:r>
      <w:r w:rsidRPr="0008269D">
        <w:rPr>
          <w:rFonts w:ascii="Palatino Linotype" w:eastAsia="Palatino Linotype" w:hAnsi="Palatino Linotype" w:cs="Palatino Linotype"/>
          <w:sz w:val="22"/>
          <w:szCs w:val="22"/>
        </w:rPr>
        <w:t xml:space="preserve"> para su conocimiento, la presente resolución.</w:t>
      </w:r>
    </w:p>
    <w:p w14:paraId="5D9B1760" w14:textId="77777777" w:rsidR="009B425B" w:rsidRPr="0008269D" w:rsidRDefault="000241E3">
      <w:pPr>
        <w:spacing w:before="240" w:after="240" w:line="360" w:lineRule="auto"/>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b/>
          <w:bCs/>
          <w:sz w:val="22"/>
          <w:szCs w:val="22"/>
        </w:rPr>
        <w:t xml:space="preserve">Tercero.  Notifíquese, </w:t>
      </w:r>
      <w:r w:rsidRPr="0008269D">
        <w:rPr>
          <w:rFonts w:ascii="Palatino Linotype" w:eastAsia="Palatino Linotype" w:hAnsi="Palatino Linotype" w:cs="Palatino Linotype"/>
          <w:sz w:val="22"/>
          <w:szCs w:val="22"/>
        </w:rPr>
        <w:t xml:space="preserve">vía </w:t>
      </w:r>
      <w:r w:rsidRPr="0008269D">
        <w:rPr>
          <w:rFonts w:ascii="Palatino Linotype" w:eastAsia="Palatino Linotype" w:hAnsi="Palatino Linotype" w:cs="Palatino Linotype"/>
          <w:b/>
          <w:bCs/>
          <w:sz w:val="22"/>
          <w:szCs w:val="22"/>
        </w:rPr>
        <w:t xml:space="preserve">SAIMEX, </w:t>
      </w:r>
      <w:r w:rsidRPr="0008269D">
        <w:rPr>
          <w:rFonts w:ascii="Palatino Linotype" w:eastAsia="Palatino Linotype" w:hAnsi="Palatino Linotype" w:cs="Palatino Linotype"/>
          <w:sz w:val="22"/>
          <w:szCs w:val="22"/>
        </w:rPr>
        <w:t xml:space="preserve">a la parte </w:t>
      </w:r>
      <w:r w:rsidRPr="0008269D">
        <w:rPr>
          <w:rFonts w:ascii="Palatino Linotype" w:eastAsia="Palatino Linotype" w:hAnsi="Palatino Linotype" w:cs="Palatino Linotype"/>
          <w:b/>
          <w:bCs/>
          <w:sz w:val="22"/>
          <w:szCs w:val="22"/>
        </w:rPr>
        <w:t>Recurrente</w:t>
      </w:r>
      <w:r w:rsidRPr="0008269D">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21DCA7A3" w14:textId="77777777" w:rsidR="009B425B" w:rsidRDefault="000241E3">
      <w:pPr>
        <w:tabs>
          <w:tab w:val="left" w:pos="8647"/>
        </w:tabs>
        <w:spacing w:before="240" w:after="240" w:line="360" w:lineRule="auto"/>
        <w:ind w:right="51"/>
        <w:jc w:val="both"/>
        <w:rPr>
          <w:rFonts w:ascii="Palatino Linotype" w:eastAsia="Palatino Linotype" w:hAnsi="Palatino Linotype" w:cs="Palatino Linotype"/>
          <w:sz w:val="22"/>
          <w:szCs w:val="22"/>
        </w:rPr>
      </w:pPr>
      <w:r w:rsidRPr="0008269D">
        <w:rPr>
          <w:rFonts w:ascii="Palatino Linotype" w:eastAsia="Palatino Linotype" w:hAnsi="Palatino Linotype" w:cs="Palatino Linotype"/>
          <w:sz w:val="22"/>
          <w:szCs w:val="22"/>
        </w:rPr>
        <w:t>ASÍ LO RESUELVE, POR UNANIMIDAD DE VOTOS, EL PLENO DEL INSTITUTO DE TRANSPARENCIA, ACCESO A LA INFORMA</w:t>
      </w:r>
      <w:bookmarkStart w:id="10" w:name="_GoBack"/>
      <w:bookmarkEnd w:id="10"/>
      <w:r w:rsidRPr="0008269D">
        <w:rPr>
          <w:rFonts w:ascii="Palatino Linotype" w:eastAsia="Palatino Linotype" w:hAnsi="Palatino Linotype" w:cs="Palatino Linotype"/>
          <w:sz w:val="22"/>
          <w:szCs w:val="22"/>
        </w:rPr>
        <w:t>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PRIMERA SESIÓN ORDINARIA CELEBRADA EL VEINTE DE NOVIEMBRE DE DOS MIL VEINTICINCO, ANTE EL SECRETARIO TÉCNICO DEL PLENO ALEXIS TAPIA RAMÍREZ.</w:t>
      </w:r>
    </w:p>
    <w:p w14:paraId="2917EDA3" w14:textId="77777777" w:rsidR="009B425B" w:rsidRDefault="009B425B">
      <w:pPr>
        <w:spacing w:line="360" w:lineRule="auto"/>
        <w:jc w:val="both"/>
        <w:rPr>
          <w:rFonts w:ascii="Palatino Linotype" w:eastAsia="Palatino Linotype" w:hAnsi="Palatino Linotype" w:cs="Palatino Linotype"/>
          <w:sz w:val="22"/>
          <w:szCs w:val="22"/>
        </w:rPr>
      </w:pPr>
    </w:p>
    <w:p w14:paraId="16043C64" w14:textId="77777777" w:rsidR="009B425B" w:rsidRDefault="009B425B">
      <w:pPr>
        <w:spacing w:line="360" w:lineRule="auto"/>
        <w:jc w:val="center"/>
        <w:rPr>
          <w:rFonts w:ascii="Palatino Linotype" w:eastAsia="Palatino Linotype" w:hAnsi="Palatino Linotype" w:cs="Palatino Linotype"/>
          <w:sz w:val="22"/>
          <w:szCs w:val="22"/>
        </w:rPr>
      </w:pPr>
    </w:p>
    <w:p w14:paraId="3B8D8851" w14:textId="77777777" w:rsidR="009B425B" w:rsidRDefault="009B425B">
      <w:pPr>
        <w:spacing w:line="360" w:lineRule="auto"/>
        <w:jc w:val="both"/>
        <w:rPr>
          <w:rFonts w:ascii="Palatino Linotype" w:eastAsia="Palatino Linotype" w:hAnsi="Palatino Linotype" w:cs="Palatino Linotype"/>
          <w:sz w:val="22"/>
          <w:szCs w:val="22"/>
        </w:rPr>
      </w:pPr>
    </w:p>
    <w:p w14:paraId="3FB369E9" w14:textId="77777777" w:rsidR="009B425B" w:rsidRDefault="009B425B">
      <w:pPr>
        <w:spacing w:line="360" w:lineRule="auto"/>
        <w:jc w:val="both"/>
        <w:rPr>
          <w:rFonts w:ascii="Palatino Linotype" w:eastAsia="Palatino Linotype" w:hAnsi="Palatino Linotype" w:cs="Palatino Linotype"/>
          <w:sz w:val="22"/>
          <w:szCs w:val="22"/>
        </w:rPr>
      </w:pPr>
    </w:p>
    <w:p w14:paraId="60F2EB5B" w14:textId="77777777" w:rsidR="009B425B" w:rsidRDefault="009B425B">
      <w:pPr>
        <w:spacing w:line="360" w:lineRule="auto"/>
        <w:jc w:val="both"/>
        <w:rPr>
          <w:rFonts w:ascii="Palatino Linotype" w:eastAsia="Palatino Linotype" w:hAnsi="Palatino Linotype" w:cs="Palatino Linotype"/>
          <w:sz w:val="22"/>
          <w:szCs w:val="22"/>
        </w:rPr>
      </w:pPr>
    </w:p>
    <w:p w14:paraId="623BE87C" w14:textId="77777777" w:rsidR="009B425B" w:rsidRDefault="009B425B">
      <w:pPr>
        <w:spacing w:line="360" w:lineRule="auto"/>
        <w:jc w:val="both"/>
        <w:rPr>
          <w:rFonts w:ascii="Palatino Linotype" w:eastAsia="Palatino Linotype" w:hAnsi="Palatino Linotype" w:cs="Palatino Linotype"/>
          <w:sz w:val="22"/>
          <w:szCs w:val="22"/>
        </w:rPr>
      </w:pPr>
    </w:p>
    <w:p w14:paraId="2F52C280" w14:textId="77777777" w:rsidR="009B425B" w:rsidRDefault="009B425B">
      <w:pPr>
        <w:spacing w:line="360" w:lineRule="auto"/>
        <w:jc w:val="both"/>
        <w:rPr>
          <w:rFonts w:ascii="Palatino Linotype" w:eastAsia="Palatino Linotype" w:hAnsi="Palatino Linotype" w:cs="Palatino Linotype"/>
          <w:sz w:val="22"/>
          <w:szCs w:val="22"/>
        </w:rPr>
      </w:pPr>
    </w:p>
    <w:p w14:paraId="14FC8018" w14:textId="77777777" w:rsidR="009B425B" w:rsidRDefault="009B425B">
      <w:pPr>
        <w:spacing w:line="360" w:lineRule="auto"/>
        <w:jc w:val="both"/>
        <w:rPr>
          <w:rFonts w:ascii="Palatino Linotype" w:eastAsia="Palatino Linotype" w:hAnsi="Palatino Linotype" w:cs="Palatino Linotype"/>
          <w:sz w:val="22"/>
          <w:szCs w:val="22"/>
        </w:rPr>
      </w:pPr>
    </w:p>
    <w:p w14:paraId="35CAD928" w14:textId="77777777" w:rsidR="009B425B" w:rsidRDefault="009B425B">
      <w:pPr>
        <w:spacing w:line="360" w:lineRule="auto"/>
        <w:jc w:val="both"/>
        <w:rPr>
          <w:rFonts w:ascii="Palatino Linotype" w:eastAsia="Palatino Linotype" w:hAnsi="Palatino Linotype" w:cs="Palatino Linotype"/>
          <w:sz w:val="22"/>
          <w:szCs w:val="22"/>
        </w:rPr>
      </w:pPr>
    </w:p>
    <w:p w14:paraId="41F9B576" w14:textId="77777777" w:rsidR="009B425B" w:rsidRDefault="009B425B">
      <w:pPr>
        <w:spacing w:line="360" w:lineRule="auto"/>
        <w:jc w:val="both"/>
        <w:rPr>
          <w:rFonts w:ascii="Palatino Linotype" w:eastAsia="Palatino Linotype" w:hAnsi="Palatino Linotype" w:cs="Palatino Linotype"/>
          <w:sz w:val="22"/>
          <w:szCs w:val="22"/>
        </w:rPr>
      </w:pPr>
    </w:p>
    <w:p w14:paraId="23B35938" w14:textId="77777777" w:rsidR="009B425B" w:rsidRDefault="009B425B">
      <w:pPr>
        <w:spacing w:line="360" w:lineRule="auto"/>
        <w:jc w:val="both"/>
        <w:rPr>
          <w:rFonts w:ascii="Palatino Linotype" w:eastAsia="Palatino Linotype" w:hAnsi="Palatino Linotype" w:cs="Palatino Linotype"/>
          <w:sz w:val="22"/>
          <w:szCs w:val="22"/>
        </w:rPr>
      </w:pPr>
    </w:p>
    <w:p w14:paraId="32727BA8" w14:textId="77777777" w:rsidR="009B425B" w:rsidRDefault="009B425B">
      <w:pPr>
        <w:spacing w:line="360" w:lineRule="auto"/>
        <w:jc w:val="both"/>
        <w:rPr>
          <w:rFonts w:ascii="Palatino Linotype" w:eastAsia="Palatino Linotype" w:hAnsi="Palatino Linotype" w:cs="Palatino Linotype"/>
          <w:sz w:val="22"/>
          <w:szCs w:val="22"/>
        </w:rPr>
      </w:pPr>
    </w:p>
    <w:p w14:paraId="6CFEAC5A" w14:textId="77777777" w:rsidR="009B425B" w:rsidRDefault="009B425B">
      <w:pPr>
        <w:spacing w:line="360" w:lineRule="auto"/>
        <w:jc w:val="both"/>
        <w:rPr>
          <w:rFonts w:ascii="Palatino Linotype" w:eastAsia="Palatino Linotype" w:hAnsi="Palatino Linotype" w:cs="Palatino Linotype"/>
          <w:sz w:val="22"/>
          <w:szCs w:val="22"/>
        </w:rPr>
      </w:pPr>
    </w:p>
    <w:p w14:paraId="0126EE1D" w14:textId="77777777" w:rsidR="009B425B" w:rsidRDefault="009B425B">
      <w:pPr>
        <w:spacing w:line="360" w:lineRule="auto"/>
        <w:jc w:val="both"/>
        <w:rPr>
          <w:rFonts w:ascii="Palatino Linotype" w:eastAsia="Palatino Linotype" w:hAnsi="Palatino Linotype" w:cs="Palatino Linotype"/>
          <w:sz w:val="22"/>
          <w:szCs w:val="22"/>
        </w:rPr>
      </w:pPr>
    </w:p>
    <w:p w14:paraId="4D8973ED" w14:textId="77777777" w:rsidR="009B425B" w:rsidRDefault="009B425B">
      <w:pPr>
        <w:spacing w:line="360" w:lineRule="auto"/>
        <w:jc w:val="both"/>
        <w:rPr>
          <w:rFonts w:ascii="Palatino Linotype" w:eastAsia="Palatino Linotype" w:hAnsi="Palatino Linotype" w:cs="Palatino Linotype"/>
          <w:sz w:val="22"/>
          <w:szCs w:val="22"/>
        </w:rPr>
      </w:pPr>
    </w:p>
    <w:p w14:paraId="2D311714" w14:textId="77777777" w:rsidR="009B425B" w:rsidRDefault="009B425B">
      <w:pPr>
        <w:spacing w:line="360" w:lineRule="auto"/>
        <w:jc w:val="both"/>
        <w:rPr>
          <w:rFonts w:ascii="Palatino Linotype" w:eastAsia="Palatino Linotype" w:hAnsi="Palatino Linotype" w:cs="Palatino Linotype"/>
          <w:sz w:val="22"/>
          <w:szCs w:val="22"/>
        </w:rPr>
      </w:pPr>
    </w:p>
    <w:p w14:paraId="4F4F203F" w14:textId="77777777" w:rsidR="009B425B" w:rsidRDefault="009B425B">
      <w:pPr>
        <w:spacing w:line="360" w:lineRule="auto"/>
        <w:jc w:val="both"/>
        <w:rPr>
          <w:rFonts w:ascii="Palatino Linotype" w:eastAsia="Palatino Linotype" w:hAnsi="Palatino Linotype" w:cs="Palatino Linotype"/>
          <w:sz w:val="22"/>
          <w:szCs w:val="22"/>
        </w:rPr>
      </w:pPr>
    </w:p>
    <w:p w14:paraId="299503C1" w14:textId="77777777" w:rsidR="009B425B" w:rsidRDefault="009B425B">
      <w:pPr>
        <w:spacing w:line="360" w:lineRule="auto"/>
        <w:jc w:val="both"/>
        <w:rPr>
          <w:rFonts w:ascii="Palatino Linotype" w:eastAsia="Palatino Linotype" w:hAnsi="Palatino Linotype" w:cs="Palatino Linotype"/>
          <w:sz w:val="22"/>
          <w:szCs w:val="22"/>
        </w:rPr>
      </w:pPr>
    </w:p>
    <w:p w14:paraId="54BDC80C" w14:textId="77777777" w:rsidR="009B425B" w:rsidRDefault="009B425B">
      <w:pPr>
        <w:spacing w:line="360" w:lineRule="auto"/>
        <w:jc w:val="both"/>
        <w:rPr>
          <w:rFonts w:ascii="Palatino Linotype" w:eastAsia="Palatino Linotype" w:hAnsi="Palatino Linotype" w:cs="Palatino Linotype"/>
          <w:sz w:val="22"/>
          <w:szCs w:val="22"/>
        </w:rPr>
      </w:pPr>
    </w:p>
    <w:p w14:paraId="0FB05266" w14:textId="77777777" w:rsidR="009B425B" w:rsidRDefault="009B425B">
      <w:pPr>
        <w:spacing w:line="360" w:lineRule="auto"/>
        <w:jc w:val="both"/>
        <w:rPr>
          <w:rFonts w:ascii="Palatino Linotype" w:eastAsia="Palatino Linotype" w:hAnsi="Palatino Linotype" w:cs="Palatino Linotype"/>
          <w:sz w:val="22"/>
          <w:szCs w:val="22"/>
        </w:rPr>
      </w:pPr>
    </w:p>
    <w:p w14:paraId="7A55C4F4" w14:textId="77777777" w:rsidR="009B425B" w:rsidRDefault="009B425B">
      <w:pPr>
        <w:spacing w:line="360" w:lineRule="auto"/>
        <w:jc w:val="both"/>
        <w:rPr>
          <w:rFonts w:ascii="Palatino Linotype" w:eastAsia="Palatino Linotype" w:hAnsi="Palatino Linotype" w:cs="Palatino Linotype"/>
          <w:sz w:val="22"/>
          <w:szCs w:val="22"/>
        </w:rPr>
      </w:pPr>
    </w:p>
    <w:p w14:paraId="4771C3CB" w14:textId="77777777" w:rsidR="009B425B" w:rsidRDefault="009B425B">
      <w:pPr>
        <w:spacing w:line="360" w:lineRule="auto"/>
        <w:jc w:val="both"/>
        <w:rPr>
          <w:rFonts w:ascii="Palatino Linotype" w:eastAsia="Palatino Linotype" w:hAnsi="Palatino Linotype" w:cs="Palatino Linotype"/>
          <w:sz w:val="22"/>
          <w:szCs w:val="22"/>
        </w:rPr>
      </w:pPr>
    </w:p>
    <w:p w14:paraId="72712606" w14:textId="77777777" w:rsidR="009B425B" w:rsidRDefault="009B425B">
      <w:pPr>
        <w:spacing w:line="360" w:lineRule="auto"/>
        <w:jc w:val="both"/>
        <w:rPr>
          <w:rFonts w:ascii="Palatino Linotype" w:eastAsia="Palatino Linotype" w:hAnsi="Palatino Linotype" w:cs="Palatino Linotype"/>
          <w:sz w:val="22"/>
          <w:szCs w:val="22"/>
        </w:rPr>
      </w:pPr>
    </w:p>
    <w:sectPr w:rsidR="009B425B">
      <w:headerReference w:type="default" r:id="rId8"/>
      <w:footerReference w:type="default" r:id="rId9"/>
      <w:headerReference w:type="first" r:id="rId10"/>
      <w:footerReference w:type="first" r:id="rId1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92D9E6" w14:textId="77777777" w:rsidR="00252665" w:rsidRDefault="00252665">
      <w:r>
        <w:separator/>
      </w:r>
    </w:p>
  </w:endnote>
  <w:endnote w:type="continuationSeparator" w:id="0">
    <w:p w14:paraId="054A4B1B" w14:textId="77777777" w:rsidR="00252665" w:rsidRDefault="00252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AE230F6-29BB-49A6-BC47-3AA78B9AEA8C}"/>
    <w:embedBold r:id="rId2" w:fontKey="{3F46478D-5775-4139-85F7-2324B3EB28C6}"/>
  </w:font>
  <w:font w:name="Cambria">
    <w:panose1 w:val="02040503050406030204"/>
    <w:charset w:val="00"/>
    <w:family w:val="roman"/>
    <w:pitch w:val="variable"/>
    <w:sig w:usb0="E00006FF" w:usb1="420024FF" w:usb2="02000000" w:usb3="00000000" w:csb0="0000019F" w:csb1="00000000"/>
    <w:embedRegular r:id="rId3" w:fontKey="{A20D0F36-4938-403A-987B-B793A9BD0231}"/>
    <w:embedBold r:id="rId4" w:fontKey="{754CDCB5-26C7-4ED7-B7C3-018ADF78145A}"/>
    <w:embedBoldItalic r:id="rId5" w:fontKey="{E3DE3E82-9346-408A-91F3-977F11EBC22B}"/>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354C1916-5B60-42AB-8407-CC015B109350}"/>
  </w:font>
  <w:font w:name="Georgia">
    <w:panose1 w:val="02040502050405020303"/>
    <w:charset w:val="00"/>
    <w:family w:val="roman"/>
    <w:pitch w:val="variable"/>
    <w:sig w:usb0="00000287" w:usb1="00000000" w:usb2="00000000" w:usb3="00000000" w:csb0="0000009F" w:csb1="00000000"/>
    <w:embedItalic r:id="rId7" w:fontKey="{2F03462F-BA38-4D49-9666-497ADCF96054}"/>
  </w:font>
  <w:font w:name="Palatino Linotype">
    <w:panose1 w:val="02040502050505030304"/>
    <w:charset w:val="00"/>
    <w:family w:val="roman"/>
    <w:pitch w:val="variable"/>
    <w:sig w:usb0="E0000287" w:usb1="40000013" w:usb2="00000000" w:usb3="00000000" w:csb0="0000019F" w:csb1="00000000"/>
    <w:embedRegular r:id="rId8" w:fontKey="{276E12AE-3053-49A7-98EB-0772F8BC09B6}"/>
    <w:embedBold r:id="rId9" w:fontKey="{97117550-5E05-4AAD-9535-5DF936515E33}"/>
    <w:embedItalic r:id="rId10" w:fontKey="{300C832A-7031-4C02-8F72-6E3A27A856A9}"/>
    <w:embedBoldItalic r:id="rId11" w:fontKey="{AF61B2CE-C01E-48DC-A40E-6C5708F27C5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FF048" w14:textId="1DFBBC26" w:rsidR="009B425B" w:rsidRDefault="000241E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BF4FA5">
      <w:rPr>
        <w:rFonts w:ascii="Palatino Linotype" w:eastAsia="Palatino Linotype" w:hAnsi="Palatino Linotype" w:cs="Palatino Linotype"/>
        <w:b/>
        <w:bCs/>
        <w:noProof/>
        <w:color w:val="000000"/>
        <w:sz w:val="20"/>
        <w:szCs w:val="20"/>
      </w:rPr>
      <w:t>24</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BF4FA5">
      <w:rPr>
        <w:rFonts w:ascii="Palatino Linotype" w:eastAsia="Palatino Linotype" w:hAnsi="Palatino Linotype" w:cs="Palatino Linotype"/>
        <w:b/>
        <w:bCs/>
        <w:noProof/>
        <w:color w:val="000000"/>
        <w:sz w:val="20"/>
        <w:szCs w:val="20"/>
      </w:rPr>
      <w:t>25</w:t>
    </w:r>
    <w:r>
      <w:rPr>
        <w:rFonts w:ascii="Palatino Linotype" w:eastAsia="Palatino Linotype" w:hAnsi="Palatino Linotype" w:cs="Palatino Linotype"/>
        <w:b/>
        <w:bCs/>
        <w:color w:val="000000"/>
        <w:sz w:val="20"/>
        <w:szCs w:val="20"/>
      </w:rPr>
      <w:fldChar w:fldCharType="end"/>
    </w:r>
  </w:p>
  <w:p w14:paraId="4331C370" w14:textId="77777777" w:rsidR="009B425B" w:rsidRDefault="009B425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AA4F2" w14:textId="1890F319" w:rsidR="009B425B" w:rsidRDefault="000241E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BF4FA5">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BF4FA5">
      <w:rPr>
        <w:rFonts w:ascii="Palatino Linotype" w:eastAsia="Palatino Linotype" w:hAnsi="Palatino Linotype" w:cs="Palatino Linotype"/>
        <w:b/>
        <w:bCs/>
        <w:noProof/>
        <w:color w:val="000000"/>
        <w:sz w:val="20"/>
        <w:szCs w:val="20"/>
      </w:rPr>
      <w:t>25</w:t>
    </w:r>
    <w:r>
      <w:rPr>
        <w:rFonts w:ascii="Palatino Linotype" w:eastAsia="Palatino Linotype" w:hAnsi="Palatino Linotype" w:cs="Palatino Linotype"/>
        <w:b/>
        <w:bCs/>
        <w:color w:val="000000"/>
        <w:sz w:val="20"/>
        <w:szCs w:val="20"/>
      </w:rPr>
      <w:fldChar w:fldCharType="end"/>
    </w:r>
  </w:p>
  <w:p w14:paraId="29069E93" w14:textId="77777777" w:rsidR="009B425B" w:rsidRDefault="009B425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5AF026" w14:textId="77777777" w:rsidR="00252665" w:rsidRDefault="00252665">
      <w:r>
        <w:separator/>
      </w:r>
    </w:p>
  </w:footnote>
  <w:footnote w:type="continuationSeparator" w:id="0">
    <w:p w14:paraId="345785F0" w14:textId="77777777" w:rsidR="00252665" w:rsidRDefault="00252665">
      <w:r>
        <w:continuationSeparator/>
      </w:r>
    </w:p>
  </w:footnote>
  <w:footnote w:id="1">
    <w:p w14:paraId="08CB3C4C" w14:textId="77777777" w:rsidR="009B425B" w:rsidRDefault="000241E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[A]: 2a. Semanario Judicial de la Federación, Sexta Época, Volumen LII, Tercera Parte, p. 101, Reg. digital </w:t>
      </w:r>
      <w:r>
        <w:rPr>
          <w:rFonts w:ascii="Palatino Linotype" w:eastAsia="Palatino Linotype" w:hAnsi="Palatino Linotype" w:cs="Palatino Linotype"/>
          <w:color w:val="212529"/>
          <w:sz w:val="16"/>
          <w:szCs w:val="16"/>
          <w:highlight w:val="white"/>
        </w:rPr>
        <w:t>267287.</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7BE1F" w14:textId="77777777" w:rsidR="009B425B" w:rsidRDefault="000241E3">
    <w:pPr>
      <w:rPr>
        <w:rFonts w:ascii="Cambria" w:eastAsia="Cambria" w:hAnsi="Cambria" w:cs="Cambria"/>
        <w:color w:val="000000"/>
      </w:rPr>
    </w:pPr>
    <w:r>
      <w:rPr>
        <w:noProof/>
      </w:rPr>
      <w:drawing>
        <wp:anchor distT="0" distB="0" distL="0" distR="0" simplePos="0" relativeHeight="251658240" behindDoc="1" locked="0" layoutInCell="1" hidden="0" allowOverlap="1" wp14:anchorId="1FF0488A" wp14:editId="601B95AC">
          <wp:simplePos x="0" y="0"/>
          <wp:positionH relativeFrom="column">
            <wp:posOffset>-1080090</wp:posOffset>
          </wp:positionH>
          <wp:positionV relativeFrom="paragraph">
            <wp:posOffset>-488261</wp:posOffset>
          </wp:positionV>
          <wp:extent cx="7809865" cy="10165715"/>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c"/>
      <w:tblW w:w="5953" w:type="dxa"/>
      <w:tblInd w:w="3261" w:type="dxa"/>
      <w:tblLayout w:type="fixed"/>
      <w:tblLook w:val="0400" w:firstRow="0" w:lastRow="0" w:firstColumn="0" w:lastColumn="0" w:noHBand="0" w:noVBand="1"/>
    </w:tblPr>
    <w:tblGrid>
      <w:gridCol w:w="2489"/>
      <w:gridCol w:w="3464"/>
    </w:tblGrid>
    <w:tr w:rsidR="009B425B" w14:paraId="0E3CAC7D" w14:textId="77777777">
      <w:tc>
        <w:tcPr>
          <w:tcW w:w="2489" w:type="dxa"/>
        </w:tcPr>
        <w:p w14:paraId="7495A1CC" w14:textId="77777777" w:rsidR="009B425B" w:rsidRDefault="000241E3">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2B6CF696" w14:textId="77777777" w:rsidR="009B425B" w:rsidRDefault="000241E3">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10954/INFOEM/IP/RR/2025</w:t>
          </w:r>
        </w:p>
      </w:tc>
    </w:tr>
    <w:tr w:rsidR="009B425B" w14:paraId="7F7DAF71" w14:textId="77777777">
      <w:trPr>
        <w:trHeight w:val="228"/>
      </w:trPr>
      <w:tc>
        <w:tcPr>
          <w:tcW w:w="2489" w:type="dxa"/>
          <w:vAlign w:val="center"/>
        </w:tcPr>
        <w:p w14:paraId="48B202A3" w14:textId="77777777" w:rsidR="009B425B" w:rsidRDefault="000241E3">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701C0F23" w14:textId="77777777" w:rsidR="009B425B" w:rsidRDefault="000241E3">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Sistema para el Desarrollo Integral de la Familia del Estado de México</w:t>
          </w:r>
        </w:p>
      </w:tc>
    </w:tr>
    <w:tr w:rsidR="009B425B" w14:paraId="1F0BAA27" w14:textId="77777777">
      <w:tc>
        <w:tcPr>
          <w:tcW w:w="2489" w:type="dxa"/>
          <w:vAlign w:val="center"/>
        </w:tcPr>
        <w:p w14:paraId="13C07A77" w14:textId="77777777" w:rsidR="009B425B" w:rsidRDefault="000241E3">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5A26D6CF" w14:textId="77777777" w:rsidR="009B425B" w:rsidRDefault="000241E3">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1D8B63AD" w14:textId="77777777" w:rsidR="009B425B" w:rsidRDefault="000241E3">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ED940" w14:textId="77777777" w:rsidR="009B425B" w:rsidRDefault="000241E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1D49C286" wp14:editId="31B85CC2">
          <wp:simplePos x="0" y="0"/>
          <wp:positionH relativeFrom="column">
            <wp:posOffset>-1080132</wp:posOffset>
          </wp:positionH>
          <wp:positionV relativeFrom="paragraph">
            <wp:posOffset>-369891</wp:posOffset>
          </wp:positionV>
          <wp:extent cx="7809865" cy="10165715"/>
          <wp:effectExtent l="0" t="0" r="0" b="0"/>
          <wp:wrapNone/>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d"/>
      <w:tblW w:w="5953" w:type="dxa"/>
      <w:tblInd w:w="3261" w:type="dxa"/>
      <w:tblLayout w:type="fixed"/>
      <w:tblLook w:val="0400" w:firstRow="0" w:lastRow="0" w:firstColumn="0" w:lastColumn="0" w:noHBand="0" w:noVBand="1"/>
    </w:tblPr>
    <w:tblGrid>
      <w:gridCol w:w="2489"/>
      <w:gridCol w:w="3464"/>
    </w:tblGrid>
    <w:tr w:rsidR="009B425B" w14:paraId="0036B9C2" w14:textId="77777777">
      <w:tc>
        <w:tcPr>
          <w:tcW w:w="2489" w:type="dxa"/>
        </w:tcPr>
        <w:p w14:paraId="6A115AC4" w14:textId="77777777" w:rsidR="009B425B" w:rsidRDefault="000241E3">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36D40E56" w14:textId="77777777" w:rsidR="009B425B" w:rsidRDefault="000241E3">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10954/INFOEM/IP/RR/2025</w:t>
          </w:r>
        </w:p>
      </w:tc>
    </w:tr>
    <w:tr w:rsidR="009B425B" w14:paraId="47B4ECDD" w14:textId="77777777">
      <w:tc>
        <w:tcPr>
          <w:tcW w:w="2489" w:type="dxa"/>
        </w:tcPr>
        <w:p w14:paraId="4E810A03" w14:textId="77777777" w:rsidR="009B425B" w:rsidRDefault="000241E3">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464" w:type="dxa"/>
          <w:vAlign w:val="center"/>
        </w:tcPr>
        <w:p w14:paraId="4769FA52" w14:textId="5EC9A05D" w:rsidR="009B425B" w:rsidRDefault="00BF4FA5" w:rsidP="00BF4FA5">
          <w:pPr>
            <w:ind w:right="175"/>
            <w:jc w:val="both"/>
            <w:rPr>
              <w:rFonts w:ascii="Palatino Linotype" w:eastAsia="Palatino Linotype" w:hAnsi="Palatino Linotype" w:cs="Palatino Linotype"/>
              <w:b/>
              <w:bCs/>
              <w:sz w:val="22"/>
              <w:szCs w:val="22"/>
              <w:highlight w:val="yellow"/>
            </w:rPr>
          </w:pPr>
          <w:r>
            <w:rPr>
              <w:rFonts w:ascii="Palatino Linotype" w:eastAsia="Palatino Linotype" w:hAnsi="Palatino Linotype" w:cs="Palatino Linotype"/>
              <w:b/>
              <w:bCs/>
              <w:sz w:val="22"/>
              <w:szCs w:val="22"/>
            </w:rPr>
            <w:t xml:space="preserve">XXXXXX XXXXX XXXXXXX </w:t>
          </w:r>
        </w:p>
      </w:tc>
    </w:tr>
    <w:tr w:rsidR="009B425B" w14:paraId="1A6E2807" w14:textId="77777777">
      <w:trPr>
        <w:trHeight w:val="228"/>
      </w:trPr>
      <w:tc>
        <w:tcPr>
          <w:tcW w:w="2489" w:type="dxa"/>
          <w:vAlign w:val="center"/>
        </w:tcPr>
        <w:p w14:paraId="02EFA24C" w14:textId="77777777" w:rsidR="009B425B" w:rsidRDefault="000241E3">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3E31E014" w14:textId="77777777" w:rsidR="009B425B" w:rsidRDefault="000241E3">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Sistema para el Desarrollo Integral de la Familia del Estado de México</w:t>
          </w:r>
        </w:p>
      </w:tc>
    </w:tr>
    <w:tr w:rsidR="009B425B" w14:paraId="1AABFF55" w14:textId="77777777">
      <w:tc>
        <w:tcPr>
          <w:tcW w:w="2489" w:type="dxa"/>
          <w:vAlign w:val="center"/>
        </w:tcPr>
        <w:p w14:paraId="0F0246F9" w14:textId="77777777" w:rsidR="009B425B" w:rsidRDefault="000241E3">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65697B4C" w14:textId="77777777" w:rsidR="009B425B" w:rsidRDefault="000241E3">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536F28DC" w14:textId="77777777" w:rsidR="009B425B" w:rsidRDefault="009B425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EE724C"/>
    <w:multiLevelType w:val="multilevel"/>
    <w:tmpl w:val="3856AA52"/>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25B"/>
    <w:rsid w:val="000241E3"/>
    <w:rsid w:val="0008269D"/>
    <w:rsid w:val="00252665"/>
    <w:rsid w:val="00290E7B"/>
    <w:rsid w:val="009B425B"/>
    <w:rsid w:val="00BF465E"/>
    <w:rsid w:val="00BF4FA5"/>
    <w:rsid w:val="00C847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B116D"/>
  <w15:docId w15:val="{4F6A99A0-E9A8-45E1-8C59-E1A440E55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uiPriority w:val="9"/>
    <w:semiHidden/>
    <w:unhideWhenUsed/>
    <w:qFormat/>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a">
    <w:basedOn w:val="TableNormalf2"/>
    <w:tblPr>
      <w:tblStyleRowBandSize w:val="1"/>
      <w:tblStyleColBandSize w:val="1"/>
      <w:tblCellMar>
        <w:left w:w="115" w:type="dxa"/>
        <w:right w:w="115" w:type="dxa"/>
      </w:tblCellMar>
    </w:tblPr>
  </w:style>
  <w:style w:type="table" w:customStyle="1" w:styleId="a0">
    <w:basedOn w:val="TableNormalf2"/>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1"/>
    <w:tblPr>
      <w:tblStyleRowBandSize w:val="1"/>
      <w:tblStyleColBandSize w:val="1"/>
      <w:tblCellMar>
        <w:left w:w="115" w:type="dxa"/>
        <w:right w:w="115" w:type="dxa"/>
      </w:tblCellMar>
    </w:tblPr>
  </w:style>
  <w:style w:type="table" w:customStyle="1" w:styleId="a4">
    <w:basedOn w:val="TableNormalf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0"/>
    <w:tblPr>
      <w:tblStyleRowBandSize w:val="1"/>
      <w:tblStyleColBandSize w:val="1"/>
      <w:tblCellMar>
        <w:left w:w="108" w:type="dxa"/>
        <w:right w:w="108" w:type="dxa"/>
      </w:tblCellMar>
    </w:tblPr>
  </w:style>
  <w:style w:type="table" w:customStyle="1" w:styleId="a6">
    <w:basedOn w:val="TableNormalf0"/>
    <w:tblPr>
      <w:tblStyleRowBandSize w:val="1"/>
      <w:tblStyleColBandSize w:val="1"/>
      <w:tblCellMar>
        <w:left w:w="108" w:type="dxa"/>
        <w:right w:w="108" w:type="dxa"/>
      </w:tblCellMar>
    </w:tblPr>
  </w:style>
  <w:style w:type="table" w:customStyle="1" w:styleId="a7">
    <w:basedOn w:val="TableNormalf0"/>
    <w:tblPr>
      <w:tblStyleRowBandSize w:val="1"/>
      <w:tblStyleColBandSize w:val="1"/>
      <w:tblCellMar>
        <w:left w:w="108" w:type="dxa"/>
        <w:right w:w="108" w:type="dxa"/>
      </w:tblCellMar>
    </w:tblPr>
  </w:style>
  <w:style w:type="table" w:customStyle="1" w:styleId="a8">
    <w:basedOn w:val="TableNormalf0"/>
    <w:tblPr>
      <w:tblStyleRowBandSize w:val="1"/>
      <w:tblStyleColBandSize w:val="1"/>
      <w:tblCellMar>
        <w:left w:w="108" w:type="dxa"/>
        <w:right w:w="108" w:type="dxa"/>
      </w:tblCellMar>
    </w:tblPr>
  </w:style>
  <w:style w:type="table" w:customStyle="1" w:styleId="a9">
    <w:basedOn w:val="TableNormalf0"/>
    <w:tblPr>
      <w:tblStyleRowBandSize w:val="1"/>
      <w:tblStyleColBandSize w:val="1"/>
      <w:tblCellMar>
        <w:left w:w="108" w:type="dxa"/>
        <w:right w:w="108" w:type="dxa"/>
      </w:tblCellMar>
    </w:tblPr>
  </w:style>
  <w:style w:type="table" w:customStyle="1" w:styleId="aa">
    <w:basedOn w:val="TableNormalf0"/>
    <w:tblPr>
      <w:tblStyleRowBandSize w:val="1"/>
      <w:tblStyleColBandSize w:val="1"/>
      <w:tblCellMar>
        <w:left w:w="115" w:type="dxa"/>
        <w:right w:w="115" w:type="dxa"/>
      </w:tblCellMar>
    </w:tblPr>
  </w:style>
  <w:style w:type="table" w:customStyle="1" w:styleId="ab">
    <w:basedOn w:val="TableNormalf0"/>
    <w:tblPr>
      <w:tblStyleRowBandSize w:val="1"/>
      <w:tblStyleColBandSize w:val="1"/>
      <w:tblCellMar>
        <w:left w:w="115" w:type="dxa"/>
        <w:right w:w="115" w:type="dxa"/>
      </w:tblCellMar>
    </w:tblPr>
  </w:style>
  <w:style w:type="table" w:customStyle="1" w:styleId="ac">
    <w:basedOn w:val="TableNormalf"/>
    <w:tblPr>
      <w:tblStyleRowBandSize w:val="1"/>
      <w:tblStyleColBandSize w:val="1"/>
      <w:tblCellMar>
        <w:left w:w="108" w:type="dxa"/>
        <w:right w:w="108" w:type="dxa"/>
      </w:tblCellMar>
    </w:tblPr>
  </w:style>
  <w:style w:type="table" w:customStyle="1" w:styleId="ad">
    <w:basedOn w:val="TableNormalf"/>
    <w:tblPr>
      <w:tblStyleRowBandSize w:val="1"/>
      <w:tblStyleColBandSize w:val="1"/>
      <w:tblCellMar>
        <w:left w:w="115" w:type="dxa"/>
        <w:right w:w="115" w:type="dxa"/>
      </w:tblCellMar>
    </w:tblPr>
  </w:style>
  <w:style w:type="table" w:customStyle="1" w:styleId="ae">
    <w:basedOn w:val="TableNormalf"/>
    <w:tblPr>
      <w:tblStyleRowBandSize w:val="1"/>
      <w:tblStyleColBandSize w:val="1"/>
      <w:tblCellMar>
        <w:left w:w="115" w:type="dxa"/>
        <w:right w:w="115" w:type="dxa"/>
      </w:tblCellMar>
    </w:tblPr>
  </w:style>
  <w:style w:type="table" w:customStyle="1" w:styleId="af">
    <w:basedOn w:val="TableNormale"/>
    <w:tblPr>
      <w:tblStyleRowBandSize w:val="1"/>
      <w:tblStyleColBandSize w:val="1"/>
      <w:tblCellMar>
        <w:left w:w="115" w:type="dxa"/>
        <w:right w:w="115" w:type="dxa"/>
      </w:tblCellMar>
    </w:tblPr>
  </w:style>
  <w:style w:type="table" w:customStyle="1" w:styleId="af0">
    <w:basedOn w:val="TableNormale"/>
    <w:tblPr>
      <w:tblStyleRowBandSize w:val="1"/>
      <w:tblStyleColBandSize w:val="1"/>
      <w:tblCellMar>
        <w:left w:w="115" w:type="dxa"/>
        <w:right w:w="115" w:type="dxa"/>
      </w:tblCellMar>
    </w:tblPr>
  </w:style>
  <w:style w:type="table" w:customStyle="1" w:styleId="af1">
    <w:basedOn w:val="TableNormale"/>
    <w:tblPr>
      <w:tblStyleRowBandSize w:val="1"/>
      <w:tblStyleColBandSize w:val="1"/>
      <w:tblCellMar>
        <w:left w:w="115" w:type="dxa"/>
        <w:right w:w="115" w:type="dxa"/>
      </w:tblCellMar>
    </w:tblPr>
  </w:style>
  <w:style w:type="table" w:customStyle="1" w:styleId="af2">
    <w:basedOn w:val="TableNormald"/>
    <w:tblPr>
      <w:tblStyleRowBandSize w:val="1"/>
      <w:tblStyleColBandSize w:val="1"/>
      <w:tblCellMar>
        <w:left w:w="115" w:type="dxa"/>
        <w:right w:w="115" w:type="dxa"/>
      </w:tblCellMar>
    </w:tblPr>
  </w:style>
  <w:style w:type="table" w:customStyle="1" w:styleId="af3">
    <w:basedOn w:val="TableNormald"/>
    <w:tblPr>
      <w:tblStyleRowBandSize w:val="1"/>
      <w:tblStyleColBandSize w:val="1"/>
      <w:tblCellMar>
        <w:left w:w="115" w:type="dxa"/>
        <w:right w:w="115" w:type="dxa"/>
      </w:tblCellMar>
    </w:tblPr>
  </w:style>
  <w:style w:type="table" w:customStyle="1" w:styleId="af4">
    <w:basedOn w:val="TableNormalc"/>
    <w:tblPr>
      <w:tblStyleRowBandSize w:val="1"/>
      <w:tblStyleColBandSize w:val="1"/>
      <w:tblCellMar>
        <w:left w:w="115" w:type="dxa"/>
        <w:right w:w="115" w:type="dxa"/>
      </w:tblCellMar>
    </w:tblPr>
  </w:style>
  <w:style w:type="table" w:customStyle="1" w:styleId="af5">
    <w:basedOn w:val="TableNormalc"/>
    <w:tblPr>
      <w:tblStyleRowBandSize w:val="1"/>
      <w:tblStyleColBandSize w:val="1"/>
      <w:tblCellMar>
        <w:left w:w="115" w:type="dxa"/>
        <w:right w:w="115" w:type="dxa"/>
      </w:tblCellMar>
    </w:tblPr>
  </w:style>
  <w:style w:type="table" w:customStyle="1" w:styleId="af6">
    <w:basedOn w:val="TableNormalb"/>
    <w:tblPr>
      <w:tblStyleRowBandSize w:val="1"/>
      <w:tblStyleColBandSize w:val="1"/>
      <w:tblCellMar>
        <w:left w:w="115" w:type="dxa"/>
        <w:right w:w="115" w:type="dxa"/>
      </w:tblCellMar>
    </w:tblPr>
  </w:style>
  <w:style w:type="table" w:customStyle="1" w:styleId="af7">
    <w:basedOn w:val="TableNormalb"/>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a"/>
    <w:tblPr>
      <w:tblStyleRowBandSize w:val="1"/>
      <w:tblStyleColBandSize w:val="1"/>
      <w:tblCellMar>
        <w:left w:w="115" w:type="dxa"/>
        <w:right w:w="115" w:type="dxa"/>
      </w:tblCellMar>
    </w:tblPr>
  </w:style>
  <w:style w:type="table" w:customStyle="1" w:styleId="af9">
    <w:basedOn w:val="TableNormala"/>
    <w:tblPr>
      <w:tblStyleRowBandSize w:val="1"/>
      <w:tblStyleColBandSize w:val="1"/>
      <w:tblCellMar>
        <w:left w:w="115" w:type="dxa"/>
        <w:right w:w="115" w:type="dxa"/>
      </w:tblCellMar>
    </w:tblPr>
  </w:style>
  <w:style w:type="table" w:customStyle="1" w:styleId="afa">
    <w:basedOn w:val="TableNormal9"/>
    <w:tblPr>
      <w:tblStyleRowBandSize w:val="1"/>
      <w:tblStyleColBandSize w:val="1"/>
      <w:tblCellMar>
        <w:left w:w="115" w:type="dxa"/>
        <w:right w:w="115" w:type="dxa"/>
      </w:tblCellMar>
    </w:tblPr>
  </w:style>
  <w:style w:type="table" w:customStyle="1" w:styleId="afb">
    <w:basedOn w:val="TableNormal9"/>
    <w:tblPr>
      <w:tblStyleRowBandSize w:val="1"/>
      <w:tblStyleColBandSize w:val="1"/>
      <w:tblCellMar>
        <w:left w:w="115" w:type="dxa"/>
        <w:right w:w="115" w:type="dxa"/>
      </w:tblCellMar>
    </w:tblPr>
  </w:style>
  <w:style w:type="table" w:customStyle="1" w:styleId="afc">
    <w:basedOn w:val="TableNormal8"/>
    <w:tblPr>
      <w:tblStyleRowBandSize w:val="1"/>
      <w:tblStyleColBandSize w:val="1"/>
      <w:tblCellMar>
        <w:left w:w="115" w:type="dxa"/>
        <w:right w:w="115" w:type="dxa"/>
      </w:tblCellMar>
    </w:tblPr>
  </w:style>
  <w:style w:type="table" w:customStyle="1" w:styleId="afd">
    <w:basedOn w:val="TableNormal8"/>
    <w:tblPr>
      <w:tblStyleRowBandSize w:val="1"/>
      <w:tblStyleColBandSize w:val="1"/>
      <w:tblCellMar>
        <w:left w:w="115" w:type="dxa"/>
        <w:right w:w="115" w:type="dxa"/>
      </w:tblCellMar>
    </w:tblPr>
  </w:style>
  <w:style w:type="table" w:customStyle="1" w:styleId="afe">
    <w:basedOn w:val="TableNormal7"/>
    <w:tblPr>
      <w:tblStyleRowBandSize w:val="1"/>
      <w:tblStyleColBandSize w:val="1"/>
      <w:tblCellMar>
        <w:left w:w="115" w:type="dxa"/>
        <w:right w:w="115" w:type="dxa"/>
      </w:tblCellMar>
    </w:tblPr>
  </w:style>
  <w:style w:type="table" w:customStyle="1" w:styleId="aff">
    <w:basedOn w:val="TableNormal7"/>
    <w:tblPr>
      <w:tblStyleRowBandSize w:val="1"/>
      <w:tblStyleColBandSize w:val="1"/>
      <w:tblCellMar>
        <w:left w:w="115" w:type="dxa"/>
        <w:right w:w="115" w:type="dxa"/>
      </w:tblCellMar>
    </w:tblPr>
  </w:style>
  <w:style w:type="table" w:customStyle="1" w:styleId="aff0">
    <w:basedOn w:val="TableNormal6"/>
    <w:tblPr>
      <w:tblStyleRowBandSize w:val="1"/>
      <w:tblStyleColBandSize w:val="1"/>
      <w:tblCellMar>
        <w:left w:w="115" w:type="dxa"/>
        <w:right w:w="115" w:type="dxa"/>
      </w:tblCellMar>
    </w:tblPr>
  </w:style>
  <w:style w:type="table" w:customStyle="1" w:styleId="aff1">
    <w:basedOn w:val="TableNormal6"/>
    <w:tblPr>
      <w:tblStyleRowBandSize w:val="1"/>
      <w:tblStyleColBandSize w:val="1"/>
      <w:tblCellMar>
        <w:left w:w="115" w:type="dxa"/>
        <w:right w:w="115" w:type="dxa"/>
      </w:tblCellMar>
    </w:tblPr>
  </w:style>
  <w:style w:type="table" w:customStyle="1" w:styleId="aff2">
    <w:basedOn w:val="TableNormal5"/>
    <w:tblPr>
      <w:tblStyleRowBandSize w:val="1"/>
      <w:tblStyleColBandSize w:val="1"/>
      <w:tblCellMar>
        <w:left w:w="115" w:type="dxa"/>
        <w:right w:w="115" w:type="dxa"/>
      </w:tblCellMar>
    </w:tblPr>
  </w:style>
  <w:style w:type="table" w:customStyle="1" w:styleId="aff3">
    <w:basedOn w:val="TableNormal5"/>
    <w:tblPr>
      <w:tblStyleRowBandSize w:val="1"/>
      <w:tblStyleColBandSize w:val="1"/>
      <w:tblCellMar>
        <w:left w:w="115" w:type="dxa"/>
        <w:right w:w="115" w:type="dxa"/>
      </w:tblCellMar>
    </w:tblPr>
  </w:style>
  <w:style w:type="table" w:customStyle="1" w:styleId="aff4">
    <w:basedOn w:val="TableNormal4"/>
    <w:tblPr>
      <w:tblStyleRowBandSize w:val="1"/>
      <w:tblStyleColBandSize w:val="1"/>
      <w:tblCellMar>
        <w:left w:w="115" w:type="dxa"/>
        <w:right w:w="115" w:type="dxa"/>
      </w:tblCellMar>
    </w:tblPr>
  </w:style>
  <w:style w:type="table" w:customStyle="1" w:styleId="aff5">
    <w:basedOn w:val="TableNormal4"/>
    <w:tblPr>
      <w:tblStyleRowBandSize w:val="1"/>
      <w:tblStyleColBandSize w:val="1"/>
      <w:tblCellMar>
        <w:left w:w="115" w:type="dxa"/>
        <w:right w:w="115" w:type="dxa"/>
      </w:tblCellMar>
    </w:tblPr>
  </w:style>
  <w:style w:type="table" w:customStyle="1" w:styleId="aff6">
    <w:basedOn w:val="TableNormal3"/>
    <w:tblPr>
      <w:tblStyleRowBandSize w:val="1"/>
      <w:tblStyleColBandSize w:val="1"/>
      <w:tblCellMar>
        <w:left w:w="115" w:type="dxa"/>
        <w:right w:w="115" w:type="dxa"/>
      </w:tblCellMar>
    </w:tblPr>
  </w:style>
  <w:style w:type="table" w:customStyle="1" w:styleId="aff7">
    <w:basedOn w:val="TableNormal3"/>
    <w:tblPr>
      <w:tblStyleRowBandSize w:val="1"/>
      <w:tblStyleColBandSize w:val="1"/>
      <w:tblCellMar>
        <w:left w:w="115" w:type="dxa"/>
        <w:right w:w="115" w:type="dxa"/>
      </w:tblCellMar>
    </w:tblPr>
  </w:style>
  <w:style w:type="table" w:customStyle="1" w:styleId="aff8">
    <w:basedOn w:val="TableNormal2"/>
    <w:tblPr>
      <w:tblStyleRowBandSize w:val="1"/>
      <w:tblStyleColBandSize w:val="1"/>
      <w:tblCellMar>
        <w:left w:w="115" w:type="dxa"/>
        <w:right w:w="115" w:type="dxa"/>
      </w:tblCellMar>
    </w:tblPr>
  </w:style>
  <w:style w:type="table" w:customStyle="1" w:styleId="aff9">
    <w:basedOn w:val="TableNormal2"/>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7rN3o9Lv9F57lGM1PXXB0uTxLQ==">CgMxLjAyCWguM3JkY3JqbjIOaC5kYWozajJ4bzZxNjYyCGguZ2pkZ3hzMgloLjNkeTZ2a20yCWguMzBqMHpsbDIJaC4yczhleW8xMghoLnR5amN3dDIJaC4yZXQ5MnAwMgloLjI2aW4xcmcyCGgubG54Yno5OAByITE4bnJZRUcyRzZoZ19VcEdKWXotN1YzRmNWUWxFQ2hrdQ==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6768</Words>
  <Characters>37230</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2025-11-24T16:49:00Z</cp:lastPrinted>
  <dcterms:created xsi:type="dcterms:W3CDTF">2025-12-15T02:27:00Z</dcterms:created>
  <dcterms:modified xsi:type="dcterms:W3CDTF">2025-12-15T02:27:00Z</dcterms:modified>
</cp:coreProperties>
</file>