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9E" w:rsidRPr="0024200F" w:rsidRDefault="00C01A9E" w:rsidP="00C01A9E">
      <w:pPr>
        <w:spacing w:line="360" w:lineRule="auto"/>
        <w:jc w:val="both"/>
        <w:rPr>
          <w:rFonts w:ascii="Palatino Linotype" w:hAnsi="Palatino Linotype"/>
        </w:rPr>
      </w:pPr>
      <w:r w:rsidRPr="0024200F">
        <w:rPr>
          <w:rFonts w:ascii="Palatino Linotype" w:hAnsi="Palatino Linotype"/>
        </w:rPr>
        <w:t>Resolución del Pleno del Instituto de Transparencia, Acceso a la Información Públ</w:t>
      </w:r>
      <w:bookmarkStart w:id="0" w:name="_GoBack"/>
      <w:bookmarkEnd w:id="0"/>
      <w:r w:rsidRPr="0024200F">
        <w:rPr>
          <w:rFonts w:ascii="Palatino Linotype" w:hAnsi="Palatino Linotype"/>
        </w:rPr>
        <w:t xml:space="preserve">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A77230">
        <w:rPr>
          <w:rFonts w:ascii="Palatino Linotype" w:hAnsi="Palatino Linotype"/>
        </w:rPr>
        <w:t>nueve</w:t>
      </w:r>
      <w:r>
        <w:rPr>
          <w:rFonts w:ascii="Palatino Linotype" w:hAnsi="Palatino Linotype"/>
        </w:rPr>
        <w:t xml:space="preserve"> de abril de dos mil veinticinco.</w:t>
      </w:r>
    </w:p>
    <w:p w:rsidR="00C01A9E" w:rsidRPr="0024200F" w:rsidRDefault="00C01A9E" w:rsidP="00C01A9E">
      <w:pPr>
        <w:spacing w:line="360" w:lineRule="auto"/>
        <w:jc w:val="both"/>
        <w:rPr>
          <w:rFonts w:ascii="Palatino Linotype" w:hAnsi="Palatino Linotype"/>
        </w:rPr>
      </w:pPr>
    </w:p>
    <w:p w:rsidR="00C01A9E" w:rsidRPr="002C3EC8" w:rsidRDefault="00C01A9E" w:rsidP="00C01A9E">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02010/INFOEM/IP/RR/2025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C01A9E">
        <w:rPr>
          <w:rFonts w:ascii="Palatino Linotype" w:hAnsi="Palatino Linotype"/>
          <w:b/>
        </w:rPr>
        <w:t>Ayuntamiento de Tlalnepantla de Baz</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C01A9E" w:rsidRDefault="00C01A9E" w:rsidP="00C01A9E">
      <w:pPr>
        <w:pStyle w:val="infoemcitas"/>
        <w:jc w:val="center"/>
        <w:rPr>
          <w:b/>
          <w:bCs/>
          <w:i w:val="0"/>
          <w:iCs/>
          <w:sz w:val="28"/>
          <w:szCs w:val="28"/>
        </w:rPr>
      </w:pPr>
    </w:p>
    <w:p w:rsidR="00C01A9E" w:rsidRDefault="00C01A9E" w:rsidP="00C01A9E">
      <w:pPr>
        <w:pStyle w:val="infoemcitas"/>
        <w:jc w:val="center"/>
        <w:rPr>
          <w:b/>
          <w:bCs/>
          <w:i w:val="0"/>
          <w:iCs/>
          <w:sz w:val="28"/>
          <w:szCs w:val="28"/>
        </w:rPr>
      </w:pPr>
      <w:r w:rsidRPr="002C3EC8">
        <w:rPr>
          <w:b/>
          <w:bCs/>
          <w:i w:val="0"/>
          <w:iCs/>
          <w:sz w:val="28"/>
          <w:szCs w:val="28"/>
        </w:rPr>
        <w:t>A N T E C E D E N T E S   D E L   A S U N T O</w:t>
      </w:r>
    </w:p>
    <w:p w:rsidR="00C01A9E" w:rsidRPr="002C3EC8" w:rsidRDefault="00C01A9E" w:rsidP="00C01A9E">
      <w:pPr>
        <w:pStyle w:val="infoemcitas"/>
        <w:jc w:val="center"/>
        <w:rPr>
          <w:b/>
          <w:bCs/>
          <w:i w:val="0"/>
          <w:iCs/>
          <w:sz w:val="28"/>
          <w:szCs w:val="28"/>
        </w:rPr>
      </w:pPr>
    </w:p>
    <w:p w:rsidR="00C01A9E" w:rsidRPr="002C3EC8" w:rsidRDefault="00C01A9E" w:rsidP="00C01A9E">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C01A9E" w:rsidRPr="00D705FF" w:rsidRDefault="00C01A9E" w:rsidP="00C01A9E">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D54B11">
        <w:rPr>
          <w:rFonts w:ascii="Palatino Linotype" w:hAnsi="Palatino Linotype" w:cs="Arial"/>
          <w:b/>
        </w:rPr>
        <w:t>veintitrés</w:t>
      </w:r>
      <w:r>
        <w:rPr>
          <w:rFonts w:ascii="Palatino Linotype" w:hAnsi="Palatino Linotype" w:cs="Arial"/>
          <w:b/>
        </w:rPr>
        <w:t xml:space="preserv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D54B11">
        <w:rPr>
          <w:rFonts w:ascii="Palatino Linotype" w:hAnsi="Palatino Linotype" w:cs="Arial"/>
          <w:b/>
        </w:rPr>
        <w:t>00092/TLALNEPA/IP/2025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C01A9E" w:rsidRPr="001C7F6F" w:rsidRDefault="00C01A9E" w:rsidP="00D54B11">
      <w:pPr>
        <w:pStyle w:val="INFOEM"/>
        <w:rPr>
          <w:lang w:val="es-ES_tradnl" w:eastAsia="es-ES"/>
        </w:rPr>
      </w:pPr>
      <w:r w:rsidRPr="00D705FF">
        <w:rPr>
          <w:lang w:val="es-ES_tradnl" w:eastAsia="es-ES"/>
        </w:rPr>
        <w:t>“</w:t>
      </w:r>
      <w:r w:rsidR="00D54B11" w:rsidRPr="00D54B11">
        <w:rPr>
          <w:lang w:val="es-ES" w:eastAsia="es-ES"/>
        </w:rPr>
        <w:t>Las renuncias de todo el personal del. 1 de enero 2025 a la fecha</w:t>
      </w:r>
      <w:r w:rsidRPr="00D705FF">
        <w:rPr>
          <w:lang w:val="es-ES_tradnl" w:eastAsia="es-ES"/>
        </w:rPr>
        <w:t>” (Sic)</w:t>
      </w:r>
    </w:p>
    <w:p w:rsidR="00C01A9E" w:rsidRPr="002C3EC8" w:rsidRDefault="00C01A9E" w:rsidP="00C01A9E">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C01A9E" w:rsidRDefault="00C01A9E" w:rsidP="00C01A9E">
      <w:pPr>
        <w:spacing w:before="240" w:line="360" w:lineRule="auto"/>
        <w:jc w:val="both"/>
        <w:rPr>
          <w:rFonts w:ascii="Palatino Linotype" w:hAnsi="Palatino Linotype" w:cs="Arial"/>
          <w:b/>
          <w:sz w:val="28"/>
        </w:rPr>
      </w:pPr>
    </w:p>
    <w:p w:rsidR="00C01A9E" w:rsidRDefault="00C01A9E" w:rsidP="00C01A9E">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C01A9E" w:rsidRPr="00C0731C" w:rsidRDefault="00C01A9E" w:rsidP="00C01A9E">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D54B11">
        <w:rPr>
          <w:rFonts w:ascii="Palatino Linotype" w:hAnsi="Palatino Linotype" w:cs="Arial"/>
          <w:b/>
          <w:sz w:val="24"/>
        </w:rPr>
        <w:t>catorce de febrero</w:t>
      </w:r>
      <w:r>
        <w:rPr>
          <w:rFonts w:ascii="Palatino Linotype" w:hAnsi="Palatino Linotype" w:cs="Arial"/>
          <w:b/>
          <w:sz w:val="24"/>
        </w:rPr>
        <w:t xml:space="preserve">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C01A9E" w:rsidRPr="00E818A5" w:rsidRDefault="00C01A9E" w:rsidP="00C01A9E">
      <w:pPr>
        <w:spacing w:line="360" w:lineRule="auto"/>
        <w:jc w:val="both"/>
        <w:rPr>
          <w:rFonts w:ascii="Palatino Linotype" w:hAnsi="Palatino Linotype" w:cs="Arial"/>
        </w:rPr>
      </w:pPr>
    </w:p>
    <w:p w:rsidR="00C01A9E" w:rsidRDefault="00C01A9E" w:rsidP="00D54B11">
      <w:pPr>
        <w:ind w:left="567" w:right="567"/>
        <w:jc w:val="both"/>
        <w:rPr>
          <w:rFonts w:ascii="Palatino Linotype" w:hAnsi="Palatino Linotype" w:cs="Arial"/>
          <w:i/>
        </w:rPr>
      </w:pPr>
      <w:r>
        <w:rPr>
          <w:rFonts w:ascii="Palatino Linotype" w:hAnsi="Palatino Linotype" w:cs="Arial"/>
          <w:i/>
        </w:rPr>
        <w:t>“</w:t>
      </w:r>
      <w:r w:rsidR="00D54B11" w:rsidRPr="00D54B11">
        <w:rPr>
          <w:rFonts w:ascii="Palatino Linotype" w:hAnsi="Palatino Linotype" w:cs="Arial"/>
          <w:i/>
        </w:rPr>
        <w:t xml:space="preserve">AQUIEN </w:t>
      </w:r>
      <w:proofErr w:type="gramStart"/>
      <w:r w:rsidR="00D54B11" w:rsidRPr="00D54B11">
        <w:rPr>
          <w:rFonts w:ascii="Palatino Linotype" w:hAnsi="Palatino Linotype" w:cs="Arial"/>
          <w:i/>
        </w:rPr>
        <w:t>CORRESPONDA .</w:t>
      </w:r>
      <w:proofErr w:type="gramEnd"/>
      <w:r w:rsidR="00D54B11" w:rsidRPr="00D54B11">
        <w:rPr>
          <w:rFonts w:ascii="Palatino Linotype" w:hAnsi="Palatino Linotype" w:cs="Arial"/>
          <w:i/>
        </w:rPr>
        <w:t xml:space="preserve"> P R E S E N T E. 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 </w:t>
      </w:r>
      <w:r w:rsidRPr="00667998">
        <w:rPr>
          <w:rFonts w:ascii="Palatino Linotype" w:hAnsi="Palatino Linotype" w:cs="Arial"/>
          <w:i/>
        </w:rPr>
        <w:t>“(Sic).</w:t>
      </w:r>
    </w:p>
    <w:p w:rsidR="00C01A9E" w:rsidRDefault="00C01A9E" w:rsidP="00C01A9E">
      <w:pPr>
        <w:spacing w:line="360" w:lineRule="auto"/>
        <w:ind w:right="567"/>
        <w:jc w:val="both"/>
        <w:rPr>
          <w:rFonts w:ascii="Palatino Linotype" w:hAnsi="Palatino Linotype" w:cs="Arial"/>
        </w:rPr>
      </w:pPr>
    </w:p>
    <w:p w:rsidR="00C01A9E" w:rsidRDefault="00C01A9E" w:rsidP="00C01A9E">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w:t>
      </w:r>
      <w:r w:rsidR="00D54B11">
        <w:rPr>
          <w:rFonts w:ascii="Palatino Linotype" w:hAnsi="Palatino Linotype" w:cs="Arial"/>
        </w:rPr>
        <w:t>el archivo</w:t>
      </w:r>
      <w:r>
        <w:rPr>
          <w:rFonts w:ascii="Palatino Linotype" w:hAnsi="Palatino Linotype" w:cs="Arial"/>
        </w:rPr>
        <w:t xml:space="preserve"> electrónico denominado “</w:t>
      </w:r>
      <w:r w:rsidR="00D54B11" w:rsidRPr="00D54B11">
        <w:rPr>
          <w:rFonts w:ascii="Palatino Linotype" w:hAnsi="Palatino Linotype" w:cs="Arial"/>
          <w:b/>
          <w:i/>
        </w:rPr>
        <w:t>RESPUESTA SAIMEX 92.zip</w:t>
      </w:r>
      <w:r>
        <w:rPr>
          <w:rFonts w:ascii="Palatino Linotype" w:hAnsi="Palatino Linotype" w:cs="Arial"/>
          <w:b/>
          <w:i/>
        </w:rPr>
        <w:t xml:space="preserve">”, </w:t>
      </w:r>
      <w:r>
        <w:rPr>
          <w:rFonts w:ascii="Palatino Linotype" w:hAnsi="Palatino Linotype" w:cs="Arial"/>
        </w:rPr>
        <w:t xml:space="preserve">mismos que no se reproduce por ser del conocimiento de las partes, sin embargo, será materia de estudio en el considerando respectivo. </w:t>
      </w:r>
    </w:p>
    <w:p w:rsidR="00C01A9E" w:rsidRDefault="00C01A9E" w:rsidP="00C01A9E">
      <w:pPr>
        <w:spacing w:line="360" w:lineRule="auto"/>
        <w:jc w:val="both"/>
        <w:rPr>
          <w:rFonts w:ascii="Palatino Linotype" w:hAnsi="Palatino Linotype" w:cs="Arial"/>
        </w:rPr>
      </w:pPr>
    </w:p>
    <w:p w:rsidR="00C01A9E" w:rsidRPr="002C3EC8" w:rsidRDefault="00C01A9E" w:rsidP="00C01A9E">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C01A9E" w:rsidRDefault="00C01A9E" w:rsidP="00C01A9E">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D54B11">
        <w:rPr>
          <w:rFonts w:ascii="Palatino Linotype" w:hAnsi="Palatino Linotype" w:cs="Arial"/>
          <w:b/>
        </w:rPr>
        <w:t>veinticinco</w:t>
      </w:r>
      <w:r>
        <w:rPr>
          <w:rFonts w:ascii="Palatino Linotype" w:hAnsi="Palatino Linotype" w:cs="Arial"/>
          <w:b/>
        </w:rPr>
        <w:t xml:space="preserve">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02010/INFOEM/IP/RR/2025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C01A9E" w:rsidRDefault="00C01A9E" w:rsidP="00C01A9E">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C01A9E" w:rsidRPr="007E4713" w:rsidRDefault="00C01A9E" w:rsidP="00C01A9E">
      <w:pPr>
        <w:pStyle w:val="INFOEM"/>
        <w:ind w:left="720"/>
      </w:pPr>
      <w:r w:rsidRPr="007E4713">
        <w:lastRenderedPageBreak/>
        <w:t>“</w:t>
      </w:r>
      <w:r w:rsidR="00D54B11" w:rsidRPr="00D54B11">
        <w:t>La negativa de la información</w:t>
      </w:r>
      <w:r>
        <w:t>” (sic)</w:t>
      </w:r>
    </w:p>
    <w:p w:rsidR="00C01A9E" w:rsidRPr="0033050B" w:rsidRDefault="00C01A9E" w:rsidP="00C01A9E">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C01A9E" w:rsidRPr="007E4713" w:rsidRDefault="00C01A9E" w:rsidP="00C01A9E">
      <w:pPr>
        <w:pStyle w:val="INFOEM"/>
        <w:ind w:left="709"/>
      </w:pPr>
      <w:r w:rsidRPr="007E4713">
        <w:t>“</w:t>
      </w:r>
      <w:r w:rsidR="00D54B11" w:rsidRPr="00D54B11">
        <w:t>La negativa de la información</w:t>
      </w:r>
      <w:r w:rsidRPr="00DD2EDF">
        <w:t>”</w:t>
      </w:r>
      <w:r>
        <w:t xml:space="preserve"> (sic)</w:t>
      </w:r>
    </w:p>
    <w:p w:rsidR="00C01A9E" w:rsidRDefault="00C01A9E" w:rsidP="00C01A9E">
      <w:pPr>
        <w:spacing w:line="360" w:lineRule="auto"/>
        <w:jc w:val="both"/>
        <w:rPr>
          <w:rFonts w:ascii="Palatino Linotype" w:hAnsi="Palatino Linotype" w:cs="Arial"/>
        </w:rPr>
      </w:pPr>
      <w:r>
        <w:rPr>
          <w:rFonts w:ascii="Palatino Linotype" w:hAnsi="Palatino Linotype" w:cs="Arial"/>
        </w:rPr>
        <w:t xml:space="preserve"> </w:t>
      </w:r>
    </w:p>
    <w:p w:rsidR="00C01A9E" w:rsidRPr="002C3EC8" w:rsidRDefault="00C01A9E" w:rsidP="00C01A9E">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C01A9E" w:rsidRDefault="00C01A9E" w:rsidP="00C01A9E">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D54B11">
        <w:rPr>
          <w:rFonts w:ascii="Palatino Linotype" w:hAnsi="Palatino Linotype"/>
          <w:b/>
        </w:rPr>
        <w:t>veintisiete</w:t>
      </w:r>
      <w:r>
        <w:rPr>
          <w:rFonts w:ascii="Palatino Linotype" w:hAnsi="Palatino Linotype"/>
          <w:b/>
        </w:rPr>
        <w:t xml:space="preserv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C01A9E" w:rsidRPr="004C20B7" w:rsidRDefault="00C01A9E" w:rsidP="00C01A9E">
      <w:pPr>
        <w:spacing w:before="240" w:line="360" w:lineRule="auto"/>
        <w:jc w:val="both"/>
        <w:rPr>
          <w:rFonts w:ascii="Palatino Linotype" w:hAnsi="Palatino Linotype" w:cs="Arial"/>
          <w:sz w:val="28"/>
        </w:rPr>
      </w:pPr>
    </w:p>
    <w:p w:rsidR="00C01A9E" w:rsidRPr="00E52C83" w:rsidRDefault="00C01A9E" w:rsidP="00C01A9E">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C01A9E" w:rsidRPr="00590166" w:rsidRDefault="00C01A9E" w:rsidP="00C01A9E">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D54B11">
        <w:rPr>
          <w:rFonts w:ascii="Palatino Linotype" w:hAnsi="Palatino Linotype" w:cs="Arial"/>
        </w:rPr>
        <w:t>siete de marzo</w:t>
      </w:r>
      <w:r>
        <w:rPr>
          <w:rFonts w:ascii="Palatino Linotype" w:hAnsi="Palatino Linotype" w:cs="Arial"/>
        </w:rPr>
        <w:t xml:space="preserve"> de dos mil veinticinco</w:t>
      </w:r>
      <w:r w:rsidRPr="00D32665">
        <w:rPr>
          <w:rFonts w:ascii="Palatino Linotype" w:hAnsi="Palatino Linotype" w:cs="Arial"/>
        </w:rPr>
        <w:t>, por medio del archivo electrónico</w:t>
      </w:r>
      <w:r>
        <w:rPr>
          <w:rFonts w:ascii="Palatino Linotype" w:hAnsi="Palatino Linotype" w:cs="Arial"/>
        </w:rPr>
        <w:t xml:space="preserve"> </w:t>
      </w:r>
      <w:r w:rsidR="00D54B11">
        <w:rPr>
          <w:rFonts w:ascii="Palatino Linotype" w:hAnsi="Palatino Linotype" w:cs="Arial"/>
        </w:rPr>
        <w:t>“</w:t>
      </w:r>
      <w:r w:rsidR="00D54B11" w:rsidRPr="00D54B11">
        <w:rPr>
          <w:rFonts w:ascii="Palatino Linotype" w:hAnsi="Palatino Linotype" w:cs="Arial"/>
          <w:b/>
          <w:i/>
        </w:rPr>
        <w:t>MANIFESTACIONES RR 2010-25.zip</w:t>
      </w:r>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mismos que fueron</w:t>
      </w:r>
      <w:r w:rsidRPr="00D32665">
        <w:rPr>
          <w:rFonts w:ascii="Palatino Linotype" w:hAnsi="Palatino Linotype" w:cs="Arial"/>
        </w:rPr>
        <w:t xml:space="preserve"> puesto</w:t>
      </w:r>
      <w:r>
        <w:rPr>
          <w:rFonts w:ascii="Palatino Linotype" w:hAnsi="Palatino Linotype" w:cs="Arial"/>
        </w:rPr>
        <w:t>s</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sidR="00D54B11">
        <w:rPr>
          <w:rFonts w:ascii="Palatino Linotype" w:hAnsi="Palatino Linotype" w:cs="Arial"/>
        </w:rPr>
        <w:t>veinte</w:t>
      </w:r>
      <w:r>
        <w:rPr>
          <w:rFonts w:ascii="Palatino Linotype" w:hAnsi="Palatino Linotype" w:cs="Arial"/>
        </w:rPr>
        <w:t xml:space="preserve"> de marzo de dos mil veinticinco</w:t>
      </w:r>
      <w:r w:rsidRPr="00D32665">
        <w:rPr>
          <w:rFonts w:ascii="Palatino Linotype" w:hAnsi="Palatino Linotype" w:cs="Arial"/>
          <w:b/>
          <w:i/>
        </w:rPr>
        <w:t>.</w:t>
      </w:r>
    </w:p>
    <w:p w:rsidR="00C01A9E" w:rsidRPr="00D32665" w:rsidRDefault="00C01A9E" w:rsidP="00C01A9E">
      <w:pPr>
        <w:spacing w:line="360" w:lineRule="auto"/>
        <w:jc w:val="both"/>
        <w:rPr>
          <w:rFonts w:ascii="Palatino Linotype" w:hAnsi="Palatino Linotype"/>
        </w:rPr>
      </w:pPr>
    </w:p>
    <w:p w:rsidR="00C01A9E" w:rsidRPr="00D32665" w:rsidRDefault="00C01A9E" w:rsidP="00C01A9E">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xml:space="preserve">; todo lo </w:t>
      </w:r>
      <w:r w:rsidRPr="00D32665">
        <w:rPr>
          <w:rFonts w:ascii="Palatino Linotype" w:hAnsi="Palatino Linotype" w:cs="Arial"/>
        </w:rPr>
        <w:lastRenderedPageBreak/>
        <w:t>anterior en términos de los artículos 185 fracciones II y IV, y 195 de la Ley de Transparencia y Acceso a la Información Pública del Estado de México y Municipios.</w:t>
      </w:r>
    </w:p>
    <w:p w:rsidR="00C01A9E" w:rsidRDefault="00C01A9E" w:rsidP="00C01A9E">
      <w:pPr>
        <w:spacing w:line="360" w:lineRule="auto"/>
        <w:jc w:val="both"/>
        <w:rPr>
          <w:rFonts w:ascii="Palatino Linotype" w:hAnsi="Palatino Linotype" w:cs="Arial"/>
          <w:b/>
          <w:sz w:val="28"/>
          <w:szCs w:val="28"/>
        </w:rPr>
      </w:pPr>
    </w:p>
    <w:p w:rsidR="00C01A9E" w:rsidRPr="002C3EC8" w:rsidRDefault="00C01A9E" w:rsidP="00C01A9E">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C01A9E" w:rsidRDefault="00C01A9E" w:rsidP="00C01A9E">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D54B11">
        <w:rPr>
          <w:rFonts w:ascii="Palatino Linotype" w:hAnsi="Palatino Linotype" w:cs="Arial"/>
          <w:b/>
        </w:rPr>
        <w:t>veintiséis</w:t>
      </w:r>
      <w:r>
        <w:rPr>
          <w:rFonts w:ascii="Palatino Linotype" w:hAnsi="Palatino Linotype" w:cs="Arial"/>
          <w:b/>
        </w:rPr>
        <w:t xml:space="preserve"> de marzo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C01A9E" w:rsidRDefault="00C01A9E" w:rsidP="00C01A9E">
      <w:pPr>
        <w:spacing w:line="360" w:lineRule="auto"/>
        <w:jc w:val="both"/>
        <w:rPr>
          <w:rFonts w:ascii="Palatino Linotype" w:hAnsi="Palatino Linotype" w:cs="Arial"/>
          <w:b/>
          <w:sz w:val="28"/>
          <w:szCs w:val="28"/>
        </w:rPr>
      </w:pPr>
    </w:p>
    <w:p w:rsidR="00C01A9E" w:rsidRPr="0024200F" w:rsidRDefault="00C01A9E" w:rsidP="00C01A9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C01A9E" w:rsidRPr="00825F67" w:rsidRDefault="00C01A9E" w:rsidP="00C01A9E">
      <w:pPr>
        <w:spacing w:line="360" w:lineRule="auto"/>
        <w:ind w:right="49"/>
        <w:jc w:val="both"/>
        <w:rPr>
          <w:rFonts w:ascii="Palatino Linotype" w:hAnsi="Palatino Linotype"/>
          <w:szCs w:val="28"/>
        </w:rPr>
      </w:pPr>
    </w:p>
    <w:p w:rsidR="00C01A9E" w:rsidRPr="002C3EC8" w:rsidRDefault="00C01A9E" w:rsidP="00C01A9E">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C01A9E" w:rsidRPr="007C6AB6" w:rsidRDefault="006D4FA5" w:rsidP="00C01A9E">
      <w:pPr>
        <w:tabs>
          <w:tab w:val="left" w:pos="3402"/>
        </w:tabs>
        <w:spacing w:line="360" w:lineRule="auto"/>
        <w:jc w:val="both"/>
        <w:rPr>
          <w:rFonts w:ascii="Palatino Linotype" w:hAnsi="Palatino Linotype"/>
        </w:rPr>
      </w:pPr>
      <w:r w:rsidRPr="006D4FA5">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6D4FA5">
        <w:rPr>
          <w:rFonts w:ascii="Palatino Linotype" w:hAnsi="Palatino Linotype"/>
        </w:rPr>
        <w:lastRenderedPageBreak/>
        <w:t>Acceso a la Información Pública y Protección de Datos Personales del Estado de México y Municipios</w:t>
      </w:r>
      <w:r w:rsidR="00C01A9E" w:rsidRPr="007C6AB6">
        <w:rPr>
          <w:rFonts w:ascii="Palatino Linotype" w:hAnsi="Palatino Linotype"/>
        </w:rPr>
        <w:t>.</w:t>
      </w:r>
    </w:p>
    <w:p w:rsidR="00C01A9E" w:rsidRPr="002C3EC8" w:rsidRDefault="00C01A9E" w:rsidP="00C01A9E">
      <w:pPr>
        <w:spacing w:before="240" w:line="360" w:lineRule="auto"/>
        <w:jc w:val="both"/>
        <w:rPr>
          <w:rFonts w:ascii="Palatino Linotype" w:eastAsia="Calibri" w:hAnsi="Palatino Linotype"/>
          <w:b/>
          <w:color w:val="000000" w:themeColor="text1"/>
        </w:rPr>
      </w:pPr>
    </w:p>
    <w:p w:rsidR="00C01A9E" w:rsidRPr="002C3EC8" w:rsidRDefault="00C01A9E" w:rsidP="00C01A9E">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C01A9E" w:rsidRDefault="00C01A9E" w:rsidP="00C01A9E">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C01A9E" w:rsidRPr="00821CCD" w:rsidRDefault="00C01A9E" w:rsidP="00C01A9E">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C01A9E" w:rsidRPr="00821CCD" w:rsidRDefault="00C01A9E" w:rsidP="00C01A9E">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C01A9E" w:rsidRPr="00821CCD" w:rsidRDefault="00C01A9E" w:rsidP="00C01A9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C01A9E" w:rsidRPr="00821CCD" w:rsidRDefault="00C01A9E" w:rsidP="00C01A9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C01A9E" w:rsidRPr="00821CCD" w:rsidRDefault="00C01A9E" w:rsidP="00C01A9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C01A9E" w:rsidRPr="00821CCD" w:rsidRDefault="00C01A9E" w:rsidP="00C01A9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C01A9E" w:rsidRPr="00821CCD" w:rsidRDefault="00C01A9E" w:rsidP="00C01A9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C01A9E" w:rsidRPr="00821CCD" w:rsidRDefault="00C01A9E" w:rsidP="00C01A9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lastRenderedPageBreak/>
        <w:t>VI. Las razones o motivos de inconformidad;</w:t>
      </w:r>
    </w:p>
    <w:p w:rsidR="00C01A9E" w:rsidRPr="00821CCD" w:rsidRDefault="00C01A9E" w:rsidP="00C01A9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C01A9E" w:rsidRPr="00821CCD" w:rsidRDefault="00C01A9E" w:rsidP="00C01A9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C01A9E" w:rsidRPr="00821CCD" w:rsidRDefault="00C01A9E" w:rsidP="00C01A9E">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C01A9E" w:rsidRPr="00821CCD" w:rsidRDefault="00C01A9E" w:rsidP="00C01A9E">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C01A9E" w:rsidRPr="00821CCD" w:rsidRDefault="00C01A9E" w:rsidP="00C01A9E">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C01A9E" w:rsidRPr="00821CCD" w:rsidRDefault="00C01A9E" w:rsidP="00C01A9E">
      <w:pPr>
        <w:autoSpaceDE w:val="0"/>
        <w:autoSpaceDN w:val="0"/>
        <w:adjustRightInd w:val="0"/>
        <w:spacing w:before="240" w:line="360" w:lineRule="auto"/>
        <w:jc w:val="both"/>
        <w:rPr>
          <w:rFonts w:ascii="Palatino Linotype" w:hAnsi="Palatino Linotype"/>
        </w:rPr>
      </w:pPr>
    </w:p>
    <w:p w:rsidR="00C01A9E" w:rsidRPr="00821CCD" w:rsidRDefault="00C01A9E" w:rsidP="00C01A9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01A9E" w:rsidRPr="00821CCD" w:rsidTr="00CA694C">
        <w:trPr>
          <w:trHeight w:val="1360"/>
        </w:trPr>
        <w:tc>
          <w:tcPr>
            <w:tcW w:w="7982" w:type="dxa"/>
          </w:tcPr>
          <w:p w:rsidR="00C01A9E" w:rsidRPr="00821CCD" w:rsidRDefault="00C01A9E" w:rsidP="00CA694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C01A9E" w:rsidRPr="00821CCD" w:rsidRDefault="00C01A9E" w:rsidP="00C01A9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Robusteciendo lo anterior se encuentra lo dispuesto en los artículos 6, Apartado A, fracciones III y IV, de la Constitución Política de los Estados Unidos Mexicanos y 5 </w:t>
      </w:r>
      <w:r w:rsidRPr="00821CCD">
        <w:rPr>
          <w:rFonts w:ascii="Palatino Linotype" w:hAnsi="Palatino Linotype"/>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01A9E" w:rsidRPr="00821CCD" w:rsidTr="00CA694C">
        <w:trPr>
          <w:jc w:val="center"/>
        </w:trPr>
        <w:tc>
          <w:tcPr>
            <w:tcW w:w="8075" w:type="dxa"/>
          </w:tcPr>
          <w:p w:rsidR="00C01A9E" w:rsidRPr="00821CCD" w:rsidRDefault="00C01A9E" w:rsidP="00CA694C">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C01A9E" w:rsidRPr="00821CCD" w:rsidRDefault="00C01A9E" w:rsidP="00CA694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01A9E" w:rsidRPr="00821CCD" w:rsidRDefault="00C01A9E" w:rsidP="00CA694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C01A9E" w:rsidRPr="00821CCD" w:rsidRDefault="00C01A9E" w:rsidP="00CA694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C01A9E" w:rsidRPr="00821CCD" w:rsidRDefault="00C01A9E" w:rsidP="00CA694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C01A9E" w:rsidRPr="00821CCD" w:rsidRDefault="00C01A9E" w:rsidP="00CA694C">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C01A9E" w:rsidRPr="00821CCD" w:rsidRDefault="00C01A9E" w:rsidP="00CA694C">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C01A9E" w:rsidRPr="00821CCD" w:rsidRDefault="00C01A9E" w:rsidP="00CA694C">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III. Toda persona, sin necesidad de acreditar interés alguno o justificar su utilización, tendrá acceso gratuito a la información pública, a sus datos personales o a la rectificación de éstos;</w:t>
            </w:r>
          </w:p>
          <w:p w:rsidR="00C01A9E" w:rsidRPr="00821CCD" w:rsidRDefault="00C01A9E" w:rsidP="00CA694C">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C01A9E" w:rsidRPr="00821CCD" w:rsidRDefault="00C01A9E" w:rsidP="00CA694C">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C01A9E" w:rsidRPr="00821CCD" w:rsidRDefault="00C01A9E" w:rsidP="00CA694C">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C01A9E" w:rsidRPr="00821CCD" w:rsidRDefault="00C01A9E" w:rsidP="00C01A9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C01A9E" w:rsidRPr="00821CCD" w:rsidRDefault="00C01A9E" w:rsidP="00C01A9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C01A9E" w:rsidRPr="00FF46DA" w:rsidRDefault="00C01A9E" w:rsidP="00C01A9E">
      <w:pPr>
        <w:pStyle w:val="Prrafodelista"/>
        <w:autoSpaceDE w:val="0"/>
        <w:autoSpaceDN w:val="0"/>
        <w:adjustRightInd w:val="0"/>
        <w:spacing w:before="240" w:after="160" w:line="360" w:lineRule="auto"/>
        <w:ind w:left="0"/>
        <w:jc w:val="both"/>
        <w:rPr>
          <w:rFonts w:ascii="Palatino Linotype" w:hAnsi="Palatino Linotype" w:cs="Arial"/>
        </w:rPr>
      </w:pPr>
    </w:p>
    <w:p w:rsidR="00C01A9E" w:rsidRPr="002C3EC8" w:rsidRDefault="00C01A9E" w:rsidP="00C01A9E">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C01A9E" w:rsidRPr="002C3EC8" w:rsidRDefault="00C01A9E" w:rsidP="00C01A9E">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01A9E" w:rsidRPr="002C3EC8" w:rsidRDefault="00C01A9E" w:rsidP="00C01A9E">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C01A9E" w:rsidRDefault="00C01A9E" w:rsidP="00C01A9E">
      <w:pPr>
        <w:tabs>
          <w:tab w:val="left" w:pos="709"/>
        </w:tabs>
        <w:spacing w:before="240" w:line="360" w:lineRule="auto"/>
        <w:ind w:right="51"/>
        <w:jc w:val="both"/>
        <w:rPr>
          <w:rFonts w:ascii="Palatino Linotype" w:hAnsi="Palatino Linotype"/>
          <w:b/>
          <w:sz w:val="28"/>
          <w:szCs w:val="28"/>
        </w:rPr>
      </w:pPr>
    </w:p>
    <w:p w:rsidR="00C01A9E" w:rsidRPr="002C3EC8" w:rsidRDefault="00C01A9E" w:rsidP="00C01A9E">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C01A9E" w:rsidRPr="007379EE" w:rsidRDefault="00C01A9E" w:rsidP="00C01A9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C01A9E" w:rsidRDefault="00C01A9E" w:rsidP="00C01A9E">
      <w:pPr>
        <w:autoSpaceDE w:val="0"/>
        <w:autoSpaceDN w:val="0"/>
        <w:adjustRightInd w:val="0"/>
        <w:ind w:right="567"/>
        <w:rPr>
          <w:rFonts w:ascii="Palatino Linotype" w:eastAsia="Calibri" w:hAnsi="Palatino Linotype" w:cs="Arial"/>
        </w:rPr>
      </w:pPr>
    </w:p>
    <w:p w:rsidR="00C01A9E" w:rsidRDefault="00C01A9E" w:rsidP="00C01A9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C01A9E" w:rsidRDefault="00C01A9E" w:rsidP="00C01A9E">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C01A9E" w:rsidRPr="00E77CD6" w:rsidRDefault="00C01A9E" w:rsidP="00C01A9E">
      <w:pPr>
        <w:pStyle w:val="Citas"/>
        <w:numPr>
          <w:ilvl w:val="0"/>
          <w:numId w:val="3"/>
        </w:numPr>
        <w:spacing w:before="0" w:after="0" w:line="240" w:lineRule="auto"/>
        <w:rPr>
          <w:b/>
        </w:rPr>
      </w:pPr>
      <w:r w:rsidRPr="00E77CD6">
        <w:rPr>
          <w:b/>
        </w:rPr>
        <w:t xml:space="preserve">La negativa a la información solicitada; </w:t>
      </w:r>
    </w:p>
    <w:p w:rsidR="00C01A9E" w:rsidRDefault="00C01A9E" w:rsidP="00C01A9E">
      <w:pPr>
        <w:pStyle w:val="Citas"/>
        <w:numPr>
          <w:ilvl w:val="0"/>
          <w:numId w:val="3"/>
        </w:numPr>
        <w:spacing w:before="0" w:after="0" w:line="240" w:lineRule="auto"/>
      </w:pPr>
      <w:r w:rsidRPr="002E7A81">
        <w:t xml:space="preserve">La clasificación de la información; </w:t>
      </w:r>
    </w:p>
    <w:p w:rsidR="00C01A9E" w:rsidRDefault="00C01A9E" w:rsidP="00C01A9E">
      <w:pPr>
        <w:pStyle w:val="Citas"/>
        <w:numPr>
          <w:ilvl w:val="0"/>
          <w:numId w:val="3"/>
        </w:numPr>
        <w:spacing w:before="0" w:after="0" w:line="240" w:lineRule="auto"/>
      </w:pPr>
      <w:r w:rsidRPr="002E7A81">
        <w:lastRenderedPageBreak/>
        <w:t xml:space="preserve">La declaración de inexistencia de la información; </w:t>
      </w:r>
    </w:p>
    <w:p w:rsidR="00C01A9E" w:rsidRDefault="00C01A9E" w:rsidP="00C01A9E">
      <w:pPr>
        <w:pStyle w:val="Citas"/>
        <w:numPr>
          <w:ilvl w:val="0"/>
          <w:numId w:val="3"/>
        </w:numPr>
        <w:spacing w:before="0" w:after="0" w:line="240" w:lineRule="auto"/>
      </w:pPr>
      <w:r w:rsidRPr="002E7A81">
        <w:t xml:space="preserve">La declaración de incompetencia por el sujeto obligado; </w:t>
      </w:r>
    </w:p>
    <w:p w:rsidR="00C01A9E" w:rsidRPr="00E77CD6" w:rsidRDefault="00C01A9E" w:rsidP="00C01A9E">
      <w:pPr>
        <w:pStyle w:val="Citas"/>
        <w:numPr>
          <w:ilvl w:val="0"/>
          <w:numId w:val="3"/>
        </w:numPr>
        <w:spacing w:before="0" w:after="0" w:line="240" w:lineRule="auto"/>
      </w:pPr>
      <w:r w:rsidRPr="00E77CD6">
        <w:t xml:space="preserve">La entrega de información incompleta; </w:t>
      </w:r>
    </w:p>
    <w:p w:rsidR="00C01A9E" w:rsidRDefault="00C01A9E" w:rsidP="00C01A9E">
      <w:pPr>
        <w:pStyle w:val="Citas"/>
        <w:numPr>
          <w:ilvl w:val="0"/>
          <w:numId w:val="3"/>
        </w:numPr>
        <w:spacing w:before="0" w:after="0" w:line="240" w:lineRule="auto"/>
      </w:pPr>
      <w:r w:rsidRPr="002E7A81">
        <w:t xml:space="preserve">La entrega de información que no corresponda con lo solicitado; </w:t>
      </w:r>
    </w:p>
    <w:p w:rsidR="00C01A9E" w:rsidRDefault="00C01A9E" w:rsidP="00C01A9E">
      <w:pPr>
        <w:pStyle w:val="Citas"/>
        <w:numPr>
          <w:ilvl w:val="0"/>
          <w:numId w:val="3"/>
        </w:numPr>
        <w:spacing w:before="0" w:after="0" w:line="240" w:lineRule="auto"/>
      </w:pPr>
      <w:r w:rsidRPr="002E7A81">
        <w:t xml:space="preserve">La falta de respuesta a una solicitud de acceso a la información; </w:t>
      </w:r>
    </w:p>
    <w:p w:rsidR="00C01A9E" w:rsidRDefault="00C01A9E" w:rsidP="00C01A9E">
      <w:pPr>
        <w:pStyle w:val="Citas"/>
        <w:numPr>
          <w:ilvl w:val="0"/>
          <w:numId w:val="3"/>
        </w:numPr>
        <w:spacing w:before="0" w:after="0" w:line="240" w:lineRule="auto"/>
      </w:pPr>
      <w:r w:rsidRPr="002E7A81">
        <w:t xml:space="preserve">La notificación, entrega o puesta a disposición de información en una modalidad o formato distinto al solicitado; </w:t>
      </w:r>
    </w:p>
    <w:p w:rsidR="00C01A9E" w:rsidRDefault="00C01A9E" w:rsidP="00C01A9E">
      <w:pPr>
        <w:pStyle w:val="Citas"/>
        <w:numPr>
          <w:ilvl w:val="0"/>
          <w:numId w:val="3"/>
        </w:numPr>
        <w:spacing w:before="0" w:after="0" w:line="240" w:lineRule="auto"/>
      </w:pPr>
      <w:r w:rsidRPr="002E7A81">
        <w:t xml:space="preserve">La entrega o puesta a disposición de información en un formato incomprensible y/o no accesible para el solicitante; </w:t>
      </w:r>
    </w:p>
    <w:p w:rsidR="00C01A9E" w:rsidRDefault="00C01A9E" w:rsidP="00C01A9E">
      <w:pPr>
        <w:pStyle w:val="Citas"/>
        <w:numPr>
          <w:ilvl w:val="0"/>
          <w:numId w:val="3"/>
        </w:numPr>
        <w:spacing w:before="0" w:after="0" w:line="240" w:lineRule="auto"/>
      </w:pPr>
      <w:r w:rsidRPr="002E7A81">
        <w:t xml:space="preserve">Los costos o tiempos de entrega de la información; </w:t>
      </w:r>
    </w:p>
    <w:p w:rsidR="00C01A9E" w:rsidRDefault="00C01A9E" w:rsidP="00C01A9E">
      <w:pPr>
        <w:pStyle w:val="Citas"/>
        <w:numPr>
          <w:ilvl w:val="0"/>
          <w:numId w:val="3"/>
        </w:numPr>
        <w:spacing w:before="0" w:after="0" w:line="240" w:lineRule="auto"/>
      </w:pPr>
      <w:r w:rsidRPr="002E7A81">
        <w:t xml:space="preserve">La falta de trámite a una solicitud; </w:t>
      </w:r>
    </w:p>
    <w:p w:rsidR="00C01A9E" w:rsidRDefault="00C01A9E" w:rsidP="00C01A9E">
      <w:pPr>
        <w:pStyle w:val="Citas"/>
        <w:numPr>
          <w:ilvl w:val="0"/>
          <w:numId w:val="3"/>
        </w:numPr>
        <w:spacing w:before="0" w:after="0" w:line="240" w:lineRule="auto"/>
      </w:pPr>
      <w:r w:rsidRPr="002E7A81">
        <w:t xml:space="preserve">La negativa a permitir la consulta directa de la información; </w:t>
      </w:r>
    </w:p>
    <w:p w:rsidR="00C01A9E" w:rsidRDefault="00C01A9E" w:rsidP="00C01A9E">
      <w:pPr>
        <w:pStyle w:val="Citas"/>
        <w:numPr>
          <w:ilvl w:val="0"/>
          <w:numId w:val="3"/>
        </w:numPr>
        <w:spacing w:before="0" w:after="0" w:line="240" w:lineRule="auto"/>
      </w:pPr>
      <w:r w:rsidRPr="002E7A81">
        <w:t xml:space="preserve">La falta, deficiencia o insuficiencia de la fundamentación y/o motivación en la respuesta; y </w:t>
      </w:r>
    </w:p>
    <w:p w:rsidR="00C01A9E" w:rsidRDefault="00C01A9E" w:rsidP="00C01A9E">
      <w:pPr>
        <w:pStyle w:val="Citas"/>
        <w:numPr>
          <w:ilvl w:val="0"/>
          <w:numId w:val="3"/>
        </w:numPr>
        <w:spacing w:before="0" w:after="0" w:line="240" w:lineRule="auto"/>
      </w:pPr>
      <w:r w:rsidRPr="002E7A81">
        <w:t xml:space="preserve">La orientación a un trámite específico. </w:t>
      </w:r>
    </w:p>
    <w:p w:rsidR="00C01A9E" w:rsidRPr="007379EE" w:rsidRDefault="00C01A9E" w:rsidP="00C01A9E">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C01A9E" w:rsidRDefault="00C01A9E" w:rsidP="00C01A9E">
      <w:pPr>
        <w:autoSpaceDE w:val="0"/>
        <w:autoSpaceDN w:val="0"/>
        <w:adjustRightInd w:val="0"/>
        <w:ind w:right="567"/>
        <w:rPr>
          <w:rFonts w:ascii="Palatino Linotype" w:eastAsia="Calibri" w:hAnsi="Palatino Linotype" w:cs="Arial"/>
        </w:rPr>
      </w:pPr>
    </w:p>
    <w:p w:rsidR="00C01A9E" w:rsidRDefault="00C01A9E" w:rsidP="00C01A9E">
      <w:pPr>
        <w:autoSpaceDE w:val="0"/>
        <w:autoSpaceDN w:val="0"/>
        <w:adjustRightInd w:val="0"/>
        <w:ind w:right="567"/>
        <w:rPr>
          <w:rFonts w:ascii="Palatino Linotype" w:eastAsia="Calibri" w:hAnsi="Palatino Linotype" w:cs="Arial"/>
        </w:rPr>
      </w:pPr>
    </w:p>
    <w:p w:rsidR="00C01A9E" w:rsidRDefault="00C01A9E" w:rsidP="00C01A9E">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rsidR="00C01A9E" w:rsidRDefault="00C01A9E" w:rsidP="00C01A9E">
      <w:pPr>
        <w:spacing w:line="360" w:lineRule="auto"/>
        <w:jc w:val="both"/>
        <w:rPr>
          <w:rFonts w:ascii="Palatino Linotype" w:hAnsi="Palatino Linotype" w:cs="Tahoma"/>
          <w:bCs/>
        </w:rPr>
      </w:pPr>
    </w:p>
    <w:p w:rsidR="00C01A9E" w:rsidRPr="00983697" w:rsidRDefault="00E77CD6" w:rsidP="00E77CD6">
      <w:pPr>
        <w:pStyle w:val="Prrafodelista"/>
        <w:numPr>
          <w:ilvl w:val="0"/>
          <w:numId w:val="5"/>
        </w:numPr>
        <w:spacing w:line="360" w:lineRule="auto"/>
        <w:jc w:val="both"/>
        <w:rPr>
          <w:rFonts w:ascii="Palatino Linotype" w:hAnsi="Palatino Linotype" w:cs="Arial"/>
        </w:rPr>
      </w:pPr>
      <w:r w:rsidRPr="00E77CD6">
        <w:rPr>
          <w:rFonts w:ascii="Palatino Linotype" w:hAnsi="Palatino Linotype" w:cs="Tahoma"/>
          <w:bCs/>
        </w:rPr>
        <w:t>Las re</w:t>
      </w:r>
      <w:r>
        <w:rPr>
          <w:rFonts w:ascii="Palatino Linotype" w:hAnsi="Palatino Linotype" w:cs="Tahoma"/>
          <w:bCs/>
        </w:rPr>
        <w:t>nuncias de todo el personal del</w:t>
      </w:r>
      <w:r w:rsidRPr="00E77CD6">
        <w:rPr>
          <w:rFonts w:ascii="Palatino Linotype" w:hAnsi="Palatino Linotype" w:cs="Tahoma"/>
          <w:bCs/>
        </w:rPr>
        <w:t xml:space="preserve"> 1 de enero 2025 a la fecha</w:t>
      </w:r>
      <w:r w:rsidR="00C01A9E">
        <w:rPr>
          <w:rFonts w:ascii="Palatino Linotype" w:hAnsi="Palatino Linotype" w:cs="Tahoma"/>
          <w:bCs/>
        </w:rPr>
        <w:t>.</w:t>
      </w:r>
    </w:p>
    <w:p w:rsidR="00C01A9E" w:rsidRDefault="00C01A9E" w:rsidP="00C01A9E">
      <w:pPr>
        <w:spacing w:before="240" w:line="360" w:lineRule="auto"/>
        <w:jc w:val="both"/>
        <w:rPr>
          <w:rFonts w:ascii="Palatino Linotype" w:hAnsi="Palatino Linotype" w:cs="Arial"/>
        </w:rPr>
      </w:pPr>
    </w:p>
    <w:p w:rsidR="00C01A9E" w:rsidRPr="001106D5" w:rsidRDefault="00C01A9E" w:rsidP="00C01A9E">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D54B11">
        <w:rPr>
          <w:rFonts w:ascii="Palatino Linotype" w:hAnsi="Palatino Linotype" w:cs="Arial"/>
          <w:b/>
        </w:rPr>
        <w:t>00092/TLALNEPA/IP/2025</w:t>
      </w:r>
      <w:r w:rsidRPr="001106D5">
        <w:rPr>
          <w:rFonts w:ascii="Palatino Linotype" w:hAnsi="Palatino Linotype" w:cs="Arial"/>
          <w:b/>
        </w:rPr>
        <w:t xml:space="preserve">; </w:t>
      </w:r>
      <w:r w:rsidR="00E77CD6">
        <w:rPr>
          <w:rFonts w:ascii="Palatino Linotype" w:hAnsi="Palatino Linotype" w:cs="Arial"/>
        </w:rPr>
        <w:t>a través del</w:t>
      </w:r>
      <w:r>
        <w:rPr>
          <w:rFonts w:ascii="Palatino Linotype" w:hAnsi="Palatino Linotype" w:cs="Arial"/>
        </w:rPr>
        <w:t xml:space="preserve"> archivo electrónico</w:t>
      </w:r>
      <w:r w:rsidRPr="001106D5">
        <w:rPr>
          <w:rFonts w:ascii="Palatino Linotype" w:hAnsi="Palatino Linotype" w:cs="Arial"/>
          <w:b/>
        </w:rPr>
        <w:t>:</w:t>
      </w:r>
    </w:p>
    <w:p w:rsidR="00C01A9E" w:rsidRPr="00CA694C" w:rsidRDefault="00E77CD6" w:rsidP="00CA694C">
      <w:pPr>
        <w:pStyle w:val="Sinespaciado"/>
        <w:numPr>
          <w:ilvl w:val="0"/>
          <w:numId w:val="1"/>
        </w:numPr>
        <w:spacing w:before="240" w:line="360" w:lineRule="auto"/>
        <w:jc w:val="both"/>
        <w:rPr>
          <w:rFonts w:ascii="Palatino Linotype" w:hAnsi="Palatino Linotype" w:cs="Arial"/>
          <w:b/>
          <w:i/>
          <w:sz w:val="24"/>
        </w:rPr>
      </w:pPr>
      <w:r w:rsidRPr="00E77CD6">
        <w:rPr>
          <w:rFonts w:ascii="Palatino Linotype" w:hAnsi="Palatino Linotype" w:cs="Arial"/>
          <w:b/>
          <w:i/>
          <w:sz w:val="24"/>
        </w:rPr>
        <w:t>RESPUESTA SAIMEX 92.zip</w:t>
      </w:r>
      <w:r w:rsidR="00C01A9E">
        <w:rPr>
          <w:rFonts w:ascii="Palatino Linotype" w:hAnsi="Palatino Linotype" w:cs="Arial"/>
          <w:b/>
          <w:i/>
          <w:sz w:val="24"/>
        </w:rPr>
        <w:t xml:space="preserve">: </w:t>
      </w:r>
      <w:r w:rsidR="00CA694C">
        <w:rPr>
          <w:rFonts w:ascii="Palatino Linotype" w:hAnsi="Palatino Linotype" w:cs="Arial"/>
          <w:sz w:val="24"/>
        </w:rPr>
        <w:t xml:space="preserve">carpeta </w:t>
      </w:r>
      <w:proofErr w:type="spellStart"/>
      <w:r w:rsidR="00CA694C">
        <w:rPr>
          <w:rFonts w:ascii="Palatino Linotype" w:hAnsi="Palatino Linotype" w:cs="Arial"/>
          <w:sz w:val="24"/>
        </w:rPr>
        <w:t>zip</w:t>
      </w:r>
      <w:proofErr w:type="spellEnd"/>
      <w:r w:rsidR="00CA694C">
        <w:rPr>
          <w:rFonts w:ascii="Palatino Linotype" w:hAnsi="Palatino Linotype" w:cs="Arial"/>
          <w:sz w:val="24"/>
        </w:rPr>
        <w:t>, contiene un archivo electrónico denominado “</w:t>
      </w:r>
      <w:r w:rsidR="00CA694C" w:rsidRPr="00CA694C">
        <w:rPr>
          <w:rFonts w:ascii="Palatino Linotype" w:hAnsi="Palatino Linotype" w:cs="Arial"/>
          <w:b/>
          <w:i/>
          <w:sz w:val="24"/>
        </w:rPr>
        <w:t>OFICIALÍA RESPU SAIMEX 00092.pdf</w:t>
      </w:r>
      <w:r w:rsidR="00CA694C">
        <w:rPr>
          <w:rFonts w:ascii="Palatino Linotype" w:hAnsi="Palatino Linotype" w:cs="Arial"/>
          <w:sz w:val="24"/>
        </w:rPr>
        <w:t>”, mismo que consta</w:t>
      </w:r>
      <w:r w:rsidR="00C01A9E">
        <w:rPr>
          <w:rFonts w:ascii="Palatino Linotype" w:hAnsi="Palatino Linotype" w:cs="Arial"/>
          <w:sz w:val="24"/>
        </w:rPr>
        <w:t xml:space="preserve"> de </w:t>
      </w:r>
      <w:r w:rsidR="00CA694C">
        <w:rPr>
          <w:rFonts w:ascii="Palatino Linotype" w:hAnsi="Palatino Linotype" w:cs="Arial"/>
          <w:sz w:val="24"/>
        </w:rPr>
        <w:lastRenderedPageBreak/>
        <w:t>dos</w:t>
      </w:r>
      <w:r w:rsidR="00C01A9E">
        <w:rPr>
          <w:rFonts w:ascii="Palatino Linotype" w:hAnsi="Palatino Linotype" w:cs="Arial"/>
          <w:sz w:val="24"/>
        </w:rPr>
        <w:t xml:space="preserve"> fojas, en formato </w:t>
      </w:r>
      <w:proofErr w:type="spellStart"/>
      <w:r w:rsidR="00C01A9E">
        <w:rPr>
          <w:rFonts w:ascii="Palatino Linotype" w:hAnsi="Palatino Linotype" w:cs="Arial"/>
          <w:sz w:val="24"/>
        </w:rPr>
        <w:t>pdf</w:t>
      </w:r>
      <w:proofErr w:type="spellEnd"/>
      <w:r w:rsidR="00C01A9E">
        <w:rPr>
          <w:rFonts w:ascii="Palatino Linotype" w:hAnsi="Palatino Linotype" w:cs="Arial"/>
          <w:sz w:val="24"/>
        </w:rPr>
        <w:t xml:space="preserve">, contiene </w:t>
      </w:r>
      <w:r w:rsidR="00CA694C">
        <w:rPr>
          <w:rFonts w:ascii="Palatino Linotype" w:hAnsi="Palatino Linotype" w:cs="Arial"/>
          <w:sz w:val="24"/>
        </w:rPr>
        <w:t>el oficio número OM/SRH//0193/2025, de fecha cinco de febrero de dos mil veinticinco, firmado por el Subdirector de Recursos Humanos, en el que refiere lo siguiente:</w:t>
      </w:r>
    </w:p>
    <w:p w:rsidR="00CA694C" w:rsidRDefault="00CA694C" w:rsidP="00CA694C">
      <w:pPr>
        <w:pStyle w:val="Citas"/>
      </w:pPr>
      <w:r>
        <w:t>“…</w:t>
      </w:r>
    </w:p>
    <w:p w:rsidR="00CA694C" w:rsidRDefault="00CA694C" w:rsidP="00CA694C">
      <w:pPr>
        <w:pStyle w:val="Citas"/>
      </w:pPr>
      <w:r>
        <w:t xml:space="preserve">Al respecto, se realizó una búsqueda exhaustiva y razonable en los archivos físicos y digitales que obran en esta Unidad Administrativa, de la cual, </w:t>
      </w:r>
      <w:r w:rsidRPr="00AD16B7">
        <w:rPr>
          <w:b/>
        </w:rPr>
        <w:t>se identificaron un total de 59 renuncias</w:t>
      </w:r>
      <w:r>
        <w:t xml:space="preserve"> de personal por el periodo </w:t>
      </w:r>
      <w:r w:rsidRPr="00AD16B7">
        <w:rPr>
          <w:u w:val="single"/>
        </w:rPr>
        <w:t>del primero de enero de 2025, a la fecha de la presentación de la solicitud</w:t>
      </w:r>
      <w:r>
        <w:t xml:space="preserve"> de información correspondiente.</w:t>
      </w:r>
    </w:p>
    <w:p w:rsidR="00CA694C" w:rsidRPr="00AD16B7" w:rsidRDefault="00CA694C" w:rsidP="00AD16B7">
      <w:pPr>
        <w:pStyle w:val="Citas"/>
      </w:pPr>
      <w:r>
        <w:t>…” (Sic)</w:t>
      </w:r>
    </w:p>
    <w:p w:rsidR="00C01A9E" w:rsidRDefault="00C01A9E" w:rsidP="00C01A9E">
      <w:pPr>
        <w:spacing w:line="360" w:lineRule="auto"/>
        <w:jc w:val="both"/>
        <w:rPr>
          <w:rFonts w:ascii="Palatino Linotype" w:hAnsi="Palatino Linotype"/>
          <w:i/>
        </w:rPr>
      </w:pPr>
    </w:p>
    <w:p w:rsidR="00C01A9E" w:rsidRDefault="00C01A9E" w:rsidP="00C01A9E">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AD16B7" w:rsidRPr="00AD16B7">
        <w:rPr>
          <w:rFonts w:ascii="Palatino Linotype" w:eastAsiaTheme="minorHAnsi" w:hAnsi="Palatino Linotype" w:cs="Arial"/>
          <w:bCs/>
          <w:i/>
          <w:lang w:val="es-MX" w:eastAsia="es-MX"/>
        </w:rPr>
        <w:t>La negativa de la información</w:t>
      </w:r>
      <w:r w:rsidRPr="0076255E">
        <w:rPr>
          <w:rFonts w:ascii="Palatino Linotype" w:hAnsi="Palatino Linotype"/>
          <w:i/>
        </w:rPr>
        <w:t xml:space="preserve">” </w:t>
      </w:r>
      <w:r w:rsidRPr="00205720">
        <w:rPr>
          <w:rFonts w:ascii="Palatino Linotype" w:hAnsi="Palatino Linotype"/>
          <w:i/>
        </w:rPr>
        <w:t>(Sic).</w:t>
      </w:r>
    </w:p>
    <w:p w:rsidR="00C01A9E" w:rsidRDefault="00C01A9E" w:rsidP="00C01A9E">
      <w:pPr>
        <w:spacing w:line="360" w:lineRule="auto"/>
        <w:jc w:val="both"/>
        <w:rPr>
          <w:rFonts w:ascii="Palatino Linotype" w:hAnsi="Palatino Linotype"/>
          <w:i/>
        </w:rPr>
      </w:pPr>
    </w:p>
    <w:p w:rsidR="00C01A9E" w:rsidRDefault="00C01A9E" w:rsidP="00C01A9E">
      <w:pPr>
        <w:spacing w:line="360" w:lineRule="auto"/>
        <w:jc w:val="both"/>
        <w:rPr>
          <w:rFonts w:ascii="Palatino Linotype" w:hAnsi="Palatino Linotype" w:cs="Arial"/>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sidR="00AD16B7">
        <w:rPr>
          <w:rFonts w:ascii="Palatino Linotype" w:eastAsia="Calibri" w:hAnsi="Palatino Linotype" w:cs="Calibri"/>
          <w:lang w:val="es-ES_tradnl" w:eastAsia="es-MX"/>
        </w:rPr>
        <w:t xml:space="preserve"> denominado “</w:t>
      </w:r>
      <w:r w:rsidR="00AD16B7" w:rsidRPr="00AD16B7">
        <w:rPr>
          <w:rFonts w:ascii="Palatino Linotype" w:hAnsi="Palatino Linotype" w:cs="Arial"/>
          <w:b/>
          <w:i/>
        </w:rPr>
        <w:t>MANIFESTACIONES RR 2010-25.zip</w:t>
      </w:r>
      <w:r w:rsidR="00AD16B7">
        <w:rPr>
          <w:rFonts w:ascii="Palatino Linotype" w:hAnsi="Palatino Linotype" w:cs="Arial"/>
        </w:rPr>
        <w:t xml:space="preserve">”, </w:t>
      </w:r>
      <w:r>
        <w:rPr>
          <w:rFonts w:ascii="Palatino Linotype" w:hAnsi="Palatino Linotype" w:cs="Arial"/>
        </w:rPr>
        <w:t xml:space="preserve">en </w:t>
      </w:r>
      <w:r w:rsidR="00AD16B7">
        <w:rPr>
          <w:rFonts w:ascii="Palatino Linotype" w:hAnsi="Palatino Linotype" w:cs="Arial"/>
        </w:rPr>
        <w:t>el</w:t>
      </w:r>
      <w:r>
        <w:rPr>
          <w:rFonts w:ascii="Palatino Linotype" w:hAnsi="Palatino Linotype" w:cs="Arial"/>
        </w:rPr>
        <w:t xml:space="preserve"> que se rati</w:t>
      </w:r>
      <w:r w:rsidR="00AD16B7">
        <w:rPr>
          <w:rFonts w:ascii="Palatino Linotype" w:hAnsi="Palatino Linotype" w:cs="Arial"/>
        </w:rPr>
        <w:t>fica su respuesta.</w:t>
      </w:r>
    </w:p>
    <w:p w:rsidR="00AD16B7" w:rsidRDefault="00AD16B7" w:rsidP="00C01A9E">
      <w:pPr>
        <w:spacing w:line="360" w:lineRule="auto"/>
        <w:jc w:val="both"/>
        <w:rPr>
          <w:rFonts w:ascii="Palatino Linotype" w:hAnsi="Palatino Linotype"/>
          <w:i/>
        </w:rPr>
      </w:pPr>
    </w:p>
    <w:p w:rsidR="00C01A9E" w:rsidRDefault="00C01A9E" w:rsidP="00C01A9E">
      <w:pPr>
        <w:spacing w:line="360" w:lineRule="auto"/>
        <w:jc w:val="both"/>
        <w:rPr>
          <w:rFonts w:ascii="Palatino Linotype" w:hAnsi="Palatino Linotype" w:cs="Tahoma"/>
        </w:rPr>
      </w:pPr>
    </w:p>
    <w:p w:rsidR="00C01A9E" w:rsidRPr="006F1142" w:rsidRDefault="00C01A9E" w:rsidP="00C01A9E">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rsidR="00C01A9E" w:rsidRPr="00177253" w:rsidRDefault="00C01A9E" w:rsidP="00C01A9E">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7"/>
        <w:gridCol w:w="4333"/>
        <w:gridCol w:w="1824"/>
      </w:tblGrid>
      <w:tr w:rsidR="00C01A9E" w:rsidTr="00CA694C">
        <w:trPr>
          <w:trHeight w:val="396"/>
        </w:trPr>
        <w:tc>
          <w:tcPr>
            <w:tcW w:w="2997" w:type="dxa"/>
            <w:shd w:val="clear" w:color="auto" w:fill="E7E6E6" w:themeFill="background2"/>
          </w:tcPr>
          <w:p w:rsidR="00C01A9E" w:rsidRPr="00E80E99" w:rsidRDefault="00C01A9E" w:rsidP="00CA694C">
            <w:pPr>
              <w:spacing w:line="360" w:lineRule="auto"/>
              <w:jc w:val="center"/>
              <w:rPr>
                <w:rFonts w:ascii="Palatino Linotype" w:hAnsi="Palatino Linotype"/>
                <w:b/>
                <w:i/>
                <w:color w:val="000000"/>
              </w:rPr>
            </w:pPr>
            <w:r w:rsidRPr="00E80E99">
              <w:rPr>
                <w:rFonts w:ascii="Palatino Linotype" w:hAnsi="Palatino Linotype"/>
                <w:b/>
                <w:i/>
                <w:color w:val="000000"/>
              </w:rPr>
              <w:lastRenderedPageBreak/>
              <w:t>Requerimientos</w:t>
            </w:r>
          </w:p>
        </w:tc>
        <w:tc>
          <w:tcPr>
            <w:tcW w:w="4333" w:type="dxa"/>
            <w:shd w:val="clear" w:color="auto" w:fill="E7E6E6" w:themeFill="background2"/>
          </w:tcPr>
          <w:p w:rsidR="00C01A9E" w:rsidRPr="00E80E99" w:rsidRDefault="00C01A9E" w:rsidP="00CA694C">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824" w:type="dxa"/>
            <w:shd w:val="clear" w:color="auto" w:fill="E7E6E6" w:themeFill="background2"/>
          </w:tcPr>
          <w:p w:rsidR="00C01A9E" w:rsidRPr="00E80E99" w:rsidRDefault="00C01A9E" w:rsidP="00CA694C">
            <w:pPr>
              <w:spacing w:line="360" w:lineRule="auto"/>
              <w:jc w:val="center"/>
              <w:rPr>
                <w:rFonts w:ascii="Palatino Linotype" w:hAnsi="Palatino Linotype"/>
                <w:b/>
                <w:i/>
                <w:color w:val="000000"/>
              </w:rPr>
            </w:pPr>
            <w:r>
              <w:rPr>
                <w:rFonts w:ascii="Palatino Linotype" w:hAnsi="Palatino Linotype"/>
                <w:b/>
                <w:i/>
                <w:color w:val="000000"/>
              </w:rPr>
              <w:t>Colma</w:t>
            </w:r>
          </w:p>
        </w:tc>
      </w:tr>
      <w:tr w:rsidR="00C01A9E" w:rsidTr="00CA694C">
        <w:trPr>
          <w:trHeight w:val="1197"/>
        </w:trPr>
        <w:tc>
          <w:tcPr>
            <w:tcW w:w="2997" w:type="dxa"/>
          </w:tcPr>
          <w:p w:rsidR="00C01A9E" w:rsidRPr="00375861" w:rsidRDefault="00AD16B7" w:rsidP="00CA694C">
            <w:pPr>
              <w:tabs>
                <w:tab w:val="left" w:pos="1828"/>
              </w:tabs>
              <w:jc w:val="both"/>
              <w:rPr>
                <w:rFonts w:ascii="Palatino Linotype" w:hAnsi="Palatino Linotype" w:cs="Tahoma"/>
                <w:bCs/>
                <w:sz w:val="22"/>
              </w:rPr>
            </w:pPr>
            <w:r>
              <w:rPr>
                <w:rFonts w:ascii="Palatino Linotype" w:hAnsi="Palatino Linotype" w:cs="Tahoma"/>
                <w:bCs/>
                <w:sz w:val="22"/>
              </w:rPr>
              <w:t>Renuncias del 1 al 23 de enero 2025.</w:t>
            </w:r>
          </w:p>
        </w:tc>
        <w:tc>
          <w:tcPr>
            <w:tcW w:w="4333" w:type="dxa"/>
          </w:tcPr>
          <w:p w:rsidR="00C01A9E" w:rsidRPr="00265709" w:rsidRDefault="00AD16B7" w:rsidP="00CA694C">
            <w:pPr>
              <w:jc w:val="both"/>
              <w:rPr>
                <w:rFonts w:ascii="Palatino Linotype" w:hAnsi="Palatino Linotype"/>
                <w:color w:val="000000"/>
              </w:rPr>
            </w:pPr>
            <w:r>
              <w:rPr>
                <w:rFonts w:ascii="Palatino Linotype" w:hAnsi="Palatino Linotype"/>
                <w:color w:val="000000"/>
              </w:rPr>
              <w:t>E</w:t>
            </w:r>
            <w:r w:rsidRPr="00AD16B7">
              <w:rPr>
                <w:rFonts w:ascii="Palatino Linotype" w:hAnsi="Palatino Linotype"/>
                <w:color w:val="000000"/>
              </w:rPr>
              <w:t>l Subdirector de Recursos Humanos</w:t>
            </w:r>
            <w:r>
              <w:rPr>
                <w:rFonts w:ascii="Palatino Linotype" w:hAnsi="Palatino Linotype"/>
                <w:color w:val="000000"/>
              </w:rPr>
              <w:t xml:space="preserve"> refirió que se tiene un total de 59 renuncias.</w:t>
            </w:r>
          </w:p>
        </w:tc>
        <w:tc>
          <w:tcPr>
            <w:tcW w:w="1824" w:type="dxa"/>
          </w:tcPr>
          <w:p w:rsidR="00C01A9E" w:rsidRDefault="00AD16B7" w:rsidP="00CA694C">
            <w:pPr>
              <w:jc w:val="center"/>
              <w:rPr>
                <w:rFonts w:ascii="Palatino Linotype" w:hAnsi="Palatino Linotype"/>
                <w:i/>
              </w:rPr>
            </w:pPr>
            <w:r>
              <w:rPr>
                <w:rFonts w:ascii="Palatino Linotype" w:hAnsi="Palatino Linotype"/>
                <w:i/>
              </w:rPr>
              <w:t>Parcialmente</w:t>
            </w:r>
          </w:p>
          <w:p w:rsidR="00AD16B7" w:rsidRPr="00B640D7" w:rsidRDefault="00AD16B7" w:rsidP="00CA694C">
            <w:pPr>
              <w:jc w:val="center"/>
              <w:rPr>
                <w:rFonts w:ascii="Palatino Linotype" w:hAnsi="Palatino Linotype"/>
                <w:i/>
              </w:rPr>
            </w:pPr>
            <w:r>
              <w:rPr>
                <w:rFonts w:ascii="Palatino Linotype" w:hAnsi="Palatino Linotype"/>
                <w:i/>
              </w:rPr>
              <w:t>No se entregaron las renuncias</w:t>
            </w:r>
          </w:p>
        </w:tc>
      </w:tr>
    </w:tbl>
    <w:p w:rsidR="00C01A9E" w:rsidRDefault="00C01A9E" w:rsidP="00C01A9E">
      <w:pPr>
        <w:spacing w:line="360" w:lineRule="auto"/>
        <w:jc w:val="both"/>
        <w:rPr>
          <w:rFonts w:ascii="Palatino Linotype" w:hAnsi="Palatino Linotype"/>
          <w:color w:val="000000"/>
        </w:rPr>
      </w:pPr>
    </w:p>
    <w:p w:rsidR="00AD16B7" w:rsidRDefault="00AD16B7" w:rsidP="00C01A9E">
      <w:pPr>
        <w:spacing w:line="360" w:lineRule="auto"/>
        <w:jc w:val="both"/>
        <w:rPr>
          <w:rFonts w:ascii="Palatino Linotype" w:hAnsi="Palatino Linotype"/>
          <w:color w:val="000000"/>
        </w:rPr>
      </w:pPr>
      <w:r>
        <w:rPr>
          <w:rFonts w:ascii="Palatino Linotype" w:hAnsi="Palatino Linotype"/>
          <w:color w:val="000000"/>
        </w:rPr>
        <w:t>En virtud de lo anterior, se obvia el estudio de la naturaleza de la información requerida, puesto que, el Servidor Público Habilitado admitió contar con la información, sin embargo, no fueron adjuntadas en la respuesta ni mediante informe justificado.</w:t>
      </w:r>
    </w:p>
    <w:p w:rsidR="00AD16B7" w:rsidRDefault="00AD16B7" w:rsidP="00C01A9E">
      <w:pPr>
        <w:spacing w:line="360" w:lineRule="auto"/>
        <w:jc w:val="both"/>
        <w:rPr>
          <w:rFonts w:ascii="Palatino Linotype" w:hAnsi="Palatino Linotype"/>
          <w:color w:val="000000"/>
        </w:rPr>
      </w:pPr>
    </w:p>
    <w:p w:rsidR="00DB6ED0" w:rsidRDefault="00DB6ED0" w:rsidP="00DB6ED0">
      <w:pPr>
        <w:spacing w:line="360" w:lineRule="auto"/>
        <w:contextualSpacing/>
        <w:jc w:val="both"/>
        <w:rPr>
          <w:rFonts w:ascii="Palatino Linotype" w:hAnsi="Palatino Linotype"/>
          <w:color w:val="000000" w:themeColor="text1"/>
        </w:rPr>
      </w:pPr>
      <w:r w:rsidRPr="008E44C6">
        <w:rPr>
          <w:rFonts w:ascii="Palatino Linotype" w:hAnsi="Palatino Linotype"/>
          <w:color w:val="000000" w:themeColor="text1"/>
        </w:rPr>
        <w:t>Por lo que la renuncia puede contener motivos personales de la separación del cargo,</w:t>
      </w:r>
      <w:r w:rsidRPr="008E44C6">
        <w:rPr>
          <w:rFonts w:ascii="Palatino Linotype" w:hAnsi="Palatino Linotype"/>
          <w:b/>
          <w:color w:val="000000" w:themeColor="text1"/>
        </w:rPr>
        <w:t xml:space="preserve"> </w:t>
      </w:r>
      <w:r w:rsidRPr="008E44C6">
        <w:rPr>
          <w:rFonts w:ascii="Palatino Linotype" w:hAnsi="Palatino Linotype"/>
          <w:color w:val="000000" w:themeColor="text1"/>
        </w:rPr>
        <w:t xml:space="preserve">información que es privada, cuyo conocimiento, se reitera, no es tendiente a alcanzar los objetos de la Ley de materia, en el sentido que no guarda relación con la transparencia y rendición de cuentas respecto de las atribuciones, funciones y competencias de los servidores públicos adscritos a los sujetos obligados, sino que, se relaciona en la esfera más íntima de sus titulares, por ello, se colige que la información solicitada, indudablemente obra en los archivos del </w:t>
      </w:r>
      <w:r w:rsidRPr="008E44C6">
        <w:rPr>
          <w:rFonts w:ascii="Palatino Linotype" w:hAnsi="Palatino Linotype"/>
          <w:b/>
          <w:color w:val="000000" w:themeColor="text1"/>
        </w:rPr>
        <w:t>Sujeto Obligado</w:t>
      </w:r>
      <w:r w:rsidRPr="008E44C6">
        <w:rPr>
          <w:rFonts w:ascii="Palatino Linotype" w:hAnsi="Palatino Linotype"/>
          <w:color w:val="000000" w:themeColor="text1"/>
        </w:rPr>
        <w:t>;</w:t>
      </w:r>
      <w:r w:rsidRPr="008E44C6">
        <w:rPr>
          <w:rFonts w:ascii="Palatino Linotype" w:hAnsi="Palatino Linotype"/>
          <w:b/>
          <w:color w:val="000000" w:themeColor="text1"/>
        </w:rPr>
        <w:t xml:space="preserve"> </w:t>
      </w:r>
      <w:r w:rsidRPr="008E44C6">
        <w:rPr>
          <w:rFonts w:ascii="Palatino Linotype" w:hAnsi="Palatino Linotype"/>
          <w:color w:val="000000" w:themeColor="text1"/>
        </w:rPr>
        <w:t xml:space="preserve">sin embargo, en el supuesto de que sea por motivos personales no es dable ordenar dichos datos, de tal suerte que la entrega de ellos viola el derecho de protección a datos que deberán observar los sujetos obligados y que es </w:t>
      </w:r>
      <w:r>
        <w:rPr>
          <w:rFonts w:ascii="Palatino Linotype" w:hAnsi="Palatino Linotype"/>
          <w:color w:val="000000" w:themeColor="text1"/>
        </w:rPr>
        <w:t>garantizado por éste Instituto, a manera de ejemplo:</w:t>
      </w:r>
    </w:p>
    <w:p w:rsidR="00DB6ED0" w:rsidRPr="008E44C6" w:rsidRDefault="00DB6ED0" w:rsidP="00DB6ED0">
      <w:pPr>
        <w:spacing w:line="360" w:lineRule="auto"/>
        <w:contextualSpacing/>
        <w:jc w:val="center"/>
        <w:rPr>
          <w:rFonts w:ascii="Palatino Linotype" w:hAnsi="Palatino Linotype"/>
          <w:color w:val="000000" w:themeColor="text1"/>
        </w:rPr>
      </w:pPr>
      <w:r>
        <w:rPr>
          <w:rFonts w:ascii="Palatino Linotype" w:hAnsi="Palatino Linotype"/>
          <w:noProof/>
          <w:color w:val="000000" w:themeColor="text1"/>
          <w:lang w:val="es-MX" w:eastAsia="es-MX"/>
        </w:rPr>
        <w:lastRenderedPageBreak/>
        <mc:AlternateContent>
          <mc:Choice Requires="wps">
            <w:drawing>
              <wp:anchor distT="0" distB="0" distL="114300" distR="114300" simplePos="0" relativeHeight="251660288" behindDoc="0" locked="0" layoutInCell="1" allowOverlap="1" wp14:anchorId="13F54774" wp14:editId="43C2F260">
                <wp:simplePos x="0" y="0"/>
                <wp:positionH relativeFrom="column">
                  <wp:posOffset>2396490</wp:posOffset>
                </wp:positionH>
                <wp:positionV relativeFrom="paragraph">
                  <wp:posOffset>2950846</wp:posOffset>
                </wp:positionV>
                <wp:extent cx="742950" cy="17145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74295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4C11305" id="Rectángulo 10" o:spid="_x0000_s1026" style="position:absolute;margin-left:188.7pt;margin-top:232.35pt;width:58.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" filled="f" strokecolor="red" strokeweight="2.25pt"/>
            </w:pict>
          </mc:Fallback>
        </mc:AlternateContent>
      </w:r>
      <w:r>
        <w:rPr>
          <w:rFonts w:ascii="Palatino Linotype" w:hAnsi="Palatino Linotype"/>
          <w:noProof/>
          <w:color w:val="000000" w:themeColor="text1"/>
          <w:lang w:val="es-MX" w:eastAsia="es-MX"/>
        </w:rPr>
        <mc:AlternateContent>
          <mc:Choice Requires="wps">
            <w:drawing>
              <wp:anchor distT="0" distB="0" distL="114300" distR="114300" simplePos="0" relativeHeight="251659264" behindDoc="0" locked="0" layoutInCell="1" allowOverlap="1" wp14:anchorId="28D9206C" wp14:editId="2CBD9704">
                <wp:simplePos x="0" y="0"/>
                <wp:positionH relativeFrom="column">
                  <wp:posOffset>1243965</wp:posOffset>
                </wp:positionH>
                <wp:positionV relativeFrom="paragraph">
                  <wp:posOffset>1445895</wp:posOffset>
                </wp:positionV>
                <wp:extent cx="3105150" cy="180975"/>
                <wp:effectExtent l="19050" t="19050" r="19050" b="28575"/>
                <wp:wrapNone/>
                <wp:docPr id="1" name="Rectángulo 1"/>
                <wp:cNvGraphicFramePr/>
                <a:graphic xmlns:a="http://schemas.openxmlformats.org/drawingml/2006/main">
                  <a:graphicData uri="http://schemas.microsoft.com/office/word/2010/wordprocessingShape">
                    <wps:wsp>
                      <wps:cNvSpPr/>
                      <wps:spPr>
                        <a:xfrm>
                          <a:off x="0" y="0"/>
                          <a:ext cx="3105150"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76F5349" id="Rectángulo 1" o:spid="_x0000_s1026" style="position:absolute;margin-left:97.95pt;margin-top:113.85pt;width:244.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" filled="f" strokecolor="red" strokeweight="2.25pt"/>
            </w:pict>
          </mc:Fallback>
        </mc:AlternateContent>
      </w:r>
      <w:r>
        <w:rPr>
          <w:rFonts w:ascii="Palatino Linotype" w:hAnsi="Palatino Linotype"/>
          <w:noProof/>
          <w:color w:val="000000" w:themeColor="text1"/>
          <w:lang w:val="es-MX" w:eastAsia="es-MX"/>
        </w:rPr>
        <w:drawing>
          <wp:inline distT="0" distB="0" distL="0" distR="0" wp14:anchorId="00574EBF" wp14:editId="3074A425">
            <wp:extent cx="3990975" cy="40987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B4E6A8.tmp"/>
                    <pic:cNvPicPr/>
                  </pic:nvPicPr>
                  <pic:blipFill>
                    <a:blip r:embed="rId7">
                      <a:extLst>
                        <a:ext uri="{28A0092B-C50C-407E-A947-70E740481C1C}">
                          <a14:useLocalDpi xmlns:a14="http://schemas.microsoft.com/office/drawing/2010/main" val="0"/>
                        </a:ext>
                      </a:extLst>
                    </a:blip>
                    <a:stretch>
                      <a:fillRect/>
                    </a:stretch>
                  </pic:blipFill>
                  <pic:spPr>
                    <a:xfrm>
                      <a:off x="0" y="0"/>
                      <a:ext cx="4002904" cy="4111007"/>
                    </a:xfrm>
                    <a:prstGeom prst="rect">
                      <a:avLst/>
                    </a:prstGeom>
                  </pic:spPr>
                </pic:pic>
              </a:graphicData>
            </a:graphic>
          </wp:inline>
        </w:drawing>
      </w:r>
    </w:p>
    <w:p w:rsidR="00DB6ED0" w:rsidRPr="00F147E1" w:rsidRDefault="00DB6ED0" w:rsidP="00DB6ED0">
      <w:pPr>
        <w:spacing w:line="360" w:lineRule="auto"/>
        <w:jc w:val="both"/>
        <w:rPr>
          <w:rFonts w:ascii="Palatino Linotype" w:hAnsi="Palatino Linotype" w:cs="Arial"/>
          <w:sz w:val="28"/>
        </w:rPr>
      </w:pPr>
      <w:r>
        <w:rPr>
          <w:rFonts w:ascii="Palatino Linotype" w:hAnsi="Palatino Linotype" w:cs="Arial"/>
        </w:rPr>
        <w:t xml:space="preserve">Cabe mencionar que la firma es un atributo de la personalidad, sin embargo, tratándose de servidores públicos </w:t>
      </w:r>
      <w:r w:rsidRPr="009A43E3">
        <w:rPr>
          <w:rFonts w:ascii="Palatino Linotype" w:hAnsi="Palatino Linotype"/>
          <w:bCs/>
        </w:rPr>
        <w:t>se estima como un dato de carácter público</w:t>
      </w:r>
      <w:r w:rsidRPr="009A43E3">
        <w:rPr>
          <w:rFonts w:ascii="Palatino Linotype" w:hAnsi="Palatino Linotype" w:cs="Arial"/>
          <w:sz w:val="28"/>
        </w:rPr>
        <w:t xml:space="preserve"> </w:t>
      </w:r>
      <w:r>
        <w:rPr>
          <w:rFonts w:ascii="Palatino Linotype" w:hAnsi="Palatino Linotype" w:cs="Arial"/>
        </w:rPr>
        <w:t xml:space="preserve">puesto que </w:t>
      </w:r>
      <w:r w:rsidRPr="00F147E1">
        <w:rPr>
          <w:rFonts w:ascii="Palatino Linotype" w:hAnsi="Palatino Linotype"/>
          <w:bCs/>
        </w:rPr>
        <w:t>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rsidR="00AD16B7" w:rsidRDefault="00AD16B7" w:rsidP="00C01A9E">
      <w:pPr>
        <w:spacing w:line="360" w:lineRule="auto"/>
        <w:jc w:val="both"/>
        <w:rPr>
          <w:rFonts w:ascii="Palatino Linotype" w:hAnsi="Palatino Linotype"/>
          <w:color w:val="000000"/>
        </w:rPr>
      </w:pPr>
    </w:p>
    <w:p w:rsidR="00C01A9E" w:rsidRPr="009E63DA" w:rsidRDefault="00C01A9E" w:rsidP="00C01A9E">
      <w:pPr>
        <w:spacing w:line="360" w:lineRule="auto"/>
        <w:jc w:val="both"/>
        <w:rPr>
          <w:rFonts w:ascii="Palatino Linotype" w:hAnsi="Palatino Linotype"/>
          <w:color w:val="000000"/>
        </w:rPr>
      </w:pPr>
      <w:r>
        <w:rPr>
          <w:rFonts w:ascii="Palatino Linotype" w:hAnsi="Palatino Linotype"/>
          <w:color w:val="000000"/>
        </w:rPr>
        <w:lastRenderedPageBreak/>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C01A9E" w:rsidRPr="009E63DA" w:rsidRDefault="00C01A9E" w:rsidP="00C01A9E">
      <w:pPr>
        <w:spacing w:line="360" w:lineRule="auto"/>
        <w:jc w:val="both"/>
        <w:rPr>
          <w:rFonts w:ascii="Palatino Linotype" w:hAnsi="Palatino Linotype"/>
          <w:color w:val="000000"/>
        </w:rPr>
      </w:pPr>
    </w:p>
    <w:p w:rsidR="00C01A9E" w:rsidRPr="009E63DA" w:rsidRDefault="00C01A9E" w:rsidP="00C01A9E">
      <w:pPr>
        <w:ind w:left="567" w:right="567"/>
        <w:jc w:val="both"/>
        <w:rPr>
          <w:rFonts w:ascii="Palatino Linotype" w:hAnsi="Palatino Linotype"/>
          <w:b/>
          <w:i/>
        </w:rPr>
      </w:pPr>
      <w:r w:rsidRPr="009E63DA">
        <w:rPr>
          <w:rFonts w:ascii="Palatino Linotype" w:hAnsi="Palatino Linotype"/>
          <w:b/>
          <w:i/>
        </w:rPr>
        <w:t>Artículo 6</w:t>
      </w:r>
    </w:p>
    <w:p w:rsidR="00C01A9E" w:rsidRPr="009E63DA" w:rsidRDefault="00C01A9E" w:rsidP="00C01A9E">
      <w:pPr>
        <w:ind w:left="567" w:right="567"/>
        <w:jc w:val="both"/>
        <w:rPr>
          <w:rFonts w:ascii="Palatino Linotype" w:hAnsi="Palatino Linotype"/>
          <w:i/>
        </w:rPr>
      </w:pPr>
      <w:r w:rsidRPr="009E63DA">
        <w:rPr>
          <w:rFonts w:ascii="Palatino Linotype" w:hAnsi="Palatino Linotype"/>
          <w:i/>
        </w:rPr>
        <w:t>…</w:t>
      </w:r>
    </w:p>
    <w:p w:rsidR="00C01A9E" w:rsidRPr="009E63DA" w:rsidRDefault="00C01A9E" w:rsidP="00C01A9E">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C01A9E" w:rsidRPr="009E63DA" w:rsidRDefault="00C01A9E" w:rsidP="00C01A9E">
      <w:pPr>
        <w:ind w:left="567" w:right="567"/>
        <w:jc w:val="both"/>
        <w:rPr>
          <w:rFonts w:ascii="Palatino Linotype" w:hAnsi="Palatino Linotype"/>
          <w:i/>
        </w:rPr>
      </w:pPr>
    </w:p>
    <w:p w:rsidR="00C01A9E" w:rsidRPr="009E63DA" w:rsidRDefault="00C01A9E" w:rsidP="00C01A9E">
      <w:pPr>
        <w:numPr>
          <w:ilvl w:val="0"/>
          <w:numId w:val="6"/>
        </w:numPr>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01A9E" w:rsidRPr="009E63DA" w:rsidRDefault="00C01A9E" w:rsidP="00C01A9E">
      <w:pPr>
        <w:spacing w:line="360" w:lineRule="auto"/>
        <w:jc w:val="both"/>
        <w:rPr>
          <w:rFonts w:ascii="Palatino Linotype" w:hAnsi="Palatino Linotype"/>
        </w:rPr>
      </w:pPr>
    </w:p>
    <w:p w:rsidR="00C01A9E" w:rsidRPr="009E63DA" w:rsidRDefault="00C01A9E" w:rsidP="00C01A9E">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C01A9E" w:rsidRPr="009E63DA" w:rsidRDefault="00C01A9E" w:rsidP="00C01A9E">
      <w:pPr>
        <w:ind w:left="567" w:right="567"/>
        <w:jc w:val="both"/>
        <w:rPr>
          <w:rFonts w:ascii="Palatino Linotype" w:hAnsi="Palatino Linotype"/>
        </w:rPr>
      </w:pPr>
    </w:p>
    <w:p w:rsidR="00C01A9E" w:rsidRPr="009E63DA" w:rsidRDefault="00C01A9E" w:rsidP="00C01A9E">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C01A9E" w:rsidRPr="009E63DA" w:rsidRDefault="00C01A9E" w:rsidP="00C01A9E">
      <w:pPr>
        <w:ind w:left="851" w:right="851"/>
        <w:jc w:val="both"/>
        <w:rPr>
          <w:rFonts w:ascii="Palatino Linotype" w:hAnsi="Palatino Linotype"/>
          <w:i/>
        </w:rPr>
      </w:pPr>
      <w:r w:rsidRPr="009E63DA">
        <w:rPr>
          <w:rFonts w:ascii="Palatino Linotype" w:hAnsi="Palatino Linotype"/>
          <w:i/>
        </w:rPr>
        <w:t>…</w:t>
      </w:r>
    </w:p>
    <w:p w:rsidR="00C01A9E" w:rsidRPr="009E63DA" w:rsidRDefault="00C01A9E" w:rsidP="00C01A9E">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C01A9E" w:rsidRPr="009E63DA" w:rsidRDefault="00C01A9E" w:rsidP="00C01A9E">
      <w:pPr>
        <w:ind w:left="851" w:right="851"/>
        <w:jc w:val="both"/>
        <w:rPr>
          <w:rFonts w:ascii="Palatino Linotype" w:hAnsi="Palatino Linotype"/>
          <w:i/>
        </w:rPr>
      </w:pPr>
    </w:p>
    <w:p w:rsidR="00C01A9E" w:rsidRPr="009E63DA" w:rsidRDefault="00C01A9E" w:rsidP="00C01A9E">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C01A9E" w:rsidRPr="009E63DA" w:rsidRDefault="00C01A9E" w:rsidP="00C01A9E">
      <w:pPr>
        <w:ind w:left="851" w:right="851"/>
        <w:jc w:val="both"/>
        <w:rPr>
          <w:rFonts w:ascii="Palatino Linotype" w:hAnsi="Palatino Linotype"/>
          <w:bCs/>
          <w:i/>
        </w:rPr>
      </w:pPr>
    </w:p>
    <w:p w:rsidR="00C01A9E" w:rsidRPr="009E63DA" w:rsidRDefault="00C01A9E" w:rsidP="00C01A9E">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01A9E" w:rsidRPr="009E63DA" w:rsidRDefault="00C01A9E" w:rsidP="00C01A9E">
      <w:pPr>
        <w:ind w:left="851" w:right="851"/>
        <w:jc w:val="both"/>
        <w:rPr>
          <w:rFonts w:ascii="Palatino Linotype" w:hAnsi="Palatino Linotype"/>
          <w:bCs/>
          <w:i/>
        </w:rPr>
      </w:pPr>
    </w:p>
    <w:p w:rsidR="00C01A9E" w:rsidRPr="009E63DA" w:rsidRDefault="00C01A9E" w:rsidP="00C01A9E">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C01A9E" w:rsidRPr="009E63DA" w:rsidRDefault="00C01A9E" w:rsidP="00C01A9E">
      <w:pPr>
        <w:ind w:left="851" w:right="851"/>
        <w:jc w:val="both"/>
        <w:rPr>
          <w:rFonts w:ascii="Palatino Linotype" w:hAnsi="Palatino Linotype"/>
          <w:i/>
        </w:rPr>
      </w:pPr>
    </w:p>
    <w:p w:rsidR="00C01A9E" w:rsidRPr="009E63DA" w:rsidRDefault="00C01A9E" w:rsidP="00C01A9E">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C01A9E" w:rsidRPr="009E63DA" w:rsidRDefault="00C01A9E" w:rsidP="00C01A9E">
      <w:pPr>
        <w:ind w:left="851" w:right="851"/>
        <w:jc w:val="both"/>
        <w:rPr>
          <w:rFonts w:ascii="Palatino Linotype" w:hAnsi="Palatino Linotype"/>
          <w:i/>
        </w:rPr>
      </w:pPr>
    </w:p>
    <w:p w:rsidR="00C01A9E" w:rsidRPr="009E63DA" w:rsidRDefault="00C01A9E" w:rsidP="00C01A9E">
      <w:pPr>
        <w:ind w:left="851" w:right="851"/>
        <w:jc w:val="both"/>
        <w:rPr>
          <w:rFonts w:ascii="Palatino Linotype" w:hAnsi="Palatino Linotype"/>
          <w:i/>
          <w:u w:val="single"/>
        </w:rPr>
      </w:pPr>
      <w:r w:rsidRPr="009E63DA">
        <w:rPr>
          <w:rFonts w:ascii="Palatino Linotype" w:hAnsi="Palatino Linotype"/>
          <w:b/>
          <w:i/>
          <w:u w:val="single"/>
        </w:rPr>
        <w:t xml:space="preserve">Los sujetos obligados sólo proporcionarán la información pública que se les requiera y que obre en sus archivos y en el estado en que ésta se </w:t>
      </w:r>
      <w:r w:rsidRPr="009E63DA">
        <w:rPr>
          <w:rFonts w:ascii="Palatino Linotype" w:hAnsi="Palatino Linotype"/>
          <w:b/>
          <w:i/>
          <w:u w:val="single"/>
        </w:rPr>
        <w:lastRenderedPageBreak/>
        <w:t>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C01A9E" w:rsidRPr="009E63DA" w:rsidRDefault="00C01A9E" w:rsidP="00C01A9E">
      <w:pPr>
        <w:spacing w:line="360" w:lineRule="auto"/>
        <w:jc w:val="both"/>
        <w:rPr>
          <w:rFonts w:ascii="Palatino Linotype" w:hAnsi="Palatino Linotype"/>
        </w:rPr>
      </w:pPr>
    </w:p>
    <w:p w:rsidR="00C01A9E" w:rsidRDefault="00C01A9E" w:rsidP="00C01A9E">
      <w:pPr>
        <w:spacing w:line="360" w:lineRule="auto"/>
        <w:jc w:val="both"/>
        <w:rPr>
          <w:rFonts w:ascii="Palatino Linotype" w:hAnsi="Palatino Linotype" w:cs="Arial"/>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AD16B7" w:rsidRDefault="00AD16B7" w:rsidP="00C01A9E">
      <w:pPr>
        <w:spacing w:line="360" w:lineRule="auto"/>
        <w:jc w:val="both"/>
        <w:rPr>
          <w:rFonts w:ascii="Palatino Linotype" w:hAnsi="Palatino Linotype" w:cs="Arial"/>
        </w:rPr>
      </w:pPr>
    </w:p>
    <w:p w:rsidR="00C01A9E" w:rsidRPr="002C3EC8" w:rsidRDefault="00C01A9E" w:rsidP="00C01A9E">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rsidR="00C01A9E" w:rsidRPr="002C3EC8" w:rsidRDefault="00C01A9E" w:rsidP="00C01A9E">
      <w:pPr>
        <w:tabs>
          <w:tab w:val="left" w:pos="8647"/>
        </w:tabs>
        <w:spacing w:line="360" w:lineRule="auto"/>
        <w:ind w:right="51"/>
        <w:jc w:val="both"/>
        <w:rPr>
          <w:rFonts w:ascii="Palatino Linotype" w:hAnsi="Palatino Linotype" w:cs="Arial"/>
        </w:rPr>
      </w:pPr>
    </w:p>
    <w:p w:rsidR="00C01A9E" w:rsidRDefault="00C01A9E" w:rsidP="00C01A9E">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C01A9E" w:rsidRPr="00E60DEF" w:rsidRDefault="00C01A9E" w:rsidP="00C01A9E">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rsidR="00C01A9E" w:rsidRPr="00E60DEF" w:rsidRDefault="00C01A9E" w:rsidP="00C01A9E">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rsidR="00C01A9E" w:rsidRPr="001571EB" w:rsidRDefault="00C01A9E" w:rsidP="00C01A9E">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lastRenderedPageBreak/>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rsidR="00C01A9E" w:rsidRPr="001571EB" w:rsidRDefault="00C01A9E" w:rsidP="00C01A9E">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rsidR="00C01A9E" w:rsidRPr="001571EB" w:rsidRDefault="00C01A9E" w:rsidP="00C01A9E">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rsidR="00C01A9E" w:rsidRPr="001571EB" w:rsidRDefault="00C01A9E" w:rsidP="00C01A9E">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rsidR="00C01A9E" w:rsidRPr="001571EB" w:rsidRDefault="00C01A9E" w:rsidP="00C01A9E">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C01A9E" w:rsidRPr="001571EB" w:rsidRDefault="00C01A9E" w:rsidP="00C01A9E">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rsidR="00C01A9E" w:rsidRPr="001571EB" w:rsidRDefault="00C01A9E" w:rsidP="00C01A9E">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C01A9E" w:rsidRPr="00E60DEF" w:rsidRDefault="00C01A9E" w:rsidP="00C01A9E">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rsidR="00C01A9E" w:rsidRPr="001571EB" w:rsidRDefault="00C01A9E" w:rsidP="00C01A9E">
      <w:pPr>
        <w:spacing w:before="240" w:line="360" w:lineRule="auto"/>
        <w:ind w:left="851" w:right="851"/>
        <w:jc w:val="both"/>
        <w:rPr>
          <w:rFonts w:ascii="Palatino Linotype" w:hAnsi="Palatino Linotype" w:cs="Arial"/>
          <w:b/>
          <w:i/>
        </w:rPr>
      </w:pPr>
      <w:r>
        <w:rPr>
          <w:rFonts w:ascii="Palatino Linotype" w:hAnsi="Palatino Linotype" w:cs="Arial"/>
          <w:b/>
          <w:i/>
        </w:rPr>
        <w:t>(…)</w:t>
      </w:r>
    </w:p>
    <w:p w:rsidR="00C01A9E" w:rsidRDefault="00C01A9E" w:rsidP="00C01A9E">
      <w:pPr>
        <w:spacing w:before="240" w:line="360" w:lineRule="auto"/>
        <w:ind w:left="851" w:right="851"/>
        <w:jc w:val="both"/>
        <w:rPr>
          <w:rFonts w:ascii="Palatino Linotype" w:hAnsi="Palatino Linotype" w:cs="Arial"/>
          <w:b/>
          <w:i/>
        </w:rPr>
      </w:pPr>
      <w:r w:rsidRPr="00E60DEF">
        <w:rPr>
          <w:rFonts w:ascii="Palatino Linotype" w:hAnsi="Palatino Linotype" w:cs="Arial"/>
          <w:i/>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E60DEF">
        <w:rPr>
          <w:rFonts w:ascii="Palatino Linotype" w:hAnsi="Palatino Linotype" w:cs="Arial"/>
          <w:i/>
        </w:rPr>
        <w:lastRenderedPageBreak/>
        <w:t>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rsidR="00C01A9E" w:rsidRDefault="00C01A9E" w:rsidP="00C01A9E">
      <w:pPr>
        <w:spacing w:line="360" w:lineRule="auto"/>
        <w:ind w:right="51"/>
        <w:jc w:val="both"/>
        <w:rPr>
          <w:rFonts w:ascii="Palatino Linotype" w:eastAsia="Arial Unicode MS" w:hAnsi="Palatino Linotype" w:cs="Arial"/>
        </w:rPr>
      </w:pPr>
    </w:p>
    <w:p w:rsidR="00C01A9E" w:rsidRDefault="00C01A9E" w:rsidP="00C01A9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w:t>
      </w:r>
      <w:r w:rsidR="00DB6ED0">
        <w:rPr>
          <w:rFonts w:ascii="Palatino Linotype" w:eastAsia="Palatino Linotype" w:hAnsi="Palatino Linotype" w:cs="Palatino Linotype"/>
        </w:rPr>
        <w:t>huella digital</w:t>
      </w:r>
      <w:r>
        <w:rPr>
          <w:rFonts w:ascii="Palatino Linotype" w:eastAsia="Palatino Linotype" w:hAnsi="Palatino Linotype" w:cs="Palatino Linotype"/>
        </w:rPr>
        <w:t xml:space="preserve"> que sean exclusivamente de particulares, entre otros.</w:t>
      </w:r>
    </w:p>
    <w:p w:rsidR="00C01A9E" w:rsidRDefault="00C01A9E" w:rsidP="00C01A9E">
      <w:pPr>
        <w:spacing w:line="360" w:lineRule="auto"/>
        <w:jc w:val="both"/>
        <w:rPr>
          <w:rFonts w:ascii="Palatino Linotype" w:eastAsia="Palatino Linotype" w:hAnsi="Palatino Linotype" w:cs="Palatino Linotype"/>
        </w:rPr>
      </w:pPr>
    </w:p>
    <w:p w:rsidR="00DB6ED0" w:rsidRPr="00DB6ED0" w:rsidRDefault="00DB6ED0" w:rsidP="00DB6ED0">
      <w:pPr>
        <w:pStyle w:val="Prrafodelista"/>
        <w:numPr>
          <w:ilvl w:val="0"/>
          <w:numId w:val="11"/>
        </w:numPr>
        <w:spacing w:line="360" w:lineRule="auto"/>
        <w:ind w:right="51"/>
        <w:jc w:val="both"/>
        <w:rPr>
          <w:rFonts w:ascii="Palatino Linotype" w:eastAsia="Arial Unicode MS" w:hAnsi="Palatino Linotype" w:cs="Arial"/>
          <w:lang w:val="es-ES_tradnl" w:eastAsia="es-MX"/>
        </w:rPr>
      </w:pPr>
      <w:r w:rsidRPr="00DB6ED0">
        <w:rPr>
          <w:rFonts w:ascii="Palatino Linotype" w:eastAsia="Arial Unicode MS" w:hAnsi="Palatino Linotype" w:cs="Arial"/>
          <w:b/>
          <w:lang w:val="es-ES_tradnl" w:eastAsia="es-MX"/>
        </w:rPr>
        <w:t>HUELLA DIGITAL:</w:t>
      </w:r>
      <w:r w:rsidRPr="00DB6ED0">
        <w:rPr>
          <w:rFonts w:ascii="Palatino Linotype" w:eastAsia="Arial Unicode MS" w:hAnsi="Palatino Linotype" w:cs="Arial"/>
          <w:lang w:val="es-ES_tradnl" w:eastAsia="es-MX"/>
        </w:rPr>
        <w:t xml:space="preserve"> Es la impresión visible o moldeada que produce el contacto de las crestas papilares de un dedo de la mano sobre una superficie, por tanto, se considera que es una característica individual que se utiliza como medio de identificación de las personas. </w:t>
      </w:r>
    </w:p>
    <w:p w:rsidR="00C01A9E" w:rsidRPr="009E63DA" w:rsidRDefault="00C01A9E" w:rsidP="00C01A9E">
      <w:pPr>
        <w:spacing w:line="360" w:lineRule="auto"/>
        <w:jc w:val="both"/>
        <w:rPr>
          <w:rFonts w:ascii="Palatino Linotype" w:hAnsi="Palatino Linotype"/>
        </w:rPr>
      </w:pPr>
    </w:p>
    <w:p w:rsidR="00C01A9E" w:rsidRDefault="00C01A9E" w:rsidP="00C01A9E">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 xml:space="preserve">LINEAMIENTOS GENERALES EN MATERIA DE CLASIFICACIÓN Y DESCLASIFICACIÓN DE LA INFORMACIÓN, ASÍ COMO PARA LA ELABORACIÓN DE VERSIONES </w:t>
      </w:r>
      <w:r w:rsidRPr="00F54FF7">
        <w:rPr>
          <w:rFonts w:ascii="Palatino Linotype" w:eastAsia="Calibri" w:hAnsi="Palatino Linotype" w:cs="Arial"/>
          <w:b/>
          <w:lang w:val="es-ES_tradnl" w:eastAsia="es-MX"/>
        </w:rPr>
        <w:lastRenderedPageBreak/>
        <w:t>PÚBLICAS,</w:t>
      </w:r>
      <w:r w:rsidRPr="00F54FF7">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C01A9E" w:rsidRDefault="00C01A9E" w:rsidP="00C01A9E">
      <w:pPr>
        <w:spacing w:line="360" w:lineRule="auto"/>
        <w:jc w:val="both"/>
        <w:rPr>
          <w:rFonts w:ascii="Palatino Linotype" w:eastAsiaTheme="minorHAnsi" w:hAnsi="Palatino Linotype" w:cstheme="minorBidi"/>
          <w:lang w:val="es-MX" w:eastAsia="en-US"/>
        </w:rPr>
      </w:pPr>
    </w:p>
    <w:p w:rsidR="00C01A9E" w:rsidRPr="009A71E1" w:rsidRDefault="00C01A9E" w:rsidP="00C01A9E">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 xml:space="preserve">segunda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D54B11">
        <w:rPr>
          <w:rFonts w:ascii="Palatino Linotype" w:hAnsi="Palatino Linotype"/>
          <w:b/>
          <w:bCs/>
        </w:rPr>
        <w:t>00092/TLALNEPA/IP/2025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C01A9E" w:rsidRPr="009A71E1" w:rsidRDefault="00C01A9E" w:rsidP="00C01A9E">
      <w:pPr>
        <w:spacing w:line="360" w:lineRule="auto"/>
        <w:jc w:val="both"/>
        <w:rPr>
          <w:rFonts w:ascii="Palatino Linotype" w:eastAsiaTheme="minorHAnsi" w:hAnsi="Palatino Linotype" w:cstheme="minorBidi"/>
          <w:lang w:val="es-MX" w:eastAsia="en-US"/>
        </w:rPr>
      </w:pPr>
    </w:p>
    <w:p w:rsidR="00C01A9E" w:rsidRDefault="00C01A9E" w:rsidP="00C01A9E">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C01A9E" w:rsidRPr="009A71E1" w:rsidRDefault="00C01A9E" w:rsidP="00C01A9E">
      <w:pPr>
        <w:spacing w:line="360" w:lineRule="auto"/>
        <w:jc w:val="both"/>
        <w:rPr>
          <w:rFonts w:ascii="Palatino Linotype" w:hAnsi="Palatino Linotype"/>
          <w:lang w:val="es-MX"/>
        </w:rPr>
      </w:pPr>
    </w:p>
    <w:p w:rsidR="00C01A9E" w:rsidRPr="009A71E1" w:rsidRDefault="00C01A9E" w:rsidP="00C01A9E">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C01A9E" w:rsidRPr="00165D42" w:rsidRDefault="00C01A9E" w:rsidP="00C01A9E">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D54B11">
        <w:rPr>
          <w:rFonts w:ascii="Palatino Linotype" w:hAnsi="Palatino Linotype"/>
          <w:b/>
          <w:bCs/>
        </w:rPr>
        <w:t>00092/TLALNEPA/IP/2025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parcialmente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C01A9E" w:rsidRPr="00165D42" w:rsidRDefault="00C01A9E" w:rsidP="00C01A9E">
      <w:pPr>
        <w:spacing w:line="360" w:lineRule="auto"/>
        <w:jc w:val="both"/>
        <w:rPr>
          <w:rFonts w:ascii="Palatino Linotype" w:hAnsi="Palatino Linotype" w:cs="Arial"/>
        </w:rPr>
      </w:pPr>
    </w:p>
    <w:p w:rsidR="00C01A9E" w:rsidRDefault="00C01A9E" w:rsidP="00C01A9E">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C01A9E" w:rsidRPr="008735FA" w:rsidRDefault="00C01A9E" w:rsidP="00C01A9E">
      <w:pPr>
        <w:pStyle w:val="Prrafodelista"/>
        <w:tabs>
          <w:tab w:val="left" w:pos="1828"/>
        </w:tabs>
        <w:spacing w:line="360" w:lineRule="auto"/>
        <w:ind w:left="720"/>
        <w:jc w:val="both"/>
        <w:rPr>
          <w:rFonts w:ascii="Palatino Linotype" w:hAnsi="Palatino Linotype" w:cs="Tahoma"/>
          <w:bCs/>
        </w:rPr>
      </w:pPr>
    </w:p>
    <w:p w:rsidR="00C01A9E" w:rsidRPr="001D1808" w:rsidRDefault="00A0447E" w:rsidP="00C01A9E">
      <w:pPr>
        <w:pStyle w:val="INFOEM"/>
        <w:numPr>
          <w:ilvl w:val="0"/>
          <w:numId w:val="9"/>
        </w:numPr>
        <w:spacing w:before="0" w:after="0"/>
        <w:ind w:left="709" w:right="567"/>
        <w:rPr>
          <w:i w:val="0"/>
          <w:sz w:val="28"/>
          <w:szCs w:val="24"/>
        </w:rPr>
      </w:pPr>
      <w:r>
        <w:rPr>
          <w:rFonts w:cs="Tahoma"/>
          <w:bCs/>
          <w:i w:val="0"/>
          <w:sz w:val="24"/>
          <w:lang w:val="es-ES"/>
        </w:rPr>
        <w:lastRenderedPageBreak/>
        <w:t>Renuncias referidas en respuesta</w:t>
      </w:r>
      <w:r w:rsidR="00C01A9E">
        <w:rPr>
          <w:rFonts w:cs="Tahoma"/>
          <w:bCs/>
          <w:i w:val="0"/>
          <w:sz w:val="24"/>
          <w:lang w:val="es-ES"/>
        </w:rPr>
        <w:t>.</w:t>
      </w:r>
    </w:p>
    <w:p w:rsidR="00C01A9E" w:rsidRDefault="00C01A9E" w:rsidP="00C01A9E">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C01A9E" w:rsidRDefault="00C01A9E" w:rsidP="00A0447E">
      <w:pPr>
        <w:pStyle w:val="Citas"/>
        <w:ind w:left="0"/>
      </w:pPr>
    </w:p>
    <w:p w:rsidR="00C01A9E" w:rsidRPr="00DC5E29" w:rsidRDefault="00C01A9E" w:rsidP="00C01A9E">
      <w:pPr>
        <w:spacing w:line="360" w:lineRule="auto"/>
        <w:jc w:val="both"/>
        <w:rPr>
          <w:rFonts w:ascii="Palatino Linotype" w:hAnsi="Palatino Linotype" w:cs="Arial"/>
        </w:rPr>
      </w:pPr>
    </w:p>
    <w:p w:rsidR="00C01A9E" w:rsidRPr="00DC5E29" w:rsidRDefault="00C01A9E" w:rsidP="00C01A9E">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01A9E" w:rsidRPr="00DC5E29" w:rsidRDefault="00C01A9E" w:rsidP="00C01A9E">
      <w:pPr>
        <w:spacing w:line="360" w:lineRule="auto"/>
        <w:ind w:right="-595"/>
        <w:jc w:val="both"/>
        <w:rPr>
          <w:rFonts w:ascii="Palatino Linotype" w:hAnsi="Palatino Linotype" w:cs="Tahoma"/>
          <w:bCs/>
        </w:rPr>
      </w:pPr>
    </w:p>
    <w:p w:rsidR="00C01A9E" w:rsidRDefault="00C01A9E" w:rsidP="00C01A9E">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C01A9E" w:rsidRPr="00DC5E29" w:rsidRDefault="00C01A9E" w:rsidP="00C01A9E">
      <w:pPr>
        <w:autoSpaceDE w:val="0"/>
        <w:autoSpaceDN w:val="0"/>
        <w:adjustRightInd w:val="0"/>
        <w:spacing w:line="360" w:lineRule="auto"/>
        <w:jc w:val="both"/>
        <w:rPr>
          <w:rFonts w:ascii="Palatino Linotype" w:hAnsi="Palatino Linotype" w:cs="Arial"/>
        </w:rPr>
      </w:pPr>
    </w:p>
    <w:p w:rsidR="00C01A9E" w:rsidRDefault="00C01A9E" w:rsidP="00C01A9E">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C01A9E" w:rsidRPr="009E63DA" w:rsidRDefault="00C01A9E" w:rsidP="00C01A9E">
      <w:pPr>
        <w:spacing w:line="360" w:lineRule="auto"/>
        <w:jc w:val="both"/>
        <w:rPr>
          <w:rFonts w:ascii="Palatino Linotype" w:hAnsi="Palatino Linotype"/>
        </w:rPr>
      </w:pPr>
    </w:p>
    <w:p w:rsidR="00C01A9E" w:rsidRDefault="00C01A9E" w:rsidP="00C01A9E">
      <w:pPr>
        <w:spacing w:line="360" w:lineRule="auto"/>
        <w:jc w:val="both"/>
        <w:rPr>
          <w:rFonts w:ascii="Palatino Linotype" w:hAnsi="Palatino Linotype" w:cs="Arial"/>
        </w:rPr>
      </w:pPr>
    </w:p>
    <w:p w:rsidR="00C01A9E" w:rsidRDefault="00C01A9E" w:rsidP="00C01A9E">
      <w:pPr>
        <w:spacing w:line="360" w:lineRule="auto"/>
        <w:jc w:val="both"/>
        <w:rPr>
          <w:rFonts w:ascii="Palatino Linotype" w:hAnsi="Palatino Linotype" w:cs="Arial"/>
        </w:rPr>
      </w:pPr>
    </w:p>
    <w:p w:rsidR="00C01A9E" w:rsidRPr="007C3942" w:rsidRDefault="00C01A9E" w:rsidP="00C01A9E">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Pr>
          <w:rFonts w:ascii="Palatino Linotype" w:hAnsi="Palatino Linotype" w:cs="Arial"/>
        </w:rPr>
        <w:t xml:space="preserve">DÉCIMO </w:t>
      </w:r>
      <w:r w:rsidR="00A77230">
        <w:rPr>
          <w:rFonts w:ascii="Palatino Linotype" w:hAnsi="Palatino Linotype" w:cs="Arial"/>
        </w:rPr>
        <w:t>TERCERA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A77230">
        <w:rPr>
          <w:rFonts w:ascii="Palatino Linotype" w:hAnsi="Palatino Linotype" w:cs="Arial"/>
        </w:rPr>
        <w:t>NUEVE</w:t>
      </w:r>
      <w:r w:rsidR="00A0447E">
        <w:rPr>
          <w:rFonts w:ascii="Palatino Linotype" w:hAnsi="Palatino Linotype" w:cs="Arial"/>
        </w:rPr>
        <w:t xml:space="preserve"> DE ABRIL</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FF5528">
        <w:rPr>
          <w:rFonts w:ascii="Palatino Linotype" w:hAnsi="Palatino Linotype" w:cs="Arial"/>
        </w:rPr>
        <w:t>----------</w:t>
      </w:r>
    </w:p>
    <w:p w:rsidR="00C01A9E" w:rsidRDefault="00C01A9E" w:rsidP="00C01A9E">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Pr>
          <w:rFonts w:ascii="Palatino Linotype" w:hAnsi="Palatino Linotype" w:cs="Arial"/>
          <w:sz w:val="16"/>
        </w:rPr>
        <w:t>JMV/CCR</w:t>
      </w:r>
      <w:r w:rsidR="000607EF">
        <w:rPr>
          <w:rFonts w:ascii="Palatino Linotype" w:hAnsi="Palatino Linotype" w:cs="Arial"/>
          <w:sz w:val="16"/>
        </w:rPr>
        <w:t>/LMST</w:t>
      </w:r>
    </w:p>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C01A9E" w:rsidRDefault="00C01A9E" w:rsidP="00C01A9E"/>
    <w:p w:rsidR="00EA358E" w:rsidRDefault="00EA358E"/>
    <w:sectPr w:rsidR="00EA358E" w:rsidSect="00CA694C">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4C" w:rsidRDefault="00CA694C" w:rsidP="00C01A9E">
      <w:r>
        <w:separator/>
      </w:r>
    </w:p>
  </w:endnote>
  <w:endnote w:type="continuationSeparator" w:id="0">
    <w:p w:rsidR="00CA694C" w:rsidRDefault="00CA694C" w:rsidP="00C0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4C" w:rsidRPr="00A2780F" w:rsidRDefault="00CA694C" w:rsidP="00CA694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153CA">
      <w:rPr>
        <w:rFonts w:ascii="Arial" w:hAnsi="Arial" w:cs="Arial"/>
        <w:b/>
        <w:bCs/>
        <w:noProof/>
        <w:sz w:val="20"/>
        <w:szCs w:val="20"/>
      </w:rPr>
      <w:t>23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153CA">
      <w:rPr>
        <w:rFonts w:ascii="Arial" w:hAnsi="Arial" w:cs="Arial"/>
        <w:b/>
        <w:bCs/>
        <w:noProof/>
        <w:sz w:val="20"/>
        <w:szCs w:val="20"/>
      </w:rPr>
      <w:t>24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4C" w:rsidRPr="00070856" w:rsidRDefault="00CA694C" w:rsidP="00CA694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153CA">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153CA">
      <w:rPr>
        <w:rFonts w:ascii="Arial" w:hAnsi="Arial" w:cs="Arial"/>
        <w:b/>
        <w:bCs/>
        <w:noProof/>
        <w:sz w:val="20"/>
        <w:szCs w:val="20"/>
      </w:rPr>
      <w:t>24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4C" w:rsidRDefault="00CA694C" w:rsidP="00C01A9E">
      <w:r>
        <w:separator/>
      </w:r>
    </w:p>
  </w:footnote>
  <w:footnote w:type="continuationSeparator" w:id="0">
    <w:p w:rsidR="00CA694C" w:rsidRDefault="00CA694C" w:rsidP="00C01A9E">
      <w:r>
        <w:continuationSeparator/>
      </w:r>
    </w:p>
  </w:footnote>
  <w:footnote w:id="1">
    <w:p w:rsidR="00CA694C" w:rsidRPr="005552A8" w:rsidRDefault="00CA694C" w:rsidP="00C01A9E">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CA694C" w:rsidRPr="005552A8" w:rsidRDefault="00CA694C" w:rsidP="00C01A9E">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A694C" w:rsidRPr="008F2CCC" w:rsidTr="00CA694C">
      <w:tc>
        <w:tcPr>
          <w:tcW w:w="3620" w:type="dxa"/>
          <w:shd w:val="clear" w:color="auto" w:fill="auto"/>
        </w:tcPr>
        <w:p w:rsidR="00CA694C" w:rsidRPr="007E5FC4" w:rsidRDefault="00CA694C" w:rsidP="00CA694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CA694C" w:rsidRPr="00664658" w:rsidRDefault="00CA694C" w:rsidP="00C01A9E">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02010/INFOEM/IP/RR/2025</w:t>
          </w:r>
        </w:p>
      </w:tc>
    </w:tr>
    <w:tr w:rsidR="00CA694C" w:rsidRPr="008F2CCC" w:rsidTr="00CA694C">
      <w:tc>
        <w:tcPr>
          <w:tcW w:w="3620" w:type="dxa"/>
          <w:shd w:val="clear" w:color="auto" w:fill="auto"/>
        </w:tcPr>
        <w:p w:rsidR="00CA694C" w:rsidRPr="007E5FC4" w:rsidRDefault="00CA694C" w:rsidP="00CA694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CA694C" w:rsidRPr="00664658" w:rsidRDefault="00CA694C" w:rsidP="00CA694C">
          <w:pPr>
            <w:spacing w:line="276" w:lineRule="auto"/>
            <w:jc w:val="right"/>
            <w:rPr>
              <w:rFonts w:ascii="Palatino Linotype" w:hAnsi="Palatino Linotype"/>
              <w:b/>
              <w:sz w:val="22"/>
              <w:szCs w:val="22"/>
              <w:lang w:val="es-ES_tradnl"/>
            </w:rPr>
          </w:pPr>
          <w:r w:rsidRPr="00C01A9E">
            <w:rPr>
              <w:rFonts w:ascii="Palatino Linotype" w:hAnsi="Palatino Linotype"/>
              <w:b/>
              <w:sz w:val="22"/>
              <w:szCs w:val="22"/>
            </w:rPr>
            <w:t>Ayuntamiento de Tlalnepantla de Baz</w:t>
          </w:r>
        </w:p>
      </w:tc>
    </w:tr>
    <w:tr w:rsidR="00CA694C" w:rsidRPr="008F2CCC" w:rsidTr="00CA694C">
      <w:trPr>
        <w:trHeight w:val="228"/>
      </w:trPr>
      <w:tc>
        <w:tcPr>
          <w:tcW w:w="3620" w:type="dxa"/>
          <w:shd w:val="clear" w:color="auto" w:fill="auto"/>
        </w:tcPr>
        <w:p w:rsidR="00CA694C" w:rsidRPr="007E5FC4" w:rsidRDefault="00CA694C" w:rsidP="00CA694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CA694C" w:rsidRPr="00664658" w:rsidRDefault="00CA694C" w:rsidP="00CA694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A694C" w:rsidRDefault="00CA694C" w:rsidP="00CA694C">
    <w:pPr>
      <w:pStyle w:val="Encabezado"/>
      <w:tabs>
        <w:tab w:val="clear" w:pos="4252"/>
        <w:tab w:val="clear" w:pos="8504"/>
        <w:tab w:val="left" w:pos="2326"/>
      </w:tabs>
      <w:rPr>
        <w:rFonts w:ascii="Palatino Linotype" w:hAnsi="Palatino Linotype"/>
        <w:sz w:val="20"/>
      </w:rPr>
    </w:pPr>
  </w:p>
  <w:p w:rsidR="00CA694C" w:rsidRPr="001779E0" w:rsidRDefault="00CA694C" w:rsidP="00CA694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2778365" wp14:editId="4DF8A47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A694C" w:rsidRPr="008F2CCC" w:rsidTr="00CA694C">
      <w:tc>
        <w:tcPr>
          <w:tcW w:w="2977" w:type="dxa"/>
          <w:shd w:val="clear" w:color="auto" w:fill="auto"/>
        </w:tcPr>
        <w:p w:rsidR="00CA694C" w:rsidRPr="007E5FC4" w:rsidRDefault="00CA694C" w:rsidP="00CA694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CA694C" w:rsidRPr="008F2CCC" w:rsidRDefault="00CA694C" w:rsidP="00C01A9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02010/INFOEM/IP/RR/2025</w:t>
          </w:r>
        </w:p>
      </w:tc>
    </w:tr>
    <w:tr w:rsidR="00CA694C" w:rsidRPr="008F2CCC" w:rsidTr="00CA694C">
      <w:tc>
        <w:tcPr>
          <w:tcW w:w="2977" w:type="dxa"/>
          <w:shd w:val="clear" w:color="auto" w:fill="auto"/>
          <w:vAlign w:val="center"/>
        </w:tcPr>
        <w:p w:rsidR="00CA694C" w:rsidRPr="007E5FC4" w:rsidRDefault="00CA694C" w:rsidP="00CA694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CA694C" w:rsidRPr="008F2CCC" w:rsidRDefault="00D153CA" w:rsidP="00CA694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CA694C">
            <w:rPr>
              <w:rFonts w:ascii="Palatino Linotype" w:hAnsi="Palatino Linotype"/>
              <w:b/>
              <w:sz w:val="22"/>
              <w:szCs w:val="22"/>
              <w:lang w:val="es-ES_tradnl"/>
            </w:rPr>
            <w:t xml:space="preserve"> </w:t>
          </w:r>
        </w:p>
      </w:tc>
    </w:tr>
    <w:tr w:rsidR="00CA694C" w:rsidRPr="008F2CCC" w:rsidTr="00CA694C">
      <w:trPr>
        <w:trHeight w:val="228"/>
      </w:trPr>
      <w:tc>
        <w:tcPr>
          <w:tcW w:w="2977" w:type="dxa"/>
          <w:shd w:val="clear" w:color="auto" w:fill="auto"/>
        </w:tcPr>
        <w:p w:rsidR="00CA694C" w:rsidRPr="007E5FC4" w:rsidRDefault="00CA694C" w:rsidP="00CA694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CA694C" w:rsidRPr="00DC41C8" w:rsidRDefault="00CA694C" w:rsidP="00CA694C">
          <w:pPr>
            <w:spacing w:line="360" w:lineRule="auto"/>
            <w:jc w:val="right"/>
            <w:rPr>
              <w:rFonts w:ascii="Palatino Linotype" w:hAnsi="Palatino Linotype"/>
              <w:b/>
              <w:sz w:val="22"/>
              <w:szCs w:val="22"/>
            </w:rPr>
          </w:pPr>
          <w:r w:rsidRPr="00C01A9E">
            <w:rPr>
              <w:rFonts w:ascii="Palatino Linotype" w:hAnsi="Palatino Linotype"/>
              <w:b/>
              <w:sz w:val="22"/>
              <w:szCs w:val="22"/>
            </w:rPr>
            <w:t>Ayuntamiento de Tlalnepantla de Baz</w:t>
          </w:r>
        </w:p>
      </w:tc>
    </w:tr>
    <w:tr w:rsidR="00CA694C" w:rsidRPr="008F2CCC" w:rsidTr="00CA694C">
      <w:tc>
        <w:tcPr>
          <w:tcW w:w="2977" w:type="dxa"/>
          <w:shd w:val="clear" w:color="auto" w:fill="auto"/>
        </w:tcPr>
        <w:p w:rsidR="00CA694C" w:rsidRPr="007E5FC4" w:rsidRDefault="00CA694C" w:rsidP="00CA694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CA694C" w:rsidRPr="008F2CCC" w:rsidRDefault="00CA694C" w:rsidP="00CA694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A694C" w:rsidRPr="009F1AB6" w:rsidRDefault="00CA694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6CA3CD9" wp14:editId="278D45F2">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F523E"/>
    <w:multiLevelType w:val="hybridMultilevel"/>
    <w:tmpl w:val="C43A7F42"/>
    <w:lvl w:ilvl="0" w:tplc="9A2AE9B6">
      <w:start w:val="1"/>
      <w:numFmt w:val="decimal"/>
      <w:lvlText w:val="%1."/>
      <w:lvlJc w:val="left"/>
      <w:pPr>
        <w:ind w:left="720" w:hanging="360"/>
      </w:pPr>
      <w:rPr>
        <w:rFonts w:ascii="Palatino Linotype" w:hAnsi="Palatino Linotype"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A4FE0"/>
    <w:multiLevelType w:val="hybridMultilevel"/>
    <w:tmpl w:val="3DE283DA"/>
    <w:lvl w:ilvl="0" w:tplc="4EF212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D286727"/>
    <w:multiLevelType w:val="hybridMultilevel"/>
    <w:tmpl w:val="B09E44FA"/>
    <w:lvl w:ilvl="0" w:tplc="78DC02A4">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6"/>
  </w:num>
  <w:num w:numId="8">
    <w:abstractNumId w:val="0"/>
  </w:num>
  <w:num w:numId="9">
    <w:abstractNumId w:val="9"/>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9E"/>
    <w:rsid w:val="000607EF"/>
    <w:rsid w:val="006D4FA5"/>
    <w:rsid w:val="00955B49"/>
    <w:rsid w:val="00A0447E"/>
    <w:rsid w:val="00A77230"/>
    <w:rsid w:val="00AD16B7"/>
    <w:rsid w:val="00C01A9E"/>
    <w:rsid w:val="00CA694C"/>
    <w:rsid w:val="00D153CA"/>
    <w:rsid w:val="00D33855"/>
    <w:rsid w:val="00D54B11"/>
    <w:rsid w:val="00DB6ED0"/>
    <w:rsid w:val="00E77CD6"/>
    <w:rsid w:val="00EA358E"/>
    <w:rsid w:val="00FF5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875A7-2809-4079-948C-236F4A50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A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1A9E"/>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01A9E"/>
    <w:rPr>
      <w:rFonts w:eastAsiaTheme="minorEastAsia"/>
      <w:sz w:val="24"/>
      <w:szCs w:val="24"/>
      <w:lang w:val="es-ES_tradnl" w:eastAsia="es-ES"/>
    </w:rPr>
  </w:style>
  <w:style w:type="paragraph" w:styleId="Piedepgina">
    <w:name w:val="footer"/>
    <w:basedOn w:val="Normal"/>
    <w:link w:val="PiedepginaCar"/>
    <w:uiPriority w:val="99"/>
    <w:unhideWhenUsed/>
    <w:rsid w:val="00C01A9E"/>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01A9E"/>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1A9E"/>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01A9E"/>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01A9E"/>
    <w:pPr>
      <w:spacing w:after="0" w:line="240" w:lineRule="auto"/>
    </w:pPr>
  </w:style>
  <w:style w:type="character" w:customStyle="1" w:styleId="SinespaciadoCar">
    <w:name w:val="Sin espaciado Car"/>
    <w:aliases w:val="Francesa Car,INAI Car"/>
    <w:link w:val="Sinespaciado"/>
    <w:uiPriority w:val="1"/>
    <w:locked/>
    <w:rsid w:val="00C01A9E"/>
  </w:style>
  <w:style w:type="character" w:styleId="Hipervnculo">
    <w:name w:val="Hyperlink"/>
    <w:aliases w:val="Hipervínculo1,Hipervínculo11,Hipervínculo12,Hipervínculo13,Hipervínculo14,Hipervínculo15"/>
    <w:basedOn w:val="Fuentedeprrafopredeter"/>
    <w:uiPriority w:val="99"/>
    <w:unhideWhenUsed/>
    <w:rsid w:val="00C01A9E"/>
    <w:rPr>
      <w:color w:val="0563C1" w:themeColor="hyperlink"/>
      <w:u w:val="single"/>
    </w:rPr>
  </w:style>
  <w:style w:type="paragraph" w:customStyle="1" w:styleId="INFOEM">
    <w:name w:val="INFOEM"/>
    <w:basedOn w:val="Normal"/>
    <w:qFormat/>
    <w:rsid w:val="00C01A9E"/>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C01A9E"/>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01A9E"/>
    <w:rPr>
      <w:vertAlign w:val="superscript"/>
    </w:rPr>
  </w:style>
  <w:style w:type="paragraph" w:customStyle="1" w:styleId="infoemcitas">
    <w:name w:val="infoem citas"/>
    <w:basedOn w:val="Normal"/>
    <w:qFormat/>
    <w:rsid w:val="00C01A9E"/>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C0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0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C01A9E"/>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Textoennegrita">
    <w:name w:val="Strong"/>
    <w:uiPriority w:val="22"/>
    <w:qFormat/>
    <w:rsid w:val="00C01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24</Pages>
  <Words>5108</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9</cp:revision>
  <dcterms:created xsi:type="dcterms:W3CDTF">2025-03-20T18:45:00Z</dcterms:created>
  <dcterms:modified xsi:type="dcterms:W3CDTF">2025-04-29T20:06:00Z</dcterms:modified>
</cp:coreProperties>
</file>