
<file path=[Content_Types].xml><?xml version="1.0" encoding="utf-8"?>
<Types xmlns="http://schemas.openxmlformats.org/package/2006/content-types">
  <Default Extension="tmp"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A02CC6" w14:textId="77777777" w:rsidR="009B26BC" w:rsidRPr="00DF1186" w:rsidRDefault="009B26BC" w:rsidP="00DF1186">
      <w:pPr>
        <w:pStyle w:val="TtulodeTDC"/>
        <w:spacing w:line="360" w:lineRule="auto"/>
        <w:jc w:val="both"/>
        <w:rPr>
          <w:rFonts w:eastAsia="Times New Roman" w:cs="Times New Roman"/>
          <w:b w:val="0"/>
          <w:color w:val="auto"/>
          <w:szCs w:val="22"/>
          <w:lang w:val="es-ES" w:eastAsia="es-ES"/>
        </w:rPr>
      </w:pPr>
    </w:p>
    <w:sdt>
      <w:sdtPr>
        <w:rPr>
          <w:rFonts w:ascii="Times New Roman" w:eastAsia="Times New Roman" w:hAnsi="Times New Roman" w:cs="Times New Roman"/>
          <w:b w:val="0"/>
          <w:color w:val="auto"/>
          <w:sz w:val="20"/>
          <w:szCs w:val="22"/>
          <w:lang w:val="es-ES" w:eastAsia="es-ES"/>
        </w:rPr>
        <w:id w:val="309064069"/>
        <w:docPartObj>
          <w:docPartGallery w:val="Table of Contents"/>
          <w:docPartUnique/>
        </w:docPartObj>
      </w:sdtPr>
      <w:sdtEndPr>
        <w:rPr>
          <w:bCs/>
          <w:szCs w:val="20"/>
        </w:rPr>
      </w:sdtEndPr>
      <w:sdtContent>
        <w:p w14:paraId="25C7F9DF" w14:textId="2822ACB0" w:rsidR="007935E5" w:rsidRPr="00E51E73" w:rsidRDefault="007935E5" w:rsidP="00E51E73">
          <w:pPr>
            <w:pStyle w:val="TtulodeTDC"/>
            <w:spacing w:line="360" w:lineRule="auto"/>
            <w:rPr>
              <w:b w:val="0"/>
              <w:bCs/>
              <w:szCs w:val="22"/>
            </w:rPr>
          </w:pPr>
          <w:r w:rsidRPr="00E51E73">
            <w:rPr>
              <w:b w:val="0"/>
              <w:bCs/>
              <w:szCs w:val="22"/>
              <w:lang w:val="es-ES"/>
            </w:rPr>
            <w:t xml:space="preserve">RESOLUCIÓN DEL RECURSO DE REVISIÓN </w:t>
          </w:r>
          <w:r w:rsidRPr="00E51E73">
            <w:rPr>
              <w:rFonts w:eastAsia="Calibri" w:cs="Tahoma"/>
              <w:b w:val="0"/>
              <w:bCs/>
              <w:szCs w:val="22"/>
              <w:lang w:eastAsia="en-US"/>
            </w:rPr>
            <w:t>0</w:t>
          </w:r>
          <w:r w:rsidR="004711A3" w:rsidRPr="00E51E73">
            <w:rPr>
              <w:rFonts w:eastAsia="Calibri" w:cs="Tahoma"/>
              <w:b w:val="0"/>
              <w:bCs/>
              <w:szCs w:val="22"/>
              <w:lang w:eastAsia="en-US"/>
            </w:rPr>
            <w:t>0</w:t>
          </w:r>
          <w:r w:rsidR="00765288" w:rsidRPr="00E51E73">
            <w:rPr>
              <w:rFonts w:eastAsia="Calibri" w:cs="Tahoma"/>
              <w:b w:val="0"/>
              <w:bCs/>
              <w:szCs w:val="22"/>
              <w:lang w:eastAsia="en-US"/>
            </w:rPr>
            <w:t>201</w:t>
          </w:r>
          <w:r w:rsidRPr="00E51E73">
            <w:rPr>
              <w:rFonts w:eastAsia="Calibri" w:cs="Tahoma"/>
              <w:b w:val="0"/>
              <w:bCs/>
              <w:szCs w:val="22"/>
              <w:lang w:eastAsia="en-US"/>
            </w:rPr>
            <w:t>/INFOEM/IP/RR/202</w:t>
          </w:r>
          <w:r w:rsidR="004711A3" w:rsidRPr="00E51E73">
            <w:rPr>
              <w:rFonts w:eastAsia="Calibri" w:cs="Tahoma"/>
              <w:b w:val="0"/>
              <w:bCs/>
              <w:szCs w:val="22"/>
              <w:lang w:eastAsia="en-US"/>
            </w:rPr>
            <w:t>5</w:t>
          </w:r>
        </w:p>
        <w:p w14:paraId="0D49E46B" w14:textId="10296937" w:rsidR="00E51E73" w:rsidRPr="00E51E73" w:rsidRDefault="007935E5" w:rsidP="00E51E73">
          <w:pPr>
            <w:pStyle w:val="TDC1"/>
            <w:rPr>
              <w:rFonts w:ascii="Palatino Linotype" w:eastAsiaTheme="minorEastAsia" w:hAnsi="Palatino Linotype" w:cstheme="minorBidi"/>
              <w:noProof/>
              <w:sz w:val="22"/>
              <w:szCs w:val="22"/>
              <w:lang w:eastAsia="es-MX"/>
            </w:rPr>
          </w:pPr>
          <w:r w:rsidRPr="00E51E73">
            <w:rPr>
              <w:rFonts w:ascii="Palatino Linotype" w:hAnsi="Palatino Linotype"/>
              <w:bCs/>
              <w:sz w:val="22"/>
              <w:szCs w:val="22"/>
            </w:rPr>
            <w:fldChar w:fldCharType="begin"/>
          </w:r>
          <w:r w:rsidRPr="00E51E73">
            <w:rPr>
              <w:rFonts w:ascii="Palatino Linotype" w:hAnsi="Palatino Linotype"/>
              <w:bCs/>
              <w:sz w:val="22"/>
              <w:szCs w:val="22"/>
            </w:rPr>
            <w:instrText xml:space="preserve"> TOC \o "1-3" \h \z \u </w:instrText>
          </w:r>
          <w:r w:rsidRPr="00E51E73">
            <w:rPr>
              <w:rFonts w:ascii="Palatino Linotype" w:hAnsi="Palatino Linotype"/>
              <w:bCs/>
              <w:sz w:val="22"/>
              <w:szCs w:val="22"/>
            </w:rPr>
            <w:fldChar w:fldCharType="separate"/>
          </w:r>
          <w:hyperlink w:anchor="_Toc190334567" w:history="1">
            <w:r w:rsidR="00E51E73" w:rsidRPr="00E51E73">
              <w:rPr>
                <w:rStyle w:val="Hipervnculo"/>
                <w:rFonts w:ascii="Palatino Linotype" w:hAnsi="Palatino Linotype"/>
                <w:noProof/>
              </w:rPr>
              <w:t>A N T E C E D E N T E S</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_Toc190334567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2</w:t>
            </w:r>
            <w:r w:rsidR="00E51E73" w:rsidRPr="00E51E73">
              <w:rPr>
                <w:rFonts w:ascii="Palatino Linotype" w:hAnsi="Palatino Linotype"/>
                <w:noProof/>
                <w:webHidden/>
              </w:rPr>
              <w:fldChar w:fldCharType="end"/>
            </w:r>
          </w:hyperlink>
        </w:p>
        <w:p w14:paraId="66CCA241" w14:textId="25DC0B72"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68" w:history="1">
            <w:r w:rsidR="00E51E73" w:rsidRPr="00E51E73">
              <w:rPr>
                <w:rStyle w:val="Hipervnculo"/>
                <w:rFonts w:ascii="Palatino Linotype" w:hAnsi="Palatino Linotype"/>
                <w:noProof/>
              </w:rPr>
              <w:t>I. Presentación de la solicitud de información</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_Toc190334568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2</w:t>
            </w:r>
            <w:r w:rsidR="00E51E73" w:rsidRPr="00E51E73">
              <w:rPr>
                <w:rFonts w:ascii="Palatino Linotype" w:hAnsi="Palatino Linotype"/>
                <w:noProof/>
                <w:webHidden/>
              </w:rPr>
              <w:fldChar w:fldCharType="end"/>
            </w:r>
          </w:hyperlink>
        </w:p>
        <w:p w14:paraId="53797918" w14:textId="494B65AC"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69" w:history="1">
            <w:r w:rsidR="00E51E73" w:rsidRPr="00E51E73">
              <w:rPr>
                <w:rStyle w:val="Hipervnculo"/>
                <w:rFonts w:ascii="Palatino Linotype" w:hAnsi="Palatino Linotype"/>
                <w:noProof/>
              </w:rPr>
              <w:t>II. Respuesta del Sujeto Obligado</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_Toc190334569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3</w:t>
            </w:r>
            <w:r w:rsidR="00E51E73" w:rsidRPr="00E51E73">
              <w:rPr>
                <w:rFonts w:ascii="Palatino Linotype" w:hAnsi="Palatino Linotype"/>
                <w:noProof/>
                <w:webHidden/>
              </w:rPr>
              <w:fldChar w:fldCharType="end"/>
            </w:r>
          </w:hyperlink>
        </w:p>
        <w:p w14:paraId="7627739E" w14:textId="466DBA43"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0" w:history="1">
            <w:r w:rsidR="00E51E73" w:rsidRPr="00E51E73">
              <w:rPr>
                <w:rStyle w:val="Hipervnculo"/>
                <w:rFonts w:ascii="Palatino Linotype" w:hAnsi="Palatino Linotype"/>
                <w:noProof/>
                <w:lang w:eastAsia="en-US"/>
              </w:rPr>
              <w:t>III. Interposición del Recurso de Revisión</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_Toc190334570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3</w:t>
            </w:r>
            <w:r w:rsidR="00E51E73" w:rsidRPr="00E51E73">
              <w:rPr>
                <w:rFonts w:ascii="Palatino Linotype" w:hAnsi="Palatino Linotype"/>
                <w:noProof/>
                <w:webHidden/>
              </w:rPr>
              <w:fldChar w:fldCharType="end"/>
            </w:r>
          </w:hyperlink>
        </w:p>
        <w:p w14:paraId="628B75CC" w14:textId="6C315A54"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1" w:history="1">
            <w:r w:rsidR="00E51E73" w:rsidRPr="00E51E73">
              <w:rPr>
                <w:rStyle w:val="Hipervnculo"/>
                <w:rFonts w:ascii="Palatino Linotype" w:hAnsi="Palatino Linotype"/>
                <w:noProof/>
                <w:lang w:eastAsia="en-US"/>
              </w:rPr>
              <w:t>IV. Trámite del Recurso de Revisión ante el Instituto</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_Toc190334571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4</w:t>
            </w:r>
            <w:r w:rsidR="00E51E73" w:rsidRPr="00E51E73">
              <w:rPr>
                <w:rFonts w:ascii="Palatino Linotype" w:hAnsi="Palatino Linotype"/>
                <w:noProof/>
                <w:webHidden/>
              </w:rPr>
              <w:fldChar w:fldCharType="end"/>
            </w:r>
          </w:hyperlink>
        </w:p>
        <w:p w14:paraId="1B3307A0" w14:textId="4782113F" w:rsidR="00E51E73" w:rsidRPr="00E51E73" w:rsidRDefault="00DF5479" w:rsidP="00E51E73">
          <w:pPr>
            <w:pStyle w:val="TDC1"/>
            <w:rPr>
              <w:rFonts w:ascii="Palatino Linotype" w:eastAsiaTheme="minorEastAsia" w:hAnsi="Palatino Linotype" w:cstheme="minorBidi"/>
              <w:noProof/>
              <w:sz w:val="22"/>
              <w:szCs w:val="22"/>
              <w:lang w:eastAsia="es-MX"/>
            </w:rPr>
          </w:pPr>
          <w:hyperlink w:anchor="_Toc190334572" w:history="1">
            <w:r w:rsidR="00E51E73" w:rsidRPr="00E51E73">
              <w:rPr>
                <w:rStyle w:val="Hipervnculo"/>
                <w:rFonts w:ascii="Palatino Linotype" w:hAnsi="Palatino Linotype"/>
                <w:noProof/>
                <w:lang w:val="es-ES"/>
              </w:rPr>
              <w:t>C O N S I D E R A N D O S</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_Toc190334572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5</w:t>
            </w:r>
            <w:r w:rsidR="00E51E73" w:rsidRPr="00E51E73">
              <w:rPr>
                <w:rFonts w:ascii="Palatino Linotype" w:hAnsi="Palatino Linotype"/>
                <w:noProof/>
                <w:webHidden/>
              </w:rPr>
              <w:fldChar w:fldCharType="end"/>
            </w:r>
          </w:hyperlink>
        </w:p>
        <w:p w14:paraId="0FB849EA" w14:textId="1C2089CA"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3" w:history="1">
            <w:r w:rsidR="00E51E73" w:rsidRPr="00E51E73">
              <w:rPr>
                <w:rStyle w:val="Hipervnculo"/>
                <w:rFonts w:ascii="Palatino Linotype" w:eastAsia="Calibri" w:hAnsi="Palatino Linotype"/>
                <w:noProof/>
                <w:lang w:val="es-ES" w:eastAsia="es-MX"/>
              </w:rPr>
              <w:t xml:space="preserve">PRIMERO. </w:t>
            </w:r>
            <w:r w:rsidR="00E51E73" w:rsidRPr="00E51E73">
              <w:rPr>
                <w:rStyle w:val="Hipervnculo"/>
                <w:rFonts w:ascii="Palatino Linotype" w:hAnsi="Palatino Linotype"/>
                <w:noProof/>
                <w:lang w:val="es-ES"/>
              </w:rPr>
              <w:t>Competencia</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_Toc190334573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5</w:t>
            </w:r>
            <w:r w:rsidR="00E51E73" w:rsidRPr="00E51E73">
              <w:rPr>
                <w:rFonts w:ascii="Palatino Linotype" w:hAnsi="Palatino Linotype"/>
                <w:noProof/>
                <w:webHidden/>
              </w:rPr>
              <w:fldChar w:fldCharType="end"/>
            </w:r>
          </w:hyperlink>
        </w:p>
        <w:p w14:paraId="2BF83FBF" w14:textId="2BFCD616"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4" w:history="1">
            <w:r w:rsidR="00E51E73" w:rsidRPr="00E51E73">
              <w:rPr>
                <w:rStyle w:val="Hipervnculo"/>
                <w:rFonts w:ascii="Palatino Linotype" w:eastAsia="Calibri" w:hAnsi="Palatino Linotype"/>
                <w:noProof/>
                <w:lang w:val="es-ES" w:eastAsia="es-MX"/>
              </w:rPr>
              <w:t xml:space="preserve">SEGUNDO. </w:t>
            </w:r>
            <w:r w:rsidR="00E51E73" w:rsidRPr="00E51E73">
              <w:rPr>
                <w:rStyle w:val="Hipervnculo"/>
                <w:rFonts w:ascii="Palatino Linotype" w:hAnsi="Palatino Linotype"/>
                <w:noProof/>
                <w:lang w:val="es-ES"/>
              </w:rPr>
              <w:t>Causales de improcedencia y Sobreseimiento</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_Toc190334574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5</w:t>
            </w:r>
            <w:r w:rsidR="00E51E73" w:rsidRPr="00E51E73">
              <w:rPr>
                <w:rFonts w:ascii="Palatino Linotype" w:hAnsi="Palatino Linotype"/>
                <w:noProof/>
                <w:webHidden/>
              </w:rPr>
              <w:fldChar w:fldCharType="end"/>
            </w:r>
          </w:hyperlink>
        </w:p>
        <w:p w14:paraId="6DB23C87" w14:textId="32665B6C"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5" w:history="1">
            <w:r w:rsidR="00E51E73" w:rsidRPr="00E51E73">
              <w:rPr>
                <w:rStyle w:val="Hipervnculo"/>
                <w:rFonts w:ascii="Palatino Linotype" w:hAnsi="Palatino Linotype"/>
                <w:noProof/>
                <w:lang w:val="es-ES"/>
              </w:rPr>
              <w:t>TERCERO. Determinación de la Controversia</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_Toc190334575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7</w:t>
            </w:r>
            <w:r w:rsidR="00E51E73" w:rsidRPr="00E51E73">
              <w:rPr>
                <w:rFonts w:ascii="Palatino Linotype" w:hAnsi="Palatino Linotype"/>
                <w:noProof/>
                <w:webHidden/>
              </w:rPr>
              <w:fldChar w:fldCharType="end"/>
            </w:r>
          </w:hyperlink>
        </w:p>
        <w:p w14:paraId="69C90572" w14:textId="4D223B34"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6" w:history="1">
            <w:r w:rsidR="00E51E73" w:rsidRPr="00E51E73">
              <w:rPr>
                <w:rStyle w:val="Hipervnculo"/>
                <w:rFonts w:ascii="Palatino Linotype" w:hAnsi="Palatino Linotype"/>
                <w:noProof/>
                <w:lang w:val="es-ES"/>
              </w:rPr>
              <w:t xml:space="preserve">CUARTO. </w:t>
            </w:r>
            <w:r w:rsidR="00E51E73" w:rsidRPr="00E51E73">
              <w:rPr>
                <w:rStyle w:val="Hipervnculo"/>
                <w:rFonts w:ascii="Palatino Linotype" w:hAnsi="Palatino Linotype"/>
                <w:noProof/>
              </w:rPr>
              <w:t>Marco normativo aplicable en materia de transparencia y acceso a la información pública</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_Toc190334576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8</w:t>
            </w:r>
            <w:r w:rsidR="00E51E73" w:rsidRPr="00E51E73">
              <w:rPr>
                <w:rFonts w:ascii="Palatino Linotype" w:hAnsi="Palatino Linotype"/>
                <w:noProof/>
                <w:webHidden/>
              </w:rPr>
              <w:fldChar w:fldCharType="end"/>
            </w:r>
          </w:hyperlink>
        </w:p>
        <w:p w14:paraId="5FE2D0BC" w14:textId="5BA96787"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7" w:history="1">
            <w:r w:rsidR="00E51E73" w:rsidRPr="00E51E73">
              <w:rPr>
                <w:rStyle w:val="Hipervnculo"/>
                <w:rFonts w:ascii="Palatino Linotype" w:hAnsi="Palatino Linotype"/>
                <w:noProof/>
                <w:lang w:val="es-ES"/>
              </w:rPr>
              <w:t>QUINTO. Estudio de Fondo</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_Toc190334577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9</w:t>
            </w:r>
            <w:r w:rsidR="00E51E73" w:rsidRPr="00E51E73">
              <w:rPr>
                <w:rFonts w:ascii="Palatino Linotype" w:hAnsi="Palatino Linotype"/>
                <w:noProof/>
                <w:webHidden/>
              </w:rPr>
              <w:fldChar w:fldCharType="end"/>
            </w:r>
          </w:hyperlink>
        </w:p>
        <w:p w14:paraId="1B6EB2D6" w14:textId="43851843"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8" w:history="1">
            <w:r w:rsidR="00E51E73" w:rsidRPr="00E51E73">
              <w:rPr>
                <w:rStyle w:val="Hipervnculo"/>
                <w:rFonts w:ascii="Palatino Linotype" w:hAnsi="Palatino Linotype"/>
                <w:noProof/>
              </w:rPr>
              <w:t>SEXTO. Decisión</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_Toc190334578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16</w:t>
            </w:r>
            <w:r w:rsidR="00E51E73" w:rsidRPr="00E51E73">
              <w:rPr>
                <w:rFonts w:ascii="Palatino Linotype" w:hAnsi="Palatino Linotype"/>
                <w:noProof/>
                <w:webHidden/>
              </w:rPr>
              <w:fldChar w:fldCharType="end"/>
            </w:r>
          </w:hyperlink>
        </w:p>
        <w:p w14:paraId="00CF7CDC" w14:textId="06438496" w:rsidR="00E51E73" w:rsidRPr="00E51E73" w:rsidRDefault="00DF5479" w:rsidP="00E51E73">
          <w:pPr>
            <w:pStyle w:val="TDC2"/>
            <w:tabs>
              <w:tab w:val="right" w:leader="dot" w:pos="9034"/>
            </w:tabs>
            <w:spacing w:line="360" w:lineRule="auto"/>
            <w:rPr>
              <w:rFonts w:ascii="Palatino Linotype" w:eastAsiaTheme="minorEastAsia" w:hAnsi="Palatino Linotype" w:cstheme="minorBidi"/>
              <w:noProof/>
              <w:sz w:val="22"/>
              <w:szCs w:val="22"/>
              <w:lang w:eastAsia="es-MX"/>
            </w:rPr>
          </w:pPr>
          <w:hyperlink w:anchor="_Toc190334579" w:history="1">
            <w:r w:rsidR="00E51E73" w:rsidRPr="00E51E73">
              <w:rPr>
                <w:rStyle w:val="Hipervnculo"/>
                <w:rFonts w:ascii="Palatino Linotype" w:hAnsi="Palatino Linotype"/>
                <w:noProof/>
              </w:rPr>
              <w:t>SÉPTIMO. Vista a la Secretaría</w:t>
            </w:r>
            <w:r w:rsidR="00E51E73" w:rsidRPr="00E51E73">
              <w:rPr>
                <w:rStyle w:val="Hipervnculo"/>
                <w:rFonts w:ascii="Palatino Linotype" w:hAnsi="Palatino Linotype"/>
                <w:noProof/>
                <w:lang w:val="x-none"/>
              </w:rPr>
              <w:t xml:space="preserve"> Técnica del </w:t>
            </w:r>
            <w:r w:rsidR="00E51E73" w:rsidRPr="00E51E73">
              <w:rPr>
                <w:rStyle w:val="Hipervnculo"/>
                <w:rFonts w:ascii="Palatino Linotype" w:hAnsi="Palatino Linotype"/>
                <w:noProof/>
              </w:rPr>
              <w:t>Pleno</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_Toc190334579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16</w:t>
            </w:r>
            <w:r w:rsidR="00E51E73" w:rsidRPr="00E51E73">
              <w:rPr>
                <w:rFonts w:ascii="Palatino Linotype" w:hAnsi="Palatino Linotype"/>
                <w:noProof/>
                <w:webHidden/>
              </w:rPr>
              <w:fldChar w:fldCharType="end"/>
            </w:r>
          </w:hyperlink>
        </w:p>
        <w:p w14:paraId="32F5B17B" w14:textId="6E0CE50D" w:rsidR="00E51E73" w:rsidRPr="00E51E73" w:rsidRDefault="00DF5479" w:rsidP="00E51E73">
          <w:pPr>
            <w:pStyle w:val="TDC1"/>
            <w:rPr>
              <w:rFonts w:ascii="Palatino Linotype" w:eastAsiaTheme="minorEastAsia" w:hAnsi="Palatino Linotype" w:cstheme="minorBidi"/>
              <w:noProof/>
              <w:sz w:val="22"/>
              <w:szCs w:val="22"/>
              <w:lang w:eastAsia="es-MX"/>
            </w:rPr>
          </w:pPr>
          <w:hyperlink w:anchor="_Toc190334580" w:history="1">
            <w:r w:rsidR="00E51E73" w:rsidRPr="00E51E73">
              <w:rPr>
                <w:rStyle w:val="Hipervnculo"/>
                <w:rFonts w:ascii="Palatino Linotype" w:hAnsi="Palatino Linotype"/>
                <w:noProof/>
              </w:rPr>
              <w:t>R E S U E L V E</w:t>
            </w:r>
            <w:r w:rsidR="00E51E73" w:rsidRPr="00E51E73">
              <w:rPr>
                <w:rFonts w:ascii="Palatino Linotype" w:hAnsi="Palatino Linotype"/>
                <w:noProof/>
                <w:webHidden/>
              </w:rPr>
              <w:tab/>
            </w:r>
            <w:r w:rsidR="00E51E73" w:rsidRPr="00E51E73">
              <w:rPr>
                <w:rFonts w:ascii="Palatino Linotype" w:hAnsi="Palatino Linotype"/>
                <w:noProof/>
                <w:webHidden/>
              </w:rPr>
              <w:fldChar w:fldCharType="begin"/>
            </w:r>
            <w:r w:rsidR="00E51E73" w:rsidRPr="00E51E73">
              <w:rPr>
                <w:rFonts w:ascii="Palatino Linotype" w:hAnsi="Palatino Linotype"/>
                <w:noProof/>
                <w:webHidden/>
              </w:rPr>
              <w:instrText xml:space="preserve"> PAGEREF _Toc190334580 \h </w:instrText>
            </w:r>
            <w:r w:rsidR="00E51E73" w:rsidRPr="00E51E73">
              <w:rPr>
                <w:rFonts w:ascii="Palatino Linotype" w:hAnsi="Palatino Linotype"/>
                <w:noProof/>
                <w:webHidden/>
              </w:rPr>
            </w:r>
            <w:r w:rsidR="00E51E73" w:rsidRPr="00E51E73">
              <w:rPr>
                <w:rFonts w:ascii="Palatino Linotype" w:hAnsi="Palatino Linotype"/>
                <w:noProof/>
                <w:webHidden/>
              </w:rPr>
              <w:fldChar w:fldCharType="separate"/>
            </w:r>
            <w:r w:rsidR="00BE1A4C">
              <w:rPr>
                <w:rFonts w:ascii="Palatino Linotype" w:hAnsi="Palatino Linotype"/>
                <w:noProof/>
                <w:webHidden/>
              </w:rPr>
              <w:t>18</w:t>
            </w:r>
            <w:r w:rsidR="00E51E73" w:rsidRPr="00E51E73">
              <w:rPr>
                <w:rFonts w:ascii="Palatino Linotype" w:hAnsi="Palatino Linotype"/>
                <w:noProof/>
                <w:webHidden/>
              </w:rPr>
              <w:fldChar w:fldCharType="end"/>
            </w:r>
          </w:hyperlink>
        </w:p>
        <w:p w14:paraId="03C9AFF7" w14:textId="44FD5767" w:rsidR="007935E5" w:rsidRPr="00E51E73" w:rsidRDefault="007935E5" w:rsidP="00E51E73">
          <w:pPr>
            <w:spacing w:line="360" w:lineRule="auto"/>
            <w:jc w:val="both"/>
          </w:pPr>
          <w:r w:rsidRPr="00E51E73">
            <w:rPr>
              <w:rFonts w:ascii="Palatino Linotype" w:hAnsi="Palatino Linotype"/>
              <w:bCs/>
              <w:sz w:val="22"/>
              <w:szCs w:val="22"/>
              <w:lang w:val="es-ES"/>
            </w:rPr>
            <w:fldChar w:fldCharType="end"/>
          </w:r>
        </w:p>
      </w:sdtContent>
    </w:sdt>
    <w:p w14:paraId="0ED4147D" w14:textId="15B324B4" w:rsidR="00F82637" w:rsidRPr="00E51E73" w:rsidRDefault="007935E5" w:rsidP="004F4E53">
      <w:pPr>
        <w:spacing w:line="360" w:lineRule="auto"/>
        <w:jc w:val="both"/>
        <w:rPr>
          <w:rFonts w:ascii="Palatino Linotype" w:eastAsiaTheme="minorHAnsi" w:hAnsi="Palatino Linotype" w:cs="Tahoma"/>
          <w:bCs/>
          <w:color w:val="000000" w:themeColor="text1"/>
          <w:sz w:val="22"/>
          <w:szCs w:val="22"/>
          <w:lang w:eastAsia="en-US"/>
        </w:rPr>
      </w:pPr>
      <w:r w:rsidRPr="00E51E73">
        <w:rPr>
          <w:rFonts w:ascii="Palatino Linotype" w:eastAsiaTheme="minorHAnsi" w:hAnsi="Palatino Linotype" w:cs="Tahoma"/>
          <w:bCs/>
          <w:color w:val="000000" w:themeColor="text1"/>
          <w:sz w:val="22"/>
          <w:szCs w:val="22"/>
          <w:lang w:eastAsia="en-US"/>
        </w:rPr>
        <w:br w:type="column"/>
      </w:r>
      <w:r w:rsidR="00F82637" w:rsidRPr="00E51E73">
        <w:rPr>
          <w:rFonts w:ascii="Palatino Linotype" w:eastAsiaTheme="minorHAnsi" w:hAnsi="Palatino Linotype" w:cs="Tahoma"/>
          <w:bCs/>
          <w:color w:val="000000" w:themeColor="text1"/>
          <w:sz w:val="22"/>
          <w:szCs w:val="22"/>
          <w:lang w:eastAsia="en-US"/>
        </w:rPr>
        <w:lastRenderedPageBreak/>
        <w:t xml:space="preserve">Resolución del Pleno del Instituto de Transparencia, Acceso a la Información Pública y </w:t>
      </w:r>
      <w:r w:rsidR="00F82637" w:rsidRPr="00E51E73">
        <w:rPr>
          <w:rFonts w:ascii="Palatino Linotype" w:hAnsi="Palatino Linotype" w:cs="Tahoma"/>
          <w:bCs/>
          <w:sz w:val="22"/>
          <w:szCs w:val="22"/>
        </w:rPr>
        <w:t>Protección de Datos Personales del Estado de México y Municipios, con domicilio en Metepec, Estado de México, de fecha</w:t>
      </w:r>
      <w:r w:rsidR="00F33150" w:rsidRPr="00E51E73">
        <w:rPr>
          <w:rFonts w:ascii="Palatino Linotype" w:hAnsi="Palatino Linotype" w:cs="Tahoma"/>
          <w:bCs/>
          <w:sz w:val="22"/>
          <w:szCs w:val="22"/>
        </w:rPr>
        <w:t xml:space="preserve"> </w:t>
      </w:r>
      <w:r w:rsidR="004F0A2C" w:rsidRPr="00E51E73">
        <w:rPr>
          <w:rFonts w:ascii="Palatino Linotype" w:hAnsi="Palatino Linotype" w:cs="Tahoma"/>
          <w:bCs/>
          <w:sz w:val="22"/>
          <w:szCs w:val="22"/>
        </w:rPr>
        <w:t>doce de febrero</w:t>
      </w:r>
      <w:r w:rsidR="00881C2B" w:rsidRPr="00E51E73">
        <w:rPr>
          <w:rFonts w:ascii="Palatino Linotype" w:hAnsi="Palatino Linotype" w:cs="Tahoma"/>
          <w:bCs/>
          <w:sz w:val="22"/>
          <w:szCs w:val="22"/>
        </w:rPr>
        <w:t xml:space="preserve"> de dos mil veintic</w:t>
      </w:r>
      <w:r w:rsidR="00F33150" w:rsidRPr="00E51E73">
        <w:rPr>
          <w:rFonts w:ascii="Palatino Linotype" w:hAnsi="Palatino Linotype" w:cs="Tahoma"/>
          <w:bCs/>
          <w:sz w:val="22"/>
          <w:szCs w:val="22"/>
        </w:rPr>
        <w:t>inco</w:t>
      </w:r>
      <w:r w:rsidR="00F82637" w:rsidRPr="00E51E73">
        <w:rPr>
          <w:rFonts w:ascii="Palatino Linotype" w:hAnsi="Palatino Linotype" w:cs="Tahoma"/>
          <w:bCs/>
          <w:sz w:val="22"/>
          <w:szCs w:val="22"/>
        </w:rPr>
        <w:t xml:space="preserve">. </w:t>
      </w:r>
    </w:p>
    <w:p w14:paraId="7922BAAD" w14:textId="77777777" w:rsidR="00F82637" w:rsidRPr="00E51E73" w:rsidRDefault="00F82637" w:rsidP="004F4E53">
      <w:pPr>
        <w:spacing w:line="360" w:lineRule="auto"/>
        <w:jc w:val="both"/>
        <w:rPr>
          <w:rFonts w:ascii="Palatino Linotype" w:eastAsiaTheme="minorHAnsi" w:hAnsi="Palatino Linotype" w:cstheme="minorBidi"/>
          <w:color w:val="000000" w:themeColor="text1"/>
          <w:sz w:val="22"/>
          <w:szCs w:val="22"/>
          <w:lang w:eastAsia="en-US"/>
        </w:rPr>
      </w:pPr>
    </w:p>
    <w:p w14:paraId="446072B0" w14:textId="6280ECD8" w:rsidR="00F82637" w:rsidRPr="00E51E73" w:rsidRDefault="00F82637" w:rsidP="004F4E53">
      <w:pPr>
        <w:spacing w:line="360" w:lineRule="auto"/>
        <w:jc w:val="both"/>
        <w:rPr>
          <w:rFonts w:ascii="Palatino Linotype" w:eastAsiaTheme="minorHAnsi" w:hAnsi="Palatino Linotype" w:cstheme="minorBidi"/>
          <w:color w:val="000000" w:themeColor="text1"/>
          <w:sz w:val="22"/>
          <w:szCs w:val="22"/>
          <w:lang w:eastAsia="en-US"/>
        </w:rPr>
      </w:pPr>
      <w:r w:rsidRPr="00E51E73">
        <w:rPr>
          <w:rFonts w:ascii="Palatino Linotype" w:eastAsiaTheme="minorHAnsi" w:hAnsi="Palatino Linotype" w:cstheme="minorBidi"/>
          <w:b/>
          <w:bCs/>
          <w:color w:val="000000" w:themeColor="text1"/>
          <w:sz w:val="22"/>
          <w:szCs w:val="22"/>
          <w:lang w:eastAsia="en-US"/>
        </w:rPr>
        <w:t xml:space="preserve">VISTO </w:t>
      </w:r>
      <w:r w:rsidRPr="00E51E73">
        <w:rPr>
          <w:rFonts w:ascii="Palatino Linotype" w:eastAsiaTheme="minorHAnsi" w:hAnsi="Palatino Linotype" w:cstheme="minorBidi"/>
          <w:bCs/>
          <w:color w:val="000000" w:themeColor="text1"/>
          <w:sz w:val="22"/>
          <w:szCs w:val="22"/>
          <w:lang w:eastAsia="en-US"/>
        </w:rPr>
        <w:t xml:space="preserve">el expediente conformado con motivo del Recurso de Revisión </w:t>
      </w:r>
      <w:r w:rsidR="00A17E23" w:rsidRPr="00814E6D">
        <w:rPr>
          <w:rFonts w:ascii="Palatino Linotype" w:eastAsiaTheme="minorHAnsi" w:hAnsi="Palatino Linotype" w:cstheme="minorBidi"/>
          <w:b/>
          <w:bCs/>
          <w:color w:val="000000" w:themeColor="text1"/>
          <w:sz w:val="22"/>
          <w:szCs w:val="22"/>
          <w:lang w:eastAsia="en-US"/>
        </w:rPr>
        <w:t>0</w:t>
      </w:r>
      <w:r w:rsidR="003E16CF" w:rsidRPr="00814E6D">
        <w:rPr>
          <w:rFonts w:ascii="Palatino Linotype" w:eastAsiaTheme="minorHAnsi" w:hAnsi="Palatino Linotype" w:cstheme="minorBidi"/>
          <w:b/>
          <w:bCs/>
          <w:color w:val="000000" w:themeColor="text1"/>
          <w:sz w:val="22"/>
          <w:szCs w:val="22"/>
          <w:lang w:eastAsia="en-US"/>
        </w:rPr>
        <w:t>0</w:t>
      </w:r>
      <w:r w:rsidR="00D2369D" w:rsidRPr="00814E6D">
        <w:rPr>
          <w:rFonts w:ascii="Palatino Linotype" w:eastAsiaTheme="minorHAnsi" w:hAnsi="Palatino Linotype" w:cstheme="minorBidi"/>
          <w:b/>
          <w:bCs/>
          <w:color w:val="000000" w:themeColor="text1"/>
          <w:sz w:val="22"/>
          <w:szCs w:val="22"/>
          <w:lang w:eastAsia="en-US"/>
        </w:rPr>
        <w:t>201</w:t>
      </w:r>
      <w:r w:rsidR="00747F8C" w:rsidRPr="00814E6D">
        <w:rPr>
          <w:rFonts w:ascii="Palatino Linotype" w:eastAsiaTheme="minorHAnsi" w:hAnsi="Palatino Linotype" w:cstheme="minorBidi"/>
          <w:b/>
          <w:bCs/>
          <w:color w:val="000000" w:themeColor="text1"/>
          <w:sz w:val="22"/>
          <w:szCs w:val="22"/>
          <w:lang w:eastAsia="en-US"/>
        </w:rPr>
        <w:t>/INFOEM/IP/RR/202</w:t>
      </w:r>
      <w:r w:rsidR="003E16CF" w:rsidRPr="00814E6D">
        <w:rPr>
          <w:rFonts w:ascii="Palatino Linotype" w:eastAsiaTheme="minorHAnsi" w:hAnsi="Palatino Linotype" w:cstheme="minorBidi"/>
          <w:b/>
          <w:bCs/>
          <w:color w:val="000000" w:themeColor="text1"/>
          <w:sz w:val="22"/>
          <w:szCs w:val="22"/>
          <w:lang w:eastAsia="en-US"/>
        </w:rPr>
        <w:t>5</w:t>
      </w:r>
      <w:r w:rsidRPr="00814E6D">
        <w:rPr>
          <w:rFonts w:ascii="Palatino Linotype" w:eastAsiaTheme="minorHAnsi" w:hAnsi="Palatino Linotype" w:cstheme="minorBidi"/>
          <w:b/>
          <w:bCs/>
          <w:color w:val="000000" w:themeColor="text1"/>
          <w:sz w:val="22"/>
          <w:szCs w:val="22"/>
          <w:lang w:eastAsia="en-US"/>
        </w:rPr>
        <w:t>,</w:t>
      </w:r>
      <w:r w:rsidRPr="00E51E73">
        <w:rPr>
          <w:rFonts w:ascii="Palatino Linotype" w:eastAsiaTheme="minorHAnsi" w:hAnsi="Palatino Linotype" w:cstheme="minorBidi"/>
          <w:color w:val="000000" w:themeColor="text1"/>
          <w:sz w:val="22"/>
          <w:szCs w:val="22"/>
          <w:lang w:eastAsia="en-US"/>
        </w:rPr>
        <w:t xml:space="preserve"> inter</w:t>
      </w:r>
      <w:r w:rsidR="001723FE" w:rsidRPr="00E51E73">
        <w:rPr>
          <w:rFonts w:ascii="Palatino Linotype" w:eastAsiaTheme="minorHAnsi" w:hAnsi="Palatino Linotype" w:cstheme="minorBidi"/>
          <w:color w:val="000000" w:themeColor="text1"/>
          <w:sz w:val="22"/>
          <w:szCs w:val="22"/>
          <w:lang w:eastAsia="en-US"/>
        </w:rPr>
        <w:t xml:space="preserve">puesto </w:t>
      </w:r>
      <w:r w:rsidR="007F28D2" w:rsidRPr="00E51E73">
        <w:rPr>
          <w:rFonts w:ascii="Palatino Linotype" w:eastAsiaTheme="minorHAnsi" w:hAnsi="Palatino Linotype" w:cstheme="minorBidi"/>
          <w:color w:val="000000" w:themeColor="text1"/>
          <w:sz w:val="22"/>
          <w:szCs w:val="22"/>
          <w:lang w:eastAsia="en-US"/>
        </w:rPr>
        <w:t>por</w:t>
      </w:r>
      <w:r w:rsidR="00985347" w:rsidRPr="00E51E73">
        <w:rPr>
          <w:rFonts w:ascii="Palatino Linotype" w:eastAsia="Calibri" w:hAnsi="Palatino Linotype" w:cs="Tahoma"/>
          <w:sz w:val="22"/>
          <w:szCs w:val="22"/>
          <w:lang w:eastAsia="en-US"/>
        </w:rPr>
        <w:t xml:space="preserve"> </w:t>
      </w:r>
      <w:r w:rsidR="00C22E73" w:rsidRPr="00C22E73">
        <w:rPr>
          <w:rFonts w:ascii="Palatino Linotype" w:eastAsia="Calibri" w:hAnsi="Palatino Linotype" w:cs="Tahoma"/>
          <w:b/>
          <w:bCs/>
          <w:sz w:val="22"/>
          <w:szCs w:val="22"/>
          <w:highlight w:val="black"/>
          <w:lang w:eastAsia="en-US"/>
        </w:rPr>
        <w:t>XXXXXXXXXXXXXXXXXXXXXXXXXX</w:t>
      </w:r>
      <w:bookmarkStart w:id="0" w:name="_GoBack"/>
      <w:bookmarkEnd w:id="0"/>
      <w:r w:rsidR="003E16CF" w:rsidRPr="00814E6D">
        <w:rPr>
          <w:rFonts w:ascii="Palatino Linotype" w:eastAsiaTheme="minorHAnsi" w:hAnsi="Palatino Linotype" w:cstheme="minorBidi"/>
          <w:b/>
          <w:bCs/>
          <w:color w:val="000000" w:themeColor="text1"/>
          <w:sz w:val="22"/>
          <w:szCs w:val="22"/>
          <w:lang w:eastAsia="en-US"/>
        </w:rPr>
        <w:t xml:space="preserve">, </w:t>
      </w:r>
      <w:r w:rsidR="003E16CF" w:rsidRPr="00E51E73">
        <w:rPr>
          <w:rFonts w:ascii="Palatino Linotype" w:eastAsiaTheme="minorHAnsi" w:hAnsi="Palatino Linotype" w:cstheme="minorBidi"/>
          <w:color w:val="000000" w:themeColor="text1"/>
          <w:sz w:val="22"/>
          <w:szCs w:val="22"/>
          <w:lang w:eastAsia="en-US"/>
        </w:rPr>
        <w:t xml:space="preserve">en lo sucesivo, </w:t>
      </w:r>
      <w:r w:rsidR="00281735" w:rsidRPr="00E51E73">
        <w:rPr>
          <w:rFonts w:ascii="Palatino Linotype" w:eastAsiaTheme="minorHAnsi" w:hAnsi="Palatino Linotype" w:cstheme="minorBidi"/>
          <w:color w:val="000000" w:themeColor="text1"/>
          <w:sz w:val="22"/>
          <w:szCs w:val="22"/>
          <w:lang w:eastAsia="en-US"/>
        </w:rPr>
        <w:t xml:space="preserve">la persona </w:t>
      </w:r>
      <w:r w:rsidRPr="00E51E73">
        <w:rPr>
          <w:rFonts w:ascii="Palatino Linotype" w:eastAsiaTheme="minorHAnsi" w:hAnsi="Palatino Linotype" w:cs="Tahoma"/>
          <w:color w:val="0D0D0D" w:themeColor="text1" w:themeTint="F2"/>
          <w:sz w:val="22"/>
          <w:szCs w:val="22"/>
          <w:lang w:eastAsia="en-US"/>
        </w:rPr>
        <w:t>Recurrente o Particular</w:t>
      </w:r>
      <w:r w:rsidRPr="00E51E73">
        <w:rPr>
          <w:rFonts w:ascii="Palatino Linotype" w:eastAsiaTheme="minorHAnsi" w:hAnsi="Palatino Linotype" w:cstheme="minorBidi"/>
          <w:color w:val="000000" w:themeColor="text1"/>
          <w:sz w:val="22"/>
          <w:szCs w:val="22"/>
          <w:lang w:eastAsia="en-US"/>
        </w:rPr>
        <w:t xml:space="preserve">, en contra de la </w:t>
      </w:r>
      <w:r w:rsidR="003B4F63" w:rsidRPr="00E51E73">
        <w:rPr>
          <w:rFonts w:ascii="Palatino Linotype" w:eastAsiaTheme="minorHAnsi" w:hAnsi="Palatino Linotype" w:cstheme="minorBidi"/>
          <w:color w:val="000000" w:themeColor="text1"/>
          <w:sz w:val="22"/>
          <w:szCs w:val="22"/>
          <w:lang w:eastAsia="en-US"/>
        </w:rPr>
        <w:t xml:space="preserve">falta de </w:t>
      </w:r>
      <w:r w:rsidRPr="00E51E73">
        <w:rPr>
          <w:rFonts w:ascii="Palatino Linotype" w:eastAsiaTheme="minorHAnsi" w:hAnsi="Palatino Linotype" w:cstheme="minorBidi"/>
          <w:color w:val="000000" w:themeColor="text1"/>
          <w:sz w:val="22"/>
          <w:szCs w:val="22"/>
          <w:lang w:eastAsia="en-US"/>
        </w:rPr>
        <w:t xml:space="preserve">respuesta del Sujeto Obligado, </w:t>
      </w:r>
      <w:r w:rsidR="003E16CF" w:rsidRPr="00814E6D">
        <w:rPr>
          <w:rFonts w:ascii="Palatino Linotype" w:eastAsia="Calibri" w:hAnsi="Palatino Linotype" w:cs="Tahoma"/>
          <w:b/>
          <w:sz w:val="22"/>
          <w:szCs w:val="22"/>
          <w:lang w:eastAsia="en-US"/>
        </w:rPr>
        <w:t xml:space="preserve">Ayuntamiento de </w:t>
      </w:r>
      <w:r w:rsidR="00D2369D" w:rsidRPr="00814E6D">
        <w:rPr>
          <w:rFonts w:ascii="Palatino Linotype" w:eastAsia="Calibri" w:hAnsi="Palatino Linotype" w:cs="Tahoma"/>
          <w:b/>
          <w:sz w:val="22"/>
          <w:szCs w:val="22"/>
          <w:lang w:eastAsia="en-US"/>
        </w:rPr>
        <w:t>Nextlalpan</w:t>
      </w:r>
      <w:r w:rsidRPr="00E51E73">
        <w:rPr>
          <w:rFonts w:ascii="Palatino Linotype" w:eastAsiaTheme="minorHAnsi" w:hAnsi="Palatino Linotype" w:cstheme="minorBidi"/>
          <w:color w:val="000000" w:themeColor="text1"/>
          <w:sz w:val="22"/>
          <w:szCs w:val="22"/>
          <w:lang w:eastAsia="en-US"/>
        </w:rPr>
        <w:t xml:space="preserve">, a la solicitud de acceso a la información pública </w:t>
      </w:r>
      <w:r w:rsidR="00A17E23" w:rsidRPr="00E51E73">
        <w:rPr>
          <w:rFonts w:ascii="Palatino Linotype" w:eastAsiaTheme="minorHAnsi" w:hAnsi="Palatino Linotype" w:cstheme="minorBidi"/>
          <w:color w:val="000000" w:themeColor="text1"/>
          <w:sz w:val="22"/>
          <w:szCs w:val="22"/>
          <w:lang w:eastAsia="en-US"/>
        </w:rPr>
        <w:t>0</w:t>
      </w:r>
      <w:r w:rsidR="00F33150" w:rsidRPr="00E51E73">
        <w:rPr>
          <w:rFonts w:ascii="Palatino Linotype" w:eastAsiaTheme="minorHAnsi" w:hAnsi="Palatino Linotype" w:cstheme="minorBidi"/>
          <w:color w:val="000000" w:themeColor="text1"/>
          <w:sz w:val="22"/>
          <w:szCs w:val="22"/>
          <w:lang w:eastAsia="en-US"/>
        </w:rPr>
        <w:t>0</w:t>
      </w:r>
      <w:r w:rsidR="00D2369D" w:rsidRPr="00E51E73">
        <w:rPr>
          <w:rFonts w:ascii="Palatino Linotype" w:eastAsiaTheme="minorHAnsi" w:hAnsi="Palatino Linotype" w:cstheme="minorBidi"/>
          <w:color w:val="000000" w:themeColor="text1"/>
          <w:sz w:val="22"/>
          <w:szCs w:val="22"/>
          <w:lang w:eastAsia="en-US"/>
        </w:rPr>
        <w:t>104</w:t>
      </w:r>
      <w:r w:rsidR="00A17E23" w:rsidRPr="00E51E73">
        <w:rPr>
          <w:rFonts w:ascii="Palatino Linotype" w:eastAsiaTheme="minorHAnsi" w:hAnsi="Palatino Linotype" w:cstheme="minorBidi"/>
          <w:color w:val="000000" w:themeColor="text1"/>
          <w:sz w:val="22"/>
          <w:szCs w:val="22"/>
          <w:lang w:eastAsia="en-US"/>
        </w:rPr>
        <w:t>/</w:t>
      </w:r>
      <w:r w:rsidR="00D2369D" w:rsidRPr="00E51E73">
        <w:rPr>
          <w:rFonts w:ascii="Palatino Linotype" w:eastAsiaTheme="minorHAnsi" w:hAnsi="Palatino Linotype" w:cstheme="minorBidi"/>
          <w:color w:val="000000" w:themeColor="text1"/>
          <w:sz w:val="22"/>
          <w:szCs w:val="22"/>
          <w:lang w:eastAsia="en-US"/>
        </w:rPr>
        <w:t>NEXTLAL</w:t>
      </w:r>
      <w:r w:rsidR="00A17E23" w:rsidRPr="00E51E73">
        <w:rPr>
          <w:rFonts w:ascii="Palatino Linotype" w:eastAsiaTheme="minorHAnsi" w:hAnsi="Palatino Linotype" w:cstheme="minorBidi"/>
          <w:color w:val="000000" w:themeColor="text1"/>
          <w:sz w:val="22"/>
          <w:szCs w:val="22"/>
          <w:lang w:eastAsia="en-US"/>
        </w:rPr>
        <w:t>/IP/2024</w:t>
      </w:r>
      <w:r w:rsidRPr="00E51E73">
        <w:rPr>
          <w:rFonts w:ascii="Palatino Linotype" w:eastAsiaTheme="minorHAnsi" w:hAnsi="Palatino Linotype" w:cstheme="minorBidi"/>
          <w:color w:val="000000" w:themeColor="text1"/>
          <w:sz w:val="22"/>
          <w:szCs w:val="22"/>
          <w:lang w:eastAsia="en-US"/>
        </w:rPr>
        <w:t>, se emite la presente Resolución, con base en los Antecedentes y Considerandos que a continuación</w:t>
      </w:r>
      <w:r w:rsidRPr="00E51E73">
        <w:rPr>
          <w:rFonts w:ascii="Palatino Linotype" w:eastAsiaTheme="minorHAnsi" w:hAnsi="Palatino Linotype" w:cstheme="minorBidi"/>
          <w:bCs/>
          <w:color w:val="000000" w:themeColor="text1"/>
          <w:sz w:val="22"/>
          <w:szCs w:val="22"/>
          <w:lang w:eastAsia="en-US"/>
        </w:rPr>
        <w:t xml:space="preserve"> se exponen:</w:t>
      </w:r>
    </w:p>
    <w:p w14:paraId="38162D29" w14:textId="77777777" w:rsidR="008F4B45" w:rsidRPr="00E51E73" w:rsidRDefault="008F4B45" w:rsidP="002B57E5">
      <w:pPr>
        <w:pStyle w:val="Subttulo"/>
      </w:pPr>
    </w:p>
    <w:p w14:paraId="45CF508A" w14:textId="6496B8EC" w:rsidR="008F4B45" w:rsidRPr="00E51E73" w:rsidRDefault="003F5E0D" w:rsidP="002B57E5">
      <w:pPr>
        <w:pStyle w:val="Ttulo1"/>
      </w:pPr>
      <w:bookmarkStart w:id="1" w:name="_Toc190334567"/>
      <w:r w:rsidRPr="00E51E73">
        <w:t>A N T E C E D E N T E S</w:t>
      </w:r>
      <w:bookmarkEnd w:id="1"/>
    </w:p>
    <w:p w14:paraId="3D51A562" w14:textId="77777777" w:rsidR="008F4B45" w:rsidRPr="00E51E73" w:rsidRDefault="008F4B45" w:rsidP="002B57E5">
      <w:pPr>
        <w:pStyle w:val="ResolucinV"/>
      </w:pPr>
    </w:p>
    <w:p w14:paraId="07539392" w14:textId="0541120D" w:rsidR="00F469B3" w:rsidRPr="00E51E73" w:rsidRDefault="00F469B3" w:rsidP="002B57E5">
      <w:pPr>
        <w:pStyle w:val="Ttulo2"/>
      </w:pPr>
      <w:bookmarkStart w:id="2" w:name="_Toc190334568"/>
      <w:r w:rsidRPr="00E51E73">
        <w:t>I. Presentación de la solicitud de información</w:t>
      </w:r>
      <w:bookmarkEnd w:id="2"/>
    </w:p>
    <w:p w14:paraId="2C510854" w14:textId="77777777" w:rsidR="00F469B3" w:rsidRPr="00E51E73" w:rsidRDefault="00F469B3" w:rsidP="004F4E53">
      <w:pPr>
        <w:tabs>
          <w:tab w:val="left" w:pos="567"/>
        </w:tabs>
        <w:spacing w:line="360" w:lineRule="auto"/>
        <w:jc w:val="both"/>
        <w:rPr>
          <w:rFonts w:ascii="Palatino Linotype" w:hAnsi="Palatino Linotype" w:cs="Tahoma"/>
          <w:sz w:val="22"/>
          <w:szCs w:val="22"/>
        </w:rPr>
      </w:pPr>
    </w:p>
    <w:p w14:paraId="0F999651" w14:textId="4A1BA5E4" w:rsidR="00253EAE" w:rsidRPr="00E51E73" w:rsidRDefault="00542F88" w:rsidP="00253EAE">
      <w:pPr>
        <w:autoSpaceDE w:val="0"/>
        <w:autoSpaceDN w:val="0"/>
        <w:adjustRightInd w:val="0"/>
        <w:spacing w:line="360" w:lineRule="auto"/>
        <w:jc w:val="both"/>
        <w:rPr>
          <w:rFonts w:ascii="Palatino Linotype" w:eastAsiaTheme="minorHAnsi" w:hAnsi="Palatino Linotype" w:cs="Tahoma"/>
          <w:color w:val="000000" w:themeColor="text1"/>
          <w:sz w:val="22"/>
          <w:szCs w:val="22"/>
          <w:lang w:eastAsia="en-US"/>
        </w:rPr>
      </w:pPr>
      <w:r w:rsidRPr="00E51E73">
        <w:rPr>
          <w:rFonts w:ascii="Palatino Linotype" w:eastAsiaTheme="minorHAnsi" w:hAnsi="Palatino Linotype" w:cs="Tahoma"/>
          <w:color w:val="000000" w:themeColor="text1"/>
          <w:sz w:val="22"/>
          <w:szCs w:val="22"/>
          <w:lang w:eastAsia="en-US"/>
        </w:rPr>
        <w:t xml:space="preserve">El </w:t>
      </w:r>
      <w:r w:rsidR="00D2369D" w:rsidRPr="00E51E73">
        <w:rPr>
          <w:rFonts w:ascii="Palatino Linotype" w:eastAsiaTheme="minorHAnsi" w:hAnsi="Palatino Linotype" w:cs="Tahoma"/>
          <w:color w:val="000000" w:themeColor="text1"/>
          <w:sz w:val="22"/>
          <w:szCs w:val="22"/>
          <w:lang w:eastAsia="en-US"/>
        </w:rPr>
        <w:t>nueve de diciembre</w:t>
      </w:r>
      <w:r w:rsidRPr="00E51E73">
        <w:rPr>
          <w:rFonts w:ascii="Palatino Linotype" w:eastAsiaTheme="minorHAnsi" w:hAnsi="Palatino Linotype" w:cs="Tahoma"/>
          <w:color w:val="000000" w:themeColor="text1"/>
          <w:sz w:val="22"/>
          <w:szCs w:val="22"/>
          <w:lang w:eastAsia="en-US"/>
        </w:rPr>
        <w:t xml:space="preserve"> de dos mil veinticuatro</w:t>
      </w:r>
      <w:r w:rsidR="00253EAE" w:rsidRPr="00E51E73">
        <w:rPr>
          <w:rFonts w:ascii="Palatino Linotype" w:hAnsi="Palatino Linotype" w:cs="Tahoma"/>
          <w:sz w:val="22"/>
          <w:szCs w:val="22"/>
        </w:rPr>
        <w:t>, el Particular presentó una solicitud de acceso a la información pública, a través del Sistema de Acceso a la Información Mexiquense (SAIMEX), ante el</w:t>
      </w:r>
      <w:r w:rsidR="003E16CF" w:rsidRPr="00E51E73">
        <w:rPr>
          <w:rFonts w:ascii="Palatino Linotype" w:eastAsia="Calibri" w:hAnsi="Palatino Linotype" w:cs="Tahoma"/>
          <w:sz w:val="22"/>
          <w:szCs w:val="22"/>
          <w:lang w:eastAsia="en-US"/>
        </w:rPr>
        <w:t xml:space="preserve"> </w:t>
      </w:r>
      <w:r w:rsidR="003E16CF" w:rsidRPr="00E51E73">
        <w:rPr>
          <w:rFonts w:ascii="Palatino Linotype" w:eastAsia="Calibri" w:hAnsi="Palatino Linotype" w:cs="Tahoma"/>
          <w:bCs/>
          <w:sz w:val="22"/>
          <w:szCs w:val="22"/>
          <w:lang w:eastAsia="en-US"/>
        </w:rPr>
        <w:t xml:space="preserve">Ayuntamiento de </w:t>
      </w:r>
      <w:r w:rsidR="00D2369D" w:rsidRPr="00E51E73">
        <w:rPr>
          <w:rFonts w:ascii="Palatino Linotype" w:eastAsia="Calibri" w:hAnsi="Palatino Linotype" w:cs="Tahoma"/>
          <w:bCs/>
          <w:sz w:val="22"/>
          <w:szCs w:val="22"/>
          <w:lang w:eastAsia="en-US"/>
        </w:rPr>
        <w:t>Nextlalpan</w:t>
      </w:r>
      <w:r w:rsidR="00253EAE" w:rsidRPr="00E51E73">
        <w:rPr>
          <w:rFonts w:ascii="Palatino Linotype" w:hAnsi="Palatino Linotype"/>
          <w:bCs/>
          <w:sz w:val="22"/>
          <w:szCs w:val="22"/>
        </w:rPr>
        <w:t>,</w:t>
      </w:r>
      <w:r w:rsidR="00253EAE" w:rsidRPr="00E51E73">
        <w:rPr>
          <w:rFonts w:ascii="Palatino Linotype" w:hAnsi="Palatino Linotype" w:cs="Tahoma"/>
          <w:bCs/>
          <w:sz w:val="22"/>
          <w:szCs w:val="22"/>
        </w:rPr>
        <w:t xml:space="preserve"> en los siguientes términos:</w:t>
      </w:r>
    </w:p>
    <w:p w14:paraId="122865B0" w14:textId="77777777" w:rsidR="00253EAE" w:rsidRPr="00E51E73" w:rsidRDefault="00253EAE" w:rsidP="00253EAE">
      <w:pPr>
        <w:autoSpaceDE w:val="0"/>
        <w:autoSpaceDN w:val="0"/>
        <w:adjustRightInd w:val="0"/>
        <w:spacing w:line="360" w:lineRule="auto"/>
        <w:jc w:val="both"/>
        <w:rPr>
          <w:rFonts w:ascii="Palatino Linotype" w:hAnsi="Palatino Linotype" w:cs="Tahoma"/>
          <w:bCs/>
          <w:sz w:val="22"/>
          <w:szCs w:val="22"/>
        </w:rPr>
      </w:pPr>
    </w:p>
    <w:p w14:paraId="32D1D69F" w14:textId="752B2ACF" w:rsidR="00253EAE" w:rsidRPr="00E51E73" w:rsidRDefault="003A796B" w:rsidP="00253EAE">
      <w:pPr>
        <w:tabs>
          <w:tab w:val="left" w:pos="4667"/>
        </w:tabs>
        <w:spacing w:line="360" w:lineRule="auto"/>
        <w:ind w:left="567" w:right="567"/>
        <w:jc w:val="both"/>
        <w:rPr>
          <w:rFonts w:ascii="Palatino Linotype" w:hAnsi="Palatino Linotype" w:cs="Tahoma"/>
          <w:b/>
          <w:bCs/>
          <w:i/>
        </w:rPr>
      </w:pPr>
      <w:r w:rsidRPr="00E51E73">
        <w:rPr>
          <w:rFonts w:ascii="Palatino Linotype" w:hAnsi="Palatino Linotype" w:cs="Tahoma"/>
          <w:b/>
          <w:bCs/>
          <w:i/>
        </w:rPr>
        <w:t>“</w:t>
      </w:r>
      <w:r w:rsidR="00253EAE" w:rsidRPr="00E51E73">
        <w:rPr>
          <w:rFonts w:ascii="Palatino Linotype" w:hAnsi="Palatino Linotype" w:cs="Tahoma"/>
          <w:b/>
          <w:bCs/>
          <w:i/>
        </w:rPr>
        <w:t>DESCRIPCIÓN CLARA Y PRECISA DE LA INFORMACIÓN SOLICITADA</w:t>
      </w:r>
    </w:p>
    <w:p w14:paraId="372368C1" w14:textId="4A10A930" w:rsidR="00253EAE" w:rsidRPr="00E51E73" w:rsidRDefault="00D2369D" w:rsidP="00253EAE">
      <w:pPr>
        <w:tabs>
          <w:tab w:val="left" w:pos="4667"/>
        </w:tabs>
        <w:spacing w:line="360" w:lineRule="auto"/>
        <w:ind w:left="567" w:right="567"/>
        <w:jc w:val="both"/>
        <w:rPr>
          <w:rFonts w:ascii="Palatino Linotype" w:hAnsi="Palatino Linotype" w:cs="Tahoma"/>
          <w:bCs/>
          <w:i/>
        </w:rPr>
      </w:pPr>
      <w:r w:rsidRPr="00E51E73">
        <w:rPr>
          <w:rFonts w:ascii="Palatino Linotype" w:hAnsi="Palatino Linotype" w:cs="Tahoma"/>
          <w:bCs/>
          <w:i/>
        </w:rPr>
        <w:t>De acuerdo a los planos que obran en los archivos del Ayuntamiento de Nextlalpan cuántos y cuáles son los servicios públicos (drenaje, agua potable, alumbrado público) con los que cuenta avenida Libertad (que atraviesa el barrio Atenanco). Especifícando en unidades de longitud cuál es la cantidad del servicio público con la que cuenta dicha avenida y desde dónde comienza y termina dicho servicio público.</w:t>
      </w:r>
      <w:r w:rsidR="00253EAE" w:rsidRPr="00E51E73">
        <w:rPr>
          <w:rFonts w:ascii="Palatino Linotype" w:hAnsi="Palatino Linotype" w:cs="Tahoma"/>
          <w:bCs/>
          <w:i/>
        </w:rPr>
        <w:t>” (Sic.)</w:t>
      </w:r>
    </w:p>
    <w:p w14:paraId="14F0DFE9" w14:textId="77777777" w:rsidR="009C44AA" w:rsidRPr="00E51E73" w:rsidRDefault="009C44AA" w:rsidP="00253EAE">
      <w:pPr>
        <w:tabs>
          <w:tab w:val="left" w:pos="4667"/>
        </w:tabs>
        <w:spacing w:line="360" w:lineRule="auto"/>
        <w:ind w:left="567" w:right="567"/>
        <w:jc w:val="both"/>
        <w:rPr>
          <w:rFonts w:ascii="Palatino Linotype" w:hAnsi="Palatino Linotype" w:cs="Tahoma"/>
          <w:bCs/>
          <w:i/>
        </w:rPr>
      </w:pPr>
    </w:p>
    <w:p w14:paraId="1DBA1A78" w14:textId="77777777" w:rsidR="00A90989" w:rsidRPr="00E51E73" w:rsidRDefault="00A90989" w:rsidP="00253EAE">
      <w:pPr>
        <w:tabs>
          <w:tab w:val="left" w:pos="4667"/>
        </w:tabs>
        <w:spacing w:line="360" w:lineRule="auto"/>
        <w:ind w:left="567" w:right="567"/>
        <w:jc w:val="both"/>
        <w:rPr>
          <w:rFonts w:ascii="Palatino Linotype" w:hAnsi="Palatino Linotype" w:cs="Tahoma"/>
          <w:bCs/>
          <w:i/>
        </w:rPr>
      </w:pPr>
    </w:p>
    <w:p w14:paraId="328702F2" w14:textId="318B7756" w:rsidR="00253EAE" w:rsidRPr="00E51E73" w:rsidRDefault="003A796B" w:rsidP="00253EAE">
      <w:pPr>
        <w:tabs>
          <w:tab w:val="left" w:pos="4667"/>
        </w:tabs>
        <w:spacing w:line="360" w:lineRule="auto"/>
        <w:ind w:left="567" w:right="567"/>
        <w:jc w:val="both"/>
        <w:rPr>
          <w:rFonts w:ascii="Palatino Linotype" w:hAnsi="Palatino Linotype" w:cs="Tahoma"/>
          <w:b/>
          <w:bCs/>
          <w:i/>
          <w:iCs/>
        </w:rPr>
      </w:pPr>
      <w:r w:rsidRPr="00E51E73">
        <w:rPr>
          <w:rFonts w:ascii="Palatino Linotype" w:hAnsi="Palatino Linotype" w:cs="Tahoma"/>
          <w:b/>
          <w:bCs/>
          <w:i/>
          <w:iCs/>
        </w:rPr>
        <w:t>“</w:t>
      </w:r>
      <w:r w:rsidR="00253EAE" w:rsidRPr="00E51E73">
        <w:rPr>
          <w:rFonts w:ascii="Palatino Linotype" w:hAnsi="Palatino Linotype" w:cs="Tahoma"/>
          <w:b/>
          <w:bCs/>
          <w:i/>
          <w:iCs/>
        </w:rPr>
        <w:t>MODALIDAD DE ENTREGA</w:t>
      </w:r>
    </w:p>
    <w:p w14:paraId="0088BDE8" w14:textId="4E6DDB9C" w:rsidR="00253EAE" w:rsidRPr="00E51E73" w:rsidRDefault="00253EAE" w:rsidP="00253EAE">
      <w:pPr>
        <w:spacing w:line="360" w:lineRule="auto"/>
        <w:ind w:left="567" w:right="567"/>
        <w:jc w:val="both"/>
        <w:rPr>
          <w:rFonts w:ascii="Palatino Linotype" w:hAnsi="Palatino Linotype" w:cs="Arial"/>
          <w:bCs/>
          <w:i/>
          <w:iCs/>
        </w:rPr>
      </w:pPr>
      <w:r w:rsidRPr="00E51E73">
        <w:rPr>
          <w:rFonts w:ascii="Palatino Linotype" w:hAnsi="Palatino Linotype" w:cs="Arial"/>
          <w:bCs/>
          <w:i/>
          <w:iCs/>
        </w:rPr>
        <w:t xml:space="preserve">A través del SAIMEX” </w:t>
      </w:r>
    </w:p>
    <w:p w14:paraId="1A6019ED" w14:textId="77777777" w:rsidR="004805C1" w:rsidRPr="00E51E73" w:rsidRDefault="004805C1" w:rsidP="002B57E5">
      <w:pPr>
        <w:pStyle w:val="Ttulo2"/>
      </w:pPr>
    </w:p>
    <w:p w14:paraId="4A453407" w14:textId="335FA941" w:rsidR="00F469B3" w:rsidRPr="00E51E73" w:rsidRDefault="00F469B3" w:rsidP="002B57E5">
      <w:pPr>
        <w:pStyle w:val="Ttulo2"/>
      </w:pPr>
      <w:bookmarkStart w:id="3" w:name="_Toc190334569"/>
      <w:r w:rsidRPr="00E51E73">
        <w:t>I</w:t>
      </w:r>
      <w:r w:rsidR="004805C1" w:rsidRPr="00E51E73">
        <w:t>I</w:t>
      </w:r>
      <w:r w:rsidRPr="00E51E73">
        <w:t>. Respuesta del Sujeto Obligado</w:t>
      </w:r>
      <w:bookmarkEnd w:id="3"/>
    </w:p>
    <w:p w14:paraId="4ED48BC3" w14:textId="77777777" w:rsidR="0053216F" w:rsidRPr="00E51E73" w:rsidRDefault="0053216F" w:rsidP="004F4E53">
      <w:pPr>
        <w:spacing w:line="360" w:lineRule="auto"/>
        <w:jc w:val="both"/>
        <w:rPr>
          <w:rFonts w:ascii="Palatino Linotype" w:eastAsiaTheme="minorHAnsi" w:hAnsi="Palatino Linotype" w:cstheme="minorBidi"/>
          <w:color w:val="000000" w:themeColor="text1"/>
          <w:sz w:val="22"/>
          <w:szCs w:val="22"/>
          <w:lang w:eastAsia="en-US"/>
        </w:rPr>
      </w:pPr>
    </w:p>
    <w:p w14:paraId="0B1EC5E0" w14:textId="77777777" w:rsidR="003942CB" w:rsidRPr="00E51E73" w:rsidRDefault="003942CB" w:rsidP="004F4E53">
      <w:pPr>
        <w:spacing w:line="360" w:lineRule="auto"/>
        <w:jc w:val="both"/>
        <w:rPr>
          <w:rFonts w:ascii="Palatino Linotype" w:eastAsiaTheme="minorHAnsi" w:hAnsi="Palatino Linotype" w:cstheme="minorBidi"/>
          <w:color w:val="000000" w:themeColor="text1"/>
          <w:sz w:val="22"/>
          <w:szCs w:val="22"/>
          <w:lang w:eastAsia="en-US"/>
        </w:rPr>
      </w:pPr>
      <w:r w:rsidRPr="00E51E73">
        <w:rPr>
          <w:rFonts w:ascii="Palatino Linotype" w:eastAsiaTheme="minorHAnsi" w:hAnsi="Palatino Linotype" w:cstheme="minorBidi"/>
          <w:color w:val="000000" w:themeColor="text1"/>
          <w:sz w:val="22"/>
          <w:szCs w:val="22"/>
          <w:lang w:eastAsia="en-US"/>
        </w:rPr>
        <w:t>De conformidad con el artículo 136, párrafo primero de la Ley de Transparencia y Acceso a</w:t>
      </w:r>
    </w:p>
    <w:p w14:paraId="72793F33" w14:textId="7E3B0C2A" w:rsidR="003942CB" w:rsidRPr="00E51E73" w:rsidRDefault="003942CB" w:rsidP="004F4E53">
      <w:pPr>
        <w:spacing w:line="360" w:lineRule="auto"/>
        <w:jc w:val="both"/>
        <w:rPr>
          <w:rFonts w:ascii="Palatino Linotype" w:eastAsiaTheme="minorHAnsi" w:hAnsi="Palatino Linotype" w:cstheme="minorBidi"/>
          <w:color w:val="000000" w:themeColor="text1"/>
          <w:sz w:val="22"/>
          <w:szCs w:val="22"/>
          <w:lang w:eastAsia="en-US"/>
        </w:rPr>
      </w:pPr>
      <w:r w:rsidRPr="00E51E73">
        <w:rPr>
          <w:rFonts w:ascii="Palatino Linotype" w:eastAsiaTheme="minorHAnsi" w:hAnsi="Palatino Linotype" w:cstheme="minorBidi"/>
          <w:color w:val="000000" w:themeColor="text1"/>
          <w:sz w:val="22"/>
          <w:szCs w:val="22"/>
          <w:lang w:eastAsia="en-US"/>
        </w:rPr>
        <w:t>la Información Pública del Estado de México y Municipios, el Sujeto Obligado debió dar contestación a la solicitud de acceso a la información; sin embargo, de las constancias que obran en el expediente electrónico del Sistema de Acceso a la Información Mexiquense (SAIMEX), se advierte que el</w:t>
      </w:r>
      <w:r w:rsidR="003E16CF" w:rsidRPr="00E51E73">
        <w:rPr>
          <w:rFonts w:ascii="Palatino Linotype" w:eastAsia="Calibri" w:hAnsi="Palatino Linotype" w:cs="Tahoma"/>
          <w:b/>
          <w:bCs/>
          <w:sz w:val="22"/>
          <w:szCs w:val="22"/>
          <w:lang w:eastAsia="en-US"/>
        </w:rPr>
        <w:t xml:space="preserve"> Ayuntamiento de </w:t>
      </w:r>
      <w:r w:rsidR="00D2369D" w:rsidRPr="00E51E73">
        <w:rPr>
          <w:rFonts w:ascii="Palatino Linotype" w:eastAsia="Calibri" w:hAnsi="Palatino Linotype" w:cs="Tahoma"/>
          <w:b/>
          <w:bCs/>
          <w:sz w:val="22"/>
          <w:szCs w:val="22"/>
          <w:lang w:eastAsia="en-US"/>
        </w:rPr>
        <w:t>Nextlalpan</w:t>
      </w:r>
      <w:r w:rsidRPr="00E51E73">
        <w:rPr>
          <w:rFonts w:ascii="Palatino Linotype" w:eastAsiaTheme="minorHAnsi" w:hAnsi="Palatino Linotype" w:cstheme="minorBidi"/>
          <w:color w:val="000000" w:themeColor="text1"/>
          <w:sz w:val="22"/>
          <w:szCs w:val="22"/>
          <w:lang w:eastAsia="en-US"/>
        </w:rPr>
        <w:t xml:space="preserve">, omitió dar respuesta a la solicitud de información, por lo que se </w:t>
      </w:r>
      <w:r w:rsidRPr="00E51E73">
        <w:rPr>
          <w:rFonts w:ascii="Palatino Linotype" w:eastAsiaTheme="minorHAnsi" w:hAnsi="Palatino Linotype" w:cstheme="minorBidi"/>
          <w:b/>
          <w:color w:val="000000" w:themeColor="text1"/>
          <w:sz w:val="22"/>
          <w:szCs w:val="22"/>
          <w:lang w:eastAsia="en-US"/>
        </w:rPr>
        <w:t>configura la negativa ficta</w:t>
      </w:r>
      <w:r w:rsidRPr="00E51E73">
        <w:rPr>
          <w:rFonts w:ascii="Palatino Linotype" w:eastAsiaTheme="minorHAnsi" w:hAnsi="Palatino Linotype" w:cstheme="minorBidi"/>
          <w:color w:val="000000" w:themeColor="text1"/>
          <w:sz w:val="22"/>
          <w:szCs w:val="22"/>
          <w:lang w:eastAsia="en-US"/>
        </w:rPr>
        <w:t xml:space="preserve"> a entregar información, prevista, en los artículos 166, párrafo cuarto y 178, párrafo segundo de la Ley de Transparencia y Acceso a la Información Pública del Estado de México y Municipios.</w:t>
      </w:r>
    </w:p>
    <w:p w14:paraId="1F0AEEFF" w14:textId="77777777" w:rsidR="003942CB" w:rsidRPr="00E51E73" w:rsidRDefault="003942CB" w:rsidP="004F4E53">
      <w:pPr>
        <w:spacing w:line="360" w:lineRule="auto"/>
        <w:jc w:val="both"/>
        <w:rPr>
          <w:rFonts w:ascii="Palatino Linotype" w:hAnsi="Palatino Linotype" w:cs="Tahoma"/>
          <w:bCs/>
          <w:iCs/>
          <w:color w:val="000000" w:themeColor="text1"/>
          <w:sz w:val="22"/>
          <w:szCs w:val="22"/>
        </w:rPr>
      </w:pPr>
    </w:p>
    <w:p w14:paraId="6E7C6651" w14:textId="396CB299" w:rsidR="00F469B3" w:rsidRPr="00E51E73" w:rsidRDefault="00F469B3" w:rsidP="002B57E5">
      <w:pPr>
        <w:pStyle w:val="Ttulo2"/>
        <w:rPr>
          <w:lang w:eastAsia="en-US"/>
        </w:rPr>
      </w:pPr>
      <w:bookmarkStart w:id="4" w:name="_Toc190334570"/>
      <w:r w:rsidRPr="00E51E73">
        <w:rPr>
          <w:lang w:eastAsia="en-US"/>
        </w:rPr>
        <w:t>I</w:t>
      </w:r>
      <w:r w:rsidR="00D2369D" w:rsidRPr="00E51E73">
        <w:rPr>
          <w:lang w:eastAsia="en-US"/>
        </w:rPr>
        <w:t>II</w:t>
      </w:r>
      <w:r w:rsidRPr="00E51E73">
        <w:rPr>
          <w:lang w:eastAsia="en-US"/>
        </w:rPr>
        <w:t>. Interposición del Recurso de Revisión</w:t>
      </w:r>
      <w:bookmarkEnd w:id="4"/>
    </w:p>
    <w:p w14:paraId="356E2604" w14:textId="77777777" w:rsidR="00F469B3" w:rsidRPr="00E51E73" w:rsidRDefault="00F469B3" w:rsidP="004F4E53">
      <w:pPr>
        <w:spacing w:line="360" w:lineRule="auto"/>
        <w:jc w:val="both"/>
        <w:rPr>
          <w:rFonts w:ascii="Palatino Linotype" w:eastAsiaTheme="minorHAnsi" w:hAnsi="Palatino Linotype" w:cstheme="minorBidi"/>
          <w:b/>
          <w:bCs/>
          <w:color w:val="000000" w:themeColor="text1"/>
          <w:sz w:val="22"/>
          <w:szCs w:val="22"/>
          <w:lang w:eastAsia="en-US"/>
        </w:rPr>
      </w:pPr>
    </w:p>
    <w:p w14:paraId="5DB53334" w14:textId="55A68953" w:rsidR="00F469B3" w:rsidRPr="00E51E73" w:rsidRDefault="00B4118B" w:rsidP="004F4E53">
      <w:pPr>
        <w:spacing w:line="360" w:lineRule="auto"/>
        <w:jc w:val="both"/>
        <w:rPr>
          <w:rFonts w:ascii="Palatino Linotype" w:eastAsiaTheme="minorHAnsi" w:hAnsi="Palatino Linotype" w:cs="Tahoma"/>
          <w:sz w:val="22"/>
          <w:szCs w:val="22"/>
          <w:lang w:val="es-ES" w:eastAsia="en-US"/>
        </w:rPr>
      </w:pPr>
      <w:r w:rsidRPr="00E51E73">
        <w:rPr>
          <w:rFonts w:ascii="Palatino Linotype" w:eastAsiaTheme="minorHAnsi" w:hAnsi="Palatino Linotype" w:cs="Tahoma"/>
          <w:color w:val="000000" w:themeColor="text1"/>
          <w:sz w:val="22"/>
          <w:szCs w:val="22"/>
          <w:lang w:eastAsia="en-US"/>
        </w:rPr>
        <w:t>El</w:t>
      </w:r>
      <w:r w:rsidR="00F469B3" w:rsidRPr="00E51E73">
        <w:rPr>
          <w:rFonts w:ascii="Palatino Linotype" w:eastAsiaTheme="minorHAnsi" w:hAnsi="Palatino Linotype" w:cs="Tahoma"/>
          <w:color w:val="000000" w:themeColor="text1"/>
          <w:sz w:val="22"/>
          <w:szCs w:val="22"/>
          <w:lang w:eastAsia="en-US"/>
        </w:rPr>
        <w:t xml:space="preserve"> </w:t>
      </w:r>
      <w:r w:rsidR="00042D20" w:rsidRPr="00E51E73">
        <w:rPr>
          <w:rFonts w:ascii="Palatino Linotype" w:hAnsi="Palatino Linotype" w:cs="Tahoma"/>
          <w:bCs/>
          <w:iCs/>
          <w:color w:val="000000" w:themeColor="text1"/>
          <w:sz w:val="22"/>
          <w:szCs w:val="22"/>
        </w:rPr>
        <w:t>veinti</w:t>
      </w:r>
      <w:r w:rsidR="00D2369D" w:rsidRPr="00E51E73">
        <w:rPr>
          <w:rFonts w:ascii="Palatino Linotype" w:hAnsi="Palatino Linotype" w:cs="Tahoma"/>
          <w:bCs/>
          <w:iCs/>
          <w:color w:val="000000" w:themeColor="text1"/>
          <w:sz w:val="22"/>
          <w:szCs w:val="22"/>
        </w:rPr>
        <w:t>trés</w:t>
      </w:r>
      <w:r w:rsidR="003E16CF" w:rsidRPr="00E51E73">
        <w:rPr>
          <w:rFonts w:ascii="Palatino Linotype" w:hAnsi="Palatino Linotype" w:cs="Tahoma"/>
          <w:bCs/>
          <w:iCs/>
          <w:color w:val="000000" w:themeColor="text1"/>
          <w:sz w:val="22"/>
          <w:szCs w:val="22"/>
        </w:rPr>
        <w:t xml:space="preserve"> de enero</w:t>
      </w:r>
      <w:r w:rsidR="00CF2FD4" w:rsidRPr="00E51E73">
        <w:rPr>
          <w:rFonts w:ascii="Palatino Linotype" w:hAnsi="Palatino Linotype" w:cs="Tahoma"/>
          <w:bCs/>
          <w:iCs/>
          <w:color w:val="000000" w:themeColor="text1"/>
          <w:sz w:val="22"/>
          <w:szCs w:val="22"/>
        </w:rPr>
        <w:t xml:space="preserve"> de dos mil veintic</w:t>
      </w:r>
      <w:r w:rsidR="003E16CF" w:rsidRPr="00E51E73">
        <w:rPr>
          <w:rFonts w:ascii="Palatino Linotype" w:hAnsi="Palatino Linotype" w:cs="Tahoma"/>
          <w:bCs/>
          <w:iCs/>
          <w:color w:val="000000" w:themeColor="text1"/>
          <w:sz w:val="22"/>
          <w:szCs w:val="22"/>
        </w:rPr>
        <w:t>inco</w:t>
      </w:r>
      <w:r w:rsidR="00F469B3" w:rsidRPr="00E51E73">
        <w:rPr>
          <w:rFonts w:ascii="Palatino Linotype" w:eastAsiaTheme="minorHAnsi" w:hAnsi="Palatino Linotype" w:cs="Tahoma"/>
          <w:color w:val="000000" w:themeColor="text1"/>
          <w:sz w:val="22"/>
          <w:szCs w:val="22"/>
          <w:lang w:eastAsia="en-US"/>
        </w:rPr>
        <w:t xml:space="preserve">, </w:t>
      </w:r>
      <w:r w:rsidR="00F469B3" w:rsidRPr="00E51E73">
        <w:rPr>
          <w:rFonts w:ascii="Palatino Linotype" w:eastAsiaTheme="minorHAnsi" w:hAnsi="Palatino Linotype" w:cs="Tahoma"/>
          <w:color w:val="000000" w:themeColor="text1"/>
          <w:sz w:val="22"/>
          <w:szCs w:val="22"/>
          <w:lang w:val="es-ES" w:eastAsia="en-US"/>
        </w:rPr>
        <w:t xml:space="preserve">el Particular interpuso un Recurso de Revisión ante este Instituto, a través del Sistema de Acceso a la Información Mexiquense (SAIMEX), en contra de la </w:t>
      </w:r>
      <w:r w:rsidR="00542F88" w:rsidRPr="00E51E73">
        <w:rPr>
          <w:rFonts w:ascii="Palatino Linotype" w:eastAsiaTheme="minorHAnsi" w:hAnsi="Palatino Linotype" w:cs="Tahoma"/>
          <w:color w:val="000000" w:themeColor="text1"/>
          <w:sz w:val="22"/>
          <w:szCs w:val="22"/>
          <w:lang w:val="es-ES" w:eastAsia="en-US"/>
        </w:rPr>
        <w:t xml:space="preserve">falta de </w:t>
      </w:r>
      <w:r w:rsidR="00F469B3" w:rsidRPr="00E51E73">
        <w:rPr>
          <w:rFonts w:ascii="Palatino Linotype" w:eastAsiaTheme="minorHAnsi" w:hAnsi="Palatino Linotype" w:cs="Tahoma"/>
          <w:color w:val="000000" w:themeColor="text1"/>
          <w:sz w:val="22"/>
          <w:szCs w:val="22"/>
          <w:lang w:val="es-ES" w:eastAsia="en-US"/>
        </w:rPr>
        <w:t>respuesta por el</w:t>
      </w:r>
      <w:r w:rsidR="00542F88" w:rsidRPr="00E51E73">
        <w:rPr>
          <w:rFonts w:ascii="Palatino Linotype" w:eastAsia="Calibri" w:hAnsi="Palatino Linotype" w:cs="Tahoma"/>
          <w:sz w:val="22"/>
          <w:szCs w:val="22"/>
          <w:lang w:eastAsia="en-US"/>
        </w:rPr>
        <w:t xml:space="preserve"> Sujeto Obligado</w:t>
      </w:r>
      <w:r w:rsidR="00F469B3" w:rsidRPr="00E51E73">
        <w:rPr>
          <w:rFonts w:ascii="Palatino Linotype" w:eastAsiaTheme="minorHAnsi" w:hAnsi="Palatino Linotype" w:cs="Tahoma"/>
          <w:color w:val="000000" w:themeColor="text1"/>
          <w:sz w:val="22"/>
          <w:szCs w:val="22"/>
          <w:lang w:val="es-ES" w:eastAsia="en-US"/>
        </w:rPr>
        <w:t>, a la solicitud de información</w:t>
      </w:r>
      <w:r w:rsidR="00EB0141" w:rsidRPr="00E51E73">
        <w:rPr>
          <w:rFonts w:ascii="Palatino Linotype" w:eastAsiaTheme="minorHAnsi" w:hAnsi="Palatino Linotype" w:cs="Tahoma"/>
          <w:color w:val="000000" w:themeColor="text1"/>
          <w:sz w:val="22"/>
          <w:szCs w:val="22"/>
          <w:lang w:val="es-ES" w:eastAsia="en-US"/>
        </w:rPr>
        <w:t>,</w:t>
      </w:r>
      <w:r w:rsidR="00F469B3" w:rsidRPr="00E51E73">
        <w:rPr>
          <w:rFonts w:ascii="Palatino Linotype" w:eastAsiaTheme="minorHAnsi" w:hAnsi="Palatino Linotype" w:cs="Tahoma"/>
          <w:color w:val="000000" w:themeColor="text1"/>
          <w:sz w:val="22"/>
          <w:szCs w:val="22"/>
          <w:lang w:val="es-ES" w:eastAsia="en-US"/>
        </w:rPr>
        <w:t xml:space="preserve"> en los siguientes términos: </w:t>
      </w:r>
    </w:p>
    <w:p w14:paraId="0B7A443C" w14:textId="77777777" w:rsidR="00F469B3" w:rsidRPr="00E51E73" w:rsidRDefault="00F469B3" w:rsidP="004F4E53">
      <w:pPr>
        <w:autoSpaceDE w:val="0"/>
        <w:autoSpaceDN w:val="0"/>
        <w:adjustRightInd w:val="0"/>
        <w:spacing w:line="360" w:lineRule="auto"/>
        <w:jc w:val="both"/>
        <w:rPr>
          <w:rFonts w:ascii="Palatino Linotype" w:eastAsiaTheme="minorHAnsi" w:hAnsi="Palatino Linotype" w:cs="Tahoma"/>
          <w:color w:val="000000" w:themeColor="text1"/>
          <w:sz w:val="22"/>
          <w:szCs w:val="22"/>
          <w:lang w:eastAsia="en-US"/>
        </w:rPr>
      </w:pPr>
    </w:p>
    <w:p w14:paraId="6C986C50" w14:textId="562B1865" w:rsidR="00F469B3" w:rsidRPr="00E51E73" w:rsidRDefault="00A90989" w:rsidP="004F4E53">
      <w:pPr>
        <w:spacing w:line="360" w:lineRule="auto"/>
        <w:ind w:left="567" w:right="567"/>
        <w:jc w:val="both"/>
        <w:rPr>
          <w:rFonts w:ascii="Palatino Linotype" w:eastAsiaTheme="minorHAnsi" w:hAnsi="Palatino Linotype" w:cstheme="minorBidi"/>
          <w:bCs/>
          <w:i/>
          <w:color w:val="000000" w:themeColor="text1"/>
          <w:lang w:eastAsia="en-US"/>
        </w:rPr>
      </w:pPr>
      <w:r w:rsidRPr="00E51E73">
        <w:rPr>
          <w:rFonts w:ascii="Palatino Linotype" w:eastAsiaTheme="minorHAnsi" w:hAnsi="Palatino Linotype" w:cstheme="minorBidi"/>
          <w:b/>
          <w:bCs/>
          <w:i/>
          <w:color w:val="000000" w:themeColor="text1"/>
          <w:lang w:eastAsia="en-US"/>
        </w:rPr>
        <w:t>“</w:t>
      </w:r>
      <w:r w:rsidR="00F469B3" w:rsidRPr="00E51E73">
        <w:rPr>
          <w:rFonts w:ascii="Palatino Linotype" w:eastAsiaTheme="minorHAnsi" w:hAnsi="Palatino Linotype" w:cstheme="minorBidi"/>
          <w:b/>
          <w:bCs/>
          <w:i/>
          <w:color w:val="000000" w:themeColor="text1"/>
          <w:lang w:eastAsia="en-US"/>
        </w:rPr>
        <w:t>ACTO IMPUGNADO</w:t>
      </w:r>
    </w:p>
    <w:p w14:paraId="2E8033F2" w14:textId="0297215C" w:rsidR="00F469B3" w:rsidRPr="00E51E73" w:rsidRDefault="00D2369D" w:rsidP="004F4E53">
      <w:pPr>
        <w:spacing w:line="360" w:lineRule="auto"/>
        <w:ind w:left="567" w:right="567"/>
        <w:jc w:val="both"/>
        <w:rPr>
          <w:rFonts w:ascii="Palatino Linotype" w:eastAsiaTheme="minorHAnsi" w:hAnsi="Palatino Linotype" w:cstheme="minorBidi"/>
          <w:i/>
          <w:color w:val="000000" w:themeColor="text1"/>
          <w:lang w:eastAsia="en-US"/>
        </w:rPr>
      </w:pPr>
      <w:r w:rsidRPr="00E51E73">
        <w:rPr>
          <w:rFonts w:ascii="Palatino Linotype" w:eastAsiaTheme="minorHAnsi" w:hAnsi="Palatino Linotype" w:cstheme="minorBidi"/>
          <w:i/>
          <w:color w:val="000000" w:themeColor="text1"/>
          <w:lang w:eastAsia="en-US"/>
        </w:rPr>
        <w:t>De acuerdo a los planos que obran en los archivos del Ayuntamiento de Nextlalpan cuántos y cuáles son los servicios públicos (drenaje, agua potable, alumbrado público) con los que cuenta avenida Libertad (que atraviesa el barrio Atenanco). Especificando en unidades de longitud cuál es la cantidad del servicio público con la que cuenta dicha avenida y desde dónde comienza y termina dicho servicio público.</w:t>
      </w:r>
      <w:r w:rsidR="00F469B3" w:rsidRPr="00E51E73">
        <w:rPr>
          <w:rFonts w:ascii="Palatino Linotype" w:eastAsiaTheme="minorHAnsi" w:hAnsi="Palatino Linotype" w:cstheme="minorBidi"/>
          <w:i/>
          <w:color w:val="000000" w:themeColor="text1"/>
          <w:lang w:eastAsia="en-US"/>
        </w:rPr>
        <w:t>”</w:t>
      </w:r>
      <w:r w:rsidRPr="00E51E73">
        <w:rPr>
          <w:rFonts w:ascii="Palatino Linotype" w:eastAsiaTheme="minorHAnsi" w:hAnsi="Palatino Linotype" w:cstheme="minorBidi"/>
          <w:i/>
          <w:color w:val="000000" w:themeColor="text1"/>
          <w:lang w:eastAsia="en-US"/>
        </w:rPr>
        <w:t xml:space="preserve"> (Sic.)</w:t>
      </w:r>
    </w:p>
    <w:p w14:paraId="20859BF5" w14:textId="7947B27B" w:rsidR="00EB0141" w:rsidRPr="00E51E73" w:rsidRDefault="00A90989" w:rsidP="00EB0141">
      <w:pPr>
        <w:spacing w:line="360" w:lineRule="auto"/>
        <w:ind w:left="567" w:right="567"/>
        <w:rPr>
          <w:rFonts w:ascii="Palatino Linotype" w:hAnsi="Palatino Linotype" w:cs="Tahoma"/>
          <w:b/>
          <w:bCs/>
          <w:i/>
        </w:rPr>
      </w:pPr>
      <w:r w:rsidRPr="00E51E73">
        <w:rPr>
          <w:rFonts w:ascii="Palatino Linotype" w:hAnsi="Palatino Linotype" w:cs="Tahoma"/>
          <w:b/>
          <w:bCs/>
          <w:i/>
        </w:rPr>
        <w:t>“</w:t>
      </w:r>
      <w:r w:rsidR="00EB0141" w:rsidRPr="00E51E73">
        <w:rPr>
          <w:rFonts w:ascii="Palatino Linotype" w:hAnsi="Palatino Linotype" w:cs="Tahoma"/>
          <w:b/>
          <w:bCs/>
          <w:i/>
        </w:rPr>
        <w:t>RAZONES O MOTIVOS DE LA INCONFORMIDAD</w:t>
      </w:r>
    </w:p>
    <w:p w14:paraId="1FCD9373" w14:textId="2B63F023" w:rsidR="00EB0141" w:rsidRPr="00E51E73" w:rsidRDefault="00D2369D" w:rsidP="00AF673B">
      <w:pPr>
        <w:spacing w:line="360" w:lineRule="auto"/>
        <w:ind w:left="567" w:right="567"/>
        <w:rPr>
          <w:rFonts w:ascii="Palatino Linotype" w:hAnsi="Palatino Linotype" w:cs="Tahoma"/>
          <w:bCs/>
        </w:rPr>
      </w:pPr>
      <w:r w:rsidRPr="00E51E73">
        <w:rPr>
          <w:rFonts w:ascii="Palatino Linotype" w:hAnsi="Palatino Linotype"/>
          <w:i/>
          <w:color w:val="000000"/>
        </w:rPr>
        <w:t>Hasta el 23 de enero no habían emitido respuesta alguna.</w:t>
      </w:r>
      <w:r w:rsidR="00EB0141" w:rsidRPr="00E51E73">
        <w:rPr>
          <w:rFonts w:ascii="Palatino Linotype" w:hAnsi="Palatino Linotype"/>
          <w:i/>
          <w:color w:val="000000"/>
        </w:rPr>
        <w:t>”</w:t>
      </w:r>
      <w:r w:rsidR="00985347" w:rsidRPr="00E51E73">
        <w:rPr>
          <w:rFonts w:ascii="Palatino Linotype" w:hAnsi="Palatino Linotype"/>
          <w:i/>
          <w:color w:val="000000"/>
        </w:rPr>
        <w:t xml:space="preserve"> </w:t>
      </w:r>
    </w:p>
    <w:p w14:paraId="01F1B018" w14:textId="77777777" w:rsidR="00F469B3" w:rsidRPr="00E51E73" w:rsidRDefault="00F469B3" w:rsidP="004F4E53">
      <w:pPr>
        <w:spacing w:line="360" w:lineRule="auto"/>
        <w:jc w:val="both"/>
        <w:rPr>
          <w:rFonts w:ascii="Palatino Linotype" w:eastAsiaTheme="minorHAnsi" w:hAnsi="Palatino Linotype" w:cstheme="minorBidi"/>
          <w:color w:val="000000" w:themeColor="text1"/>
          <w:sz w:val="22"/>
          <w:szCs w:val="22"/>
          <w:lang w:eastAsia="en-US"/>
        </w:rPr>
      </w:pPr>
    </w:p>
    <w:p w14:paraId="2FFD3A79" w14:textId="1A0C7625" w:rsidR="00F469B3" w:rsidRPr="00E51E73" w:rsidRDefault="00D2369D" w:rsidP="002B57E5">
      <w:pPr>
        <w:pStyle w:val="Ttulo2"/>
        <w:rPr>
          <w:lang w:eastAsia="en-US"/>
        </w:rPr>
      </w:pPr>
      <w:bookmarkStart w:id="5" w:name="_Toc190334571"/>
      <w:r w:rsidRPr="00E51E73">
        <w:rPr>
          <w:lang w:eastAsia="en-US"/>
        </w:rPr>
        <w:t>I</w:t>
      </w:r>
      <w:r w:rsidR="00F469B3" w:rsidRPr="00E51E73">
        <w:rPr>
          <w:lang w:eastAsia="en-US"/>
        </w:rPr>
        <w:t>V. Trámite del Recurso de Revisión ante el Instituto</w:t>
      </w:r>
      <w:bookmarkEnd w:id="5"/>
    </w:p>
    <w:p w14:paraId="7F62FC39" w14:textId="77777777" w:rsidR="00320CBA" w:rsidRPr="00E51E73" w:rsidRDefault="00320CBA" w:rsidP="004F4E53">
      <w:pPr>
        <w:spacing w:line="360" w:lineRule="auto"/>
        <w:jc w:val="both"/>
        <w:rPr>
          <w:rFonts w:ascii="Palatino Linotype" w:eastAsiaTheme="minorHAnsi" w:hAnsi="Palatino Linotype" w:cstheme="minorBidi"/>
          <w:b/>
          <w:bCs/>
          <w:color w:val="000000" w:themeColor="text1"/>
          <w:sz w:val="22"/>
          <w:szCs w:val="22"/>
          <w:lang w:eastAsia="en-US"/>
        </w:rPr>
      </w:pPr>
    </w:p>
    <w:p w14:paraId="74144DA6" w14:textId="2F6E4345" w:rsidR="00F469B3" w:rsidRPr="00E51E73" w:rsidRDefault="00F469B3" w:rsidP="004F4E53">
      <w:pPr>
        <w:spacing w:line="360" w:lineRule="auto"/>
        <w:jc w:val="both"/>
        <w:rPr>
          <w:rFonts w:ascii="Palatino Linotype" w:eastAsia="Batang" w:hAnsi="Palatino Linotype" w:cs="Tahoma"/>
          <w:bCs/>
          <w:color w:val="000000" w:themeColor="text1"/>
          <w:sz w:val="22"/>
          <w:szCs w:val="22"/>
        </w:rPr>
      </w:pPr>
      <w:r w:rsidRPr="00E51E73">
        <w:rPr>
          <w:rFonts w:ascii="Palatino Linotype" w:eastAsiaTheme="minorHAnsi" w:hAnsi="Palatino Linotype" w:cstheme="minorBidi"/>
          <w:b/>
          <w:bCs/>
          <w:color w:val="000000" w:themeColor="text1"/>
          <w:sz w:val="22"/>
          <w:szCs w:val="22"/>
          <w:lang w:eastAsia="en-US"/>
        </w:rPr>
        <w:t xml:space="preserve">a) Turno del Recurso de Revisión. </w:t>
      </w:r>
      <w:r w:rsidRPr="00E51E73">
        <w:rPr>
          <w:rFonts w:ascii="Palatino Linotype" w:eastAsiaTheme="minorHAnsi" w:hAnsi="Palatino Linotype" w:cstheme="minorBidi"/>
          <w:color w:val="000000" w:themeColor="text1"/>
          <w:sz w:val="22"/>
          <w:szCs w:val="22"/>
          <w:lang w:eastAsia="en-US"/>
        </w:rPr>
        <w:t xml:space="preserve">El </w:t>
      </w:r>
      <w:r w:rsidR="00AC1EAA" w:rsidRPr="00E51E73">
        <w:rPr>
          <w:rFonts w:ascii="Palatino Linotype" w:hAnsi="Palatino Linotype" w:cs="Tahoma"/>
          <w:bCs/>
          <w:iCs/>
          <w:color w:val="000000" w:themeColor="text1"/>
          <w:sz w:val="22"/>
          <w:szCs w:val="22"/>
        </w:rPr>
        <w:t>veinti</w:t>
      </w:r>
      <w:r w:rsidR="00D2369D" w:rsidRPr="00E51E73">
        <w:rPr>
          <w:rFonts w:ascii="Palatino Linotype" w:hAnsi="Palatino Linotype" w:cs="Tahoma"/>
          <w:bCs/>
          <w:iCs/>
          <w:color w:val="000000" w:themeColor="text1"/>
          <w:sz w:val="22"/>
          <w:szCs w:val="22"/>
        </w:rPr>
        <w:t>trés</w:t>
      </w:r>
      <w:r w:rsidR="003E16CF" w:rsidRPr="00E51E73">
        <w:rPr>
          <w:rFonts w:ascii="Palatino Linotype" w:hAnsi="Palatino Linotype" w:cs="Tahoma"/>
          <w:bCs/>
          <w:iCs/>
          <w:color w:val="000000" w:themeColor="text1"/>
          <w:sz w:val="22"/>
          <w:szCs w:val="22"/>
        </w:rPr>
        <w:t xml:space="preserve"> de enero</w:t>
      </w:r>
      <w:r w:rsidR="00CF2FD4" w:rsidRPr="00E51E73">
        <w:rPr>
          <w:rFonts w:ascii="Palatino Linotype" w:hAnsi="Palatino Linotype" w:cs="Tahoma"/>
          <w:bCs/>
          <w:iCs/>
          <w:color w:val="000000" w:themeColor="text1"/>
          <w:sz w:val="22"/>
          <w:szCs w:val="22"/>
        </w:rPr>
        <w:t xml:space="preserve"> de dos mil veintic</w:t>
      </w:r>
      <w:r w:rsidR="003E16CF" w:rsidRPr="00E51E73">
        <w:rPr>
          <w:rFonts w:ascii="Palatino Linotype" w:hAnsi="Palatino Linotype" w:cs="Tahoma"/>
          <w:bCs/>
          <w:iCs/>
          <w:color w:val="000000" w:themeColor="text1"/>
          <w:sz w:val="22"/>
          <w:szCs w:val="22"/>
        </w:rPr>
        <w:t>inco</w:t>
      </w:r>
      <w:r w:rsidRPr="00E51E73">
        <w:rPr>
          <w:rFonts w:ascii="Palatino Linotype" w:eastAsia="Batang" w:hAnsi="Palatino Linotype" w:cs="Tahoma"/>
          <w:bCs/>
          <w:color w:val="000000" w:themeColor="text1"/>
          <w:sz w:val="22"/>
          <w:szCs w:val="22"/>
        </w:rPr>
        <w:t xml:space="preserve">, el </w:t>
      </w:r>
      <w:r w:rsidRPr="00E51E73">
        <w:rPr>
          <w:rFonts w:ascii="Palatino Linotype" w:hAnsi="Palatino Linotype" w:cs="Tahoma"/>
          <w:color w:val="000000" w:themeColor="text1"/>
          <w:sz w:val="22"/>
          <w:szCs w:val="22"/>
          <w:lang w:val="es-ES"/>
        </w:rPr>
        <w:t>Sistema de Acceso a la Información Mexiquense (SAIMEX),</w:t>
      </w:r>
      <w:r w:rsidRPr="00E51E73">
        <w:rPr>
          <w:rFonts w:ascii="Palatino Linotype" w:eastAsia="Batang" w:hAnsi="Palatino Linotype" w:cs="Tahoma"/>
          <w:bCs/>
          <w:color w:val="000000" w:themeColor="text1"/>
          <w:sz w:val="22"/>
          <w:szCs w:val="22"/>
        </w:rPr>
        <w:t xml:space="preserve"> asignó el número de expediente </w:t>
      </w:r>
      <w:r w:rsidR="004E1DDE" w:rsidRPr="00E51E73">
        <w:rPr>
          <w:rFonts w:ascii="Palatino Linotype" w:eastAsia="Batang" w:hAnsi="Palatino Linotype" w:cs="Tahoma"/>
          <w:b/>
          <w:bCs/>
          <w:color w:val="000000" w:themeColor="text1"/>
          <w:sz w:val="22"/>
          <w:szCs w:val="22"/>
        </w:rPr>
        <w:t>0</w:t>
      </w:r>
      <w:r w:rsidR="003E16CF" w:rsidRPr="00E51E73">
        <w:rPr>
          <w:rFonts w:ascii="Palatino Linotype" w:eastAsia="Batang" w:hAnsi="Palatino Linotype" w:cs="Tahoma"/>
          <w:b/>
          <w:bCs/>
          <w:color w:val="000000" w:themeColor="text1"/>
          <w:sz w:val="22"/>
          <w:szCs w:val="22"/>
        </w:rPr>
        <w:t>0</w:t>
      </w:r>
      <w:r w:rsidR="00D2369D" w:rsidRPr="00E51E73">
        <w:rPr>
          <w:rFonts w:ascii="Palatino Linotype" w:eastAsia="Batang" w:hAnsi="Palatino Linotype" w:cs="Tahoma"/>
          <w:b/>
          <w:bCs/>
          <w:color w:val="000000" w:themeColor="text1"/>
          <w:sz w:val="22"/>
          <w:szCs w:val="22"/>
        </w:rPr>
        <w:t>201</w:t>
      </w:r>
      <w:r w:rsidR="00747F8C" w:rsidRPr="00E51E73">
        <w:rPr>
          <w:rFonts w:ascii="Palatino Linotype" w:eastAsia="Batang" w:hAnsi="Palatino Linotype" w:cs="Tahoma"/>
          <w:b/>
          <w:bCs/>
          <w:color w:val="000000" w:themeColor="text1"/>
          <w:sz w:val="22"/>
          <w:szCs w:val="22"/>
        </w:rPr>
        <w:t>/INFOEM/IP/RR/202</w:t>
      </w:r>
      <w:r w:rsidR="003E16CF" w:rsidRPr="00E51E73">
        <w:rPr>
          <w:rFonts w:ascii="Palatino Linotype" w:eastAsia="Batang" w:hAnsi="Palatino Linotype" w:cs="Tahoma"/>
          <w:b/>
          <w:bCs/>
          <w:color w:val="000000" w:themeColor="text1"/>
          <w:sz w:val="22"/>
          <w:szCs w:val="22"/>
        </w:rPr>
        <w:t>5</w:t>
      </w:r>
      <w:r w:rsidRPr="00E51E73">
        <w:rPr>
          <w:rFonts w:ascii="Palatino Linotype" w:eastAsia="Batang" w:hAnsi="Palatino Linotype" w:cs="Tahoma"/>
          <w:bCs/>
          <w:color w:val="000000" w:themeColor="text1"/>
          <w:sz w:val="22"/>
          <w:szCs w:val="22"/>
        </w:rPr>
        <w:t xml:space="preserve">, al medio de impugnación que nos ocupa, con base en el sistema aprobado por el Pleno de este </w:t>
      </w:r>
      <w:r w:rsidR="00A31139" w:rsidRPr="00E51E73">
        <w:rPr>
          <w:rFonts w:ascii="Palatino Linotype" w:eastAsia="Batang" w:hAnsi="Palatino Linotype" w:cs="Tahoma"/>
          <w:bCs/>
          <w:color w:val="000000" w:themeColor="text1"/>
          <w:sz w:val="22"/>
          <w:szCs w:val="22"/>
        </w:rPr>
        <w:t>Organismo</w:t>
      </w:r>
      <w:r w:rsidRPr="00E51E73">
        <w:rPr>
          <w:rFonts w:ascii="Palatino Linotype" w:eastAsia="Batang" w:hAnsi="Palatino Linotype" w:cs="Tahoma"/>
          <w:bCs/>
          <w:color w:val="000000" w:themeColor="text1"/>
          <w:sz w:val="22"/>
          <w:szCs w:val="22"/>
        </w:rPr>
        <w:t xml:space="preserve"> Garante y lo turnó al Comisionado Ponente Luis Gustavo Parra Noriega, para los efectos del artículo 185, fracción I de la Ley de Transparencia y Acceso a la Información Pública del Estado de México y Municipios.</w:t>
      </w:r>
    </w:p>
    <w:p w14:paraId="77CF11B9" w14:textId="77777777" w:rsidR="00E06C17" w:rsidRPr="00E51E73" w:rsidRDefault="00E06C17" w:rsidP="004F4E53">
      <w:pPr>
        <w:spacing w:line="360" w:lineRule="auto"/>
        <w:jc w:val="both"/>
        <w:rPr>
          <w:rFonts w:ascii="Palatino Linotype" w:eastAsia="Batang" w:hAnsi="Palatino Linotype" w:cs="Tahoma"/>
          <w:b/>
          <w:bCs/>
          <w:color w:val="000000" w:themeColor="text1"/>
          <w:sz w:val="22"/>
          <w:szCs w:val="22"/>
        </w:rPr>
      </w:pPr>
    </w:p>
    <w:p w14:paraId="26883477" w14:textId="595046BA" w:rsidR="00F469B3" w:rsidRPr="00E51E73" w:rsidRDefault="006C349C" w:rsidP="004F4E53">
      <w:pPr>
        <w:spacing w:line="360" w:lineRule="auto"/>
        <w:jc w:val="both"/>
        <w:rPr>
          <w:rFonts w:ascii="Palatino Linotype" w:hAnsi="Palatino Linotype" w:cs="Tahoma"/>
          <w:bCs/>
          <w:iCs/>
          <w:color w:val="000000" w:themeColor="text1"/>
          <w:sz w:val="22"/>
          <w:szCs w:val="22"/>
        </w:rPr>
      </w:pPr>
      <w:r w:rsidRPr="00E51E73">
        <w:rPr>
          <w:rFonts w:ascii="Palatino Linotype" w:eastAsia="Batang" w:hAnsi="Palatino Linotype" w:cs="Tahoma"/>
          <w:b/>
          <w:bCs/>
          <w:color w:val="000000" w:themeColor="text1"/>
          <w:sz w:val="22"/>
          <w:szCs w:val="22"/>
        </w:rPr>
        <w:t>b</w:t>
      </w:r>
      <w:r w:rsidR="00F469B3" w:rsidRPr="00E51E73">
        <w:rPr>
          <w:rFonts w:ascii="Palatino Linotype" w:eastAsia="Batang" w:hAnsi="Palatino Linotype" w:cs="Tahoma"/>
          <w:b/>
          <w:bCs/>
          <w:color w:val="000000" w:themeColor="text1"/>
          <w:sz w:val="22"/>
          <w:szCs w:val="22"/>
        </w:rPr>
        <w:t xml:space="preserve">) Admisión del </w:t>
      </w:r>
      <w:r w:rsidR="00F469B3" w:rsidRPr="00E51E73">
        <w:rPr>
          <w:rFonts w:ascii="Palatino Linotype" w:hAnsi="Palatino Linotype" w:cs="Tahoma"/>
          <w:b/>
          <w:color w:val="000000" w:themeColor="text1"/>
          <w:sz w:val="22"/>
          <w:szCs w:val="22"/>
        </w:rPr>
        <w:t>Recurso de Revisión</w:t>
      </w:r>
      <w:r w:rsidR="00F469B3" w:rsidRPr="00E51E73">
        <w:rPr>
          <w:rFonts w:ascii="Palatino Linotype" w:eastAsia="Batang" w:hAnsi="Palatino Linotype" w:cs="Tahoma"/>
          <w:b/>
          <w:bCs/>
          <w:color w:val="000000" w:themeColor="text1"/>
          <w:sz w:val="22"/>
          <w:szCs w:val="22"/>
          <w:lang w:val="es-ES_tradnl"/>
        </w:rPr>
        <w:t xml:space="preserve">. </w:t>
      </w:r>
      <w:r w:rsidR="006213D7" w:rsidRPr="00E51E73">
        <w:rPr>
          <w:rFonts w:ascii="Palatino Linotype" w:eastAsia="Batang" w:hAnsi="Palatino Linotype" w:cs="Tahoma"/>
          <w:bCs/>
          <w:color w:val="000000" w:themeColor="text1"/>
          <w:sz w:val="22"/>
          <w:szCs w:val="22"/>
        </w:rPr>
        <w:t xml:space="preserve">El </w:t>
      </w:r>
      <w:r w:rsidR="00AC1EAA" w:rsidRPr="00E51E73">
        <w:rPr>
          <w:rFonts w:ascii="Palatino Linotype" w:hAnsi="Palatino Linotype" w:cs="Tahoma"/>
          <w:bCs/>
          <w:iCs/>
          <w:color w:val="000000" w:themeColor="text1"/>
          <w:sz w:val="22"/>
          <w:szCs w:val="22"/>
        </w:rPr>
        <w:t>veinti</w:t>
      </w:r>
      <w:r w:rsidR="00D2369D" w:rsidRPr="00E51E73">
        <w:rPr>
          <w:rFonts w:ascii="Palatino Linotype" w:hAnsi="Palatino Linotype" w:cs="Tahoma"/>
          <w:bCs/>
          <w:iCs/>
          <w:color w:val="000000" w:themeColor="text1"/>
          <w:sz w:val="22"/>
          <w:szCs w:val="22"/>
        </w:rPr>
        <w:t>siete</w:t>
      </w:r>
      <w:r w:rsidR="003E16CF" w:rsidRPr="00E51E73">
        <w:rPr>
          <w:rFonts w:ascii="Palatino Linotype" w:hAnsi="Palatino Linotype" w:cs="Tahoma"/>
          <w:bCs/>
          <w:iCs/>
          <w:color w:val="000000" w:themeColor="text1"/>
          <w:sz w:val="22"/>
          <w:szCs w:val="22"/>
        </w:rPr>
        <w:t xml:space="preserve"> de enero</w:t>
      </w:r>
      <w:r w:rsidR="006213D7" w:rsidRPr="00E51E73">
        <w:rPr>
          <w:rFonts w:ascii="Palatino Linotype" w:hAnsi="Palatino Linotype" w:cs="Tahoma"/>
          <w:bCs/>
          <w:iCs/>
          <w:color w:val="000000" w:themeColor="text1"/>
          <w:sz w:val="22"/>
          <w:szCs w:val="22"/>
        </w:rPr>
        <w:t xml:space="preserve"> de dos mil veintic</w:t>
      </w:r>
      <w:r w:rsidR="003E16CF" w:rsidRPr="00E51E73">
        <w:rPr>
          <w:rFonts w:ascii="Palatino Linotype" w:hAnsi="Palatino Linotype" w:cs="Tahoma"/>
          <w:bCs/>
          <w:iCs/>
          <w:color w:val="000000" w:themeColor="text1"/>
          <w:sz w:val="22"/>
          <w:szCs w:val="22"/>
        </w:rPr>
        <w:t>inco</w:t>
      </w:r>
      <w:r w:rsidR="00F469B3" w:rsidRPr="00E51E73">
        <w:rPr>
          <w:rFonts w:ascii="Palatino Linotype" w:eastAsia="Batang" w:hAnsi="Palatino Linotype" w:cs="Tahoma"/>
          <w:bCs/>
          <w:color w:val="000000" w:themeColor="text1"/>
          <w:sz w:val="22"/>
          <w:szCs w:val="22"/>
          <w:lang w:val="es-ES_tradnl"/>
        </w:rPr>
        <w:t xml:space="preserve">, se acordó la admisión del Recurso de Revisión interpuesto por </w:t>
      </w:r>
      <w:r w:rsidR="00393C64" w:rsidRPr="00E51E73">
        <w:rPr>
          <w:rFonts w:ascii="Palatino Linotype" w:eastAsia="Batang" w:hAnsi="Palatino Linotype" w:cs="Tahoma"/>
          <w:bCs/>
          <w:color w:val="000000" w:themeColor="text1"/>
          <w:sz w:val="22"/>
          <w:szCs w:val="22"/>
          <w:lang w:val="es-ES_tradnl"/>
        </w:rPr>
        <w:t>la persona</w:t>
      </w:r>
      <w:r w:rsidR="00F469B3" w:rsidRPr="00E51E73">
        <w:rPr>
          <w:rFonts w:ascii="Palatino Linotype" w:eastAsia="Batang" w:hAnsi="Palatino Linotype" w:cs="Tahoma"/>
          <w:bCs/>
          <w:color w:val="000000" w:themeColor="text1"/>
          <w:sz w:val="22"/>
          <w:szCs w:val="22"/>
          <w:lang w:val="es-ES_tradnl"/>
        </w:rPr>
        <w:t xml:space="preserve"> Recurrente en contra del Sujeto Obligado, en términos del artículo 185, fracciones I y II de la Ley de Transparencia y Acceso a la Información Pública del Estado de México y Municipios, el cual fue notificado a las partes el</w:t>
      </w:r>
      <w:r w:rsidR="00AF673B" w:rsidRPr="00E51E73">
        <w:rPr>
          <w:rFonts w:ascii="Palatino Linotype" w:eastAsia="Batang" w:hAnsi="Palatino Linotype" w:cs="Tahoma"/>
          <w:bCs/>
          <w:color w:val="000000" w:themeColor="text1"/>
          <w:sz w:val="22"/>
          <w:szCs w:val="22"/>
          <w:lang w:val="es-ES_tradnl"/>
        </w:rPr>
        <w:t xml:space="preserve"> </w:t>
      </w:r>
      <w:r w:rsidR="00AC1EAA" w:rsidRPr="00E51E73">
        <w:rPr>
          <w:rFonts w:ascii="Palatino Linotype" w:eastAsia="Batang" w:hAnsi="Palatino Linotype" w:cs="Tahoma"/>
          <w:bCs/>
          <w:color w:val="000000" w:themeColor="text1"/>
          <w:sz w:val="22"/>
          <w:szCs w:val="22"/>
          <w:lang w:val="es-ES_tradnl"/>
        </w:rPr>
        <w:t xml:space="preserve">veintisiete del </w:t>
      </w:r>
      <w:r w:rsidR="00AF673B" w:rsidRPr="00E51E73">
        <w:rPr>
          <w:rFonts w:ascii="Palatino Linotype" w:eastAsia="Batang" w:hAnsi="Palatino Linotype" w:cs="Tahoma"/>
          <w:bCs/>
          <w:color w:val="000000" w:themeColor="text1"/>
          <w:sz w:val="22"/>
          <w:szCs w:val="22"/>
          <w:lang w:val="es-ES_tradnl"/>
        </w:rPr>
        <w:t xml:space="preserve">mismo </w:t>
      </w:r>
      <w:r w:rsidR="00AC1EAA" w:rsidRPr="00E51E73">
        <w:rPr>
          <w:rFonts w:ascii="Palatino Linotype" w:eastAsia="Batang" w:hAnsi="Palatino Linotype" w:cs="Tahoma"/>
          <w:bCs/>
          <w:color w:val="000000" w:themeColor="text1"/>
          <w:sz w:val="22"/>
          <w:szCs w:val="22"/>
          <w:lang w:val="es-ES_tradnl"/>
        </w:rPr>
        <w:t>mes y año</w:t>
      </w:r>
      <w:r w:rsidR="00F469B3" w:rsidRPr="00E51E73">
        <w:rPr>
          <w:rFonts w:ascii="Palatino Linotype" w:eastAsia="Batang" w:hAnsi="Palatino Linotype" w:cs="Tahoma"/>
          <w:bCs/>
          <w:color w:val="000000" w:themeColor="text1"/>
          <w:sz w:val="22"/>
          <w:szCs w:val="22"/>
          <w:lang w:val="es-ES_tradnl"/>
        </w:rPr>
        <w:t>, a través del Sistema de Acceso a la Información Mexiquense (SAIMEX), en el que se les otorgó un plazo de siete días hábiles posteriores a la misma, para que manifestaran lo que a su derecho conviniera y formularan alegatos.</w:t>
      </w:r>
    </w:p>
    <w:p w14:paraId="525192B2" w14:textId="77777777" w:rsidR="00F469B3" w:rsidRPr="00E51E73" w:rsidRDefault="00F469B3" w:rsidP="004F4E53">
      <w:pPr>
        <w:spacing w:line="360" w:lineRule="auto"/>
        <w:jc w:val="both"/>
        <w:rPr>
          <w:rFonts w:ascii="Palatino Linotype" w:eastAsia="Batang" w:hAnsi="Palatino Linotype" w:cs="Tahoma"/>
          <w:bCs/>
          <w:color w:val="000000" w:themeColor="text1"/>
          <w:sz w:val="22"/>
          <w:szCs w:val="22"/>
          <w:lang w:val="es-ES_tradnl"/>
        </w:rPr>
      </w:pPr>
    </w:p>
    <w:p w14:paraId="193C5D46" w14:textId="2A1ABAA0" w:rsidR="00947608" w:rsidRPr="00E51E73" w:rsidRDefault="006C349C" w:rsidP="00947608">
      <w:pPr>
        <w:spacing w:line="360" w:lineRule="auto"/>
        <w:jc w:val="both"/>
        <w:rPr>
          <w:rFonts w:ascii="Palatino Linotype" w:hAnsi="Palatino Linotype" w:cs="Tahoma"/>
          <w:bCs/>
          <w:i/>
          <w:lang w:val="es-ES"/>
        </w:rPr>
      </w:pPr>
      <w:r w:rsidRPr="00E51E73">
        <w:rPr>
          <w:rFonts w:ascii="Palatino Linotype" w:hAnsi="Palatino Linotype" w:cs="Tahoma"/>
          <w:b/>
          <w:color w:val="000000" w:themeColor="text1"/>
          <w:sz w:val="22"/>
          <w:szCs w:val="22"/>
        </w:rPr>
        <w:t>c</w:t>
      </w:r>
      <w:r w:rsidR="00F469B3" w:rsidRPr="00E51E73">
        <w:rPr>
          <w:rFonts w:ascii="Palatino Linotype" w:hAnsi="Palatino Linotype" w:cs="Tahoma"/>
          <w:b/>
          <w:color w:val="000000" w:themeColor="text1"/>
          <w:sz w:val="22"/>
          <w:szCs w:val="22"/>
        </w:rPr>
        <w:t>)</w:t>
      </w:r>
      <w:r w:rsidR="00A31139" w:rsidRPr="00E51E73">
        <w:rPr>
          <w:rFonts w:ascii="Palatino Linotype" w:hAnsi="Palatino Linotype" w:cs="Tahoma"/>
          <w:color w:val="000000" w:themeColor="text1"/>
          <w:sz w:val="22"/>
          <w:szCs w:val="22"/>
          <w:lang w:val="es-ES_tradnl"/>
        </w:rPr>
        <w:t xml:space="preserve"> </w:t>
      </w:r>
      <w:r w:rsidR="00947608" w:rsidRPr="00E51E73">
        <w:rPr>
          <w:rFonts w:ascii="Palatino Linotype" w:hAnsi="Palatino Linotype" w:cs="Tahoma"/>
          <w:b/>
          <w:sz w:val="22"/>
          <w:szCs w:val="22"/>
          <w:lang w:val="es-ES_tradnl"/>
        </w:rPr>
        <w:t xml:space="preserve"> Informe Justificado</w:t>
      </w:r>
      <w:r w:rsidRPr="00E51E73">
        <w:rPr>
          <w:rFonts w:ascii="Palatino Linotype" w:hAnsi="Palatino Linotype" w:cs="Tahoma"/>
          <w:b/>
          <w:sz w:val="22"/>
          <w:szCs w:val="22"/>
          <w:lang w:val="es-ES_tradnl"/>
        </w:rPr>
        <w:t xml:space="preserve"> y Manifestaciones</w:t>
      </w:r>
      <w:r w:rsidR="00947608" w:rsidRPr="00E51E73">
        <w:rPr>
          <w:rFonts w:ascii="Palatino Linotype" w:hAnsi="Palatino Linotype" w:cs="Tahoma"/>
          <w:b/>
          <w:sz w:val="22"/>
          <w:szCs w:val="22"/>
          <w:lang w:val="es-ES_tradnl"/>
        </w:rPr>
        <w:t xml:space="preserve">. </w:t>
      </w:r>
      <w:r w:rsidRPr="00E51E73">
        <w:rPr>
          <w:rFonts w:ascii="Palatino Linotype" w:hAnsi="Palatino Linotype" w:cs="Tahoma"/>
          <w:iCs/>
          <w:sz w:val="22"/>
          <w:szCs w:val="22"/>
          <w:lang w:val="es-ES"/>
        </w:rPr>
        <w:t>Las partes fueron</w:t>
      </w:r>
      <w:r w:rsidR="00F13EF5" w:rsidRPr="00E51E73">
        <w:rPr>
          <w:rFonts w:ascii="Palatino Linotype" w:hAnsi="Palatino Linotype" w:cs="Tahoma"/>
          <w:iCs/>
          <w:sz w:val="22"/>
          <w:szCs w:val="22"/>
          <w:lang w:val="es-ES"/>
        </w:rPr>
        <w:t xml:space="preserve"> omis</w:t>
      </w:r>
      <w:r w:rsidRPr="00E51E73">
        <w:rPr>
          <w:rFonts w:ascii="Palatino Linotype" w:hAnsi="Palatino Linotype" w:cs="Tahoma"/>
          <w:iCs/>
          <w:sz w:val="22"/>
          <w:szCs w:val="22"/>
          <w:lang w:val="es-ES"/>
        </w:rPr>
        <w:t>as</w:t>
      </w:r>
      <w:r w:rsidR="00F13EF5" w:rsidRPr="00E51E73">
        <w:rPr>
          <w:rFonts w:ascii="Palatino Linotype" w:hAnsi="Palatino Linotype" w:cs="Tahoma"/>
          <w:iCs/>
          <w:sz w:val="22"/>
          <w:szCs w:val="22"/>
          <w:lang w:val="es-ES"/>
        </w:rPr>
        <w:t xml:space="preserve"> </w:t>
      </w:r>
      <w:r w:rsidR="00947608" w:rsidRPr="00E51E73">
        <w:rPr>
          <w:rFonts w:ascii="Palatino Linotype" w:hAnsi="Palatino Linotype" w:cs="Tahoma"/>
          <w:iCs/>
          <w:sz w:val="22"/>
          <w:szCs w:val="22"/>
          <w:lang w:val="es-ES"/>
        </w:rPr>
        <w:t>en emitir manifestaciones o alegatos</w:t>
      </w:r>
      <w:r w:rsidR="00947608" w:rsidRPr="00E51E73">
        <w:rPr>
          <w:rFonts w:ascii="Palatino Linotype" w:hAnsi="Palatino Linotype" w:cs="Tahoma"/>
          <w:sz w:val="22"/>
          <w:szCs w:val="22"/>
        </w:rPr>
        <w:t>.</w:t>
      </w:r>
    </w:p>
    <w:p w14:paraId="0BB47E08" w14:textId="3BD3176E" w:rsidR="00947608" w:rsidRPr="00E51E73" w:rsidRDefault="00947608" w:rsidP="004F4E53">
      <w:pPr>
        <w:spacing w:line="360" w:lineRule="auto"/>
        <w:contextualSpacing/>
        <w:jc w:val="both"/>
        <w:rPr>
          <w:rFonts w:ascii="Palatino Linotype" w:hAnsi="Palatino Linotype" w:cs="Tahoma"/>
          <w:b/>
          <w:sz w:val="18"/>
          <w:szCs w:val="22"/>
          <w:lang w:val="es-ES_tradnl"/>
        </w:rPr>
      </w:pPr>
    </w:p>
    <w:p w14:paraId="155868CD" w14:textId="3F3D414B" w:rsidR="008F4B45" w:rsidRPr="00E51E73" w:rsidRDefault="00CD3CA9" w:rsidP="004F4E53">
      <w:pPr>
        <w:spacing w:line="360" w:lineRule="auto"/>
        <w:jc w:val="both"/>
        <w:rPr>
          <w:rFonts w:ascii="Palatino Linotype" w:hAnsi="Palatino Linotype"/>
          <w:b/>
          <w:sz w:val="22"/>
          <w:szCs w:val="22"/>
        </w:rPr>
      </w:pPr>
      <w:r w:rsidRPr="00E51E73">
        <w:rPr>
          <w:rFonts w:ascii="Palatino Linotype" w:hAnsi="Palatino Linotype"/>
          <w:b/>
          <w:sz w:val="22"/>
          <w:szCs w:val="22"/>
        </w:rPr>
        <w:t>d</w:t>
      </w:r>
      <w:r w:rsidR="000553B4" w:rsidRPr="00E51E73">
        <w:rPr>
          <w:rFonts w:ascii="Palatino Linotype" w:hAnsi="Palatino Linotype"/>
          <w:b/>
          <w:sz w:val="22"/>
          <w:szCs w:val="22"/>
        </w:rPr>
        <w:t xml:space="preserve">) </w:t>
      </w:r>
      <w:r w:rsidR="0063734D" w:rsidRPr="00E51E73">
        <w:rPr>
          <w:rFonts w:ascii="Palatino Linotype" w:hAnsi="Palatino Linotype"/>
          <w:b/>
          <w:sz w:val="22"/>
          <w:szCs w:val="22"/>
        </w:rPr>
        <w:t>Cierre de instrucción.</w:t>
      </w:r>
      <w:r w:rsidR="00763D85" w:rsidRPr="00E51E73">
        <w:rPr>
          <w:rFonts w:ascii="Palatino Linotype" w:hAnsi="Palatino Linotype"/>
          <w:b/>
          <w:sz w:val="22"/>
          <w:szCs w:val="22"/>
        </w:rPr>
        <w:t xml:space="preserve"> </w:t>
      </w:r>
      <w:r w:rsidR="008F4B45" w:rsidRPr="00E51E73">
        <w:rPr>
          <w:rFonts w:ascii="Palatino Linotype" w:hAnsi="Palatino Linotype"/>
          <w:sz w:val="22"/>
          <w:szCs w:val="22"/>
        </w:rPr>
        <w:t>El</w:t>
      </w:r>
      <w:r w:rsidR="003E16CF" w:rsidRPr="00E51E73">
        <w:rPr>
          <w:rFonts w:ascii="Palatino Linotype" w:hAnsi="Palatino Linotype"/>
          <w:sz w:val="22"/>
          <w:szCs w:val="22"/>
        </w:rPr>
        <w:t xml:space="preserve"> </w:t>
      </w:r>
      <w:r w:rsidR="005A1E4C" w:rsidRPr="00E51E73">
        <w:rPr>
          <w:rFonts w:ascii="Palatino Linotype" w:hAnsi="Palatino Linotype"/>
          <w:sz w:val="22"/>
          <w:szCs w:val="22"/>
        </w:rPr>
        <w:t>siete de febrero</w:t>
      </w:r>
      <w:r w:rsidR="004F3A02" w:rsidRPr="00E51E73">
        <w:rPr>
          <w:rFonts w:ascii="Palatino Linotype" w:hAnsi="Palatino Linotype"/>
          <w:sz w:val="22"/>
          <w:szCs w:val="22"/>
        </w:rPr>
        <w:t xml:space="preserve"> de dos mil veinti</w:t>
      </w:r>
      <w:r w:rsidR="003E16CF" w:rsidRPr="00E51E73">
        <w:rPr>
          <w:rFonts w:ascii="Palatino Linotype" w:hAnsi="Palatino Linotype"/>
          <w:sz w:val="22"/>
          <w:szCs w:val="22"/>
        </w:rPr>
        <w:t>cinco</w:t>
      </w:r>
      <w:r w:rsidR="008F4B45" w:rsidRPr="00E51E73">
        <w:rPr>
          <w:rFonts w:ascii="Palatino Linotype" w:hAnsi="Palatino Linotype"/>
          <w:sz w:val="22"/>
          <w:szCs w:val="22"/>
        </w:rPr>
        <w:t xml:space="preserve">, al no existir diligencias pendientes por desahogar, se emitió el acuerdo por medio del cual se declaró cerrada la instrucción y, se pasó el expediente a resolución, en términos de lo dispuesto en los artículos 185, fracciones VI y VIII, de la Ley de Transparencia y Acceso a la Información Pública del Estado de México y Municipios; acto que fue notificado a las partes el mismo día, a través del Sistema de Acceso a la Información Mexiquense (SAIMEX). </w:t>
      </w:r>
    </w:p>
    <w:p w14:paraId="7BB94FD2" w14:textId="77777777" w:rsidR="008F4B45" w:rsidRPr="00E51E73" w:rsidRDefault="008F4B45" w:rsidP="004F4E53">
      <w:pPr>
        <w:spacing w:line="360" w:lineRule="auto"/>
        <w:contextualSpacing/>
        <w:jc w:val="both"/>
        <w:rPr>
          <w:rFonts w:ascii="Palatino Linotype" w:hAnsi="Palatino Linotype" w:cs="Tahoma"/>
          <w:b/>
          <w:sz w:val="18"/>
          <w:szCs w:val="22"/>
        </w:rPr>
      </w:pPr>
    </w:p>
    <w:p w14:paraId="353F8859" w14:textId="0D17D196" w:rsidR="004F3A02" w:rsidRPr="00E51E73" w:rsidRDefault="008F4B45" w:rsidP="004F4E53">
      <w:pPr>
        <w:spacing w:line="360" w:lineRule="auto"/>
        <w:contextualSpacing/>
        <w:jc w:val="both"/>
        <w:rPr>
          <w:rFonts w:ascii="Palatino Linotype" w:hAnsi="Palatino Linotype" w:cs="Tahoma"/>
          <w:color w:val="000000"/>
          <w:sz w:val="22"/>
          <w:szCs w:val="22"/>
        </w:rPr>
      </w:pPr>
      <w:r w:rsidRPr="00E51E73">
        <w:rPr>
          <w:rFonts w:ascii="Palatino Linotype" w:hAnsi="Palatino Linotype" w:cs="Tahoma"/>
          <w:color w:val="000000"/>
          <w:sz w:val="22"/>
          <w:szCs w:val="22"/>
        </w:rPr>
        <w:t xml:space="preserve">En razón de que fue debidamente sustanciado el expediente electrónico y no existe diligencia pendiente de desahogo, se emite la Resolución que conforme a Derecho proceda, de acuerdo con los siguientes: </w:t>
      </w:r>
    </w:p>
    <w:p w14:paraId="711B402C" w14:textId="77777777" w:rsidR="00E155C6" w:rsidRPr="00E51E73" w:rsidRDefault="00E155C6" w:rsidP="004F4E53">
      <w:pPr>
        <w:spacing w:line="360" w:lineRule="auto"/>
        <w:contextualSpacing/>
        <w:jc w:val="both"/>
        <w:rPr>
          <w:rFonts w:ascii="Palatino Linotype" w:hAnsi="Palatino Linotype" w:cs="Tahoma"/>
          <w:color w:val="000000"/>
          <w:sz w:val="22"/>
          <w:szCs w:val="22"/>
        </w:rPr>
      </w:pPr>
    </w:p>
    <w:p w14:paraId="615EA163" w14:textId="77777777" w:rsidR="004F3A02" w:rsidRPr="00E51E73" w:rsidRDefault="004F3A02" w:rsidP="002B57E5">
      <w:pPr>
        <w:pStyle w:val="Ttulo1"/>
        <w:rPr>
          <w:lang w:val="es-ES"/>
        </w:rPr>
      </w:pPr>
      <w:bookmarkStart w:id="6" w:name="_Toc190334572"/>
      <w:r w:rsidRPr="00E51E73">
        <w:rPr>
          <w:lang w:val="es-ES"/>
        </w:rPr>
        <w:t>C O N S I D E R A N D O S</w:t>
      </w:r>
      <w:bookmarkEnd w:id="6"/>
    </w:p>
    <w:p w14:paraId="066231C1" w14:textId="77777777" w:rsidR="004F3A02" w:rsidRPr="00E51E73" w:rsidRDefault="004F3A02" w:rsidP="004F4E53">
      <w:pPr>
        <w:spacing w:line="360" w:lineRule="auto"/>
        <w:jc w:val="both"/>
        <w:rPr>
          <w:rFonts w:ascii="Palatino Linotype" w:hAnsi="Palatino Linotype" w:cs="Tahoma"/>
          <w:b/>
          <w:sz w:val="22"/>
          <w:lang w:val="es-ES"/>
        </w:rPr>
      </w:pPr>
    </w:p>
    <w:p w14:paraId="001B63FA" w14:textId="77777777" w:rsidR="004F3A02" w:rsidRPr="00E51E73" w:rsidRDefault="004F3A02" w:rsidP="002B57E5">
      <w:pPr>
        <w:pStyle w:val="Ttulo2"/>
        <w:rPr>
          <w:lang w:val="es-ES"/>
        </w:rPr>
      </w:pPr>
      <w:bookmarkStart w:id="7" w:name="_Toc190334573"/>
      <w:r w:rsidRPr="00E51E73">
        <w:rPr>
          <w:rFonts w:eastAsia="Calibri"/>
          <w:color w:val="000000"/>
          <w:lang w:val="es-ES" w:eastAsia="es-MX"/>
        </w:rPr>
        <w:t xml:space="preserve">PRIMERO. </w:t>
      </w:r>
      <w:r w:rsidRPr="00E51E73">
        <w:rPr>
          <w:lang w:val="es-ES"/>
        </w:rPr>
        <w:t>Competencia</w:t>
      </w:r>
      <w:bookmarkEnd w:id="7"/>
    </w:p>
    <w:p w14:paraId="35D71D67" w14:textId="77777777" w:rsidR="004F3A02" w:rsidRPr="00E51E73" w:rsidRDefault="004F3A02" w:rsidP="004F4E53">
      <w:pPr>
        <w:autoSpaceDE w:val="0"/>
        <w:autoSpaceDN w:val="0"/>
        <w:adjustRightInd w:val="0"/>
        <w:spacing w:line="360" w:lineRule="auto"/>
        <w:jc w:val="both"/>
        <w:rPr>
          <w:rFonts w:ascii="Palatino Linotype" w:hAnsi="Palatino Linotype" w:cs="Tahoma"/>
          <w:b/>
          <w:sz w:val="22"/>
          <w:lang w:val="es-ES"/>
        </w:rPr>
      </w:pPr>
    </w:p>
    <w:p w14:paraId="513CA3EE" w14:textId="77CC2437" w:rsidR="001A301B" w:rsidRPr="00E51E73" w:rsidRDefault="001A301B" w:rsidP="001A301B">
      <w:pPr>
        <w:spacing w:line="360" w:lineRule="auto"/>
        <w:jc w:val="both"/>
        <w:rPr>
          <w:rFonts w:ascii="Palatino Linotype" w:eastAsia="Palatino Linotype" w:hAnsi="Palatino Linotype" w:cs="Palatino Linotype"/>
          <w:color w:val="000000" w:themeColor="text1"/>
          <w:sz w:val="22"/>
          <w:szCs w:val="22"/>
          <w:lang w:eastAsia="es-MX"/>
        </w:rPr>
      </w:pPr>
      <w:r w:rsidRPr="00E51E73">
        <w:rPr>
          <w:rFonts w:ascii="Palatino Linotype" w:eastAsia="Palatino Linotype" w:hAnsi="Palatino Linotype" w:cs="Palatino Linotype"/>
          <w:color w:val="000000" w:themeColor="text1"/>
          <w:sz w:val="22"/>
          <w:szCs w:val="22"/>
          <w:lang w:eastAsia="es-MX"/>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w:t>
      </w:r>
      <w:r w:rsidR="00BA5927" w:rsidRPr="00E51E73">
        <w:rPr>
          <w:rFonts w:ascii="Palatino Linotype" w:eastAsia="Palatino Linotype" w:hAnsi="Palatino Linotype" w:cs="Palatino Linotype"/>
          <w:color w:val="000000" w:themeColor="text1"/>
          <w:sz w:val="22"/>
          <w:szCs w:val="22"/>
          <w:lang w:eastAsia="es-MX"/>
        </w:rPr>
        <w:t>los</w:t>
      </w:r>
      <w:r w:rsidRPr="00E51E73">
        <w:rPr>
          <w:rFonts w:ascii="Palatino Linotype" w:eastAsia="Palatino Linotype" w:hAnsi="Palatino Linotype" w:cs="Palatino Linotype"/>
          <w:color w:val="000000" w:themeColor="text1"/>
          <w:sz w:val="22"/>
          <w:szCs w:val="22"/>
          <w:lang w:eastAsia="es-MX"/>
        </w:rPr>
        <w:t xml:space="preserve"> artículo</w:t>
      </w:r>
      <w:r w:rsidR="00BA5927" w:rsidRPr="00E51E73">
        <w:rPr>
          <w:rFonts w:ascii="Palatino Linotype" w:eastAsia="Palatino Linotype" w:hAnsi="Palatino Linotype" w:cs="Palatino Linotype"/>
          <w:color w:val="000000" w:themeColor="text1"/>
          <w:sz w:val="22"/>
          <w:szCs w:val="22"/>
          <w:lang w:eastAsia="es-MX"/>
        </w:rPr>
        <w:t>s</w:t>
      </w:r>
      <w:r w:rsidRPr="00E51E73">
        <w:rPr>
          <w:rFonts w:ascii="Palatino Linotype" w:eastAsia="Palatino Linotype" w:hAnsi="Palatino Linotype" w:cs="Palatino Linotype"/>
          <w:color w:val="000000" w:themeColor="text1"/>
          <w:sz w:val="22"/>
          <w:szCs w:val="22"/>
          <w:lang w:eastAsia="es-MX"/>
        </w:rPr>
        <w:t xml:space="preserve"> 5°, párrafos </w:t>
      </w:r>
      <w:r w:rsidRPr="00E51E73">
        <w:rPr>
          <w:rFonts w:ascii="Palatino Linotype" w:eastAsia="Palatino Linotype" w:hAnsi="Palatino Linotype" w:cs="Palatino Linotype"/>
          <w:color w:val="000000"/>
          <w:sz w:val="22"/>
          <w:szCs w:val="22"/>
          <w:lang w:eastAsia="es-MX"/>
        </w:rPr>
        <w:t>trigésimo segundo, trigésimo tercero y trigésimo cuarto</w:t>
      </w:r>
      <w:r w:rsidRPr="00E51E73">
        <w:rPr>
          <w:rFonts w:ascii="Palatino Linotype" w:eastAsia="Palatino Linotype" w:hAnsi="Palatino Linotype" w:cs="Palatino Linotype"/>
          <w:color w:val="000000" w:themeColor="text1"/>
          <w:sz w:val="22"/>
          <w:szCs w:val="22"/>
          <w:lang w:eastAsia="es-MX"/>
        </w:rPr>
        <w:t>,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57A46968" w14:textId="77777777" w:rsidR="00BA5927" w:rsidRPr="00E51E73" w:rsidRDefault="00BA5927" w:rsidP="001A301B">
      <w:pPr>
        <w:spacing w:line="360" w:lineRule="auto"/>
        <w:jc w:val="both"/>
        <w:rPr>
          <w:rFonts w:ascii="Palatino Linotype" w:eastAsia="Palatino Linotype" w:hAnsi="Palatino Linotype" w:cs="Palatino Linotype"/>
          <w:color w:val="000000" w:themeColor="text1"/>
          <w:sz w:val="22"/>
          <w:szCs w:val="22"/>
          <w:lang w:eastAsia="es-MX"/>
        </w:rPr>
      </w:pPr>
    </w:p>
    <w:p w14:paraId="33C93B21" w14:textId="2243BBF1" w:rsidR="00DA08C5" w:rsidRPr="00E51E73" w:rsidRDefault="00DA08C5" w:rsidP="002B57E5">
      <w:pPr>
        <w:pStyle w:val="Ttulo2"/>
        <w:rPr>
          <w:lang w:val="es-ES"/>
        </w:rPr>
      </w:pPr>
      <w:bookmarkStart w:id="8" w:name="_Toc190334574"/>
      <w:r w:rsidRPr="00E51E73">
        <w:rPr>
          <w:rFonts w:eastAsia="Calibri"/>
          <w:color w:val="000000"/>
          <w:lang w:val="es-ES" w:eastAsia="es-MX"/>
        </w:rPr>
        <w:t xml:space="preserve">SEGUNDO. </w:t>
      </w:r>
      <w:r w:rsidRPr="00E51E73">
        <w:rPr>
          <w:lang w:val="es-ES"/>
        </w:rPr>
        <w:t xml:space="preserve">Causales de improcedencia </w:t>
      </w:r>
      <w:r w:rsidR="00F93859" w:rsidRPr="00E51E73">
        <w:rPr>
          <w:lang w:val="es-ES"/>
        </w:rPr>
        <w:t>y Sobreseimiento</w:t>
      </w:r>
      <w:bookmarkEnd w:id="8"/>
    </w:p>
    <w:p w14:paraId="39E19200" w14:textId="77777777" w:rsidR="00BA5927" w:rsidRPr="00E51E73" w:rsidRDefault="00BA5927" w:rsidP="004F4E53">
      <w:pPr>
        <w:autoSpaceDE w:val="0"/>
        <w:autoSpaceDN w:val="0"/>
        <w:adjustRightInd w:val="0"/>
        <w:spacing w:line="360" w:lineRule="auto"/>
        <w:contextualSpacing/>
        <w:jc w:val="both"/>
        <w:rPr>
          <w:rFonts w:ascii="Palatino Linotype" w:hAnsi="Palatino Linotype" w:cs="Tahoma"/>
          <w:sz w:val="22"/>
          <w:szCs w:val="22"/>
          <w:lang w:val="es-ES"/>
        </w:rPr>
      </w:pPr>
    </w:p>
    <w:p w14:paraId="5128E1A6" w14:textId="77777777" w:rsidR="00DA08C5" w:rsidRPr="00E51E73" w:rsidRDefault="00DA08C5" w:rsidP="004F4E53">
      <w:pPr>
        <w:autoSpaceDE w:val="0"/>
        <w:autoSpaceDN w:val="0"/>
        <w:adjustRightInd w:val="0"/>
        <w:spacing w:line="360" w:lineRule="auto"/>
        <w:contextualSpacing/>
        <w:jc w:val="both"/>
        <w:rPr>
          <w:rFonts w:ascii="Palatino Linotype" w:hAnsi="Palatino Linotype" w:cs="Tahoma"/>
          <w:sz w:val="22"/>
          <w:szCs w:val="22"/>
          <w:lang w:val="es-ES"/>
        </w:rPr>
      </w:pPr>
      <w:r w:rsidRPr="00E51E73">
        <w:rPr>
          <w:rFonts w:ascii="Palatino Linotype" w:hAnsi="Palatino Linotype" w:cs="Tahoma"/>
          <w:sz w:val="22"/>
          <w:szCs w:val="22"/>
          <w:lang w:val="es-ES"/>
        </w:rPr>
        <w:t xml:space="preserve">De las constancias que forma parte del Recurso de Revisión que se analiza, se advierte que previo al estudio del fondo de la </w:t>
      </w:r>
      <w:r w:rsidRPr="00E51E73">
        <w:rPr>
          <w:rFonts w:ascii="Palatino Linotype" w:hAnsi="Palatino Linotype" w:cs="Tahoma"/>
          <w:i/>
          <w:sz w:val="22"/>
          <w:szCs w:val="22"/>
          <w:lang w:val="es-ES"/>
        </w:rPr>
        <w:t>litis</w:t>
      </w:r>
      <w:r w:rsidRPr="00E51E73">
        <w:rPr>
          <w:rFonts w:ascii="Palatino Linotype" w:hAnsi="Palatino Linotype" w:cs="Tahoma"/>
          <w:sz w:val="22"/>
          <w:szCs w:val="22"/>
          <w:lang w:val="es-ES"/>
        </w:rPr>
        <w:t>, es necesario estudiar las causales de improcedencia y sobreseimiento que se adviertan, para determinar lo que en Derecho proceda.</w:t>
      </w:r>
    </w:p>
    <w:p w14:paraId="28656C6E" w14:textId="77777777" w:rsidR="00DA08C5" w:rsidRPr="00E51E73" w:rsidRDefault="00DA08C5" w:rsidP="004F4E53">
      <w:pPr>
        <w:autoSpaceDE w:val="0"/>
        <w:autoSpaceDN w:val="0"/>
        <w:adjustRightInd w:val="0"/>
        <w:spacing w:line="360" w:lineRule="auto"/>
        <w:contextualSpacing/>
        <w:jc w:val="both"/>
        <w:rPr>
          <w:rFonts w:ascii="Palatino Linotype" w:hAnsi="Palatino Linotype" w:cs="Tahoma"/>
          <w:sz w:val="22"/>
          <w:szCs w:val="22"/>
          <w:lang w:val="es-ES"/>
        </w:rPr>
      </w:pPr>
    </w:p>
    <w:p w14:paraId="55FD8A9B" w14:textId="77777777" w:rsidR="00DA08C5" w:rsidRPr="00E51E73" w:rsidRDefault="00DA08C5" w:rsidP="004F4E53">
      <w:pPr>
        <w:spacing w:line="360" w:lineRule="auto"/>
        <w:contextualSpacing/>
        <w:jc w:val="both"/>
        <w:rPr>
          <w:rFonts w:ascii="Palatino Linotype" w:hAnsi="Palatino Linotype"/>
          <w:b/>
          <w:sz w:val="22"/>
          <w:szCs w:val="22"/>
          <w:lang w:val="es-ES"/>
        </w:rPr>
      </w:pPr>
      <w:r w:rsidRPr="00E51E73">
        <w:rPr>
          <w:rFonts w:ascii="Palatino Linotype" w:hAnsi="Palatino Linotype"/>
          <w:b/>
          <w:sz w:val="22"/>
          <w:szCs w:val="22"/>
          <w:lang w:val="es-ES"/>
        </w:rPr>
        <w:t>Causales de improcedencia</w:t>
      </w:r>
    </w:p>
    <w:p w14:paraId="7ABB438E" w14:textId="77777777" w:rsidR="00DA08C5" w:rsidRPr="00E51E73" w:rsidRDefault="00DA08C5" w:rsidP="004F4E53">
      <w:pPr>
        <w:spacing w:line="360" w:lineRule="auto"/>
        <w:contextualSpacing/>
        <w:jc w:val="both"/>
        <w:rPr>
          <w:rFonts w:ascii="Palatino Linotype" w:hAnsi="Palatino Linotype"/>
          <w:sz w:val="22"/>
          <w:szCs w:val="22"/>
        </w:rPr>
      </w:pPr>
    </w:p>
    <w:p w14:paraId="7D1BAA53" w14:textId="77777777" w:rsidR="00DA08C5" w:rsidRPr="00E51E73" w:rsidRDefault="00DA08C5" w:rsidP="004F4E53">
      <w:pPr>
        <w:spacing w:line="360" w:lineRule="auto"/>
        <w:contextualSpacing/>
        <w:jc w:val="both"/>
        <w:rPr>
          <w:rFonts w:ascii="Palatino Linotype" w:hAnsi="Palatino Linotype" w:cs="Tahoma"/>
          <w:sz w:val="22"/>
          <w:szCs w:val="22"/>
        </w:rPr>
      </w:pPr>
      <w:r w:rsidRPr="00E51E73">
        <w:rPr>
          <w:rFonts w:ascii="Palatino Linotype" w:hAnsi="Palatino Linotype" w:cs="Tahoma"/>
          <w:sz w:val="22"/>
          <w:szCs w:val="22"/>
        </w:rPr>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29622937" w14:textId="77777777" w:rsidR="00DA08C5" w:rsidRPr="00E51E73" w:rsidRDefault="00DA08C5" w:rsidP="004F4E53">
      <w:pPr>
        <w:spacing w:line="360" w:lineRule="auto"/>
        <w:contextualSpacing/>
        <w:jc w:val="both"/>
        <w:rPr>
          <w:rFonts w:ascii="Palatino Linotype" w:hAnsi="Palatino Linotype" w:cs="Tahoma"/>
          <w:sz w:val="22"/>
          <w:szCs w:val="22"/>
        </w:rPr>
      </w:pPr>
    </w:p>
    <w:p w14:paraId="35D3EE96" w14:textId="17683495" w:rsidR="00DA08C5" w:rsidRPr="00E51E73" w:rsidRDefault="00DA08C5" w:rsidP="004F4E53">
      <w:pPr>
        <w:spacing w:line="360" w:lineRule="auto"/>
        <w:contextualSpacing/>
        <w:jc w:val="both"/>
        <w:rPr>
          <w:rFonts w:ascii="Palatino Linotype" w:hAnsi="Palatino Linotype" w:cs="Tahoma"/>
          <w:sz w:val="22"/>
          <w:szCs w:val="22"/>
        </w:rPr>
      </w:pPr>
      <w:r w:rsidRPr="00E51E73">
        <w:rPr>
          <w:rFonts w:ascii="Palatino Linotype" w:hAnsi="Palatino Linotype" w:cs="Tahoma"/>
          <w:sz w:val="22"/>
          <w:szCs w:val="22"/>
        </w:rPr>
        <w:t>En el presente caso, </w:t>
      </w:r>
      <w:r w:rsidRPr="00E51E73">
        <w:rPr>
          <w:rFonts w:ascii="Palatino Linotype" w:hAnsi="Palatino Linotype" w:cs="Tahoma"/>
          <w:b/>
          <w:bCs/>
          <w:sz w:val="22"/>
          <w:szCs w:val="22"/>
        </w:rPr>
        <w:t>no se actualiza ninguna de las causales de improcedencia</w:t>
      </w:r>
      <w:r w:rsidRPr="00E51E73">
        <w:rPr>
          <w:rFonts w:ascii="Palatino Linotype" w:hAnsi="Palatino Linotype" w:cs="Tahoma"/>
          <w:sz w:val="22"/>
          <w:szCs w:val="22"/>
        </w:rPr>
        <w:t> establecidas en el ordenamiento jurídico previamente señalado, toda vez que: este Instituto no tiene conocimiento de que se encuentre en trámite algún medio de defensa presentado por la p</w:t>
      </w:r>
      <w:r w:rsidR="00FE57F3" w:rsidRPr="00E51E73">
        <w:rPr>
          <w:rFonts w:ascii="Palatino Linotype" w:hAnsi="Palatino Linotype" w:cs="Tahoma"/>
          <w:sz w:val="22"/>
          <w:szCs w:val="22"/>
        </w:rPr>
        <w:t>ersona</w:t>
      </w:r>
      <w:r w:rsidRPr="00E51E73">
        <w:rPr>
          <w:rFonts w:ascii="Palatino Linotype" w:hAnsi="Palatino Linotype" w:cs="Tahoma"/>
          <w:sz w:val="22"/>
          <w:szCs w:val="22"/>
        </w:rPr>
        <w:t xml:space="preserve"> Recurrente ante otra instancia; no existió prevención alguna; la veracidad de la respuesta no formó parte del agravio; ni se realizó una consulta o ampliación a los alcances del requerimiento informativo.</w:t>
      </w:r>
    </w:p>
    <w:p w14:paraId="3C222CC0" w14:textId="77777777" w:rsidR="00BA5927" w:rsidRPr="00E51E73" w:rsidRDefault="00BA5927" w:rsidP="004F4E53">
      <w:pPr>
        <w:spacing w:line="360" w:lineRule="auto"/>
        <w:contextualSpacing/>
        <w:jc w:val="both"/>
        <w:rPr>
          <w:rFonts w:ascii="Palatino Linotype" w:hAnsi="Palatino Linotype" w:cs="Tahoma"/>
          <w:sz w:val="22"/>
          <w:szCs w:val="22"/>
          <w:lang w:val="es-ES"/>
        </w:rPr>
      </w:pPr>
    </w:p>
    <w:p w14:paraId="4747B52D" w14:textId="2DA81BDF" w:rsidR="00DA08C5" w:rsidRPr="00E51E73" w:rsidRDefault="00DA08C5" w:rsidP="004F4E53">
      <w:pPr>
        <w:spacing w:line="360" w:lineRule="auto"/>
        <w:contextualSpacing/>
        <w:jc w:val="both"/>
        <w:rPr>
          <w:rFonts w:ascii="Palatino Linotype" w:hAnsi="Palatino Linotype" w:cs="Tahoma"/>
          <w:sz w:val="22"/>
          <w:szCs w:val="22"/>
          <w:lang w:val="es-ES"/>
        </w:rPr>
      </w:pPr>
      <w:r w:rsidRPr="00E51E73">
        <w:rPr>
          <w:rFonts w:ascii="Palatino Linotype" w:hAnsi="Palatino Linotype" w:cs="Tahoma"/>
          <w:sz w:val="22"/>
          <w:szCs w:val="22"/>
          <w:lang w:val="es-ES"/>
        </w:rPr>
        <w:t xml:space="preserve">Además, de que el Medios de Impugnación fue presentado en tiempo, toda vez que ante la ausencia de la respuesta del Ente Recurrido, se constituyó la </w:t>
      </w:r>
      <w:r w:rsidRPr="00E51E73">
        <w:rPr>
          <w:rFonts w:ascii="Palatino Linotype" w:hAnsi="Palatino Linotype" w:cs="Tahoma"/>
          <w:b/>
          <w:sz w:val="22"/>
          <w:szCs w:val="22"/>
          <w:lang w:val="es-ES"/>
        </w:rPr>
        <w:t>negativa ficta</w:t>
      </w:r>
      <w:r w:rsidRPr="00E51E73">
        <w:rPr>
          <w:rFonts w:ascii="Palatino Linotype" w:hAnsi="Palatino Linotype" w:cs="Tahoma"/>
          <w:sz w:val="22"/>
          <w:szCs w:val="22"/>
          <w:lang w:val="es-ES"/>
        </w:rPr>
        <w:t xml:space="preserve">, que genera la posibilidad de los particulares de interponer un recurso de revisión ante tal omisión, </w:t>
      </w:r>
      <w:r w:rsidRPr="00E51E73">
        <w:rPr>
          <w:rFonts w:ascii="Palatino Linotype" w:hAnsi="Palatino Linotype" w:cs="Tahoma"/>
          <w:sz w:val="22"/>
          <w:szCs w:val="22"/>
          <w:u w:val="single"/>
          <w:lang w:val="es-ES"/>
        </w:rPr>
        <w:t>en cualquier momento</w:t>
      </w:r>
      <w:r w:rsidRPr="00E51E73">
        <w:rPr>
          <w:rFonts w:ascii="Palatino Linotype" w:hAnsi="Palatino Linotype" w:cs="Tahoma"/>
          <w:sz w:val="22"/>
          <w:szCs w:val="22"/>
          <w:lang w:val="es-ES"/>
        </w:rPr>
        <w:t>; por lo que, no es necesario determinar una temporalidad respecto del momento de presentación, conforme a lo establecido en los artículos 166 y 178, párrafo segundo de la Ley de Transparencia y Acceso a la Información Pública del Estado de México y los Municipios.</w:t>
      </w:r>
    </w:p>
    <w:p w14:paraId="70292495" w14:textId="77777777" w:rsidR="009A3007" w:rsidRPr="00E51E73" w:rsidRDefault="009A3007" w:rsidP="004F4E53">
      <w:pPr>
        <w:spacing w:line="360" w:lineRule="auto"/>
        <w:contextualSpacing/>
        <w:jc w:val="both"/>
        <w:rPr>
          <w:rFonts w:ascii="Palatino Linotype" w:hAnsi="Palatino Linotype" w:cs="Tahoma"/>
          <w:sz w:val="22"/>
          <w:szCs w:val="22"/>
          <w:lang w:val="es-ES"/>
        </w:rPr>
      </w:pPr>
    </w:p>
    <w:p w14:paraId="24FE5C30" w14:textId="77777777" w:rsidR="00DA08C5" w:rsidRPr="00E51E73" w:rsidRDefault="00DA08C5" w:rsidP="004F4E53">
      <w:pPr>
        <w:spacing w:line="360" w:lineRule="auto"/>
        <w:contextualSpacing/>
        <w:jc w:val="both"/>
        <w:rPr>
          <w:rFonts w:ascii="Palatino Linotype" w:hAnsi="Palatino Linotype" w:cs="Tahoma"/>
          <w:bCs/>
          <w:sz w:val="22"/>
          <w:szCs w:val="22"/>
          <w:lang w:val="es-ES"/>
        </w:rPr>
      </w:pPr>
      <w:r w:rsidRPr="00E51E73">
        <w:rPr>
          <w:rFonts w:ascii="Palatino Linotype" w:hAnsi="Palatino Linotype" w:cs="Tahoma"/>
          <w:sz w:val="22"/>
          <w:szCs w:val="22"/>
          <w:lang w:val="es-ES"/>
        </w:rPr>
        <w:t>Conforme a lo anterior, se actualiza la causal de procedencia señalada en el artículo 179, fracción VII, de la Ley de la materia</w:t>
      </w:r>
      <w:r w:rsidRPr="00E51E73">
        <w:rPr>
          <w:rFonts w:ascii="Palatino Linotype" w:hAnsi="Palatino Linotype" w:cs="Tahoma"/>
          <w:bCs/>
          <w:sz w:val="22"/>
          <w:szCs w:val="22"/>
          <w:lang w:val="es-ES"/>
        </w:rPr>
        <w:t>, toda vez que el Solicitante se inconformó con la falta de respuesta a su solicitud de acceso a información pública.</w:t>
      </w:r>
    </w:p>
    <w:p w14:paraId="1AD964AC" w14:textId="77777777" w:rsidR="00505111" w:rsidRPr="00E51E73" w:rsidRDefault="00505111" w:rsidP="004F4E53">
      <w:pPr>
        <w:spacing w:line="360" w:lineRule="auto"/>
        <w:contextualSpacing/>
        <w:jc w:val="both"/>
        <w:rPr>
          <w:rFonts w:ascii="Palatino Linotype" w:hAnsi="Palatino Linotype" w:cs="Tahoma"/>
          <w:bCs/>
          <w:sz w:val="22"/>
          <w:szCs w:val="22"/>
          <w:lang w:val="es-ES"/>
        </w:rPr>
      </w:pPr>
    </w:p>
    <w:p w14:paraId="51E80A00" w14:textId="77777777" w:rsidR="00F93859" w:rsidRPr="00E51E73" w:rsidRDefault="00F93859" w:rsidP="004F4E53">
      <w:pPr>
        <w:spacing w:line="360" w:lineRule="auto"/>
        <w:jc w:val="both"/>
        <w:rPr>
          <w:rFonts w:ascii="Palatino Linotype" w:hAnsi="Palatino Linotype" w:cs="Tahoma"/>
          <w:b/>
          <w:bCs/>
          <w:color w:val="0D0D0D" w:themeColor="text1" w:themeTint="F2"/>
          <w:sz w:val="22"/>
          <w:szCs w:val="22"/>
        </w:rPr>
      </w:pPr>
      <w:r w:rsidRPr="00E51E73">
        <w:rPr>
          <w:rFonts w:ascii="Palatino Linotype" w:hAnsi="Palatino Linotype" w:cs="Tahoma"/>
          <w:b/>
          <w:bCs/>
          <w:color w:val="0D0D0D" w:themeColor="text1" w:themeTint="F2"/>
          <w:sz w:val="22"/>
          <w:szCs w:val="22"/>
        </w:rPr>
        <w:t>Causales de sobreseimiento</w:t>
      </w:r>
    </w:p>
    <w:p w14:paraId="4DD47685" w14:textId="77777777" w:rsidR="00F93859" w:rsidRPr="00E51E73" w:rsidRDefault="00F93859" w:rsidP="004F4E53">
      <w:pPr>
        <w:spacing w:line="360" w:lineRule="auto"/>
        <w:jc w:val="both"/>
        <w:rPr>
          <w:rFonts w:ascii="Palatino Linotype" w:hAnsi="Palatino Linotype" w:cs="Tahoma"/>
          <w:bCs/>
          <w:color w:val="0D0D0D" w:themeColor="text1" w:themeTint="F2"/>
          <w:sz w:val="22"/>
          <w:szCs w:val="22"/>
        </w:rPr>
      </w:pPr>
    </w:p>
    <w:p w14:paraId="6AD3A1F5" w14:textId="77777777" w:rsidR="00F93859" w:rsidRPr="00E51E73" w:rsidRDefault="00F93859" w:rsidP="004F4E53">
      <w:pPr>
        <w:spacing w:line="360" w:lineRule="auto"/>
        <w:jc w:val="both"/>
        <w:rPr>
          <w:rFonts w:ascii="Palatino Linotype" w:hAnsi="Palatino Linotype" w:cs="Tahoma"/>
          <w:bCs/>
          <w:color w:val="0D0D0D" w:themeColor="text1" w:themeTint="F2"/>
          <w:sz w:val="22"/>
          <w:szCs w:val="22"/>
        </w:rPr>
      </w:pPr>
      <w:r w:rsidRPr="00E51E73">
        <w:rPr>
          <w:rFonts w:ascii="Palatino Linotype" w:hAnsi="Palatino Linotype" w:cs="Tahoma"/>
          <w:bCs/>
          <w:color w:val="0D0D0D" w:themeColor="text1" w:themeTint="F2"/>
          <w:sz w:val="22"/>
          <w:szCs w:val="22"/>
        </w:rPr>
        <w:t>Por ser de previo y especial pronunciamiento, este Instituto analiza si se actualiza alguna causal de sobreseimiento.</w:t>
      </w:r>
    </w:p>
    <w:p w14:paraId="53F92572" w14:textId="77777777" w:rsidR="00F93859" w:rsidRPr="00E51E73" w:rsidRDefault="00F93859" w:rsidP="004F4E53">
      <w:pPr>
        <w:spacing w:line="360" w:lineRule="auto"/>
        <w:jc w:val="both"/>
        <w:rPr>
          <w:rFonts w:ascii="Palatino Linotype" w:hAnsi="Palatino Linotype" w:cs="Tahoma"/>
          <w:bCs/>
          <w:color w:val="0D0D0D" w:themeColor="text1" w:themeTint="F2"/>
          <w:sz w:val="22"/>
          <w:szCs w:val="22"/>
        </w:rPr>
      </w:pPr>
    </w:p>
    <w:p w14:paraId="181E608E" w14:textId="77777777" w:rsidR="00F93859" w:rsidRPr="00E51E73" w:rsidRDefault="00F93859" w:rsidP="004F4E53">
      <w:pPr>
        <w:spacing w:line="360" w:lineRule="auto"/>
        <w:jc w:val="both"/>
        <w:rPr>
          <w:rFonts w:ascii="Palatino Linotype" w:hAnsi="Palatino Linotype" w:cs="Tahoma"/>
          <w:sz w:val="22"/>
          <w:szCs w:val="28"/>
        </w:rPr>
      </w:pPr>
      <w:r w:rsidRPr="00E51E73">
        <w:rPr>
          <w:rFonts w:ascii="Palatino Linotype" w:hAnsi="Palatino Linotype" w:cs="Tahoma"/>
          <w:sz w:val="22"/>
          <w:szCs w:val="28"/>
        </w:rPr>
        <w:t>El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la persona Recurrente se haya desistido del recurso, haya fallecido, sobreviniera alguna causal de improcedencia, que el Sujeto Obligado hubiese modificado o revocado el acto impugnado o bien, haya quedado sin materia.</w:t>
      </w:r>
    </w:p>
    <w:p w14:paraId="606AEEC4" w14:textId="77777777" w:rsidR="00F93859" w:rsidRPr="00E51E73" w:rsidRDefault="00F93859" w:rsidP="004F4E53">
      <w:pPr>
        <w:spacing w:line="360" w:lineRule="auto"/>
        <w:jc w:val="both"/>
        <w:rPr>
          <w:rFonts w:ascii="Palatino Linotype" w:hAnsi="Palatino Linotype" w:cs="Tahoma"/>
          <w:sz w:val="22"/>
          <w:szCs w:val="28"/>
        </w:rPr>
      </w:pPr>
    </w:p>
    <w:p w14:paraId="0156C47A" w14:textId="77777777" w:rsidR="00F93859" w:rsidRPr="00E51E73" w:rsidRDefault="00F93859" w:rsidP="004F4E53">
      <w:pPr>
        <w:spacing w:line="360" w:lineRule="auto"/>
        <w:jc w:val="both"/>
        <w:rPr>
          <w:rFonts w:ascii="Palatino Linotype" w:hAnsi="Palatino Linotype" w:cs="Tahoma"/>
          <w:bCs/>
          <w:color w:val="0D0D0D" w:themeColor="text1" w:themeTint="F2"/>
          <w:sz w:val="22"/>
          <w:szCs w:val="22"/>
        </w:rPr>
      </w:pPr>
      <w:r w:rsidRPr="00E51E73">
        <w:rPr>
          <w:rFonts w:ascii="Palatino Linotype" w:hAnsi="Palatino Linotype" w:cs="Tahoma"/>
          <w:bCs/>
          <w:color w:val="0D0D0D" w:themeColor="text1" w:themeTint="F2"/>
          <w:sz w:val="22"/>
          <w:szCs w:val="22"/>
        </w:rPr>
        <w:t xml:space="preserve">Por tales motivos, se considera procedente entrar al fondo del presente asunto. </w:t>
      </w:r>
    </w:p>
    <w:p w14:paraId="695E21DB" w14:textId="77777777" w:rsidR="00BA5927" w:rsidRPr="00E51E73" w:rsidRDefault="00BA5927" w:rsidP="004F4E53">
      <w:pPr>
        <w:spacing w:line="360" w:lineRule="auto"/>
        <w:jc w:val="both"/>
        <w:rPr>
          <w:rFonts w:ascii="Palatino Linotype" w:hAnsi="Palatino Linotype" w:cs="Tahoma"/>
          <w:bCs/>
          <w:color w:val="0D0D0D" w:themeColor="text1" w:themeTint="F2"/>
          <w:sz w:val="22"/>
          <w:szCs w:val="22"/>
        </w:rPr>
      </w:pPr>
    </w:p>
    <w:p w14:paraId="000C8B81" w14:textId="77777777" w:rsidR="00F93859" w:rsidRPr="00E51E73" w:rsidRDefault="00F93859" w:rsidP="002B57E5">
      <w:pPr>
        <w:pStyle w:val="Ttulo2"/>
        <w:rPr>
          <w:lang w:val="es-ES"/>
        </w:rPr>
      </w:pPr>
      <w:bookmarkStart w:id="9" w:name="_Toc190334575"/>
      <w:r w:rsidRPr="00E51E73">
        <w:rPr>
          <w:lang w:val="es-ES"/>
        </w:rPr>
        <w:t>TERCERO. Determinación de la Controversia</w:t>
      </w:r>
      <w:bookmarkEnd w:id="9"/>
    </w:p>
    <w:p w14:paraId="7C507C79" w14:textId="77777777" w:rsidR="00F93859" w:rsidRPr="00E51E73" w:rsidRDefault="00F93859" w:rsidP="004F4E53">
      <w:pPr>
        <w:autoSpaceDE w:val="0"/>
        <w:autoSpaceDN w:val="0"/>
        <w:adjustRightInd w:val="0"/>
        <w:spacing w:line="360" w:lineRule="auto"/>
        <w:jc w:val="both"/>
        <w:rPr>
          <w:rFonts w:ascii="Palatino Linotype" w:eastAsia="Calibri" w:hAnsi="Palatino Linotype" w:cs="Tahoma"/>
          <w:color w:val="000000"/>
          <w:sz w:val="22"/>
          <w:szCs w:val="22"/>
          <w:lang w:val="es-ES" w:eastAsia="es-MX"/>
        </w:rPr>
      </w:pPr>
    </w:p>
    <w:p w14:paraId="46D84336" w14:textId="4E971849" w:rsidR="00FD614D" w:rsidRPr="00E51E73" w:rsidRDefault="00F93859" w:rsidP="00FD614D">
      <w:pPr>
        <w:tabs>
          <w:tab w:val="left" w:pos="4962"/>
        </w:tabs>
        <w:spacing w:line="360" w:lineRule="auto"/>
        <w:contextualSpacing/>
        <w:jc w:val="both"/>
        <w:rPr>
          <w:rFonts w:ascii="Palatino Linotype" w:eastAsia="Calibri" w:hAnsi="Palatino Linotype" w:cs="Tahoma"/>
          <w:color w:val="000000"/>
          <w:sz w:val="22"/>
          <w:szCs w:val="22"/>
          <w:lang w:val="es-ES" w:eastAsia="es-MX"/>
        </w:rPr>
      </w:pPr>
      <w:r w:rsidRPr="00E51E73">
        <w:rPr>
          <w:rFonts w:ascii="Palatino Linotype" w:eastAsia="Calibri" w:hAnsi="Palatino Linotype" w:cs="Tahoma"/>
          <w:color w:val="000000"/>
          <w:sz w:val="22"/>
          <w:szCs w:val="22"/>
          <w:lang w:val="es-ES" w:eastAsia="es-MX"/>
        </w:rPr>
        <w:t>Con el objeto de ilustrar la controversia planteada, resulta conveniente precisar, que una vez realizado el estudio de las constancias que integran el expediente en que se actúa, se desprende que el Particular requirió</w:t>
      </w:r>
      <w:r w:rsidR="00FD614D" w:rsidRPr="00E51E73">
        <w:rPr>
          <w:rFonts w:ascii="Palatino Linotype" w:eastAsia="Calibri" w:hAnsi="Palatino Linotype" w:cs="Tahoma"/>
          <w:color w:val="000000"/>
          <w:sz w:val="22"/>
          <w:szCs w:val="22"/>
          <w:lang w:val="es-ES" w:eastAsia="es-MX"/>
        </w:rPr>
        <w:t xml:space="preserve"> saber cuántos y cuáles son los servicios públicos (drenaje, agua potable, alumbrado público) con los que cuenta la Avenida Libertad</w:t>
      </w:r>
      <w:r w:rsidR="00A90989" w:rsidRPr="00E51E73">
        <w:rPr>
          <w:rFonts w:ascii="Palatino Linotype" w:eastAsia="Calibri" w:hAnsi="Palatino Linotype" w:cs="Tahoma"/>
          <w:color w:val="000000"/>
          <w:sz w:val="22"/>
          <w:szCs w:val="22"/>
          <w:lang w:val="es-ES" w:eastAsia="es-MX"/>
        </w:rPr>
        <w:t>,</w:t>
      </w:r>
      <w:r w:rsidR="00FD614D" w:rsidRPr="00E51E73">
        <w:rPr>
          <w:rFonts w:ascii="Palatino Linotype" w:eastAsia="Calibri" w:hAnsi="Palatino Linotype" w:cs="Tahoma"/>
          <w:color w:val="000000"/>
          <w:sz w:val="22"/>
          <w:szCs w:val="22"/>
          <w:lang w:val="es-ES" w:eastAsia="es-MX"/>
        </w:rPr>
        <w:t xml:space="preserve"> del Barrio de Atenanco.</w:t>
      </w:r>
    </w:p>
    <w:p w14:paraId="3D1F6666" w14:textId="77777777" w:rsidR="005F4B24" w:rsidRPr="00E51E73" w:rsidRDefault="005F4B24" w:rsidP="005F4B24">
      <w:pPr>
        <w:tabs>
          <w:tab w:val="left" w:pos="4962"/>
        </w:tabs>
        <w:spacing w:line="360" w:lineRule="auto"/>
        <w:contextualSpacing/>
        <w:jc w:val="both"/>
        <w:rPr>
          <w:rFonts w:ascii="Palatino Linotype" w:eastAsia="Calibri" w:hAnsi="Palatino Linotype" w:cs="Tahoma"/>
          <w:color w:val="000000"/>
          <w:sz w:val="22"/>
          <w:szCs w:val="22"/>
          <w:lang w:eastAsia="es-MX"/>
        </w:rPr>
      </w:pPr>
    </w:p>
    <w:p w14:paraId="56228336" w14:textId="6DA6213B" w:rsidR="00F93859" w:rsidRPr="00E51E73" w:rsidRDefault="00F93859" w:rsidP="00D46FC7">
      <w:pPr>
        <w:pStyle w:val="NormalWeb"/>
        <w:spacing w:after="0" w:line="360" w:lineRule="auto"/>
        <w:ind w:right="-28"/>
        <w:rPr>
          <w:rFonts w:ascii="Palatino Linotype" w:hAnsi="Palatino Linotype" w:cs="Tahoma"/>
          <w:bCs/>
          <w:iCs/>
          <w:sz w:val="22"/>
          <w:szCs w:val="22"/>
          <w:lang w:val="es-ES"/>
        </w:rPr>
      </w:pPr>
      <w:r w:rsidRPr="00E51E73">
        <w:rPr>
          <w:rFonts w:ascii="Palatino Linotype" w:hAnsi="Palatino Linotype" w:cs="Tahoma"/>
          <w:bCs/>
          <w:iCs/>
          <w:sz w:val="22"/>
          <w:szCs w:val="22"/>
          <w:lang w:val="es-ES"/>
        </w:rPr>
        <w:t>Ante la falta de respuesta del Ente Recurrido</w:t>
      </w:r>
      <w:r w:rsidR="005F4B24" w:rsidRPr="00E51E73">
        <w:rPr>
          <w:rFonts w:ascii="Palatino Linotype" w:hAnsi="Palatino Linotype" w:cs="Tahoma"/>
          <w:bCs/>
          <w:iCs/>
          <w:sz w:val="22"/>
          <w:szCs w:val="22"/>
          <w:lang w:val="es-ES"/>
        </w:rPr>
        <w:t xml:space="preserve">, </w:t>
      </w:r>
      <w:r w:rsidRPr="00E51E73">
        <w:rPr>
          <w:rFonts w:ascii="Palatino Linotype" w:hAnsi="Palatino Linotype" w:cs="Tahoma"/>
          <w:bCs/>
          <w:iCs/>
          <w:sz w:val="22"/>
          <w:szCs w:val="22"/>
          <w:lang w:val="es-ES"/>
        </w:rPr>
        <w:t>el Particular, justamente se inconformó</w:t>
      </w:r>
      <w:r w:rsidR="005F4B24" w:rsidRPr="00E51E73">
        <w:rPr>
          <w:rFonts w:ascii="Palatino Linotype" w:hAnsi="Palatino Linotype" w:cs="Tahoma"/>
          <w:bCs/>
          <w:iCs/>
          <w:sz w:val="22"/>
          <w:szCs w:val="22"/>
          <w:lang w:val="es-ES"/>
        </w:rPr>
        <w:t xml:space="preserve"> por la falta de entrega de la información</w:t>
      </w:r>
      <w:r w:rsidRPr="00E51E73">
        <w:rPr>
          <w:rFonts w:ascii="Palatino Linotype" w:hAnsi="Palatino Linotype" w:cs="Tahoma"/>
          <w:bCs/>
          <w:iCs/>
          <w:sz w:val="22"/>
          <w:szCs w:val="22"/>
          <w:lang w:val="es-ES"/>
        </w:rPr>
        <w:t>, lo cual se actualiza el supuesto previsto en el artículo 179, fracción VII, de la Ley de Transparencia y Acceso a la Información Pública del Estado de México y Municipios</w:t>
      </w:r>
      <w:r w:rsidRPr="00E51E73">
        <w:rPr>
          <w:rFonts w:ascii="Palatino Linotype" w:hAnsi="Palatino Linotype" w:cs="Tahoma"/>
          <w:bCs/>
          <w:iCs/>
          <w:sz w:val="22"/>
          <w:szCs w:val="22"/>
          <w:shd w:val="clear" w:color="auto" w:fill="FFFFFF"/>
        </w:rPr>
        <w:t xml:space="preserve">. </w:t>
      </w:r>
      <w:r w:rsidRPr="00E51E73">
        <w:rPr>
          <w:rFonts w:ascii="Palatino Linotype" w:hAnsi="Palatino Linotype" w:cs="Tahoma"/>
          <w:sz w:val="22"/>
          <w:szCs w:val="22"/>
          <w:lang w:val="es-ES"/>
        </w:rPr>
        <w:t xml:space="preserve">Así las cosas, una vez admitido y notificado el Recurso de Revisión a las partes, </w:t>
      </w:r>
      <w:r w:rsidR="00D46FC7" w:rsidRPr="00E51E73">
        <w:rPr>
          <w:rFonts w:ascii="Palatino Linotype" w:hAnsi="Palatino Linotype" w:cs="Tahoma"/>
          <w:sz w:val="22"/>
          <w:szCs w:val="22"/>
          <w:lang w:val="es-ES"/>
        </w:rPr>
        <w:t>estas</w:t>
      </w:r>
      <w:r w:rsidR="00D46FC7" w:rsidRPr="00E51E73">
        <w:rPr>
          <w:rFonts w:ascii="Palatino Linotype" w:hAnsi="Palatino Linotype" w:cs="Tahoma"/>
          <w:bCs/>
          <w:iCs/>
          <w:sz w:val="22"/>
          <w:szCs w:val="22"/>
          <w:lang w:val="es-ES" w:eastAsia="es-ES"/>
        </w:rPr>
        <w:t xml:space="preserve"> fueron omisas en realizar manifestaciones o alegatos.</w:t>
      </w:r>
    </w:p>
    <w:p w14:paraId="75F45B76" w14:textId="77777777" w:rsidR="00D46FC7" w:rsidRPr="00E51E73" w:rsidRDefault="00D46FC7" w:rsidP="00D46FC7">
      <w:pPr>
        <w:pStyle w:val="NormalWeb"/>
        <w:spacing w:after="0" w:line="360" w:lineRule="auto"/>
        <w:ind w:right="-28"/>
        <w:rPr>
          <w:rFonts w:ascii="Palatino Linotype" w:eastAsia="Calibri" w:hAnsi="Palatino Linotype" w:cs="Tahoma"/>
          <w:iCs/>
          <w:sz w:val="22"/>
          <w:szCs w:val="22"/>
          <w:lang w:val="es-ES"/>
        </w:rPr>
      </w:pPr>
    </w:p>
    <w:p w14:paraId="0510944C" w14:textId="77777777" w:rsidR="00F93859" w:rsidRPr="00E51E73" w:rsidRDefault="00F93859" w:rsidP="004F4E53">
      <w:pPr>
        <w:tabs>
          <w:tab w:val="left" w:pos="4962"/>
        </w:tabs>
        <w:spacing w:line="360" w:lineRule="auto"/>
        <w:jc w:val="both"/>
        <w:rPr>
          <w:rFonts w:ascii="Palatino Linotype" w:eastAsia="Calibri" w:hAnsi="Palatino Linotype" w:cs="Tahoma"/>
          <w:bCs/>
          <w:sz w:val="22"/>
          <w:szCs w:val="22"/>
        </w:rPr>
      </w:pPr>
      <w:r w:rsidRPr="00E51E73">
        <w:rPr>
          <w:rFonts w:ascii="Palatino Linotype" w:eastAsia="Calibri" w:hAnsi="Palatino Linotype" w:cs="Tahoma"/>
          <w:iCs/>
          <w:sz w:val="22"/>
          <w:szCs w:val="22"/>
          <w:lang w:val="es-ES" w:eastAsia="es-ES_tradnl"/>
        </w:rPr>
        <w:t xml:space="preserve">Lo anterior, se desprende de las documentales que obran en el expediente de referencia, materia de la presente resolución, consistente en: la solicitud de acceso a la información </w:t>
      </w:r>
      <w:r w:rsidRPr="00E51E73">
        <w:rPr>
          <w:rFonts w:ascii="Palatino Linotype" w:eastAsia="Calibri" w:hAnsi="Palatino Linotype" w:cs="Tahoma"/>
          <w:iCs/>
          <w:sz w:val="22"/>
          <w:szCs w:val="22"/>
          <w:lang w:eastAsia="es-ES_tradnl"/>
        </w:rPr>
        <w:t xml:space="preserve">y el escrito recursal; </w:t>
      </w:r>
      <w:r w:rsidRPr="00E51E73">
        <w:rPr>
          <w:rFonts w:ascii="Palatino Linotype" w:eastAsia="Calibri" w:hAnsi="Palatino Linotype" w:cs="Tahoma"/>
          <w:bCs/>
          <w:sz w:val="22"/>
          <w:szCs w:val="22"/>
        </w:rPr>
        <w:t>instrumentales que se toman en cuenta a efecto de resolver el presente medio de impugnación, conforme a lo dispuesto por el artículo 185, fracción IV, de la Ley de Transparencia y Acceso a la Información Pública del Estado de México y Municipios.</w:t>
      </w:r>
    </w:p>
    <w:p w14:paraId="1F33EADC" w14:textId="77777777" w:rsidR="00BA5927" w:rsidRPr="00E51E73" w:rsidRDefault="00BA5927" w:rsidP="004F4E53">
      <w:pPr>
        <w:tabs>
          <w:tab w:val="left" w:pos="4962"/>
        </w:tabs>
        <w:spacing w:line="360" w:lineRule="auto"/>
        <w:jc w:val="both"/>
        <w:rPr>
          <w:rFonts w:ascii="Palatino Linotype" w:eastAsia="Calibri" w:hAnsi="Palatino Linotype" w:cs="Tahoma"/>
          <w:bCs/>
          <w:sz w:val="22"/>
          <w:szCs w:val="22"/>
        </w:rPr>
      </w:pPr>
    </w:p>
    <w:p w14:paraId="2C4E6C77" w14:textId="77777777" w:rsidR="00F93859" w:rsidRPr="00E51E73" w:rsidRDefault="00F93859" w:rsidP="002B57E5">
      <w:pPr>
        <w:pStyle w:val="Ttulo2"/>
        <w:jc w:val="both"/>
      </w:pPr>
      <w:bookmarkStart w:id="10" w:name="_Toc190334576"/>
      <w:r w:rsidRPr="00E51E73">
        <w:rPr>
          <w:lang w:val="es-ES"/>
        </w:rPr>
        <w:t xml:space="preserve">CUARTO. </w:t>
      </w:r>
      <w:r w:rsidRPr="00E51E73">
        <w:t>Marco normativo aplicable en materia de transparencia y acceso a la información pública</w:t>
      </w:r>
      <w:bookmarkEnd w:id="10"/>
    </w:p>
    <w:p w14:paraId="46E96098" w14:textId="77777777" w:rsidR="00BA5927" w:rsidRPr="00E51E73" w:rsidRDefault="00BA5927" w:rsidP="00BA5927">
      <w:pPr>
        <w:spacing w:line="360" w:lineRule="auto"/>
        <w:jc w:val="both"/>
        <w:rPr>
          <w:rFonts w:ascii="Palatino Linotype" w:hAnsi="Palatino Linotype" w:cs="Tahoma"/>
          <w:sz w:val="22"/>
          <w:szCs w:val="22"/>
        </w:rPr>
      </w:pPr>
    </w:p>
    <w:p w14:paraId="6C744EA8" w14:textId="5A4C947D" w:rsidR="00BA5927" w:rsidRPr="00E51E73" w:rsidRDefault="00BA5927" w:rsidP="00BA5927">
      <w:pPr>
        <w:spacing w:line="360" w:lineRule="auto"/>
        <w:jc w:val="both"/>
        <w:rPr>
          <w:rFonts w:ascii="Palatino Linotype" w:hAnsi="Palatino Linotype" w:cs="Tahoma"/>
          <w:sz w:val="22"/>
          <w:szCs w:val="22"/>
        </w:rPr>
      </w:pPr>
      <w:r w:rsidRPr="00E51E73">
        <w:rPr>
          <w:rFonts w:ascii="Palatino Linotype" w:hAnsi="Palatino Linotype" w:cs="Tahoma"/>
          <w:sz w:val="22"/>
          <w:szCs w:val="22"/>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44FA864E" w14:textId="77777777" w:rsidR="00BA5927" w:rsidRPr="00E51E73" w:rsidRDefault="00BA5927" w:rsidP="00BA5927">
      <w:pPr>
        <w:spacing w:line="360" w:lineRule="auto"/>
        <w:jc w:val="both"/>
        <w:rPr>
          <w:rFonts w:ascii="Palatino Linotype" w:hAnsi="Palatino Linotype" w:cs="Tahoma"/>
          <w:sz w:val="22"/>
          <w:szCs w:val="22"/>
        </w:rPr>
      </w:pPr>
    </w:p>
    <w:p w14:paraId="59FF412A" w14:textId="77777777" w:rsidR="00BA5927" w:rsidRPr="00E51E73" w:rsidRDefault="00BA5927" w:rsidP="00BA5927">
      <w:pPr>
        <w:spacing w:line="360" w:lineRule="auto"/>
        <w:jc w:val="both"/>
        <w:rPr>
          <w:rFonts w:ascii="Palatino Linotype" w:hAnsi="Palatino Linotype" w:cs="Tahoma"/>
          <w:sz w:val="22"/>
          <w:szCs w:val="22"/>
        </w:rPr>
      </w:pPr>
      <w:r w:rsidRPr="00E51E73">
        <w:rPr>
          <w:rFonts w:ascii="Palatino Linotype" w:hAnsi="Palatino Linotype" w:cs="Tahoma"/>
          <w:sz w:val="22"/>
          <w:szCs w:val="22"/>
        </w:rPr>
        <w:t>La Ley General de Transparencia y Acceso a la Información Pública, dispone en su artículo 70, la información que se considera corresponde a las Obligaciones de Transparencia, la cual debe estar disponible para cualquier persona de manera permanente y actualizada.</w:t>
      </w:r>
    </w:p>
    <w:p w14:paraId="3073D880" w14:textId="77777777" w:rsidR="00BA5927" w:rsidRPr="00E51E73" w:rsidRDefault="00BA5927" w:rsidP="00BA5927">
      <w:pPr>
        <w:spacing w:line="360" w:lineRule="auto"/>
        <w:jc w:val="both"/>
        <w:rPr>
          <w:rFonts w:ascii="Palatino Linotype" w:hAnsi="Palatino Linotype" w:cs="Tahoma"/>
          <w:sz w:val="22"/>
          <w:szCs w:val="22"/>
        </w:rPr>
      </w:pPr>
    </w:p>
    <w:p w14:paraId="67458415" w14:textId="77777777" w:rsidR="00BA5927" w:rsidRPr="00E51E73" w:rsidRDefault="00BA5927" w:rsidP="00BA5927">
      <w:pPr>
        <w:spacing w:line="360" w:lineRule="auto"/>
        <w:jc w:val="both"/>
        <w:rPr>
          <w:rFonts w:ascii="Palatino Linotype" w:hAnsi="Palatino Linotype" w:cs="Tahoma"/>
          <w:sz w:val="22"/>
          <w:szCs w:val="22"/>
        </w:rPr>
      </w:pPr>
      <w:r w:rsidRPr="00E51E73">
        <w:rPr>
          <w:rFonts w:ascii="Palatino Linotype" w:hAnsi="Palatino Linotype" w:cs="Tahoma"/>
          <w:sz w:val="22"/>
          <w:szCs w:val="22"/>
        </w:rPr>
        <w:t>Por su parte, 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70E914CF" w14:textId="77777777" w:rsidR="00BA5927" w:rsidRPr="00E51E73" w:rsidRDefault="00BA5927" w:rsidP="00BA5927">
      <w:pPr>
        <w:spacing w:line="360" w:lineRule="auto"/>
        <w:jc w:val="both"/>
        <w:rPr>
          <w:rFonts w:ascii="Palatino Linotype" w:hAnsi="Palatino Linotype" w:cs="Tahoma"/>
          <w:iCs/>
          <w:sz w:val="22"/>
          <w:szCs w:val="22"/>
        </w:rPr>
      </w:pPr>
    </w:p>
    <w:p w14:paraId="38D03AB7" w14:textId="77777777" w:rsidR="00BA5927" w:rsidRPr="00E51E73" w:rsidRDefault="00BA5927" w:rsidP="00BA5927">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En ese sentido, la Ley de Transparencia y Acceso a la Información Pública del Estado de México y Municipios (Reglamentaria del artículo 5° de la Constitución Local), establece lo siguiente:</w:t>
      </w:r>
    </w:p>
    <w:p w14:paraId="30C33E7D" w14:textId="77777777" w:rsidR="009C44AA" w:rsidRPr="00E51E73" w:rsidRDefault="009C44AA" w:rsidP="009C44AA">
      <w:pPr>
        <w:spacing w:line="360" w:lineRule="auto"/>
        <w:jc w:val="both"/>
        <w:rPr>
          <w:rFonts w:ascii="Palatino Linotype" w:hAnsi="Palatino Linotype" w:cs="Tahoma"/>
          <w:iCs/>
          <w:sz w:val="22"/>
          <w:szCs w:val="22"/>
        </w:rPr>
      </w:pPr>
    </w:p>
    <w:p w14:paraId="666CD1C7"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El artículo 12, que, quienes generen, recopilen, administren, manejen, procesen, archiven o conserven información pública serán responsables de la misma.</w:t>
      </w:r>
    </w:p>
    <w:p w14:paraId="0338B81A"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El artículo 18, que, los Sujetos Obligados deberán documentar todo acto que derive del ejercicio de sus facultades, competencias o funciones, considerando desde su origen la eventual publicidad y reutilización de la información que generen.</w:t>
      </w:r>
    </w:p>
    <w:p w14:paraId="31FB63BC" w14:textId="77777777" w:rsidR="00E716DD" w:rsidRPr="00E51E73" w:rsidRDefault="00E716DD" w:rsidP="004F4E53">
      <w:pPr>
        <w:spacing w:line="360" w:lineRule="auto"/>
        <w:jc w:val="both"/>
        <w:rPr>
          <w:rFonts w:ascii="Palatino Linotype" w:hAnsi="Palatino Linotype" w:cs="Tahoma"/>
          <w:iCs/>
          <w:sz w:val="22"/>
          <w:szCs w:val="22"/>
        </w:rPr>
      </w:pPr>
    </w:p>
    <w:p w14:paraId="142DF62C"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4249BC6B" w14:textId="77777777" w:rsidR="00E716DD" w:rsidRPr="00E51E73" w:rsidRDefault="00E716DD" w:rsidP="004F4E53">
      <w:pPr>
        <w:spacing w:line="360" w:lineRule="auto"/>
        <w:jc w:val="both"/>
        <w:rPr>
          <w:rFonts w:ascii="Palatino Linotype" w:hAnsi="Palatino Linotype" w:cs="Tahoma"/>
          <w:iCs/>
          <w:sz w:val="22"/>
          <w:szCs w:val="22"/>
          <w:lang w:val="es-ES"/>
        </w:rPr>
      </w:pPr>
    </w:p>
    <w:p w14:paraId="21CE24D2" w14:textId="77777777" w:rsidR="00E716DD" w:rsidRPr="00E51E73" w:rsidRDefault="00E716DD" w:rsidP="002B57E5">
      <w:pPr>
        <w:pStyle w:val="Ttulo2"/>
        <w:rPr>
          <w:lang w:val="es-ES"/>
        </w:rPr>
      </w:pPr>
      <w:bookmarkStart w:id="11" w:name="_Toc190334577"/>
      <w:r w:rsidRPr="00E51E73">
        <w:rPr>
          <w:lang w:val="es-ES"/>
        </w:rPr>
        <w:t>QUINTO. Estudio de Fondo</w:t>
      </w:r>
      <w:bookmarkEnd w:id="11"/>
    </w:p>
    <w:p w14:paraId="7C675EDB" w14:textId="77777777" w:rsidR="00E716DD" w:rsidRPr="00E51E73" w:rsidRDefault="00E716DD" w:rsidP="004F4E53">
      <w:pPr>
        <w:spacing w:line="360" w:lineRule="auto"/>
        <w:jc w:val="both"/>
        <w:rPr>
          <w:rFonts w:ascii="Palatino Linotype" w:hAnsi="Palatino Linotype" w:cs="Tahoma"/>
          <w:iCs/>
          <w:sz w:val="22"/>
          <w:szCs w:val="22"/>
          <w:lang w:val="es-ES"/>
        </w:rPr>
      </w:pPr>
    </w:p>
    <w:p w14:paraId="24AEFE35" w14:textId="4640D4E8"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 xml:space="preserve">Expuestas las posturas de las partes, se procede al análisis del agravio hecho valer por la persona Recurrente, concerniente a la falta de respuesta del </w:t>
      </w:r>
      <w:r w:rsidR="009A3007" w:rsidRPr="00E51E73">
        <w:rPr>
          <w:rFonts w:ascii="Palatino Linotype" w:eastAsia="Calibri" w:hAnsi="Palatino Linotype" w:cs="Tahoma"/>
          <w:sz w:val="22"/>
          <w:szCs w:val="22"/>
          <w:lang w:eastAsia="en-US"/>
        </w:rPr>
        <w:t>Ayuntamiento de</w:t>
      </w:r>
      <w:r w:rsidR="00FD614D" w:rsidRPr="00E51E73">
        <w:rPr>
          <w:rFonts w:ascii="Palatino Linotype" w:eastAsia="Calibri" w:hAnsi="Palatino Linotype" w:cs="Tahoma"/>
          <w:sz w:val="22"/>
          <w:szCs w:val="22"/>
          <w:lang w:eastAsia="en-US"/>
        </w:rPr>
        <w:t xml:space="preserve"> Nextlalpan</w:t>
      </w:r>
      <w:r w:rsidR="009A3007" w:rsidRPr="00E51E73">
        <w:rPr>
          <w:rFonts w:ascii="Palatino Linotype" w:eastAsia="Calibri" w:hAnsi="Palatino Linotype" w:cs="Tahoma"/>
          <w:sz w:val="22"/>
          <w:szCs w:val="22"/>
          <w:lang w:eastAsia="en-US"/>
        </w:rPr>
        <w:t xml:space="preserve"> </w:t>
      </w:r>
      <w:r w:rsidRPr="00E51E73">
        <w:rPr>
          <w:rFonts w:ascii="Palatino Linotype" w:hAnsi="Palatino Linotype" w:cs="Tahoma"/>
          <w:iCs/>
          <w:sz w:val="22"/>
          <w:szCs w:val="22"/>
        </w:rPr>
        <w:t>a la solicitud de información.</w:t>
      </w:r>
    </w:p>
    <w:p w14:paraId="685AFA76" w14:textId="77777777" w:rsidR="00E716DD" w:rsidRPr="00E51E73" w:rsidRDefault="00E716DD" w:rsidP="004F4E53">
      <w:pPr>
        <w:spacing w:line="360" w:lineRule="auto"/>
        <w:jc w:val="both"/>
        <w:rPr>
          <w:rFonts w:ascii="Palatino Linotype" w:hAnsi="Palatino Linotype" w:cs="Tahoma"/>
          <w:iCs/>
          <w:sz w:val="22"/>
          <w:szCs w:val="22"/>
        </w:rPr>
      </w:pPr>
    </w:p>
    <w:p w14:paraId="05477E73"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En principio, es de suma importancia señalar los objetivos de la Ley de Transparencia y Acceso a la Información Pública del Estado de México y Municipios, en relación con la obligación de acceso por parte de los Sujetos Obligados, lo cuales se encuentran establecidos en el artículo 2° de dicho ordenamiento jurídico y son los siguientes:</w:t>
      </w:r>
    </w:p>
    <w:p w14:paraId="22CAC5BD" w14:textId="77777777" w:rsidR="00E716DD" w:rsidRPr="00E51E73" w:rsidRDefault="00E716DD" w:rsidP="004F4E53">
      <w:pPr>
        <w:spacing w:line="360" w:lineRule="auto"/>
        <w:jc w:val="both"/>
        <w:rPr>
          <w:rFonts w:ascii="Palatino Linotype" w:hAnsi="Palatino Linotype" w:cs="Tahoma"/>
          <w:iCs/>
          <w:sz w:val="22"/>
          <w:szCs w:val="22"/>
        </w:rPr>
      </w:pPr>
    </w:p>
    <w:p w14:paraId="5810B3D5" w14:textId="77777777" w:rsidR="00E716DD" w:rsidRPr="00E51E73" w:rsidRDefault="00E716DD" w:rsidP="004F4E53">
      <w:pPr>
        <w:numPr>
          <w:ilvl w:val="0"/>
          <w:numId w:val="26"/>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Proveer lo necesario para garantizar a toda persona el derecho de acceso a la información pública, a través de procedimientos sencillos, expeditos, oportunos y gratuitos;</w:t>
      </w:r>
    </w:p>
    <w:p w14:paraId="6A79A7E8" w14:textId="77777777" w:rsidR="003A796B" w:rsidRPr="00E51E73" w:rsidRDefault="003A796B" w:rsidP="003A796B">
      <w:pPr>
        <w:spacing w:line="360" w:lineRule="auto"/>
        <w:ind w:left="720"/>
        <w:jc w:val="both"/>
        <w:rPr>
          <w:rFonts w:ascii="Palatino Linotype" w:hAnsi="Palatino Linotype" w:cs="Tahoma"/>
          <w:iCs/>
          <w:sz w:val="22"/>
          <w:szCs w:val="22"/>
        </w:rPr>
      </w:pPr>
    </w:p>
    <w:p w14:paraId="27E57A7B" w14:textId="77777777" w:rsidR="00E716DD" w:rsidRPr="00E51E73" w:rsidRDefault="00E716DD" w:rsidP="004F4E53">
      <w:pPr>
        <w:numPr>
          <w:ilvl w:val="0"/>
          <w:numId w:val="26"/>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Transparentar la gestión pública, mediante la difusión de la información generada por los Sujetos Obligados, y</w:t>
      </w:r>
    </w:p>
    <w:p w14:paraId="36D4BC00" w14:textId="77777777" w:rsidR="003A796B" w:rsidRPr="00E51E73" w:rsidRDefault="003A796B" w:rsidP="003A796B">
      <w:pPr>
        <w:pStyle w:val="Prrafodelista"/>
        <w:rPr>
          <w:rFonts w:ascii="Palatino Linotype" w:hAnsi="Palatino Linotype" w:cs="Tahoma"/>
          <w:iCs/>
          <w:szCs w:val="22"/>
        </w:rPr>
      </w:pPr>
    </w:p>
    <w:p w14:paraId="5B30FD99" w14:textId="77777777" w:rsidR="00E716DD" w:rsidRPr="00E51E73" w:rsidRDefault="00E716DD" w:rsidP="004F4E53">
      <w:pPr>
        <w:numPr>
          <w:ilvl w:val="0"/>
          <w:numId w:val="26"/>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Promover, fomentar y difundir la cultura de la transparencia en el ejercicio de la función pública, el acceso a la información y la participación ciudadana, así como, la rendición de cuentas.</w:t>
      </w:r>
    </w:p>
    <w:p w14:paraId="017DAD94" w14:textId="77777777" w:rsidR="00E716DD" w:rsidRPr="00E51E73" w:rsidRDefault="00E716DD" w:rsidP="004F4E53">
      <w:pPr>
        <w:spacing w:line="360" w:lineRule="auto"/>
        <w:jc w:val="both"/>
        <w:rPr>
          <w:rFonts w:ascii="Palatino Linotype" w:hAnsi="Palatino Linotype" w:cs="Tahoma"/>
          <w:iCs/>
          <w:sz w:val="22"/>
          <w:szCs w:val="22"/>
        </w:rPr>
      </w:pPr>
    </w:p>
    <w:p w14:paraId="4D78B5D2"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Conforme a lo anterior, se deprende que los objetivos de la Ley de la materia, son establecer las bases que regirán las formas para garantizar el derecho de acceso a la información, mediante procesos sencillos y expeditos, la promoción, fomentación y difusión de la cultura de transparencia y la rendición de cuentas, a través de establecimiento de políticas públicas y mecanismos que garanticen la publicidad de información oportuna, verificable, comprensible, actualizada y completa.</w:t>
      </w:r>
    </w:p>
    <w:p w14:paraId="2AE415D4" w14:textId="77777777" w:rsidR="00E716DD" w:rsidRPr="00E51E73" w:rsidRDefault="00E716DD" w:rsidP="004F4E53">
      <w:pPr>
        <w:spacing w:line="360" w:lineRule="auto"/>
        <w:jc w:val="both"/>
        <w:rPr>
          <w:rFonts w:ascii="Palatino Linotype" w:hAnsi="Palatino Linotype" w:cs="Tahoma"/>
          <w:iCs/>
          <w:sz w:val="22"/>
          <w:szCs w:val="22"/>
        </w:rPr>
      </w:pPr>
    </w:p>
    <w:p w14:paraId="0B263179"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En ese orden de ideas, para la atención de las solicitudes de acceso a la información, debe privilegiarse el principio de máxima publicidad el cual dispone que toda la información en posesión de los sujetos obligados será pública, completa, oportuna y accesible, sujeta a un claro régimen de excepciones que deberán estar definidas y ser legítimas y estrictamente necesarias en una sociedad democrática.</w:t>
      </w:r>
    </w:p>
    <w:p w14:paraId="53449F0F" w14:textId="77777777" w:rsidR="00E716DD" w:rsidRPr="00E51E73" w:rsidRDefault="00E716DD" w:rsidP="004F4E53">
      <w:pPr>
        <w:spacing w:line="360" w:lineRule="auto"/>
        <w:jc w:val="both"/>
        <w:rPr>
          <w:rFonts w:ascii="Palatino Linotype" w:hAnsi="Palatino Linotype" w:cs="Tahoma"/>
          <w:iCs/>
          <w:sz w:val="22"/>
          <w:szCs w:val="22"/>
        </w:rPr>
      </w:pPr>
    </w:p>
    <w:p w14:paraId="0A96F3D2" w14:textId="77777777"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Para lograr lo anterior, los Sujetos Obligados deben seguir el procedimiento para la atención a las solicitudes de acceso a la información, establecido en los artículos 151, 159, 160, 162, 163, 164, 165 y 166, de la Ley de Transparencia y Acceso a la Información Pública del Estado de México y Municipios, el cual es el siguiente:</w:t>
      </w:r>
    </w:p>
    <w:p w14:paraId="143619E8" w14:textId="77777777" w:rsidR="009A3007" w:rsidRPr="00E51E73" w:rsidRDefault="009A3007" w:rsidP="004F4E53">
      <w:pPr>
        <w:spacing w:line="360" w:lineRule="auto"/>
        <w:jc w:val="both"/>
        <w:rPr>
          <w:rFonts w:ascii="Palatino Linotype" w:hAnsi="Palatino Linotype" w:cs="Tahoma"/>
          <w:iCs/>
          <w:sz w:val="22"/>
          <w:szCs w:val="22"/>
        </w:rPr>
      </w:pPr>
    </w:p>
    <w:p w14:paraId="167E06A5" w14:textId="77777777" w:rsidR="00E716DD" w:rsidRPr="00E51E73" w:rsidRDefault="00E716DD" w:rsidP="004F4E5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Las Unidades de Transparencia de los Sujetos Obligados deben garantizar las medidas y condiciones de accesibilidad para que toda persona puede ejercer el derecho de acceso a la información; por lo que, son las responsables de hacer las notificaciones correspondientes, además de llevar a cabo de todas las gestiones necesarias para facilitar el acceso de la información;</w:t>
      </w:r>
    </w:p>
    <w:p w14:paraId="2EF28D30" w14:textId="77777777" w:rsidR="00BA5927" w:rsidRPr="00E51E73" w:rsidRDefault="00BA5927" w:rsidP="00BA5927">
      <w:pPr>
        <w:spacing w:line="360" w:lineRule="auto"/>
        <w:ind w:left="720"/>
        <w:jc w:val="both"/>
        <w:rPr>
          <w:rFonts w:ascii="Palatino Linotype" w:hAnsi="Palatino Linotype" w:cs="Tahoma"/>
          <w:iCs/>
          <w:sz w:val="22"/>
          <w:szCs w:val="22"/>
        </w:rPr>
      </w:pPr>
    </w:p>
    <w:p w14:paraId="37A816FA" w14:textId="16BEC6ED" w:rsidR="00E716DD" w:rsidRPr="00E51E73" w:rsidRDefault="00E716DD" w:rsidP="004F4E5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Los Sujetos Obligados podrán requerirle a los Solicitantes, que complementen, corrijan o amplíen su solicitud de información, cuando resulten los datos proporcionados insuficientes, incorrectos, incompletos o erróneos; solicitar dicha aclaración, interrumpirá el plazo para dar respuesta y comenzará a computarse el día siguiente al desahogo de esta</w:t>
      </w:r>
      <w:r w:rsidR="001A7D1C" w:rsidRPr="00E51E73">
        <w:rPr>
          <w:rFonts w:ascii="Palatino Linotype" w:hAnsi="Palatino Linotype" w:cs="Tahoma"/>
          <w:iCs/>
          <w:sz w:val="22"/>
          <w:szCs w:val="22"/>
        </w:rPr>
        <w:t>;</w:t>
      </w:r>
    </w:p>
    <w:p w14:paraId="26759CEF" w14:textId="77777777" w:rsidR="00BA5927" w:rsidRPr="00E51E73" w:rsidRDefault="00BA5927" w:rsidP="00BA5927">
      <w:pPr>
        <w:pStyle w:val="Prrafodelista"/>
        <w:rPr>
          <w:rFonts w:ascii="Palatino Linotype" w:hAnsi="Palatino Linotype" w:cs="Tahoma"/>
          <w:iCs/>
          <w:szCs w:val="22"/>
        </w:rPr>
      </w:pPr>
    </w:p>
    <w:p w14:paraId="29733BD8" w14:textId="48BAA504" w:rsidR="00E716DD" w:rsidRPr="00E51E73" w:rsidRDefault="00BA5927" w:rsidP="00557EA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 xml:space="preserve"> </w:t>
      </w:r>
      <w:r w:rsidR="00E716DD" w:rsidRPr="00E51E73">
        <w:rPr>
          <w:rFonts w:ascii="Palatino Linotype" w:hAnsi="Palatino Linotype" w:cs="Tahoma"/>
          <w:iCs/>
          <w:sz w:val="22"/>
          <w:szCs w:val="22"/>
        </w:rPr>
        <w:t>Las respuestas a los requerimientos informativos deberán notificarse al interesado en el menor tiempo posible, que no podrá exceder quince días, contados a partir del día siguiente a la presentación de ésta. Excepcionalmente, el plazo referido podrá ampliarse por siete días hábiles más, cuando existan razones fundadas y motivadas, a través del Comité de Transparencia;</w:t>
      </w:r>
    </w:p>
    <w:p w14:paraId="65FA4B4C" w14:textId="77777777" w:rsidR="00BA5927" w:rsidRPr="00E51E73" w:rsidRDefault="00BA5927" w:rsidP="00BA5927">
      <w:pPr>
        <w:pStyle w:val="Prrafodelista"/>
        <w:rPr>
          <w:rFonts w:ascii="Palatino Linotype" w:hAnsi="Palatino Linotype" w:cs="Tahoma"/>
          <w:iCs/>
          <w:szCs w:val="22"/>
        </w:rPr>
      </w:pPr>
    </w:p>
    <w:p w14:paraId="51C1EBAF" w14:textId="77777777" w:rsidR="00E716DD" w:rsidRPr="00E51E73" w:rsidRDefault="00E716DD" w:rsidP="004F4E5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Las Unidades de Transparencia garantizarán que las solicitudes se turnen a todas las áreas competentes que cuenten con la información o deban tenerla de acuerdo a sus facultades, funciones y atribuciones, para que realicen una búsqueda exhaustiva y razonable de la documentación solicitada, con el fin de que proporcionen las expresiones documentales que se encuentren en sus archivos o que estén constreñidos a elaborar;</w:t>
      </w:r>
    </w:p>
    <w:p w14:paraId="35E5328C" w14:textId="77777777" w:rsidR="007935E5" w:rsidRPr="00E51E73" w:rsidRDefault="007935E5" w:rsidP="00783627">
      <w:pPr>
        <w:rPr>
          <w:rFonts w:ascii="Palatino Linotype" w:hAnsi="Palatino Linotype" w:cs="Tahoma"/>
          <w:iCs/>
          <w:szCs w:val="22"/>
        </w:rPr>
      </w:pPr>
    </w:p>
    <w:p w14:paraId="76EF5205" w14:textId="2E3FA03E" w:rsidR="00E716DD" w:rsidRPr="00E51E73" w:rsidRDefault="00E716DD" w:rsidP="004F4E5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El acceso se dará en la modalidad de entrega y en su caso, de envío elegido por el solicitante, cuando no pueda entregarse en dicha modalidad, el Sujeto Obligado deberá ofrecer otras; por lo cual, deberá fundamentar y motivar la necesidad de modificar el medio de entrega, y</w:t>
      </w:r>
    </w:p>
    <w:p w14:paraId="44CC2E9D" w14:textId="77777777" w:rsidR="00BA5927" w:rsidRPr="00E51E73" w:rsidRDefault="00BA5927" w:rsidP="002B57E5">
      <w:pPr>
        <w:pStyle w:val="Prrafodelista"/>
        <w:spacing w:line="360" w:lineRule="auto"/>
        <w:rPr>
          <w:rFonts w:ascii="Palatino Linotype" w:hAnsi="Palatino Linotype" w:cs="Tahoma"/>
          <w:iCs/>
          <w:szCs w:val="22"/>
        </w:rPr>
      </w:pPr>
    </w:p>
    <w:p w14:paraId="385CBACE" w14:textId="73CE4B51" w:rsidR="00E716DD" w:rsidRPr="00E51E73" w:rsidRDefault="00E716DD" w:rsidP="004F4E53">
      <w:pPr>
        <w:numPr>
          <w:ilvl w:val="0"/>
          <w:numId w:val="27"/>
        </w:num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Las Unidades de Transparencia, tendrán disponible la información requerida durante un plazo mínimo de sesenta días hábiles, contados a partir de que el solicitante hubiere realizado, en su caso, el pago respectivo, el cual deberá efectuarse en un plazo no mayor a treinta días hábiles; por lo que, una vez trascurrida dicha temporalidad, los Sujetos Obligados darán por concluida la solicitud y procederán de ser el caso, a la destrucción del material.</w:t>
      </w:r>
    </w:p>
    <w:p w14:paraId="587751CB" w14:textId="77777777" w:rsidR="00E716DD" w:rsidRPr="00E51E73" w:rsidRDefault="00E716DD" w:rsidP="004F4E53">
      <w:pPr>
        <w:spacing w:line="360" w:lineRule="auto"/>
        <w:jc w:val="both"/>
        <w:rPr>
          <w:rFonts w:ascii="Palatino Linotype" w:hAnsi="Palatino Linotype" w:cs="Tahoma"/>
          <w:iCs/>
          <w:sz w:val="22"/>
          <w:szCs w:val="22"/>
        </w:rPr>
      </w:pPr>
    </w:p>
    <w:p w14:paraId="15391486" w14:textId="618238E7" w:rsidR="005A1E4C"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Una vez establecido lo anterior, es de indicar que el agravio del Particular consistió en que, a la fecha de interposición del Recurso de Revisión, el</w:t>
      </w:r>
      <w:r w:rsidR="009A3007" w:rsidRPr="00E51E73">
        <w:rPr>
          <w:rFonts w:ascii="Palatino Linotype" w:eastAsia="Calibri" w:hAnsi="Palatino Linotype" w:cs="Tahoma"/>
          <w:sz w:val="22"/>
          <w:szCs w:val="22"/>
          <w:lang w:eastAsia="en-US"/>
        </w:rPr>
        <w:t xml:space="preserve"> Ayuntamiento de </w:t>
      </w:r>
      <w:r w:rsidR="00FD614D" w:rsidRPr="00E51E73">
        <w:rPr>
          <w:rFonts w:ascii="Palatino Linotype" w:eastAsia="Calibri" w:hAnsi="Palatino Linotype" w:cs="Tahoma"/>
          <w:sz w:val="22"/>
          <w:szCs w:val="22"/>
          <w:lang w:eastAsia="en-US"/>
        </w:rPr>
        <w:t>Nextlalpan</w:t>
      </w:r>
      <w:r w:rsidRPr="00E51E73">
        <w:rPr>
          <w:rFonts w:ascii="Palatino Linotype" w:hAnsi="Palatino Linotype" w:cs="Tahoma"/>
          <w:iCs/>
          <w:sz w:val="22"/>
          <w:szCs w:val="22"/>
        </w:rPr>
        <w:t xml:space="preserve">, no había registrado respuesta al requerimiento de acceso a la información, el cual se presentó, el </w:t>
      </w:r>
      <w:r w:rsidR="00FD614D" w:rsidRPr="00E51E73">
        <w:rPr>
          <w:rFonts w:ascii="Palatino Linotype" w:hAnsi="Palatino Linotype" w:cs="Tahoma"/>
          <w:iCs/>
          <w:sz w:val="22"/>
          <w:szCs w:val="22"/>
        </w:rPr>
        <w:t>nueve de diciembre</w:t>
      </w:r>
      <w:r w:rsidR="005A1E4C" w:rsidRPr="00E51E73">
        <w:rPr>
          <w:rFonts w:ascii="Palatino Linotype" w:hAnsi="Palatino Linotype" w:cs="Tahoma"/>
          <w:iCs/>
          <w:sz w:val="22"/>
          <w:szCs w:val="22"/>
        </w:rPr>
        <w:t xml:space="preserve"> de dos mil veinticuatro.</w:t>
      </w:r>
    </w:p>
    <w:p w14:paraId="5D7A501D" w14:textId="77777777" w:rsidR="00BA5927" w:rsidRPr="00E51E73" w:rsidRDefault="00BA5927" w:rsidP="004F4E53">
      <w:pPr>
        <w:spacing w:line="360" w:lineRule="auto"/>
        <w:jc w:val="both"/>
        <w:rPr>
          <w:rFonts w:ascii="Palatino Linotype" w:hAnsi="Palatino Linotype" w:cs="Tahoma"/>
          <w:iCs/>
          <w:sz w:val="22"/>
          <w:szCs w:val="22"/>
        </w:rPr>
      </w:pPr>
    </w:p>
    <w:p w14:paraId="24C19C3E" w14:textId="3F137C98" w:rsidR="00E716DD"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 xml:space="preserve">En ese orden de ideas, el plazo con el que contaba el Sujeto Obligado para emitir contestación al requerimiento </w:t>
      </w:r>
      <w:r w:rsidR="006D2B83" w:rsidRPr="00E51E73">
        <w:rPr>
          <w:rFonts w:ascii="Palatino Linotype" w:hAnsi="Palatino Linotype" w:cs="Tahoma"/>
          <w:iCs/>
          <w:sz w:val="22"/>
          <w:szCs w:val="22"/>
        </w:rPr>
        <w:t>informativo</w:t>
      </w:r>
      <w:r w:rsidRPr="00E51E73">
        <w:rPr>
          <w:rFonts w:ascii="Palatino Linotype" w:hAnsi="Palatino Linotype" w:cs="Tahoma"/>
          <w:iCs/>
          <w:sz w:val="22"/>
          <w:szCs w:val="22"/>
        </w:rPr>
        <w:t xml:space="preserve"> comenzó a correr el </w:t>
      </w:r>
      <w:r w:rsidR="00FD614D" w:rsidRPr="00E51E73">
        <w:rPr>
          <w:rFonts w:ascii="Palatino Linotype" w:hAnsi="Palatino Linotype" w:cs="Tahoma"/>
          <w:iCs/>
          <w:sz w:val="22"/>
          <w:szCs w:val="22"/>
        </w:rPr>
        <w:t>diez de diciembre de dos mil veinticuatro y feneció el veinte de enero de dos mil veinticinco</w:t>
      </w:r>
      <w:r w:rsidRPr="00E51E73">
        <w:rPr>
          <w:rFonts w:ascii="Palatino Linotype" w:hAnsi="Palatino Linotype" w:cs="Tahoma"/>
          <w:iCs/>
          <w:sz w:val="22"/>
          <w:szCs w:val="22"/>
        </w:rPr>
        <w:t>; lo anterior, sin contar los días,</w:t>
      </w:r>
      <w:r w:rsidR="00F46DAD" w:rsidRPr="00E51E73">
        <w:rPr>
          <w:rFonts w:ascii="Palatino Linotype" w:hAnsi="Palatino Linotype" w:cs="Tahoma"/>
          <w:iCs/>
          <w:sz w:val="22"/>
          <w:szCs w:val="22"/>
        </w:rPr>
        <w:t xml:space="preserve"> </w:t>
      </w:r>
      <w:r w:rsidR="00F90CB9" w:rsidRPr="00E51E73">
        <w:rPr>
          <w:rFonts w:ascii="Palatino Linotype" w:hAnsi="Palatino Linotype" w:cs="Tahoma"/>
          <w:iCs/>
          <w:sz w:val="22"/>
          <w:szCs w:val="22"/>
        </w:rPr>
        <w:t>catorce, quince, del veintiuno al treinta y uno de diciembre de dos mil veinticuatro, así como, del primero al doce, dieciocho y diecinueve de enero de dos mil veinticinco</w:t>
      </w:r>
      <w:r w:rsidRPr="00E51E73">
        <w:rPr>
          <w:rFonts w:ascii="Palatino Linotype" w:hAnsi="Palatino Linotype" w:cs="Tahoma"/>
          <w:iCs/>
          <w:sz w:val="22"/>
          <w:szCs w:val="22"/>
        </w:rPr>
        <w:t xml:space="preserve">, al ser inhábiles, de conformidad con </w:t>
      </w:r>
      <w:r w:rsidR="009C44AA" w:rsidRPr="00E51E73">
        <w:rPr>
          <w:rFonts w:ascii="Palatino Linotype" w:hAnsi="Palatino Linotype" w:cs="Tahoma"/>
          <w:iCs/>
          <w:sz w:val="22"/>
          <w:szCs w:val="22"/>
        </w:rPr>
        <w:t>el artículo,</w:t>
      </w:r>
      <w:r w:rsidRPr="00E51E73">
        <w:rPr>
          <w:rFonts w:ascii="Palatino Linotype" w:hAnsi="Palatino Linotype" w:cs="Tahoma"/>
          <w:iCs/>
          <w:sz w:val="22"/>
          <w:szCs w:val="22"/>
        </w:rPr>
        <w:t xml:space="preserve"> 3°, fracción X</w:t>
      </w:r>
      <w:r w:rsidR="009C44AA" w:rsidRPr="00E51E73">
        <w:rPr>
          <w:rFonts w:ascii="Palatino Linotype" w:hAnsi="Palatino Linotype" w:cs="Tahoma"/>
          <w:iCs/>
          <w:sz w:val="22"/>
          <w:szCs w:val="22"/>
        </w:rPr>
        <w:t xml:space="preserve">, </w:t>
      </w:r>
      <w:r w:rsidRPr="00E51E73">
        <w:rPr>
          <w:rFonts w:ascii="Palatino Linotype" w:hAnsi="Palatino Linotype" w:cs="Tahoma"/>
          <w:iCs/>
          <w:sz w:val="22"/>
          <w:szCs w:val="22"/>
        </w:rPr>
        <w:t xml:space="preserve">de la Ley de Transparencia y Acceso a la Información Pública del Estado de México y Municipios y </w:t>
      </w:r>
      <w:bookmarkStart w:id="12" w:name="_Hlk65786947"/>
      <w:r w:rsidRPr="00E51E73">
        <w:rPr>
          <w:rFonts w:ascii="Palatino Linotype" w:hAnsi="Palatino Linotype" w:cs="Tahoma"/>
          <w:iCs/>
          <w:sz w:val="22"/>
          <w:szCs w:val="22"/>
        </w:rPr>
        <w:t xml:space="preserve">el </w:t>
      </w:r>
      <w:r w:rsidRPr="00E51E73">
        <w:rPr>
          <w:rFonts w:ascii="Palatino Linotype" w:hAnsi="Palatino Linotype" w:cs="Tahoma"/>
          <w:iCs/>
          <w:sz w:val="22"/>
          <w:szCs w:val="22"/>
          <w:lang w:val="es-ES"/>
        </w:rPr>
        <w:t>Calendario Oficial en Materia de Transparencia, Acceso a la Información Pública y Protección de Datos Personales del Estado de México y Municipios, así como de laborales de este Instituto, para el año dos mil veinticuatro y enero dos mil veinticinco.</w:t>
      </w:r>
    </w:p>
    <w:bookmarkEnd w:id="12"/>
    <w:p w14:paraId="3293CCFE" w14:textId="77777777" w:rsidR="00E716DD" w:rsidRPr="00E51E73" w:rsidRDefault="00E716DD" w:rsidP="004F4E53">
      <w:pPr>
        <w:spacing w:line="360" w:lineRule="auto"/>
        <w:jc w:val="both"/>
        <w:rPr>
          <w:rFonts w:ascii="Palatino Linotype" w:hAnsi="Palatino Linotype" w:cs="Tahoma"/>
          <w:iCs/>
          <w:sz w:val="22"/>
          <w:szCs w:val="22"/>
        </w:rPr>
      </w:pPr>
    </w:p>
    <w:p w14:paraId="6B2BF746" w14:textId="77777777" w:rsidR="00E716DD" w:rsidRPr="00E51E73" w:rsidRDefault="00E716DD" w:rsidP="004F4E53">
      <w:pPr>
        <w:spacing w:line="360" w:lineRule="auto"/>
        <w:jc w:val="both"/>
        <w:rPr>
          <w:rFonts w:ascii="Palatino Linotype" w:hAnsi="Palatino Linotype" w:cs="Tahoma"/>
          <w:iCs/>
          <w:sz w:val="22"/>
          <w:szCs w:val="22"/>
          <w:lang w:val="es-ES"/>
        </w:rPr>
      </w:pPr>
      <w:r w:rsidRPr="00E51E73">
        <w:rPr>
          <w:rFonts w:ascii="Palatino Linotype" w:hAnsi="Palatino Linotype" w:cs="Tahoma"/>
          <w:iCs/>
          <w:sz w:val="22"/>
          <w:szCs w:val="22"/>
        </w:rPr>
        <w:t xml:space="preserve">Así, este Instituto verificó que, en efecto, no se registró respuesta a la solicitud de información de la persona Recurrente, en el </w:t>
      </w:r>
      <w:r w:rsidRPr="00E51E73">
        <w:rPr>
          <w:rFonts w:ascii="Palatino Linotype" w:hAnsi="Palatino Linotype" w:cs="Tahoma"/>
          <w:iCs/>
          <w:sz w:val="22"/>
          <w:szCs w:val="22"/>
          <w:lang w:val="es-ES"/>
        </w:rPr>
        <w:t>Sistema de Acceso a la Información Mexiquense (SAIMEX), tal como se observa a continuación:</w:t>
      </w:r>
    </w:p>
    <w:p w14:paraId="10BA31D1" w14:textId="77777777" w:rsidR="00E716DD" w:rsidRPr="00E51E73" w:rsidRDefault="00E716DD" w:rsidP="004F4E53">
      <w:pPr>
        <w:spacing w:line="360" w:lineRule="auto"/>
        <w:jc w:val="both"/>
        <w:rPr>
          <w:rFonts w:ascii="Palatino Linotype" w:hAnsi="Palatino Linotype" w:cs="Tahoma"/>
          <w:iCs/>
          <w:sz w:val="22"/>
          <w:szCs w:val="22"/>
        </w:rPr>
      </w:pPr>
    </w:p>
    <w:p w14:paraId="5215DC4B" w14:textId="1E5288D9" w:rsidR="00E716DD" w:rsidRPr="00E51E73" w:rsidRDefault="00F90CB9" w:rsidP="004F4E53">
      <w:pPr>
        <w:spacing w:line="360" w:lineRule="auto"/>
        <w:jc w:val="center"/>
        <w:rPr>
          <w:rFonts w:ascii="Palatino Linotype" w:hAnsi="Palatino Linotype" w:cs="Tahoma"/>
          <w:iCs/>
          <w:sz w:val="22"/>
          <w:szCs w:val="22"/>
          <w:lang w:val="es-ES"/>
        </w:rPr>
      </w:pPr>
      <w:r w:rsidRPr="00E51E73">
        <w:rPr>
          <w:rFonts w:ascii="Palatino Linotype" w:hAnsi="Palatino Linotype" w:cs="Tahoma"/>
          <w:iCs/>
          <w:noProof/>
          <w:sz w:val="22"/>
          <w:szCs w:val="22"/>
          <w:lang w:eastAsia="es-MX"/>
        </w:rPr>
        <w:drawing>
          <wp:inline distT="0" distB="0" distL="0" distR="0" wp14:anchorId="5F58BBBB" wp14:editId="2F7F99FD">
            <wp:extent cx="3017520" cy="1740539"/>
            <wp:effectExtent l="0" t="0" r="0" b="0"/>
            <wp:docPr id="786783095"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783095" name="Imagen 1" descr="Tabla&#10;&#10;Descripción generada automáticamente"/>
                    <pic:cNvPicPr/>
                  </pic:nvPicPr>
                  <pic:blipFill>
                    <a:blip r:embed="rId8"/>
                    <a:stretch>
                      <a:fillRect/>
                    </a:stretch>
                  </pic:blipFill>
                  <pic:spPr>
                    <a:xfrm>
                      <a:off x="0" y="0"/>
                      <a:ext cx="3021025" cy="1742561"/>
                    </a:xfrm>
                    <a:prstGeom prst="rect">
                      <a:avLst/>
                    </a:prstGeom>
                  </pic:spPr>
                </pic:pic>
              </a:graphicData>
            </a:graphic>
          </wp:inline>
        </w:drawing>
      </w:r>
    </w:p>
    <w:p w14:paraId="5D6488A7" w14:textId="77777777" w:rsidR="00A347C1" w:rsidRPr="00E51E73" w:rsidRDefault="00A347C1" w:rsidP="004F4E53">
      <w:pPr>
        <w:spacing w:line="360" w:lineRule="auto"/>
        <w:jc w:val="center"/>
        <w:rPr>
          <w:rFonts w:ascii="Palatino Linotype" w:hAnsi="Palatino Linotype" w:cs="Tahoma"/>
          <w:iCs/>
          <w:sz w:val="22"/>
          <w:szCs w:val="22"/>
          <w:lang w:val="es-ES"/>
        </w:rPr>
      </w:pPr>
    </w:p>
    <w:p w14:paraId="5077EB42" w14:textId="48B4CBC8" w:rsidR="009B190E" w:rsidRPr="00E51E73" w:rsidRDefault="00E716DD" w:rsidP="004F4E53">
      <w:pPr>
        <w:spacing w:line="360" w:lineRule="auto"/>
        <w:jc w:val="both"/>
        <w:rPr>
          <w:rFonts w:ascii="Palatino Linotype" w:hAnsi="Palatino Linotype" w:cs="Tahoma"/>
          <w:iCs/>
          <w:sz w:val="22"/>
          <w:szCs w:val="22"/>
        </w:rPr>
      </w:pPr>
      <w:r w:rsidRPr="00E51E73">
        <w:rPr>
          <w:rFonts w:ascii="Palatino Linotype" w:hAnsi="Palatino Linotype" w:cs="Tahoma"/>
          <w:iCs/>
          <w:sz w:val="22"/>
          <w:szCs w:val="22"/>
        </w:rPr>
        <w:t>Conforme a lo anterior, se colige que, tal como lo precisó la persona Recurrente, el</w:t>
      </w:r>
      <w:r w:rsidR="00E932E9" w:rsidRPr="00E51E73">
        <w:rPr>
          <w:rFonts w:ascii="Palatino Linotype" w:eastAsia="Calibri" w:hAnsi="Palatino Linotype" w:cs="Tahoma"/>
          <w:sz w:val="22"/>
          <w:szCs w:val="22"/>
          <w:lang w:eastAsia="en-US"/>
        </w:rPr>
        <w:t xml:space="preserve"> Ayuntamiento de </w:t>
      </w:r>
      <w:r w:rsidR="00F90CB9" w:rsidRPr="00E51E73">
        <w:rPr>
          <w:rFonts w:ascii="Palatino Linotype" w:eastAsia="Calibri" w:hAnsi="Palatino Linotype" w:cs="Tahoma"/>
          <w:sz w:val="22"/>
          <w:szCs w:val="22"/>
          <w:lang w:eastAsia="en-US"/>
        </w:rPr>
        <w:t>Nextlalpan</w:t>
      </w:r>
      <w:r w:rsidRPr="00E51E73">
        <w:rPr>
          <w:rFonts w:ascii="Palatino Linotype" w:hAnsi="Palatino Linotype" w:cs="Tahoma"/>
          <w:iCs/>
          <w:sz w:val="22"/>
          <w:szCs w:val="22"/>
        </w:rPr>
        <w:t xml:space="preserve">, no emitió respuesta para dar contestación a la solicitud de acceso a la información pública, dentro de los plazos establecidos en el artículo 163, de la Ley de Transparencia y Acceso a la Información Pública del Estado de México y Municipios, pues tenía hasta el </w:t>
      </w:r>
      <w:r w:rsidR="00F90CB9" w:rsidRPr="00E51E73">
        <w:rPr>
          <w:rFonts w:ascii="Palatino Linotype" w:hAnsi="Palatino Linotype" w:cs="Tahoma"/>
          <w:iCs/>
          <w:sz w:val="22"/>
          <w:szCs w:val="22"/>
        </w:rPr>
        <w:t>veinte de enero</w:t>
      </w:r>
      <w:r w:rsidR="009B190E" w:rsidRPr="00E51E73">
        <w:rPr>
          <w:rFonts w:ascii="Palatino Linotype" w:hAnsi="Palatino Linotype" w:cs="Tahoma"/>
          <w:iCs/>
          <w:sz w:val="22"/>
          <w:szCs w:val="22"/>
        </w:rPr>
        <w:t xml:space="preserve"> </w:t>
      </w:r>
      <w:r w:rsidRPr="00E51E73">
        <w:rPr>
          <w:rFonts w:ascii="Palatino Linotype" w:hAnsi="Palatino Linotype" w:cs="Tahoma"/>
          <w:iCs/>
          <w:sz w:val="22"/>
          <w:szCs w:val="22"/>
        </w:rPr>
        <w:t>de dos mil veintic</w:t>
      </w:r>
      <w:r w:rsidR="00F90CB9" w:rsidRPr="00E51E73">
        <w:rPr>
          <w:rFonts w:ascii="Palatino Linotype" w:hAnsi="Palatino Linotype" w:cs="Tahoma"/>
          <w:iCs/>
          <w:sz w:val="22"/>
          <w:szCs w:val="22"/>
        </w:rPr>
        <w:t>inco</w:t>
      </w:r>
      <w:r w:rsidRPr="00E51E73">
        <w:rPr>
          <w:rFonts w:ascii="Palatino Linotype" w:hAnsi="Palatino Linotype" w:cs="Tahoma"/>
          <w:iCs/>
          <w:sz w:val="22"/>
          <w:szCs w:val="22"/>
        </w:rPr>
        <w:t xml:space="preserve">, para realizar dicha situación, por lo que es evidente que el agravio es </w:t>
      </w:r>
      <w:r w:rsidRPr="00E51E73">
        <w:rPr>
          <w:rFonts w:ascii="Palatino Linotype" w:hAnsi="Palatino Linotype" w:cs="Tahoma"/>
          <w:b/>
          <w:bCs/>
          <w:iCs/>
          <w:sz w:val="22"/>
          <w:szCs w:val="22"/>
        </w:rPr>
        <w:t>FUNDADO</w:t>
      </w:r>
      <w:r w:rsidRPr="00E51E73">
        <w:rPr>
          <w:rFonts w:ascii="Palatino Linotype" w:hAnsi="Palatino Linotype" w:cs="Tahoma"/>
          <w:iCs/>
          <w:sz w:val="22"/>
          <w:szCs w:val="22"/>
        </w:rPr>
        <w:t xml:space="preserve">. </w:t>
      </w:r>
    </w:p>
    <w:p w14:paraId="7C4A188F" w14:textId="77777777" w:rsidR="009B190E" w:rsidRPr="00E51E73" w:rsidRDefault="009B190E" w:rsidP="004F4E53">
      <w:pPr>
        <w:spacing w:line="360" w:lineRule="auto"/>
        <w:jc w:val="both"/>
        <w:rPr>
          <w:rFonts w:ascii="Palatino Linotype" w:hAnsi="Palatino Linotype" w:cs="Tahoma"/>
          <w:iCs/>
          <w:sz w:val="22"/>
          <w:szCs w:val="22"/>
        </w:rPr>
      </w:pPr>
    </w:p>
    <w:p w14:paraId="4A7FCF3F" w14:textId="77777777" w:rsidR="009B190E" w:rsidRPr="00E51E73" w:rsidRDefault="009B190E" w:rsidP="009B190E">
      <w:pPr>
        <w:tabs>
          <w:tab w:val="left" w:pos="4962"/>
        </w:tabs>
        <w:spacing w:line="360" w:lineRule="auto"/>
        <w:jc w:val="both"/>
        <w:rPr>
          <w:rFonts w:ascii="Palatino Linotype" w:eastAsia="Calibri" w:hAnsi="Palatino Linotype" w:cs="Tahoma"/>
          <w:bCs/>
          <w:sz w:val="22"/>
          <w:szCs w:val="22"/>
        </w:rPr>
      </w:pPr>
      <w:r w:rsidRPr="00E51E73">
        <w:rPr>
          <w:rFonts w:ascii="Palatino Linotype" w:eastAsia="Calibri" w:hAnsi="Palatino Linotype" w:cs="Tahoma"/>
          <w:bCs/>
          <w:sz w:val="22"/>
          <w:szCs w:val="22"/>
        </w:rPr>
        <w:t xml:space="preserve">Con base en lo expuesto, es procedente </w:t>
      </w:r>
      <w:r w:rsidRPr="00E51E73">
        <w:rPr>
          <w:rFonts w:ascii="Palatino Linotype" w:eastAsia="Calibri" w:hAnsi="Palatino Linotype" w:cs="Tahoma"/>
          <w:b/>
          <w:bCs/>
          <w:sz w:val="22"/>
          <w:szCs w:val="22"/>
        </w:rPr>
        <w:t>ORDENAR</w:t>
      </w:r>
      <w:r w:rsidRPr="00E51E73">
        <w:rPr>
          <w:rFonts w:ascii="Palatino Linotype" w:eastAsia="Calibri" w:hAnsi="Palatino Linotype" w:cs="Tahoma"/>
          <w:bCs/>
          <w:sz w:val="22"/>
          <w:szCs w:val="22"/>
        </w:rPr>
        <w:t xml:space="preserve"> al Sujeto Obligado, que emita respuesta que a derecho corresponda, a los requerimientos de información; no obstante, para tal circunstancia es necesario contextualizar la solicitud de información.</w:t>
      </w:r>
    </w:p>
    <w:p w14:paraId="5C6CC71F" w14:textId="77777777" w:rsidR="00F90CB9" w:rsidRPr="00E51E73" w:rsidRDefault="00F90CB9" w:rsidP="009B190E">
      <w:pPr>
        <w:tabs>
          <w:tab w:val="left" w:pos="4962"/>
        </w:tabs>
        <w:spacing w:line="360" w:lineRule="auto"/>
        <w:jc w:val="both"/>
        <w:rPr>
          <w:rFonts w:ascii="Palatino Linotype" w:eastAsia="Calibri" w:hAnsi="Palatino Linotype" w:cs="Tahoma"/>
          <w:bCs/>
          <w:sz w:val="22"/>
          <w:szCs w:val="22"/>
        </w:rPr>
      </w:pPr>
    </w:p>
    <w:p w14:paraId="4D2AA246" w14:textId="6CCBC628" w:rsidR="00B110AF" w:rsidRPr="00E51E73" w:rsidRDefault="00EF11F5" w:rsidP="006D2ADA">
      <w:pPr>
        <w:tabs>
          <w:tab w:val="left" w:pos="4962"/>
        </w:tabs>
        <w:spacing w:line="360" w:lineRule="auto"/>
        <w:jc w:val="both"/>
        <w:rPr>
          <w:rFonts w:ascii="Palatino Linotype" w:eastAsia="Calibri" w:hAnsi="Palatino Linotype" w:cs="Tahoma"/>
          <w:bCs/>
          <w:sz w:val="22"/>
          <w:szCs w:val="22"/>
        </w:rPr>
      </w:pPr>
      <w:r w:rsidRPr="00E51E73">
        <w:rPr>
          <w:rFonts w:ascii="Palatino Linotype" w:eastAsia="Calibri" w:hAnsi="Palatino Linotype" w:cs="Tahoma"/>
          <w:bCs/>
          <w:sz w:val="22"/>
          <w:szCs w:val="22"/>
        </w:rPr>
        <w:t xml:space="preserve">Al respecto, </w:t>
      </w:r>
      <w:r w:rsidR="00B110AF" w:rsidRPr="00E51E73">
        <w:rPr>
          <w:rFonts w:ascii="Palatino Linotype" w:eastAsia="Calibri" w:hAnsi="Palatino Linotype" w:cs="Tahoma"/>
          <w:bCs/>
          <w:sz w:val="22"/>
          <w:szCs w:val="22"/>
        </w:rPr>
        <w:t xml:space="preserve">el artículo 115 fracción III, de la Constitución Política de los Estado Unidos Mexicanos, establece que, los Municipios tendrán a su cargo las funciones y servicios públicos </w:t>
      </w:r>
      <w:r w:rsidR="006D2ADA" w:rsidRPr="00E51E73">
        <w:rPr>
          <w:rFonts w:ascii="Palatino Linotype" w:eastAsia="Calibri" w:hAnsi="Palatino Linotype" w:cs="Tahoma"/>
          <w:bCs/>
          <w:sz w:val="22"/>
          <w:szCs w:val="22"/>
        </w:rPr>
        <w:t>de a</w:t>
      </w:r>
      <w:r w:rsidR="00B110AF" w:rsidRPr="00E51E73">
        <w:rPr>
          <w:rFonts w:ascii="Palatino Linotype" w:eastAsia="Calibri" w:hAnsi="Palatino Linotype" w:cs="Tahoma"/>
          <w:bCs/>
          <w:sz w:val="22"/>
          <w:szCs w:val="22"/>
        </w:rPr>
        <w:t>gua potable, drenaje, alcantarillado, tratamiento y disposición de sus aguas residuales;</w:t>
      </w:r>
      <w:r w:rsidR="006D2ADA" w:rsidRPr="00E51E73">
        <w:rPr>
          <w:rFonts w:ascii="Palatino Linotype" w:eastAsia="Calibri" w:hAnsi="Palatino Linotype" w:cs="Tahoma"/>
          <w:bCs/>
          <w:sz w:val="22"/>
          <w:szCs w:val="22"/>
        </w:rPr>
        <w:t xml:space="preserve"> a</w:t>
      </w:r>
      <w:r w:rsidR="00B110AF" w:rsidRPr="00E51E73">
        <w:rPr>
          <w:rFonts w:ascii="Palatino Linotype" w:eastAsia="Calibri" w:hAnsi="Palatino Linotype" w:cs="Tahoma"/>
          <w:bCs/>
          <w:sz w:val="22"/>
          <w:szCs w:val="22"/>
        </w:rPr>
        <w:t>lumbrado público;</w:t>
      </w:r>
      <w:r w:rsidR="006D2ADA" w:rsidRPr="00E51E73">
        <w:rPr>
          <w:rFonts w:ascii="Palatino Linotype" w:eastAsia="Calibri" w:hAnsi="Palatino Linotype" w:cs="Tahoma"/>
          <w:bCs/>
          <w:sz w:val="22"/>
          <w:szCs w:val="22"/>
        </w:rPr>
        <w:t xml:space="preserve"> l</w:t>
      </w:r>
      <w:r w:rsidR="00B110AF" w:rsidRPr="00E51E73">
        <w:rPr>
          <w:rFonts w:ascii="Palatino Linotype" w:eastAsia="Calibri" w:hAnsi="Palatino Linotype" w:cs="Tahoma"/>
          <w:bCs/>
          <w:sz w:val="22"/>
          <w:szCs w:val="22"/>
        </w:rPr>
        <w:t>impia, recolección, traslado, tratamiento y disposición final de residuos;</w:t>
      </w:r>
      <w:r w:rsidR="006D2ADA" w:rsidRPr="00E51E73">
        <w:rPr>
          <w:rFonts w:ascii="Palatino Linotype" w:eastAsia="Calibri" w:hAnsi="Palatino Linotype" w:cs="Tahoma"/>
          <w:bCs/>
          <w:sz w:val="22"/>
          <w:szCs w:val="22"/>
        </w:rPr>
        <w:t xml:space="preserve"> m</w:t>
      </w:r>
      <w:r w:rsidR="00B110AF" w:rsidRPr="00E51E73">
        <w:rPr>
          <w:rFonts w:ascii="Palatino Linotype" w:eastAsia="Calibri" w:hAnsi="Palatino Linotype" w:cs="Tahoma"/>
          <w:bCs/>
          <w:sz w:val="22"/>
          <w:szCs w:val="22"/>
        </w:rPr>
        <w:t>ercados y centrales de abasto;</w:t>
      </w:r>
      <w:r w:rsidR="006D2ADA" w:rsidRPr="00E51E73">
        <w:rPr>
          <w:rFonts w:ascii="Palatino Linotype" w:eastAsia="Calibri" w:hAnsi="Palatino Linotype" w:cs="Tahoma"/>
          <w:bCs/>
          <w:sz w:val="22"/>
          <w:szCs w:val="22"/>
        </w:rPr>
        <w:t xml:space="preserve"> p</w:t>
      </w:r>
      <w:r w:rsidR="00B110AF" w:rsidRPr="00E51E73">
        <w:rPr>
          <w:rFonts w:ascii="Palatino Linotype" w:eastAsia="Calibri" w:hAnsi="Palatino Linotype" w:cs="Tahoma"/>
          <w:bCs/>
          <w:sz w:val="22"/>
          <w:szCs w:val="22"/>
        </w:rPr>
        <w:t>anteones;</w:t>
      </w:r>
      <w:r w:rsidR="006D2ADA" w:rsidRPr="00E51E73">
        <w:rPr>
          <w:rFonts w:ascii="Palatino Linotype" w:eastAsia="Calibri" w:hAnsi="Palatino Linotype" w:cs="Tahoma"/>
          <w:bCs/>
          <w:sz w:val="22"/>
          <w:szCs w:val="22"/>
        </w:rPr>
        <w:t xml:space="preserve"> r</w:t>
      </w:r>
      <w:r w:rsidR="00B110AF" w:rsidRPr="00E51E73">
        <w:rPr>
          <w:rFonts w:ascii="Palatino Linotype" w:eastAsia="Calibri" w:hAnsi="Palatino Linotype" w:cs="Tahoma"/>
          <w:bCs/>
          <w:sz w:val="22"/>
          <w:szCs w:val="22"/>
        </w:rPr>
        <w:t>astro;</w:t>
      </w:r>
      <w:r w:rsidR="006D2ADA" w:rsidRPr="00E51E73">
        <w:rPr>
          <w:rFonts w:ascii="Palatino Linotype" w:eastAsia="Calibri" w:hAnsi="Palatino Linotype" w:cs="Tahoma"/>
          <w:bCs/>
          <w:sz w:val="22"/>
          <w:szCs w:val="22"/>
        </w:rPr>
        <w:t xml:space="preserve"> c</w:t>
      </w:r>
      <w:r w:rsidR="00B110AF" w:rsidRPr="00E51E73">
        <w:rPr>
          <w:rFonts w:ascii="Palatino Linotype" w:eastAsia="Calibri" w:hAnsi="Palatino Linotype" w:cs="Tahoma"/>
          <w:bCs/>
          <w:sz w:val="22"/>
          <w:szCs w:val="22"/>
        </w:rPr>
        <w:t>alles, parques y jardines y su equipamiento, y</w:t>
      </w:r>
      <w:r w:rsidR="006D2ADA" w:rsidRPr="00E51E73">
        <w:rPr>
          <w:rFonts w:ascii="Palatino Linotype" w:eastAsia="Calibri" w:hAnsi="Palatino Linotype" w:cs="Tahoma"/>
          <w:bCs/>
          <w:sz w:val="22"/>
          <w:szCs w:val="22"/>
        </w:rPr>
        <w:t xml:space="preserve"> s</w:t>
      </w:r>
      <w:r w:rsidR="00B110AF" w:rsidRPr="00E51E73">
        <w:rPr>
          <w:rFonts w:ascii="Palatino Linotype" w:eastAsia="Calibri" w:hAnsi="Palatino Linotype" w:cs="Tahoma"/>
          <w:bCs/>
          <w:sz w:val="22"/>
          <w:szCs w:val="22"/>
        </w:rPr>
        <w:t>eguridad pública, en los términos del artículo 21 de esta Constitución, policía preventiva municipal y tránsito.</w:t>
      </w:r>
    </w:p>
    <w:p w14:paraId="2280F473" w14:textId="77777777" w:rsidR="00E7314A" w:rsidRPr="00E51E73" w:rsidRDefault="00E7314A" w:rsidP="00E7314A">
      <w:pPr>
        <w:tabs>
          <w:tab w:val="left" w:pos="4962"/>
        </w:tabs>
        <w:spacing w:line="360" w:lineRule="auto"/>
        <w:jc w:val="both"/>
        <w:rPr>
          <w:rFonts w:ascii="Palatino Linotype" w:eastAsia="Calibri" w:hAnsi="Palatino Linotype" w:cs="Tahoma"/>
          <w:bCs/>
          <w:sz w:val="22"/>
          <w:szCs w:val="22"/>
        </w:rPr>
      </w:pPr>
    </w:p>
    <w:p w14:paraId="150EB204" w14:textId="45A8BABB" w:rsidR="00E7314A" w:rsidRPr="00E51E73" w:rsidRDefault="00A600DB" w:rsidP="00E7314A">
      <w:pPr>
        <w:tabs>
          <w:tab w:val="left" w:pos="4962"/>
        </w:tabs>
        <w:spacing w:line="360" w:lineRule="auto"/>
        <w:jc w:val="both"/>
        <w:rPr>
          <w:rFonts w:ascii="Palatino Linotype" w:eastAsia="Calibri" w:hAnsi="Palatino Linotype" w:cs="Tahoma"/>
          <w:bCs/>
          <w:sz w:val="22"/>
          <w:szCs w:val="22"/>
        </w:rPr>
      </w:pPr>
      <w:r w:rsidRPr="00E51E73">
        <w:rPr>
          <w:rFonts w:ascii="Palatino Linotype" w:eastAsia="Calibri" w:hAnsi="Palatino Linotype" w:cs="Tahoma"/>
          <w:bCs/>
          <w:sz w:val="22"/>
          <w:szCs w:val="22"/>
        </w:rPr>
        <w:t xml:space="preserve">En ese sentido, el artículo 125 de la Ley Orgánica Municipal del Estado de México, </w:t>
      </w:r>
      <w:r w:rsidR="006D2ADA" w:rsidRPr="00E51E73">
        <w:rPr>
          <w:rFonts w:ascii="Palatino Linotype" w:eastAsia="Calibri" w:hAnsi="Palatino Linotype" w:cs="Tahoma"/>
          <w:bCs/>
          <w:sz w:val="22"/>
          <w:szCs w:val="22"/>
        </w:rPr>
        <w:t>precisa que, los municipios tendrán a su cargo la prestación, explotación, administración y conservación de los servicios públicos municipales, considerándose enunciativa y no limitativamente, los siguientes:</w:t>
      </w:r>
    </w:p>
    <w:p w14:paraId="757FC581" w14:textId="77777777" w:rsidR="006D2ADA" w:rsidRPr="00E51E73" w:rsidRDefault="006D2ADA" w:rsidP="00E7314A">
      <w:pPr>
        <w:tabs>
          <w:tab w:val="left" w:pos="4962"/>
        </w:tabs>
        <w:spacing w:line="360" w:lineRule="auto"/>
        <w:jc w:val="both"/>
        <w:rPr>
          <w:rFonts w:ascii="Palatino Linotype" w:eastAsia="Calibri" w:hAnsi="Palatino Linotype" w:cs="Tahoma"/>
          <w:bCs/>
          <w:sz w:val="22"/>
          <w:szCs w:val="22"/>
        </w:rPr>
      </w:pPr>
    </w:p>
    <w:p w14:paraId="0FB6CAB1"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Agua potable, alcantarillado, saneamiento y aguas residuales; </w:t>
      </w:r>
    </w:p>
    <w:p w14:paraId="35AF8EDB"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Alumbrado público; </w:t>
      </w:r>
    </w:p>
    <w:p w14:paraId="53A7A67D" w14:textId="2B083543"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Limpia, recolección, segregada, traslado, tratamiento y disposición final de los residuos sólidos urbanos; </w:t>
      </w:r>
    </w:p>
    <w:p w14:paraId="4913DBEB"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Mercados y centrales de abasto; </w:t>
      </w:r>
    </w:p>
    <w:p w14:paraId="0B2DC2E1"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Panteones; </w:t>
      </w:r>
    </w:p>
    <w:p w14:paraId="763CBB68"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Rastro; </w:t>
      </w:r>
    </w:p>
    <w:p w14:paraId="2A944FEB"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Calles, parques, jardines, áreas verdes y recreativas; </w:t>
      </w:r>
    </w:p>
    <w:p w14:paraId="6D5D5A62"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Seguridad pública y tránsito; </w:t>
      </w:r>
    </w:p>
    <w:p w14:paraId="1881AFF6"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Embellecimiento y conservación de los poblados, centros urbanos y obras de interés social; </w:t>
      </w:r>
    </w:p>
    <w:p w14:paraId="41EC32C0" w14:textId="7777777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Asistencia social en el ámbito de su competencia, atención para el desarrollo integral de la mujer y grupos vulnerables, para lograr su incorporación plena y activa en todos los ámbitos, y </w:t>
      </w:r>
    </w:p>
    <w:p w14:paraId="382331AC" w14:textId="3D0D4A67" w:rsidR="006D2ADA" w:rsidRPr="00E51E73" w:rsidRDefault="006D2ADA" w:rsidP="006D2ADA">
      <w:pPr>
        <w:pStyle w:val="Prrafodelista"/>
        <w:numPr>
          <w:ilvl w:val="0"/>
          <w:numId w:val="45"/>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De empleo.</w:t>
      </w:r>
    </w:p>
    <w:p w14:paraId="1287CF00" w14:textId="77777777" w:rsidR="006D2ADA" w:rsidRPr="00E51E73" w:rsidRDefault="006D2ADA" w:rsidP="00E7314A">
      <w:pPr>
        <w:tabs>
          <w:tab w:val="left" w:pos="4962"/>
        </w:tabs>
        <w:spacing w:line="360" w:lineRule="auto"/>
        <w:jc w:val="both"/>
        <w:rPr>
          <w:rFonts w:ascii="Palatino Linotype" w:eastAsia="Calibri" w:hAnsi="Palatino Linotype" w:cs="Tahoma"/>
          <w:bCs/>
          <w:szCs w:val="22"/>
        </w:rPr>
      </w:pPr>
    </w:p>
    <w:p w14:paraId="16717D93" w14:textId="4AD8D9B6" w:rsidR="006D2ADA" w:rsidRPr="00E51E73" w:rsidRDefault="0092246D" w:rsidP="00E7314A">
      <w:pPr>
        <w:tabs>
          <w:tab w:val="left" w:pos="4962"/>
        </w:tabs>
        <w:spacing w:line="360" w:lineRule="auto"/>
        <w:jc w:val="both"/>
        <w:rPr>
          <w:rFonts w:ascii="Palatino Linotype" w:eastAsia="Calibri" w:hAnsi="Palatino Linotype" w:cs="Tahoma"/>
          <w:bCs/>
          <w:sz w:val="22"/>
          <w:szCs w:val="22"/>
        </w:rPr>
      </w:pPr>
      <w:r w:rsidRPr="00E51E73">
        <w:rPr>
          <w:rFonts w:ascii="Palatino Linotype" w:eastAsia="Calibri" w:hAnsi="Palatino Linotype" w:cs="Tahoma"/>
          <w:bCs/>
          <w:sz w:val="22"/>
          <w:szCs w:val="22"/>
        </w:rPr>
        <w:t>Ahora bien, el artículo 79, del Bando Municipal de Nextlalpan, dos mil veinticuatro, establece que, la Dirección de Servicios Públicos</w:t>
      </w:r>
      <w:r w:rsidRPr="00E51E73">
        <w:rPr>
          <w:sz w:val="22"/>
          <w:szCs w:val="22"/>
        </w:rPr>
        <w:t xml:space="preserve"> </w:t>
      </w:r>
      <w:r w:rsidRPr="00E51E73">
        <w:rPr>
          <w:rFonts w:ascii="Palatino Linotype" w:eastAsia="Calibri" w:hAnsi="Palatino Linotype" w:cs="Tahoma"/>
          <w:bCs/>
          <w:sz w:val="22"/>
          <w:szCs w:val="22"/>
        </w:rPr>
        <w:t>es la Dependencia encargada de la prestación de Servicios Públicos Municipales de alumbrado, limpia, disposición final de desechos urbanos, panteones, parques, jardines, áreas verdes recreativas, embellecimiento y conservación de los poblados y centros urbanos en el Territorio Municipal de conformidad con lo dispuesto en la Ley Orgánica Municipal,</w:t>
      </w:r>
      <w:r w:rsidR="00A9753C" w:rsidRPr="00E51E73">
        <w:rPr>
          <w:rFonts w:ascii="Palatino Linotype" w:eastAsia="Calibri" w:hAnsi="Palatino Linotype" w:cs="Tahoma"/>
          <w:bCs/>
          <w:sz w:val="22"/>
          <w:szCs w:val="22"/>
        </w:rPr>
        <w:t xml:space="preserve"> y tendrá las atribuciones siguientes:</w:t>
      </w:r>
    </w:p>
    <w:p w14:paraId="328B1905" w14:textId="77777777" w:rsidR="00A9753C" w:rsidRPr="00E51E73" w:rsidRDefault="00A9753C" w:rsidP="00E7314A">
      <w:pPr>
        <w:tabs>
          <w:tab w:val="left" w:pos="4962"/>
        </w:tabs>
        <w:spacing w:line="360" w:lineRule="auto"/>
        <w:jc w:val="both"/>
        <w:rPr>
          <w:rFonts w:ascii="Palatino Linotype" w:eastAsia="Calibri" w:hAnsi="Palatino Linotype" w:cs="Tahoma"/>
          <w:bCs/>
          <w:sz w:val="22"/>
          <w:szCs w:val="24"/>
        </w:rPr>
      </w:pPr>
    </w:p>
    <w:p w14:paraId="7989CAF2" w14:textId="152CFD5F" w:rsidR="00A9753C" w:rsidRPr="00E51E73" w:rsidRDefault="006C31E0" w:rsidP="00A9753C">
      <w:pPr>
        <w:pStyle w:val="Prrafodelista"/>
        <w:numPr>
          <w:ilvl w:val="0"/>
          <w:numId w:val="46"/>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Establecer los criterios y normas técnicas para la conservación y mantenimiento de la infraestructura y equipamiento vial, alumbrado público y de todos aquellos elementos que determinan el funcionamiento e imagen urbana de las vialidades en el Municipio;</w:t>
      </w:r>
    </w:p>
    <w:p w14:paraId="5A7182FC" w14:textId="61C960FC" w:rsidR="006C31E0" w:rsidRPr="00E51E73" w:rsidRDefault="006C31E0" w:rsidP="00A9753C">
      <w:pPr>
        <w:pStyle w:val="Prrafodelista"/>
        <w:numPr>
          <w:ilvl w:val="0"/>
          <w:numId w:val="46"/>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 xml:space="preserve">Participar en los estudios y proyectos de obras de infraestructura y equipamiento vial, y </w:t>
      </w:r>
    </w:p>
    <w:p w14:paraId="140DE207" w14:textId="1B1B466C" w:rsidR="006C31E0" w:rsidRPr="00E51E73" w:rsidRDefault="006C31E0" w:rsidP="00A9753C">
      <w:pPr>
        <w:pStyle w:val="Prrafodelista"/>
        <w:numPr>
          <w:ilvl w:val="0"/>
          <w:numId w:val="46"/>
        </w:numPr>
        <w:tabs>
          <w:tab w:val="left" w:pos="4962"/>
        </w:tabs>
        <w:spacing w:line="360" w:lineRule="auto"/>
        <w:jc w:val="both"/>
        <w:rPr>
          <w:rFonts w:ascii="Palatino Linotype" w:eastAsia="Calibri" w:hAnsi="Palatino Linotype" w:cs="Tahoma"/>
          <w:bCs/>
          <w:szCs w:val="22"/>
        </w:rPr>
      </w:pPr>
      <w:r w:rsidRPr="00E51E73">
        <w:rPr>
          <w:rFonts w:ascii="Palatino Linotype" w:eastAsia="Calibri" w:hAnsi="Palatino Linotype" w:cs="Tahoma"/>
          <w:bCs/>
          <w:szCs w:val="22"/>
        </w:rPr>
        <w:t>Realizar en coordinación con la Dirección de Obras Públicas y Desarrollo Urbano, las acciones de conservación y mantenimiento vial, alumbrado público y de todos aquellos elementos que determinan el funcionamiento y la imagen urbana de las vialidades principales.</w:t>
      </w:r>
    </w:p>
    <w:p w14:paraId="66730CC2" w14:textId="77777777" w:rsidR="00F90CB9" w:rsidRPr="00E51E73" w:rsidRDefault="00F90CB9" w:rsidP="009B190E">
      <w:pPr>
        <w:tabs>
          <w:tab w:val="left" w:pos="4962"/>
        </w:tabs>
        <w:spacing w:line="360" w:lineRule="auto"/>
        <w:jc w:val="both"/>
        <w:rPr>
          <w:rFonts w:ascii="Palatino Linotype" w:eastAsia="Calibri" w:hAnsi="Palatino Linotype" w:cs="Tahoma"/>
          <w:bCs/>
          <w:sz w:val="22"/>
          <w:szCs w:val="22"/>
        </w:rPr>
      </w:pPr>
    </w:p>
    <w:p w14:paraId="126E05AB" w14:textId="77777777" w:rsidR="001C6B9A" w:rsidRPr="00E51E73" w:rsidRDefault="001C6B9A" w:rsidP="001C6B9A">
      <w:pPr>
        <w:spacing w:line="360" w:lineRule="auto"/>
        <w:contextualSpacing/>
        <w:jc w:val="both"/>
        <w:rPr>
          <w:rFonts w:ascii="Palatino Linotype" w:hAnsi="Palatino Linotype" w:cs="Tahoma"/>
          <w:iCs/>
          <w:sz w:val="22"/>
          <w:szCs w:val="22"/>
        </w:rPr>
      </w:pPr>
      <w:r w:rsidRPr="00E51E73">
        <w:rPr>
          <w:rFonts w:ascii="Palatino Linotype" w:hAnsi="Palatino Linotype" w:cs="Tahoma"/>
          <w:bCs/>
          <w:iCs/>
          <w:color w:val="000000"/>
          <w:sz w:val="22"/>
          <w:szCs w:val="22"/>
          <w:lang w:val="es-ES" w:eastAsia="es-MX"/>
        </w:rPr>
        <w:t>Conforme a lo anterior, el Sujeto Obligado cuenta con competencia para conocer de lo solicitado, por lo que, deberá realizar una búsqueda exhaustiva y razonable en todas las unidades administrativas competentes</w:t>
      </w:r>
      <w:r w:rsidRPr="00E51E73">
        <w:rPr>
          <w:rFonts w:ascii="Palatino Linotype" w:hAnsi="Palatino Linotype" w:cs="Tahoma"/>
          <w:bCs/>
          <w:iCs/>
          <w:sz w:val="22"/>
          <w:szCs w:val="22"/>
        </w:rPr>
        <w:t>,</w:t>
      </w:r>
      <w:r w:rsidRPr="00E51E73">
        <w:rPr>
          <w:rFonts w:ascii="Palatino Linotype" w:eastAsia="Calibri" w:hAnsi="Palatino Linotype" w:cs="Tahoma"/>
          <w:bCs/>
          <w:sz w:val="22"/>
          <w:szCs w:val="22"/>
        </w:rPr>
        <w:t xml:space="preserve"> a efecto de que dé la respuesta que a derecho corresponda y, en su caso, proporcione los documentos que den cuenta de la información solicitada</w:t>
      </w:r>
      <w:r w:rsidRPr="00E51E73">
        <w:rPr>
          <w:rFonts w:ascii="Palatino Linotype" w:eastAsia="Calibri" w:hAnsi="Palatino Linotype" w:cs="Tahoma"/>
          <w:bCs/>
          <w:color w:val="000000"/>
          <w:sz w:val="22"/>
          <w:szCs w:val="22"/>
        </w:rPr>
        <w:t>.</w:t>
      </w:r>
    </w:p>
    <w:p w14:paraId="21DC3250" w14:textId="77777777" w:rsidR="001C6B9A" w:rsidRPr="00E51E73" w:rsidRDefault="001C6B9A" w:rsidP="001C6B9A">
      <w:pPr>
        <w:tabs>
          <w:tab w:val="left" w:pos="4962"/>
        </w:tabs>
        <w:spacing w:line="360" w:lineRule="auto"/>
        <w:jc w:val="both"/>
        <w:rPr>
          <w:rFonts w:ascii="Palatino Linotype" w:eastAsia="Calibri" w:hAnsi="Palatino Linotype" w:cs="Tahoma"/>
          <w:bCs/>
          <w:sz w:val="22"/>
          <w:szCs w:val="22"/>
        </w:rPr>
      </w:pPr>
    </w:p>
    <w:p w14:paraId="1782DB97" w14:textId="77777777" w:rsidR="001C6B9A" w:rsidRPr="00E51E73" w:rsidRDefault="001C6B9A" w:rsidP="001C6B9A">
      <w:pPr>
        <w:spacing w:line="360" w:lineRule="auto"/>
        <w:jc w:val="both"/>
        <w:rPr>
          <w:rFonts w:ascii="Palatino Linotype" w:hAnsi="Palatino Linotype" w:cs="Tahoma"/>
          <w:bCs/>
          <w:iCs/>
          <w:sz w:val="22"/>
          <w:szCs w:val="22"/>
          <w:lang w:val="es-ES"/>
        </w:rPr>
      </w:pPr>
      <w:bookmarkStart w:id="13" w:name="_Hlk76480431"/>
      <w:r w:rsidRPr="00E51E73">
        <w:rPr>
          <w:rFonts w:ascii="Palatino Linotype" w:hAnsi="Palatino Linotype" w:cs="Tahoma"/>
          <w:bCs/>
          <w:iCs/>
          <w:sz w:val="22"/>
          <w:szCs w:val="22"/>
          <w:lang w:val="es-ES_tradnl"/>
        </w:rPr>
        <w:t>No pasa desapercibido para este Instituto que los documentos que den cuenta de lo solicitado, pudieran contener datos confidenciales; a</w:t>
      </w:r>
      <w:r w:rsidRPr="00E51E73">
        <w:rPr>
          <w:rFonts w:ascii="Palatino Linotype" w:hAnsi="Palatino Linotype" w:cs="Tahoma"/>
          <w:bCs/>
          <w:iCs/>
          <w:sz w:val="22"/>
          <w:szCs w:val="22"/>
          <w:lang w:val="es-ES"/>
        </w:rPr>
        <w:t xml:space="preserve">l respecto, conforme al artículo 3°, fracción XLV, relacionado con el 137, ambos de la Ley de Transparencia y Acceso a la Información Pública del Estado de México y Municipios, cuando un documento contenga información pública y reservada o confidencial, la Unidad de Transparencia para efectos de atender al requerimiento informativo, deberá elaborar una versión Pública en la que se testen las partes o secciones clasificadas, indicando su contenido de manera genérica y fundando y motivando su clasificación. </w:t>
      </w:r>
    </w:p>
    <w:p w14:paraId="122EEFFF" w14:textId="77777777" w:rsidR="001C6B9A" w:rsidRPr="00E51E73" w:rsidRDefault="001C6B9A" w:rsidP="001C6B9A">
      <w:pPr>
        <w:spacing w:line="360" w:lineRule="auto"/>
        <w:jc w:val="both"/>
        <w:rPr>
          <w:rFonts w:ascii="Palatino Linotype" w:hAnsi="Palatino Linotype" w:cs="Tahoma"/>
          <w:bCs/>
          <w:iCs/>
          <w:sz w:val="22"/>
          <w:szCs w:val="22"/>
          <w:lang w:val="es-ES"/>
        </w:rPr>
      </w:pPr>
    </w:p>
    <w:p w14:paraId="2DB9CFB2" w14:textId="77777777" w:rsidR="001C6B9A" w:rsidRPr="00E51E73" w:rsidRDefault="001C6B9A" w:rsidP="001C6B9A">
      <w:pPr>
        <w:spacing w:line="360" w:lineRule="auto"/>
        <w:jc w:val="both"/>
        <w:rPr>
          <w:rFonts w:ascii="Palatino Linotype" w:hAnsi="Palatino Linotype" w:cs="Tahoma"/>
          <w:bCs/>
          <w:iCs/>
          <w:sz w:val="22"/>
          <w:szCs w:val="22"/>
          <w:lang w:val="es-ES"/>
        </w:rPr>
      </w:pPr>
      <w:r w:rsidRPr="00E51E73">
        <w:rPr>
          <w:rFonts w:ascii="Palatino Linotype" w:hAnsi="Palatino Linotype" w:cs="Tahoma"/>
          <w:bCs/>
          <w:iCs/>
          <w:sz w:val="22"/>
          <w:szCs w:val="22"/>
          <w:lang w:val="es-ES"/>
        </w:rPr>
        <w:t>Para tal situación, el Sujeto Obligado deberá seguir el procedimiento establecido en el artículo 168 de dicho ordenamiento jurídico; esto es, que el área competente deberá elaborar la versión pública, así como emitir el Acuerdo, por parte del Comité de Transparencia, donde confirme la clasificación de los datos o documentos, fundando y motivando la clasificación.</w:t>
      </w:r>
      <w:bookmarkEnd w:id="13"/>
    </w:p>
    <w:p w14:paraId="4C61B322" w14:textId="77777777" w:rsidR="001C6B9A" w:rsidRPr="00E51E73" w:rsidRDefault="001C6B9A" w:rsidP="001C6B9A">
      <w:pPr>
        <w:spacing w:line="360" w:lineRule="auto"/>
        <w:jc w:val="both"/>
        <w:rPr>
          <w:rFonts w:ascii="Palatino Linotype" w:eastAsia="Calibri" w:hAnsi="Palatino Linotype" w:cs="Tahoma"/>
          <w:bCs/>
          <w:sz w:val="22"/>
          <w:szCs w:val="22"/>
        </w:rPr>
      </w:pPr>
    </w:p>
    <w:p w14:paraId="5B220687" w14:textId="45A57D78" w:rsidR="001C6B9A" w:rsidRPr="00E51E73" w:rsidRDefault="001C6B9A" w:rsidP="002B57E5">
      <w:pPr>
        <w:pStyle w:val="Ttulo2"/>
      </w:pPr>
      <w:bookmarkStart w:id="14" w:name="_Toc190334578"/>
      <w:r w:rsidRPr="00E51E73">
        <w:t>SEXTO. Decisión</w:t>
      </w:r>
      <w:bookmarkEnd w:id="14"/>
    </w:p>
    <w:p w14:paraId="43614774" w14:textId="77777777" w:rsidR="001C6B9A" w:rsidRPr="00E51E73" w:rsidRDefault="001C6B9A" w:rsidP="001C6B9A">
      <w:pPr>
        <w:spacing w:line="360" w:lineRule="auto"/>
        <w:jc w:val="both"/>
        <w:rPr>
          <w:rFonts w:ascii="Palatino Linotype" w:hAnsi="Palatino Linotype" w:cs="Tahoma"/>
          <w:sz w:val="22"/>
          <w:szCs w:val="22"/>
        </w:rPr>
      </w:pPr>
    </w:p>
    <w:p w14:paraId="05FF01E3" w14:textId="66BDB619" w:rsidR="001C6B9A" w:rsidRPr="00E51E73" w:rsidRDefault="001C6B9A" w:rsidP="001C6B9A">
      <w:pPr>
        <w:spacing w:line="360" w:lineRule="auto"/>
        <w:jc w:val="both"/>
        <w:rPr>
          <w:rFonts w:ascii="Palatino Linotype" w:hAnsi="Palatino Linotype" w:cs="Tahoma"/>
          <w:color w:val="0D0D0D" w:themeColor="text1" w:themeTint="F2"/>
          <w:sz w:val="22"/>
          <w:szCs w:val="22"/>
        </w:rPr>
      </w:pPr>
      <w:r w:rsidRPr="00E51E73">
        <w:rPr>
          <w:rFonts w:ascii="Palatino Linotype" w:hAnsi="Palatino Linotype" w:cs="Tahoma"/>
          <w:sz w:val="22"/>
          <w:szCs w:val="22"/>
        </w:rPr>
        <w:t xml:space="preserve">Con fundamento en el artículo 186, fracción IV, de la Ley de Transparencia y Acceso a la Información Pública del Estado de México y Municipios, este Instituto considera procedente </w:t>
      </w:r>
      <w:r w:rsidRPr="00E51E73">
        <w:rPr>
          <w:rFonts w:ascii="Palatino Linotype" w:hAnsi="Palatino Linotype" w:cs="Tahoma"/>
          <w:b/>
          <w:bCs/>
          <w:sz w:val="22"/>
          <w:szCs w:val="22"/>
        </w:rPr>
        <w:t>ORDENAR</w:t>
      </w:r>
      <w:r w:rsidRPr="00E51E73">
        <w:rPr>
          <w:rFonts w:ascii="Palatino Linotype" w:hAnsi="Palatino Linotype" w:cs="Tahoma"/>
          <w:sz w:val="22"/>
          <w:szCs w:val="22"/>
        </w:rPr>
        <w:t xml:space="preserve"> al Sujeto Obligado,</w:t>
      </w:r>
      <w:r w:rsidRPr="00E51E73">
        <w:rPr>
          <w:rFonts w:ascii="Palatino Linotype" w:eastAsia="Calibri" w:hAnsi="Palatino Linotype" w:cs="Tahoma"/>
          <w:sz w:val="22"/>
          <w:szCs w:val="22"/>
        </w:rPr>
        <w:t xml:space="preserve"> a que dé trámite y </w:t>
      </w:r>
      <w:r w:rsidRPr="00E51E73">
        <w:rPr>
          <w:rFonts w:ascii="Palatino Linotype" w:hAnsi="Palatino Linotype" w:cs="Tahoma"/>
          <w:sz w:val="22"/>
          <w:szCs w:val="22"/>
        </w:rPr>
        <w:t>respuesta a la solicitud de información pública con número</w:t>
      </w:r>
      <w:r w:rsidR="00274D9D" w:rsidRPr="00E51E73">
        <w:rPr>
          <w:rFonts w:ascii="Palatino Linotype" w:eastAsiaTheme="minorHAnsi" w:hAnsi="Palatino Linotype" w:cstheme="minorBidi"/>
          <w:color w:val="000000" w:themeColor="text1"/>
          <w:sz w:val="22"/>
          <w:szCs w:val="22"/>
          <w:lang w:eastAsia="en-US"/>
        </w:rPr>
        <w:t xml:space="preserve"> 0</w:t>
      </w:r>
      <w:r w:rsidR="000268D8" w:rsidRPr="00E51E73">
        <w:rPr>
          <w:rFonts w:ascii="Palatino Linotype" w:eastAsiaTheme="minorHAnsi" w:hAnsi="Palatino Linotype" w:cstheme="minorBidi"/>
          <w:color w:val="000000" w:themeColor="text1"/>
          <w:sz w:val="22"/>
          <w:szCs w:val="22"/>
          <w:lang w:eastAsia="en-US"/>
        </w:rPr>
        <w:t>0</w:t>
      </w:r>
      <w:r w:rsidR="00D538A8" w:rsidRPr="00E51E73">
        <w:rPr>
          <w:rFonts w:ascii="Palatino Linotype" w:eastAsiaTheme="minorHAnsi" w:hAnsi="Palatino Linotype" w:cstheme="minorBidi"/>
          <w:color w:val="000000" w:themeColor="text1"/>
          <w:sz w:val="22"/>
          <w:szCs w:val="22"/>
          <w:lang w:eastAsia="en-US"/>
        </w:rPr>
        <w:t>104</w:t>
      </w:r>
      <w:r w:rsidR="00274D9D" w:rsidRPr="00E51E73">
        <w:rPr>
          <w:rFonts w:ascii="Palatino Linotype" w:eastAsiaTheme="minorHAnsi" w:hAnsi="Palatino Linotype" w:cstheme="minorBidi"/>
          <w:color w:val="000000" w:themeColor="text1"/>
          <w:sz w:val="22"/>
          <w:szCs w:val="22"/>
          <w:lang w:eastAsia="en-US"/>
        </w:rPr>
        <w:t>/</w:t>
      </w:r>
      <w:r w:rsidR="00D538A8" w:rsidRPr="00E51E73">
        <w:rPr>
          <w:rFonts w:ascii="Palatino Linotype" w:eastAsiaTheme="minorHAnsi" w:hAnsi="Palatino Linotype" w:cstheme="minorBidi"/>
          <w:color w:val="000000" w:themeColor="text1"/>
          <w:sz w:val="22"/>
          <w:szCs w:val="22"/>
          <w:lang w:eastAsia="en-US"/>
        </w:rPr>
        <w:t>NEXTLAL</w:t>
      </w:r>
      <w:r w:rsidR="00274D9D" w:rsidRPr="00E51E73">
        <w:rPr>
          <w:rFonts w:ascii="Palatino Linotype" w:eastAsiaTheme="minorHAnsi" w:hAnsi="Palatino Linotype" w:cstheme="minorBidi"/>
          <w:color w:val="000000" w:themeColor="text1"/>
          <w:sz w:val="22"/>
          <w:szCs w:val="22"/>
          <w:lang w:eastAsia="en-US"/>
        </w:rPr>
        <w:t>/IP/2024</w:t>
      </w:r>
      <w:r w:rsidRPr="00E51E73">
        <w:rPr>
          <w:rFonts w:ascii="Palatino Linotype" w:hAnsi="Palatino Linotype" w:cs="Tahoma"/>
          <w:color w:val="0D0D0D" w:themeColor="text1" w:themeTint="F2"/>
          <w:sz w:val="22"/>
          <w:szCs w:val="22"/>
        </w:rPr>
        <w:t>.</w:t>
      </w:r>
    </w:p>
    <w:p w14:paraId="1F7F2430" w14:textId="77777777" w:rsidR="00895942" w:rsidRPr="00E51E73" w:rsidRDefault="00895942" w:rsidP="004F4E53">
      <w:pPr>
        <w:spacing w:line="360" w:lineRule="auto"/>
        <w:jc w:val="both"/>
        <w:rPr>
          <w:rFonts w:ascii="Palatino Linotype" w:hAnsi="Palatino Linotype" w:cs="Tahoma"/>
          <w:bCs/>
          <w:iCs/>
          <w:sz w:val="22"/>
          <w:szCs w:val="22"/>
          <w:lang w:val="es-ES"/>
        </w:rPr>
      </w:pPr>
    </w:p>
    <w:p w14:paraId="6CA777EF" w14:textId="77777777" w:rsidR="00895942" w:rsidRPr="00E51E73" w:rsidRDefault="00895942" w:rsidP="002B57E5">
      <w:pPr>
        <w:pStyle w:val="Ttulo2"/>
      </w:pPr>
      <w:bookmarkStart w:id="15" w:name="_Toc190334579"/>
      <w:r w:rsidRPr="00E51E73">
        <w:t>SÉPTIMO. Vista a la Secretaría</w:t>
      </w:r>
      <w:r w:rsidRPr="00E51E73">
        <w:rPr>
          <w:lang w:val="x-none"/>
        </w:rPr>
        <w:t xml:space="preserve"> Técnica del </w:t>
      </w:r>
      <w:r w:rsidRPr="00E51E73">
        <w:t>Pleno</w:t>
      </w:r>
      <w:bookmarkEnd w:id="15"/>
    </w:p>
    <w:p w14:paraId="6FB0ED01" w14:textId="77777777" w:rsidR="00895942" w:rsidRPr="00E51E73" w:rsidRDefault="00895942" w:rsidP="004F4E53">
      <w:pPr>
        <w:spacing w:line="360" w:lineRule="auto"/>
        <w:jc w:val="both"/>
        <w:rPr>
          <w:rFonts w:ascii="Palatino Linotype" w:hAnsi="Palatino Linotype" w:cs="Tahoma"/>
          <w:bCs/>
          <w:sz w:val="22"/>
          <w:szCs w:val="22"/>
        </w:rPr>
      </w:pPr>
    </w:p>
    <w:p w14:paraId="29D50F39" w14:textId="3DF737FF" w:rsidR="003A796B" w:rsidRPr="00E51E73" w:rsidRDefault="00895942" w:rsidP="004F4E53">
      <w:pPr>
        <w:spacing w:line="360" w:lineRule="auto"/>
        <w:ind w:right="-93"/>
        <w:jc w:val="both"/>
        <w:rPr>
          <w:rFonts w:ascii="Palatino Linotype" w:hAnsi="Palatino Linotype" w:cs="Tahoma"/>
          <w:sz w:val="22"/>
          <w:szCs w:val="22"/>
        </w:rPr>
      </w:pPr>
      <w:r w:rsidRPr="00E51E73">
        <w:rPr>
          <w:rFonts w:ascii="Palatino Linotype" w:hAnsi="Palatino Linotype" w:cs="Tahoma"/>
          <w:sz w:val="22"/>
          <w:szCs w:val="22"/>
        </w:rPr>
        <w:t xml:space="preserve">En el caso en estudio, como ha quedado señalado que el </w:t>
      </w:r>
      <w:r w:rsidR="00832012" w:rsidRPr="00E51E73">
        <w:rPr>
          <w:rFonts w:ascii="Palatino Linotype" w:eastAsia="Calibri" w:hAnsi="Palatino Linotype" w:cs="Tahoma"/>
          <w:sz w:val="22"/>
          <w:szCs w:val="22"/>
          <w:lang w:eastAsia="en-US"/>
        </w:rPr>
        <w:t xml:space="preserve">Ayuntamiento de </w:t>
      </w:r>
      <w:r w:rsidR="00D538A8" w:rsidRPr="00E51E73">
        <w:rPr>
          <w:rFonts w:ascii="Palatino Linotype" w:eastAsia="Calibri" w:hAnsi="Palatino Linotype" w:cs="Tahoma"/>
          <w:sz w:val="22"/>
          <w:szCs w:val="22"/>
          <w:lang w:eastAsia="en-US"/>
        </w:rPr>
        <w:t>Nextlalpan</w:t>
      </w:r>
      <w:r w:rsidR="00832012" w:rsidRPr="00E51E73">
        <w:rPr>
          <w:rFonts w:ascii="Palatino Linotype" w:eastAsia="Calibri" w:hAnsi="Palatino Linotype" w:cs="Tahoma"/>
          <w:sz w:val="22"/>
          <w:szCs w:val="22"/>
          <w:lang w:eastAsia="en-US"/>
        </w:rPr>
        <w:t xml:space="preserve"> </w:t>
      </w:r>
      <w:r w:rsidRPr="00E51E73">
        <w:rPr>
          <w:rFonts w:ascii="Palatino Linotype" w:hAnsi="Palatino Linotype" w:cs="Tahoma"/>
          <w:sz w:val="22"/>
          <w:szCs w:val="22"/>
        </w:rPr>
        <w:t xml:space="preserve">omitió dar respuesta en el plazo señalado en el artículo 163 de la Ley de Transparencia y Acceso a la Información Pública del Estado de México y Municipios. </w:t>
      </w:r>
    </w:p>
    <w:p w14:paraId="72CA96A9" w14:textId="77777777" w:rsidR="003A796B" w:rsidRPr="00E51E73" w:rsidRDefault="003A796B" w:rsidP="004F4E53">
      <w:pPr>
        <w:spacing w:line="360" w:lineRule="auto"/>
        <w:ind w:right="-93"/>
        <w:jc w:val="both"/>
        <w:rPr>
          <w:rFonts w:ascii="Palatino Linotype" w:hAnsi="Palatino Linotype" w:cs="Tahoma"/>
          <w:sz w:val="22"/>
          <w:szCs w:val="22"/>
        </w:rPr>
      </w:pPr>
    </w:p>
    <w:p w14:paraId="2CAC85A1" w14:textId="6DB5CEC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r w:rsidRPr="00E51E73">
        <w:rPr>
          <w:rFonts w:ascii="Palatino Linotype" w:hAnsi="Palatino Linotype" w:cs="Tahoma"/>
          <w:sz w:val="22"/>
          <w:szCs w:val="22"/>
        </w:rPr>
        <w:t>Al respecto, el artículo 36, fracción X, del ordenamiento jurídico en cita, establece que es atribución de este Instituto hacer del conocimiento del Órgano Interno de Control o equivalente de cada Sujeto Obligado las infracciones a esta Ley.</w:t>
      </w:r>
      <w:r w:rsidRPr="00E51E73">
        <w:rPr>
          <w:rFonts w:ascii="Palatino Linotype" w:eastAsia="Calibri" w:hAnsi="Palatino Linotype" w:cs="Tahoma"/>
          <w:bCs/>
          <w:sz w:val="22"/>
          <w:szCs w:val="22"/>
          <w:lang w:eastAsia="en-US"/>
        </w:rPr>
        <w:t xml:space="preserve"> </w:t>
      </w:r>
    </w:p>
    <w:p w14:paraId="718F409C"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p>
    <w:p w14:paraId="1FAE99AF"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r w:rsidRPr="00E51E73">
        <w:rPr>
          <w:rFonts w:ascii="Palatino Linotype" w:eastAsia="Calibri" w:hAnsi="Palatino Linotype" w:cs="Tahoma"/>
          <w:bCs/>
          <w:sz w:val="22"/>
          <w:szCs w:val="22"/>
          <w:lang w:eastAsia="en-US"/>
        </w:rPr>
        <w:t xml:space="preserve">En ese sentido, de conformidad con lo previsto en el artículo 222, fracción II, de dicho ordenamiento, son causas de responsabilidad administrativa los incumplimientos de las obligaciones establecida en la Ley de la materia, entre otras conductas, la falta de respuesta a las solicitudes de información en los plazos señalados, a saber, dentro de los quince días siguientes a la presentación del requerimiento. </w:t>
      </w:r>
    </w:p>
    <w:p w14:paraId="084A8F8A"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p>
    <w:p w14:paraId="2F71671E"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r w:rsidRPr="00E51E73">
        <w:rPr>
          <w:rFonts w:ascii="Palatino Linotype" w:eastAsia="Calibri" w:hAnsi="Palatino Linotype" w:cs="Tahoma"/>
          <w:bCs/>
          <w:sz w:val="22"/>
          <w:szCs w:val="22"/>
          <w:lang w:eastAsia="en-US"/>
        </w:rPr>
        <w:t xml:space="preserve">Por su parte, el artículo 223 de la Ley de Transparencia y Acceso a la Información Pública del Estado de México y Municipios, prevé que este Instituto deberá dar vista al Área Competente, con el fin de que determine el grado de responsabilidad de los servidores públicos que incumplan con las obligaciones establecidas en la Ley. </w:t>
      </w:r>
    </w:p>
    <w:p w14:paraId="2C8DB667"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p>
    <w:p w14:paraId="539B525A"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r w:rsidRPr="00E51E73">
        <w:rPr>
          <w:rFonts w:ascii="Palatino Linotype" w:eastAsia="Calibri" w:hAnsi="Palatino Linotype" w:cs="Tahoma"/>
          <w:bCs/>
          <w:sz w:val="22"/>
          <w:szCs w:val="22"/>
          <w:lang w:eastAsia="en-US"/>
        </w:rPr>
        <w:t xml:space="preserve">En ese contexto, la fracción XXVII, del artículo 19, del Reglamento Interior del Instituto de Transparencia, Acceso a la Información Pública y Protección de Datos Personales del Estado de México y Municipios, establece que es función de la Secretaría Técnica del Pleno, remitir al Órgano Interno de Control de los Sujetos Obligados, las presuntas infracciones cometidas en el marco de la Ley de la materia, para la promoción de responsabilidades y sanciones. </w:t>
      </w:r>
    </w:p>
    <w:p w14:paraId="41A6098F" w14:textId="77777777" w:rsidR="003A796B" w:rsidRPr="00E51E73" w:rsidRDefault="003A796B" w:rsidP="004F4E53">
      <w:pPr>
        <w:spacing w:line="360" w:lineRule="auto"/>
        <w:ind w:right="-93"/>
        <w:jc w:val="both"/>
        <w:rPr>
          <w:rFonts w:ascii="Palatino Linotype" w:eastAsia="Calibri" w:hAnsi="Palatino Linotype" w:cs="Tahoma"/>
          <w:bCs/>
          <w:sz w:val="22"/>
          <w:szCs w:val="22"/>
          <w:lang w:eastAsia="en-US"/>
        </w:rPr>
      </w:pPr>
    </w:p>
    <w:p w14:paraId="5B94F233" w14:textId="77777777" w:rsidR="00895942" w:rsidRPr="00E51E73" w:rsidRDefault="00895942" w:rsidP="004F4E53">
      <w:pPr>
        <w:spacing w:line="360" w:lineRule="auto"/>
        <w:ind w:right="-93"/>
        <w:jc w:val="both"/>
        <w:rPr>
          <w:rFonts w:ascii="Palatino Linotype" w:eastAsia="Calibri" w:hAnsi="Palatino Linotype" w:cs="Tahoma"/>
          <w:bCs/>
          <w:sz w:val="22"/>
          <w:szCs w:val="22"/>
          <w:lang w:eastAsia="en-US"/>
        </w:rPr>
      </w:pPr>
      <w:r w:rsidRPr="00E51E73">
        <w:rPr>
          <w:rFonts w:ascii="Palatino Linotype" w:eastAsia="Calibri" w:hAnsi="Palatino Linotype" w:cs="Tahoma"/>
          <w:bCs/>
          <w:sz w:val="22"/>
          <w:szCs w:val="22"/>
          <w:lang w:eastAsia="en-US"/>
        </w:rPr>
        <w:t xml:space="preserve">Sobre el particular, si bien, la presente resolución no tiene por objetivo investigar y determinar posibles violaciones al derecho de acceso a la información, toda vez que este Organismo Autónomo, advirtió la falta de respuesta del Sujeto Obligado, se considera procedente dar vista </w:t>
      </w:r>
      <w:r w:rsidRPr="00E51E73">
        <w:rPr>
          <w:rFonts w:ascii="Palatino Linotype" w:eastAsia="Calibri" w:hAnsi="Palatino Linotype" w:cs="Tahoma"/>
          <w:bCs/>
          <w:sz w:val="22"/>
          <w:szCs w:val="22"/>
          <w:lang w:val="es-ES_tradnl" w:eastAsia="en-US"/>
        </w:rPr>
        <w:t>a la Secretaría Técnica de este Instituto</w:t>
      </w:r>
      <w:r w:rsidRPr="00E51E73">
        <w:rPr>
          <w:rFonts w:ascii="Palatino Linotype" w:eastAsia="Calibri" w:hAnsi="Palatino Linotype" w:cs="Tahoma"/>
          <w:bCs/>
          <w:sz w:val="22"/>
          <w:szCs w:val="22"/>
          <w:lang w:eastAsia="en-US"/>
        </w:rPr>
        <w:t>, para que realice lo conducente.</w:t>
      </w:r>
    </w:p>
    <w:p w14:paraId="17EF86B7" w14:textId="77777777" w:rsidR="00895942" w:rsidRPr="00E51E73" w:rsidRDefault="00895942" w:rsidP="004F4E53">
      <w:pPr>
        <w:spacing w:line="360" w:lineRule="auto"/>
        <w:jc w:val="both"/>
        <w:rPr>
          <w:rFonts w:ascii="Palatino Linotype" w:hAnsi="Palatino Linotype" w:cs="Tahoma"/>
          <w:bCs/>
          <w:iCs/>
          <w:sz w:val="22"/>
          <w:szCs w:val="22"/>
          <w:lang w:val="es-ES"/>
        </w:rPr>
      </w:pPr>
    </w:p>
    <w:p w14:paraId="6DD9A6AA" w14:textId="77777777" w:rsidR="00FF7C33" w:rsidRPr="00E51E73" w:rsidRDefault="00FF7C33" w:rsidP="004F4E53">
      <w:pPr>
        <w:spacing w:line="360" w:lineRule="auto"/>
        <w:jc w:val="both"/>
        <w:rPr>
          <w:rFonts w:ascii="Palatino Linotype" w:hAnsi="Palatino Linotype" w:cs="Tahoma"/>
          <w:b/>
          <w:bCs/>
          <w:iCs/>
          <w:sz w:val="22"/>
          <w:szCs w:val="22"/>
          <w:lang w:val="es-ES"/>
        </w:rPr>
      </w:pPr>
      <w:r w:rsidRPr="00E51E73">
        <w:rPr>
          <w:rFonts w:ascii="Palatino Linotype" w:hAnsi="Palatino Linotype" w:cs="Tahoma"/>
          <w:b/>
          <w:bCs/>
          <w:iCs/>
          <w:sz w:val="22"/>
          <w:szCs w:val="22"/>
          <w:lang w:val="es-ES"/>
        </w:rPr>
        <w:t>Términos de la Resolución para conocimiento del Particular</w:t>
      </w:r>
    </w:p>
    <w:p w14:paraId="1EECC84D" w14:textId="77777777" w:rsidR="00501F15" w:rsidRPr="00E51E73" w:rsidRDefault="00501F15" w:rsidP="004F4E53">
      <w:pPr>
        <w:spacing w:line="360" w:lineRule="auto"/>
        <w:jc w:val="both"/>
        <w:rPr>
          <w:rFonts w:ascii="Palatino Linotype" w:hAnsi="Palatino Linotype" w:cs="Tahoma"/>
          <w:b/>
          <w:bCs/>
          <w:iCs/>
          <w:sz w:val="22"/>
          <w:szCs w:val="22"/>
          <w:lang w:val="es-ES"/>
        </w:rPr>
      </w:pPr>
    </w:p>
    <w:p w14:paraId="6FF4803B" w14:textId="77777777" w:rsidR="00BA5927" w:rsidRPr="00E51E73" w:rsidRDefault="00FF7C33" w:rsidP="00F57883">
      <w:pPr>
        <w:spacing w:line="360" w:lineRule="auto"/>
        <w:jc w:val="both"/>
        <w:rPr>
          <w:rFonts w:ascii="Palatino Linotype" w:hAnsi="Palatino Linotype" w:cs="Tahoma"/>
          <w:bCs/>
          <w:iCs/>
          <w:sz w:val="22"/>
          <w:szCs w:val="22"/>
          <w:lang w:val="es-ES"/>
        </w:rPr>
      </w:pPr>
      <w:r w:rsidRPr="00E51E73">
        <w:rPr>
          <w:rFonts w:ascii="Palatino Linotype" w:hAnsi="Palatino Linotype" w:cs="Tahoma"/>
          <w:bCs/>
          <w:iCs/>
          <w:sz w:val="22"/>
          <w:szCs w:val="22"/>
          <w:lang w:val="es-ES"/>
        </w:rPr>
        <w:t xml:space="preserve">Se le hace del conocimiento al Particular, que, en el presente caso, se le da la razón, pues </w:t>
      </w:r>
      <w:r w:rsidRPr="00E51E73">
        <w:rPr>
          <w:rFonts w:ascii="Palatino Linotype" w:hAnsi="Palatino Linotype" w:cs="Tahoma"/>
          <w:bCs/>
          <w:iCs/>
          <w:sz w:val="22"/>
          <w:szCs w:val="22"/>
        </w:rPr>
        <w:t xml:space="preserve">el </w:t>
      </w:r>
      <w:r w:rsidR="000268D8" w:rsidRPr="00E51E73">
        <w:rPr>
          <w:rFonts w:ascii="Palatino Linotype" w:hAnsi="Palatino Linotype" w:cs="Tahoma"/>
          <w:bCs/>
          <w:iCs/>
          <w:sz w:val="22"/>
          <w:szCs w:val="22"/>
        </w:rPr>
        <w:t>Sujeto Obligado</w:t>
      </w:r>
      <w:r w:rsidRPr="00E51E73">
        <w:rPr>
          <w:rFonts w:ascii="Palatino Linotype" w:hAnsi="Palatino Linotype" w:cs="Tahoma"/>
          <w:bCs/>
          <w:iCs/>
          <w:sz w:val="22"/>
          <w:szCs w:val="22"/>
        </w:rPr>
        <w:t xml:space="preserve"> </w:t>
      </w:r>
      <w:r w:rsidRPr="00E51E73">
        <w:rPr>
          <w:rFonts w:ascii="Palatino Linotype" w:hAnsi="Palatino Linotype" w:cs="Tahoma"/>
          <w:bCs/>
          <w:iCs/>
          <w:sz w:val="22"/>
          <w:szCs w:val="22"/>
          <w:lang w:val="es-ES"/>
        </w:rPr>
        <w:t xml:space="preserve">no emitió contestación </w:t>
      </w:r>
      <w:r w:rsidR="00372534" w:rsidRPr="00E51E73">
        <w:rPr>
          <w:rFonts w:ascii="Palatino Linotype" w:hAnsi="Palatino Linotype" w:cs="Tahoma"/>
          <w:bCs/>
          <w:iCs/>
          <w:sz w:val="22"/>
          <w:szCs w:val="22"/>
          <w:lang w:val="es-ES"/>
        </w:rPr>
        <w:t xml:space="preserve">alguna, por lo que, deberá dar atención al requerimiento de información, realizar unas búsqueda exhaustiva y razonable en sus archivos, y en su caso, entregarle la documentación que corresponda. </w:t>
      </w:r>
    </w:p>
    <w:p w14:paraId="14C27014" w14:textId="77777777" w:rsidR="00BA5927" w:rsidRPr="00E51E73" w:rsidRDefault="00BA5927" w:rsidP="00F57883">
      <w:pPr>
        <w:spacing w:line="360" w:lineRule="auto"/>
        <w:jc w:val="both"/>
        <w:rPr>
          <w:rFonts w:ascii="Palatino Linotype" w:hAnsi="Palatino Linotype" w:cs="Tahoma"/>
          <w:bCs/>
          <w:iCs/>
          <w:sz w:val="22"/>
          <w:szCs w:val="22"/>
          <w:lang w:val="es-ES"/>
        </w:rPr>
      </w:pPr>
    </w:p>
    <w:p w14:paraId="2DA004D3" w14:textId="77777777" w:rsidR="00BA5927" w:rsidRPr="00E51E73" w:rsidRDefault="00FF7C33" w:rsidP="00F57883">
      <w:pPr>
        <w:spacing w:line="360" w:lineRule="auto"/>
        <w:jc w:val="both"/>
        <w:rPr>
          <w:rFonts w:ascii="Palatino Linotype" w:hAnsi="Palatino Linotype" w:cs="Tahoma"/>
          <w:bCs/>
          <w:iCs/>
          <w:sz w:val="22"/>
          <w:szCs w:val="22"/>
        </w:rPr>
      </w:pPr>
      <w:r w:rsidRPr="00E51E73">
        <w:rPr>
          <w:rFonts w:ascii="Palatino Linotype" w:hAnsi="Palatino Linotype" w:cs="Tahoma"/>
          <w:bCs/>
          <w:iCs/>
          <w:sz w:val="22"/>
          <w:szCs w:val="22"/>
        </w:rPr>
        <w:t xml:space="preserve">Además, se le informa que, de conformidad con lo establecido en el artículo 179, párrafo segundo, de la Ley de Transparencia y Acceso a la Información Pública del Estado de México y Municipios, tiene derecho a interponer nuevamente Recurso de Revisión ante este Instituto, por la respuesta que dé el Sujeto Obligado, en cumplimiento a esta Resolución. </w:t>
      </w:r>
    </w:p>
    <w:p w14:paraId="063B601D" w14:textId="77777777" w:rsidR="00BA5927" w:rsidRPr="00E51E73" w:rsidRDefault="00BA5927" w:rsidP="00F57883">
      <w:pPr>
        <w:spacing w:line="360" w:lineRule="auto"/>
        <w:jc w:val="both"/>
        <w:rPr>
          <w:rFonts w:ascii="Palatino Linotype" w:hAnsi="Palatino Linotype" w:cs="Tahoma"/>
          <w:bCs/>
          <w:iCs/>
          <w:sz w:val="22"/>
          <w:szCs w:val="22"/>
        </w:rPr>
      </w:pPr>
    </w:p>
    <w:p w14:paraId="44AA22FE" w14:textId="6EE5F02A" w:rsidR="00F57883" w:rsidRPr="00E51E73" w:rsidRDefault="00F57883" w:rsidP="00F57883">
      <w:pPr>
        <w:spacing w:line="360" w:lineRule="auto"/>
        <w:jc w:val="both"/>
        <w:rPr>
          <w:rFonts w:ascii="Palatino Linotype" w:eastAsia="Calibri" w:hAnsi="Palatino Linotype"/>
          <w:color w:val="000000"/>
          <w:sz w:val="22"/>
          <w:szCs w:val="22"/>
          <w:lang w:eastAsia="en-US"/>
        </w:rPr>
      </w:pPr>
      <w:r w:rsidRPr="00E51E73">
        <w:rPr>
          <w:rFonts w:ascii="Palatino Linotype" w:eastAsia="Calibri" w:hAnsi="Palatino Linotype"/>
          <w:color w:val="000000"/>
          <w:sz w:val="22"/>
          <w:szCs w:val="22"/>
          <w:lang w:eastAsia="en-US"/>
        </w:rPr>
        <w:t>Finalmente, se le informa que la labor de este Instituto de Transparencia, Acceso a la Información Pública y Protección de Datos Personales del Estado de México y Municipios, es apoyar a la población a acceder a la información pública y garantizar la protección de los datos personales.</w:t>
      </w:r>
    </w:p>
    <w:p w14:paraId="3738A79E" w14:textId="77777777" w:rsidR="003A796B" w:rsidRPr="00E51E73" w:rsidRDefault="003A796B" w:rsidP="00F57883">
      <w:pPr>
        <w:spacing w:line="360" w:lineRule="auto"/>
        <w:jc w:val="both"/>
        <w:rPr>
          <w:rFonts w:ascii="Palatino Linotype" w:eastAsia="Calibri" w:hAnsi="Palatino Linotype"/>
          <w:color w:val="000000"/>
          <w:sz w:val="22"/>
          <w:szCs w:val="22"/>
          <w:lang w:eastAsia="en-US"/>
        </w:rPr>
      </w:pPr>
    </w:p>
    <w:p w14:paraId="4AEFC75A" w14:textId="77777777" w:rsidR="00FF7C33" w:rsidRPr="00E51E73" w:rsidRDefault="00FF7C33" w:rsidP="004F4E53">
      <w:pPr>
        <w:spacing w:line="360" w:lineRule="auto"/>
        <w:jc w:val="both"/>
        <w:rPr>
          <w:rFonts w:ascii="Palatino Linotype" w:hAnsi="Palatino Linotype" w:cs="Tahoma"/>
          <w:bCs/>
          <w:iCs/>
          <w:sz w:val="22"/>
          <w:szCs w:val="22"/>
        </w:rPr>
      </w:pPr>
      <w:r w:rsidRPr="00E51E73">
        <w:rPr>
          <w:rFonts w:ascii="Palatino Linotype" w:hAnsi="Palatino Linotype" w:cs="Tahoma"/>
          <w:bCs/>
          <w:iCs/>
          <w:sz w:val="22"/>
          <w:szCs w:val="22"/>
        </w:rPr>
        <w:t>Por lo expuesto y fundado, este Pleno:</w:t>
      </w:r>
    </w:p>
    <w:p w14:paraId="2A3C222A" w14:textId="77777777" w:rsidR="003A796B" w:rsidRPr="00E51E73" w:rsidRDefault="003A796B" w:rsidP="004F4E53">
      <w:pPr>
        <w:spacing w:line="360" w:lineRule="auto"/>
        <w:jc w:val="both"/>
        <w:rPr>
          <w:rFonts w:ascii="Palatino Linotype" w:hAnsi="Palatino Linotype" w:cs="Tahoma"/>
          <w:bCs/>
          <w:iCs/>
          <w:sz w:val="22"/>
          <w:szCs w:val="22"/>
        </w:rPr>
      </w:pPr>
    </w:p>
    <w:p w14:paraId="31431AD7" w14:textId="77777777" w:rsidR="00FF7C33" w:rsidRPr="00E51E73" w:rsidRDefault="00FF7C33" w:rsidP="002B57E5">
      <w:pPr>
        <w:pStyle w:val="Ttulo1"/>
      </w:pPr>
      <w:bookmarkStart w:id="16" w:name="_Toc190334580"/>
      <w:r w:rsidRPr="00E51E73">
        <w:t>R E S U E L V E</w:t>
      </w:r>
      <w:bookmarkEnd w:id="16"/>
    </w:p>
    <w:p w14:paraId="39DB2FA1" w14:textId="77777777" w:rsidR="00F57883" w:rsidRPr="00E51E73" w:rsidRDefault="00F57883" w:rsidP="004F4E53">
      <w:pPr>
        <w:spacing w:line="360" w:lineRule="auto"/>
        <w:jc w:val="both"/>
        <w:rPr>
          <w:rFonts w:ascii="Palatino Linotype" w:hAnsi="Palatino Linotype" w:cs="Tahoma"/>
          <w:b/>
          <w:bCs/>
          <w:iCs/>
          <w:sz w:val="22"/>
          <w:szCs w:val="22"/>
        </w:rPr>
      </w:pPr>
    </w:p>
    <w:p w14:paraId="46E6C462" w14:textId="3233E6CE" w:rsidR="00FF7C33" w:rsidRPr="00E51E73" w:rsidRDefault="00FF7C33" w:rsidP="004F4E53">
      <w:pPr>
        <w:spacing w:line="360" w:lineRule="auto"/>
        <w:jc w:val="both"/>
        <w:rPr>
          <w:rFonts w:ascii="Palatino Linotype" w:hAnsi="Palatino Linotype" w:cs="Tahoma"/>
          <w:bCs/>
          <w:iCs/>
          <w:sz w:val="22"/>
          <w:szCs w:val="22"/>
        </w:rPr>
      </w:pPr>
      <w:r w:rsidRPr="00E51E73">
        <w:rPr>
          <w:rFonts w:ascii="Palatino Linotype" w:hAnsi="Palatino Linotype" w:cs="Tahoma"/>
          <w:b/>
          <w:bCs/>
          <w:iCs/>
          <w:sz w:val="22"/>
          <w:szCs w:val="22"/>
        </w:rPr>
        <w:t xml:space="preserve">PRIMERO. </w:t>
      </w:r>
      <w:r w:rsidRPr="00E51E73">
        <w:rPr>
          <w:rFonts w:ascii="Palatino Linotype" w:hAnsi="Palatino Linotype" w:cs="Tahoma"/>
          <w:bCs/>
          <w:iCs/>
          <w:sz w:val="22"/>
          <w:szCs w:val="22"/>
        </w:rPr>
        <w:t xml:space="preserve">Resultan </w:t>
      </w:r>
      <w:r w:rsidRPr="00E51E73">
        <w:rPr>
          <w:rFonts w:ascii="Palatino Linotype" w:hAnsi="Palatino Linotype" w:cs="Tahoma"/>
          <w:b/>
          <w:bCs/>
          <w:iCs/>
          <w:sz w:val="22"/>
          <w:szCs w:val="22"/>
        </w:rPr>
        <w:t>FUNDADAS</w:t>
      </w:r>
      <w:r w:rsidRPr="00E51E73">
        <w:rPr>
          <w:rFonts w:ascii="Palatino Linotype" w:hAnsi="Palatino Linotype" w:cs="Tahoma"/>
          <w:bCs/>
          <w:iCs/>
          <w:sz w:val="22"/>
          <w:szCs w:val="22"/>
        </w:rPr>
        <w:t xml:space="preserve"> las razones o motivos de inconformidad hechos valer por el Particular en el Recurso de Revisión 0</w:t>
      </w:r>
      <w:r w:rsidR="00832012" w:rsidRPr="00E51E73">
        <w:rPr>
          <w:rFonts w:ascii="Palatino Linotype" w:hAnsi="Palatino Linotype" w:cs="Tahoma"/>
          <w:bCs/>
          <w:iCs/>
          <w:sz w:val="22"/>
          <w:szCs w:val="22"/>
        </w:rPr>
        <w:t>0</w:t>
      </w:r>
      <w:r w:rsidR="00D538A8" w:rsidRPr="00E51E73">
        <w:rPr>
          <w:rFonts w:ascii="Palatino Linotype" w:hAnsi="Palatino Linotype" w:cs="Tahoma"/>
          <w:bCs/>
          <w:iCs/>
          <w:sz w:val="22"/>
          <w:szCs w:val="22"/>
        </w:rPr>
        <w:t>201</w:t>
      </w:r>
      <w:r w:rsidRPr="00E51E73">
        <w:rPr>
          <w:rFonts w:ascii="Palatino Linotype" w:hAnsi="Palatino Linotype" w:cs="Tahoma"/>
          <w:bCs/>
          <w:iCs/>
          <w:sz w:val="22"/>
          <w:szCs w:val="22"/>
        </w:rPr>
        <w:t>/INFOEM/IP/RR/202</w:t>
      </w:r>
      <w:r w:rsidR="00832012" w:rsidRPr="00E51E73">
        <w:rPr>
          <w:rFonts w:ascii="Palatino Linotype" w:hAnsi="Palatino Linotype" w:cs="Tahoma"/>
          <w:bCs/>
          <w:iCs/>
          <w:sz w:val="22"/>
          <w:szCs w:val="22"/>
        </w:rPr>
        <w:t>5</w:t>
      </w:r>
      <w:r w:rsidRPr="00E51E73">
        <w:rPr>
          <w:rFonts w:ascii="Palatino Linotype" w:hAnsi="Palatino Linotype" w:cs="Tahoma"/>
          <w:bCs/>
          <w:iCs/>
          <w:sz w:val="22"/>
          <w:szCs w:val="22"/>
        </w:rPr>
        <w:t>,</w:t>
      </w:r>
      <w:r w:rsidRPr="00E51E73">
        <w:rPr>
          <w:rFonts w:ascii="Palatino Linotype" w:hAnsi="Palatino Linotype" w:cs="Tahoma"/>
          <w:b/>
          <w:bCs/>
          <w:iCs/>
          <w:sz w:val="22"/>
          <w:szCs w:val="22"/>
        </w:rPr>
        <w:t xml:space="preserve"> </w:t>
      </w:r>
      <w:r w:rsidRPr="00E51E73">
        <w:rPr>
          <w:rFonts w:ascii="Palatino Linotype" w:hAnsi="Palatino Linotype" w:cs="Tahoma"/>
          <w:bCs/>
          <w:iCs/>
          <w:sz w:val="22"/>
          <w:szCs w:val="22"/>
        </w:rPr>
        <w:t>en términos de los considerandos QUINTO y SEXTO de la presente Resolución.</w:t>
      </w:r>
    </w:p>
    <w:p w14:paraId="0D9157E9" w14:textId="4483E099" w:rsidR="00FB7667" w:rsidRPr="00E51E73" w:rsidRDefault="00FB7667" w:rsidP="00FB7667">
      <w:pPr>
        <w:spacing w:line="360" w:lineRule="auto"/>
        <w:jc w:val="both"/>
        <w:rPr>
          <w:rFonts w:cs="Tahoma"/>
          <w:b/>
          <w:bCs/>
          <w:iCs/>
          <w:lang w:val="es-ES"/>
        </w:rPr>
      </w:pPr>
      <w:r w:rsidRPr="00E51E73">
        <w:rPr>
          <w:rFonts w:ascii="Palatino Linotype" w:hAnsi="Palatino Linotype" w:cs="Tahoma"/>
          <w:b/>
          <w:bCs/>
          <w:iCs/>
          <w:sz w:val="22"/>
          <w:szCs w:val="22"/>
          <w:lang w:val="es-ES"/>
        </w:rPr>
        <w:t xml:space="preserve">SEGUNDO. </w:t>
      </w:r>
      <w:r w:rsidRPr="00E51E73">
        <w:rPr>
          <w:rFonts w:ascii="Palatino Linotype" w:hAnsi="Palatino Linotype" w:cs="Tahoma"/>
          <w:bCs/>
          <w:iCs/>
          <w:sz w:val="22"/>
          <w:szCs w:val="22"/>
          <w:lang w:val="es-ES"/>
        </w:rPr>
        <w:t>Se</w:t>
      </w:r>
      <w:r w:rsidRPr="00E51E73">
        <w:rPr>
          <w:rFonts w:ascii="Palatino Linotype" w:hAnsi="Palatino Linotype" w:cs="Tahoma"/>
          <w:b/>
          <w:bCs/>
          <w:iCs/>
          <w:sz w:val="22"/>
          <w:szCs w:val="22"/>
          <w:lang w:val="es-ES"/>
        </w:rPr>
        <w:t xml:space="preserve"> ORDENA </w:t>
      </w:r>
      <w:r w:rsidRPr="00E51E73">
        <w:rPr>
          <w:rFonts w:ascii="Palatino Linotype" w:hAnsi="Palatino Linotype" w:cs="Tahoma"/>
          <w:bCs/>
          <w:iCs/>
          <w:sz w:val="22"/>
          <w:szCs w:val="22"/>
          <w:lang w:val="es-ES"/>
        </w:rPr>
        <w:t>al Sujeto Obligado, a efecto de que dé atención a la solicitud de acceso a la información</w:t>
      </w:r>
      <w:r w:rsidRPr="00E51E73">
        <w:rPr>
          <w:rFonts w:ascii="Palatino Linotype" w:hAnsi="Palatino Linotype" w:cs="Tahoma"/>
          <w:color w:val="0D0D0D" w:themeColor="text1" w:themeTint="F2"/>
          <w:sz w:val="22"/>
          <w:szCs w:val="22"/>
        </w:rPr>
        <w:t xml:space="preserve"> </w:t>
      </w:r>
      <w:r w:rsidR="00205EEB" w:rsidRPr="00E51E73">
        <w:rPr>
          <w:rFonts w:ascii="Palatino Linotype" w:eastAsiaTheme="minorHAnsi" w:hAnsi="Palatino Linotype" w:cstheme="minorBidi"/>
          <w:color w:val="000000" w:themeColor="text1"/>
          <w:sz w:val="22"/>
          <w:szCs w:val="22"/>
          <w:lang w:eastAsia="en-US"/>
        </w:rPr>
        <w:t>00</w:t>
      </w:r>
      <w:r w:rsidR="00D538A8" w:rsidRPr="00E51E73">
        <w:rPr>
          <w:rFonts w:ascii="Palatino Linotype" w:eastAsiaTheme="minorHAnsi" w:hAnsi="Palatino Linotype" w:cstheme="minorBidi"/>
          <w:color w:val="000000" w:themeColor="text1"/>
          <w:sz w:val="22"/>
          <w:szCs w:val="22"/>
          <w:lang w:eastAsia="en-US"/>
        </w:rPr>
        <w:t>104</w:t>
      </w:r>
      <w:r w:rsidR="00205EEB" w:rsidRPr="00E51E73">
        <w:rPr>
          <w:rFonts w:ascii="Palatino Linotype" w:eastAsiaTheme="minorHAnsi" w:hAnsi="Palatino Linotype" w:cstheme="minorBidi"/>
          <w:color w:val="000000" w:themeColor="text1"/>
          <w:sz w:val="22"/>
          <w:szCs w:val="22"/>
          <w:lang w:eastAsia="en-US"/>
        </w:rPr>
        <w:t>/</w:t>
      </w:r>
      <w:r w:rsidR="00D538A8" w:rsidRPr="00E51E73">
        <w:rPr>
          <w:rFonts w:ascii="Palatino Linotype" w:eastAsiaTheme="minorHAnsi" w:hAnsi="Palatino Linotype" w:cstheme="minorBidi"/>
          <w:color w:val="000000" w:themeColor="text1"/>
          <w:sz w:val="22"/>
          <w:szCs w:val="22"/>
          <w:lang w:eastAsia="en-US"/>
        </w:rPr>
        <w:t>NEXTLAL</w:t>
      </w:r>
      <w:r w:rsidR="00205EEB" w:rsidRPr="00E51E73">
        <w:rPr>
          <w:rFonts w:ascii="Palatino Linotype" w:eastAsiaTheme="minorHAnsi" w:hAnsi="Palatino Linotype" w:cstheme="minorBidi"/>
          <w:color w:val="000000" w:themeColor="text1"/>
          <w:sz w:val="22"/>
          <w:szCs w:val="22"/>
          <w:lang w:eastAsia="en-US"/>
        </w:rPr>
        <w:t>/IP/2024</w:t>
      </w:r>
      <w:r w:rsidR="001A4FA4" w:rsidRPr="00E51E73">
        <w:rPr>
          <w:rFonts w:ascii="Palatino Linotype" w:eastAsiaTheme="minorHAnsi" w:hAnsi="Palatino Linotype" w:cstheme="minorBidi"/>
          <w:color w:val="000000" w:themeColor="text1"/>
          <w:sz w:val="22"/>
          <w:szCs w:val="22"/>
          <w:lang w:eastAsia="en-US"/>
        </w:rPr>
        <w:t xml:space="preserve"> </w:t>
      </w:r>
      <w:r w:rsidRPr="00E51E73">
        <w:rPr>
          <w:rFonts w:ascii="Palatino Linotype" w:hAnsi="Palatino Linotype" w:cs="Tahoma"/>
          <w:bCs/>
          <w:iCs/>
          <w:sz w:val="22"/>
          <w:szCs w:val="22"/>
          <w:lang w:val="es-ES"/>
        </w:rPr>
        <w:t>y, a través del Sistema de Acceso a la Información Mexiquense (SAIMEX), dé la respuesta que conforme a derecho corresponda</w:t>
      </w:r>
      <w:r w:rsidRPr="00E51E73">
        <w:rPr>
          <w:rFonts w:cs="Tahoma"/>
          <w:b/>
          <w:bCs/>
          <w:iCs/>
          <w:lang w:val="es-ES"/>
        </w:rPr>
        <w:t>.</w:t>
      </w:r>
      <w:r w:rsidR="000268D8" w:rsidRPr="00E51E73">
        <w:rPr>
          <w:rFonts w:cs="Tahoma"/>
          <w:b/>
          <w:bCs/>
          <w:iCs/>
          <w:lang w:val="es-ES"/>
        </w:rPr>
        <w:t xml:space="preserve"> </w:t>
      </w:r>
    </w:p>
    <w:p w14:paraId="08EA7079" w14:textId="77777777" w:rsidR="00E26B53" w:rsidRPr="00E51E73" w:rsidRDefault="00E26B53" w:rsidP="004F4E53">
      <w:pPr>
        <w:spacing w:line="360" w:lineRule="auto"/>
        <w:jc w:val="both"/>
        <w:rPr>
          <w:rFonts w:ascii="Palatino Linotype" w:hAnsi="Palatino Linotype" w:cs="Tahoma"/>
          <w:bCs/>
          <w:iCs/>
          <w:sz w:val="22"/>
          <w:szCs w:val="22"/>
        </w:rPr>
      </w:pPr>
    </w:p>
    <w:p w14:paraId="2F31FE73" w14:textId="77777777" w:rsidR="00FF7C33" w:rsidRPr="00E51E73" w:rsidRDefault="00FF7C33" w:rsidP="004F4E53">
      <w:pPr>
        <w:spacing w:line="360" w:lineRule="auto"/>
        <w:jc w:val="both"/>
        <w:rPr>
          <w:rFonts w:ascii="Palatino Linotype" w:hAnsi="Palatino Linotype" w:cs="Tahoma"/>
          <w:bCs/>
          <w:iCs/>
          <w:sz w:val="22"/>
          <w:szCs w:val="22"/>
          <w:lang w:val="es-ES_tradnl"/>
        </w:rPr>
      </w:pPr>
      <w:r w:rsidRPr="00E51E73">
        <w:rPr>
          <w:rFonts w:ascii="Palatino Linotype" w:hAnsi="Palatino Linotype" w:cs="Tahoma"/>
          <w:b/>
          <w:bCs/>
          <w:iCs/>
          <w:sz w:val="22"/>
          <w:szCs w:val="22"/>
          <w:lang w:val="es-ES"/>
        </w:rPr>
        <w:t>TERCERO</w:t>
      </w:r>
      <w:r w:rsidRPr="00E51E73">
        <w:rPr>
          <w:rFonts w:ascii="Palatino Linotype" w:hAnsi="Palatino Linotype" w:cs="Tahoma"/>
          <w:b/>
          <w:bCs/>
          <w:iCs/>
          <w:sz w:val="22"/>
          <w:szCs w:val="22"/>
        </w:rPr>
        <w:t xml:space="preserve">. </w:t>
      </w:r>
      <w:r w:rsidRPr="00E51E73">
        <w:rPr>
          <w:rFonts w:ascii="Palatino Linotype" w:hAnsi="Palatino Linotype" w:cs="Tahoma"/>
          <w:bCs/>
          <w:iCs/>
          <w:sz w:val="22"/>
          <w:szCs w:val="22"/>
          <w:lang w:val="es-ES_tradnl"/>
        </w:rPr>
        <w:t xml:space="preserve">Con fundamento en el artículo 179, párrafo segundo, de la Ley de Transparencia y Acceso a la Información Pública del Estado de México y Municipios, se hace del conocimiento de la persona Recurrente que tiene derecho a interponer nuevamente Recurso de Revisión ante este Instituto, por la respuesta que dé el Sujeto Obligado, en cumplimiento a esta Resolución.  </w:t>
      </w:r>
    </w:p>
    <w:p w14:paraId="2BFB54E0" w14:textId="77777777" w:rsidR="00FF7C33" w:rsidRPr="00E51E73" w:rsidRDefault="00FF7C33" w:rsidP="004F4E53">
      <w:pPr>
        <w:spacing w:line="360" w:lineRule="auto"/>
        <w:jc w:val="both"/>
        <w:rPr>
          <w:rFonts w:ascii="Palatino Linotype" w:hAnsi="Palatino Linotype" w:cs="Tahoma"/>
          <w:bCs/>
          <w:iCs/>
          <w:sz w:val="22"/>
          <w:szCs w:val="22"/>
        </w:rPr>
      </w:pPr>
    </w:p>
    <w:p w14:paraId="63F3D9B5" w14:textId="77777777" w:rsidR="00FF7C33" w:rsidRPr="00E51E73" w:rsidRDefault="00FF7C33" w:rsidP="004F4E53">
      <w:pPr>
        <w:spacing w:line="360" w:lineRule="auto"/>
        <w:jc w:val="both"/>
        <w:rPr>
          <w:rFonts w:ascii="Palatino Linotype" w:hAnsi="Palatino Linotype" w:cs="Tahoma"/>
          <w:bCs/>
          <w:iCs/>
          <w:sz w:val="22"/>
          <w:szCs w:val="22"/>
        </w:rPr>
      </w:pPr>
      <w:r w:rsidRPr="00E51E73">
        <w:rPr>
          <w:rFonts w:ascii="Palatino Linotype" w:hAnsi="Palatino Linotype" w:cs="Tahoma"/>
          <w:b/>
          <w:bCs/>
          <w:iCs/>
          <w:sz w:val="22"/>
          <w:szCs w:val="22"/>
        </w:rPr>
        <w:t>CUARTO.</w:t>
      </w:r>
      <w:r w:rsidRPr="00E51E73">
        <w:rPr>
          <w:rFonts w:ascii="Palatino Linotype" w:hAnsi="Palatino Linotype" w:cs="Tahoma"/>
          <w:bCs/>
          <w:iCs/>
          <w:sz w:val="22"/>
          <w:szCs w:val="22"/>
        </w:rPr>
        <w:t xml:space="preserve"> </w:t>
      </w:r>
      <w:r w:rsidRPr="00E51E73">
        <w:rPr>
          <w:rFonts w:ascii="Palatino Linotype" w:hAnsi="Palatino Linotype" w:cs="Tahoma"/>
          <w:b/>
          <w:bCs/>
          <w:iCs/>
          <w:sz w:val="22"/>
          <w:szCs w:val="22"/>
        </w:rPr>
        <w:t xml:space="preserve">NOTIFÍQUESE POR SAIMEX </w:t>
      </w:r>
      <w:r w:rsidRPr="00E51E73">
        <w:rPr>
          <w:rFonts w:ascii="Palatino Linotype" w:hAnsi="Palatino Linotype" w:cs="Tahoma"/>
          <w:bCs/>
          <w:iCs/>
          <w:sz w:val="22"/>
          <w:szCs w:val="22"/>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se le apercibe que en caso de negarse a cumplir la presente resolución o hacerlo de manera parcial, se le impondrá una medida de apremio de conformidad con lo previsto en los artículos 198, 200, fracción III, 214, 215 y 216 de la Ley referida.</w:t>
      </w:r>
    </w:p>
    <w:p w14:paraId="1CF3E7C5" w14:textId="77777777" w:rsidR="00FF7C33" w:rsidRPr="00E51E73" w:rsidRDefault="00FF7C33" w:rsidP="004F4E53">
      <w:pPr>
        <w:spacing w:line="360" w:lineRule="auto"/>
        <w:jc w:val="both"/>
        <w:rPr>
          <w:rFonts w:ascii="Palatino Linotype" w:hAnsi="Palatino Linotype" w:cs="Tahoma"/>
          <w:bCs/>
          <w:iCs/>
          <w:sz w:val="22"/>
          <w:szCs w:val="22"/>
        </w:rPr>
      </w:pPr>
    </w:p>
    <w:p w14:paraId="540F4370" w14:textId="0BC61EE8" w:rsidR="00FF7C33" w:rsidRPr="00E51E73" w:rsidRDefault="00FF7C33" w:rsidP="004F4E53">
      <w:pPr>
        <w:spacing w:line="360" w:lineRule="auto"/>
        <w:jc w:val="both"/>
        <w:rPr>
          <w:rFonts w:ascii="Palatino Linotype" w:hAnsi="Palatino Linotype" w:cs="Tahoma"/>
          <w:bCs/>
          <w:iCs/>
          <w:sz w:val="22"/>
          <w:szCs w:val="22"/>
        </w:rPr>
      </w:pPr>
      <w:r w:rsidRPr="00E51E73">
        <w:rPr>
          <w:rFonts w:ascii="Palatino Linotype" w:hAnsi="Palatino Linotype" w:cs="Tahoma"/>
          <w:b/>
          <w:bCs/>
          <w:iCs/>
          <w:sz w:val="22"/>
          <w:szCs w:val="22"/>
        </w:rPr>
        <w:t>QUINTO. NOTIFÍQUESE</w:t>
      </w:r>
      <w:r w:rsidRPr="00E51E73">
        <w:rPr>
          <w:rFonts w:ascii="Palatino Linotype" w:hAnsi="Palatino Linotype" w:cs="Tahoma"/>
          <w:bCs/>
          <w:iCs/>
          <w:sz w:val="22"/>
          <w:szCs w:val="22"/>
        </w:rPr>
        <w:t xml:space="preserve"> </w:t>
      </w:r>
      <w:r w:rsidRPr="00E51E73">
        <w:rPr>
          <w:rFonts w:ascii="Palatino Linotype" w:hAnsi="Palatino Linotype" w:cs="Tahoma"/>
          <w:b/>
          <w:bCs/>
          <w:iCs/>
          <w:sz w:val="22"/>
          <w:szCs w:val="22"/>
        </w:rPr>
        <w:t xml:space="preserve">POR SAIMEX, </w:t>
      </w:r>
      <w:r w:rsidRPr="00E51E73">
        <w:rPr>
          <w:rFonts w:ascii="Palatino Linotype" w:hAnsi="Palatino Linotype" w:cs="Tahoma"/>
          <w:bCs/>
          <w:iCs/>
          <w:sz w:val="22"/>
          <w:szCs w:val="22"/>
        </w:rPr>
        <w:t>a</w:t>
      </w:r>
      <w:r w:rsidR="009E3A34" w:rsidRPr="00E51E73">
        <w:rPr>
          <w:rFonts w:ascii="Palatino Linotype" w:hAnsi="Palatino Linotype" w:cs="Tahoma"/>
          <w:bCs/>
          <w:iCs/>
          <w:sz w:val="22"/>
          <w:szCs w:val="22"/>
        </w:rPr>
        <w:t xml:space="preserve"> la persona</w:t>
      </w:r>
      <w:r w:rsidRPr="00E51E73">
        <w:rPr>
          <w:rFonts w:ascii="Palatino Linotype" w:hAnsi="Palatino Linotype" w:cs="Tahoma"/>
          <w:bCs/>
          <w:iCs/>
          <w:sz w:val="22"/>
          <w:szCs w:val="22"/>
        </w:rPr>
        <w:t xml:space="preserve">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5040628A" w14:textId="77777777" w:rsidR="00501F15" w:rsidRPr="00E51E73" w:rsidRDefault="00501F15" w:rsidP="004F4E53">
      <w:pPr>
        <w:spacing w:line="360" w:lineRule="auto"/>
        <w:jc w:val="both"/>
        <w:rPr>
          <w:rFonts w:ascii="Palatino Linotype" w:hAnsi="Palatino Linotype" w:cs="Tahoma"/>
          <w:bCs/>
          <w:iCs/>
          <w:sz w:val="22"/>
          <w:szCs w:val="22"/>
        </w:rPr>
      </w:pPr>
    </w:p>
    <w:p w14:paraId="4C0D39E9" w14:textId="77777777" w:rsidR="00501F15" w:rsidRPr="00E51E73" w:rsidRDefault="00501F15" w:rsidP="00501F15">
      <w:pPr>
        <w:spacing w:line="360" w:lineRule="auto"/>
        <w:jc w:val="both"/>
        <w:rPr>
          <w:rFonts w:ascii="Palatino Linotype" w:eastAsia="Calibri" w:hAnsi="Palatino Linotype" w:cs="Tahoma"/>
          <w:bCs/>
          <w:sz w:val="22"/>
          <w:szCs w:val="22"/>
          <w:lang w:eastAsia="en-US"/>
        </w:rPr>
      </w:pPr>
      <w:r w:rsidRPr="00E51E73">
        <w:rPr>
          <w:rFonts w:ascii="Palatino Linotype" w:eastAsiaTheme="minorHAnsi" w:hAnsi="Palatino Linotype" w:cstheme="minorBidi"/>
          <w:b/>
          <w:bCs/>
          <w:sz w:val="22"/>
          <w:szCs w:val="22"/>
          <w:lang w:eastAsia="en-US"/>
        </w:rPr>
        <w:t>SEXTO.</w:t>
      </w:r>
      <w:r w:rsidRPr="00E51E73">
        <w:rPr>
          <w:rFonts w:ascii="Palatino Linotype" w:eastAsiaTheme="minorHAnsi" w:hAnsi="Palatino Linotype" w:cstheme="minorBidi"/>
          <w:sz w:val="22"/>
          <w:szCs w:val="22"/>
          <w:lang w:eastAsia="en-US"/>
        </w:rPr>
        <w:t xml:space="preserve"> Gírese 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determine lo conducente, en términos de lo señalado en el Considerando SÉPTIMO de la presente Resolución.</w:t>
      </w:r>
    </w:p>
    <w:p w14:paraId="6D99CCC6" w14:textId="77777777" w:rsidR="00FF7C33" w:rsidRPr="00E51E73" w:rsidRDefault="00FF7C33" w:rsidP="004F4E53">
      <w:pPr>
        <w:spacing w:line="360" w:lineRule="auto"/>
        <w:jc w:val="both"/>
        <w:rPr>
          <w:rFonts w:ascii="Palatino Linotype" w:hAnsi="Palatino Linotype" w:cs="Tahoma"/>
          <w:b/>
          <w:bCs/>
          <w:iCs/>
          <w:sz w:val="22"/>
          <w:szCs w:val="22"/>
        </w:rPr>
      </w:pPr>
    </w:p>
    <w:p w14:paraId="4051A84A" w14:textId="2A2E3B92" w:rsidR="00FF7C33" w:rsidRPr="00FF7C33" w:rsidRDefault="00FF7C33" w:rsidP="004F4E53">
      <w:pPr>
        <w:spacing w:line="360" w:lineRule="auto"/>
        <w:jc w:val="both"/>
        <w:rPr>
          <w:rFonts w:ascii="Palatino Linotype" w:hAnsi="Palatino Linotype" w:cs="Tahoma"/>
          <w:bCs/>
          <w:iCs/>
          <w:sz w:val="22"/>
          <w:szCs w:val="22"/>
        </w:rPr>
      </w:pPr>
      <w:r w:rsidRPr="00E51E73">
        <w:rPr>
          <w:rFonts w:ascii="Palatino Linotype" w:hAnsi="Palatino Linotype" w:cs="Tahoma"/>
          <w:bCs/>
          <w:iCs/>
          <w:sz w:val="22"/>
          <w:szCs w:val="22"/>
        </w:rPr>
        <w:t>ASÍ LO RESUELVE, POR </w:t>
      </w:r>
      <w:r w:rsidRPr="00E51E73">
        <w:rPr>
          <w:rFonts w:ascii="Palatino Linotype" w:hAnsi="Palatino Linotype" w:cs="Tahoma"/>
          <w:b/>
          <w:bCs/>
          <w:iCs/>
          <w:sz w:val="22"/>
          <w:szCs w:val="22"/>
        </w:rPr>
        <w:t>UNANIMIDAD</w:t>
      </w:r>
      <w:r w:rsidRPr="00E51E73">
        <w:rPr>
          <w:rFonts w:ascii="Palatino Linotype" w:hAnsi="Palatino Linotype" w:cs="Tahoma"/>
          <w:bCs/>
          <w:iCs/>
          <w:sz w:val="22"/>
          <w:szCs w:val="22"/>
        </w:rPr>
        <w:t>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w:t>
      </w:r>
      <w:r w:rsidR="00886861" w:rsidRPr="00E51E73">
        <w:rPr>
          <w:rFonts w:ascii="Palatino Linotype" w:hAnsi="Palatino Linotype" w:cs="Tahoma"/>
          <w:bCs/>
          <w:iCs/>
          <w:sz w:val="22"/>
          <w:szCs w:val="22"/>
        </w:rPr>
        <w:t xml:space="preserve"> </w:t>
      </w:r>
      <w:r w:rsidR="00205EEB" w:rsidRPr="00E51E73">
        <w:rPr>
          <w:rFonts w:ascii="Palatino Linotype" w:hAnsi="Palatino Linotype" w:cs="Tahoma"/>
          <w:bCs/>
          <w:iCs/>
          <w:sz w:val="22"/>
          <w:szCs w:val="22"/>
        </w:rPr>
        <w:t>QUINTA</w:t>
      </w:r>
      <w:r w:rsidR="000268D8" w:rsidRPr="00E51E73">
        <w:rPr>
          <w:rFonts w:ascii="Palatino Linotype" w:hAnsi="Palatino Linotype" w:cs="Tahoma"/>
          <w:bCs/>
          <w:iCs/>
          <w:sz w:val="22"/>
          <w:szCs w:val="22"/>
        </w:rPr>
        <w:t xml:space="preserve"> </w:t>
      </w:r>
      <w:r w:rsidRPr="00E51E73">
        <w:rPr>
          <w:rFonts w:ascii="Palatino Linotype" w:hAnsi="Palatino Linotype" w:cs="Tahoma"/>
          <w:bCs/>
          <w:iCs/>
          <w:sz w:val="22"/>
          <w:szCs w:val="22"/>
        </w:rPr>
        <w:t>SESIÓN ORDINARIA, CELEBRADA EL</w:t>
      </w:r>
      <w:r w:rsidR="000268D8" w:rsidRPr="00E51E73">
        <w:rPr>
          <w:rFonts w:ascii="Palatino Linotype" w:hAnsi="Palatino Linotype" w:cs="Tahoma"/>
          <w:bCs/>
          <w:iCs/>
          <w:sz w:val="22"/>
          <w:szCs w:val="22"/>
        </w:rPr>
        <w:t xml:space="preserve"> </w:t>
      </w:r>
      <w:r w:rsidR="00205EEB" w:rsidRPr="00E51E73">
        <w:rPr>
          <w:rFonts w:ascii="Palatino Linotype" w:hAnsi="Palatino Linotype" w:cs="Tahoma"/>
          <w:bCs/>
          <w:iCs/>
          <w:sz w:val="22"/>
          <w:szCs w:val="22"/>
        </w:rPr>
        <w:t>DOCE DE FEBRERO</w:t>
      </w:r>
      <w:r w:rsidR="00BA3DF4" w:rsidRPr="00E51E73">
        <w:rPr>
          <w:rFonts w:ascii="Palatino Linotype" w:hAnsi="Palatino Linotype" w:cs="Tahoma"/>
          <w:bCs/>
          <w:iCs/>
          <w:sz w:val="22"/>
          <w:szCs w:val="22"/>
        </w:rPr>
        <w:t xml:space="preserve"> </w:t>
      </w:r>
      <w:r w:rsidRPr="00E51E73">
        <w:rPr>
          <w:rFonts w:ascii="Palatino Linotype" w:hAnsi="Palatino Linotype" w:cs="Tahoma"/>
          <w:bCs/>
          <w:iCs/>
          <w:sz w:val="22"/>
          <w:szCs w:val="22"/>
        </w:rPr>
        <w:t>DE DOS MIL VEINTIC</w:t>
      </w:r>
      <w:r w:rsidR="000268D8" w:rsidRPr="00E51E73">
        <w:rPr>
          <w:rFonts w:ascii="Palatino Linotype" w:hAnsi="Palatino Linotype" w:cs="Tahoma"/>
          <w:bCs/>
          <w:iCs/>
          <w:sz w:val="22"/>
          <w:szCs w:val="22"/>
        </w:rPr>
        <w:t>INCO</w:t>
      </w:r>
      <w:r w:rsidRPr="00E51E73">
        <w:rPr>
          <w:rFonts w:ascii="Palatino Linotype" w:hAnsi="Palatino Linotype" w:cs="Tahoma"/>
          <w:bCs/>
          <w:iCs/>
          <w:sz w:val="22"/>
          <w:szCs w:val="22"/>
        </w:rPr>
        <w:t>, ANTE EL SECRETARIO TÉCNICO DEL PLENO, ALEXIS TAPIA RAMÍREZ.</w:t>
      </w:r>
    </w:p>
    <w:p w14:paraId="77CAFB09" w14:textId="77777777" w:rsidR="00FF7C33" w:rsidRDefault="00FF7C33" w:rsidP="004F4E53">
      <w:pPr>
        <w:spacing w:line="360" w:lineRule="auto"/>
        <w:jc w:val="both"/>
        <w:rPr>
          <w:rFonts w:ascii="Palatino Linotype" w:hAnsi="Palatino Linotype" w:cs="Tahoma"/>
          <w:bCs/>
          <w:iCs/>
          <w:sz w:val="22"/>
          <w:szCs w:val="22"/>
          <w:lang w:val="es-ES"/>
        </w:rPr>
      </w:pPr>
    </w:p>
    <w:p w14:paraId="70581F2D" w14:textId="77777777" w:rsidR="00FF7C33" w:rsidRDefault="00FF7C33" w:rsidP="004F4E53">
      <w:pPr>
        <w:spacing w:line="360" w:lineRule="auto"/>
        <w:jc w:val="both"/>
        <w:rPr>
          <w:rFonts w:ascii="Palatino Linotype" w:hAnsi="Palatino Linotype" w:cs="Tahoma"/>
          <w:bCs/>
          <w:iCs/>
          <w:sz w:val="22"/>
          <w:szCs w:val="22"/>
          <w:lang w:val="es-ES"/>
        </w:rPr>
      </w:pPr>
    </w:p>
    <w:p w14:paraId="43BAD9CC" w14:textId="77777777" w:rsidR="00FF7C33" w:rsidRPr="00136EC9" w:rsidRDefault="00FF7C33" w:rsidP="004F4E53">
      <w:pPr>
        <w:spacing w:line="360" w:lineRule="auto"/>
        <w:jc w:val="both"/>
        <w:rPr>
          <w:rFonts w:ascii="Palatino Linotype" w:hAnsi="Palatino Linotype" w:cs="Tahoma"/>
          <w:bCs/>
          <w:iCs/>
          <w:sz w:val="22"/>
          <w:szCs w:val="22"/>
          <w:lang w:val="es-ES"/>
        </w:rPr>
      </w:pPr>
    </w:p>
    <w:p w14:paraId="50CDA20B" w14:textId="77777777" w:rsidR="00D50230" w:rsidRPr="005749CA" w:rsidRDefault="00D50230" w:rsidP="004F4E53">
      <w:pPr>
        <w:spacing w:line="360" w:lineRule="auto"/>
        <w:jc w:val="both"/>
        <w:rPr>
          <w:rFonts w:ascii="Palatino Linotype" w:hAnsi="Palatino Linotype" w:cs="Tahoma"/>
          <w:bCs/>
          <w:iCs/>
          <w:sz w:val="22"/>
          <w:szCs w:val="22"/>
        </w:rPr>
      </w:pPr>
    </w:p>
    <w:p w14:paraId="6DC56F2E" w14:textId="77777777" w:rsidR="005749CA" w:rsidRPr="005749CA" w:rsidRDefault="005749CA" w:rsidP="004F4E53">
      <w:pPr>
        <w:spacing w:line="360" w:lineRule="auto"/>
        <w:jc w:val="both"/>
        <w:rPr>
          <w:rFonts w:ascii="Palatino Linotype" w:hAnsi="Palatino Linotype" w:cs="Tahoma"/>
          <w:bCs/>
          <w:iCs/>
          <w:sz w:val="22"/>
          <w:szCs w:val="22"/>
        </w:rPr>
      </w:pPr>
    </w:p>
    <w:p w14:paraId="46969796" w14:textId="77777777" w:rsidR="006D789D" w:rsidRPr="00822BC6" w:rsidRDefault="006D789D" w:rsidP="004F4E53">
      <w:pPr>
        <w:spacing w:line="360" w:lineRule="auto"/>
        <w:jc w:val="both"/>
        <w:rPr>
          <w:rFonts w:ascii="Palatino Linotype" w:hAnsi="Palatino Linotype" w:cs="Tahoma"/>
          <w:bCs/>
          <w:iCs/>
          <w:sz w:val="22"/>
          <w:szCs w:val="22"/>
        </w:rPr>
      </w:pPr>
    </w:p>
    <w:p w14:paraId="133B346F" w14:textId="77777777" w:rsidR="00822BC6" w:rsidRPr="00E716DD" w:rsidRDefault="00822BC6" w:rsidP="004F4E53">
      <w:pPr>
        <w:spacing w:line="360" w:lineRule="auto"/>
        <w:jc w:val="both"/>
        <w:rPr>
          <w:rFonts w:ascii="Palatino Linotype" w:hAnsi="Palatino Linotype" w:cs="Tahoma"/>
          <w:iCs/>
          <w:sz w:val="22"/>
          <w:szCs w:val="22"/>
        </w:rPr>
      </w:pPr>
    </w:p>
    <w:p w14:paraId="699026C3" w14:textId="77777777" w:rsidR="00E716DD" w:rsidRPr="00F93859" w:rsidRDefault="00E716DD" w:rsidP="004F4E53">
      <w:pPr>
        <w:spacing w:line="360" w:lineRule="auto"/>
        <w:jc w:val="both"/>
        <w:rPr>
          <w:rFonts w:ascii="Palatino Linotype" w:hAnsi="Palatino Linotype" w:cs="Tahoma"/>
          <w:b/>
          <w:bCs/>
          <w:iCs/>
          <w:sz w:val="22"/>
          <w:szCs w:val="22"/>
        </w:rPr>
      </w:pPr>
    </w:p>
    <w:p w14:paraId="4783E35E" w14:textId="77777777" w:rsidR="00F93859" w:rsidRDefault="00F93859" w:rsidP="004F4E53">
      <w:pPr>
        <w:spacing w:line="360" w:lineRule="auto"/>
        <w:contextualSpacing/>
        <w:jc w:val="both"/>
        <w:rPr>
          <w:rFonts w:ascii="Palatino Linotype" w:hAnsi="Palatino Linotype" w:cs="Tahoma"/>
          <w:bCs/>
          <w:sz w:val="22"/>
          <w:szCs w:val="22"/>
          <w:lang w:val="es-ES"/>
        </w:rPr>
      </w:pPr>
    </w:p>
    <w:p w14:paraId="53216608" w14:textId="77777777" w:rsidR="00F93859" w:rsidRDefault="00F93859" w:rsidP="004F4E53">
      <w:pPr>
        <w:spacing w:line="360" w:lineRule="auto"/>
        <w:contextualSpacing/>
        <w:jc w:val="both"/>
        <w:rPr>
          <w:rFonts w:ascii="Palatino Linotype" w:hAnsi="Palatino Linotype" w:cs="Tahoma"/>
          <w:bCs/>
          <w:sz w:val="22"/>
          <w:szCs w:val="22"/>
          <w:lang w:val="es-ES"/>
        </w:rPr>
      </w:pPr>
    </w:p>
    <w:p w14:paraId="6FAB736C" w14:textId="77777777" w:rsidR="00395D7C" w:rsidRPr="00F574B4" w:rsidRDefault="00395D7C" w:rsidP="004F4E53">
      <w:pPr>
        <w:spacing w:line="360" w:lineRule="auto"/>
        <w:contextualSpacing/>
        <w:jc w:val="both"/>
        <w:rPr>
          <w:rFonts w:ascii="Palatino Linotype" w:hAnsi="Palatino Linotype" w:cs="Tahoma"/>
          <w:bCs/>
          <w:sz w:val="22"/>
          <w:szCs w:val="22"/>
          <w:lang w:val="es-ES"/>
        </w:rPr>
      </w:pPr>
    </w:p>
    <w:p w14:paraId="4D7EF336" w14:textId="77777777" w:rsidR="00280E27" w:rsidRPr="00F574B4" w:rsidRDefault="00280E27" w:rsidP="004F4E53">
      <w:pPr>
        <w:spacing w:line="360" w:lineRule="auto"/>
        <w:ind w:right="-93"/>
        <w:contextualSpacing/>
        <w:jc w:val="both"/>
        <w:rPr>
          <w:rFonts w:ascii="Palatino Linotype" w:eastAsia="Calibri" w:hAnsi="Palatino Linotype" w:cs="Tahoma"/>
          <w:bCs/>
          <w:sz w:val="22"/>
          <w:szCs w:val="22"/>
        </w:rPr>
      </w:pPr>
    </w:p>
    <w:p w14:paraId="25982E46" w14:textId="77777777" w:rsidR="00280E27" w:rsidRPr="00280E27" w:rsidRDefault="00280E27" w:rsidP="004F4E53">
      <w:pPr>
        <w:spacing w:line="360" w:lineRule="auto"/>
        <w:contextualSpacing/>
        <w:jc w:val="both"/>
        <w:rPr>
          <w:rFonts w:ascii="Palatino Linotype" w:hAnsi="Palatino Linotype" w:cs="Tahoma"/>
          <w:bCs/>
          <w:sz w:val="22"/>
          <w:szCs w:val="22"/>
        </w:rPr>
      </w:pPr>
    </w:p>
    <w:p w14:paraId="428CEF68" w14:textId="77777777" w:rsidR="00DA08C5" w:rsidRPr="00DA08C5" w:rsidRDefault="00DA08C5" w:rsidP="004F4E53">
      <w:pPr>
        <w:spacing w:line="360" w:lineRule="auto"/>
        <w:jc w:val="both"/>
        <w:rPr>
          <w:rFonts w:ascii="Palatino Linotype" w:hAnsi="Palatino Linotype" w:cs="Tahoma"/>
          <w:bCs/>
          <w:sz w:val="22"/>
          <w:lang w:val="es-ES"/>
        </w:rPr>
      </w:pPr>
    </w:p>
    <w:p w14:paraId="062D51E1" w14:textId="77777777" w:rsidR="004F3A02" w:rsidRDefault="004F3A02" w:rsidP="004F4E53">
      <w:pPr>
        <w:spacing w:line="360" w:lineRule="auto"/>
      </w:pPr>
    </w:p>
    <w:p w14:paraId="68834340" w14:textId="77777777" w:rsidR="00DA08C5" w:rsidRDefault="00DA08C5" w:rsidP="004F4E53">
      <w:pPr>
        <w:spacing w:line="360" w:lineRule="auto"/>
      </w:pPr>
    </w:p>
    <w:p w14:paraId="3F88FDBB" w14:textId="77777777" w:rsidR="00DA08C5" w:rsidRDefault="00DA08C5" w:rsidP="004F4E53">
      <w:pPr>
        <w:spacing w:line="360" w:lineRule="auto"/>
      </w:pPr>
    </w:p>
    <w:p w14:paraId="4FC344A4" w14:textId="77777777" w:rsidR="00DA08C5" w:rsidRDefault="00DA08C5" w:rsidP="004F4E53">
      <w:pPr>
        <w:spacing w:line="360" w:lineRule="auto"/>
      </w:pPr>
    </w:p>
    <w:p w14:paraId="0A14A6CF" w14:textId="77777777" w:rsidR="00DA08C5" w:rsidRDefault="00DA08C5" w:rsidP="004F4E53">
      <w:pPr>
        <w:spacing w:line="360" w:lineRule="auto"/>
      </w:pPr>
    </w:p>
    <w:p w14:paraId="744813CA" w14:textId="77777777" w:rsidR="004F3A02" w:rsidRPr="004F3A02" w:rsidRDefault="004F3A02" w:rsidP="004F4E53">
      <w:pPr>
        <w:spacing w:line="360" w:lineRule="auto"/>
        <w:jc w:val="both"/>
        <w:rPr>
          <w:rFonts w:ascii="Palatino Linotype" w:eastAsiaTheme="minorHAnsi" w:hAnsi="Palatino Linotype" w:cs="Tahoma"/>
          <w:bCs/>
          <w:color w:val="000000" w:themeColor="text1"/>
          <w:sz w:val="22"/>
          <w:szCs w:val="22"/>
          <w:lang w:val="es-ES_tradnl" w:eastAsia="es-MX"/>
        </w:rPr>
      </w:pPr>
    </w:p>
    <w:sectPr w:rsidR="004F3A02" w:rsidRPr="004F3A02" w:rsidSect="00DB7E5F">
      <w:headerReference w:type="default" r:id="rId9"/>
      <w:footerReference w:type="default" r:id="rId10"/>
      <w:headerReference w:type="first" r:id="rId11"/>
      <w:footerReference w:type="first" r:id="rId12"/>
      <w:pgSz w:w="12240" w:h="15840"/>
      <w:pgMar w:top="80" w:right="1608" w:bottom="1418" w:left="1588" w:header="709" w:footer="91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5DF495" w14:textId="77777777" w:rsidR="00DF5479" w:rsidRDefault="00DF5479" w:rsidP="00B31222">
      <w:r>
        <w:separator/>
      </w:r>
    </w:p>
  </w:endnote>
  <w:endnote w:type="continuationSeparator" w:id="0">
    <w:p w14:paraId="7F56EDE1" w14:textId="77777777" w:rsidR="00DF5479" w:rsidRDefault="00DF5479" w:rsidP="00B31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6412018"/>
      <w:docPartObj>
        <w:docPartGallery w:val="Page Numbers (Bottom of Page)"/>
        <w:docPartUnique/>
      </w:docPartObj>
    </w:sdtPr>
    <w:sdtEndPr/>
    <w:sdtContent>
      <w:sdt>
        <w:sdtPr>
          <w:id w:val="-1769616900"/>
          <w:docPartObj>
            <w:docPartGallery w:val="Page Numbers (Top of Page)"/>
            <w:docPartUnique/>
          </w:docPartObj>
        </w:sdtPr>
        <w:sdtEndPr/>
        <w:sdtContent>
          <w:p w14:paraId="18CEBFF0" w14:textId="77777777" w:rsidR="00475973" w:rsidRPr="00C13895" w:rsidRDefault="00475973">
            <w:pPr>
              <w:pStyle w:val="Piedepgina"/>
              <w:jc w:val="right"/>
              <w:rPr>
                <w:sz w:val="26"/>
                <w:szCs w:val="26"/>
              </w:rPr>
            </w:pPr>
          </w:p>
          <w:p w14:paraId="4EA60772" w14:textId="77777777" w:rsidR="00475973" w:rsidRDefault="00475973">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C22E73">
              <w:rPr>
                <w:b/>
                <w:bCs/>
                <w:noProof/>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C22E73">
              <w:rPr>
                <w:b/>
                <w:bCs/>
                <w:noProof/>
              </w:rPr>
              <w:t>21</w:t>
            </w:r>
            <w:r>
              <w:rPr>
                <w:b/>
                <w:bCs/>
                <w:sz w:val="24"/>
                <w:szCs w:val="24"/>
              </w:rPr>
              <w:fldChar w:fldCharType="end"/>
            </w:r>
          </w:p>
        </w:sdtContent>
      </w:sdt>
    </w:sdtContent>
  </w:sdt>
  <w:p w14:paraId="52786F2A" w14:textId="77777777" w:rsidR="00475973" w:rsidRDefault="0047597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9767700"/>
      <w:docPartObj>
        <w:docPartGallery w:val="Page Numbers (Bottom of Page)"/>
        <w:docPartUnique/>
      </w:docPartObj>
    </w:sdtPr>
    <w:sdtEndPr/>
    <w:sdtContent>
      <w:sdt>
        <w:sdtPr>
          <w:id w:val="315386424"/>
          <w:docPartObj>
            <w:docPartGallery w:val="Page Numbers (Top of Page)"/>
            <w:docPartUnique/>
          </w:docPartObj>
        </w:sdtPr>
        <w:sdtEndPr/>
        <w:sdtContent>
          <w:p w14:paraId="59E12402" w14:textId="77777777" w:rsidR="00475973" w:rsidRDefault="00475973">
            <w:pPr>
              <w:pStyle w:val="Piedepgina"/>
              <w:jc w:val="right"/>
            </w:pPr>
          </w:p>
          <w:p w14:paraId="2D2F5338" w14:textId="77777777" w:rsidR="00475973" w:rsidRDefault="00475973">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DF5479">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DF5479">
              <w:rPr>
                <w:b/>
                <w:bCs/>
                <w:noProof/>
              </w:rPr>
              <w:t>1</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4BF9CD" w14:textId="77777777" w:rsidR="00DF5479" w:rsidRDefault="00DF5479" w:rsidP="00B31222">
      <w:r>
        <w:separator/>
      </w:r>
    </w:p>
  </w:footnote>
  <w:footnote w:type="continuationSeparator" w:id="0">
    <w:p w14:paraId="6B6FFEA6" w14:textId="77777777" w:rsidR="00DF5479" w:rsidRDefault="00DF5479" w:rsidP="00B312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222" w:type="dxa"/>
      <w:tblInd w:w="2552" w:type="dxa"/>
      <w:tblLayout w:type="fixed"/>
      <w:tblLook w:val="04A0" w:firstRow="1" w:lastRow="0" w:firstColumn="1" w:lastColumn="0" w:noHBand="0" w:noVBand="1"/>
    </w:tblPr>
    <w:tblGrid>
      <w:gridCol w:w="8222"/>
    </w:tblGrid>
    <w:tr w:rsidR="00E67009" w:rsidRPr="005C106F" w14:paraId="50E888ED" w14:textId="77777777" w:rsidTr="00895942">
      <w:trPr>
        <w:trHeight w:val="1412"/>
      </w:trPr>
      <w:tc>
        <w:tcPr>
          <w:tcW w:w="8222" w:type="dxa"/>
          <w:shd w:val="clear" w:color="auto" w:fill="auto"/>
        </w:tcPr>
        <w:tbl>
          <w:tblPr>
            <w:tblStyle w:val="Tablaconcuadrcula"/>
            <w:tblW w:w="6701" w:type="dxa"/>
            <w:tblInd w:w="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552"/>
            <w:gridCol w:w="4149"/>
          </w:tblGrid>
          <w:tr w:rsidR="00E67009" w14:paraId="401FF1E4" w14:textId="77777777" w:rsidTr="00A90989">
            <w:trPr>
              <w:trHeight w:val="144"/>
            </w:trPr>
            <w:tc>
              <w:tcPr>
                <w:tcW w:w="2552" w:type="dxa"/>
              </w:tcPr>
              <w:p w14:paraId="2FAA5A5D" w14:textId="77777777" w:rsidR="00E67009" w:rsidRPr="00026EBB" w:rsidRDefault="00E67009" w:rsidP="009C44AA">
                <w:pPr>
                  <w:tabs>
                    <w:tab w:val="left" w:pos="1735"/>
                    <w:tab w:val="right" w:pos="8838"/>
                  </w:tabs>
                  <w:spacing w:line="276" w:lineRule="auto"/>
                  <w:ind w:left="-28"/>
                  <w:jc w:val="both"/>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Recurso de Revisión:</w:t>
                </w:r>
              </w:p>
            </w:tc>
            <w:tc>
              <w:tcPr>
                <w:tcW w:w="4149" w:type="dxa"/>
              </w:tcPr>
              <w:p w14:paraId="35595BB5" w14:textId="76129633" w:rsidR="00E67009" w:rsidRPr="009C44AA" w:rsidRDefault="00CC1153" w:rsidP="009C44AA">
                <w:pPr>
                  <w:tabs>
                    <w:tab w:val="left" w:pos="1735"/>
                    <w:tab w:val="right" w:pos="8838"/>
                  </w:tabs>
                  <w:spacing w:line="276" w:lineRule="auto"/>
                  <w:ind w:left="-28"/>
                  <w:jc w:val="both"/>
                  <w:rPr>
                    <w:rFonts w:ascii="Palatino Linotype" w:eastAsia="Calibri" w:hAnsi="Palatino Linotype" w:cs="Tahoma"/>
                    <w:bCs/>
                    <w:sz w:val="22"/>
                    <w:szCs w:val="22"/>
                    <w:lang w:val="es-MX" w:eastAsia="en-US"/>
                  </w:rPr>
                </w:pPr>
                <w:r w:rsidRPr="009C44AA">
                  <w:rPr>
                    <w:rFonts w:ascii="Palatino Linotype" w:eastAsia="Calibri" w:hAnsi="Palatino Linotype" w:cs="Tahoma"/>
                    <w:bCs/>
                    <w:sz w:val="22"/>
                    <w:szCs w:val="22"/>
                    <w:lang w:val="es-MX" w:eastAsia="en-US"/>
                  </w:rPr>
                  <w:t>0</w:t>
                </w:r>
                <w:r w:rsidR="00C3773E">
                  <w:rPr>
                    <w:rFonts w:ascii="Palatino Linotype" w:eastAsia="Calibri" w:hAnsi="Palatino Linotype" w:cs="Tahoma"/>
                    <w:bCs/>
                    <w:sz w:val="22"/>
                    <w:szCs w:val="22"/>
                    <w:lang w:val="es-MX" w:eastAsia="en-US"/>
                  </w:rPr>
                  <w:t>0</w:t>
                </w:r>
                <w:r w:rsidR="00765288">
                  <w:rPr>
                    <w:rFonts w:ascii="Palatino Linotype" w:eastAsia="Calibri" w:hAnsi="Palatino Linotype" w:cs="Tahoma"/>
                    <w:bCs/>
                    <w:sz w:val="22"/>
                    <w:szCs w:val="22"/>
                    <w:lang w:val="es-MX" w:eastAsia="en-US"/>
                  </w:rPr>
                  <w:t>201</w:t>
                </w:r>
                <w:r w:rsidR="00E67009" w:rsidRPr="009C44AA">
                  <w:rPr>
                    <w:rFonts w:ascii="Palatino Linotype" w:eastAsia="Calibri" w:hAnsi="Palatino Linotype" w:cs="Tahoma"/>
                    <w:bCs/>
                    <w:sz w:val="22"/>
                    <w:szCs w:val="22"/>
                    <w:lang w:val="es-MX" w:eastAsia="en-US"/>
                  </w:rPr>
                  <w:t>/INFOEM/IP/RR/202</w:t>
                </w:r>
                <w:r w:rsidR="00C3773E">
                  <w:rPr>
                    <w:rFonts w:ascii="Palatino Linotype" w:eastAsia="Calibri" w:hAnsi="Palatino Linotype" w:cs="Tahoma"/>
                    <w:bCs/>
                    <w:sz w:val="22"/>
                    <w:szCs w:val="22"/>
                    <w:lang w:val="es-MX" w:eastAsia="en-US"/>
                  </w:rPr>
                  <w:t>5</w:t>
                </w:r>
              </w:p>
            </w:tc>
          </w:tr>
          <w:tr w:rsidR="00E67009" w14:paraId="6B793921" w14:textId="77777777" w:rsidTr="00A90989">
            <w:trPr>
              <w:trHeight w:val="144"/>
            </w:trPr>
            <w:tc>
              <w:tcPr>
                <w:tcW w:w="2552" w:type="dxa"/>
              </w:tcPr>
              <w:p w14:paraId="248F8814" w14:textId="77777777" w:rsidR="00E67009" w:rsidRPr="00026EBB" w:rsidRDefault="00E67009" w:rsidP="009C44AA">
                <w:pPr>
                  <w:tabs>
                    <w:tab w:val="left" w:pos="1735"/>
                    <w:tab w:val="right" w:pos="8838"/>
                  </w:tabs>
                  <w:spacing w:line="276" w:lineRule="auto"/>
                  <w:ind w:left="-28"/>
                  <w:jc w:val="both"/>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Sujeto Obligado:</w:t>
                </w:r>
              </w:p>
            </w:tc>
            <w:tc>
              <w:tcPr>
                <w:tcW w:w="4149" w:type="dxa"/>
              </w:tcPr>
              <w:p w14:paraId="31642F59" w14:textId="762CF502" w:rsidR="00E67009" w:rsidRPr="009C44AA" w:rsidRDefault="00C3773E" w:rsidP="009C44AA">
                <w:pPr>
                  <w:tabs>
                    <w:tab w:val="left" w:pos="1735"/>
                    <w:tab w:val="right" w:pos="8838"/>
                  </w:tabs>
                  <w:spacing w:line="276" w:lineRule="auto"/>
                  <w:ind w:left="-28"/>
                  <w:jc w:val="both"/>
                  <w:rPr>
                    <w:rFonts w:ascii="Palatino Linotype" w:eastAsia="Calibri" w:hAnsi="Palatino Linotype" w:cs="Tahoma"/>
                    <w:bCs/>
                    <w:sz w:val="22"/>
                    <w:szCs w:val="22"/>
                    <w:lang w:val="es-MX" w:eastAsia="en-US"/>
                  </w:rPr>
                </w:pPr>
                <w:r>
                  <w:rPr>
                    <w:rFonts w:ascii="Palatino Linotype" w:eastAsia="Calibri" w:hAnsi="Palatino Linotype" w:cs="Tahoma"/>
                    <w:bCs/>
                    <w:sz w:val="22"/>
                    <w:szCs w:val="22"/>
                    <w:lang w:val="es-MX" w:eastAsia="en-US"/>
                  </w:rPr>
                  <w:t xml:space="preserve">Ayuntamiento de </w:t>
                </w:r>
                <w:r w:rsidR="00765288">
                  <w:rPr>
                    <w:rFonts w:ascii="Palatino Linotype" w:eastAsia="Calibri" w:hAnsi="Palatino Linotype" w:cs="Tahoma"/>
                    <w:bCs/>
                    <w:sz w:val="22"/>
                    <w:szCs w:val="22"/>
                    <w:lang w:val="es-MX" w:eastAsia="en-US"/>
                  </w:rPr>
                  <w:t>Nextlalpan</w:t>
                </w:r>
              </w:p>
            </w:tc>
          </w:tr>
          <w:tr w:rsidR="00E67009" w14:paraId="5F57F04A" w14:textId="77777777" w:rsidTr="00A90989">
            <w:trPr>
              <w:trHeight w:val="138"/>
            </w:trPr>
            <w:tc>
              <w:tcPr>
                <w:tcW w:w="2552" w:type="dxa"/>
              </w:tcPr>
              <w:p w14:paraId="249191FD" w14:textId="77777777" w:rsidR="00E67009" w:rsidRPr="00026EBB" w:rsidRDefault="00E67009" w:rsidP="009C44AA">
                <w:pPr>
                  <w:tabs>
                    <w:tab w:val="left" w:pos="1735"/>
                    <w:tab w:val="right" w:pos="8838"/>
                  </w:tabs>
                  <w:spacing w:line="276" w:lineRule="auto"/>
                  <w:ind w:left="-28"/>
                  <w:jc w:val="both"/>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Comisionado Ponente:</w:t>
                </w:r>
              </w:p>
            </w:tc>
            <w:tc>
              <w:tcPr>
                <w:tcW w:w="4149" w:type="dxa"/>
              </w:tcPr>
              <w:p w14:paraId="7F9A5911" w14:textId="6669DDD6" w:rsidR="00E67009" w:rsidRPr="009C44AA" w:rsidRDefault="00E67009" w:rsidP="00A90989">
                <w:pPr>
                  <w:tabs>
                    <w:tab w:val="left" w:pos="1735"/>
                    <w:tab w:val="right" w:pos="8838"/>
                  </w:tabs>
                  <w:spacing w:line="276" w:lineRule="auto"/>
                  <w:ind w:left="-28"/>
                  <w:jc w:val="both"/>
                  <w:rPr>
                    <w:rFonts w:ascii="Palatino Linotype" w:eastAsia="Calibri" w:hAnsi="Palatino Linotype" w:cs="Tahoma"/>
                    <w:bCs/>
                    <w:sz w:val="22"/>
                    <w:szCs w:val="22"/>
                    <w:lang w:val="es-MX" w:eastAsia="en-US"/>
                  </w:rPr>
                </w:pPr>
                <w:r w:rsidRPr="009C44AA">
                  <w:rPr>
                    <w:rFonts w:ascii="Palatino Linotype" w:eastAsia="Calibri" w:hAnsi="Palatino Linotype" w:cs="Tahoma"/>
                    <w:bCs/>
                    <w:sz w:val="22"/>
                    <w:szCs w:val="22"/>
                    <w:lang w:val="es-MX" w:eastAsia="en-US"/>
                  </w:rPr>
                  <w:t>Luis Gustavo Parra Noriega</w:t>
                </w:r>
              </w:p>
            </w:tc>
          </w:tr>
        </w:tbl>
        <w:p w14:paraId="750160B9" w14:textId="77777777" w:rsidR="00E67009" w:rsidRPr="005C106F" w:rsidRDefault="00E67009" w:rsidP="005743D2">
          <w:pPr>
            <w:tabs>
              <w:tab w:val="right" w:pos="8838"/>
            </w:tabs>
            <w:ind w:left="-28"/>
            <w:jc w:val="both"/>
            <w:rPr>
              <w:rFonts w:ascii="Arial" w:eastAsia="Calibri" w:hAnsi="Arial" w:cs="Arial"/>
              <w:b/>
              <w:sz w:val="22"/>
              <w:szCs w:val="22"/>
              <w:lang w:eastAsia="en-US"/>
            </w:rPr>
          </w:pPr>
        </w:p>
      </w:tc>
    </w:tr>
  </w:tbl>
  <w:p w14:paraId="03D9BF59" w14:textId="4D62241B" w:rsidR="00475973" w:rsidRDefault="00DF5479" w:rsidP="000930AE">
    <w:pPr>
      <w:pStyle w:val="Encabezado"/>
      <w:rPr>
        <w:sz w:val="14"/>
      </w:rPr>
    </w:pPr>
    <w:r>
      <w:rPr>
        <w:rFonts w:ascii="Garamond" w:eastAsia="Calibri" w:hAnsi="Garamond"/>
        <w:noProof/>
        <w:sz w:val="16"/>
        <w:szCs w:val="16"/>
        <w:lang w:eastAsia="es-MX"/>
      </w:rPr>
      <w:pict w14:anchorId="741129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alt="MARCA DE AGUA - HOJA RESOLUCIÓN" style="position:absolute;margin-left:-79.4pt;margin-top:-136.75pt;width:663.5pt;height:12in;z-index:-251657216;mso-wrap-edited:f;mso-width-percent:0;mso-height-percent:0;mso-position-horizontal-relative:margin;mso-position-vertical-relative:margin;mso-width-percent:0;mso-height-percent:0" o:allowincell="f">
          <v:imagedata r:id="rId1" o:title="MARCA DE AGUA - HOJA RESOLUCIÓ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784F17" w14:textId="0A90E6D4" w:rsidR="00475973" w:rsidRDefault="00DF5479">
    <w:r>
      <w:rPr>
        <w:rFonts w:ascii="Palatino Linotype" w:eastAsia="Calibri" w:hAnsi="Palatino Linotype" w:cs="Tahoma"/>
        <w:b/>
        <w:noProof/>
        <w:sz w:val="22"/>
        <w:szCs w:val="22"/>
        <w:lang w:eastAsia="es-MX"/>
      </w:rPr>
      <w:pict w14:anchorId="741129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9273984" o:spid="_x0000_s2050" type="#_x0000_t75" alt="MARCA DE AGUA - HOJA RESOLUCIÓN" style="position:absolute;margin-left:-79.7pt;margin-top:-124.7pt;width:663.5pt;height:12in;z-index:-251658240;mso-wrap-edited:f;mso-width-percent:0;mso-height-percent:0;mso-position-horizontal-relative:margin;mso-position-vertical-relative:margin;mso-width-percent:0;mso-height-percent:0" o:allowincell="f">
          <v:imagedata r:id="rId1" o:title="MARCA DE AGUA - HOJA RESOLUCIÓN"/>
          <w10:wrap anchorx="margin" anchory="margin"/>
        </v:shape>
      </w:pict>
    </w:r>
  </w:p>
  <w:tbl>
    <w:tblPr>
      <w:tblStyle w:val="Tablaconcuadrcula"/>
      <w:tblpPr w:leftFromText="141" w:rightFromText="141" w:vertAnchor="page" w:horzAnchor="margin" w:tblpY="556"/>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694"/>
      <w:gridCol w:w="2405"/>
      <w:gridCol w:w="4257"/>
    </w:tblGrid>
    <w:tr w:rsidR="00475973" w:rsidRPr="00264223" w14:paraId="47FE01F0" w14:textId="77777777" w:rsidTr="00765288">
      <w:trPr>
        <w:trHeight w:val="466"/>
      </w:trPr>
      <w:tc>
        <w:tcPr>
          <w:tcW w:w="2694" w:type="dxa"/>
          <w:vAlign w:val="bottom"/>
        </w:tcPr>
        <w:p w14:paraId="797F08EF" w14:textId="77777777" w:rsidR="00475973" w:rsidRPr="00026EBB" w:rsidRDefault="00475973" w:rsidP="00913B76">
          <w:pPr>
            <w:tabs>
              <w:tab w:val="right" w:pos="8838"/>
            </w:tabs>
            <w:ind w:right="-105"/>
            <w:rPr>
              <w:rFonts w:ascii="Palatino Linotype" w:eastAsia="Calibri" w:hAnsi="Palatino Linotype" w:cs="Tahoma"/>
              <w:b/>
              <w:sz w:val="22"/>
              <w:szCs w:val="22"/>
              <w:lang w:val="es-MX" w:eastAsia="en-US"/>
            </w:rPr>
          </w:pPr>
        </w:p>
      </w:tc>
      <w:tc>
        <w:tcPr>
          <w:tcW w:w="2405" w:type="dxa"/>
          <w:vAlign w:val="bottom"/>
        </w:tcPr>
        <w:p w14:paraId="1986A207" w14:textId="77777777" w:rsidR="00475973" w:rsidRPr="0091633A" w:rsidRDefault="00475973" w:rsidP="00F82637">
          <w:pPr>
            <w:tabs>
              <w:tab w:val="left" w:pos="1735"/>
              <w:tab w:val="right" w:pos="8838"/>
            </w:tabs>
            <w:spacing w:line="276" w:lineRule="auto"/>
            <w:ind w:left="-28"/>
            <w:jc w:val="both"/>
            <w:rPr>
              <w:rFonts w:ascii="Palatino Linotype" w:eastAsia="Calibri" w:hAnsi="Palatino Linotype" w:cs="Tahoma"/>
              <w:b/>
              <w:bCs/>
              <w:sz w:val="22"/>
              <w:szCs w:val="22"/>
              <w:lang w:eastAsia="en-US"/>
            </w:rPr>
          </w:pPr>
          <w:r w:rsidRPr="00026EBB">
            <w:rPr>
              <w:rFonts w:ascii="Palatino Linotype" w:eastAsia="Calibri" w:hAnsi="Palatino Linotype" w:cs="Tahoma"/>
              <w:b/>
              <w:sz w:val="22"/>
              <w:szCs w:val="22"/>
              <w:lang w:val="es-MX" w:eastAsia="en-US"/>
            </w:rPr>
            <w:t>Recurso de Revisión:</w:t>
          </w:r>
        </w:p>
      </w:tc>
      <w:tc>
        <w:tcPr>
          <w:tcW w:w="4257" w:type="dxa"/>
          <w:vAlign w:val="bottom"/>
        </w:tcPr>
        <w:p w14:paraId="5D029AEB" w14:textId="6A6CEB23" w:rsidR="00475973" w:rsidRPr="00A404EA" w:rsidRDefault="00A17E23" w:rsidP="00F82637">
          <w:pPr>
            <w:tabs>
              <w:tab w:val="left" w:pos="3435"/>
              <w:tab w:val="right" w:pos="8838"/>
            </w:tabs>
            <w:spacing w:line="276" w:lineRule="auto"/>
            <w:ind w:left="-28" w:right="39"/>
            <w:jc w:val="both"/>
            <w:rPr>
              <w:rFonts w:ascii="Palatino Linotype" w:eastAsia="Calibri" w:hAnsi="Palatino Linotype" w:cs="Tahoma"/>
              <w:sz w:val="22"/>
              <w:szCs w:val="22"/>
              <w:lang w:eastAsia="en-US"/>
            </w:rPr>
          </w:pPr>
          <w:r>
            <w:rPr>
              <w:rFonts w:ascii="Palatino Linotype" w:eastAsia="Calibri" w:hAnsi="Palatino Linotype" w:cs="Tahoma"/>
              <w:sz w:val="22"/>
              <w:szCs w:val="22"/>
              <w:lang w:val="es-MX" w:eastAsia="en-US"/>
            </w:rPr>
            <w:t>0</w:t>
          </w:r>
          <w:r w:rsidR="00C3773E">
            <w:rPr>
              <w:rFonts w:ascii="Palatino Linotype" w:eastAsia="Calibri" w:hAnsi="Palatino Linotype" w:cs="Tahoma"/>
              <w:sz w:val="22"/>
              <w:szCs w:val="22"/>
              <w:lang w:val="es-MX" w:eastAsia="en-US"/>
            </w:rPr>
            <w:t>0</w:t>
          </w:r>
          <w:r w:rsidR="00765288">
            <w:rPr>
              <w:rFonts w:ascii="Palatino Linotype" w:eastAsia="Calibri" w:hAnsi="Palatino Linotype" w:cs="Tahoma"/>
              <w:sz w:val="22"/>
              <w:szCs w:val="22"/>
              <w:lang w:val="es-MX" w:eastAsia="en-US"/>
            </w:rPr>
            <w:t>201</w:t>
          </w:r>
          <w:r w:rsidR="00475973" w:rsidRPr="00747F8C">
            <w:rPr>
              <w:rFonts w:ascii="Palatino Linotype" w:eastAsia="Calibri" w:hAnsi="Palatino Linotype" w:cs="Tahoma"/>
              <w:sz w:val="22"/>
              <w:szCs w:val="22"/>
              <w:lang w:val="es-MX" w:eastAsia="en-US"/>
            </w:rPr>
            <w:t>/INFOEM/IP/RR/202</w:t>
          </w:r>
          <w:r w:rsidR="00C3773E">
            <w:rPr>
              <w:rFonts w:ascii="Palatino Linotype" w:eastAsia="Calibri" w:hAnsi="Palatino Linotype" w:cs="Tahoma"/>
              <w:sz w:val="22"/>
              <w:szCs w:val="22"/>
              <w:lang w:val="es-MX" w:eastAsia="en-US"/>
            </w:rPr>
            <w:t>5</w:t>
          </w:r>
        </w:p>
      </w:tc>
    </w:tr>
    <w:tr w:rsidR="00475973" w:rsidRPr="00264223" w14:paraId="3B115A83" w14:textId="77777777" w:rsidTr="00765288">
      <w:trPr>
        <w:trHeight w:val="119"/>
      </w:trPr>
      <w:tc>
        <w:tcPr>
          <w:tcW w:w="2694" w:type="dxa"/>
        </w:tcPr>
        <w:p w14:paraId="769D227C" w14:textId="77777777" w:rsidR="00475973" w:rsidRPr="00026EBB" w:rsidRDefault="00475973" w:rsidP="00913B76">
          <w:pPr>
            <w:tabs>
              <w:tab w:val="right" w:pos="8838"/>
            </w:tabs>
            <w:ind w:right="-105"/>
            <w:rPr>
              <w:rFonts w:ascii="Palatino Linotype" w:eastAsia="Calibri" w:hAnsi="Palatino Linotype" w:cs="Tahoma"/>
              <w:b/>
              <w:sz w:val="22"/>
              <w:szCs w:val="22"/>
              <w:lang w:val="es-MX" w:eastAsia="en-US"/>
            </w:rPr>
          </w:pPr>
        </w:p>
      </w:tc>
      <w:tc>
        <w:tcPr>
          <w:tcW w:w="2405" w:type="dxa"/>
        </w:tcPr>
        <w:p w14:paraId="0540E823" w14:textId="77777777" w:rsidR="00475973" w:rsidRPr="00026EBB" w:rsidRDefault="00475973" w:rsidP="00F82637">
          <w:pPr>
            <w:tabs>
              <w:tab w:val="right" w:pos="8838"/>
            </w:tabs>
            <w:spacing w:line="276" w:lineRule="auto"/>
            <w:ind w:right="171"/>
            <w:jc w:val="both"/>
            <w:rPr>
              <w:rFonts w:ascii="Palatino Linotype" w:eastAsia="Calibri" w:hAnsi="Palatino Linotype" w:cs="Tahoma"/>
              <w:sz w:val="22"/>
              <w:szCs w:val="22"/>
              <w:lang w:val="es-MX" w:eastAsia="en-US"/>
            </w:rPr>
          </w:pPr>
          <w:r w:rsidRPr="00026EBB">
            <w:rPr>
              <w:rFonts w:ascii="Palatino Linotype" w:eastAsia="Calibri" w:hAnsi="Palatino Linotype" w:cs="Tahoma"/>
              <w:b/>
              <w:sz w:val="22"/>
              <w:szCs w:val="22"/>
              <w:lang w:val="es-MX" w:eastAsia="en-US"/>
            </w:rPr>
            <w:t>Recurrente:</w:t>
          </w:r>
        </w:p>
      </w:tc>
      <w:tc>
        <w:tcPr>
          <w:tcW w:w="4257" w:type="dxa"/>
        </w:tcPr>
        <w:p w14:paraId="26162836" w14:textId="1E6F02DB" w:rsidR="00475973" w:rsidRPr="0055002A" w:rsidRDefault="00C22E73" w:rsidP="00765288">
          <w:pPr>
            <w:tabs>
              <w:tab w:val="right" w:pos="8838"/>
            </w:tabs>
            <w:spacing w:line="276" w:lineRule="auto"/>
            <w:ind w:right="-246"/>
            <w:jc w:val="both"/>
            <w:rPr>
              <w:rFonts w:ascii="Palatino Linotype" w:eastAsia="Calibri" w:hAnsi="Palatino Linotype" w:cs="Tahoma"/>
              <w:sz w:val="22"/>
              <w:szCs w:val="22"/>
              <w:lang w:eastAsia="en-US"/>
            </w:rPr>
          </w:pPr>
          <w:r w:rsidRPr="00C22E73">
            <w:rPr>
              <w:rFonts w:ascii="Palatino Linotype" w:eastAsia="Calibri" w:hAnsi="Palatino Linotype" w:cs="Tahoma"/>
              <w:sz w:val="22"/>
              <w:szCs w:val="22"/>
              <w:highlight w:val="black"/>
              <w:lang w:eastAsia="en-US"/>
            </w:rPr>
            <w:t>XXXXXXXXXXXXXXXXXXXXXXXXXX</w:t>
          </w:r>
        </w:p>
      </w:tc>
    </w:tr>
    <w:tr w:rsidR="00475973" w:rsidRPr="00264223" w14:paraId="111B16D3" w14:textId="77777777" w:rsidTr="00765288">
      <w:trPr>
        <w:trHeight w:val="234"/>
      </w:trPr>
      <w:tc>
        <w:tcPr>
          <w:tcW w:w="2694" w:type="dxa"/>
        </w:tcPr>
        <w:p w14:paraId="23CA2497" w14:textId="2D869CFF" w:rsidR="00475973" w:rsidRPr="00026EBB" w:rsidRDefault="00475973" w:rsidP="00913B76">
          <w:pPr>
            <w:tabs>
              <w:tab w:val="right" w:pos="8838"/>
            </w:tabs>
            <w:ind w:right="-105"/>
            <w:rPr>
              <w:rFonts w:ascii="Palatino Linotype" w:eastAsia="Calibri" w:hAnsi="Palatino Linotype" w:cs="Tahoma"/>
              <w:b/>
              <w:sz w:val="22"/>
              <w:szCs w:val="22"/>
              <w:lang w:val="es-MX" w:eastAsia="en-US"/>
            </w:rPr>
          </w:pPr>
        </w:p>
      </w:tc>
      <w:tc>
        <w:tcPr>
          <w:tcW w:w="2405" w:type="dxa"/>
        </w:tcPr>
        <w:p w14:paraId="1CEA75E5" w14:textId="77777777" w:rsidR="00475973" w:rsidRPr="00026EBB" w:rsidRDefault="00475973" w:rsidP="00F82637">
          <w:pPr>
            <w:tabs>
              <w:tab w:val="right" w:pos="8838"/>
            </w:tabs>
            <w:spacing w:line="276" w:lineRule="auto"/>
            <w:ind w:right="171"/>
            <w:jc w:val="both"/>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Sujeto Obligado:</w:t>
          </w:r>
        </w:p>
      </w:tc>
      <w:tc>
        <w:tcPr>
          <w:tcW w:w="4257" w:type="dxa"/>
        </w:tcPr>
        <w:p w14:paraId="69B99F24" w14:textId="6531281F" w:rsidR="00475973" w:rsidRPr="00E07AF1" w:rsidRDefault="00C3773E" w:rsidP="004A0C66">
          <w:pPr>
            <w:tabs>
              <w:tab w:val="right" w:pos="8838"/>
            </w:tabs>
            <w:spacing w:line="276" w:lineRule="auto"/>
            <w:ind w:right="-108"/>
            <w:jc w:val="both"/>
            <w:rPr>
              <w:rFonts w:ascii="Palatino Linotype" w:eastAsia="Calibri" w:hAnsi="Palatino Linotype" w:cs="Tahoma"/>
              <w:sz w:val="22"/>
              <w:szCs w:val="22"/>
              <w:lang w:eastAsia="en-US"/>
            </w:rPr>
          </w:pPr>
          <w:r>
            <w:rPr>
              <w:rFonts w:ascii="Palatino Linotype" w:eastAsia="Calibri" w:hAnsi="Palatino Linotype" w:cs="Tahoma"/>
              <w:sz w:val="22"/>
              <w:szCs w:val="22"/>
              <w:lang w:val="es-MX" w:eastAsia="en-US"/>
            </w:rPr>
            <w:t>Ayuntamiento de</w:t>
          </w:r>
          <w:r w:rsidR="004F0A2C">
            <w:rPr>
              <w:rFonts w:ascii="Palatino Linotype" w:eastAsia="Calibri" w:hAnsi="Palatino Linotype" w:cs="Tahoma"/>
              <w:sz w:val="22"/>
              <w:szCs w:val="22"/>
              <w:lang w:val="es-MX" w:eastAsia="en-US"/>
            </w:rPr>
            <w:t xml:space="preserve"> </w:t>
          </w:r>
          <w:r w:rsidR="00765288">
            <w:rPr>
              <w:rFonts w:ascii="Palatino Linotype" w:eastAsia="Calibri" w:hAnsi="Palatino Linotype" w:cs="Tahoma"/>
              <w:sz w:val="22"/>
              <w:szCs w:val="22"/>
              <w:lang w:val="es-MX" w:eastAsia="en-US"/>
            </w:rPr>
            <w:t>Nextlalpan</w:t>
          </w:r>
        </w:p>
      </w:tc>
    </w:tr>
    <w:tr w:rsidR="00475973" w:rsidRPr="00264223" w14:paraId="69512480" w14:textId="77777777" w:rsidTr="00765288">
      <w:trPr>
        <w:trHeight w:val="234"/>
      </w:trPr>
      <w:tc>
        <w:tcPr>
          <w:tcW w:w="2694" w:type="dxa"/>
        </w:tcPr>
        <w:p w14:paraId="574761F6" w14:textId="77777777" w:rsidR="00475973" w:rsidRPr="00026EBB" w:rsidRDefault="00475973" w:rsidP="00913B76">
          <w:pPr>
            <w:tabs>
              <w:tab w:val="right" w:pos="8838"/>
            </w:tabs>
            <w:ind w:right="-105"/>
            <w:rPr>
              <w:rFonts w:ascii="Palatino Linotype" w:eastAsia="Calibri" w:hAnsi="Palatino Linotype" w:cs="Tahoma"/>
              <w:b/>
              <w:sz w:val="22"/>
              <w:szCs w:val="22"/>
              <w:lang w:val="es-MX" w:eastAsia="en-US"/>
            </w:rPr>
          </w:pPr>
        </w:p>
      </w:tc>
      <w:tc>
        <w:tcPr>
          <w:tcW w:w="2405" w:type="dxa"/>
        </w:tcPr>
        <w:p w14:paraId="6885F4E1" w14:textId="77777777" w:rsidR="00475973" w:rsidRPr="00026EBB" w:rsidRDefault="00475973" w:rsidP="00F82637">
          <w:pPr>
            <w:tabs>
              <w:tab w:val="right" w:pos="8838"/>
            </w:tabs>
            <w:spacing w:line="276" w:lineRule="auto"/>
            <w:ind w:right="-108"/>
            <w:jc w:val="both"/>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Comisionado Ponente:</w:t>
          </w:r>
        </w:p>
      </w:tc>
      <w:tc>
        <w:tcPr>
          <w:tcW w:w="4257" w:type="dxa"/>
        </w:tcPr>
        <w:p w14:paraId="761045C2" w14:textId="77777777" w:rsidR="00475973" w:rsidRDefault="00475973" w:rsidP="00F82637">
          <w:pPr>
            <w:tabs>
              <w:tab w:val="right" w:pos="8838"/>
            </w:tabs>
            <w:spacing w:line="276" w:lineRule="auto"/>
            <w:ind w:right="171"/>
            <w:jc w:val="both"/>
            <w:rPr>
              <w:rFonts w:ascii="Palatino Linotype" w:eastAsia="Calibri" w:hAnsi="Palatino Linotype" w:cs="Tahoma"/>
              <w:sz w:val="22"/>
              <w:szCs w:val="22"/>
              <w:lang w:eastAsia="en-US"/>
            </w:rPr>
          </w:pPr>
          <w:r w:rsidRPr="00026EBB">
            <w:rPr>
              <w:rFonts w:ascii="Palatino Linotype" w:eastAsia="Calibri" w:hAnsi="Palatino Linotype" w:cs="Tahoma"/>
              <w:sz w:val="22"/>
              <w:szCs w:val="22"/>
              <w:lang w:val="es-MX" w:eastAsia="en-US"/>
            </w:rPr>
            <w:t>Luis Gustavo Parra Noriega</w:t>
          </w:r>
        </w:p>
      </w:tc>
    </w:tr>
  </w:tbl>
  <w:p w14:paraId="68F23A9C" w14:textId="5611F92C" w:rsidR="00475973" w:rsidRPr="00E67009" w:rsidRDefault="00475973" w:rsidP="00E67009">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816848E"/>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00172FDB"/>
    <w:multiLevelType w:val="hybridMultilevel"/>
    <w:tmpl w:val="8174C1C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00631324"/>
    <w:multiLevelType w:val="hybridMultilevel"/>
    <w:tmpl w:val="E70438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5D9794D"/>
    <w:multiLevelType w:val="hybridMultilevel"/>
    <w:tmpl w:val="B10EEB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0501F5"/>
    <w:multiLevelType w:val="hybridMultilevel"/>
    <w:tmpl w:val="5FD85F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7167561"/>
    <w:multiLevelType w:val="hybridMultilevel"/>
    <w:tmpl w:val="DE8C1D5A"/>
    <w:lvl w:ilvl="0" w:tplc="19C63162">
      <w:start w:val="2"/>
      <w:numFmt w:val="bullet"/>
      <w:lvlText w:val=""/>
      <w:lvlJc w:val="left"/>
      <w:pPr>
        <w:ind w:left="720" w:hanging="360"/>
      </w:pPr>
      <w:rPr>
        <w:rFonts w:ascii="Symbol" w:eastAsia="Calibri" w:hAnsi="Symbol"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BAD308A"/>
    <w:multiLevelType w:val="hybridMultilevel"/>
    <w:tmpl w:val="C6DC96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39E4667"/>
    <w:multiLevelType w:val="hybridMultilevel"/>
    <w:tmpl w:val="47BA2A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90F7B54"/>
    <w:multiLevelType w:val="hybridMultilevel"/>
    <w:tmpl w:val="3EF83A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B85618C"/>
    <w:multiLevelType w:val="hybridMultilevel"/>
    <w:tmpl w:val="E63078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D5209FC"/>
    <w:multiLevelType w:val="hybridMultilevel"/>
    <w:tmpl w:val="BA5026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DD53767"/>
    <w:multiLevelType w:val="hybridMultilevel"/>
    <w:tmpl w:val="2E666B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FD3205A"/>
    <w:multiLevelType w:val="hybridMultilevel"/>
    <w:tmpl w:val="9AE4A5A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3" w15:restartNumberingAfterBreak="0">
    <w:nsid w:val="24121145"/>
    <w:multiLevelType w:val="hybridMultilevel"/>
    <w:tmpl w:val="7172B5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41D1363"/>
    <w:multiLevelType w:val="hybridMultilevel"/>
    <w:tmpl w:val="CC9C11C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73D10B1"/>
    <w:multiLevelType w:val="hybridMultilevel"/>
    <w:tmpl w:val="20B2A46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838302D"/>
    <w:multiLevelType w:val="hybridMultilevel"/>
    <w:tmpl w:val="F05218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8F16912"/>
    <w:multiLevelType w:val="hybridMultilevel"/>
    <w:tmpl w:val="51825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1624463"/>
    <w:multiLevelType w:val="hybridMultilevel"/>
    <w:tmpl w:val="77CE7E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1FA76F1"/>
    <w:multiLevelType w:val="hybridMultilevel"/>
    <w:tmpl w:val="A410AB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4D208CF"/>
    <w:multiLevelType w:val="hybridMultilevel"/>
    <w:tmpl w:val="6466FCC6"/>
    <w:lvl w:ilvl="0" w:tplc="C8169A16">
      <w:start w:val="1"/>
      <w:numFmt w:val="bullet"/>
      <w:lvlText w:val=""/>
      <w:lvlJc w:val="left"/>
      <w:pPr>
        <w:ind w:left="720" w:hanging="360"/>
      </w:pPr>
      <w:rPr>
        <w:rFonts w:ascii="Symbol" w:hAnsi="Symbol" w:hint="default"/>
        <w:b/>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0">
    <w:nsid w:val="35FA6E95"/>
    <w:multiLevelType w:val="hybridMultilevel"/>
    <w:tmpl w:val="861C82E0"/>
    <w:lvl w:ilvl="0" w:tplc="080A0013">
      <w:start w:val="1"/>
      <w:numFmt w:val="upperRoman"/>
      <w:lvlText w:val="%1."/>
      <w:lvlJc w:val="right"/>
      <w:pPr>
        <w:ind w:left="720" w:hanging="360"/>
      </w:pPr>
      <w:rPr>
        <w:rFonts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7823073"/>
    <w:multiLevelType w:val="hybridMultilevel"/>
    <w:tmpl w:val="F70E81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E275EE"/>
    <w:multiLevelType w:val="hybridMultilevel"/>
    <w:tmpl w:val="D82A53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95F3C87"/>
    <w:multiLevelType w:val="multilevel"/>
    <w:tmpl w:val="A9B2A702"/>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600" w:hanging="1080"/>
      </w:pPr>
    </w:lvl>
    <w:lvl w:ilvl="7">
      <w:start w:val="1"/>
      <w:numFmt w:val="decimal"/>
      <w:isLgl/>
      <w:lvlText w:val="%1.%2.%3.%4.%5.%6.%7.%8"/>
      <w:lvlJc w:val="left"/>
      <w:pPr>
        <w:ind w:left="4320" w:hanging="1440"/>
      </w:pPr>
    </w:lvl>
    <w:lvl w:ilvl="8">
      <w:start w:val="1"/>
      <w:numFmt w:val="decimal"/>
      <w:isLgl/>
      <w:lvlText w:val="%1.%2.%3.%4.%5.%6.%7.%8.%9"/>
      <w:lvlJc w:val="left"/>
      <w:pPr>
        <w:ind w:left="4680" w:hanging="1440"/>
      </w:pPr>
    </w:lvl>
  </w:abstractNum>
  <w:abstractNum w:abstractNumId="25" w15:restartNumberingAfterBreak="0">
    <w:nsid w:val="3B4512BC"/>
    <w:multiLevelType w:val="hybridMultilevel"/>
    <w:tmpl w:val="D46E0E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3CB51C23"/>
    <w:multiLevelType w:val="hybridMultilevel"/>
    <w:tmpl w:val="2D322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F514803"/>
    <w:multiLevelType w:val="hybridMultilevel"/>
    <w:tmpl w:val="9C2834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33E7352"/>
    <w:multiLevelType w:val="hybridMultilevel"/>
    <w:tmpl w:val="B7DA9F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489D7FD1"/>
    <w:multiLevelType w:val="hybridMultilevel"/>
    <w:tmpl w:val="AA4CC9C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0" w15:restartNumberingAfterBreak="0">
    <w:nsid w:val="4E723B3A"/>
    <w:multiLevelType w:val="hybridMultilevel"/>
    <w:tmpl w:val="E1480E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12F3F5A"/>
    <w:multiLevelType w:val="hybridMultilevel"/>
    <w:tmpl w:val="3D1EF3A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2" w15:restartNumberingAfterBreak="0">
    <w:nsid w:val="51574487"/>
    <w:multiLevelType w:val="hybridMultilevel"/>
    <w:tmpl w:val="52B0955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5E692A67"/>
    <w:multiLevelType w:val="hybridMultilevel"/>
    <w:tmpl w:val="F1529BF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60184F2F"/>
    <w:multiLevelType w:val="hybridMultilevel"/>
    <w:tmpl w:val="CC9C11C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1B10AE7"/>
    <w:multiLevelType w:val="hybridMultilevel"/>
    <w:tmpl w:val="D2547FE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6" w15:restartNumberingAfterBreak="0">
    <w:nsid w:val="63A02B35"/>
    <w:multiLevelType w:val="hybridMultilevel"/>
    <w:tmpl w:val="AA04F5A4"/>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7" w15:restartNumberingAfterBreak="0">
    <w:nsid w:val="6A800780"/>
    <w:multiLevelType w:val="hybridMultilevel"/>
    <w:tmpl w:val="D68C57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D872E0A"/>
    <w:multiLevelType w:val="hybridMultilevel"/>
    <w:tmpl w:val="E8E65A76"/>
    <w:lvl w:ilvl="0" w:tplc="ED882E88">
      <w:start w:val="1"/>
      <w:numFmt w:val="upperRoman"/>
      <w:lvlText w:val="%1."/>
      <w:lvlJc w:val="left"/>
      <w:pPr>
        <w:ind w:left="1080" w:hanging="720"/>
      </w:pPr>
      <w:rPr>
        <w:rFonts w:hint="default"/>
      </w:rPr>
    </w:lvl>
    <w:lvl w:ilvl="1" w:tplc="FE68600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DED7307"/>
    <w:multiLevelType w:val="hybridMultilevel"/>
    <w:tmpl w:val="A5342AEA"/>
    <w:lvl w:ilvl="0" w:tplc="D3EA5D96">
      <w:start w:val="1"/>
      <w:numFmt w:val="decimal"/>
      <w:lvlText w:val="%1."/>
      <w:lvlJc w:val="left"/>
      <w:pPr>
        <w:tabs>
          <w:tab w:val="num" w:pos="720"/>
        </w:tabs>
        <w:ind w:left="720" w:hanging="360"/>
      </w:pPr>
      <w:rPr>
        <w:b/>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40" w15:restartNumberingAfterBreak="0">
    <w:nsid w:val="6F722F58"/>
    <w:multiLevelType w:val="hybridMultilevel"/>
    <w:tmpl w:val="0346139C"/>
    <w:lvl w:ilvl="0" w:tplc="602CD758">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5422B96"/>
    <w:multiLevelType w:val="hybridMultilevel"/>
    <w:tmpl w:val="2F007CD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FE25016"/>
    <w:multiLevelType w:val="hybridMultilevel"/>
    <w:tmpl w:val="306056CE"/>
    <w:lvl w:ilvl="0" w:tplc="96A475A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41"/>
  </w:num>
  <w:num w:numId="4">
    <w:abstractNumId w:val="14"/>
  </w:num>
  <w:num w:numId="5">
    <w:abstractNumId w:val="34"/>
  </w:num>
  <w:num w:numId="6">
    <w:abstractNumId w:val="36"/>
  </w:num>
  <w:num w:numId="7">
    <w:abstractNumId w:val="36"/>
  </w:num>
  <w:num w:numId="8">
    <w:abstractNumId w:val="33"/>
  </w:num>
  <w:num w:numId="9">
    <w:abstractNumId w:val="19"/>
  </w:num>
  <w:num w:numId="10">
    <w:abstractNumId w:val="30"/>
  </w:num>
  <w:num w:numId="11">
    <w:abstractNumId w:val="21"/>
  </w:num>
  <w:num w:numId="12">
    <w:abstractNumId w:val="10"/>
  </w:num>
  <w:num w:numId="13">
    <w:abstractNumId w:val="15"/>
  </w:num>
  <w:num w:numId="14">
    <w:abstractNumId w:val="42"/>
  </w:num>
  <w:num w:numId="15">
    <w:abstractNumId w:val="5"/>
  </w:num>
  <w:num w:numId="16">
    <w:abstractNumId w:val="35"/>
  </w:num>
  <w:num w:numId="17">
    <w:abstractNumId w:val="32"/>
  </w:num>
  <w:num w:numId="18">
    <w:abstractNumId w:val="40"/>
  </w:num>
  <w:num w:numId="19">
    <w:abstractNumId w:val="22"/>
  </w:num>
  <w:num w:numId="20">
    <w:abstractNumId w:val="38"/>
  </w:num>
  <w:num w:numId="21">
    <w:abstractNumId w:val="7"/>
  </w:num>
  <w:num w:numId="22">
    <w:abstractNumId w:val="23"/>
  </w:num>
  <w:num w:numId="2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29"/>
  </w:num>
  <w:num w:numId="26">
    <w:abstractNumId w:val="16"/>
  </w:num>
  <w:num w:numId="27">
    <w:abstractNumId w:val="41"/>
  </w:num>
  <w:num w:numId="28">
    <w:abstractNumId w:val="12"/>
  </w:num>
  <w:num w:numId="29">
    <w:abstractNumId w:val="28"/>
  </w:num>
  <w:num w:numId="30">
    <w:abstractNumId w:val="2"/>
  </w:num>
  <w:num w:numId="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num>
  <w:num w:numId="33">
    <w:abstractNumId w:val="20"/>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num>
  <w:num w:numId="36">
    <w:abstractNumId w:val="17"/>
  </w:num>
  <w:num w:numId="37">
    <w:abstractNumId w:val="11"/>
  </w:num>
  <w:num w:numId="38">
    <w:abstractNumId w:val="26"/>
  </w:num>
  <w:num w:numId="39">
    <w:abstractNumId w:val="6"/>
  </w:num>
  <w:num w:numId="40">
    <w:abstractNumId w:val="9"/>
  </w:num>
  <w:num w:numId="41">
    <w:abstractNumId w:val="4"/>
  </w:num>
  <w:num w:numId="42">
    <w:abstractNumId w:val="27"/>
  </w:num>
  <w:num w:numId="43">
    <w:abstractNumId w:val="37"/>
  </w:num>
  <w:num w:numId="44">
    <w:abstractNumId w:val="8"/>
  </w:num>
  <w:num w:numId="45">
    <w:abstractNumId w:val="18"/>
  </w:num>
  <w:num w:numId="4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222"/>
    <w:rsid w:val="000027EB"/>
    <w:rsid w:val="0000328D"/>
    <w:rsid w:val="0000485A"/>
    <w:rsid w:val="00004DF1"/>
    <w:rsid w:val="00006543"/>
    <w:rsid w:val="00007CA1"/>
    <w:rsid w:val="00012C57"/>
    <w:rsid w:val="00013A19"/>
    <w:rsid w:val="00014465"/>
    <w:rsid w:val="0001559E"/>
    <w:rsid w:val="00017019"/>
    <w:rsid w:val="00020FAA"/>
    <w:rsid w:val="000212E5"/>
    <w:rsid w:val="00021C64"/>
    <w:rsid w:val="0002230B"/>
    <w:rsid w:val="00023837"/>
    <w:rsid w:val="0002405C"/>
    <w:rsid w:val="000241C5"/>
    <w:rsid w:val="000268D8"/>
    <w:rsid w:val="00026EBB"/>
    <w:rsid w:val="000307EE"/>
    <w:rsid w:val="0003130B"/>
    <w:rsid w:val="000313A7"/>
    <w:rsid w:val="000313C2"/>
    <w:rsid w:val="00032BB3"/>
    <w:rsid w:val="00032F5B"/>
    <w:rsid w:val="00034E9D"/>
    <w:rsid w:val="0003645D"/>
    <w:rsid w:val="000373BC"/>
    <w:rsid w:val="00037B34"/>
    <w:rsid w:val="00037F4B"/>
    <w:rsid w:val="000407C9"/>
    <w:rsid w:val="0004168D"/>
    <w:rsid w:val="00042D20"/>
    <w:rsid w:val="00043C4B"/>
    <w:rsid w:val="0004646B"/>
    <w:rsid w:val="000475E4"/>
    <w:rsid w:val="00047D67"/>
    <w:rsid w:val="00050DF6"/>
    <w:rsid w:val="00051964"/>
    <w:rsid w:val="00051A65"/>
    <w:rsid w:val="000528E6"/>
    <w:rsid w:val="00053EBE"/>
    <w:rsid w:val="00054FE0"/>
    <w:rsid w:val="000551C1"/>
    <w:rsid w:val="00055251"/>
    <w:rsid w:val="000552FA"/>
    <w:rsid w:val="000553B4"/>
    <w:rsid w:val="00057236"/>
    <w:rsid w:val="0006017B"/>
    <w:rsid w:val="000619FD"/>
    <w:rsid w:val="00063366"/>
    <w:rsid w:val="00072929"/>
    <w:rsid w:val="00073274"/>
    <w:rsid w:val="0007424C"/>
    <w:rsid w:val="00076A8D"/>
    <w:rsid w:val="000813B0"/>
    <w:rsid w:val="0008148B"/>
    <w:rsid w:val="0008165E"/>
    <w:rsid w:val="00081C8C"/>
    <w:rsid w:val="00082F59"/>
    <w:rsid w:val="00087B93"/>
    <w:rsid w:val="00087F3F"/>
    <w:rsid w:val="000930AE"/>
    <w:rsid w:val="00093D95"/>
    <w:rsid w:val="00094124"/>
    <w:rsid w:val="00097211"/>
    <w:rsid w:val="0009793B"/>
    <w:rsid w:val="000A0942"/>
    <w:rsid w:val="000A20A4"/>
    <w:rsid w:val="000A2275"/>
    <w:rsid w:val="000A2389"/>
    <w:rsid w:val="000A238F"/>
    <w:rsid w:val="000A2C7C"/>
    <w:rsid w:val="000A445A"/>
    <w:rsid w:val="000A66FD"/>
    <w:rsid w:val="000A7211"/>
    <w:rsid w:val="000B0B4E"/>
    <w:rsid w:val="000B1D37"/>
    <w:rsid w:val="000B2C93"/>
    <w:rsid w:val="000B36DD"/>
    <w:rsid w:val="000B5711"/>
    <w:rsid w:val="000B6020"/>
    <w:rsid w:val="000B691A"/>
    <w:rsid w:val="000C2283"/>
    <w:rsid w:val="000C27CA"/>
    <w:rsid w:val="000C46DF"/>
    <w:rsid w:val="000C5940"/>
    <w:rsid w:val="000C59CB"/>
    <w:rsid w:val="000C6D13"/>
    <w:rsid w:val="000C758C"/>
    <w:rsid w:val="000D0B08"/>
    <w:rsid w:val="000D0B09"/>
    <w:rsid w:val="000D0CE1"/>
    <w:rsid w:val="000D199C"/>
    <w:rsid w:val="000D514C"/>
    <w:rsid w:val="000D6664"/>
    <w:rsid w:val="000D71F7"/>
    <w:rsid w:val="000E087D"/>
    <w:rsid w:val="000E0BB0"/>
    <w:rsid w:val="000E0BEA"/>
    <w:rsid w:val="000E4C0C"/>
    <w:rsid w:val="000E67E4"/>
    <w:rsid w:val="000F24C8"/>
    <w:rsid w:val="000F3DA0"/>
    <w:rsid w:val="000F4876"/>
    <w:rsid w:val="000F555D"/>
    <w:rsid w:val="000F57B1"/>
    <w:rsid w:val="000F6B9F"/>
    <w:rsid w:val="000F7975"/>
    <w:rsid w:val="000F7A45"/>
    <w:rsid w:val="000F7FD8"/>
    <w:rsid w:val="00100BAC"/>
    <w:rsid w:val="001017B7"/>
    <w:rsid w:val="001034C6"/>
    <w:rsid w:val="00103D64"/>
    <w:rsid w:val="001049B0"/>
    <w:rsid w:val="00104ADB"/>
    <w:rsid w:val="00105532"/>
    <w:rsid w:val="001057BC"/>
    <w:rsid w:val="00105B76"/>
    <w:rsid w:val="00106127"/>
    <w:rsid w:val="00107D2F"/>
    <w:rsid w:val="001133D5"/>
    <w:rsid w:val="00114068"/>
    <w:rsid w:val="001150E9"/>
    <w:rsid w:val="001224BA"/>
    <w:rsid w:val="001234E7"/>
    <w:rsid w:val="001239BF"/>
    <w:rsid w:val="00127757"/>
    <w:rsid w:val="00127E51"/>
    <w:rsid w:val="00130F33"/>
    <w:rsid w:val="00132A80"/>
    <w:rsid w:val="00132F95"/>
    <w:rsid w:val="00135F5A"/>
    <w:rsid w:val="00136382"/>
    <w:rsid w:val="00136CBF"/>
    <w:rsid w:val="00136EC9"/>
    <w:rsid w:val="001373A9"/>
    <w:rsid w:val="001405F5"/>
    <w:rsid w:val="00141050"/>
    <w:rsid w:val="0014155A"/>
    <w:rsid w:val="00141846"/>
    <w:rsid w:val="0014215C"/>
    <w:rsid w:val="001426E4"/>
    <w:rsid w:val="0014307A"/>
    <w:rsid w:val="00144D0B"/>
    <w:rsid w:val="00146080"/>
    <w:rsid w:val="0014698A"/>
    <w:rsid w:val="00147566"/>
    <w:rsid w:val="0015058B"/>
    <w:rsid w:val="001507FD"/>
    <w:rsid w:val="00150A0A"/>
    <w:rsid w:val="00151053"/>
    <w:rsid w:val="00151442"/>
    <w:rsid w:val="00151FBB"/>
    <w:rsid w:val="0015211F"/>
    <w:rsid w:val="00155F96"/>
    <w:rsid w:val="00156408"/>
    <w:rsid w:val="00156A6B"/>
    <w:rsid w:val="0016114C"/>
    <w:rsid w:val="00161DF9"/>
    <w:rsid w:val="00161ED0"/>
    <w:rsid w:val="00162CCE"/>
    <w:rsid w:val="00163282"/>
    <w:rsid w:val="00165523"/>
    <w:rsid w:val="00165891"/>
    <w:rsid w:val="00166954"/>
    <w:rsid w:val="00167281"/>
    <w:rsid w:val="001672CF"/>
    <w:rsid w:val="00170301"/>
    <w:rsid w:val="00170545"/>
    <w:rsid w:val="00171ADD"/>
    <w:rsid w:val="001720AA"/>
    <w:rsid w:val="001720DD"/>
    <w:rsid w:val="001723FE"/>
    <w:rsid w:val="00173688"/>
    <w:rsid w:val="0017459B"/>
    <w:rsid w:val="00175B2F"/>
    <w:rsid w:val="0017695F"/>
    <w:rsid w:val="0018044A"/>
    <w:rsid w:val="0018119C"/>
    <w:rsid w:val="00182F0F"/>
    <w:rsid w:val="00183C9D"/>
    <w:rsid w:val="00183D24"/>
    <w:rsid w:val="001843F8"/>
    <w:rsid w:val="001851A6"/>
    <w:rsid w:val="001875A7"/>
    <w:rsid w:val="001879E1"/>
    <w:rsid w:val="001923B6"/>
    <w:rsid w:val="0019389B"/>
    <w:rsid w:val="00194314"/>
    <w:rsid w:val="00194582"/>
    <w:rsid w:val="0019576A"/>
    <w:rsid w:val="001A1B88"/>
    <w:rsid w:val="001A1B94"/>
    <w:rsid w:val="001A22F5"/>
    <w:rsid w:val="001A2C3C"/>
    <w:rsid w:val="001A301B"/>
    <w:rsid w:val="001A4FA4"/>
    <w:rsid w:val="001A5B3D"/>
    <w:rsid w:val="001A7D1C"/>
    <w:rsid w:val="001A7DDE"/>
    <w:rsid w:val="001A7FD2"/>
    <w:rsid w:val="001B107D"/>
    <w:rsid w:val="001B2C57"/>
    <w:rsid w:val="001B2CD9"/>
    <w:rsid w:val="001B3581"/>
    <w:rsid w:val="001B6049"/>
    <w:rsid w:val="001B62A0"/>
    <w:rsid w:val="001B790F"/>
    <w:rsid w:val="001B7D42"/>
    <w:rsid w:val="001C1298"/>
    <w:rsid w:val="001C282F"/>
    <w:rsid w:val="001C466E"/>
    <w:rsid w:val="001C4E35"/>
    <w:rsid w:val="001C6B9A"/>
    <w:rsid w:val="001D0086"/>
    <w:rsid w:val="001D0094"/>
    <w:rsid w:val="001D33B5"/>
    <w:rsid w:val="001D425D"/>
    <w:rsid w:val="001D6E30"/>
    <w:rsid w:val="001D7012"/>
    <w:rsid w:val="001D7BD2"/>
    <w:rsid w:val="001D7E70"/>
    <w:rsid w:val="001E1355"/>
    <w:rsid w:val="001E2A4D"/>
    <w:rsid w:val="001E4BFA"/>
    <w:rsid w:val="001E53C2"/>
    <w:rsid w:val="001E551B"/>
    <w:rsid w:val="001F0E9C"/>
    <w:rsid w:val="001F10AD"/>
    <w:rsid w:val="001F1540"/>
    <w:rsid w:val="001F3905"/>
    <w:rsid w:val="001F4726"/>
    <w:rsid w:val="001F652C"/>
    <w:rsid w:val="001F739F"/>
    <w:rsid w:val="001F78D9"/>
    <w:rsid w:val="00202DB8"/>
    <w:rsid w:val="00203D3E"/>
    <w:rsid w:val="00205449"/>
    <w:rsid w:val="00205B1E"/>
    <w:rsid w:val="00205EEB"/>
    <w:rsid w:val="00207736"/>
    <w:rsid w:val="00210FD2"/>
    <w:rsid w:val="00212460"/>
    <w:rsid w:val="0021387D"/>
    <w:rsid w:val="00215D0D"/>
    <w:rsid w:val="00217AEF"/>
    <w:rsid w:val="0022119B"/>
    <w:rsid w:val="00221576"/>
    <w:rsid w:val="00221EC9"/>
    <w:rsid w:val="00223ECD"/>
    <w:rsid w:val="002240FC"/>
    <w:rsid w:val="002241A6"/>
    <w:rsid w:val="002241E8"/>
    <w:rsid w:val="00224774"/>
    <w:rsid w:val="002247B0"/>
    <w:rsid w:val="00224D5D"/>
    <w:rsid w:val="00224F7A"/>
    <w:rsid w:val="00225152"/>
    <w:rsid w:val="00226633"/>
    <w:rsid w:val="00230E81"/>
    <w:rsid w:val="00232673"/>
    <w:rsid w:val="002326D1"/>
    <w:rsid w:val="00236863"/>
    <w:rsid w:val="002375B6"/>
    <w:rsid w:val="00237C1F"/>
    <w:rsid w:val="00237D0D"/>
    <w:rsid w:val="0024089F"/>
    <w:rsid w:val="002433A4"/>
    <w:rsid w:val="002435DC"/>
    <w:rsid w:val="002445CE"/>
    <w:rsid w:val="00247B17"/>
    <w:rsid w:val="00250389"/>
    <w:rsid w:val="00250EC0"/>
    <w:rsid w:val="00251F2E"/>
    <w:rsid w:val="00252669"/>
    <w:rsid w:val="002534FB"/>
    <w:rsid w:val="00253EAE"/>
    <w:rsid w:val="00254209"/>
    <w:rsid w:val="00254288"/>
    <w:rsid w:val="002545AA"/>
    <w:rsid w:val="0025469C"/>
    <w:rsid w:val="002579CE"/>
    <w:rsid w:val="00257F01"/>
    <w:rsid w:val="00260D0F"/>
    <w:rsid w:val="00260FEC"/>
    <w:rsid w:val="00261DD6"/>
    <w:rsid w:val="00262B28"/>
    <w:rsid w:val="00262BA8"/>
    <w:rsid w:val="00263CD5"/>
    <w:rsid w:val="00264223"/>
    <w:rsid w:val="002657E2"/>
    <w:rsid w:val="0026609C"/>
    <w:rsid w:val="002705D2"/>
    <w:rsid w:val="002724C3"/>
    <w:rsid w:val="002727CC"/>
    <w:rsid w:val="002734CD"/>
    <w:rsid w:val="00273679"/>
    <w:rsid w:val="00273940"/>
    <w:rsid w:val="00274D9D"/>
    <w:rsid w:val="0028009F"/>
    <w:rsid w:val="00280E27"/>
    <w:rsid w:val="00281735"/>
    <w:rsid w:val="00281A35"/>
    <w:rsid w:val="0028241D"/>
    <w:rsid w:val="00283E90"/>
    <w:rsid w:val="00284144"/>
    <w:rsid w:val="00284486"/>
    <w:rsid w:val="00284947"/>
    <w:rsid w:val="00285644"/>
    <w:rsid w:val="0028581E"/>
    <w:rsid w:val="002874EB"/>
    <w:rsid w:val="002921EB"/>
    <w:rsid w:val="0029282F"/>
    <w:rsid w:val="00292DE5"/>
    <w:rsid w:val="0029330C"/>
    <w:rsid w:val="00293491"/>
    <w:rsid w:val="00293A8C"/>
    <w:rsid w:val="00295958"/>
    <w:rsid w:val="002A0FB8"/>
    <w:rsid w:val="002A30E4"/>
    <w:rsid w:val="002A3131"/>
    <w:rsid w:val="002A3B3C"/>
    <w:rsid w:val="002A4D71"/>
    <w:rsid w:val="002A6193"/>
    <w:rsid w:val="002A79CB"/>
    <w:rsid w:val="002A7BD4"/>
    <w:rsid w:val="002A7F32"/>
    <w:rsid w:val="002B20A1"/>
    <w:rsid w:val="002B2147"/>
    <w:rsid w:val="002B226E"/>
    <w:rsid w:val="002B3E1D"/>
    <w:rsid w:val="002B4524"/>
    <w:rsid w:val="002B46D4"/>
    <w:rsid w:val="002B54CF"/>
    <w:rsid w:val="002B57E5"/>
    <w:rsid w:val="002B610C"/>
    <w:rsid w:val="002C0DE9"/>
    <w:rsid w:val="002C1274"/>
    <w:rsid w:val="002C1A9C"/>
    <w:rsid w:val="002C2BE7"/>
    <w:rsid w:val="002C51F7"/>
    <w:rsid w:val="002C5FE8"/>
    <w:rsid w:val="002C6FE0"/>
    <w:rsid w:val="002C7611"/>
    <w:rsid w:val="002C7B0B"/>
    <w:rsid w:val="002D1BE4"/>
    <w:rsid w:val="002D5DDD"/>
    <w:rsid w:val="002D724D"/>
    <w:rsid w:val="002D7B5B"/>
    <w:rsid w:val="002E07C6"/>
    <w:rsid w:val="002E11DE"/>
    <w:rsid w:val="002E42D8"/>
    <w:rsid w:val="002E5015"/>
    <w:rsid w:val="002E577C"/>
    <w:rsid w:val="002E7ACF"/>
    <w:rsid w:val="002F0738"/>
    <w:rsid w:val="002F0CE9"/>
    <w:rsid w:val="002F18C3"/>
    <w:rsid w:val="002F199F"/>
    <w:rsid w:val="002F2DA1"/>
    <w:rsid w:val="002F3691"/>
    <w:rsid w:val="002F3BD0"/>
    <w:rsid w:val="002F5B19"/>
    <w:rsid w:val="002F67AA"/>
    <w:rsid w:val="003001B5"/>
    <w:rsid w:val="00300A0B"/>
    <w:rsid w:val="00301F46"/>
    <w:rsid w:val="0030387B"/>
    <w:rsid w:val="00303CAD"/>
    <w:rsid w:val="00304689"/>
    <w:rsid w:val="003046FD"/>
    <w:rsid w:val="003053CA"/>
    <w:rsid w:val="00306418"/>
    <w:rsid w:val="003068F2"/>
    <w:rsid w:val="0030726B"/>
    <w:rsid w:val="003100F3"/>
    <w:rsid w:val="0031083C"/>
    <w:rsid w:val="00310C11"/>
    <w:rsid w:val="00312313"/>
    <w:rsid w:val="00315492"/>
    <w:rsid w:val="00316600"/>
    <w:rsid w:val="003172EC"/>
    <w:rsid w:val="003201BA"/>
    <w:rsid w:val="00320CBA"/>
    <w:rsid w:val="0032170B"/>
    <w:rsid w:val="00323325"/>
    <w:rsid w:val="003243B0"/>
    <w:rsid w:val="00325EC0"/>
    <w:rsid w:val="00326030"/>
    <w:rsid w:val="00327B27"/>
    <w:rsid w:val="003312A0"/>
    <w:rsid w:val="00331450"/>
    <w:rsid w:val="00331748"/>
    <w:rsid w:val="003340EC"/>
    <w:rsid w:val="003350FF"/>
    <w:rsid w:val="003367F9"/>
    <w:rsid w:val="0034057C"/>
    <w:rsid w:val="00343E36"/>
    <w:rsid w:val="00350142"/>
    <w:rsid w:val="00351628"/>
    <w:rsid w:val="00351F58"/>
    <w:rsid w:val="00351FE4"/>
    <w:rsid w:val="003526FB"/>
    <w:rsid w:val="00353B6D"/>
    <w:rsid w:val="00354920"/>
    <w:rsid w:val="00355AA1"/>
    <w:rsid w:val="00355DC6"/>
    <w:rsid w:val="00357AEA"/>
    <w:rsid w:val="003604D7"/>
    <w:rsid w:val="0036351E"/>
    <w:rsid w:val="00363664"/>
    <w:rsid w:val="0036382F"/>
    <w:rsid w:val="00364521"/>
    <w:rsid w:val="003649D3"/>
    <w:rsid w:val="00365026"/>
    <w:rsid w:val="00367287"/>
    <w:rsid w:val="00367F82"/>
    <w:rsid w:val="00372255"/>
    <w:rsid w:val="00372534"/>
    <w:rsid w:val="003756AF"/>
    <w:rsid w:val="00375815"/>
    <w:rsid w:val="00376EC8"/>
    <w:rsid w:val="00380441"/>
    <w:rsid w:val="003816A3"/>
    <w:rsid w:val="00382696"/>
    <w:rsid w:val="00382F96"/>
    <w:rsid w:val="0038438A"/>
    <w:rsid w:val="003864D2"/>
    <w:rsid w:val="00390249"/>
    <w:rsid w:val="00390BF8"/>
    <w:rsid w:val="00391A95"/>
    <w:rsid w:val="00392877"/>
    <w:rsid w:val="00392E12"/>
    <w:rsid w:val="003932E8"/>
    <w:rsid w:val="00393C64"/>
    <w:rsid w:val="003942CB"/>
    <w:rsid w:val="00394645"/>
    <w:rsid w:val="00394D7E"/>
    <w:rsid w:val="003956E9"/>
    <w:rsid w:val="00395D7C"/>
    <w:rsid w:val="003965EC"/>
    <w:rsid w:val="00396BA0"/>
    <w:rsid w:val="003A0E17"/>
    <w:rsid w:val="003A111E"/>
    <w:rsid w:val="003A16D4"/>
    <w:rsid w:val="003A3482"/>
    <w:rsid w:val="003A357E"/>
    <w:rsid w:val="003A6757"/>
    <w:rsid w:val="003A699E"/>
    <w:rsid w:val="003A6E62"/>
    <w:rsid w:val="003A78B5"/>
    <w:rsid w:val="003A796B"/>
    <w:rsid w:val="003A7BE8"/>
    <w:rsid w:val="003A7C85"/>
    <w:rsid w:val="003A7FBE"/>
    <w:rsid w:val="003B0D09"/>
    <w:rsid w:val="003B165A"/>
    <w:rsid w:val="003B2140"/>
    <w:rsid w:val="003B2F88"/>
    <w:rsid w:val="003B3326"/>
    <w:rsid w:val="003B3EF3"/>
    <w:rsid w:val="003B4F63"/>
    <w:rsid w:val="003C1510"/>
    <w:rsid w:val="003C2456"/>
    <w:rsid w:val="003C2478"/>
    <w:rsid w:val="003C28B8"/>
    <w:rsid w:val="003C2948"/>
    <w:rsid w:val="003C3768"/>
    <w:rsid w:val="003C6934"/>
    <w:rsid w:val="003C74F9"/>
    <w:rsid w:val="003C7827"/>
    <w:rsid w:val="003C7FD0"/>
    <w:rsid w:val="003D0268"/>
    <w:rsid w:val="003D0323"/>
    <w:rsid w:val="003D1A43"/>
    <w:rsid w:val="003D1A64"/>
    <w:rsid w:val="003D306C"/>
    <w:rsid w:val="003D3501"/>
    <w:rsid w:val="003D3757"/>
    <w:rsid w:val="003D37E4"/>
    <w:rsid w:val="003D3A9C"/>
    <w:rsid w:val="003D463A"/>
    <w:rsid w:val="003D6B3D"/>
    <w:rsid w:val="003E1278"/>
    <w:rsid w:val="003E13A6"/>
    <w:rsid w:val="003E16CF"/>
    <w:rsid w:val="003E31E5"/>
    <w:rsid w:val="003E32ED"/>
    <w:rsid w:val="003E3A39"/>
    <w:rsid w:val="003E4693"/>
    <w:rsid w:val="003E56BD"/>
    <w:rsid w:val="003E58C9"/>
    <w:rsid w:val="003E79C7"/>
    <w:rsid w:val="003F204B"/>
    <w:rsid w:val="003F36D7"/>
    <w:rsid w:val="003F4DBD"/>
    <w:rsid w:val="003F578D"/>
    <w:rsid w:val="003F5E0D"/>
    <w:rsid w:val="003F650B"/>
    <w:rsid w:val="003F67B8"/>
    <w:rsid w:val="003F7A60"/>
    <w:rsid w:val="004004E9"/>
    <w:rsid w:val="00400FDE"/>
    <w:rsid w:val="00402109"/>
    <w:rsid w:val="00402595"/>
    <w:rsid w:val="004033A7"/>
    <w:rsid w:val="00403885"/>
    <w:rsid w:val="004052C5"/>
    <w:rsid w:val="00405DBA"/>
    <w:rsid w:val="004100AA"/>
    <w:rsid w:val="00412203"/>
    <w:rsid w:val="00414815"/>
    <w:rsid w:val="0041563A"/>
    <w:rsid w:val="00417DE3"/>
    <w:rsid w:val="004203EE"/>
    <w:rsid w:val="00420B07"/>
    <w:rsid w:val="00422869"/>
    <w:rsid w:val="00422DDF"/>
    <w:rsid w:val="00424F57"/>
    <w:rsid w:val="00426448"/>
    <w:rsid w:val="00427207"/>
    <w:rsid w:val="0043139F"/>
    <w:rsid w:val="0043197C"/>
    <w:rsid w:val="0043257A"/>
    <w:rsid w:val="00436FD3"/>
    <w:rsid w:val="004406CF"/>
    <w:rsid w:val="00441804"/>
    <w:rsid w:val="0044293C"/>
    <w:rsid w:val="004435B4"/>
    <w:rsid w:val="00444335"/>
    <w:rsid w:val="0044446C"/>
    <w:rsid w:val="00444AC3"/>
    <w:rsid w:val="004471B4"/>
    <w:rsid w:val="00450248"/>
    <w:rsid w:val="004517E5"/>
    <w:rsid w:val="004520DF"/>
    <w:rsid w:val="0046048A"/>
    <w:rsid w:val="00460606"/>
    <w:rsid w:val="00461690"/>
    <w:rsid w:val="00462ED7"/>
    <w:rsid w:val="00464C62"/>
    <w:rsid w:val="00466346"/>
    <w:rsid w:val="00466662"/>
    <w:rsid w:val="004711A3"/>
    <w:rsid w:val="00473F17"/>
    <w:rsid w:val="00474EE0"/>
    <w:rsid w:val="004751D6"/>
    <w:rsid w:val="00475973"/>
    <w:rsid w:val="00476345"/>
    <w:rsid w:val="00477DBA"/>
    <w:rsid w:val="00477E20"/>
    <w:rsid w:val="004805C1"/>
    <w:rsid w:val="00480BB8"/>
    <w:rsid w:val="00481674"/>
    <w:rsid w:val="00481D51"/>
    <w:rsid w:val="0048519E"/>
    <w:rsid w:val="00485EC7"/>
    <w:rsid w:val="00485F1D"/>
    <w:rsid w:val="004860BD"/>
    <w:rsid w:val="00487430"/>
    <w:rsid w:val="00492519"/>
    <w:rsid w:val="00492DCA"/>
    <w:rsid w:val="00493283"/>
    <w:rsid w:val="0049425C"/>
    <w:rsid w:val="004943AE"/>
    <w:rsid w:val="0049667A"/>
    <w:rsid w:val="004979A2"/>
    <w:rsid w:val="004A0A7B"/>
    <w:rsid w:val="004A0BB0"/>
    <w:rsid w:val="004A0C66"/>
    <w:rsid w:val="004A0D2F"/>
    <w:rsid w:val="004A1FE5"/>
    <w:rsid w:val="004A26CD"/>
    <w:rsid w:val="004A2A21"/>
    <w:rsid w:val="004A3584"/>
    <w:rsid w:val="004A5121"/>
    <w:rsid w:val="004A577A"/>
    <w:rsid w:val="004A7990"/>
    <w:rsid w:val="004B134D"/>
    <w:rsid w:val="004B1796"/>
    <w:rsid w:val="004B2BA1"/>
    <w:rsid w:val="004B2C95"/>
    <w:rsid w:val="004B3AFE"/>
    <w:rsid w:val="004B591D"/>
    <w:rsid w:val="004B7542"/>
    <w:rsid w:val="004C37AA"/>
    <w:rsid w:val="004C434E"/>
    <w:rsid w:val="004C4ACC"/>
    <w:rsid w:val="004C6AC1"/>
    <w:rsid w:val="004C7E83"/>
    <w:rsid w:val="004D088D"/>
    <w:rsid w:val="004D2A6A"/>
    <w:rsid w:val="004D366A"/>
    <w:rsid w:val="004D5893"/>
    <w:rsid w:val="004D5DB3"/>
    <w:rsid w:val="004D6246"/>
    <w:rsid w:val="004D6B98"/>
    <w:rsid w:val="004E0096"/>
    <w:rsid w:val="004E1DDE"/>
    <w:rsid w:val="004E345F"/>
    <w:rsid w:val="004E3545"/>
    <w:rsid w:val="004E41C7"/>
    <w:rsid w:val="004E58C3"/>
    <w:rsid w:val="004E5A21"/>
    <w:rsid w:val="004E7335"/>
    <w:rsid w:val="004E7FE7"/>
    <w:rsid w:val="004F0A2C"/>
    <w:rsid w:val="004F2D88"/>
    <w:rsid w:val="004F3A02"/>
    <w:rsid w:val="004F41A2"/>
    <w:rsid w:val="004F44EC"/>
    <w:rsid w:val="004F4E53"/>
    <w:rsid w:val="005001F3"/>
    <w:rsid w:val="005008D7"/>
    <w:rsid w:val="00501F15"/>
    <w:rsid w:val="00502D8D"/>
    <w:rsid w:val="005032CC"/>
    <w:rsid w:val="0050434B"/>
    <w:rsid w:val="0050485B"/>
    <w:rsid w:val="00505111"/>
    <w:rsid w:val="005070C3"/>
    <w:rsid w:val="005124DC"/>
    <w:rsid w:val="00512F7F"/>
    <w:rsid w:val="0051401F"/>
    <w:rsid w:val="00515991"/>
    <w:rsid w:val="00520DD5"/>
    <w:rsid w:val="005214F8"/>
    <w:rsid w:val="005220BE"/>
    <w:rsid w:val="00525BFE"/>
    <w:rsid w:val="00526667"/>
    <w:rsid w:val="0053216F"/>
    <w:rsid w:val="005349F9"/>
    <w:rsid w:val="00536196"/>
    <w:rsid w:val="00540DFD"/>
    <w:rsid w:val="00541D46"/>
    <w:rsid w:val="00542D5F"/>
    <w:rsid w:val="00542F88"/>
    <w:rsid w:val="005435DE"/>
    <w:rsid w:val="0054474A"/>
    <w:rsid w:val="00544C28"/>
    <w:rsid w:val="00545159"/>
    <w:rsid w:val="00546BAE"/>
    <w:rsid w:val="0055002A"/>
    <w:rsid w:val="00552EBD"/>
    <w:rsid w:val="00553827"/>
    <w:rsid w:val="005557CA"/>
    <w:rsid w:val="00555F71"/>
    <w:rsid w:val="00557B1C"/>
    <w:rsid w:val="005609D1"/>
    <w:rsid w:val="00562534"/>
    <w:rsid w:val="005643DB"/>
    <w:rsid w:val="0056521E"/>
    <w:rsid w:val="00566528"/>
    <w:rsid w:val="0057338D"/>
    <w:rsid w:val="00573AC5"/>
    <w:rsid w:val="005740F6"/>
    <w:rsid w:val="005743D2"/>
    <w:rsid w:val="005749CA"/>
    <w:rsid w:val="00575CB8"/>
    <w:rsid w:val="00575DE3"/>
    <w:rsid w:val="00576F74"/>
    <w:rsid w:val="005802BD"/>
    <w:rsid w:val="00583392"/>
    <w:rsid w:val="00586FA8"/>
    <w:rsid w:val="00587F23"/>
    <w:rsid w:val="00591E3A"/>
    <w:rsid w:val="00593CB4"/>
    <w:rsid w:val="00597A04"/>
    <w:rsid w:val="005A1156"/>
    <w:rsid w:val="005A1803"/>
    <w:rsid w:val="005A1E4C"/>
    <w:rsid w:val="005A3131"/>
    <w:rsid w:val="005A4096"/>
    <w:rsid w:val="005A6369"/>
    <w:rsid w:val="005B0196"/>
    <w:rsid w:val="005B0D7C"/>
    <w:rsid w:val="005B0DAF"/>
    <w:rsid w:val="005B0E86"/>
    <w:rsid w:val="005B27D6"/>
    <w:rsid w:val="005B2CD4"/>
    <w:rsid w:val="005B3A3B"/>
    <w:rsid w:val="005B5DEE"/>
    <w:rsid w:val="005B6854"/>
    <w:rsid w:val="005C0DBE"/>
    <w:rsid w:val="005C3721"/>
    <w:rsid w:val="005C4034"/>
    <w:rsid w:val="005C465F"/>
    <w:rsid w:val="005C651C"/>
    <w:rsid w:val="005C6D3A"/>
    <w:rsid w:val="005D0D06"/>
    <w:rsid w:val="005D13C2"/>
    <w:rsid w:val="005D1427"/>
    <w:rsid w:val="005D2B62"/>
    <w:rsid w:val="005D3B24"/>
    <w:rsid w:val="005D49C8"/>
    <w:rsid w:val="005D4C33"/>
    <w:rsid w:val="005D5607"/>
    <w:rsid w:val="005D573F"/>
    <w:rsid w:val="005E1136"/>
    <w:rsid w:val="005E1D8E"/>
    <w:rsid w:val="005E37BB"/>
    <w:rsid w:val="005E37E9"/>
    <w:rsid w:val="005F03DB"/>
    <w:rsid w:val="005F11C2"/>
    <w:rsid w:val="005F1701"/>
    <w:rsid w:val="005F3C27"/>
    <w:rsid w:val="005F4B24"/>
    <w:rsid w:val="005F77BB"/>
    <w:rsid w:val="005F7B7F"/>
    <w:rsid w:val="00602E30"/>
    <w:rsid w:val="00603706"/>
    <w:rsid w:val="00603A46"/>
    <w:rsid w:val="0060578B"/>
    <w:rsid w:val="00611A49"/>
    <w:rsid w:val="00612181"/>
    <w:rsid w:val="00613017"/>
    <w:rsid w:val="00613A54"/>
    <w:rsid w:val="00616189"/>
    <w:rsid w:val="006166F0"/>
    <w:rsid w:val="00620343"/>
    <w:rsid w:val="00620EE6"/>
    <w:rsid w:val="006213D7"/>
    <w:rsid w:val="00621760"/>
    <w:rsid w:val="006217BB"/>
    <w:rsid w:val="00621B0D"/>
    <w:rsid w:val="00621BF7"/>
    <w:rsid w:val="00624BB7"/>
    <w:rsid w:val="00624BE1"/>
    <w:rsid w:val="00625B0A"/>
    <w:rsid w:val="00625BD5"/>
    <w:rsid w:val="00625DFB"/>
    <w:rsid w:val="0062725F"/>
    <w:rsid w:val="006323E3"/>
    <w:rsid w:val="00634CEB"/>
    <w:rsid w:val="00636E0D"/>
    <w:rsid w:val="00637179"/>
    <w:rsid w:val="0063734D"/>
    <w:rsid w:val="006444C4"/>
    <w:rsid w:val="006457EA"/>
    <w:rsid w:val="00646100"/>
    <w:rsid w:val="006476CA"/>
    <w:rsid w:val="006507A4"/>
    <w:rsid w:val="0065100D"/>
    <w:rsid w:val="006510BE"/>
    <w:rsid w:val="0065118C"/>
    <w:rsid w:val="00652D65"/>
    <w:rsid w:val="00653D74"/>
    <w:rsid w:val="00653F19"/>
    <w:rsid w:val="006552AE"/>
    <w:rsid w:val="00655773"/>
    <w:rsid w:val="006563CA"/>
    <w:rsid w:val="00656844"/>
    <w:rsid w:val="006578FC"/>
    <w:rsid w:val="006608AB"/>
    <w:rsid w:val="00662E00"/>
    <w:rsid w:val="00663B2D"/>
    <w:rsid w:val="00664587"/>
    <w:rsid w:val="00665164"/>
    <w:rsid w:val="0066578E"/>
    <w:rsid w:val="00666F25"/>
    <w:rsid w:val="00667C1C"/>
    <w:rsid w:val="00671885"/>
    <w:rsid w:val="00671D1D"/>
    <w:rsid w:val="00673DD4"/>
    <w:rsid w:val="00674AEB"/>
    <w:rsid w:val="006753B0"/>
    <w:rsid w:val="0067635F"/>
    <w:rsid w:val="00676F42"/>
    <w:rsid w:val="00681656"/>
    <w:rsid w:val="00682008"/>
    <w:rsid w:val="006820F0"/>
    <w:rsid w:val="00683C5F"/>
    <w:rsid w:val="00683CB5"/>
    <w:rsid w:val="0068455C"/>
    <w:rsid w:val="00685328"/>
    <w:rsid w:val="00687C3C"/>
    <w:rsid w:val="00690562"/>
    <w:rsid w:val="0069333E"/>
    <w:rsid w:val="00693C8E"/>
    <w:rsid w:val="006969BA"/>
    <w:rsid w:val="006A018D"/>
    <w:rsid w:val="006A026A"/>
    <w:rsid w:val="006A0425"/>
    <w:rsid w:val="006A1D62"/>
    <w:rsid w:val="006A3759"/>
    <w:rsid w:val="006A4AFF"/>
    <w:rsid w:val="006A6D7F"/>
    <w:rsid w:val="006A73F2"/>
    <w:rsid w:val="006A7D10"/>
    <w:rsid w:val="006A7EA3"/>
    <w:rsid w:val="006B0298"/>
    <w:rsid w:val="006B0E83"/>
    <w:rsid w:val="006B199C"/>
    <w:rsid w:val="006B3232"/>
    <w:rsid w:val="006B3F47"/>
    <w:rsid w:val="006B4141"/>
    <w:rsid w:val="006B4535"/>
    <w:rsid w:val="006B49AE"/>
    <w:rsid w:val="006B5493"/>
    <w:rsid w:val="006B6FCB"/>
    <w:rsid w:val="006B796B"/>
    <w:rsid w:val="006C10C0"/>
    <w:rsid w:val="006C1B1D"/>
    <w:rsid w:val="006C25FD"/>
    <w:rsid w:val="006C2DF5"/>
    <w:rsid w:val="006C31E0"/>
    <w:rsid w:val="006C32BB"/>
    <w:rsid w:val="006C349C"/>
    <w:rsid w:val="006C3747"/>
    <w:rsid w:val="006C4132"/>
    <w:rsid w:val="006C6F31"/>
    <w:rsid w:val="006C7760"/>
    <w:rsid w:val="006C7EEA"/>
    <w:rsid w:val="006D2ADA"/>
    <w:rsid w:val="006D2B83"/>
    <w:rsid w:val="006D32A6"/>
    <w:rsid w:val="006D5217"/>
    <w:rsid w:val="006D522C"/>
    <w:rsid w:val="006D56AA"/>
    <w:rsid w:val="006D7795"/>
    <w:rsid w:val="006D789D"/>
    <w:rsid w:val="006D7ACB"/>
    <w:rsid w:val="006E00EF"/>
    <w:rsid w:val="006E1340"/>
    <w:rsid w:val="006E1A7A"/>
    <w:rsid w:val="006E38AF"/>
    <w:rsid w:val="006E3DD4"/>
    <w:rsid w:val="006E4846"/>
    <w:rsid w:val="006E72B4"/>
    <w:rsid w:val="006E7ED1"/>
    <w:rsid w:val="006F01E7"/>
    <w:rsid w:val="006F1F3A"/>
    <w:rsid w:val="006F59CF"/>
    <w:rsid w:val="006F7630"/>
    <w:rsid w:val="006F76DD"/>
    <w:rsid w:val="006F7A9A"/>
    <w:rsid w:val="006F7BCD"/>
    <w:rsid w:val="006F7EB8"/>
    <w:rsid w:val="00700912"/>
    <w:rsid w:val="00702DD7"/>
    <w:rsid w:val="0070361C"/>
    <w:rsid w:val="007047D3"/>
    <w:rsid w:val="007052DC"/>
    <w:rsid w:val="00705C40"/>
    <w:rsid w:val="00706723"/>
    <w:rsid w:val="00707499"/>
    <w:rsid w:val="00707FF2"/>
    <w:rsid w:val="0071087E"/>
    <w:rsid w:val="00714C6F"/>
    <w:rsid w:val="0071540F"/>
    <w:rsid w:val="00717731"/>
    <w:rsid w:val="00720761"/>
    <w:rsid w:val="007229A1"/>
    <w:rsid w:val="007235AA"/>
    <w:rsid w:val="007254C7"/>
    <w:rsid w:val="0072794B"/>
    <w:rsid w:val="007300C9"/>
    <w:rsid w:val="00731AE5"/>
    <w:rsid w:val="00731C2B"/>
    <w:rsid w:val="00732289"/>
    <w:rsid w:val="0073268D"/>
    <w:rsid w:val="00735915"/>
    <w:rsid w:val="00735C21"/>
    <w:rsid w:val="0073614A"/>
    <w:rsid w:val="00736FF2"/>
    <w:rsid w:val="00740C8C"/>
    <w:rsid w:val="00741AC4"/>
    <w:rsid w:val="0074285B"/>
    <w:rsid w:val="007430C0"/>
    <w:rsid w:val="00745AEC"/>
    <w:rsid w:val="00745CF2"/>
    <w:rsid w:val="007463E3"/>
    <w:rsid w:val="00746791"/>
    <w:rsid w:val="00747F75"/>
    <w:rsid w:val="00747F8C"/>
    <w:rsid w:val="007515BC"/>
    <w:rsid w:val="00751F63"/>
    <w:rsid w:val="007547EC"/>
    <w:rsid w:val="007573B2"/>
    <w:rsid w:val="007574BB"/>
    <w:rsid w:val="007575E2"/>
    <w:rsid w:val="0075764C"/>
    <w:rsid w:val="0076089D"/>
    <w:rsid w:val="00761D32"/>
    <w:rsid w:val="00762198"/>
    <w:rsid w:val="007635A7"/>
    <w:rsid w:val="00763800"/>
    <w:rsid w:val="00763CE8"/>
    <w:rsid w:val="00763D85"/>
    <w:rsid w:val="00764E7C"/>
    <w:rsid w:val="00765288"/>
    <w:rsid w:val="00765844"/>
    <w:rsid w:val="00766ACC"/>
    <w:rsid w:val="00770792"/>
    <w:rsid w:val="00770F35"/>
    <w:rsid w:val="00773903"/>
    <w:rsid w:val="00773F7C"/>
    <w:rsid w:val="00774FFE"/>
    <w:rsid w:val="00775638"/>
    <w:rsid w:val="00775677"/>
    <w:rsid w:val="0077599A"/>
    <w:rsid w:val="0077622A"/>
    <w:rsid w:val="00777353"/>
    <w:rsid w:val="00777B31"/>
    <w:rsid w:val="00780CD6"/>
    <w:rsid w:val="00782EA4"/>
    <w:rsid w:val="00783627"/>
    <w:rsid w:val="00784B85"/>
    <w:rsid w:val="00785461"/>
    <w:rsid w:val="00786FF3"/>
    <w:rsid w:val="007875AA"/>
    <w:rsid w:val="007876BC"/>
    <w:rsid w:val="007876CF"/>
    <w:rsid w:val="00787778"/>
    <w:rsid w:val="00793090"/>
    <w:rsid w:val="007935E5"/>
    <w:rsid w:val="00795065"/>
    <w:rsid w:val="00796BBC"/>
    <w:rsid w:val="00796F2A"/>
    <w:rsid w:val="0079735A"/>
    <w:rsid w:val="007A0176"/>
    <w:rsid w:val="007A04CE"/>
    <w:rsid w:val="007A2F67"/>
    <w:rsid w:val="007A38C9"/>
    <w:rsid w:val="007A3918"/>
    <w:rsid w:val="007A5707"/>
    <w:rsid w:val="007A6732"/>
    <w:rsid w:val="007B0B08"/>
    <w:rsid w:val="007B0E46"/>
    <w:rsid w:val="007B0E89"/>
    <w:rsid w:val="007B2C38"/>
    <w:rsid w:val="007B2E54"/>
    <w:rsid w:val="007B69E4"/>
    <w:rsid w:val="007B6F5A"/>
    <w:rsid w:val="007B7498"/>
    <w:rsid w:val="007B7AEE"/>
    <w:rsid w:val="007C05C4"/>
    <w:rsid w:val="007C18A8"/>
    <w:rsid w:val="007C45E9"/>
    <w:rsid w:val="007C6E6C"/>
    <w:rsid w:val="007C7EB6"/>
    <w:rsid w:val="007D037A"/>
    <w:rsid w:val="007D1103"/>
    <w:rsid w:val="007D240B"/>
    <w:rsid w:val="007D2F75"/>
    <w:rsid w:val="007D3C0E"/>
    <w:rsid w:val="007D7FE7"/>
    <w:rsid w:val="007E22E7"/>
    <w:rsid w:val="007E41BC"/>
    <w:rsid w:val="007E4232"/>
    <w:rsid w:val="007E44BF"/>
    <w:rsid w:val="007E5ADC"/>
    <w:rsid w:val="007E61C9"/>
    <w:rsid w:val="007E69BB"/>
    <w:rsid w:val="007E6AB8"/>
    <w:rsid w:val="007E73A4"/>
    <w:rsid w:val="007F1B4E"/>
    <w:rsid w:val="007F2109"/>
    <w:rsid w:val="007F21C5"/>
    <w:rsid w:val="007F253F"/>
    <w:rsid w:val="007F28D2"/>
    <w:rsid w:val="007F3ACF"/>
    <w:rsid w:val="007F3EF1"/>
    <w:rsid w:val="007F564B"/>
    <w:rsid w:val="007F63B4"/>
    <w:rsid w:val="00800FD0"/>
    <w:rsid w:val="00801A43"/>
    <w:rsid w:val="00801BCE"/>
    <w:rsid w:val="00802515"/>
    <w:rsid w:val="00802656"/>
    <w:rsid w:val="0081283F"/>
    <w:rsid w:val="008147A2"/>
    <w:rsid w:val="0081480A"/>
    <w:rsid w:val="00814E6D"/>
    <w:rsid w:val="008202EB"/>
    <w:rsid w:val="0082180A"/>
    <w:rsid w:val="00822BC6"/>
    <w:rsid w:val="008240D3"/>
    <w:rsid w:val="00826491"/>
    <w:rsid w:val="00827F88"/>
    <w:rsid w:val="00832012"/>
    <w:rsid w:val="00832A52"/>
    <w:rsid w:val="008336A5"/>
    <w:rsid w:val="0083437E"/>
    <w:rsid w:val="00835474"/>
    <w:rsid w:val="00835F1D"/>
    <w:rsid w:val="008360D7"/>
    <w:rsid w:val="008373C0"/>
    <w:rsid w:val="00840A63"/>
    <w:rsid w:val="0084145F"/>
    <w:rsid w:val="008419FB"/>
    <w:rsid w:val="00841DA2"/>
    <w:rsid w:val="008434ED"/>
    <w:rsid w:val="008458F6"/>
    <w:rsid w:val="00845AED"/>
    <w:rsid w:val="00845CA0"/>
    <w:rsid w:val="0084708E"/>
    <w:rsid w:val="00850571"/>
    <w:rsid w:val="008506B4"/>
    <w:rsid w:val="008506BD"/>
    <w:rsid w:val="008506F4"/>
    <w:rsid w:val="00851AE4"/>
    <w:rsid w:val="00851F1C"/>
    <w:rsid w:val="00852121"/>
    <w:rsid w:val="008533DD"/>
    <w:rsid w:val="0085598D"/>
    <w:rsid w:val="00856700"/>
    <w:rsid w:val="008609FC"/>
    <w:rsid w:val="00861107"/>
    <w:rsid w:val="00862771"/>
    <w:rsid w:val="00862EC5"/>
    <w:rsid w:val="00863003"/>
    <w:rsid w:val="00863B11"/>
    <w:rsid w:val="0086682F"/>
    <w:rsid w:val="00871940"/>
    <w:rsid w:val="0087655E"/>
    <w:rsid w:val="00876F54"/>
    <w:rsid w:val="00877292"/>
    <w:rsid w:val="0087754A"/>
    <w:rsid w:val="0087766C"/>
    <w:rsid w:val="00880552"/>
    <w:rsid w:val="00881C2B"/>
    <w:rsid w:val="008839DA"/>
    <w:rsid w:val="00884A79"/>
    <w:rsid w:val="00884EE8"/>
    <w:rsid w:val="00885168"/>
    <w:rsid w:val="00885230"/>
    <w:rsid w:val="00886861"/>
    <w:rsid w:val="0089173B"/>
    <w:rsid w:val="00891E76"/>
    <w:rsid w:val="0089220F"/>
    <w:rsid w:val="008935AA"/>
    <w:rsid w:val="00895421"/>
    <w:rsid w:val="00895942"/>
    <w:rsid w:val="008963F0"/>
    <w:rsid w:val="00896C53"/>
    <w:rsid w:val="008A03A5"/>
    <w:rsid w:val="008A0886"/>
    <w:rsid w:val="008A0925"/>
    <w:rsid w:val="008A0DF3"/>
    <w:rsid w:val="008A4138"/>
    <w:rsid w:val="008A55C9"/>
    <w:rsid w:val="008A5D96"/>
    <w:rsid w:val="008A631B"/>
    <w:rsid w:val="008A662F"/>
    <w:rsid w:val="008A791B"/>
    <w:rsid w:val="008B1B3B"/>
    <w:rsid w:val="008B2CA2"/>
    <w:rsid w:val="008B3548"/>
    <w:rsid w:val="008B57F8"/>
    <w:rsid w:val="008B5948"/>
    <w:rsid w:val="008B5C43"/>
    <w:rsid w:val="008B5C93"/>
    <w:rsid w:val="008B6848"/>
    <w:rsid w:val="008C2FA1"/>
    <w:rsid w:val="008C483E"/>
    <w:rsid w:val="008C7925"/>
    <w:rsid w:val="008C7D74"/>
    <w:rsid w:val="008D2C4C"/>
    <w:rsid w:val="008D39B7"/>
    <w:rsid w:val="008D6263"/>
    <w:rsid w:val="008D6344"/>
    <w:rsid w:val="008D6C32"/>
    <w:rsid w:val="008D7E0D"/>
    <w:rsid w:val="008D7EDB"/>
    <w:rsid w:val="008E1829"/>
    <w:rsid w:val="008E2327"/>
    <w:rsid w:val="008E3CEE"/>
    <w:rsid w:val="008E5077"/>
    <w:rsid w:val="008E64F0"/>
    <w:rsid w:val="008E6FF3"/>
    <w:rsid w:val="008E7B05"/>
    <w:rsid w:val="008F05F9"/>
    <w:rsid w:val="008F0D89"/>
    <w:rsid w:val="008F18ED"/>
    <w:rsid w:val="008F3EA1"/>
    <w:rsid w:val="008F46C2"/>
    <w:rsid w:val="008F4B45"/>
    <w:rsid w:val="008F5097"/>
    <w:rsid w:val="009001FC"/>
    <w:rsid w:val="00901F26"/>
    <w:rsid w:val="009020A8"/>
    <w:rsid w:val="00902B52"/>
    <w:rsid w:val="00903D37"/>
    <w:rsid w:val="00903F6C"/>
    <w:rsid w:val="00904249"/>
    <w:rsid w:val="00907CDA"/>
    <w:rsid w:val="0091055D"/>
    <w:rsid w:val="00910E4D"/>
    <w:rsid w:val="009135F8"/>
    <w:rsid w:val="00913B76"/>
    <w:rsid w:val="009140A3"/>
    <w:rsid w:val="009141A5"/>
    <w:rsid w:val="00914C61"/>
    <w:rsid w:val="0091633A"/>
    <w:rsid w:val="00917D6F"/>
    <w:rsid w:val="00920587"/>
    <w:rsid w:val="00921B1A"/>
    <w:rsid w:val="00921DDA"/>
    <w:rsid w:val="0092246D"/>
    <w:rsid w:val="009224D2"/>
    <w:rsid w:val="0092600D"/>
    <w:rsid w:val="00927D70"/>
    <w:rsid w:val="00927ED6"/>
    <w:rsid w:val="0093039D"/>
    <w:rsid w:val="00931E4F"/>
    <w:rsid w:val="0093364D"/>
    <w:rsid w:val="00936574"/>
    <w:rsid w:val="00943BCE"/>
    <w:rsid w:val="00947608"/>
    <w:rsid w:val="009519A6"/>
    <w:rsid w:val="009542DA"/>
    <w:rsid w:val="00954D17"/>
    <w:rsid w:val="00957104"/>
    <w:rsid w:val="00957CA8"/>
    <w:rsid w:val="00957F4D"/>
    <w:rsid w:val="00960346"/>
    <w:rsid w:val="009617D3"/>
    <w:rsid w:val="00963DC8"/>
    <w:rsid w:val="0096463B"/>
    <w:rsid w:val="00967869"/>
    <w:rsid w:val="00970475"/>
    <w:rsid w:val="00971F54"/>
    <w:rsid w:val="009725C5"/>
    <w:rsid w:val="00973F40"/>
    <w:rsid w:val="00973FDF"/>
    <w:rsid w:val="00974F1D"/>
    <w:rsid w:val="009771CD"/>
    <w:rsid w:val="009806E2"/>
    <w:rsid w:val="00983031"/>
    <w:rsid w:val="00983AA1"/>
    <w:rsid w:val="009849EF"/>
    <w:rsid w:val="00984BE6"/>
    <w:rsid w:val="00985347"/>
    <w:rsid w:val="00986DB7"/>
    <w:rsid w:val="00990362"/>
    <w:rsid w:val="00990482"/>
    <w:rsid w:val="009929F6"/>
    <w:rsid w:val="0099315B"/>
    <w:rsid w:val="00993262"/>
    <w:rsid w:val="009934CF"/>
    <w:rsid w:val="00993B80"/>
    <w:rsid w:val="00994D5D"/>
    <w:rsid w:val="00995364"/>
    <w:rsid w:val="00995AD7"/>
    <w:rsid w:val="009972BB"/>
    <w:rsid w:val="009A0D75"/>
    <w:rsid w:val="009A25DD"/>
    <w:rsid w:val="009A3007"/>
    <w:rsid w:val="009A32D7"/>
    <w:rsid w:val="009A347A"/>
    <w:rsid w:val="009A50FB"/>
    <w:rsid w:val="009A5876"/>
    <w:rsid w:val="009A620E"/>
    <w:rsid w:val="009A6637"/>
    <w:rsid w:val="009B190E"/>
    <w:rsid w:val="009B26BC"/>
    <w:rsid w:val="009B548D"/>
    <w:rsid w:val="009B634E"/>
    <w:rsid w:val="009B6578"/>
    <w:rsid w:val="009B6A6F"/>
    <w:rsid w:val="009B6F52"/>
    <w:rsid w:val="009C155B"/>
    <w:rsid w:val="009C1AFE"/>
    <w:rsid w:val="009C3FA3"/>
    <w:rsid w:val="009C4081"/>
    <w:rsid w:val="009C44AA"/>
    <w:rsid w:val="009C5531"/>
    <w:rsid w:val="009C5F24"/>
    <w:rsid w:val="009C7247"/>
    <w:rsid w:val="009D048B"/>
    <w:rsid w:val="009D1FDE"/>
    <w:rsid w:val="009D3DB3"/>
    <w:rsid w:val="009D5C3E"/>
    <w:rsid w:val="009D69C6"/>
    <w:rsid w:val="009D7EDD"/>
    <w:rsid w:val="009E27C4"/>
    <w:rsid w:val="009E3A34"/>
    <w:rsid w:val="009E4A3E"/>
    <w:rsid w:val="009E5419"/>
    <w:rsid w:val="009E5A6E"/>
    <w:rsid w:val="009F46DC"/>
    <w:rsid w:val="009F5EC6"/>
    <w:rsid w:val="00A00BF3"/>
    <w:rsid w:val="00A01340"/>
    <w:rsid w:val="00A01944"/>
    <w:rsid w:val="00A01C00"/>
    <w:rsid w:val="00A05317"/>
    <w:rsid w:val="00A05C27"/>
    <w:rsid w:val="00A060A7"/>
    <w:rsid w:val="00A06833"/>
    <w:rsid w:val="00A06D9C"/>
    <w:rsid w:val="00A10AB8"/>
    <w:rsid w:val="00A112F7"/>
    <w:rsid w:val="00A11CAD"/>
    <w:rsid w:val="00A14169"/>
    <w:rsid w:val="00A14880"/>
    <w:rsid w:val="00A1620A"/>
    <w:rsid w:val="00A1620D"/>
    <w:rsid w:val="00A16AC0"/>
    <w:rsid w:val="00A17E23"/>
    <w:rsid w:val="00A20877"/>
    <w:rsid w:val="00A21847"/>
    <w:rsid w:val="00A22EAF"/>
    <w:rsid w:val="00A23D31"/>
    <w:rsid w:val="00A24C9B"/>
    <w:rsid w:val="00A25B13"/>
    <w:rsid w:val="00A26022"/>
    <w:rsid w:val="00A27124"/>
    <w:rsid w:val="00A2783A"/>
    <w:rsid w:val="00A27D2B"/>
    <w:rsid w:val="00A301A7"/>
    <w:rsid w:val="00A3043F"/>
    <w:rsid w:val="00A30C34"/>
    <w:rsid w:val="00A30FD3"/>
    <w:rsid w:val="00A31139"/>
    <w:rsid w:val="00A347C1"/>
    <w:rsid w:val="00A3557F"/>
    <w:rsid w:val="00A356BB"/>
    <w:rsid w:val="00A35E2F"/>
    <w:rsid w:val="00A36C75"/>
    <w:rsid w:val="00A37891"/>
    <w:rsid w:val="00A404EA"/>
    <w:rsid w:val="00A40A51"/>
    <w:rsid w:val="00A40CAA"/>
    <w:rsid w:val="00A42292"/>
    <w:rsid w:val="00A43CDA"/>
    <w:rsid w:val="00A44B26"/>
    <w:rsid w:val="00A47916"/>
    <w:rsid w:val="00A506B3"/>
    <w:rsid w:val="00A50746"/>
    <w:rsid w:val="00A509EC"/>
    <w:rsid w:val="00A52B9B"/>
    <w:rsid w:val="00A536DA"/>
    <w:rsid w:val="00A53D89"/>
    <w:rsid w:val="00A571CD"/>
    <w:rsid w:val="00A57C3D"/>
    <w:rsid w:val="00A600DB"/>
    <w:rsid w:val="00A615DC"/>
    <w:rsid w:val="00A61839"/>
    <w:rsid w:val="00A61E0F"/>
    <w:rsid w:val="00A61F25"/>
    <w:rsid w:val="00A63630"/>
    <w:rsid w:val="00A6494A"/>
    <w:rsid w:val="00A65CD8"/>
    <w:rsid w:val="00A668B7"/>
    <w:rsid w:val="00A6697B"/>
    <w:rsid w:val="00A71133"/>
    <w:rsid w:val="00A719E2"/>
    <w:rsid w:val="00A71EFF"/>
    <w:rsid w:val="00A731B6"/>
    <w:rsid w:val="00A74C2D"/>
    <w:rsid w:val="00A75570"/>
    <w:rsid w:val="00A7649A"/>
    <w:rsid w:val="00A76B34"/>
    <w:rsid w:val="00A80644"/>
    <w:rsid w:val="00A83487"/>
    <w:rsid w:val="00A84A76"/>
    <w:rsid w:val="00A854FF"/>
    <w:rsid w:val="00A87035"/>
    <w:rsid w:val="00A8745D"/>
    <w:rsid w:val="00A87C48"/>
    <w:rsid w:val="00A90989"/>
    <w:rsid w:val="00A90F9B"/>
    <w:rsid w:val="00A92694"/>
    <w:rsid w:val="00A93072"/>
    <w:rsid w:val="00A95108"/>
    <w:rsid w:val="00A9629C"/>
    <w:rsid w:val="00A96B0B"/>
    <w:rsid w:val="00A9753C"/>
    <w:rsid w:val="00A97737"/>
    <w:rsid w:val="00AA228C"/>
    <w:rsid w:val="00AA246D"/>
    <w:rsid w:val="00AA35D5"/>
    <w:rsid w:val="00AA417B"/>
    <w:rsid w:val="00AA533F"/>
    <w:rsid w:val="00AA5A86"/>
    <w:rsid w:val="00AA70FB"/>
    <w:rsid w:val="00AB010D"/>
    <w:rsid w:val="00AB0749"/>
    <w:rsid w:val="00AB1209"/>
    <w:rsid w:val="00AB5709"/>
    <w:rsid w:val="00AB76D8"/>
    <w:rsid w:val="00AB7E6A"/>
    <w:rsid w:val="00AC1B61"/>
    <w:rsid w:val="00AC1EAA"/>
    <w:rsid w:val="00AC2C6E"/>
    <w:rsid w:val="00AC5EE6"/>
    <w:rsid w:val="00AC63CF"/>
    <w:rsid w:val="00AC641F"/>
    <w:rsid w:val="00AD0D24"/>
    <w:rsid w:val="00AD0FA2"/>
    <w:rsid w:val="00AD1923"/>
    <w:rsid w:val="00AD2611"/>
    <w:rsid w:val="00AD3AC5"/>
    <w:rsid w:val="00AD3D57"/>
    <w:rsid w:val="00AD477B"/>
    <w:rsid w:val="00AD4882"/>
    <w:rsid w:val="00AE1BA2"/>
    <w:rsid w:val="00AE33C9"/>
    <w:rsid w:val="00AE4507"/>
    <w:rsid w:val="00AE47BF"/>
    <w:rsid w:val="00AE5024"/>
    <w:rsid w:val="00AF0F98"/>
    <w:rsid w:val="00AF36A2"/>
    <w:rsid w:val="00AF6432"/>
    <w:rsid w:val="00AF673B"/>
    <w:rsid w:val="00AF6B9D"/>
    <w:rsid w:val="00AF75BE"/>
    <w:rsid w:val="00AF79BD"/>
    <w:rsid w:val="00B07F12"/>
    <w:rsid w:val="00B110AF"/>
    <w:rsid w:val="00B11EBD"/>
    <w:rsid w:val="00B1415B"/>
    <w:rsid w:val="00B15278"/>
    <w:rsid w:val="00B15EFC"/>
    <w:rsid w:val="00B21671"/>
    <w:rsid w:val="00B217E2"/>
    <w:rsid w:val="00B234EC"/>
    <w:rsid w:val="00B26473"/>
    <w:rsid w:val="00B2732B"/>
    <w:rsid w:val="00B274AE"/>
    <w:rsid w:val="00B274BF"/>
    <w:rsid w:val="00B31222"/>
    <w:rsid w:val="00B32215"/>
    <w:rsid w:val="00B3261D"/>
    <w:rsid w:val="00B32C53"/>
    <w:rsid w:val="00B33AEB"/>
    <w:rsid w:val="00B4118B"/>
    <w:rsid w:val="00B41F43"/>
    <w:rsid w:val="00B41FDD"/>
    <w:rsid w:val="00B42E16"/>
    <w:rsid w:val="00B42E81"/>
    <w:rsid w:val="00B4329D"/>
    <w:rsid w:val="00B434FC"/>
    <w:rsid w:val="00B443F5"/>
    <w:rsid w:val="00B44D40"/>
    <w:rsid w:val="00B46640"/>
    <w:rsid w:val="00B520F9"/>
    <w:rsid w:val="00B525DB"/>
    <w:rsid w:val="00B52812"/>
    <w:rsid w:val="00B53EBD"/>
    <w:rsid w:val="00B5495A"/>
    <w:rsid w:val="00B54E2E"/>
    <w:rsid w:val="00B577A3"/>
    <w:rsid w:val="00B6087A"/>
    <w:rsid w:val="00B6258B"/>
    <w:rsid w:val="00B645F2"/>
    <w:rsid w:val="00B64641"/>
    <w:rsid w:val="00B655A0"/>
    <w:rsid w:val="00B667D0"/>
    <w:rsid w:val="00B67D38"/>
    <w:rsid w:val="00B7262F"/>
    <w:rsid w:val="00B727C5"/>
    <w:rsid w:val="00B72FD2"/>
    <w:rsid w:val="00B73FD4"/>
    <w:rsid w:val="00B74FC5"/>
    <w:rsid w:val="00B75A6C"/>
    <w:rsid w:val="00B765F8"/>
    <w:rsid w:val="00B8078E"/>
    <w:rsid w:val="00B81B8B"/>
    <w:rsid w:val="00B82F2D"/>
    <w:rsid w:val="00B83E2A"/>
    <w:rsid w:val="00B83E38"/>
    <w:rsid w:val="00B85DF3"/>
    <w:rsid w:val="00B86869"/>
    <w:rsid w:val="00B86C19"/>
    <w:rsid w:val="00B870C6"/>
    <w:rsid w:val="00B92EDF"/>
    <w:rsid w:val="00B93510"/>
    <w:rsid w:val="00B93E33"/>
    <w:rsid w:val="00B9412E"/>
    <w:rsid w:val="00B94324"/>
    <w:rsid w:val="00B94F72"/>
    <w:rsid w:val="00B954F3"/>
    <w:rsid w:val="00B95BCD"/>
    <w:rsid w:val="00B95CDC"/>
    <w:rsid w:val="00B95CE5"/>
    <w:rsid w:val="00BA0D0B"/>
    <w:rsid w:val="00BA0ED5"/>
    <w:rsid w:val="00BA37A8"/>
    <w:rsid w:val="00BA3B4C"/>
    <w:rsid w:val="00BA3DF4"/>
    <w:rsid w:val="00BA3EA8"/>
    <w:rsid w:val="00BA5927"/>
    <w:rsid w:val="00BB1891"/>
    <w:rsid w:val="00BB27E3"/>
    <w:rsid w:val="00BB375D"/>
    <w:rsid w:val="00BB425C"/>
    <w:rsid w:val="00BB4476"/>
    <w:rsid w:val="00BB49A0"/>
    <w:rsid w:val="00BB5067"/>
    <w:rsid w:val="00BB515F"/>
    <w:rsid w:val="00BB5B41"/>
    <w:rsid w:val="00BB5DFF"/>
    <w:rsid w:val="00BB6E2D"/>
    <w:rsid w:val="00BC1FA5"/>
    <w:rsid w:val="00BC211C"/>
    <w:rsid w:val="00BC2C0C"/>
    <w:rsid w:val="00BC4CF5"/>
    <w:rsid w:val="00BC539E"/>
    <w:rsid w:val="00BC55E5"/>
    <w:rsid w:val="00BC64F5"/>
    <w:rsid w:val="00BC732A"/>
    <w:rsid w:val="00BC758B"/>
    <w:rsid w:val="00BD181B"/>
    <w:rsid w:val="00BD2EAC"/>
    <w:rsid w:val="00BD4BB3"/>
    <w:rsid w:val="00BD5CDF"/>
    <w:rsid w:val="00BD5F6D"/>
    <w:rsid w:val="00BD61E2"/>
    <w:rsid w:val="00BE17C6"/>
    <w:rsid w:val="00BE1A4C"/>
    <w:rsid w:val="00BE2BD3"/>
    <w:rsid w:val="00BE4865"/>
    <w:rsid w:val="00BE69BF"/>
    <w:rsid w:val="00BE6A3C"/>
    <w:rsid w:val="00BE725A"/>
    <w:rsid w:val="00BE7430"/>
    <w:rsid w:val="00BE7B48"/>
    <w:rsid w:val="00BF02B3"/>
    <w:rsid w:val="00BF0B9D"/>
    <w:rsid w:val="00BF259E"/>
    <w:rsid w:val="00BF2920"/>
    <w:rsid w:val="00BF3381"/>
    <w:rsid w:val="00BF4C63"/>
    <w:rsid w:val="00C00CE6"/>
    <w:rsid w:val="00C05514"/>
    <w:rsid w:val="00C05543"/>
    <w:rsid w:val="00C07B7E"/>
    <w:rsid w:val="00C105B6"/>
    <w:rsid w:val="00C10FCF"/>
    <w:rsid w:val="00C1291A"/>
    <w:rsid w:val="00C13895"/>
    <w:rsid w:val="00C143EE"/>
    <w:rsid w:val="00C1566D"/>
    <w:rsid w:val="00C1575E"/>
    <w:rsid w:val="00C16B4B"/>
    <w:rsid w:val="00C17427"/>
    <w:rsid w:val="00C17ECF"/>
    <w:rsid w:val="00C204E7"/>
    <w:rsid w:val="00C20C00"/>
    <w:rsid w:val="00C210FD"/>
    <w:rsid w:val="00C21EB2"/>
    <w:rsid w:val="00C22901"/>
    <w:rsid w:val="00C22E73"/>
    <w:rsid w:val="00C22F6B"/>
    <w:rsid w:val="00C2521B"/>
    <w:rsid w:val="00C25238"/>
    <w:rsid w:val="00C305C8"/>
    <w:rsid w:val="00C305F2"/>
    <w:rsid w:val="00C307AF"/>
    <w:rsid w:val="00C3345C"/>
    <w:rsid w:val="00C33C9A"/>
    <w:rsid w:val="00C3487E"/>
    <w:rsid w:val="00C3773E"/>
    <w:rsid w:val="00C407E5"/>
    <w:rsid w:val="00C41DAA"/>
    <w:rsid w:val="00C41EB5"/>
    <w:rsid w:val="00C42C95"/>
    <w:rsid w:val="00C42DAC"/>
    <w:rsid w:val="00C4342B"/>
    <w:rsid w:val="00C436FC"/>
    <w:rsid w:val="00C459A9"/>
    <w:rsid w:val="00C46615"/>
    <w:rsid w:val="00C502A5"/>
    <w:rsid w:val="00C521F7"/>
    <w:rsid w:val="00C53008"/>
    <w:rsid w:val="00C55151"/>
    <w:rsid w:val="00C558FF"/>
    <w:rsid w:val="00C560FA"/>
    <w:rsid w:val="00C570C5"/>
    <w:rsid w:val="00C57FF9"/>
    <w:rsid w:val="00C61260"/>
    <w:rsid w:val="00C6305F"/>
    <w:rsid w:val="00C64434"/>
    <w:rsid w:val="00C659E5"/>
    <w:rsid w:val="00C677C9"/>
    <w:rsid w:val="00C7063C"/>
    <w:rsid w:val="00C73C57"/>
    <w:rsid w:val="00C74101"/>
    <w:rsid w:val="00C74D43"/>
    <w:rsid w:val="00C75CA7"/>
    <w:rsid w:val="00C766D6"/>
    <w:rsid w:val="00C8079B"/>
    <w:rsid w:val="00C81390"/>
    <w:rsid w:val="00C81C46"/>
    <w:rsid w:val="00C83873"/>
    <w:rsid w:val="00C85675"/>
    <w:rsid w:val="00C901BB"/>
    <w:rsid w:val="00C90CD3"/>
    <w:rsid w:val="00C92552"/>
    <w:rsid w:val="00C93621"/>
    <w:rsid w:val="00C93F1B"/>
    <w:rsid w:val="00C96D01"/>
    <w:rsid w:val="00C976D1"/>
    <w:rsid w:val="00CA0E6B"/>
    <w:rsid w:val="00CA1FCA"/>
    <w:rsid w:val="00CA440C"/>
    <w:rsid w:val="00CA6770"/>
    <w:rsid w:val="00CA71D4"/>
    <w:rsid w:val="00CB1F3C"/>
    <w:rsid w:val="00CB4FC8"/>
    <w:rsid w:val="00CB5D29"/>
    <w:rsid w:val="00CB675A"/>
    <w:rsid w:val="00CB782B"/>
    <w:rsid w:val="00CC0E77"/>
    <w:rsid w:val="00CC1153"/>
    <w:rsid w:val="00CC1745"/>
    <w:rsid w:val="00CC2092"/>
    <w:rsid w:val="00CC302A"/>
    <w:rsid w:val="00CC5D85"/>
    <w:rsid w:val="00CC5E76"/>
    <w:rsid w:val="00CC71E1"/>
    <w:rsid w:val="00CC765A"/>
    <w:rsid w:val="00CC79FE"/>
    <w:rsid w:val="00CC7B01"/>
    <w:rsid w:val="00CD3A5D"/>
    <w:rsid w:val="00CD3CA9"/>
    <w:rsid w:val="00CD43BE"/>
    <w:rsid w:val="00CD5FD4"/>
    <w:rsid w:val="00CD7B81"/>
    <w:rsid w:val="00CE0DCE"/>
    <w:rsid w:val="00CE1B1E"/>
    <w:rsid w:val="00CE1BC9"/>
    <w:rsid w:val="00CE1DAA"/>
    <w:rsid w:val="00CE33C1"/>
    <w:rsid w:val="00CE3AFD"/>
    <w:rsid w:val="00CE4DD6"/>
    <w:rsid w:val="00CE692A"/>
    <w:rsid w:val="00CE76FF"/>
    <w:rsid w:val="00CE778C"/>
    <w:rsid w:val="00CF1C93"/>
    <w:rsid w:val="00CF20BC"/>
    <w:rsid w:val="00CF2FD4"/>
    <w:rsid w:val="00CF4012"/>
    <w:rsid w:val="00CF5C25"/>
    <w:rsid w:val="00CF6ECC"/>
    <w:rsid w:val="00CF7AA3"/>
    <w:rsid w:val="00CF7F57"/>
    <w:rsid w:val="00D00B3A"/>
    <w:rsid w:val="00D02BC6"/>
    <w:rsid w:val="00D0310D"/>
    <w:rsid w:val="00D05803"/>
    <w:rsid w:val="00D05C7C"/>
    <w:rsid w:val="00D06906"/>
    <w:rsid w:val="00D07742"/>
    <w:rsid w:val="00D100AE"/>
    <w:rsid w:val="00D110D4"/>
    <w:rsid w:val="00D1276A"/>
    <w:rsid w:val="00D14DB7"/>
    <w:rsid w:val="00D14E1A"/>
    <w:rsid w:val="00D15ED5"/>
    <w:rsid w:val="00D20771"/>
    <w:rsid w:val="00D22B6A"/>
    <w:rsid w:val="00D23161"/>
    <w:rsid w:val="00D2369D"/>
    <w:rsid w:val="00D255CF"/>
    <w:rsid w:val="00D26B5D"/>
    <w:rsid w:val="00D3011E"/>
    <w:rsid w:val="00D319F1"/>
    <w:rsid w:val="00D348F7"/>
    <w:rsid w:val="00D351E9"/>
    <w:rsid w:val="00D3703D"/>
    <w:rsid w:val="00D37ADF"/>
    <w:rsid w:val="00D37F2B"/>
    <w:rsid w:val="00D40BC3"/>
    <w:rsid w:val="00D422ED"/>
    <w:rsid w:val="00D434EC"/>
    <w:rsid w:val="00D43894"/>
    <w:rsid w:val="00D444D0"/>
    <w:rsid w:val="00D44A44"/>
    <w:rsid w:val="00D44E9D"/>
    <w:rsid w:val="00D46E5C"/>
    <w:rsid w:val="00D46FC7"/>
    <w:rsid w:val="00D472A7"/>
    <w:rsid w:val="00D50230"/>
    <w:rsid w:val="00D531B4"/>
    <w:rsid w:val="00D538A8"/>
    <w:rsid w:val="00D5653C"/>
    <w:rsid w:val="00D61A0E"/>
    <w:rsid w:val="00D65317"/>
    <w:rsid w:val="00D717D8"/>
    <w:rsid w:val="00D71CF9"/>
    <w:rsid w:val="00D735AE"/>
    <w:rsid w:val="00D75FF9"/>
    <w:rsid w:val="00D77FCD"/>
    <w:rsid w:val="00D80ED6"/>
    <w:rsid w:val="00D80F9D"/>
    <w:rsid w:val="00D81BAE"/>
    <w:rsid w:val="00D844B1"/>
    <w:rsid w:val="00D849DD"/>
    <w:rsid w:val="00D84B17"/>
    <w:rsid w:val="00D8507D"/>
    <w:rsid w:val="00D86735"/>
    <w:rsid w:val="00D86C7D"/>
    <w:rsid w:val="00D8718E"/>
    <w:rsid w:val="00D871FB"/>
    <w:rsid w:val="00D90C57"/>
    <w:rsid w:val="00D90C9D"/>
    <w:rsid w:val="00D90E57"/>
    <w:rsid w:val="00D91910"/>
    <w:rsid w:val="00D91AA8"/>
    <w:rsid w:val="00D935FC"/>
    <w:rsid w:val="00D944A6"/>
    <w:rsid w:val="00D94976"/>
    <w:rsid w:val="00D95B92"/>
    <w:rsid w:val="00D95C7A"/>
    <w:rsid w:val="00D96BF1"/>
    <w:rsid w:val="00D96E9B"/>
    <w:rsid w:val="00D96FC3"/>
    <w:rsid w:val="00DA08C5"/>
    <w:rsid w:val="00DA12C3"/>
    <w:rsid w:val="00DA191D"/>
    <w:rsid w:val="00DA1E68"/>
    <w:rsid w:val="00DA2571"/>
    <w:rsid w:val="00DA45F0"/>
    <w:rsid w:val="00DA495D"/>
    <w:rsid w:val="00DA50B6"/>
    <w:rsid w:val="00DA7BA0"/>
    <w:rsid w:val="00DB0995"/>
    <w:rsid w:val="00DB3C6E"/>
    <w:rsid w:val="00DB469A"/>
    <w:rsid w:val="00DB52C3"/>
    <w:rsid w:val="00DB5DA3"/>
    <w:rsid w:val="00DB7E5F"/>
    <w:rsid w:val="00DC10B0"/>
    <w:rsid w:val="00DC1594"/>
    <w:rsid w:val="00DC2940"/>
    <w:rsid w:val="00DC3DA9"/>
    <w:rsid w:val="00DC4BCD"/>
    <w:rsid w:val="00DC597C"/>
    <w:rsid w:val="00DC5AC6"/>
    <w:rsid w:val="00DC79C7"/>
    <w:rsid w:val="00DD1107"/>
    <w:rsid w:val="00DD1636"/>
    <w:rsid w:val="00DD178F"/>
    <w:rsid w:val="00DD1FE4"/>
    <w:rsid w:val="00DD63D0"/>
    <w:rsid w:val="00DE01D8"/>
    <w:rsid w:val="00DE2847"/>
    <w:rsid w:val="00DE2966"/>
    <w:rsid w:val="00DE4107"/>
    <w:rsid w:val="00DE436F"/>
    <w:rsid w:val="00DE5124"/>
    <w:rsid w:val="00DF0B5E"/>
    <w:rsid w:val="00DF0ED5"/>
    <w:rsid w:val="00DF0F64"/>
    <w:rsid w:val="00DF1186"/>
    <w:rsid w:val="00DF36F7"/>
    <w:rsid w:val="00DF398D"/>
    <w:rsid w:val="00DF5479"/>
    <w:rsid w:val="00DF67D8"/>
    <w:rsid w:val="00DF72D9"/>
    <w:rsid w:val="00DF7EC8"/>
    <w:rsid w:val="00E028ED"/>
    <w:rsid w:val="00E02A57"/>
    <w:rsid w:val="00E02B6F"/>
    <w:rsid w:val="00E04660"/>
    <w:rsid w:val="00E04BA2"/>
    <w:rsid w:val="00E06C17"/>
    <w:rsid w:val="00E07AF1"/>
    <w:rsid w:val="00E104F6"/>
    <w:rsid w:val="00E10748"/>
    <w:rsid w:val="00E1094C"/>
    <w:rsid w:val="00E1100F"/>
    <w:rsid w:val="00E11EF3"/>
    <w:rsid w:val="00E123AF"/>
    <w:rsid w:val="00E12F57"/>
    <w:rsid w:val="00E14282"/>
    <w:rsid w:val="00E14774"/>
    <w:rsid w:val="00E155C6"/>
    <w:rsid w:val="00E17ABD"/>
    <w:rsid w:val="00E200BA"/>
    <w:rsid w:val="00E2346B"/>
    <w:rsid w:val="00E24C70"/>
    <w:rsid w:val="00E26B53"/>
    <w:rsid w:val="00E27DDF"/>
    <w:rsid w:val="00E27E01"/>
    <w:rsid w:val="00E30A90"/>
    <w:rsid w:val="00E32DBA"/>
    <w:rsid w:val="00E34154"/>
    <w:rsid w:val="00E350F4"/>
    <w:rsid w:val="00E40A82"/>
    <w:rsid w:val="00E41142"/>
    <w:rsid w:val="00E4249F"/>
    <w:rsid w:val="00E43469"/>
    <w:rsid w:val="00E445DA"/>
    <w:rsid w:val="00E45379"/>
    <w:rsid w:val="00E45C35"/>
    <w:rsid w:val="00E469B1"/>
    <w:rsid w:val="00E47BCB"/>
    <w:rsid w:val="00E50B22"/>
    <w:rsid w:val="00E50C4F"/>
    <w:rsid w:val="00E51E18"/>
    <w:rsid w:val="00E51E73"/>
    <w:rsid w:val="00E520D2"/>
    <w:rsid w:val="00E527EE"/>
    <w:rsid w:val="00E533BD"/>
    <w:rsid w:val="00E53706"/>
    <w:rsid w:val="00E567AD"/>
    <w:rsid w:val="00E573C6"/>
    <w:rsid w:val="00E57CE2"/>
    <w:rsid w:val="00E61343"/>
    <w:rsid w:val="00E613BA"/>
    <w:rsid w:val="00E617BD"/>
    <w:rsid w:val="00E618D9"/>
    <w:rsid w:val="00E67009"/>
    <w:rsid w:val="00E67B7B"/>
    <w:rsid w:val="00E70503"/>
    <w:rsid w:val="00E705B4"/>
    <w:rsid w:val="00E70B9A"/>
    <w:rsid w:val="00E70BBB"/>
    <w:rsid w:val="00E713BD"/>
    <w:rsid w:val="00E716DD"/>
    <w:rsid w:val="00E71BE1"/>
    <w:rsid w:val="00E72967"/>
    <w:rsid w:val="00E72A19"/>
    <w:rsid w:val="00E7314A"/>
    <w:rsid w:val="00E74768"/>
    <w:rsid w:val="00E759B2"/>
    <w:rsid w:val="00E770B3"/>
    <w:rsid w:val="00E804F0"/>
    <w:rsid w:val="00E8155D"/>
    <w:rsid w:val="00E829A2"/>
    <w:rsid w:val="00E86361"/>
    <w:rsid w:val="00E90C37"/>
    <w:rsid w:val="00E90EB9"/>
    <w:rsid w:val="00E91F1D"/>
    <w:rsid w:val="00E932E9"/>
    <w:rsid w:val="00E9358F"/>
    <w:rsid w:val="00E96FFC"/>
    <w:rsid w:val="00EA0E04"/>
    <w:rsid w:val="00EA1E39"/>
    <w:rsid w:val="00EA220D"/>
    <w:rsid w:val="00EA3156"/>
    <w:rsid w:val="00EA39C8"/>
    <w:rsid w:val="00EA40A2"/>
    <w:rsid w:val="00EA4CD5"/>
    <w:rsid w:val="00EA5D2C"/>
    <w:rsid w:val="00EA5D8E"/>
    <w:rsid w:val="00EA68DA"/>
    <w:rsid w:val="00EB0141"/>
    <w:rsid w:val="00EB050D"/>
    <w:rsid w:val="00EB07CF"/>
    <w:rsid w:val="00EB092D"/>
    <w:rsid w:val="00EB1E79"/>
    <w:rsid w:val="00EB3B88"/>
    <w:rsid w:val="00EC0153"/>
    <w:rsid w:val="00EC3B8F"/>
    <w:rsid w:val="00EC5CA0"/>
    <w:rsid w:val="00EC5D05"/>
    <w:rsid w:val="00EC7372"/>
    <w:rsid w:val="00EC763F"/>
    <w:rsid w:val="00EC7FB1"/>
    <w:rsid w:val="00ED1995"/>
    <w:rsid w:val="00ED1BD8"/>
    <w:rsid w:val="00ED30E8"/>
    <w:rsid w:val="00ED3B69"/>
    <w:rsid w:val="00ED48BE"/>
    <w:rsid w:val="00ED6CD1"/>
    <w:rsid w:val="00EE3548"/>
    <w:rsid w:val="00EE59CE"/>
    <w:rsid w:val="00EE5F2E"/>
    <w:rsid w:val="00EE693B"/>
    <w:rsid w:val="00EE6B2A"/>
    <w:rsid w:val="00EE783F"/>
    <w:rsid w:val="00EE7920"/>
    <w:rsid w:val="00EE7C15"/>
    <w:rsid w:val="00EF045F"/>
    <w:rsid w:val="00EF11F5"/>
    <w:rsid w:val="00EF46F9"/>
    <w:rsid w:val="00EF4A64"/>
    <w:rsid w:val="00EF4D79"/>
    <w:rsid w:val="00EF7891"/>
    <w:rsid w:val="00F00407"/>
    <w:rsid w:val="00F006EA"/>
    <w:rsid w:val="00F02171"/>
    <w:rsid w:val="00F033EF"/>
    <w:rsid w:val="00F044EE"/>
    <w:rsid w:val="00F061A6"/>
    <w:rsid w:val="00F06BDA"/>
    <w:rsid w:val="00F077CB"/>
    <w:rsid w:val="00F107AF"/>
    <w:rsid w:val="00F11AB3"/>
    <w:rsid w:val="00F12DD0"/>
    <w:rsid w:val="00F13EF5"/>
    <w:rsid w:val="00F15D77"/>
    <w:rsid w:val="00F15FCE"/>
    <w:rsid w:val="00F1661B"/>
    <w:rsid w:val="00F17D75"/>
    <w:rsid w:val="00F17E14"/>
    <w:rsid w:val="00F20633"/>
    <w:rsid w:val="00F213E5"/>
    <w:rsid w:val="00F218DA"/>
    <w:rsid w:val="00F23DB4"/>
    <w:rsid w:val="00F23E81"/>
    <w:rsid w:val="00F24A46"/>
    <w:rsid w:val="00F254BE"/>
    <w:rsid w:val="00F25CFE"/>
    <w:rsid w:val="00F3060F"/>
    <w:rsid w:val="00F30D3F"/>
    <w:rsid w:val="00F32886"/>
    <w:rsid w:val="00F33150"/>
    <w:rsid w:val="00F35243"/>
    <w:rsid w:val="00F35F1D"/>
    <w:rsid w:val="00F4018F"/>
    <w:rsid w:val="00F43E6E"/>
    <w:rsid w:val="00F44363"/>
    <w:rsid w:val="00F44423"/>
    <w:rsid w:val="00F454DD"/>
    <w:rsid w:val="00F455B5"/>
    <w:rsid w:val="00F469B3"/>
    <w:rsid w:val="00F46DAD"/>
    <w:rsid w:val="00F51236"/>
    <w:rsid w:val="00F5374C"/>
    <w:rsid w:val="00F541B8"/>
    <w:rsid w:val="00F56CC2"/>
    <w:rsid w:val="00F574B4"/>
    <w:rsid w:val="00F574B7"/>
    <w:rsid w:val="00F57883"/>
    <w:rsid w:val="00F60BC0"/>
    <w:rsid w:val="00F61B7F"/>
    <w:rsid w:val="00F62370"/>
    <w:rsid w:val="00F628D3"/>
    <w:rsid w:val="00F6497E"/>
    <w:rsid w:val="00F65A21"/>
    <w:rsid w:val="00F677E2"/>
    <w:rsid w:val="00F67C16"/>
    <w:rsid w:val="00F7233D"/>
    <w:rsid w:val="00F723F2"/>
    <w:rsid w:val="00F73751"/>
    <w:rsid w:val="00F75EAD"/>
    <w:rsid w:val="00F76A7B"/>
    <w:rsid w:val="00F77154"/>
    <w:rsid w:val="00F80F33"/>
    <w:rsid w:val="00F82637"/>
    <w:rsid w:val="00F846D6"/>
    <w:rsid w:val="00F84F76"/>
    <w:rsid w:val="00F86EC2"/>
    <w:rsid w:val="00F906D2"/>
    <w:rsid w:val="00F90CB9"/>
    <w:rsid w:val="00F9173A"/>
    <w:rsid w:val="00F91800"/>
    <w:rsid w:val="00F92882"/>
    <w:rsid w:val="00F93859"/>
    <w:rsid w:val="00F94E99"/>
    <w:rsid w:val="00F9650A"/>
    <w:rsid w:val="00F965BB"/>
    <w:rsid w:val="00F967C7"/>
    <w:rsid w:val="00F96908"/>
    <w:rsid w:val="00FA0437"/>
    <w:rsid w:val="00FA16EC"/>
    <w:rsid w:val="00FA233F"/>
    <w:rsid w:val="00FA2E05"/>
    <w:rsid w:val="00FA2E5F"/>
    <w:rsid w:val="00FA3E48"/>
    <w:rsid w:val="00FA7D57"/>
    <w:rsid w:val="00FB0008"/>
    <w:rsid w:val="00FB071C"/>
    <w:rsid w:val="00FB3EA0"/>
    <w:rsid w:val="00FB4127"/>
    <w:rsid w:val="00FB4703"/>
    <w:rsid w:val="00FB55F4"/>
    <w:rsid w:val="00FB6B37"/>
    <w:rsid w:val="00FB7667"/>
    <w:rsid w:val="00FC0B63"/>
    <w:rsid w:val="00FC12EE"/>
    <w:rsid w:val="00FC1A4F"/>
    <w:rsid w:val="00FC2209"/>
    <w:rsid w:val="00FC3860"/>
    <w:rsid w:val="00FC44B0"/>
    <w:rsid w:val="00FC7531"/>
    <w:rsid w:val="00FC7EAA"/>
    <w:rsid w:val="00FD27F4"/>
    <w:rsid w:val="00FD4B62"/>
    <w:rsid w:val="00FD4B89"/>
    <w:rsid w:val="00FD4FA5"/>
    <w:rsid w:val="00FD5166"/>
    <w:rsid w:val="00FD614D"/>
    <w:rsid w:val="00FD72CC"/>
    <w:rsid w:val="00FE3348"/>
    <w:rsid w:val="00FE46AD"/>
    <w:rsid w:val="00FE53DA"/>
    <w:rsid w:val="00FE5410"/>
    <w:rsid w:val="00FE57F3"/>
    <w:rsid w:val="00FF2D44"/>
    <w:rsid w:val="00FF456A"/>
    <w:rsid w:val="00FF6204"/>
    <w:rsid w:val="00FF62CB"/>
    <w:rsid w:val="00FF634D"/>
    <w:rsid w:val="00FF6BDF"/>
    <w:rsid w:val="00FF6D25"/>
    <w:rsid w:val="00FF7C33"/>
    <w:rsid w:val="00FF7C50"/>
  </w:rsids>
  <m:mathPr>
    <m:mathFont m:val="Cambria Math"/>
    <m:brkBin m:val="before"/>
    <m:brkBinSub m:val="--"/>
    <m:smallFrac/>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2747B373"/>
  <w15:docId w15:val="{DA0195A1-1DB8-4A80-AB5D-45EAC3625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7608"/>
    <w:pPr>
      <w:spacing w:after="0" w:line="240" w:lineRule="auto"/>
    </w:pPr>
    <w:rPr>
      <w:rFonts w:ascii="Times New Roman" w:eastAsia="Times New Roman" w:hAnsi="Times New Roman" w:cs="Times New Roman"/>
      <w:sz w:val="20"/>
      <w:szCs w:val="20"/>
      <w:lang w:eastAsia="es-ES"/>
    </w:rPr>
  </w:style>
  <w:style w:type="paragraph" w:styleId="Ttulo1">
    <w:name w:val="heading 1"/>
    <w:basedOn w:val="Normal"/>
    <w:next w:val="Normal"/>
    <w:link w:val="Ttulo1Car"/>
    <w:uiPriority w:val="9"/>
    <w:qFormat/>
    <w:rsid w:val="002B57E5"/>
    <w:pPr>
      <w:keepNext/>
      <w:keepLines/>
      <w:spacing w:line="360" w:lineRule="auto"/>
      <w:jc w:val="center"/>
      <w:outlineLvl w:val="0"/>
    </w:pPr>
    <w:rPr>
      <w:rFonts w:ascii="Palatino Linotype" w:eastAsiaTheme="majorEastAsia" w:hAnsi="Palatino Linotype" w:cstheme="majorBidi"/>
      <w:b/>
      <w:color w:val="000000" w:themeColor="text1"/>
      <w:sz w:val="22"/>
      <w:szCs w:val="32"/>
    </w:rPr>
  </w:style>
  <w:style w:type="paragraph" w:styleId="Ttulo2">
    <w:name w:val="heading 2"/>
    <w:basedOn w:val="Normal"/>
    <w:next w:val="Normal"/>
    <w:link w:val="Ttulo2Car"/>
    <w:uiPriority w:val="9"/>
    <w:unhideWhenUsed/>
    <w:qFormat/>
    <w:rsid w:val="002B57E5"/>
    <w:pPr>
      <w:keepNext/>
      <w:keepLines/>
      <w:spacing w:line="360" w:lineRule="auto"/>
      <w:outlineLvl w:val="1"/>
    </w:pPr>
    <w:rPr>
      <w:rFonts w:ascii="Palatino Linotype" w:eastAsiaTheme="majorEastAsia" w:hAnsi="Palatino Linotype" w:cstheme="majorBidi"/>
      <w:b/>
      <w:color w:val="000000" w:themeColor="text1"/>
      <w:sz w:val="22"/>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B57E5"/>
    <w:rPr>
      <w:rFonts w:ascii="Palatino Linotype" w:eastAsiaTheme="majorEastAsia" w:hAnsi="Palatino Linotype" w:cstheme="majorBidi"/>
      <w:b/>
      <w:color w:val="000000" w:themeColor="text1"/>
      <w:szCs w:val="32"/>
      <w:lang w:eastAsia="es-ES"/>
    </w:rPr>
  </w:style>
  <w:style w:type="paragraph" w:styleId="Encabezado">
    <w:name w:val="header"/>
    <w:basedOn w:val="Normal"/>
    <w:link w:val="EncabezadoCar"/>
    <w:uiPriority w:val="99"/>
    <w:unhideWhenUsed/>
    <w:rsid w:val="00B31222"/>
    <w:pPr>
      <w:tabs>
        <w:tab w:val="center" w:pos="4419"/>
        <w:tab w:val="right" w:pos="8838"/>
      </w:tabs>
    </w:pPr>
  </w:style>
  <w:style w:type="character" w:customStyle="1" w:styleId="EncabezadoCar">
    <w:name w:val="Encabezado Car"/>
    <w:basedOn w:val="Fuentedeprrafopredeter"/>
    <w:link w:val="Encabezado"/>
    <w:uiPriority w:val="99"/>
    <w:rsid w:val="00B31222"/>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unhideWhenUsed/>
    <w:rsid w:val="00B31222"/>
    <w:pPr>
      <w:tabs>
        <w:tab w:val="center" w:pos="4419"/>
        <w:tab w:val="right" w:pos="8838"/>
      </w:tabs>
    </w:pPr>
  </w:style>
  <w:style w:type="character" w:customStyle="1" w:styleId="PiedepginaCar">
    <w:name w:val="Pie de página Car"/>
    <w:basedOn w:val="Fuentedeprrafopredeter"/>
    <w:link w:val="Piedepgina"/>
    <w:uiPriority w:val="99"/>
    <w:rsid w:val="00B31222"/>
    <w:rPr>
      <w:rFonts w:ascii="Times New Roman" w:eastAsia="Times New Roman" w:hAnsi="Times New Roman" w:cs="Times New Roman"/>
      <w:sz w:val="20"/>
      <w:szCs w:val="20"/>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B31222"/>
    <w:pPr>
      <w:ind w:left="720"/>
      <w:contextualSpacing/>
    </w:pPr>
    <w:rPr>
      <w:rFonts w:ascii="Century Gothic" w:hAnsi="Century Gothic"/>
      <w:sz w:val="22"/>
      <w:szCs w:val="24"/>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B31222"/>
    <w:rPr>
      <w:rFonts w:ascii="Century Gothic" w:eastAsia="Times New Roman" w:hAnsi="Century Gothic" w:cs="Times New Roman"/>
      <w:szCs w:val="24"/>
      <w:lang w:eastAsia="es-ES"/>
    </w:rPr>
  </w:style>
  <w:style w:type="character" w:styleId="Hipervnculo">
    <w:name w:val="Hyperlink"/>
    <w:aliases w:val="Hipervínculo1,Hipervínculo11,Hipervínculo12,Hipervínculo13,Hipervínculo14,Hipervínculo15"/>
    <w:basedOn w:val="Fuentedeprrafopredeter"/>
    <w:uiPriority w:val="99"/>
    <w:unhideWhenUsed/>
    <w:rsid w:val="00B31222"/>
    <w:rPr>
      <w:color w:val="0563C1" w:themeColor="hyperlink"/>
      <w:u w:val="single"/>
    </w:rPr>
  </w:style>
  <w:style w:type="character" w:styleId="Refdenotaalpie">
    <w:name w:val="footnote reference"/>
    <w:aliases w:val="Ref,de nota al pie,ftref, BVI fnr,16 Point,Superscript 6 Point,(Diplomarbeit FZ),BVI fnr,Footnote Reference,Texto de nota al pie,Footnotes refss,Appel note de bas de page,Footnote number,referencia nota al pie,f,4_G,Texto nota al pie"/>
    <w:basedOn w:val="Fuentedeprrafopredeter"/>
    <w:uiPriority w:val="99"/>
    <w:unhideWhenUsed/>
    <w:qFormat/>
    <w:rsid w:val="00B31222"/>
    <w:rPr>
      <w:vertAlign w:val="superscript"/>
    </w:rPr>
  </w:style>
  <w:style w:type="paragraph" w:styleId="Textonotapie">
    <w:name w:val="footnote text"/>
    <w:aliases w:val="Footnote reference,FA Fu,Footnote Text Char Char Char Char Char,Footnote Text Char Char Char Char,Footnote Text Char Char Char,ADB,single space,footnote text,fn,ft,Footnote Text Char1,Footnote Text Char Char,FOOTNOTES,Schriftart: 9 pt,Ca"/>
    <w:basedOn w:val="Normal"/>
    <w:link w:val="TextonotapieCar"/>
    <w:uiPriority w:val="99"/>
    <w:unhideWhenUsed/>
    <w:qFormat/>
    <w:rsid w:val="00B31222"/>
    <w:rPr>
      <w:rFonts w:ascii="Calibri" w:eastAsia="Calibri" w:hAnsi="Calibri"/>
      <w:lang w:eastAsia="en-US"/>
    </w:rPr>
  </w:style>
  <w:style w:type="character" w:customStyle="1" w:styleId="TextonotapieCar">
    <w:name w:val="Texto nota pie Car"/>
    <w:aliases w:val="Footnote reference Car,FA Fu Car,Footnote Text Char Char Char Char Char Car,Footnote Text Char Char Char Char Car,Footnote Text Char Char Char Car,ADB Car,single space Car,footnote text Car,fn Car,ft Car,Footnote Text Char1 Car,Ca Car"/>
    <w:basedOn w:val="Fuentedeprrafopredeter"/>
    <w:link w:val="Textonotapie"/>
    <w:uiPriority w:val="99"/>
    <w:rsid w:val="00B31222"/>
    <w:rPr>
      <w:rFonts w:ascii="Calibri" w:eastAsia="Calibri" w:hAnsi="Calibri" w:cs="Times New Roman"/>
      <w:sz w:val="20"/>
      <w:szCs w:val="20"/>
    </w:rPr>
  </w:style>
  <w:style w:type="character" w:styleId="Hipervnculovisitado">
    <w:name w:val="FollowedHyperlink"/>
    <w:basedOn w:val="Fuentedeprrafopredeter"/>
    <w:uiPriority w:val="99"/>
    <w:semiHidden/>
    <w:unhideWhenUsed/>
    <w:rsid w:val="00B31222"/>
    <w:rPr>
      <w:color w:val="954F72" w:themeColor="followedHyperlink"/>
      <w:u w:val="single"/>
    </w:rPr>
  </w:style>
  <w:style w:type="table" w:styleId="Tablaconcuadrcula">
    <w:name w:val="Table Grid"/>
    <w:basedOn w:val="Tablanormal"/>
    <w:uiPriority w:val="59"/>
    <w:rsid w:val="00B31222"/>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3122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1222"/>
    <w:rPr>
      <w:rFonts w:ascii="Segoe UI" w:eastAsia="Times New Roman" w:hAnsi="Segoe UI" w:cs="Segoe UI"/>
      <w:sz w:val="18"/>
      <w:szCs w:val="18"/>
      <w:lang w:val="es-ES" w:eastAsia="es-ES"/>
    </w:rPr>
  </w:style>
  <w:style w:type="character" w:styleId="Refdecomentario">
    <w:name w:val="annotation reference"/>
    <w:basedOn w:val="Fuentedeprrafopredeter"/>
    <w:uiPriority w:val="99"/>
    <w:semiHidden/>
    <w:unhideWhenUsed/>
    <w:rsid w:val="00B31222"/>
    <w:rPr>
      <w:sz w:val="16"/>
      <w:szCs w:val="16"/>
    </w:rPr>
  </w:style>
  <w:style w:type="paragraph" w:styleId="Textocomentario">
    <w:name w:val="annotation text"/>
    <w:basedOn w:val="Normal"/>
    <w:link w:val="TextocomentarioCar"/>
    <w:uiPriority w:val="99"/>
    <w:semiHidden/>
    <w:unhideWhenUsed/>
    <w:rsid w:val="00B31222"/>
  </w:style>
  <w:style w:type="character" w:customStyle="1" w:styleId="TextocomentarioCar">
    <w:name w:val="Texto comentario Car"/>
    <w:basedOn w:val="Fuentedeprrafopredeter"/>
    <w:link w:val="Textocomentario"/>
    <w:uiPriority w:val="99"/>
    <w:semiHidden/>
    <w:rsid w:val="00B31222"/>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B31222"/>
    <w:rPr>
      <w:b/>
      <w:bCs/>
    </w:rPr>
  </w:style>
  <w:style w:type="character" w:customStyle="1" w:styleId="AsuntodelcomentarioCar">
    <w:name w:val="Asunto del comentario Car"/>
    <w:basedOn w:val="TextocomentarioCar"/>
    <w:link w:val="Asuntodelcomentario"/>
    <w:uiPriority w:val="99"/>
    <w:semiHidden/>
    <w:rsid w:val="00B31222"/>
    <w:rPr>
      <w:rFonts w:ascii="Times New Roman" w:eastAsia="Times New Roman" w:hAnsi="Times New Roman" w:cs="Times New Roman"/>
      <w:b/>
      <w:bCs/>
      <w:sz w:val="20"/>
      <w:szCs w:val="20"/>
      <w:lang w:val="es-ES" w:eastAsia="es-ES"/>
    </w:rPr>
  </w:style>
  <w:style w:type="character" w:customStyle="1" w:styleId="Mencionar1">
    <w:name w:val="Mencionar1"/>
    <w:basedOn w:val="Fuentedeprrafopredeter"/>
    <w:uiPriority w:val="99"/>
    <w:semiHidden/>
    <w:unhideWhenUsed/>
    <w:rsid w:val="00B31222"/>
    <w:rPr>
      <w:color w:val="2B579A"/>
      <w:shd w:val="clear" w:color="auto" w:fill="E6E6E6"/>
    </w:rPr>
  </w:style>
  <w:style w:type="character" w:customStyle="1" w:styleId="Mencionar2">
    <w:name w:val="Mencionar2"/>
    <w:basedOn w:val="Fuentedeprrafopredeter"/>
    <w:uiPriority w:val="99"/>
    <w:semiHidden/>
    <w:unhideWhenUsed/>
    <w:rsid w:val="00B31222"/>
    <w:rPr>
      <w:color w:val="2B579A"/>
      <w:shd w:val="clear" w:color="auto" w:fill="E6E6E6"/>
    </w:rPr>
  </w:style>
  <w:style w:type="character" w:customStyle="1" w:styleId="maestrofonttexto">
    <w:name w:val="maestro_fonttexto"/>
    <w:basedOn w:val="Fuentedeprrafopredeter"/>
    <w:rsid w:val="00B31222"/>
  </w:style>
  <w:style w:type="character" w:styleId="Textoennegrita">
    <w:name w:val="Strong"/>
    <w:rsid w:val="00B31222"/>
    <w:rPr>
      <w:b/>
      <w:bCs/>
    </w:rPr>
  </w:style>
  <w:style w:type="paragraph" w:styleId="HTMLconformatoprevio">
    <w:name w:val="HTML Preformatted"/>
    <w:basedOn w:val="Normal"/>
    <w:link w:val="HTMLconformatoprevioCar"/>
    <w:uiPriority w:val="99"/>
    <w:semiHidden/>
    <w:unhideWhenUsed/>
    <w:rsid w:val="00B312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es-MX"/>
    </w:rPr>
  </w:style>
  <w:style w:type="character" w:customStyle="1" w:styleId="HTMLconformatoprevioCar">
    <w:name w:val="HTML con formato previo Car"/>
    <w:basedOn w:val="Fuentedeprrafopredeter"/>
    <w:link w:val="HTMLconformatoprevio"/>
    <w:uiPriority w:val="99"/>
    <w:semiHidden/>
    <w:rsid w:val="00B31222"/>
    <w:rPr>
      <w:rFonts w:ascii="Courier New" w:eastAsia="Times New Roman" w:hAnsi="Courier New" w:cs="Courier New"/>
      <w:sz w:val="20"/>
      <w:szCs w:val="20"/>
      <w:lang w:eastAsia="es-MX"/>
    </w:rPr>
  </w:style>
  <w:style w:type="paragraph" w:customStyle="1" w:styleId="Default">
    <w:name w:val="Default"/>
    <w:rsid w:val="00B31222"/>
    <w:pPr>
      <w:autoSpaceDE w:val="0"/>
      <w:autoSpaceDN w:val="0"/>
      <w:adjustRightInd w:val="0"/>
      <w:spacing w:after="0" w:line="240" w:lineRule="auto"/>
    </w:pPr>
    <w:rPr>
      <w:rFonts w:ascii="Arial" w:hAnsi="Arial" w:cs="Arial"/>
      <w:color w:val="000000"/>
      <w:sz w:val="24"/>
      <w:szCs w:val="24"/>
    </w:rPr>
  </w:style>
  <w:style w:type="character" w:customStyle="1" w:styleId="CharacterStyle1">
    <w:name w:val="Character Style 1"/>
    <w:uiPriority w:val="99"/>
    <w:rsid w:val="00B31222"/>
    <w:rPr>
      <w:sz w:val="20"/>
      <w:szCs w:val="20"/>
    </w:rPr>
  </w:style>
  <w:style w:type="paragraph" w:customStyle="1" w:styleId="Estilo1">
    <w:name w:val="Estilo1"/>
    <w:basedOn w:val="Textoindependiente"/>
    <w:rsid w:val="00B31222"/>
  </w:style>
  <w:style w:type="paragraph" w:styleId="Textoindependiente">
    <w:name w:val="Body Text"/>
    <w:basedOn w:val="Normal"/>
    <w:link w:val="TextoindependienteCar"/>
    <w:uiPriority w:val="99"/>
    <w:unhideWhenUsed/>
    <w:rsid w:val="00B31222"/>
    <w:pPr>
      <w:spacing w:after="120"/>
    </w:pPr>
  </w:style>
  <w:style w:type="character" w:customStyle="1" w:styleId="TextoindependienteCar">
    <w:name w:val="Texto independiente Car"/>
    <w:basedOn w:val="Fuentedeprrafopredeter"/>
    <w:link w:val="Textoindependiente"/>
    <w:uiPriority w:val="99"/>
    <w:rsid w:val="00B31222"/>
    <w:rPr>
      <w:rFonts w:ascii="Times New Roman" w:eastAsia="Times New Roman" w:hAnsi="Times New Roman" w:cs="Times New Roman"/>
      <w:sz w:val="20"/>
      <w:szCs w:val="20"/>
      <w:lang w:val="es-ES" w:eastAsia="es-ES"/>
    </w:rPr>
  </w:style>
  <w:style w:type="paragraph" w:styleId="Sinespaciado">
    <w:name w:val="No Spacing"/>
    <w:aliases w:val="INAI"/>
    <w:link w:val="SinespaciadoCar"/>
    <w:uiPriority w:val="1"/>
    <w:rsid w:val="00B31222"/>
    <w:pPr>
      <w:spacing w:after="0" w:line="240" w:lineRule="auto"/>
      <w:ind w:left="567" w:right="567"/>
      <w:jc w:val="both"/>
    </w:pPr>
    <w:rPr>
      <w:rFonts w:ascii="Arial" w:eastAsia="Batang" w:hAnsi="Arial" w:cs="Times New Roman"/>
      <w:sz w:val="20"/>
      <w:szCs w:val="24"/>
      <w:lang w:eastAsia="es-ES"/>
    </w:rPr>
  </w:style>
  <w:style w:type="character" w:customStyle="1" w:styleId="SinespaciadoCar">
    <w:name w:val="Sin espaciado Car"/>
    <w:aliases w:val="INAI Car"/>
    <w:basedOn w:val="Fuentedeprrafopredeter"/>
    <w:link w:val="Sinespaciado"/>
    <w:uiPriority w:val="1"/>
    <w:rsid w:val="00B31222"/>
    <w:rPr>
      <w:rFonts w:ascii="Arial" w:eastAsia="Batang" w:hAnsi="Arial" w:cs="Times New Roman"/>
      <w:sz w:val="20"/>
      <w:szCs w:val="24"/>
      <w:lang w:eastAsia="es-ES"/>
    </w:rPr>
  </w:style>
  <w:style w:type="paragraph" w:styleId="Lista">
    <w:name w:val="List"/>
    <w:basedOn w:val="Normal"/>
    <w:uiPriority w:val="99"/>
    <w:unhideWhenUsed/>
    <w:rsid w:val="00B31222"/>
    <w:pPr>
      <w:ind w:left="283" w:hanging="283"/>
      <w:contextualSpacing/>
    </w:pPr>
  </w:style>
  <w:style w:type="paragraph" w:styleId="Lista2">
    <w:name w:val="List 2"/>
    <w:basedOn w:val="Normal"/>
    <w:uiPriority w:val="99"/>
    <w:unhideWhenUsed/>
    <w:rsid w:val="00B31222"/>
    <w:pPr>
      <w:ind w:left="566" w:hanging="283"/>
      <w:contextualSpacing/>
    </w:pPr>
  </w:style>
  <w:style w:type="paragraph" w:styleId="Lista3">
    <w:name w:val="List 3"/>
    <w:basedOn w:val="Normal"/>
    <w:uiPriority w:val="99"/>
    <w:unhideWhenUsed/>
    <w:rsid w:val="00B31222"/>
    <w:pPr>
      <w:ind w:left="849" w:hanging="283"/>
      <w:contextualSpacing/>
    </w:pPr>
  </w:style>
  <w:style w:type="paragraph" w:styleId="Lista4">
    <w:name w:val="List 4"/>
    <w:basedOn w:val="Normal"/>
    <w:uiPriority w:val="99"/>
    <w:unhideWhenUsed/>
    <w:rsid w:val="00B31222"/>
    <w:pPr>
      <w:ind w:left="1132" w:hanging="283"/>
      <w:contextualSpacing/>
    </w:pPr>
  </w:style>
  <w:style w:type="paragraph" w:styleId="Saludo">
    <w:name w:val="Salutation"/>
    <w:basedOn w:val="Normal"/>
    <w:next w:val="Normal"/>
    <w:link w:val="SaludoCar"/>
    <w:uiPriority w:val="99"/>
    <w:unhideWhenUsed/>
    <w:rsid w:val="00B31222"/>
  </w:style>
  <w:style w:type="character" w:customStyle="1" w:styleId="SaludoCar">
    <w:name w:val="Saludo Car"/>
    <w:basedOn w:val="Fuentedeprrafopredeter"/>
    <w:link w:val="Saludo"/>
    <w:uiPriority w:val="99"/>
    <w:rsid w:val="00B31222"/>
    <w:rPr>
      <w:rFonts w:ascii="Times New Roman" w:eastAsia="Times New Roman" w:hAnsi="Times New Roman" w:cs="Times New Roman"/>
      <w:sz w:val="20"/>
      <w:szCs w:val="20"/>
      <w:lang w:val="es-ES" w:eastAsia="es-ES"/>
    </w:rPr>
  </w:style>
  <w:style w:type="paragraph" w:styleId="Listaconvietas2">
    <w:name w:val="List Bullet 2"/>
    <w:basedOn w:val="Normal"/>
    <w:uiPriority w:val="99"/>
    <w:unhideWhenUsed/>
    <w:rsid w:val="00B31222"/>
    <w:pPr>
      <w:numPr>
        <w:numId w:val="1"/>
      </w:numPr>
      <w:contextualSpacing/>
    </w:pPr>
  </w:style>
  <w:style w:type="paragraph" w:styleId="Puesto">
    <w:name w:val="Title"/>
    <w:basedOn w:val="Normal"/>
    <w:next w:val="Normal"/>
    <w:link w:val="PuestoCar"/>
    <w:uiPriority w:val="10"/>
    <w:qFormat/>
    <w:rsid w:val="00B31222"/>
    <w:pPr>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B31222"/>
    <w:rPr>
      <w:rFonts w:asciiTheme="majorHAnsi" w:eastAsiaTheme="majorEastAsia" w:hAnsiTheme="majorHAnsi" w:cstheme="majorBidi"/>
      <w:spacing w:val="-10"/>
      <w:kern w:val="28"/>
      <w:sz w:val="56"/>
      <w:szCs w:val="56"/>
      <w:lang w:val="es-ES" w:eastAsia="es-ES"/>
    </w:rPr>
  </w:style>
  <w:style w:type="paragraph" w:styleId="Sangradetextonormal">
    <w:name w:val="Body Text Indent"/>
    <w:basedOn w:val="Normal"/>
    <w:link w:val="SangradetextonormalCar"/>
    <w:uiPriority w:val="99"/>
    <w:unhideWhenUsed/>
    <w:rsid w:val="00B31222"/>
    <w:pPr>
      <w:spacing w:after="120"/>
      <w:ind w:left="283"/>
    </w:pPr>
  </w:style>
  <w:style w:type="character" w:customStyle="1" w:styleId="SangradetextonormalCar">
    <w:name w:val="Sangría de texto normal Car"/>
    <w:basedOn w:val="Fuentedeprrafopredeter"/>
    <w:link w:val="Sangradetextonormal"/>
    <w:uiPriority w:val="99"/>
    <w:rsid w:val="00B31222"/>
    <w:rPr>
      <w:rFonts w:ascii="Times New Roman" w:eastAsia="Times New Roman" w:hAnsi="Times New Roman" w:cs="Times New Roman"/>
      <w:sz w:val="20"/>
      <w:szCs w:val="20"/>
      <w:lang w:val="es-ES" w:eastAsia="es-ES"/>
    </w:rPr>
  </w:style>
  <w:style w:type="paragraph" w:styleId="Textoindependienteprimerasangra2">
    <w:name w:val="Body Text First Indent 2"/>
    <w:basedOn w:val="Sangradetextonormal"/>
    <w:link w:val="Textoindependienteprimerasangra2Car"/>
    <w:uiPriority w:val="99"/>
    <w:unhideWhenUsed/>
    <w:rsid w:val="00B3122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B31222"/>
    <w:rPr>
      <w:rFonts w:ascii="Times New Roman" w:eastAsia="Times New Roman" w:hAnsi="Times New Roman" w:cs="Times New Roman"/>
      <w:sz w:val="20"/>
      <w:szCs w:val="20"/>
      <w:lang w:val="es-ES" w:eastAsia="es-ES"/>
    </w:rPr>
  </w:style>
  <w:style w:type="character" w:customStyle="1" w:styleId="Mencionar3">
    <w:name w:val="Mencionar3"/>
    <w:basedOn w:val="Fuentedeprrafopredeter"/>
    <w:uiPriority w:val="99"/>
    <w:semiHidden/>
    <w:unhideWhenUsed/>
    <w:rsid w:val="00A47916"/>
    <w:rPr>
      <w:color w:val="2B579A"/>
      <w:shd w:val="clear" w:color="auto" w:fill="E6E6E6"/>
    </w:rPr>
  </w:style>
  <w:style w:type="character" w:customStyle="1" w:styleId="Mencionar4">
    <w:name w:val="Mencionar4"/>
    <w:basedOn w:val="Fuentedeprrafopredeter"/>
    <w:uiPriority w:val="99"/>
    <w:semiHidden/>
    <w:unhideWhenUsed/>
    <w:rsid w:val="00802515"/>
    <w:rPr>
      <w:color w:val="2B579A"/>
      <w:shd w:val="clear" w:color="auto" w:fill="E6E6E6"/>
    </w:rPr>
  </w:style>
  <w:style w:type="character" w:customStyle="1" w:styleId="maestrofonttexto1">
    <w:name w:val="maestro_fonttexto1"/>
    <w:basedOn w:val="Fuentedeprrafopredeter"/>
    <w:rsid w:val="00C25238"/>
    <w:rPr>
      <w:rFonts w:ascii="Arial" w:hAnsi="Arial" w:cs="Arial" w:hint="default"/>
      <w:sz w:val="15"/>
      <w:szCs w:val="15"/>
    </w:rPr>
  </w:style>
  <w:style w:type="character" w:customStyle="1" w:styleId="apple-converted-space">
    <w:name w:val="apple-converted-space"/>
    <w:basedOn w:val="Fuentedeprrafopredeter"/>
    <w:rsid w:val="00436FD3"/>
  </w:style>
  <w:style w:type="paragraph" w:styleId="NormalWeb">
    <w:name w:val="Normal (Web)"/>
    <w:basedOn w:val="Normal"/>
    <w:uiPriority w:val="99"/>
    <w:unhideWhenUsed/>
    <w:rsid w:val="004F3A02"/>
    <w:pPr>
      <w:spacing w:after="160" w:line="259" w:lineRule="auto"/>
      <w:jc w:val="both"/>
    </w:pPr>
    <w:rPr>
      <w:rFonts w:eastAsiaTheme="minorHAnsi"/>
      <w:color w:val="000000" w:themeColor="text1"/>
      <w:sz w:val="24"/>
      <w:szCs w:val="24"/>
      <w:lang w:eastAsia="en-US"/>
    </w:rPr>
  </w:style>
  <w:style w:type="paragraph" w:customStyle="1" w:styleId="Resoluciones1">
    <w:name w:val="Resoluciones 1"/>
    <w:basedOn w:val="Normal"/>
    <w:next w:val="Normal"/>
    <w:link w:val="Resoluciones1Car"/>
    <w:autoRedefine/>
    <w:rsid w:val="002B57E5"/>
    <w:pPr>
      <w:tabs>
        <w:tab w:val="left" w:pos="2835"/>
      </w:tabs>
      <w:spacing w:line="360" w:lineRule="auto"/>
      <w:contextualSpacing/>
      <w:jc w:val="center"/>
    </w:pPr>
    <w:rPr>
      <w:rFonts w:ascii="Palatino Linotype" w:eastAsia="Calibri" w:hAnsi="Palatino Linotype" w:cs="Tahoma"/>
      <w:b/>
      <w:bCs/>
      <w:color w:val="000000" w:themeColor="text1"/>
      <w:sz w:val="22"/>
      <w:szCs w:val="22"/>
      <w:lang w:val="es-ES" w:eastAsia="en-US"/>
    </w:rPr>
  </w:style>
  <w:style w:type="character" w:customStyle="1" w:styleId="Resoluciones1Car">
    <w:name w:val="Resoluciones 1 Car"/>
    <w:basedOn w:val="Fuentedeprrafopredeter"/>
    <w:link w:val="Resoluciones1"/>
    <w:rsid w:val="002B57E5"/>
    <w:rPr>
      <w:rFonts w:ascii="Palatino Linotype" w:eastAsia="Calibri" w:hAnsi="Palatino Linotype" w:cs="Tahoma"/>
      <w:b/>
      <w:bCs/>
      <w:color w:val="000000" w:themeColor="text1"/>
      <w:lang w:val="es-ES"/>
    </w:rPr>
  </w:style>
  <w:style w:type="paragraph" w:styleId="Subttulo">
    <w:name w:val="Subtitle"/>
    <w:basedOn w:val="Normal"/>
    <w:next w:val="Normal"/>
    <w:link w:val="SubttuloCar"/>
    <w:uiPriority w:val="11"/>
    <w:qFormat/>
    <w:rsid w:val="002B57E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2B57E5"/>
    <w:rPr>
      <w:rFonts w:eastAsiaTheme="minorEastAsia"/>
      <w:color w:val="5A5A5A" w:themeColor="text1" w:themeTint="A5"/>
      <w:spacing w:val="15"/>
      <w:lang w:eastAsia="es-ES"/>
    </w:rPr>
  </w:style>
  <w:style w:type="paragraph" w:customStyle="1" w:styleId="ResolucinV">
    <w:name w:val="Resolución V"/>
    <w:basedOn w:val="Normal"/>
    <w:next w:val="Normal"/>
    <w:link w:val="ResolucinVCar"/>
    <w:rsid w:val="002B57E5"/>
    <w:pPr>
      <w:spacing w:line="360" w:lineRule="auto"/>
      <w:contextualSpacing/>
    </w:pPr>
    <w:rPr>
      <w:rFonts w:ascii="Palatino Linotype" w:eastAsia="Calibri" w:hAnsi="Palatino Linotype" w:cs="Tahoma"/>
      <w:b/>
      <w:bCs/>
      <w:color w:val="000000" w:themeColor="text1"/>
      <w:sz w:val="22"/>
      <w:szCs w:val="22"/>
      <w:lang w:eastAsia="en-US"/>
    </w:rPr>
  </w:style>
  <w:style w:type="character" w:customStyle="1" w:styleId="ResolucinVCar">
    <w:name w:val="Resolución V Car"/>
    <w:basedOn w:val="Fuentedeprrafopredeter"/>
    <w:link w:val="ResolucinV"/>
    <w:rsid w:val="002B57E5"/>
    <w:rPr>
      <w:rFonts w:ascii="Palatino Linotype" w:eastAsia="Calibri" w:hAnsi="Palatino Linotype" w:cs="Tahoma"/>
      <w:b/>
      <w:bCs/>
      <w:color w:val="000000" w:themeColor="text1"/>
    </w:rPr>
  </w:style>
  <w:style w:type="paragraph" w:styleId="TtulodeTDC">
    <w:name w:val="TOC Heading"/>
    <w:basedOn w:val="Ttulo1"/>
    <w:next w:val="Normal"/>
    <w:uiPriority w:val="39"/>
    <w:unhideWhenUsed/>
    <w:qFormat/>
    <w:rsid w:val="002B57E5"/>
    <w:pPr>
      <w:spacing w:line="259" w:lineRule="auto"/>
      <w:outlineLvl w:val="9"/>
    </w:pPr>
    <w:rPr>
      <w:lang w:eastAsia="es-MX"/>
    </w:rPr>
  </w:style>
  <w:style w:type="character" w:customStyle="1" w:styleId="Ttulo2Car">
    <w:name w:val="Título 2 Car"/>
    <w:basedOn w:val="Fuentedeprrafopredeter"/>
    <w:link w:val="Ttulo2"/>
    <w:uiPriority w:val="9"/>
    <w:rsid w:val="002B57E5"/>
    <w:rPr>
      <w:rFonts w:ascii="Palatino Linotype" w:eastAsiaTheme="majorEastAsia" w:hAnsi="Palatino Linotype" w:cstheme="majorBidi"/>
      <w:b/>
      <w:color w:val="000000" w:themeColor="text1"/>
      <w:szCs w:val="26"/>
      <w:lang w:eastAsia="es-ES"/>
    </w:rPr>
  </w:style>
  <w:style w:type="paragraph" w:styleId="TDC1">
    <w:name w:val="toc 1"/>
    <w:basedOn w:val="Normal"/>
    <w:next w:val="Normal"/>
    <w:autoRedefine/>
    <w:uiPriority w:val="39"/>
    <w:unhideWhenUsed/>
    <w:rsid w:val="00E51E73"/>
    <w:pPr>
      <w:tabs>
        <w:tab w:val="right" w:leader="dot" w:pos="9034"/>
      </w:tabs>
      <w:spacing w:after="100" w:line="360" w:lineRule="auto"/>
      <w:jc w:val="both"/>
    </w:pPr>
  </w:style>
  <w:style w:type="paragraph" w:styleId="TDC2">
    <w:name w:val="toc 2"/>
    <w:basedOn w:val="Normal"/>
    <w:next w:val="Normal"/>
    <w:autoRedefine/>
    <w:uiPriority w:val="39"/>
    <w:unhideWhenUsed/>
    <w:rsid w:val="007935E5"/>
    <w:pPr>
      <w:spacing w:after="100"/>
      <w:ind w:left="200"/>
    </w:pPr>
  </w:style>
  <w:style w:type="character" w:customStyle="1" w:styleId="Mencinsinresolver1">
    <w:name w:val="Mención sin resolver1"/>
    <w:basedOn w:val="Fuentedeprrafopredeter"/>
    <w:uiPriority w:val="99"/>
    <w:semiHidden/>
    <w:unhideWhenUsed/>
    <w:rsid w:val="00EB1E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8243">
      <w:bodyDiv w:val="1"/>
      <w:marLeft w:val="0"/>
      <w:marRight w:val="0"/>
      <w:marTop w:val="0"/>
      <w:marBottom w:val="0"/>
      <w:divBdr>
        <w:top w:val="none" w:sz="0" w:space="0" w:color="auto"/>
        <w:left w:val="none" w:sz="0" w:space="0" w:color="auto"/>
        <w:bottom w:val="none" w:sz="0" w:space="0" w:color="auto"/>
        <w:right w:val="none" w:sz="0" w:space="0" w:color="auto"/>
      </w:divBdr>
    </w:div>
    <w:div w:id="9069151">
      <w:bodyDiv w:val="1"/>
      <w:marLeft w:val="0"/>
      <w:marRight w:val="0"/>
      <w:marTop w:val="0"/>
      <w:marBottom w:val="0"/>
      <w:divBdr>
        <w:top w:val="none" w:sz="0" w:space="0" w:color="auto"/>
        <w:left w:val="none" w:sz="0" w:space="0" w:color="auto"/>
        <w:bottom w:val="none" w:sz="0" w:space="0" w:color="auto"/>
        <w:right w:val="none" w:sz="0" w:space="0" w:color="auto"/>
      </w:divBdr>
    </w:div>
    <w:div w:id="12192633">
      <w:bodyDiv w:val="1"/>
      <w:marLeft w:val="0"/>
      <w:marRight w:val="0"/>
      <w:marTop w:val="0"/>
      <w:marBottom w:val="0"/>
      <w:divBdr>
        <w:top w:val="none" w:sz="0" w:space="0" w:color="auto"/>
        <w:left w:val="none" w:sz="0" w:space="0" w:color="auto"/>
        <w:bottom w:val="none" w:sz="0" w:space="0" w:color="auto"/>
        <w:right w:val="none" w:sz="0" w:space="0" w:color="auto"/>
      </w:divBdr>
    </w:div>
    <w:div w:id="22561575">
      <w:bodyDiv w:val="1"/>
      <w:marLeft w:val="0"/>
      <w:marRight w:val="0"/>
      <w:marTop w:val="0"/>
      <w:marBottom w:val="0"/>
      <w:divBdr>
        <w:top w:val="none" w:sz="0" w:space="0" w:color="auto"/>
        <w:left w:val="none" w:sz="0" w:space="0" w:color="auto"/>
        <w:bottom w:val="none" w:sz="0" w:space="0" w:color="auto"/>
        <w:right w:val="none" w:sz="0" w:space="0" w:color="auto"/>
      </w:divBdr>
    </w:div>
    <w:div w:id="24212379">
      <w:bodyDiv w:val="1"/>
      <w:marLeft w:val="0"/>
      <w:marRight w:val="0"/>
      <w:marTop w:val="0"/>
      <w:marBottom w:val="0"/>
      <w:divBdr>
        <w:top w:val="none" w:sz="0" w:space="0" w:color="auto"/>
        <w:left w:val="none" w:sz="0" w:space="0" w:color="auto"/>
        <w:bottom w:val="none" w:sz="0" w:space="0" w:color="auto"/>
        <w:right w:val="none" w:sz="0" w:space="0" w:color="auto"/>
      </w:divBdr>
    </w:div>
    <w:div w:id="35350906">
      <w:bodyDiv w:val="1"/>
      <w:marLeft w:val="0"/>
      <w:marRight w:val="0"/>
      <w:marTop w:val="0"/>
      <w:marBottom w:val="0"/>
      <w:divBdr>
        <w:top w:val="none" w:sz="0" w:space="0" w:color="auto"/>
        <w:left w:val="none" w:sz="0" w:space="0" w:color="auto"/>
        <w:bottom w:val="none" w:sz="0" w:space="0" w:color="auto"/>
        <w:right w:val="none" w:sz="0" w:space="0" w:color="auto"/>
      </w:divBdr>
    </w:div>
    <w:div w:id="64108941">
      <w:bodyDiv w:val="1"/>
      <w:marLeft w:val="0"/>
      <w:marRight w:val="0"/>
      <w:marTop w:val="0"/>
      <w:marBottom w:val="0"/>
      <w:divBdr>
        <w:top w:val="none" w:sz="0" w:space="0" w:color="auto"/>
        <w:left w:val="none" w:sz="0" w:space="0" w:color="auto"/>
        <w:bottom w:val="none" w:sz="0" w:space="0" w:color="auto"/>
        <w:right w:val="none" w:sz="0" w:space="0" w:color="auto"/>
      </w:divBdr>
    </w:div>
    <w:div w:id="68844203">
      <w:bodyDiv w:val="1"/>
      <w:marLeft w:val="0"/>
      <w:marRight w:val="0"/>
      <w:marTop w:val="0"/>
      <w:marBottom w:val="0"/>
      <w:divBdr>
        <w:top w:val="none" w:sz="0" w:space="0" w:color="auto"/>
        <w:left w:val="none" w:sz="0" w:space="0" w:color="auto"/>
        <w:bottom w:val="none" w:sz="0" w:space="0" w:color="auto"/>
        <w:right w:val="none" w:sz="0" w:space="0" w:color="auto"/>
      </w:divBdr>
    </w:div>
    <w:div w:id="77215633">
      <w:bodyDiv w:val="1"/>
      <w:marLeft w:val="0"/>
      <w:marRight w:val="0"/>
      <w:marTop w:val="0"/>
      <w:marBottom w:val="0"/>
      <w:divBdr>
        <w:top w:val="none" w:sz="0" w:space="0" w:color="auto"/>
        <w:left w:val="none" w:sz="0" w:space="0" w:color="auto"/>
        <w:bottom w:val="none" w:sz="0" w:space="0" w:color="auto"/>
        <w:right w:val="none" w:sz="0" w:space="0" w:color="auto"/>
      </w:divBdr>
    </w:div>
    <w:div w:id="95950319">
      <w:bodyDiv w:val="1"/>
      <w:marLeft w:val="0"/>
      <w:marRight w:val="0"/>
      <w:marTop w:val="0"/>
      <w:marBottom w:val="0"/>
      <w:divBdr>
        <w:top w:val="none" w:sz="0" w:space="0" w:color="auto"/>
        <w:left w:val="none" w:sz="0" w:space="0" w:color="auto"/>
        <w:bottom w:val="none" w:sz="0" w:space="0" w:color="auto"/>
        <w:right w:val="none" w:sz="0" w:space="0" w:color="auto"/>
      </w:divBdr>
    </w:div>
    <w:div w:id="127748878">
      <w:bodyDiv w:val="1"/>
      <w:marLeft w:val="0"/>
      <w:marRight w:val="0"/>
      <w:marTop w:val="0"/>
      <w:marBottom w:val="0"/>
      <w:divBdr>
        <w:top w:val="none" w:sz="0" w:space="0" w:color="auto"/>
        <w:left w:val="none" w:sz="0" w:space="0" w:color="auto"/>
        <w:bottom w:val="none" w:sz="0" w:space="0" w:color="auto"/>
        <w:right w:val="none" w:sz="0" w:space="0" w:color="auto"/>
      </w:divBdr>
    </w:div>
    <w:div w:id="141194478">
      <w:bodyDiv w:val="1"/>
      <w:marLeft w:val="0"/>
      <w:marRight w:val="0"/>
      <w:marTop w:val="0"/>
      <w:marBottom w:val="0"/>
      <w:divBdr>
        <w:top w:val="none" w:sz="0" w:space="0" w:color="auto"/>
        <w:left w:val="none" w:sz="0" w:space="0" w:color="auto"/>
        <w:bottom w:val="none" w:sz="0" w:space="0" w:color="auto"/>
        <w:right w:val="none" w:sz="0" w:space="0" w:color="auto"/>
      </w:divBdr>
    </w:div>
    <w:div w:id="166336764">
      <w:bodyDiv w:val="1"/>
      <w:marLeft w:val="0"/>
      <w:marRight w:val="0"/>
      <w:marTop w:val="0"/>
      <w:marBottom w:val="0"/>
      <w:divBdr>
        <w:top w:val="none" w:sz="0" w:space="0" w:color="auto"/>
        <w:left w:val="none" w:sz="0" w:space="0" w:color="auto"/>
        <w:bottom w:val="none" w:sz="0" w:space="0" w:color="auto"/>
        <w:right w:val="none" w:sz="0" w:space="0" w:color="auto"/>
      </w:divBdr>
      <w:divsChild>
        <w:div w:id="587348187">
          <w:marLeft w:val="0"/>
          <w:marRight w:val="0"/>
          <w:marTop w:val="0"/>
          <w:marBottom w:val="0"/>
          <w:divBdr>
            <w:top w:val="none" w:sz="0" w:space="0" w:color="auto"/>
            <w:left w:val="none" w:sz="0" w:space="0" w:color="auto"/>
            <w:bottom w:val="none" w:sz="0" w:space="0" w:color="auto"/>
            <w:right w:val="none" w:sz="0" w:space="0" w:color="auto"/>
          </w:divBdr>
        </w:div>
        <w:div w:id="854686728">
          <w:marLeft w:val="0"/>
          <w:marRight w:val="0"/>
          <w:marTop w:val="0"/>
          <w:marBottom w:val="0"/>
          <w:divBdr>
            <w:top w:val="none" w:sz="0" w:space="0" w:color="auto"/>
            <w:left w:val="none" w:sz="0" w:space="0" w:color="auto"/>
            <w:bottom w:val="none" w:sz="0" w:space="0" w:color="auto"/>
            <w:right w:val="none" w:sz="0" w:space="0" w:color="auto"/>
          </w:divBdr>
        </w:div>
        <w:div w:id="2005014136">
          <w:marLeft w:val="0"/>
          <w:marRight w:val="0"/>
          <w:marTop w:val="0"/>
          <w:marBottom w:val="0"/>
          <w:divBdr>
            <w:top w:val="none" w:sz="0" w:space="0" w:color="auto"/>
            <w:left w:val="none" w:sz="0" w:space="0" w:color="auto"/>
            <w:bottom w:val="none" w:sz="0" w:space="0" w:color="auto"/>
            <w:right w:val="none" w:sz="0" w:space="0" w:color="auto"/>
          </w:divBdr>
        </w:div>
      </w:divsChild>
    </w:div>
    <w:div w:id="184249317">
      <w:bodyDiv w:val="1"/>
      <w:marLeft w:val="0"/>
      <w:marRight w:val="0"/>
      <w:marTop w:val="0"/>
      <w:marBottom w:val="0"/>
      <w:divBdr>
        <w:top w:val="none" w:sz="0" w:space="0" w:color="auto"/>
        <w:left w:val="none" w:sz="0" w:space="0" w:color="auto"/>
        <w:bottom w:val="none" w:sz="0" w:space="0" w:color="auto"/>
        <w:right w:val="none" w:sz="0" w:space="0" w:color="auto"/>
      </w:divBdr>
    </w:div>
    <w:div w:id="190993073">
      <w:bodyDiv w:val="1"/>
      <w:marLeft w:val="0"/>
      <w:marRight w:val="0"/>
      <w:marTop w:val="0"/>
      <w:marBottom w:val="0"/>
      <w:divBdr>
        <w:top w:val="none" w:sz="0" w:space="0" w:color="auto"/>
        <w:left w:val="none" w:sz="0" w:space="0" w:color="auto"/>
        <w:bottom w:val="none" w:sz="0" w:space="0" w:color="auto"/>
        <w:right w:val="none" w:sz="0" w:space="0" w:color="auto"/>
      </w:divBdr>
    </w:div>
    <w:div w:id="203030893">
      <w:bodyDiv w:val="1"/>
      <w:marLeft w:val="0"/>
      <w:marRight w:val="0"/>
      <w:marTop w:val="0"/>
      <w:marBottom w:val="0"/>
      <w:divBdr>
        <w:top w:val="none" w:sz="0" w:space="0" w:color="auto"/>
        <w:left w:val="none" w:sz="0" w:space="0" w:color="auto"/>
        <w:bottom w:val="none" w:sz="0" w:space="0" w:color="auto"/>
        <w:right w:val="none" w:sz="0" w:space="0" w:color="auto"/>
      </w:divBdr>
    </w:div>
    <w:div w:id="203324463">
      <w:bodyDiv w:val="1"/>
      <w:marLeft w:val="0"/>
      <w:marRight w:val="0"/>
      <w:marTop w:val="0"/>
      <w:marBottom w:val="0"/>
      <w:divBdr>
        <w:top w:val="none" w:sz="0" w:space="0" w:color="auto"/>
        <w:left w:val="none" w:sz="0" w:space="0" w:color="auto"/>
        <w:bottom w:val="none" w:sz="0" w:space="0" w:color="auto"/>
        <w:right w:val="none" w:sz="0" w:space="0" w:color="auto"/>
      </w:divBdr>
    </w:div>
    <w:div w:id="231282173">
      <w:bodyDiv w:val="1"/>
      <w:marLeft w:val="0"/>
      <w:marRight w:val="0"/>
      <w:marTop w:val="0"/>
      <w:marBottom w:val="0"/>
      <w:divBdr>
        <w:top w:val="none" w:sz="0" w:space="0" w:color="auto"/>
        <w:left w:val="none" w:sz="0" w:space="0" w:color="auto"/>
        <w:bottom w:val="none" w:sz="0" w:space="0" w:color="auto"/>
        <w:right w:val="none" w:sz="0" w:space="0" w:color="auto"/>
      </w:divBdr>
    </w:div>
    <w:div w:id="263848016">
      <w:bodyDiv w:val="1"/>
      <w:marLeft w:val="0"/>
      <w:marRight w:val="0"/>
      <w:marTop w:val="0"/>
      <w:marBottom w:val="0"/>
      <w:divBdr>
        <w:top w:val="none" w:sz="0" w:space="0" w:color="auto"/>
        <w:left w:val="none" w:sz="0" w:space="0" w:color="auto"/>
        <w:bottom w:val="none" w:sz="0" w:space="0" w:color="auto"/>
        <w:right w:val="none" w:sz="0" w:space="0" w:color="auto"/>
      </w:divBdr>
    </w:div>
    <w:div w:id="297028227">
      <w:bodyDiv w:val="1"/>
      <w:marLeft w:val="0"/>
      <w:marRight w:val="0"/>
      <w:marTop w:val="0"/>
      <w:marBottom w:val="0"/>
      <w:divBdr>
        <w:top w:val="none" w:sz="0" w:space="0" w:color="auto"/>
        <w:left w:val="none" w:sz="0" w:space="0" w:color="auto"/>
        <w:bottom w:val="none" w:sz="0" w:space="0" w:color="auto"/>
        <w:right w:val="none" w:sz="0" w:space="0" w:color="auto"/>
      </w:divBdr>
    </w:div>
    <w:div w:id="335034988">
      <w:bodyDiv w:val="1"/>
      <w:marLeft w:val="0"/>
      <w:marRight w:val="0"/>
      <w:marTop w:val="0"/>
      <w:marBottom w:val="0"/>
      <w:divBdr>
        <w:top w:val="none" w:sz="0" w:space="0" w:color="auto"/>
        <w:left w:val="none" w:sz="0" w:space="0" w:color="auto"/>
        <w:bottom w:val="none" w:sz="0" w:space="0" w:color="auto"/>
        <w:right w:val="none" w:sz="0" w:space="0" w:color="auto"/>
      </w:divBdr>
      <w:divsChild>
        <w:div w:id="1375617587">
          <w:marLeft w:val="0"/>
          <w:marRight w:val="0"/>
          <w:marTop w:val="0"/>
          <w:marBottom w:val="0"/>
          <w:divBdr>
            <w:top w:val="none" w:sz="0" w:space="0" w:color="auto"/>
            <w:left w:val="none" w:sz="0" w:space="0" w:color="auto"/>
            <w:bottom w:val="none" w:sz="0" w:space="0" w:color="auto"/>
            <w:right w:val="none" w:sz="0" w:space="0" w:color="auto"/>
          </w:divBdr>
        </w:div>
        <w:div w:id="935407176">
          <w:marLeft w:val="0"/>
          <w:marRight w:val="0"/>
          <w:marTop w:val="0"/>
          <w:marBottom w:val="0"/>
          <w:divBdr>
            <w:top w:val="none" w:sz="0" w:space="0" w:color="auto"/>
            <w:left w:val="none" w:sz="0" w:space="0" w:color="auto"/>
            <w:bottom w:val="none" w:sz="0" w:space="0" w:color="auto"/>
            <w:right w:val="none" w:sz="0" w:space="0" w:color="auto"/>
          </w:divBdr>
        </w:div>
        <w:div w:id="403600714">
          <w:marLeft w:val="0"/>
          <w:marRight w:val="0"/>
          <w:marTop w:val="0"/>
          <w:marBottom w:val="0"/>
          <w:divBdr>
            <w:top w:val="none" w:sz="0" w:space="0" w:color="auto"/>
            <w:left w:val="none" w:sz="0" w:space="0" w:color="auto"/>
            <w:bottom w:val="none" w:sz="0" w:space="0" w:color="auto"/>
            <w:right w:val="none" w:sz="0" w:space="0" w:color="auto"/>
          </w:divBdr>
        </w:div>
        <w:div w:id="905533049">
          <w:marLeft w:val="0"/>
          <w:marRight w:val="0"/>
          <w:marTop w:val="0"/>
          <w:marBottom w:val="0"/>
          <w:divBdr>
            <w:top w:val="none" w:sz="0" w:space="0" w:color="auto"/>
            <w:left w:val="none" w:sz="0" w:space="0" w:color="auto"/>
            <w:bottom w:val="none" w:sz="0" w:space="0" w:color="auto"/>
            <w:right w:val="none" w:sz="0" w:space="0" w:color="auto"/>
          </w:divBdr>
        </w:div>
      </w:divsChild>
    </w:div>
    <w:div w:id="341590908">
      <w:bodyDiv w:val="1"/>
      <w:marLeft w:val="0"/>
      <w:marRight w:val="0"/>
      <w:marTop w:val="0"/>
      <w:marBottom w:val="0"/>
      <w:divBdr>
        <w:top w:val="none" w:sz="0" w:space="0" w:color="auto"/>
        <w:left w:val="none" w:sz="0" w:space="0" w:color="auto"/>
        <w:bottom w:val="none" w:sz="0" w:space="0" w:color="auto"/>
        <w:right w:val="none" w:sz="0" w:space="0" w:color="auto"/>
      </w:divBdr>
      <w:divsChild>
        <w:div w:id="366953804">
          <w:marLeft w:val="0"/>
          <w:marRight w:val="0"/>
          <w:marTop w:val="0"/>
          <w:marBottom w:val="0"/>
          <w:divBdr>
            <w:top w:val="none" w:sz="0" w:space="0" w:color="auto"/>
            <w:left w:val="none" w:sz="0" w:space="0" w:color="auto"/>
            <w:bottom w:val="none" w:sz="0" w:space="0" w:color="auto"/>
            <w:right w:val="none" w:sz="0" w:space="0" w:color="auto"/>
          </w:divBdr>
        </w:div>
        <w:div w:id="356124260">
          <w:marLeft w:val="0"/>
          <w:marRight w:val="0"/>
          <w:marTop w:val="0"/>
          <w:marBottom w:val="0"/>
          <w:divBdr>
            <w:top w:val="none" w:sz="0" w:space="0" w:color="auto"/>
            <w:left w:val="none" w:sz="0" w:space="0" w:color="auto"/>
            <w:bottom w:val="none" w:sz="0" w:space="0" w:color="auto"/>
            <w:right w:val="none" w:sz="0" w:space="0" w:color="auto"/>
          </w:divBdr>
        </w:div>
        <w:div w:id="557520594">
          <w:marLeft w:val="0"/>
          <w:marRight w:val="0"/>
          <w:marTop w:val="0"/>
          <w:marBottom w:val="0"/>
          <w:divBdr>
            <w:top w:val="none" w:sz="0" w:space="0" w:color="auto"/>
            <w:left w:val="none" w:sz="0" w:space="0" w:color="auto"/>
            <w:bottom w:val="none" w:sz="0" w:space="0" w:color="auto"/>
            <w:right w:val="none" w:sz="0" w:space="0" w:color="auto"/>
          </w:divBdr>
        </w:div>
      </w:divsChild>
    </w:div>
    <w:div w:id="345209379">
      <w:bodyDiv w:val="1"/>
      <w:marLeft w:val="0"/>
      <w:marRight w:val="0"/>
      <w:marTop w:val="0"/>
      <w:marBottom w:val="0"/>
      <w:divBdr>
        <w:top w:val="none" w:sz="0" w:space="0" w:color="auto"/>
        <w:left w:val="none" w:sz="0" w:space="0" w:color="auto"/>
        <w:bottom w:val="none" w:sz="0" w:space="0" w:color="auto"/>
        <w:right w:val="none" w:sz="0" w:space="0" w:color="auto"/>
      </w:divBdr>
    </w:div>
    <w:div w:id="363601056">
      <w:bodyDiv w:val="1"/>
      <w:marLeft w:val="0"/>
      <w:marRight w:val="0"/>
      <w:marTop w:val="0"/>
      <w:marBottom w:val="0"/>
      <w:divBdr>
        <w:top w:val="none" w:sz="0" w:space="0" w:color="auto"/>
        <w:left w:val="none" w:sz="0" w:space="0" w:color="auto"/>
        <w:bottom w:val="none" w:sz="0" w:space="0" w:color="auto"/>
        <w:right w:val="none" w:sz="0" w:space="0" w:color="auto"/>
      </w:divBdr>
    </w:div>
    <w:div w:id="382406544">
      <w:bodyDiv w:val="1"/>
      <w:marLeft w:val="0"/>
      <w:marRight w:val="0"/>
      <w:marTop w:val="0"/>
      <w:marBottom w:val="0"/>
      <w:divBdr>
        <w:top w:val="none" w:sz="0" w:space="0" w:color="auto"/>
        <w:left w:val="none" w:sz="0" w:space="0" w:color="auto"/>
        <w:bottom w:val="none" w:sz="0" w:space="0" w:color="auto"/>
        <w:right w:val="none" w:sz="0" w:space="0" w:color="auto"/>
      </w:divBdr>
    </w:div>
    <w:div w:id="411246475">
      <w:bodyDiv w:val="1"/>
      <w:marLeft w:val="0"/>
      <w:marRight w:val="0"/>
      <w:marTop w:val="0"/>
      <w:marBottom w:val="0"/>
      <w:divBdr>
        <w:top w:val="none" w:sz="0" w:space="0" w:color="auto"/>
        <w:left w:val="none" w:sz="0" w:space="0" w:color="auto"/>
        <w:bottom w:val="none" w:sz="0" w:space="0" w:color="auto"/>
        <w:right w:val="none" w:sz="0" w:space="0" w:color="auto"/>
      </w:divBdr>
    </w:div>
    <w:div w:id="443575797">
      <w:bodyDiv w:val="1"/>
      <w:marLeft w:val="0"/>
      <w:marRight w:val="0"/>
      <w:marTop w:val="0"/>
      <w:marBottom w:val="0"/>
      <w:divBdr>
        <w:top w:val="none" w:sz="0" w:space="0" w:color="auto"/>
        <w:left w:val="none" w:sz="0" w:space="0" w:color="auto"/>
        <w:bottom w:val="none" w:sz="0" w:space="0" w:color="auto"/>
        <w:right w:val="none" w:sz="0" w:space="0" w:color="auto"/>
      </w:divBdr>
    </w:div>
    <w:div w:id="453253294">
      <w:bodyDiv w:val="1"/>
      <w:marLeft w:val="0"/>
      <w:marRight w:val="0"/>
      <w:marTop w:val="0"/>
      <w:marBottom w:val="0"/>
      <w:divBdr>
        <w:top w:val="none" w:sz="0" w:space="0" w:color="auto"/>
        <w:left w:val="none" w:sz="0" w:space="0" w:color="auto"/>
        <w:bottom w:val="none" w:sz="0" w:space="0" w:color="auto"/>
        <w:right w:val="none" w:sz="0" w:space="0" w:color="auto"/>
      </w:divBdr>
    </w:div>
    <w:div w:id="463426680">
      <w:bodyDiv w:val="1"/>
      <w:marLeft w:val="0"/>
      <w:marRight w:val="0"/>
      <w:marTop w:val="0"/>
      <w:marBottom w:val="0"/>
      <w:divBdr>
        <w:top w:val="none" w:sz="0" w:space="0" w:color="auto"/>
        <w:left w:val="none" w:sz="0" w:space="0" w:color="auto"/>
        <w:bottom w:val="none" w:sz="0" w:space="0" w:color="auto"/>
        <w:right w:val="none" w:sz="0" w:space="0" w:color="auto"/>
      </w:divBdr>
    </w:div>
    <w:div w:id="475414075">
      <w:bodyDiv w:val="1"/>
      <w:marLeft w:val="0"/>
      <w:marRight w:val="0"/>
      <w:marTop w:val="0"/>
      <w:marBottom w:val="0"/>
      <w:divBdr>
        <w:top w:val="none" w:sz="0" w:space="0" w:color="auto"/>
        <w:left w:val="none" w:sz="0" w:space="0" w:color="auto"/>
        <w:bottom w:val="none" w:sz="0" w:space="0" w:color="auto"/>
        <w:right w:val="none" w:sz="0" w:space="0" w:color="auto"/>
      </w:divBdr>
    </w:div>
    <w:div w:id="486745336">
      <w:bodyDiv w:val="1"/>
      <w:marLeft w:val="0"/>
      <w:marRight w:val="0"/>
      <w:marTop w:val="0"/>
      <w:marBottom w:val="0"/>
      <w:divBdr>
        <w:top w:val="none" w:sz="0" w:space="0" w:color="auto"/>
        <w:left w:val="none" w:sz="0" w:space="0" w:color="auto"/>
        <w:bottom w:val="none" w:sz="0" w:space="0" w:color="auto"/>
        <w:right w:val="none" w:sz="0" w:space="0" w:color="auto"/>
      </w:divBdr>
    </w:div>
    <w:div w:id="522020283">
      <w:bodyDiv w:val="1"/>
      <w:marLeft w:val="0"/>
      <w:marRight w:val="0"/>
      <w:marTop w:val="0"/>
      <w:marBottom w:val="0"/>
      <w:divBdr>
        <w:top w:val="none" w:sz="0" w:space="0" w:color="auto"/>
        <w:left w:val="none" w:sz="0" w:space="0" w:color="auto"/>
        <w:bottom w:val="none" w:sz="0" w:space="0" w:color="auto"/>
        <w:right w:val="none" w:sz="0" w:space="0" w:color="auto"/>
      </w:divBdr>
    </w:div>
    <w:div w:id="543643945">
      <w:bodyDiv w:val="1"/>
      <w:marLeft w:val="0"/>
      <w:marRight w:val="0"/>
      <w:marTop w:val="0"/>
      <w:marBottom w:val="0"/>
      <w:divBdr>
        <w:top w:val="none" w:sz="0" w:space="0" w:color="auto"/>
        <w:left w:val="none" w:sz="0" w:space="0" w:color="auto"/>
        <w:bottom w:val="none" w:sz="0" w:space="0" w:color="auto"/>
        <w:right w:val="none" w:sz="0" w:space="0" w:color="auto"/>
      </w:divBdr>
    </w:div>
    <w:div w:id="552814093">
      <w:bodyDiv w:val="1"/>
      <w:marLeft w:val="0"/>
      <w:marRight w:val="0"/>
      <w:marTop w:val="0"/>
      <w:marBottom w:val="0"/>
      <w:divBdr>
        <w:top w:val="none" w:sz="0" w:space="0" w:color="auto"/>
        <w:left w:val="none" w:sz="0" w:space="0" w:color="auto"/>
        <w:bottom w:val="none" w:sz="0" w:space="0" w:color="auto"/>
        <w:right w:val="none" w:sz="0" w:space="0" w:color="auto"/>
      </w:divBdr>
    </w:div>
    <w:div w:id="588003555">
      <w:bodyDiv w:val="1"/>
      <w:marLeft w:val="0"/>
      <w:marRight w:val="0"/>
      <w:marTop w:val="0"/>
      <w:marBottom w:val="0"/>
      <w:divBdr>
        <w:top w:val="none" w:sz="0" w:space="0" w:color="auto"/>
        <w:left w:val="none" w:sz="0" w:space="0" w:color="auto"/>
        <w:bottom w:val="none" w:sz="0" w:space="0" w:color="auto"/>
        <w:right w:val="none" w:sz="0" w:space="0" w:color="auto"/>
      </w:divBdr>
    </w:div>
    <w:div w:id="635836293">
      <w:bodyDiv w:val="1"/>
      <w:marLeft w:val="0"/>
      <w:marRight w:val="0"/>
      <w:marTop w:val="0"/>
      <w:marBottom w:val="0"/>
      <w:divBdr>
        <w:top w:val="none" w:sz="0" w:space="0" w:color="auto"/>
        <w:left w:val="none" w:sz="0" w:space="0" w:color="auto"/>
        <w:bottom w:val="none" w:sz="0" w:space="0" w:color="auto"/>
        <w:right w:val="none" w:sz="0" w:space="0" w:color="auto"/>
      </w:divBdr>
    </w:div>
    <w:div w:id="639531374">
      <w:bodyDiv w:val="1"/>
      <w:marLeft w:val="0"/>
      <w:marRight w:val="0"/>
      <w:marTop w:val="0"/>
      <w:marBottom w:val="0"/>
      <w:divBdr>
        <w:top w:val="none" w:sz="0" w:space="0" w:color="auto"/>
        <w:left w:val="none" w:sz="0" w:space="0" w:color="auto"/>
        <w:bottom w:val="none" w:sz="0" w:space="0" w:color="auto"/>
        <w:right w:val="none" w:sz="0" w:space="0" w:color="auto"/>
      </w:divBdr>
    </w:div>
    <w:div w:id="640352948">
      <w:bodyDiv w:val="1"/>
      <w:marLeft w:val="0"/>
      <w:marRight w:val="0"/>
      <w:marTop w:val="0"/>
      <w:marBottom w:val="0"/>
      <w:divBdr>
        <w:top w:val="none" w:sz="0" w:space="0" w:color="auto"/>
        <w:left w:val="none" w:sz="0" w:space="0" w:color="auto"/>
        <w:bottom w:val="none" w:sz="0" w:space="0" w:color="auto"/>
        <w:right w:val="none" w:sz="0" w:space="0" w:color="auto"/>
      </w:divBdr>
    </w:div>
    <w:div w:id="670568218">
      <w:bodyDiv w:val="1"/>
      <w:marLeft w:val="0"/>
      <w:marRight w:val="0"/>
      <w:marTop w:val="0"/>
      <w:marBottom w:val="0"/>
      <w:divBdr>
        <w:top w:val="none" w:sz="0" w:space="0" w:color="auto"/>
        <w:left w:val="none" w:sz="0" w:space="0" w:color="auto"/>
        <w:bottom w:val="none" w:sz="0" w:space="0" w:color="auto"/>
        <w:right w:val="none" w:sz="0" w:space="0" w:color="auto"/>
      </w:divBdr>
      <w:divsChild>
        <w:div w:id="85227439">
          <w:marLeft w:val="0"/>
          <w:marRight w:val="0"/>
          <w:marTop w:val="0"/>
          <w:marBottom w:val="0"/>
          <w:divBdr>
            <w:top w:val="none" w:sz="0" w:space="0" w:color="auto"/>
            <w:left w:val="none" w:sz="0" w:space="0" w:color="auto"/>
            <w:bottom w:val="none" w:sz="0" w:space="0" w:color="auto"/>
            <w:right w:val="none" w:sz="0" w:space="0" w:color="auto"/>
          </w:divBdr>
        </w:div>
        <w:div w:id="647710696">
          <w:marLeft w:val="0"/>
          <w:marRight w:val="0"/>
          <w:marTop w:val="0"/>
          <w:marBottom w:val="0"/>
          <w:divBdr>
            <w:top w:val="none" w:sz="0" w:space="0" w:color="auto"/>
            <w:left w:val="none" w:sz="0" w:space="0" w:color="auto"/>
            <w:bottom w:val="none" w:sz="0" w:space="0" w:color="auto"/>
            <w:right w:val="none" w:sz="0" w:space="0" w:color="auto"/>
          </w:divBdr>
        </w:div>
      </w:divsChild>
    </w:div>
    <w:div w:id="688877900">
      <w:bodyDiv w:val="1"/>
      <w:marLeft w:val="0"/>
      <w:marRight w:val="0"/>
      <w:marTop w:val="0"/>
      <w:marBottom w:val="0"/>
      <w:divBdr>
        <w:top w:val="none" w:sz="0" w:space="0" w:color="auto"/>
        <w:left w:val="none" w:sz="0" w:space="0" w:color="auto"/>
        <w:bottom w:val="none" w:sz="0" w:space="0" w:color="auto"/>
        <w:right w:val="none" w:sz="0" w:space="0" w:color="auto"/>
      </w:divBdr>
      <w:divsChild>
        <w:div w:id="743138670">
          <w:marLeft w:val="0"/>
          <w:marRight w:val="0"/>
          <w:marTop w:val="0"/>
          <w:marBottom w:val="0"/>
          <w:divBdr>
            <w:top w:val="none" w:sz="0" w:space="0" w:color="auto"/>
            <w:left w:val="none" w:sz="0" w:space="0" w:color="auto"/>
            <w:bottom w:val="none" w:sz="0" w:space="0" w:color="auto"/>
            <w:right w:val="none" w:sz="0" w:space="0" w:color="auto"/>
          </w:divBdr>
        </w:div>
        <w:div w:id="1322735557">
          <w:marLeft w:val="0"/>
          <w:marRight w:val="0"/>
          <w:marTop w:val="0"/>
          <w:marBottom w:val="0"/>
          <w:divBdr>
            <w:top w:val="none" w:sz="0" w:space="0" w:color="auto"/>
            <w:left w:val="none" w:sz="0" w:space="0" w:color="auto"/>
            <w:bottom w:val="none" w:sz="0" w:space="0" w:color="auto"/>
            <w:right w:val="none" w:sz="0" w:space="0" w:color="auto"/>
          </w:divBdr>
        </w:div>
        <w:div w:id="823813829">
          <w:marLeft w:val="0"/>
          <w:marRight w:val="0"/>
          <w:marTop w:val="0"/>
          <w:marBottom w:val="0"/>
          <w:divBdr>
            <w:top w:val="none" w:sz="0" w:space="0" w:color="auto"/>
            <w:left w:val="none" w:sz="0" w:space="0" w:color="auto"/>
            <w:bottom w:val="none" w:sz="0" w:space="0" w:color="auto"/>
            <w:right w:val="none" w:sz="0" w:space="0" w:color="auto"/>
          </w:divBdr>
        </w:div>
      </w:divsChild>
    </w:div>
    <w:div w:id="712576727">
      <w:bodyDiv w:val="1"/>
      <w:marLeft w:val="0"/>
      <w:marRight w:val="0"/>
      <w:marTop w:val="0"/>
      <w:marBottom w:val="0"/>
      <w:divBdr>
        <w:top w:val="none" w:sz="0" w:space="0" w:color="auto"/>
        <w:left w:val="none" w:sz="0" w:space="0" w:color="auto"/>
        <w:bottom w:val="none" w:sz="0" w:space="0" w:color="auto"/>
        <w:right w:val="none" w:sz="0" w:space="0" w:color="auto"/>
      </w:divBdr>
    </w:div>
    <w:div w:id="712652927">
      <w:bodyDiv w:val="1"/>
      <w:marLeft w:val="0"/>
      <w:marRight w:val="0"/>
      <w:marTop w:val="0"/>
      <w:marBottom w:val="0"/>
      <w:divBdr>
        <w:top w:val="none" w:sz="0" w:space="0" w:color="auto"/>
        <w:left w:val="none" w:sz="0" w:space="0" w:color="auto"/>
        <w:bottom w:val="none" w:sz="0" w:space="0" w:color="auto"/>
        <w:right w:val="none" w:sz="0" w:space="0" w:color="auto"/>
      </w:divBdr>
    </w:div>
    <w:div w:id="724719849">
      <w:bodyDiv w:val="1"/>
      <w:marLeft w:val="0"/>
      <w:marRight w:val="0"/>
      <w:marTop w:val="0"/>
      <w:marBottom w:val="0"/>
      <w:divBdr>
        <w:top w:val="none" w:sz="0" w:space="0" w:color="auto"/>
        <w:left w:val="none" w:sz="0" w:space="0" w:color="auto"/>
        <w:bottom w:val="none" w:sz="0" w:space="0" w:color="auto"/>
        <w:right w:val="none" w:sz="0" w:space="0" w:color="auto"/>
      </w:divBdr>
      <w:divsChild>
        <w:div w:id="1918588258">
          <w:marLeft w:val="0"/>
          <w:marRight w:val="0"/>
          <w:marTop w:val="0"/>
          <w:marBottom w:val="0"/>
          <w:divBdr>
            <w:top w:val="none" w:sz="0" w:space="0" w:color="auto"/>
            <w:left w:val="none" w:sz="0" w:space="0" w:color="auto"/>
            <w:bottom w:val="none" w:sz="0" w:space="0" w:color="auto"/>
            <w:right w:val="none" w:sz="0" w:space="0" w:color="auto"/>
          </w:divBdr>
        </w:div>
        <w:div w:id="787819438">
          <w:marLeft w:val="0"/>
          <w:marRight w:val="0"/>
          <w:marTop w:val="0"/>
          <w:marBottom w:val="0"/>
          <w:divBdr>
            <w:top w:val="none" w:sz="0" w:space="0" w:color="auto"/>
            <w:left w:val="none" w:sz="0" w:space="0" w:color="auto"/>
            <w:bottom w:val="none" w:sz="0" w:space="0" w:color="auto"/>
            <w:right w:val="none" w:sz="0" w:space="0" w:color="auto"/>
          </w:divBdr>
        </w:div>
        <w:div w:id="1339966543">
          <w:marLeft w:val="0"/>
          <w:marRight w:val="0"/>
          <w:marTop w:val="0"/>
          <w:marBottom w:val="0"/>
          <w:divBdr>
            <w:top w:val="none" w:sz="0" w:space="0" w:color="auto"/>
            <w:left w:val="none" w:sz="0" w:space="0" w:color="auto"/>
            <w:bottom w:val="none" w:sz="0" w:space="0" w:color="auto"/>
            <w:right w:val="none" w:sz="0" w:space="0" w:color="auto"/>
          </w:divBdr>
        </w:div>
      </w:divsChild>
    </w:div>
    <w:div w:id="732240508">
      <w:bodyDiv w:val="1"/>
      <w:marLeft w:val="0"/>
      <w:marRight w:val="0"/>
      <w:marTop w:val="0"/>
      <w:marBottom w:val="0"/>
      <w:divBdr>
        <w:top w:val="none" w:sz="0" w:space="0" w:color="auto"/>
        <w:left w:val="none" w:sz="0" w:space="0" w:color="auto"/>
        <w:bottom w:val="none" w:sz="0" w:space="0" w:color="auto"/>
        <w:right w:val="none" w:sz="0" w:space="0" w:color="auto"/>
      </w:divBdr>
    </w:div>
    <w:div w:id="739791667">
      <w:bodyDiv w:val="1"/>
      <w:marLeft w:val="0"/>
      <w:marRight w:val="0"/>
      <w:marTop w:val="0"/>
      <w:marBottom w:val="0"/>
      <w:divBdr>
        <w:top w:val="none" w:sz="0" w:space="0" w:color="auto"/>
        <w:left w:val="none" w:sz="0" w:space="0" w:color="auto"/>
        <w:bottom w:val="none" w:sz="0" w:space="0" w:color="auto"/>
        <w:right w:val="none" w:sz="0" w:space="0" w:color="auto"/>
      </w:divBdr>
    </w:div>
    <w:div w:id="751972095">
      <w:bodyDiv w:val="1"/>
      <w:marLeft w:val="0"/>
      <w:marRight w:val="0"/>
      <w:marTop w:val="0"/>
      <w:marBottom w:val="0"/>
      <w:divBdr>
        <w:top w:val="none" w:sz="0" w:space="0" w:color="auto"/>
        <w:left w:val="none" w:sz="0" w:space="0" w:color="auto"/>
        <w:bottom w:val="none" w:sz="0" w:space="0" w:color="auto"/>
        <w:right w:val="none" w:sz="0" w:space="0" w:color="auto"/>
      </w:divBdr>
    </w:div>
    <w:div w:id="768695226">
      <w:bodyDiv w:val="1"/>
      <w:marLeft w:val="0"/>
      <w:marRight w:val="0"/>
      <w:marTop w:val="0"/>
      <w:marBottom w:val="0"/>
      <w:divBdr>
        <w:top w:val="none" w:sz="0" w:space="0" w:color="auto"/>
        <w:left w:val="none" w:sz="0" w:space="0" w:color="auto"/>
        <w:bottom w:val="none" w:sz="0" w:space="0" w:color="auto"/>
        <w:right w:val="none" w:sz="0" w:space="0" w:color="auto"/>
      </w:divBdr>
    </w:div>
    <w:div w:id="769813129">
      <w:bodyDiv w:val="1"/>
      <w:marLeft w:val="0"/>
      <w:marRight w:val="0"/>
      <w:marTop w:val="0"/>
      <w:marBottom w:val="0"/>
      <w:divBdr>
        <w:top w:val="none" w:sz="0" w:space="0" w:color="auto"/>
        <w:left w:val="none" w:sz="0" w:space="0" w:color="auto"/>
        <w:bottom w:val="none" w:sz="0" w:space="0" w:color="auto"/>
        <w:right w:val="none" w:sz="0" w:space="0" w:color="auto"/>
      </w:divBdr>
    </w:div>
    <w:div w:id="772432445">
      <w:bodyDiv w:val="1"/>
      <w:marLeft w:val="0"/>
      <w:marRight w:val="0"/>
      <w:marTop w:val="0"/>
      <w:marBottom w:val="0"/>
      <w:divBdr>
        <w:top w:val="none" w:sz="0" w:space="0" w:color="auto"/>
        <w:left w:val="none" w:sz="0" w:space="0" w:color="auto"/>
        <w:bottom w:val="none" w:sz="0" w:space="0" w:color="auto"/>
        <w:right w:val="none" w:sz="0" w:space="0" w:color="auto"/>
      </w:divBdr>
    </w:div>
    <w:div w:id="774208669">
      <w:bodyDiv w:val="1"/>
      <w:marLeft w:val="0"/>
      <w:marRight w:val="0"/>
      <w:marTop w:val="0"/>
      <w:marBottom w:val="0"/>
      <w:divBdr>
        <w:top w:val="none" w:sz="0" w:space="0" w:color="auto"/>
        <w:left w:val="none" w:sz="0" w:space="0" w:color="auto"/>
        <w:bottom w:val="none" w:sz="0" w:space="0" w:color="auto"/>
        <w:right w:val="none" w:sz="0" w:space="0" w:color="auto"/>
      </w:divBdr>
    </w:div>
    <w:div w:id="783578417">
      <w:bodyDiv w:val="1"/>
      <w:marLeft w:val="0"/>
      <w:marRight w:val="0"/>
      <w:marTop w:val="0"/>
      <w:marBottom w:val="0"/>
      <w:divBdr>
        <w:top w:val="none" w:sz="0" w:space="0" w:color="auto"/>
        <w:left w:val="none" w:sz="0" w:space="0" w:color="auto"/>
        <w:bottom w:val="none" w:sz="0" w:space="0" w:color="auto"/>
        <w:right w:val="none" w:sz="0" w:space="0" w:color="auto"/>
      </w:divBdr>
    </w:div>
    <w:div w:id="794177829">
      <w:bodyDiv w:val="1"/>
      <w:marLeft w:val="0"/>
      <w:marRight w:val="0"/>
      <w:marTop w:val="0"/>
      <w:marBottom w:val="0"/>
      <w:divBdr>
        <w:top w:val="none" w:sz="0" w:space="0" w:color="auto"/>
        <w:left w:val="none" w:sz="0" w:space="0" w:color="auto"/>
        <w:bottom w:val="none" w:sz="0" w:space="0" w:color="auto"/>
        <w:right w:val="none" w:sz="0" w:space="0" w:color="auto"/>
      </w:divBdr>
    </w:div>
    <w:div w:id="796415900">
      <w:bodyDiv w:val="1"/>
      <w:marLeft w:val="0"/>
      <w:marRight w:val="0"/>
      <w:marTop w:val="0"/>
      <w:marBottom w:val="0"/>
      <w:divBdr>
        <w:top w:val="none" w:sz="0" w:space="0" w:color="auto"/>
        <w:left w:val="none" w:sz="0" w:space="0" w:color="auto"/>
        <w:bottom w:val="none" w:sz="0" w:space="0" w:color="auto"/>
        <w:right w:val="none" w:sz="0" w:space="0" w:color="auto"/>
      </w:divBdr>
    </w:div>
    <w:div w:id="802968599">
      <w:bodyDiv w:val="1"/>
      <w:marLeft w:val="0"/>
      <w:marRight w:val="0"/>
      <w:marTop w:val="0"/>
      <w:marBottom w:val="0"/>
      <w:divBdr>
        <w:top w:val="none" w:sz="0" w:space="0" w:color="auto"/>
        <w:left w:val="none" w:sz="0" w:space="0" w:color="auto"/>
        <w:bottom w:val="none" w:sz="0" w:space="0" w:color="auto"/>
        <w:right w:val="none" w:sz="0" w:space="0" w:color="auto"/>
      </w:divBdr>
    </w:div>
    <w:div w:id="842623960">
      <w:bodyDiv w:val="1"/>
      <w:marLeft w:val="0"/>
      <w:marRight w:val="0"/>
      <w:marTop w:val="0"/>
      <w:marBottom w:val="0"/>
      <w:divBdr>
        <w:top w:val="none" w:sz="0" w:space="0" w:color="auto"/>
        <w:left w:val="none" w:sz="0" w:space="0" w:color="auto"/>
        <w:bottom w:val="none" w:sz="0" w:space="0" w:color="auto"/>
        <w:right w:val="none" w:sz="0" w:space="0" w:color="auto"/>
      </w:divBdr>
    </w:div>
    <w:div w:id="877086262">
      <w:bodyDiv w:val="1"/>
      <w:marLeft w:val="0"/>
      <w:marRight w:val="0"/>
      <w:marTop w:val="0"/>
      <w:marBottom w:val="0"/>
      <w:divBdr>
        <w:top w:val="none" w:sz="0" w:space="0" w:color="auto"/>
        <w:left w:val="none" w:sz="0" w:space="0" w:color="auto"/>
        <w:bottom w:val="none" w:sz="0" w:space="0" w:color="auto"/>
        <w:right w:val="none" w:sz="0" w:space="0" w:color="auto"/>
      </w:divBdr>
    </w:div>
    <w:div w:id="877551509">
      <w:bodyDiv w:val="1"/>
      <w:marLeft w:val="0"/>
      <w:marRight w:val="0"/>
      <w:marTop w:val="0"/>
      <w:marBottom w:val="0"/>
      <w:divBdr>
        <w:top w:val="none" w:sz="0" w:space="0" w:color="auto"/>
        <w:left w:val="none" w:sz="0" w:space="0" w:color="auto"/>
        <w:bottom w:val="none" w:sz="0" w:space="0" w:color="auto"/>
        <w:right w:val="none" w:sz="0" w:space="0" w:color="auto"/>
      </w:divBdr>
    </w:div>
    <w:div w:id="880476978">
      <w:bodyDiv w:val="1"/>
      <w:marLeft w:val="0"/>
      <w:marRight w:val="0"/>
      <w:marTop w:val="0"/>
      <w:marBottom w:val="0"/>
      <w:divBdr>
        <w:top w:val="none" w:sz="0" w:space="0" w:color="auto"/>
        <w:left w:val="none" w:sz="0" w:space="0" w:color="auto"/>
        <w:bottom w:val="none" w:sz="0" w:space="0" w:color="auto"/>
        <w:right w:val="none" w:sz="0" w:space="0" w:color="auto"/>
      </w:divBdr>
    </w:div>
    <w:div w:id="907039483">
      <w:bodyDiv w:val="1"/>
      <w:marLeft w:val="0"/>
      <w:marRight w:val="0"/>
      <w:marTop w:val="0"/>
      <w:marBottom w:val="0"/>
      <w:divBdr>
        <w:top w:val="none" w:sz="0" w:space="0" w:color="auto"/>
        <w:left w:val="none" w:sz="0" w:space="0" w:color="auto"/>
        <w:bottom w:val="none" w:sz="0" w:space="0" w:color="auto"/>
        <w:right w:val="none" w:sz="0" w:space="0" w:color="auto"/>
      </w:divBdr>
    </w:div>
    <w:div w:id="927662792">
      <w:bodyDiv w:val="1"/>
      <w:marLeft w:val="0"/>
      <w:marRight w:val="0"/>
      <w:marTop w:val="0"/>
      <w:marBottom w:val="0"/>
      <w:divBdr>
        <w:top w:val="none" w:sz="0" w:space="0" w:color="auto"/>
        <w:left w:val="none" w:sz="0" w:space="0" w:color="auto"/>
        <w:bottom w:val="none" w:sz="0" w:space="0" w:color="auto"/>
        <w:right w:val="none" w:sz="0" w:space="0" w:color="auto"/>
      </w:divBdr>
    </w:div>
    <w:div w:id="962924810">
      <w:bodyDiv w:val="1"/>
      <w:marLeft w:val="0"/>
      <w:marRight w:val="0"/>
      <w:marTop w:val="0"/>
      <w:marBottom w:val="0"/>
      <w:divBdr>
        <w:top w:val="none" w:sz="0" w:space="0" w:color="auto"/>
        <w:left w:val="none" w:sz="0" w:space="0" w:color="auto"/>
        <w:bottom w:val="none" w:sz="0" w:space="0" w:color="auto"/>
        <w:right w:val="none" w:sz="0" w:space="0" w:color="auto"/>
      </w:divBdr>
    </w:div>
    <w:div w:id="990523636">
      <w:bodyDiv w:val="1"/>
      <w:marLeft w:val="0"/>
      <w:marRight w:val="0"/>
      <w:marTop w:val="0"/>
      <w:marBottom w:val="0"/>
      <w:divBdr>
        <w:top w:val="none" w:sz="0" w:space="0" w:color="auto"/>
        <w:left w:val="none" w:sz="0" w:space="0" w:color="auto"/>
        <w:bottom w:val="none" w:sz="0" w:space="0" w:color="auto"/>
        <w:right w:val="none" w:sz="0" w:space="0" w:color="auto"/>
      </w:divBdr>
    </w:div>
    <w:div w:id="1024985646">
      <w:bodyDiv w:val="1"/>
      <w:marLeft w:val="0"/>
      <w:marRight w:val="0"/>
      <w:marTop w:val="0"/>
      <w:marBottom w:val="0"/>
      <w:divBdr>
        <w:top w:val="none" w:sz="0" w:space="0" w:color="auto"/>
        <w:left w:val="none" w:sz="0" w:space="0" w:color="auto"/>
        <w:bottom w:val="none" w:sz="0" w:space="0" w:color="auto"/>
        <w:right w:val="none" w:sz="0" w:space="0" w:color="auto"/>
      </w:divBdr>
    </w:div>
    <w:div w:id="1084760320">
      <w:bodyDiv w:val="1"/>
      <w:marLeft w:val="0"/>
      <w:marRight w:val="0"/>
      <w:marTop w:val="0"/>
      <w:marBottom w:val="0"/>
      <w:divBdr>
        <w:top w:val="none" w:sz="0" w:space="0" w:color="auto"/>
        <w:left w:val="none" w:sz="0" w:space="0" w:color="auto"/>
        <w:bottom w:val="none" w:sz="0" w:space="0" w:color="auto"/>
        <w:right w:val="none" w:sz="0" w:space="0" w:color="auto"/>
      </w:divBdr>
    </w:div>
    <w:div w:id="1151601446">
      <w:bodyDiv w:val="1"/>
      <w:marLeft w:val="0"/>
      <w:marRight w:val="0"/>
      <w:marTop w:val="0"/>
      <w:marBottom w:val="0"/>
      <w:divBdr>
        <w:top w:val="none" w:sz="0" w:space="0" w:color="auto"/>
        <w:left w:val="none" w:sz="0" w:space="0" w:color="auto"/>
        <w:bottom w:val="none" w:sz="0" w:space="0" w:color="auto"/>
        <w:right w:val="none" w:sz="0" w:space="0" w:color="auto"/>
      </w:divBdr>
    </w:div>
    <w:div w:id="1152402866">
      <w:bodyDiv w:val="1"/>
      <w:marLeft w:val="0"/>
      <w:marRight w:val="0"/>
      <w:marTop w:val="0"/>
      <w:marBottom w:val="0"/>
      <w:divBdr>
        <w:top w:val="none" w:sz="0" w:space="0" w:color="auto"/>
        <w:left w:val="none" w:sz="0" w:space="0" w:color="auto"/>
        <w:bottom w:val="none" w:sz="0" w:space="0" w:color="auto"/>
        <w:right w:val="none" w:sz="0" w:space="0" w:color="auto"/>
      </w:divBdr>
    </w:div>
    <w:div w:id="1160736548">
      <w:bodyDiv w:val="1"/>
      <w:marLeft w:val="0"/>
      <w:marRight w:val="0"/>
      <w:marTop w:val="0"/>
      <w:marBottom w:val="0"/>
      <w:divBdr>
        <w:top w:val="none" w:sz="0" w:space="0" w:color="auto"/>
        <w:left w:val="none" w:sz="0" w:space="0" w:color="auto"/>
        <w:bottom w:val="none" w:sz="0" w:space="0" w:color="auto"/>
        <w:right w:val="none" w:sz="0" w:space="0" w:color="auto"/>
      </w:divBdr>
    </w:div>
    <w:div w:id="1175262204">
      <w:bodyDiv w:val="1"/>
      <w:marLeft w:val="0"/>
      <w:marRight w:val="0"/>
      <w:marTop w:val="0"/>
      <w:marBottom w:val="0"/>
      <w:divBdr>
        <w:top w:val="none" w:sz="0" w:space="0" w:color="auto"/>
        <w:left w:val="none" w:sz="0" w:space="0" w:color="auto"/>
        <w:bottom w:val="none" w:sz="0" w:space="0" w:color="auto"/>
        <w:right w:val="none" w:sz="0" w:space="0" w:color="auto"/>
      </w:divBdr>
    </w:div>
    <w:div w:id="1191214716">
      <w:bodyDiv w:val="1"/>
      <w:marLeft w:val="0"/>
      <w:marRight w:val="0"/>
      <w:marTop w:val="0"/>
      <w:marBottom w:val="0"/>
      <w:divBdr>
        <w:top w:val="none" w:sz="0" w:space="0" w:color="auto"/>
        <w:left w:val="none" w:sz="0" w:space="0" w:color="auto"/>
        <w:bottom w:val="none" w:sz="0" w:space="0" w:color="auto"/>
        <w:right w:val="none" w:sz="0" w:space="0" w:color="auto"/>
      </w:divBdr>
    </w:div>
    <w:div w:id="1224676557">
      <w:bodyDiv w:val="1"/>
      <w:marLeft w:val="0"/>
      <w:marRight w:val="0"/>
      <w:marTop w:val="0"/>
      <w:marBottom w:val="0"/>
      <w:divBdr>
        <w:top w:val="none" w:sz="0" w:space="0" w:color="auto"/>
        <w:left w:val="none" w:sz="0" w:space="0" w:color="auto"/>
        <w:bottom w:val="none" w:sz="0" w:space="0" w:color="auto"/>
        <w:right w:val="none" w:sz="0" w:space="0" w:color="auto"/>
      </w:divBdr>
      <w:divsChild>
        <w:div w:id="252471366">
          <w:marLeft w:val="0"/>
          <w:marRight w:val="0"/>
          <w:marTop w:val="0"/>
          <w:marBottom w:val="0"/>
          <w:divBdr>
            <w:top w:val="none" w:sz="0" w:space="0" w:color="auto"/>
            <w:left w:val="none" w:sz="0" w:space="0" w:color="auto"/>
            <w:bottom w:val="none" w:sz="0" w:space="0" w:color="auto"/>
            <w:right w:val="none" w:sz="0" w:space="0" w:color="auto"/>
          </w:divBdr>
        </w:div>
        <w:div w:id="1860502793">
          <w:marLeft w:val="0"/>
          <w:marRight w:val="0"/>
          <w:marTop w:val="0"/>
          <w:marBottom w:val="0"/>
          <w:divBdr>
            <w:top w:val="none" w:sz="0" w:space="0" w:color="auto"/>
            <w:left w:val="none" w:sz="0" w:space="0" w:color="auto"/>
            <w:bottom w:val="none" w:sz="0" w:space="0" w:color="auto"/>
            <w:right w:val="none" w:sz="0" w:space="0" w:color="auto"/>
          </w:divBdr>
        </w:div>
        <w:div w:id="680203027">
          <w:marLeft w:val="0"/>
          <w:marRight w:val="0"/>
          <w:marTop w:val="0"/>
          <w:marBottom w:val="0"/>
          <w:divBdr>
            <w:top w:val="none" w:sz="0" w:space="0" w:color="auto"/>
            <w:left w:val="none" w:sz="0" w:space="0" w:color="auto"/>
            <w:bottom w:val="none" w:sz="0" w:space="0" w:color="auto"/>
            <w:right w:val="none" w:sz="0" w:space="0" w:color="auto"/>
          </w:divBdr>
        </w:div>
      </w:divsChild>
    </w:div>
    <w:div w:id="1233933077">
      <w:bodyDiv w:val="1"/>
      <w:marLeft w:val="0"/>
      <w:marRight w:val="0"/>
      <w:marTop w:val="0"/>
      <w:marBottom w:val="0"/>
      <w:divBdr>
        <w:top w:val="none" w:sz="0" w:space="0" w:color="auto"/>
        <w:left w:val="none" w:sz="0" w:space="0" w:color="auto"/>
        <w:bottom w:val="none" w:sz="0" w:space="0" w:color="auto"/>
        <w:right w:val="none" w:sz="0" w:space="0" w:color="auto"/>
      </w:divBdr>
    </w:div>
    <w:div w:id="1278029284">
      <w:bodyDiv w:val="1"/>
      <w:marLeft w:val="0"/>
      <w:marRight w:val="0"/>
      <w:marTop w:val="0"/>
      <w:marBottom w:val="0"/>
      <w:divBdr>
        <w:top w:val="none" w:sz="0" w:space="0" w:color="auto"/>
        <w:left w:val="none" w:sz="0" w:space="0" w:color="auto"/>
        <w:bottom w:val="none" w:sz="0" w:space="0" w:color="auto"/>
        <w:right w:val="none" w:sz="0" w:space="0" w:color="auto"/>
      </w:divBdr>
    </w:div>
    <w:div w:id="1282956739">
      <w:bodyDiv w:val="1"/>
      <w:marLeft w:val="0"/>
      <w:marRight w:val="0"/>
      <w:marTop w:val="0"/>
      <w:marBottom w:val="0"/>
      <w:divBdr>
        <w:top w:val="none" w:sz="0" w:space="0" w:color="auto"/>
        <w:left w:val="none" w:sz="0" w:space="0" w:color="auto"/>
        <w:bottom w:val="none" w:sz="0" w:space="0" w:color="auto"/>
        <w:right w:val="none" w:sz="0" w:space="0" w:color="auto"/>
      </w:divBdr>
    </w:div>
    <w:div w:id="1307010189">
      <w:bodyDiv w:val="1"/>
      <w:marLeft w:val="0"/>
      <w:marRight w:val="0"/>
      <w:marTop w:val="0"/>
      <w:marBottom w:val="0"/>
      <w:divBdr>
        <w:top w:val="none" w:sz="0" w:space="0" w:color="auto"/>
        <w:left w:val="none" w:sz="0" w:space="0" w:color="auto"/>
        <w:bottom w:val="none" w:sz="0" w:space="0" w:color="auto"/>
        <w:right w:val="none" w:sz="0" w:space="0" w:color="auto"/>
      </w:divBdr>
    </w:div>
    <w:div w:id="1343165720">
      <w:bodyDiv w:val="1"/>
      <w:marLeft w:val="0"/>
      <w:marRight w:val="0"/>
      <w:marTop w:val="0"/>
      <w:marBottom w:val="0"/>
      <w:divBdr>
        <w:top w:val="none" w:sz="0" w:space="0" w:color="auto"/>
        <w:left w:val="none" w:sz="0" w:space="0" w:color="auto"/>
        <w:bottom w:val="none" w:sz="0" w:space="0" w:color="auto"/>
        <w:right w:val="none" w:sz="0" w:space="0" w:color="auto"/>
      </w:divBdr>
    </w:div>
    <w:div w:id="1365524695">
      <w:bodyDiv w:val="1"/>
      <w:marLeft w:val="0"/>
      <w:marRight w:val="0"/>
      <w:marTop w:val="0"/>
      <w:marBottom w:val="0"/>
      <w:divBdr>
        <w:top w:val="none" w:sz="0" w:space="0" w:color="auto"/>
        <w:left w:val="none" w:sz="0" w:space="0" w:color="auto"/>
        <w:bottom w:val="none" w:sz="0" w:space="0" w:color="auto"/>
        <w:right w:val="none" w:sz="0" w:space="0" w:color="auto"/>
      </w:divBdr>
    </w:div>
    <w:div w:id="1368917365">
      <w:bodyDiv w:val="1"/>
      <w:marLeft w:val="0"/>
      <w:marRight w:val="0"/>
      <w:marTop w:val="0"/>
      <w:marBottom w:val="0"/>
      <w:divBdr>
        <w:top w:val="none" w:sz="0" w:space="0" w:color="auto"/>
        <w:left w:val="none" w:sz="0" w:space="0" w:color="auto"/>
        <w:bottom w:val="none" w:sz="0" w:space="0" w:color="auto"/>
        <w:right w:val="none" w:sz="0" w:space="0" w:color="auto"/>
      </w:divBdr>
    </w:div>
    <w:div w:id="1371564610">
      <w:bodyDiv w:val="1"/>
      <w:marLeft w:val="0"/>
      <w:marRight w:val="0"/>
      <w:marTop w:val="0"/>
      <w:marBottom w:val="0"/>
      <w:divBdr>
        <w:top w:val="none" w:sz="0" w:space="0" w:color="auto"/>
        <w:left w:val="none" w:sz="0" w:space="0" w:color="auto"/>
        <w:bottom w:val="none" w:sz="0" w:space="0" w:color="auto"/>
        <w:right w:val="none" w:sz="0" w:space="0" w:color="auto"/>
      </w:divBdr>
    </w:div>
    <w:div w:id="1389761608">
      <w:bodyDiv w:val="1"/>
      <w:marLeft w:val="0"/>
      <w:marRight w:val="0"/>
      <w:marTop w:val="0"/>
      <w:marBottom w:val="0"/>
      <w:divBdr>
        <w:top w:val="none" w:sz="0" w:space="0" w:color="auto"/>
        <w:left w:val="none" w:sz="0" w:space="0" w:color="auto"/>
        <w:bottom w:val="none" w:sz="0" w:space="0" w:color="auto"/>
        <w:right w:val="none" w:sz="0" w:space="0" w:color="auto"/>
      </w:divBdr>
    </w:div>
    <w:div w:id="1408769777">
      <w:bodyDiv w:val="1"/>
      <w:marLeft w:val="0"/>
      <w:marRight w:val="0"/>
      <w:marTop w:val="0"/>
      <w:marBottom w:val="0"/>
      <w:divBdr>
        <w:top w:val="none" w:sz="0" w:space="0" w:color="auto"/>
        <w:left w:val="none" w:sz="0" w:space="0" w:color="auto"/>
        <w:bottom w:val="none" w:sz="0" w:space="0" w:color="auto"/>
        <w:right w:val="none" w:sz="0" w:space="0" w:color="auto"/>
      </w:divBdr>
    </w:div>
    <w:div w:id="1410616136">
      <w:bodyDiv w:val="1"/>
      <w:marLeft w:val="0"/>
      <w:marRight w:val="0"/>
      <w:marTop w:val="0"/>
      <w:marBottom w:val="0"/>
      <w:divBdr>
        <w:top w:val="none" w:sz="0" w:space="0" w:color="auto"/>
        <w:left w:val="none" w:sz="0" w:space="0" w:color="auto"/>
        <w:bottom w:val="none" w:sz="0" w:space="0" w:color="auto"/>
        <w:right w:val="none" w:sz="0" w:space="0" w:color="auto"/>
      </w:divBdr>
    </w:div>
    <w:div w:id="1425032406">
      <w:bodyDiv w:val="1"/>
      <w:marLeft w:val="0"/>
      <w:marRight w:val="0"/>
      <w:marTop w:val="0"/>
      <w:marBottom w:val="0"/>
      <w:divBdr>
        <w:top w:val="none" w:sz="0" w:space="0" w:color="auto"/>
        <w:left w:val="none" w:sz="0" w:space="0" w:color="auto"/>
        <w:bottom w:val="none" w:sz="0" w:space="0" w:color="auto"/>
        <w:right w:val="none" w:sz="0" w:space="0" w:color="auto"/>
      </w:divBdr>
    </w:div>
    <w:div w:id="1436487343">
      <w:bodyDiv w:val="1"/>
      <w:marLeft w:val="0"/>
      <w:marRight w:val="0"/>
      <w:marTop w:val="0"/>
      <w:marBottom w:val="0"/>
      <w:divBdr>
        <w:top w:val="none" w:sz="0" w:space="0" w:color="auto"/>
        <w:left w:val="none" w:sz="0" w:space="0" w:color="auto"/>
        <w:bottom w:val="none" w:sz="0" w:space="0" w:color="auto"/>
        <w:right w:val="none" w:sz="0" w:space="0" w:color="auto"/>
      </w:divBdr>
    </w:div>
    <w:div w:id="1463695208">
      <w:bodyDiv w:val="1"/>
      <w:marLeft w:val="0"/>
      <w:marRight w:val="0"/>
      <w:marTop w:val="0"/>
      <w:marBottom w:val="0"/>
      <w:divBdr>
        <w:top w:val="none" w:sz="0" w:space="0" w:color="auto"/>
        <w:left w:val="none" w:sz="0" w:space="0" w:color="auto"/>
        <w:bottom w:val="none" w:sz="0" w:space="0" w:color="auto"/>
        <w:right w:val="none" w:sz="0" w:space="0" w:color="auto"/>
      </w:divBdr>
    </w:div>
    <w:div w:id="1471170500">
      <w:bodyDiv w:val="1"/>
      <w:marLeft w:val="0"/>
      <w:marRight w:val="0"/>
      <w:marTop w:val="0"/>
      <w:marBottom w:val="0"/>
      <w:divBdr>
        <w:top w:val="none" w:sz="0" w:space="0" w:color="auto"/>
        <w:left w:val="none" w:sz="0" w:space="0" w:color="auto"/>
        <w:bottom w:val="none" w:sz="0" w:space="0" w:color="auto"/>
        <w:right w:val="none" w:sz="0" w:space="0" w:color="auto"/>
      </w:divBdr>
      <w:divsChild>
        <w:div w:id="618731566">
          <w:marLeft w:val="0"/>
          <w:marRight w:val="0"/>
          <w:marTop w:val="0"/>
          <w:marBottom w:val="0"/>
          <w:divBdr>
            <w:top w:val="none" w:sz="0" w:space="0" w:color="auto"/>
            <w:left w:val="none" w:sz="0" w:space="0" w:color="auto"/>
            <w:bottom w:val="none" w:sz="0" w:space="0" w:color="auto"/>
            <w:right w:val="none" w:sz="0" w:space="0" w:color="auto"/>
          </w:divBdr>
        </w:div>
      </w:divsChild>
    </w:div>
    <w:div w:id="1492789566">
      <w:bodyDiv w:val="1"/>
      <w:marLeft w:val="0"/>
      <w:marRight w:val="0"/>
      <w:marTop w:val="0"/>
      <w:marBottom w:val="0"/>
      <w:divBdr>
        <w:top w:val="none" w:sz="0" w:space="0" w:color="auto"/>
        <w:left w:val="none" w:sz="0" w:space="0" w:color="auto"/>
        <w:bottom w:val="none" w:sz="0" w:space="0" w:color="auto"/>
        <w:right w:val="none" w:sz="0" w:space="0" w:color="auto"/>
      </w:divBdr>
    </w:div>
    <w:div w:id="1500267739">
      <w:bodyDiv w:val="1"/>
      <w:marLeft w:val="0"/>
      <w:marRight w:val="0"/>
      <w:marTop w:val="0"/>
      <w:marBottom w:val="0"/>
      <w:divBdr>
        <w:top w:val="none" w:sz="0" w:space="0" w:color="auto"/>
        <w:left w:val="none" w:sz="0" w:space="0" w:color="auto"/>
        <w:bottom w:val="none" w:sz="0" w:space="0" w:color="auto"/>
        <w:right w:val="none" w:sz="0" w:space="0" w:color="auto"/>
      </w:divBdr>
    </w:div>
    <w:div w:id="1507086820">
      <w:bodyDiv w:val="1"/>
      <w:marLeft w:val="0"/>
      <w:marRight w:val="0"/>
      <w:marTop w:val="0"/>
      <w:marBottom w:val="0"/>
      <w:divBdr>
        <w:top w:val="none" w:sz="0" w:space="0" w:color="auto"/>
        <w:left w:val="none" w:sz="0" w:space="0" w:color="auto"/>
        <w:bottom w:val="none" w:sz="0" w:space="0" w:color="auto"/>
        <w:right w:val="none" w:sz="0" w:space="0" w:color="auto"/>
      </w:divBdr>
    </w:div>
    <w:div w:id="1535651232">
      <w:bodyDiv w:val="1"/>
      <w:marLeft w:val="0"/>
      <w:marRight w:val="0"/>
      <w:marTop w:val="0"/>
      <w:marBottom w:val="0"/>
      <w:divBdr>
        <w:top w:val="none" w:sz="0" w:space="0" w:color="auto"/>
        <w:left w:val="none" w:sz="0" w:space="0" w:color="auto"/>
        <w:bottom w:val="none" w:sz="0" w:space="0" w:color="auto"/>
        <w:right w:val="none" w:sz="0" w:space="0" w:color="auto"/>
      </w:divBdr>
    </w:div>
    <w:div w:id="1537349849">
      <w:bodyDiv w:val="1"/>
      <w:marLeft w:val="0"/>
      <w:marRight w:val="0"/>
      <w:marTop w:val="0"/>
      <w:marBottom w:val="0"/>
      <w:divBdr>
        <w:top w:val="none" w:sz="0" w:space="0" w:color="auto"/>
        <w:left w:val="none" w:sz="0" w:space="0" w:color="auto"/>
        <w:bottom w:val="none" w:sz="0" w:space="0" w:color="auto"/>
        <w:right w:val="none" w:sz="0" w:space="0" w:color="auto"/>
      </w:divBdr>
    </w:div>
    <w:div w:id="1551650933">
      <w:bodyDiv w:val="1"/>
      <w:marLeft w:val="0"/>
      <w:marRight w:val="0"/>
      <w:marTop w:val="0"/>
      <w:marBottom w:val="0"/>
      <w:divBdr>
        <w:top w:val="none" w:sz="0" w:space="0" w:color="auto"/>
        <w:left w:val="none" w:sz="0" w:space="0" w:color="auto"/>
        <w:bottom w:val="none" w:sz="0" w:space="0" w:color="auto"/>
        <w:right w:val="none" w:sz="0" w:space="0" w:color="auto"/>
      </w:divBdr>
    </w:div>
    <w:div w:id="1559169990">
      <w:bodyDiv w:val="1"/>
      <w:marLeft w:val="0"/>
      <w:marRight w:val="0"/>
      <w:marTop w:val="0"/>
      <w:marBottom w:val="0"/>
      <w:divBdr>
        <w:top w:val="none" w:sz="0" w:space="0" w:color="auto"/>
        <w:left w:val="none" w:sz="0" w:space="0" w:color="auto"/>
        <w:bottom w:val="none" w:sz="0" w:space="0" w:color="auto"/>
        <w:right w:val="none" w:sz="0" w:space="0" w:color="auto"/>
      </w:divBdr>
    </w:div>
    <w:div w:id="1579510000">
      <w:bodyDiv w:val="1"/>
      <w:marLeft w:val="0"/>
      <w:marRight w:val="0"/>
      <w:marTop w:val="0"/>
      <w:marBottom w:val="0"/>
      <w:divBdr>
        <w:top w:val="none" w:sz="0" w:space="0" w:color="auto"/>
        <w:left w:val="none" w:sz="0" w:space="0" w:color="auto"/>
        <w:bottom w:val="none" w:sz="0" w:space="0" w:color="auto"/>
        <w:right w:val="none" w:sz="0" w:space="0" w:color="auto"/>
      </w:divBdr>
    </w:div>
    <w:div w:id="1598366222">
      <w:bodyDiv w:val="1"/>
      <w:marLeft w:val="0"/>
      <w:marRight w:val="0"/>
      <w:marTop w:val="0"/>
      <w:marBottom w:val="0"/>
      <w:divBdr>
        <w:top w:val="none" w:sz="0" w:space="0" w:color="auto"/>
        <w:left w:val="none" w:sz="0" w:space="0" w:color="auto"/>
        <w:bottom w:val="none" w:sz="0" w:space="0" w:color="auto"/>
        <w:right w:val="none" w:sz="0" w:space="0" w:color="auto"/>
      </w:divBdr>
    </w:div>
    <w:div w:id="1608779760">
      <w:bodyDiv w:val="1"/>
      <w:marLeft w:val="0"/>
      <w:marRight w:val="0"/>
      <w:marTop w:val="0"/>
      <w:marBottom w:val="0"/>
      <w:divBdr>
        <w:top w:val="none" w:sz="0" w:space="0" w:color="auto"/>
        <w:left w:val="none" w:sz="0" w:space="0" w:color="auto"/>
        <w:bottom w:val="none" w:sz="0" w:space="0" w:color="auto"/>
        <w:right w:val="none" w:sz="0" w:space="0" w:color="auto"/>
      </w:divBdr>
    </w:div>
    <w:div w:id="1627085049">
      <w:bodyDiv w:val="1"/>
      <w:marLeft w:val="0"/>
      <w:marRight w:val="0"/>
      <w:marTop w:val="0"/>
      <w:marBottom w:val="0"/>
      <w:divBdr>
        <w:top w:val="none" w:sz="0" w:space="0" w:color="auto"/>
        <w:left w:val="none" w:sz="0" w:space="0" w:color="auto"/>
        <w:bottom w:val="none" w:sz="0" w:space="0" w:color="auto"/>
        <w:right w:val="none" w:sz="0" w:space="0" w:color="auto"/>
      </w:divBdr>
    </w:div>
    <w:div w:id="1635596606">
      <w:bodyDiv w:val="1"/>
      <w:marLeft w:val="0"/>
      <w:marRight w:val="0"/>
      <w:marTop w:val="0"/>
      <w:marBottom w:val="0"/>
      <w:divBdr>
        <w:top w:val="none" w:sz="0" w:space="0" w:color="auto"/>
        <w:left w:val="none" w:sz="0" w:space="0" w:color="auto"/>
        <w:bottom w:val="none" w:sz="0" w:space="0" w:color="auto"/>
        <w:right w:val="none" w:sz="0" w:space="0" w:color="auto"/>
      </w:divBdr>
    </w:div>
    <w:div w:id="1655446754">
      <w:bodyDiv w:val="1"/>
      <w:marLeft w:val="0"/>
      <w:marRight w:val="0"/>
      <w:marTop w:val="0"/>
      <w:marBottom w:val="0"/>
      <w:divBdr>
        <w:top w:val="none" w:sz="0" w:space="0" w:color="auto"/>
        <w:left w:val="none" w:sz="0" w:space="0" w:color="auto"/>
        <w:bottom w:val="none" w:sz="0" w:space="0" w:color="auto"/>
        <w:right w:val="none" w:sz="0" w:space="0" w:color="auto"/>
      </w:divBdr>
    </w:div>
    <w:div w:id="1665474252">
      <w:bodyDiv w:val="1"/>
      <w:marLeft w:val="0"/>
      <w:marRight w:val="0"/>
      <w:marTop w:val="0"/>
      <w:marBottom w:val="0"/>
      <w:divBdr>
        <w:top w:val="none" w:sz="0" w:space="0" w:color="auto"/>
        <w:left w:val="none" w:sz="0" w:space="0" w:color="auto"/>
        <w:bottom w:val="none" w:sz="0" w:space="0" w:color="auto"/>
        <w:right w:val="none" w:sz="0" w:space="0" w:color="auto"/>
      </w:divBdr>
    </w:div>
    <w:div w:id="1682509213">
      <w:bodyDiv w:val="1"/>
      <w:marLeft w:val="0"/>
      <w:marRight w:val="0"/>
      <w:marTop w:val="0"/>
      <w:marBottom w:val="0"/>
      <w:divBdr>
        <w:top w:val="none" w:sz="0" w:space="0" w:color="auto"/>
        <w:left w:val="none" w:sz="0" w:space="0" w:color="auto"/>
        <w:bottom w:val="none" w:sz="0" w:space="0" w:color="auto"/>
        <w:right w:val="none" w:sz="0" w:space="0" w:color="auto"/>
      </w:divBdr>
      <w:divsChild>
        <w:div w:id="682122956">
          <w:marLeft w:val="0"/>
          <w:marRight w:val="0"/>
          <w:marTop w:val="0"/>
          <w:marBottom w:val="0"/>
          <w:divBdr>
            <w:top w:val="none" w:sz="0" w:space="0" w:color="auto"/>
            <w:left w:val="none" w:sz="0" w:space="0" w:color="auto"/>
            <w:bottom w:val="none" w:sz="0" w:space="0" w:color="auto"/>
            <w:right w:val="none" w:sz="0" w:space="0" w:color="auto"/>
          </w:divBdr>
        </w:div>
        <w:div w:id="1550220077">
          <w:marLeft w:val="0"/>
          <w:marRight w:val="0"/>
          <w:marTop w:val="0"/>
          <w:marBottom w:val="0"/>
          <w:divBdr>
            <w:top w:val="none" w:sz="0" w:space="0" w:color="auto"/>
            <w:left w:val="none" w:sz="0" w:space="0" w:color="auto"/>
            <w:bottom w:val="none" w:sz="0" w:space="0" w:color="auto"/>
            <w:right w:val="none" w:sz="0" w:space="0" w:color="auto"/>
          </w:divBdr>
        </w:div>
        <w:div w:id="186716773">
          <w:marLeft w:val="0"/>
          <w:marRight w:val="0"/>
          <w:marTop w:val="0"/>
          <w:marBottom w:val="0"/>
          <w:divBdr>
            <w:top w:val="none" w:sz="0" w:space="0" w:color="auto"/>
            <w:left w:val="none" w:sz="0" w:space="0" w:color="auto"/>
            <w:bottom w:val="none" w:sz="0" w:space="0" w:color="auto"/>
            <w:right w:val="none" w:sz="0" w:space="0" w:color="auto"/>
          </w:divBdr>
        </w:div>
        <w:div w:id="1191845199">
          <w:marLeft w:val="0"/>
          <w:marRight w:val="0"/>
          <w:marTop w:val="0"/>
          <w:marBottom w:val="0"/>
          <w:divBdr>
            <w:top w:val="none" w:sz="0" w:space="0" w:color="auto"/>
            <w:left w:val="none" w:sz="0" w:space="0" w:color="auto"/>
            <w:bottom w:val="none" w:sz="0" w:space="0" w:color="auto"/>
            <w:right w:val="none" w:sz="0" w:space="0" w:color="auto"/>
          </w:divBdr>
        </w:div>
      </w:divsChild>
    </w:div>
    <w:div w:id="1718508768">
      <w:bodyDiv w:val="1"/>
      <w:marLeft w:val="0"/>
      <w:marRight w:val="0"/>
      <w:marTop w:val="0"/>
      <w:marBottom w:val="0"/>
      <w:divBdr>
        <w:top w:val="none" w:sz="0" w:space="0" w:color="auto"/>
        <w:left w:val="none" w:sz="0" w:space="0" w:color="auto"/>
        <w:bottom w:val="none" w:sz="0" w:space="0" w:color="auto"/>
        <w:right w:val="none" w:sz="0" w:space="0" w:color="auto"/>
      </w:divBdr>
    </w:div>
    <w:div w:id="1724022639">
      <w:bodyDiv w:val="1"/>
      <w:marLeft w:val="0"/>
      <w:marRight w:val="0"/>
      <w:marTop w:val="0"/>
      <w:marBottom w:val="0"/>
      <w:divBdr>
        <w:top w:val="none" w:sz="0" w:space="0" w:color="auto"/>
        <w:left w:val="none" w:sz="0" w:space="0" w:color="auto"/>
        <w:bottom w:val="none" w:sz="0" w:space="0" w:color="auto"/>
        <w:right w:val="none" w:sz="0" w:space="0" w:color="auto"/>
      </w:divBdr>
    </w:div>
    <w:div w:id="1725979085">
      <w:bodyDiv w:val="1"/>
      <w:marLeft w:val="0"/>
      <w:marRight w:val="0"/>
      <w:marTop w:val="0"/>
      <w:marBottom w:val="0"/>
      <w:divBdr>
        <w:top w:val="none" w:sz="0" w:space="0" w:color="auto"/>
        <w:left w:val="none" w:sz="0" w:space="0" w:color="auto"/>
        <w:bottom w:val="none" w:sz="0" w:space="0" w:color="auto"/>
        <w:right w:val="none" w:sz="0" w:space="0" w:color="auto"/>
      </w:divBdr>
    </w:div>
    <w:div w:id="1755012791">
      <w:bodyDiv w:val="1"/>
      <w:marLeft w:val="0"/>
      <w:marRight w:val="0"/>
      <w:marTop w:val="0"/>
      <w:marBottom w:val="0"/>
      <w:divBdr>
        <w:top w:val="none" w:sz="0" w:space="0" w:color="auto"/>
        <w:left w:val="none" w:sz="0" w:space="0" w:color="auto"/>
        <w:bottom w:val="none" w:sz="0" w:space="0" w:color="auto"/>
        <w:right w:val="none" w:sz="0" w:space="0" w:color="auto"/>
      </w:divBdr>
    </w:div>
    <w:div w:id="1773436539">
      <w:bodyDiv w:val="1"/>
      <w:marLeft w:val="0"/>
      <w:marRight w:val="0"/>
      <w:marTop w:val="0"/>
      <w:marBottom w:val="0"/>
      <w:divBdr>
        <w:top w:val="none" w:sz="0" w:space="0" w:color="auto"/>
        <w:left w:val="none" w:sz="0" w:space="0" w:color="auto"/>
        <w:bottom w:val="none" w:sz="0" w:space="0" w:color="auto"/>
        <w:right w:val="none" w:sz="0" w:space="0" w:color="auto"/>
      </w:divBdr>
    </w:div>
    <w:div w:id="1789351464">
      <w:bodyDiv w:val="1"/>
      <w:marLeft w:val="0"/>
      <w:marRight w:val="0"/>
      <w:marTop w:val="0"/>
      <w:marBottom w:val="0"/>
      <w:divBdr>
        <w:top w:val="none" w:sz="0" w:space="0" w:color="auto"/>
        <w:left w:val="none" w:sz="0" w:space="0" w:color="auto"/>
        <w:bottom w:val="none" w:sz="0" w:space="0" w:color="auto"/>
        <w:right w:val="none" w:sz="0" w:space="0" w:color="auto"/>
      </w:divBdr>
    </w:div>
    <w:div w:id="1792213480">
      <w:bodyDiv w:val="1"/>
      <w:marLeft w:val="0"/>
      <w:marRight w:val="0"/>
      <w:marTop w:val="0"/>
      <w:marBottom w:val="0"/>
      <w:divBdr>
        <w:top w:val="none" w:sz="0" w:space="0" w:color="auto"/>
        <w:left w:val="none" w:sz="0" w:space="0" w:color="auto"/>
        <w:bottom w:val="none" w:sz="0" w:space="0" w:color="auto"/>
        <w:right w:val="none" w:sz="0" w:space="0" w:color="auto"/>
      </w:divBdr>
    </w:div>
    <w:div w:id="1845970503">
      <w:bodyDiv w:val="1"/>
      <w:marLeft w:val="0"/>
      <w:marRight w:val="0"/>
      <w:marTop w:val="0"/>
      <w:marBottom w:val="0"/>
      <w:divBdr>
        <w:top w:val="none" w:sz="0" w:space="0" w:color="auto"/>
        <w:left w:val="none" w:sz="0" w:space="0" w:color="auto"/>
        <w:bottom w:val="none" w:sz="0" w:space="0" w:color="auto"/>
        <w:right w:val="none" w:sz="0" w:space="0" w:color="auto"/>
      </w:divBdr>
    </w:div>
    <w:div w:id="1854107922">
      <w:bodyDiv w:val="1"/>
      <w:marLeft w:val="0"/>
      <w:marRight w:val="0"/>
      <w:marTop w:val="0"/>
      <w:marBottom w:val="0"/>
      <w:divBdr>
        <w:top w:val="none" w:sz="0" w:space="0" w:color="auto"/>
        <w:left w:val="none" w:sz="0" w:space="0" w:color="auto"/>
        <w:bottom w:val="none" w:sz="0" w:space="0" w:color="auto"/>
        <w:right w:val="none" w:sz="0" w:space="0" w:color="auto"/>
      </w:divBdr>
    </w:div>
    <w:div w:id="1878161219">
      <w:bodyDiv w:val="1"/>
      <w:marLeft w:val="0"/>
      <w:marRight w:val="0"/>
      <w:marTop w:val="0"/>
      <w:marBottom w:val="0"/>
      <w:divBdr>
        <w:top w:val="none" w:sz="0" w:space="0" w:color="auto"/>
        <w:left w:val="none" w:sz="0" w:space="0" w:color="auto"/>
        <w:bottom w:val="none" w:sz="0" w:space="0" w:color="auto"/>
        <w:right w:val="none" w:sz="0" w:space="0" w:color="auto"/>
      </w:divBdr>
    </w:div>
    <w:div w:id="1890070441">
      <w:bodyDiv w:val="1"/>
      <w:marLeft w:val="0"/>
      <w:marRight w:val="0"/>
      <w:marTop w:val="0"/>
      <w:marBottom w:val="0"/>
      <w:divBdr>
        <w:top w:val="none" w:sz="0" w:space="0" w:color="auto"/>
        <w:left w:val="none" w:sz="0" w:space="0" w:color="auto"/>
        <w:bottom w:val="none" w:sz="0" w:space="0" w:color="auto"/>
        <w:right w:val="none" w:sz="0" w:space="0" w:color="auto"/>
      </w:divBdr>
    </w:div>
    <w:div w:id="1894342954">
      <w:bodyDiv w:val="1"/>
      <w:marLeft w:val="0"/>
      <w:marRight w:val="0"/>
      <w:marTop w:val="0"/>
      <w:marBottom w:val="0"/>
      <w:divBdr>
        <w:top w:val="none" w:sz="0" w:space="0" w:color="auto"/>
        <w:left w:val="none" w:sz="0" w:space="0" w:color="auto"/>
        <w:bottom w:val="none" w:sz="0" w:space="0" w:color="auto"/>
        <w:right w:val="none" w:sz="0" w:space="0" w:color="auto"/>
      </w:divBdr>
    </w:div>
    <w:div w:id="1912154089">
      <w:bodyDiv w:val="1"/>
      <w:marLeft w:val="0"/>
      <w:marRight w:val="0"/>
      <w:marTop w:val="0"/>
      <w:marBottom w:val="0"/>
      <w:divBdr>
        <w:top w:val="none" w:sz="0" w:space="0" w:color="auto"/>
        <w:left w:val="none" w:sz="0" w:space="0" w:color="auto"/>
        <w:bottom w:val="none" w:sz="0" w:space="0" w:color="auto"/>
        <w:right w:val="none" w:sz="0" w:space="0" w:color="auto"/>
      </w:divBdr>
    </w:div>
    <w:div w:id="1942180301">
      <w:bodyDiv w:val="1"/>
      <w:marLeft w:val="0"/>
      <w:marRight w:val="0"/>
      <w:marTop w:val="0"/>
      <w:marBottom w:val="0"/>
      <w:divBdr>
        <w:top w:val="none" w:sz="0" w:space="0" w:color="auto"/>
        <w:left w:val="none" w:sz="0" w:space="0" w:color="auto"/>
        <w:bottom w:val="none" w:sz="0" w:space="0" w:color="auto"/>
        <w:right w:val="none" w:sz="0" w:space="0" w:color="auto"/>
      </w:divBdr>
    </w:div>
    <w:div w:id="1948535617">
      <w:bodyDiv w:val="1"/>
      <w:marLeft w:val="0"/>
      <w:marRight w:val="0"/>
      <w:marTop w:val="0"/>
      <w:marBottom w:val="0"/>
      <w:divBdr>
        <w:top w:val="none" w:sz="0" w:space="0" w:color="auto"/>
        <w:left w:val="none" w:sz="0" w:space="0" w:color="auto"/>
        <w:bottom w:val="none" w:sz="0" w:space="0" w:color="auto"/>
        <w:right w:val="none" w:sz="0" w:space="0" w:color="auto"/>
      </w:divBdr>
    </w:div>
    <w:div w:id="1973051331">
      <w:bodyDiv w:val="1"/>
      <w:marLeft w:val="0"/>
      <w:marRight w:val="0"/>
      <w:marTop w:val="0"/>
      <w:marBottom w:val="0"/>
      <w:divBdr>
        <w:top w:val="none" w:sz="0" w:space="0" w:color="auto"/>
        <w:left w:val="none" w:sz="0" w:space="0" w:color="auto"/>
        <w:bottom w:val="none" w:sz="0" w:space="0" w:color="auto"/>
        <w:right w:val="none" w:sz="0" w:space="0" w:color="auto"/>
      </w:divBdr>
      <w:divsChild>
        <w:div w:id="250899446">
          <w:marLeft w:val="0"/>
          <w:marRight w:val="0"/>
          <w:marTop w:val="0"/>
          <w:marBottom w:val="0"/>
          <w:divBdr>
            <w:top w:val="none" w:sz="0" w:space="0" w:color="auto"/>
            <w:left w:val="none" w:sz="0" w:space="0" w:color="auto"/>
            <w:bottom w:val="none" w:sz="0" w:space="0" w:color="auto"/>
            <w:right w:val="none" w:sz="0" w:space="0" w:color="auto"/>
          </w:divBdr>
        </w:div>
      </w:divsChild>
    </w:div>
    <w:div w:id="2027126596">
      <w:bodyDiv w:val="1"/>
      <w:marLeft w:val="0"/>
      <w:marRight w:val="0"/>
      <w:marTop w:val="0"/>
      <w:marBottom w:val="0"/>
      <w:divBdr>
        <w:top w:val="none" w:sz="0" w:space="0" w:color="auto"/>
        <w:left w:val="none" w:sz="0" w:space="0" w:color="auto"/>
        <w:bottom w:val="none" w:sz="0" w:space="0" w:color="auto"/>
        <w:right w:val="none" w:sz="0" w:space="0" w:color="auto"/>
      </w:divBdr>
    </w:div>
    <w:div w:id="2044862491">
      <w:bodyDiv w:val="1"/>
      <w:marLeft w:val="0"/>
      <w:marRight w:val="0"/>
      <w:marTop w:val="0"/>
      <w:marBottom w:val="0"/>
      <w:divBdr>
        <w:top w:val="none" w:sz="0" w:space="0" w:color="auto"/>
        <w:left w:val="none" w:sz="0" w:space="0" w:color="auto"/>
        <w:bottom w:val="none" w:sz="0" w:space="0" w:color="auto"/>
        <w:right w:val="none" w:sz="0" w:space="0" w:color="auto"/>
      </w:divBdr>
    </w:div>
    <w:div w:id="2046325245">
      <w:bodyDiv w:val="1"/>
      <w:marLeft w:val="0"/>
      <w:marRight w:val="0"/>
      <w:marTop w:val="0"/>
      <w:marBottom w:val="0"/>
      <w:divBdr>
        <w:top w:val="none" w:sz="0" w:space="0" w:color="auto"/>
        <w:left w:val="none" w:sz="0" w:space="0" w:color="auto"/>
        <w:bottom w:val="none" w:sz="0" w:space="0" w:color="auto"/>
        <w:right w:val="none" w:sz="0" w:space="0" w:color="auto"/>
      </w:divBdr>
    </w:div>
    <w:div w:id="2050834494">
      <w:bodyDiv w:val="1"/>
      <w:marLeft w:val="0"/>
      <w:marRight w:val="0"/>
      <w:marTop w:val="0"/>
      <w:marBottom w:val="0"/>
      <w:divBdr>
        <w:top w:val="none" w:sz="0" w:space="0" w:color="auto"/>
        <w:left w:val="none" w:sz="0" w:space="0" w:color="auto"/>
        <w:bottom w:val="none" w:sz="0" w:space="0" w:color="auto"/>
        <w:right w:val="none" w:sz="0" w:space="0" w:color="auto"/>
      </w:divBdr>
    </w:div>
    <w:div w:id="2066100371">
      <w:bodyDiv w:val="1"/>
      <w:marLeft w:val="0"/>
      <w:marRight w:val="0"/>
      <w:marTop w:val="0"/>
      <w:marBottom w:val="0"/>
      <w:divBdr>
        <w:top w:val="none" w:sz="0" w:space="0" w:color="auto"/>
        <w:left w:val="none" w:sz="0" w:space="0" w:color="auto"/>
        <w:bottom w:val="none" w:sz="0" w:space="0" w:color="auto"/>
        <w:right w:val="none" w:sz="0" w:space="0" w:color="auto"/>
      </w:divBdr>
    </w:div>
    <w:div w:id="2069260125">
      <w:bodyDiv w:val="1"/>
      <w:marLeft w:val="0"/>
      <w:marRight w:val="0"/>
      <w:marTop w:val="0"/>
      <w:marBottom w:val="0"/>
      <w:divBdr>
        <w:top w:val="none" w:sz="0" w:space="0" w:color="auto"/>
        <w:left w:val="none" w:sz="0" w:space="0" w:color="auto"/>
        <w:bottom w:val="none" w:sz="0" w:space="0" w:color="auto"/>
        <w:right w:val="none" w:sz="0" w:space="0" w:color="auto"/>
      </w:divBdr>
    </w:div>
    <w:div w:id="2072076472">
      <w:bodyDiv w:val="1"/>
      <w:marLeft w:val="0"/>
      <w:marRight w:val="0"/>
      <w:marTop w:val="0"/>
      <w:marBottom w:val="0"/>
      <w:divBdr>
        <w:top w:val="none" w:sz="0" w:space="0" w:color="auto"/>
        <w:left w:val="none" w:sz="0" w:space="0" w:color="auto"/>
        <w:bottom w:val="none" w:sz="0" w:space="0" w:color="auto"/>
        <w:right w:val="none" w:sz="0" w:space="0" w:color="auto"/>
      </w:divBdr>
    </w:div>
    <w:div w:id="2102483461">
      <w:bodyDiv w:val="1"/>
      <w:marLeft w:val="0"/>
      <w:marRight w:val="0"/>
      <w:marTop w:val="0"/>
      <w:marBottom w:val="0"/>
      <w:divBdr>
        <w:top w:val="none" w:sz="0" w:space="0" w:color="auto"/>
        <w:left w:val="none" w:sz="0" w:space="0" w:color="auto"/>
        <w:bottom w:val="none" w:sz="0" w:space="0" w:color="auto"/>
        <w:right w:val="none" w:sz="0" w:space="0" w:color="auto"/>
      </w:divBdr>
    </w:div>
    <w:div w:id="2106530588">
      <w:bodyDiv w:val="1"/>
      <w:marLeft w:val="0"/>
      <w:marRight w:val="0"/>
      <w:marTop w:val="0"/>
      <w:marBottom w:val="0"/>
      <w:divBdr>
        <w:top w:val="none" w:sz="0" w:space="0" w:color="auto"/>
        <w:left w:val="none" w:sz="0" w:space="0" w:color="auto"/>
        <w:bottom w:val="none" w:sz="0" w:space="0" w:color="auto"/>
        <w:right w:val="none" w:sz="0" w:space="0" w:color="auto"/>
      </w:divBdr>
    </w:div>
    <w:div w:id="2119793409">
      <w:bodyDiv w:val="1"/>
      <w:marLeft w:val="0"/>
      <w:marRight w:val="0"/>
      <w:marTop w:val="0"/>
      <w:marBottom w:val="0"/>
      <w:divBdr>
        <w:top w:val="none" w:sz="0" w:space="0" w:color="auto"/>
        <w:left w:val="none" w:sz="0" w:space="0" w:color="auto"/>
        <w:bottom w:val="none" w:sz="0" w:space="0" w:color="auto"/>
        <w:right w:val="none" w:sz="0" w:space="0" w:color="auto"/>
      </w:divBdr>
    </w:div>
    <w:div w:id="214558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DE952C-3C8B-439D-A73A-BA2081AD6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4820</Words>
  <Characters>26512</Characters>
  <Application>Microsoft Office Word</Application>
  <DocSecurity>0</DocSecurity>
  <Lines>220</Lines>
  <Paragraphs>62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31270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INFOEM</dc:creator>
  <cp:lastModifiedBy>ROX</cp:lastModifiedBy>
  <cp:revision>4</cp:revision>
  <cp:lastPrinted>2025-02-14T04:36:00Z</cp:lastPrinted>
  <dcterms:created xsi:type="dcterms:W3CDTF">2025-02-14T04:36:00Z</dcterms:created>
  <dcterms:modified xsi:type="dcterms:W3CDTF">2025-03-11T00:21:00Z</dcterms:modified>
</cp:coreProperties>
</file>