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B98E" w14:textId="77777777" w:rsidR="00286EFA" w:rsidRDefault="00286EFA">
      <w:pPr>
        <w:widowControl w:val="0"/>
        <w:pBdr>
          <w:top w:val="nil"/>
          <w:left w:val="nil"/>
          <w:bottom w:val="nil"/>
          <w:right w:val="nil"/>
          <w:between w:val="nil"/>
        </w:pBdr>
        <w:spacing w:line="276" w:lineRule="auto"/>
      </w:pPr>
    </w:p>
    <w:p w14:paraId="4D4C3AA0" w14:textId="77777777" w:rsidR="00286EFA" w:rsidRDefault="00286EFA">
      <w:pPr>
        <w:spacing w:line="360" w:lineRule="auto"/>
        <w:ind w:right="-28"/>
        <w:jc w:val="both"/>
        <w:rPr>
          <w:rFonts w:ascii="Palatino Linotype" w:eastAsia="Palatino Linotype" w:hAnsi="Palatino Linotype" w:cs="Palatino Linotype"/>
          <w:sz w:val="22"/>
          <w:szCs w:val="22"/>
        </w:rPr>
      </w:pPr>
    </w:p>
    <w:p w14:paraId="0071F541" w14:textId="77777777" w:rsidR="00286EFA" w:rsidRDefault="00FA61F8">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0161/INFOEM/IP/RR/2025</w:t>
      </w:r>
    </w:p>
    <w:sdt>
      <w:sdtPr>
        <w:id w:val="-1957784197"/>
        <w:docPartObj>
          <w:docPartGallery w:val="Table of Contents"/>
          <w:docPartUnique/>
        </w:docPartObj>
      </w:sdtPr>
      <w:sdtContent>
        <w:p w14:paraId="2EDA6C05" w14:textId="77777777" w:rsidR="00286EFA" w:rsidRDefault="00FA61F8">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3znysh7">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14:paraId="0C6ED882"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et92p0">
            <w:r>
              <w:rPr>
                <w:rFonts w:ascii="Palatino Linotype" w:eastAsia="Palatino Linotype" w:hAnsi="Palatino Linotype" w:cs="Palatino Linotype"/>
                <w:color w:val="000000"/>
                <w:sz w:val="22"/>
                <w:szCs w:val="22"/>
              </w:rPr>
              <w:t>I. Presentación de la solicitud de información</w:t>
            </w:r>
            <w:r>
              <w:rPr>
                <w:rFonts w:ascii="Palatino Linotype" w:eastAsia="Palatino Linotype" w:hAnsi="Palatino Linotype" w:cs="Palatino Linotype"/>
                <w:color w:val="000000"/>
                <w:sz w:val="22"/>
                <w:szCs w:val="22"/>
              </w:rPr>
              <w:tab/>
              <w:t>2</w:t>
            </w:r>
          </w:hyperlink>
        </w:p>
        <w:p w14:paraId="1374A64B"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tyjcwt">
            <w:r>
              <w:rPr>
                <w:rFonts w:ascii="Palatino Linotype" w:eastAsia="Palatino Linotype" w:hAnsi="Palatino Linotype" w:cs="Palatino Linotype"/>
                <w:color w:val="000000"/>
                <w:sz w:val="22"/>
                <w:szCs w:val="22"/>
              </w:rPr>
              <w:t>II. Respuesta del Sujeto Obligado</w:t>
            </w:r>
            <w:r>
              <w:rPr>
                <w:rFonts w:ascii="Palatino Linotype" w:eastAsia="Palatino Linotype" w:hAnsi="Palatino Linotype" w:cs="Palatino Linotype"/>
                <w:color w:val="000000"/>
                <w:sz w:val="22"/>
                <w:szCs w:val="22"/>
              </w:rPr>
              <w:tab/>
              <w:t>3</w:t>
            </w:r>
          </w:hyperlink>
        </w:p>
        <w:p w14:paraId="7D1C49C5"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dy6vkm">
            <w:r>
              <w:rPr>
                <w:rFonts w:ascii="Palatino Linotype" w:eastAsia="Palatino Linotype" w:hAnsi="Palatino Linotype" w:cs="Palatino Linotype"/>
                <w:color w:val="000000"/>
                <w:sz w:val="22"/>
                <w:szCs w:val="22"/>
              </w:rPr>
              <w:t>III. Interposición del Recurso de Revisión</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3</w:t>
          </w:r>
        </w:p>
        <w:p w14:paraId="41470DCE"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1t3h5sf">
            <w:r>
              <w:rPr>
                <w:rFonts w:ascii="Palatino Linotype" w:eastAsia="Palatino Linotype" w:hAnsi="Palatino Linotype" w:cs="Palatino Linotype"/>
                <w:color w:val="000000"/>
                <w:sz w:val="22"/>
                <w:szCs w:val="22"/>
              </w:rPr>
              <w:t>IV. Trámite del Recurso de Revisión ante el Instituto</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4</w:t>
          </w:r>
        </w:p>
        <w:p w14:paraId="5DE96409" w14:textId="77777777" w:rsidR="00286EFA" w:rsidRDefault="00FA61F8">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4d34og8">
            <w:r>
              <w:rPr>
                <w:rFonts w:ascii="Palatino Linotype" w:eastAsia="Palatino Linotype" w:hAnsi="Palatino Linotype" w:cs="Palatino Linotype"/>
                <w:color w:val="000000"/>
                <w:sz w:val="22"/>
                <w:szCs w:val="22"/>
              </w:rPr>
              <w:t>C O N S I D E R A N D O S</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5</w:t>
          </w:r>
        </w:p>
        <w:p w14:paraId="5DAFA30E"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s8eyo1">
            <w:r>
              <w:rPr>
                <w:rFonts w:ascii="Palatino Linotype" w:eastAsia="Palatino Linotype" w:hAnsi="Palatino Linotype" w:cs="Palatino Linotype"/>
                <w:color w:val="000000"/>
                <w:sz w:val="22"/>
                <w:szCs w:val="22"/>
              </w:rPr>
              <w:t>PRIMERO. Competencia</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5</w:t>
          </w:r>
        </w:p>
        <w:p w14:paraId="360F3E9B"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17dp8vu">
            <w:r>
              <w:rPr>
                <w:rFonts w:ascii="Palatino Linotype" w:eastAsia="Palatino Linotype" w:hAnsi="Palatino Linotype" w:cs="Palatino Linotype"/>
                <w:color w:val="000000"/>
                <w:sz w:val="22"/>
                <w:szCs w:val="22"/>
              </w:rPr>
              <w:t>SEGUNDO. Causales de improcedencia y sobreseimiento</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6</w:t>
          </w:r>
        </w:p>
        <w:p w14:paraId="01E19714"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rdcrjn">
            <w:r>
              <w:rPr>
                <w:rFonts w:ascii="Palatino Linotype" w:eastAsia="Palatino Linotype" w:hAnsi="Palatino Linotype" w:cs="Palatino Linotype"/>
                <w:color w:val="000000"/>
                <w:sz w:val="22"/>
                <w:szCs w:val="22"/>
              </w:rPr>
              <w:t>TERCERO. Determinación de la Controversia</w:t>
            </w:r>
            <w:r>
              <w:rPr>
                <w:rFonts w:ascii="Palatino Linotype" w:eastAsia="Palatino Linotype" w:hAnsi="Palatino Linotype" w:cs="Palatino Linotype"/>
                <w:color w:val="000000"/>
                <w:sz w:val="22"/>
                <w:szCs w:val="22"/>
              </w:rPr>
              <w:tab/>
              <w:t>8</w:t>
            </w:r>
          </w:hyperlink>
        </w:p>
        <w:p w14:paraId="466D9AC7"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6in1rg">
            <w:r>
              <w:rPr>
                <w:rFonts w:ascii="Palatino Linotype" w:eastAsia="Palatino Linotype" w:hAnsi="Palatino Linotype" w:cs="Palatino Linotype"/>
                <w:color w:val="000000"/>
                <w:sz w:val="22"/>
                <w:szCs w:val="22"/>
              </w:rPr>
              <w:t>CUARTO. Marco normativo aplicable en materia de transparencia y acceso a la información pública</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9</w:t>
          </w:r>
        </w:p>
        <w:p w14:paraId="75D7AD31"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lnxbz9">
            <w:r>
              <w:rPr>
                <w:rFonts w:ascii="Palatino Linotype" w:eastAsia="Palatino Linotype" w:hAnsi="Palatino Linotype" w:cs="Palatino Linotype"/>
                <w:color w:val="000000"/>
                <w:sz w:val="22"/>
                <w:szCs w:val="22"/>
              </w:rPr>
              <w:t>QUINTO. Estudio de Fondo</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10</w:t>
          </w:r>
        </w:p>
        <w:p w14:paraId="6E1C2D08" w14:textId="77777777" w:rsidR="00286EFA" w:rsidRDefault="00FA61F8">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5nkun2">
            <w:r>
              <w:rPr>
                <w:rFonts w:ascii="Palatino Linotype" w:eastAsia="Palatino Linotype" w:hAnsi="Palatino Linotype" w:cs="Palatino Linotype"/>
                <w:color w:val="000000"/>
                <w:sz w:val="22"/>
                <w:szCs w:val="22"/>
              </w:rPr>
              <w:t>SEXTO. Decisión</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18</w:t>
          </w:r>
        </w:p>
        <w:p w14:paraId="49F86C0A" w14:textId="77777777" w:rsidR="00286EFA" w:rsidRDefault="00FA61F8">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1ksv4uv">
            <w:r>
              <w:rPr>
                <w:rFonts w:ascii="Palatino Linotype" w:eastAsia="Palatino Linotype" w:hAnsi="Palatino Linotype" w:cs="Palatino Linotype"/>
                <w:color w:val="000000"/>
                <w:sz w:val="22"/>
                <w:szCs w:val="22"/>
              </w:rPr>
              <w:t>R E S U E L V E</w:t>
            </w:r>
            <w:r>
              <w:rPr>
                <w:rFonts w:ascii="Palatino Linotype" w:eastAsia="Palatino Linotype" w:hAnsi="Palatino Linotype" w:cs="Palatino Linotype"/>
                <w:color w:val="000000"/>
                <w:sz w:val="22"/>
                <w:szCs w:val="22"/>
              </w:rPr>
              <w:tab/>
            </w:r>
          </w:hyperlink>
          <w:r>
            <w:rPr>
              <w:rFonts w:ascii="Palatino Linotype" w:eastAsia="Palatino Linotype" w:hAnsi="Palatino Linotype" w:cs="Palatino Linotype"/>
              <w:color w:val="000000"/>
              <w:sz w:val="22"/>
              <w:szCs w:val="22"/>
            </w:rPr>
            <w:t>19</w:t>
          </w:r>
        </w:p>
        <w:p w14:paraId="5A559745" w14:textId="77777777" w:rsidR="00286EFA" w:rsidRDefault="00FA61F8">
          <w:pPr>
            <w:spacing w:line="360" w:lineRule="auto"/>
            <w:ind w:right="-28"/>
            <w:jc w:val="center"/>
            <w:rPr>
              <w:rFonts w:ascii="Palatino Linotype" w:eastAsia="Palatino Linotype" w:hAnsi="Palatino Linotype" w:cs="Palatino Linotype"/>
              <w:sz w:val="22"/>
              <w:szCs w:val="22"/>
            </w:rPr>
          </w:pPr>
          <w:r>
            <w:fldChar w:fldCharType="end"/>
          </w:r>
        </w:p>
      </w:sdtContent>
    </w:sdt>
    <w:p w14:paraId="20991187" w14:textId="77777777" w:rsidR="00286EFA" w:rsidRDefault="00FA61F8">
      <w:pPr>
        <w:spacing w:line="360" w:lineRule="auto"/>
        <w:ind w:right="-28"/>
        <w:jc w:val="both"/>
        <w:rPr>
          <w:rFonts w:ascii="Palatino Linotype" w:eastAsia="Palatino Linotype" w:hAnsi="Palatino Linotype" w:cs="Palatino Linotype"/>
          <w:sz w:val="22"/>
          <w:szCs w:val="22"/>
        </w:rPr>
      </w:pPr>
      <w:r>
        <w:br w:type="column"/>
      </w:r>
      <w:r>
        <w:rPr>
          <w:rFonts w:ascii="Palatino Linotype" w:eastAsia="Palatino Linotype" w:hAnsi="Palatino Linotype" w:cs="Palatino Linotype"/>
          <w:sz w:val="22"/>
          <w:szCs w:val="22"/>
        </w:rPr>
        <w:lastRenderedPageBreak/>
        <w:t>Resolución del Pleno del Instituto de Transparencia, Acceso a la Información Pública y Protección de Datos Personales del Estado de México y Municipios, con domicilio en Metepec, Estado de México, de fecha seis de febrero de dos mil veinticinco.</w:t>
      </w:r>
    </w:p>
    <w:p w14:paraId="2B422B41" w14:textId="77777777" w:rsidR="00286EFA" w:rsidRDefault="00286EFA">
      <w:pPr>
        <w:spacing w:line="360" w:lineRule="auto"/>
        <w:ind w:right="-28"/>
        <w:jc w:val="both"/>
        <w:rPr>
          <w:rFonts w:ascii="Palatino Linotype" w:eastAsia="Palatino Linotype" w:hAnsi="Palatino Linotype" w:cs="Palatino Linotype"/>
          <w:sz w:val="22"/>
          <w:szCs w:val="22"/>
        </w:rPr>
      </w:pPr>
    </w:p>
    <w:p w14:paraId="248233D5" w14:textId="28421E31"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293D4C">
        <w:rPr>
          <w:rFonts w:ascii="Palatino Linotype" w:eastAsia="Palatino Linotype" w:hAnsi="Palatino Linotype" w:cs="Palatino Linotype"/>
          <w:b/>
          <w:color w:val="0D0D0D"/>
          <w:sz w:val="22"/>
          <w:szCs w:val="22"/>
        </w:rPr>
        <w:t>0161/INFOEM/IP/RR/2025</w:t>
      </w:r>
      <w:r w:rsidRPr="00293D4C">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interpuesto por </w:t>
      </w:r>
      <w:r w:rsidR="00DB01C3" w:rsidRPr="00DB01C3">
        <w:rPr>
          <w:rFonts w:ascii="Palatino Linotype" w:eastAsia="Palatino Linotype" w:hAnsi="Palatino Linotype" w:cs="Palatino Linotype"/>
          <w:sz w:val="22"/>
          <w:szCs w:val="22"/>
          <w:highlight w:val="black"/>
        </w:rPr>
        <w:t>XXXXXXXXXXXXXXXXXXXXXX</w:t>
      </w:r>
      <w:r w:rsidR="00DB01C3">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en lo sucesivo el Recurrente o Particular, en contra de la respuesta del Sujeto Obligado, </w:t>
      </w:r>
      <w:r w:rsidRPr="00293D4C">
        <w:rPr>
          <w:rFonts w:ascii="Palatino Linotype" w:eastAsia="Palatino Linotype" w:hAnsi="Palatino Linotype" w:cs="Palatino Linotype"/>
          <w:b/>
          <w:color w:val="000000"/>
          <w:sz w:val="22"/>
          <w:szCs w:val="22"/>
        </w:rPr>
        <w:t>Ayuntamiento de Tenancingo</w:t>
      </w:r>
      <w:r>
        <w:rPr>
          <w:rFonts w:ascii="Palatino Linotype" w:eastAsia="Palatino Linotype" w:hAnsi="Palatino Linotype" w:cs="Palatino Linotype"/>
          <w:sz w:val="22"/>
          <w:szCs w:val="22"/>
        </w:rPr>
        <w:t xml:space="preserve">, a la solicitud de acceso a la información pública con número de folio </w:t>
      </w:r>
      <w:r>
        <w:rPr>
          <w:rFonts w:ascii="Palatino Linotype" w:eastAsia="Palatino Linotype" w:hAnsi="Palatino Linotype" w:cs="Palatino Linotype"/>
          <w:color w:val="000000"/>
          <w:sz w:val="22"/>
          <w:szCs w:val="22"/>
        </w:rPr>
        <w:t>00001/TENANCIN/IP/2025</w:t>
      </w:r>
      <w:r>
        <w:rPr>
          <w:rFonts w:ascii="Palatino Linotype" w:eastAsia="Palatino Linotype" w:hAnsi="Palatino Linotype" w:cs="Palatino Linotype"/>
          <w:sz w:val="22"/>
          <w:szCs w:val="22"/>
        </w:rPr>
        <w:t>, se emite la presente Resolución, con base en los Antecedentes y Considerandos que se exponen a continuación:</w:t>
      </w:r>
    </w:p>
    <w:p w14:paraId="320B3657" w14:textId="77777777" w:rsidR="00286EFA" w:rsidRDefault="00286EFA">
      <w:pPr>
        <w:spacing w:line="360" w:lineRule="auto"/>
        <w:ind w:right="-28"/>
        <w:jc w:val="both"/>
        <w:rPr>
          <w:rFonts w:ascii="Palatino Linotype" w:eastAsia="Palatino Linotype" w:hAnsi="Palatino Linotype" w:cs="Palatino Linotype"/>
          <w:b/>
          <w:color w:val="0D0D0D"/>
          <w:sz w:val="22"/>
          <w:szCs w:val="22"/>
        </w:rPr>
      </w:pPr>
    </w:p>
    <w:p w14:paraId="733077C7" w14:textId="77777777" w:rsidR="00286EFA" w:rsidRDefault="00FA61F8">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256FF4C5" w14:textId="77777777" w:rsidR="00286EFA" w:rsidRDefault="00286EFA">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530DFD8F" w14:textId="77777777" w:rsidR="00286EFA" w:rsidRDefault="00FA61F8">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2"/>
          <w:szCs w:val="22"/>
        </w:rPr>
        <w:t>I. Presentación de la solicitud de información</w:t>
      </w:r>
    </w:p>
    <w:p w14:paraId="5AC5488A" w14:textId="77777777" w:rsidR="00286EFA" w:rsidRDefault="00286EFA">
      <w:pPr>
        <w:spacing w:line="360" w:lineRule="auto"/>
        <w:jc w:val="both"/>
        <w:rPr>
          <w:rFonts w:ascii="Palatino Linotype" w:eastAsia="Palatino Linotype" w:hAnsi="Palatino Linotype" w:cs="Palatino Linotype"/>
          <w:sz w:val="22"/>
          <w:szCs w:val="22"/>
        </w:rPr>
      </w:pPr>
    </w:p>
    <w:p w14:paraId="5D7CBE0F"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trece de enero de dos mil veinticinco, el Particular presentó una solicitud de acceso a la información pública, a través del Sistema de Acceso a la Información Mexiquense (SAIMEX), ante el </w:t>
      </w:r>
      <w:r>
        <w:rPr>
          <w:rFonts w:ascii="Palatino Linotype" w:eastAsia="Palatino Linotype" w:hAnsi="Palatino Linotype" w:cs="Palatino Linotype"/>
          <w:color w:val="000000"/>
          <w:sz w:val="22"/>
          <w:szCs w:val="22"/>
        </w:rPr>
        <w:t>Ayuntamiento de Tenancingo</w:t>
      </w:r>
      <w:r>
        <w:rPr>
          <w:rFonts w:ascii="Palatino Linotype" w:eastAsia="Palatino Linotype" w:hAnsi="Palatino Linotype" w:cs="Palatino Linotype"/>
          <w:b/>
          <w:sz w:val="22"/>
          <w:szCs w:val="22"/>
        </w:rPr>
        <w:t xml:space="preserve">, ya que, si bien se presentó el veintisiete de diciembre de dos mil veinticuatro, lo cierto es que fue inhábil por lo que se tuvo por presentada el día hábil subsecuente, </w:t>
      </w:r>
      <w:r>
        <w:rPr>
          <w:rFonts w:ascii="Palatino Linotype" w:eastAsia="Palatino Linotype" w:hAnsi="Palatino Linotype" w:cs="Palatino Linotype"/>
          <w:sz w:val="22"/>
          <w:szCs w:val="22"/>
        </w:rPr>
        <w:t>mediante la cual requirió lo siguiente:</w:t>
      </w:r>
    </w:p>
    <w:p w14:paraId="15941CD2" w14:textId="77777777" w:rsidR="00286EFA" w:rsidRDefault="00286EFA">
      <w:pPr>
        <w:tabs>
          <w:tab w:val="left" w:pos="4667"/>
        </w:tabs>
        <w:spacing w:line="360" w:lineRule="auto"/>
        <w:ind w:right="567"/>
        <w:jc w:val="both"/>
        <w:rPr>
          <w:rFonts w:ascii="Palatino Linotype" w:eastAsia="Palatino Linotype" w:hAnsi="Palatino Linotype" w:cs="Palatino Linotype"/>
          <w:b/>
          <w:i/>
        </w:rPr>
      </w:pPr>
    </w:p>
    <w:p w14:paraId="6E224FD2" w14:textId="77777777" w:rsidR="00286EFA" w:rsidRDefault="00FA61F8">
      <w:pPr>
        <w:tabs>
          <w:tab w:val="left" w:pos="4667"/>
        </w:tabs>
        <w:spacing w:line="360" w:lineRule="auto"/>
        <w:ind w:left="567" w:right="567"/>
        <w:jc w:val="both"/>
        <w:rPr>
          <w:rFonts w:ascii="Palatino Linotype" w:eastAsia="Palatino Linotype" w:hAnsi="Palatino Linotype" w:cs="Palatino Linotype"/>
          <w:b/>
          <w:i/>
        </w:rPr>
      </w:pPr>
      <w:bookmarkStart w:id="0" w:name="_heading=h.gjdgxs" w:colFirst="0" w:colLast="0"/>
      <w:bookmarkEnd w:id="0"/>
      <w:r>
        <w:rPr>
          <w:rFonts w:ascii="Palatino Linotype" w:eastAsia="Palatino Linotype" w:hAnsi="Palatino Linotype" w:cs="Palatino Linotype"/>
          <w:b/>
          <w:i/>
        </w:rPr>
        <w:t>“DESCRIPCIÓN CLARA Y PRECISA DE LA INFORMACIÓN SOLICITADA:</w:t>
      </w:r>
    </w:p>
    <w:p w14:paraId="355D1996" w14:textId="77777777" w:rsidR="00286EFA" w:rsidRDefault="00FA61F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Solicitó información de los trabajos la perforación del nuevo pozo de agua potable ubicado en la entrada al camino a la colonia </w:t>
      </w:r>
      <w:proofErr w:type="spellStart"/>
      <w:r>
        <w:rPr>
          <w:rFonts w:ascii="Palatino Linotype" w:eastAsia="Palatino Linotype" w:hAnsi="Palatino Linotype" w:cs="Palatino Linotype"/>
          <w:i/>
          <w:color w:val="000000"/>
        </w:rPr>
        <w:t>Vimate</w:t>
      </w:r>
      <w:proofErr w:type="spellEnd"/>
      <w:r>
        <w:rPr>
          <w:rFonts w:ascii="Palatino Linotype" w:eastAsia="Palatino Linotype" w:hAnsi="Palatino Linotype" w:cs="Palatino Linotype"/>
          <w:i/>
          <w:color w:val="000000"/>
        </w:rPr>
        <w:t xml:space="preserve"> y que es operado por el ODAPAS Tenancingo. La información que se requiere el </w:t>
      </w:r>
      <w:proofErr w:type="spellStart"/>
      <w:r>
        <w:rPr>
          <w:rFonts w:ascii="Palatino Linotype" w:eastAsia="Palatino Linotype" w:hAnsi="Palatino Linotype" w:cs="Palatino Linotype"/>
          <w:i/>
          <w:color w:val="000000"/>
        </w:rPr>
        <w:t>el</w:t>
      </w:r>
      <w:proofErr w:type="spellEnd"/>
      <w:r>
        <w:rPr>
          <w:rFonts w:ascii="Palatino Linotype" w:eastAsia="Palatino Linotype" w:hAnsi="Palatino Linotype" w:cs="Palatino Linotype"/>
          <w:i/>
          <w:color w:val="000000"/>
        </w:rPr>
        <w:t xml:space="preserve"> catálogo de conceptos, sus cantidades y precios por la ejecución de dichos trabajos, así como el nombre de la empresa que los realizó. Los trabajos corresponden a los años 2023 y 2024, realizados por obras públicas.</w:t>
      </w:r>
      <w:r>
        <w:rPr>
          <w:rFonts w:ascii="Palatino Linotype" w:eastAsia="Palatino Linotype" w:hAnsi="Palatino Linotype" w:cs="Palatino Linotype"/>
          <w:i/>
        </w:rPr>
        <w:t>” (Sic)</w:t>
      </w:r>
    </w:p>
    <w:p w14:paraId="4FAB515B" w14:textId="77777777" w:rsidR="00286EFA" w:rsidRDefault="00286EFA">
      <w:pPr>
        <w:tabs>
          <w:tab w:val="left" w:pos="4667"/>
        </w:tabs>
        <w:spacing w:line="360" w:lineRule="auto"/>
        <w:ind w:left="567" w:right="567"/>
        <w:jc w:val="both"/>
        <w:rPr>
          <w:rFonts w:ascii="Palatino Linotype" w:eastAsia="Palatino Linotype" w:hAnsi="Palatino Linotype" w:cs="Palatino Linotype"/>
          <w:i/>
        </w:rPr>
      </w:pPr>
    </w:p>
    <w:p w14:paraId="7A5CDCEF" w14:textId="77777777" w:rsidR="00286EFA" w:rsidRDefault="00FA61F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“Modalidad de Entrega: </w:t>
      </w:r>
    </w:p>
    <w:p w14:paraId="5794A499" w14:textId="77777777" w:rsidR="00286EFA" w:rsidRDefault="00FA61F8">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través de SAIMEX”  </w:t>
      </w:r>
    </w:p>
    <w:p w14:paraId="7C7B7172" w14:textId="77777777" w:rsidR="00286EFA" w:rsidRDefault="00286EFA">
      <w:pPr>
        <w:spacing w:line="360" w:lineRule="auto"/>
        <w:rPr>
          <w:rFonts w:ascii="Palatino Linotype" w:eastAsia="Palatino Linotype" w:hAnsi="Palatino Linotype" w:cs="Palatino Linotype"/>
          <w:b/>
          <w:sz w:val="22"/>
          <w:szCs w:val="22"/>
        </w:rPr>
      </w:pPr>
      <w:bookmarkStart w:id="1" w:name="_heading=h.30j0zll" w:colFirst="0" w:colLast="0"/>
      <w:bookmarkEnd w:id="1"/>
    </w:p>
    <w:p w14:paraId="26BC29E3" w14:textId="77777777" w:rsidR="00286EFA" w:rsidRDefault="00FA61F8">
      <w:pPr>
        <w:pBdr>
          <w:top w:val="nil"/>
          <w:left w:val="nil"/>
          <w:bottom w:val="nil"/>
          <w:right w:val="nil"/>
          <w:between w:val="nil"/>
        </w:pBdr>
        <w:spacing w:line="360" w:lineRule="auto"/>
        <w:ind w:right="-3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14:paraId="1B9FAC87" w14:textId="77777777" w:rsidR="00286EFA" w:rsidRDefault="00286EFA">
      <w:pPr>
        <w:tabs>
          <w:tab w:val="left" w:pos="4667"/>
        </w:tabs>
        <w:spacing w:line="360" w:lineRule="auto"/>
        <w:ind w:right="567"/>
        <w:jc w:val="both"/>
        <w:rPr>
          <w:rFonts w:ascii="Palatino Linotype" w:eastAsia="Palatino Linotype" w:hAnsi="Palatino Linotype" w:cs="Palatino Linotype"/>
          <w:b/>
          <w:sz w:val="22"/>
          <w:szCs w:val="22"/>
        </w:rPr>
      </w:pPr>
    </w:p>
    <w:p w14:paraId="57AA8052"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veintiuno de enero de dos mil veinticinco,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del oficio número PMT058/PM/CT/SI/00001/2025, del veintiuno de enero de dos mil veinticinco, suscrito por la Coordinadora de Transparencia, dirigido al Solicitante, por medio del cual manifiesta y expone lo siguiente:</w:t>
      </w:r>
    </w:p>
    <w:p w14:paraId="4309BC5B" w14:textId="77777777" w:rsidR="00286EFA" w:rsidRDefault="00286EFA">
      <w:pPr>
        <w:spacing w:line="360" w:lineRule="auto"/>
        <w:jc w:val="both"/>
        <w:rPr>
          <w:rFonts w:ascii="Palatino Linotype" w:eastAsia="Palatino Linotype" w:hAnsi="Palatino Linotype" w:cs="Palatino Linotype"/>
          <w:sz w:val="22"/>
          <w:szCs w:val="22"/>
        </w:rPr>
      </w:pPr>
    </w:p>
    <w:p w14:paraId="678BBE7B" w14:textId="77777777" w:rsidR="00286EFA" w:rsidRDefault="00FA61F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“…con el objeto de contribuir a la atención de los requerimientos</w:t>
      </w:r>
      <w:r>
        <w:rPr>
          <w:rFonts w:ascii="Palatino Linotype" w:eastAsia="Palatino Linotype" w:hAnsi="Palatino Linotype" w:cs="Palatino Linotype"/>
          <w:b/>
          <w:i/>
        </w:rPr>
        <w:t>, se sugiere turnar dicha solicitud al área de Transparencia de OPDAPAS, podría atender los requerimientos en el ámbito de su competencia, toda vez que corresponde a un Organismo Descentralizado</w:t>
      </w:r>
      <w:r>
        <w:rPr>
          <w:rFonts w:ascii="Palatino Linotype" w:eastAsia="Palatino Linotype" w:hAnsi="Palatino Linotype" w:cs="Palatino Linotype"/>
          <w:i/>
        </w:rPr>
        <w:t>…”</w:t>
      </w:r>
    </w:p>
    <w:p w14:paraId="77176333" w14:textId="77777777" w:rsidR="00286EFA" w:rsidRDefault="00286EFA">
      <w:pPr>
        <w:spacing w:line="360" w:lineRule="auto"/>
        <w:jc w:val="both"/>
        <w:rPr>
          <w:rFonts w:ascii="Palatino Linotype" w:eastAsia="Palatino Linotype" w:hAnsi="Palatino Linotype" w:cs="Palatino Linotype"/>
          <w:sz w:val="22"/>
          <w:szCs w:val="22"/>
        </w:rPr>
      </w:pPr>
    </w:p>
    <w:p w14:paraId="574598A8" w14:textId="77777777" w:rsidR="00286EFA" w:rsidRDefault="00FA61F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14:paraId="23FE4C0F" w14:textId="77777777" w:rsidR="00286EFA" w:rsidRDefault="00286EFA">
      <w:pPr>
        <w:spacing w:line="360" w:lineRule="auto"/>
        <w:ind w:right="-28"/>
        <w:jc w:val="both"/>
        <w:rPr>
          <w:rFonts w:ascii="Palatino Linotype" w:eastAsia="Palatino Linotype" w:hAnsi="Palatino Linotype" w:cs="Palatino Linotype"/>
          <w:sz w:val="22"/>
          <w:szCs w:val="22"/>
        </w:rPr>
      </w:pPr>
    </w:p>
    <w:p w14:paraId="6DB8ABEB"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veintidós de enero de dos mil veinticinco se recibió en este Instituto, a través del Sistema de Acceso a la Información Mexiquense (SAIMEX), el Recurso de Revisión interpuesto por la parte Recurrente, en contra de la respuesta del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los siguientes términos:</w:t>
      </w:r>
    </w:p>
    <w:p w14:paraId="60A859B8" w14:textId="77777777" w:rsidR="00286EFA" w:rsidRDefault="00286EFA">
      <w:pPr>
        <w:spacing w:line="360" w:lineRule="auto"/>
        <w:ind w:right="-28"/>
        <w:jc w:val="both"/>
        <w:rPr>
          <w:rFonts w:ascii="Palatino Linotype" w:eastAsia="Palatino Linotype" w:hAnsi="Palatino Linotype" w:cs="Palatino Linotype"/>
          <w:i/>
        </w:rPr>
      </w:pPr>
    </w:p>
    <w:p w14:paraId="3586D1B8" w14:textId="77777777" w:rsidR="00286EFA" w:rsidRDefault="00FA61F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10284C93" w14:textId="77777777" w:rsidR="00286EFA" w:rsidRDefault="00FA61F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 xml:space="preserve">Solicitó información de los trabajos la perforación del nuevo pozo de agua potable ubicado en la entrada al camino a la colonia </w:t>
      </w:r>
      <w:proofErr w:type="spellStart"/>
      <w:r>
        <w:rPr>
          <w:rFonts w:ascii="Palatino Linotype" w:eastAsia="Palatino Linotype" w:hAnsi="Palatino Linotype" w:cs="Palatino Linotype"/>
          <w:i/>
          <w:color w:val="000000"/>
        </w:rPr>
        <w:t>Vimate</w:t>
      </w:r>
      <w:proofErr w:type="spellEnd"/>
      <w:r>
        <w:rPr>
          <w:rFonts w:ascii="Palatino Linotype" w:eastAsia="Palatino Linotype" w:hAnsi="Palatino Linotype" w:cs="Palatino Linotype"/>
          <w:i/>
          <w:color w:val="000000"/>
        </w:rPr>
        <w:t xml:space="preserve"> y que es operado por el ODAPAS Tenancingo. La información que se requiere el </w:t>
      </w:r>
      <w:proofErr w:type="spellStart"/>
      <w:r>
        <w:rPr>
          <w:rFonts w:ascii="Palatino Linotype" w:eastAsia="Palatino Linotype" w:hAnsi="Palatino Linotype" w:cs="Palatino Linotype"/>
          <w:i/>
          <w:color w:val="000000"/>
        </w:rPr>
        <w:t>el</w:t>
      </w:r>
      <w:proofErr w:type="spellEnd"/>
      <w:r>
        <w:rPr>
          <w:rFonts w:ascii="Palatino Linotype" w:eastAsia="Palatino Linotype" w:hAnsi="Palatino Linotype" w:cs="Palatino Linotype"/>
          <w:i/>
          <w:color w:val="000000"/>
        </w:rPr>
        <w:t xml:space="preserve"> catálogo de conceptos, sus cantidades y precios por la ejecución de dichos </w:t>
      </w:r>
      <w:r>
        <w:rPr>
          <w:rFonts w:ascii="Palatino Linotype" w:eastAsia="Palatino Linotype" w:hAnsi="Palatino Linotype" w:cs="Palatino Linotype"/>
          <w:i/>
          <w:color w:val="000000"/>
        </w:rPr>
        <w:lastRenderedPageBreak/>
        <w:t>trabajos, así como el nombre de la empresa que los realizó. Los trabajos corresponden a los años 2023 y 2024, realizados por obras públicas. En su respuesta se indica que la información la debe proporcionar el OPDAPAS, Tenancingo. Y textualmente se indica que los trabajos los realizó Obras Públicas.</w:t>
      </w:r>
      <w:r>
        <w:rPr>
          <w:rFonts w:ascii="Palatino Linotype" w:eastAsia="Palatino Linotype" w:hAnsi="Palatino Linotype" w:cs="Palatino Linotype"/>
          <w:i/>
        </w:rPr>
        <w:t>” (Sic.)</w:t>
      </w:r>
    </w:p>
    <w:p w14:paraId="750E56E0" w14:textId="77777777" w:rsidR="00286EFA" w:rsidRDefault="00286EFA">
      <w:pPr>
        <w:tabs>
          <w:tab w:val="left" w:pos="4667"/>
        </w:tabs>
        <w:spacing w:line="360" w:lineRule="auto"/>
        <w:ind w:right="567"/>
        <w:jc w:val="both"/>
        <w:rPr>
          <w:rFonts w:ascii="Palatino Linotype" w:eastAsia="Palatino Linotype" w:hAnsi="Palatino Linotype" w:cs="Palatino Linotype"/>
          <w:i/>
        </w:rPr>
      </w:pPr>
    </w:p>
    <w:p w14:paraId="4227C769" w14:textId="77777777" w:rsidR="00286EFA" w:rsidRDefault="00FA61F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0B19E0B0" w14:textId="77777777" w:rsidR="00286EFA" w:rsidRDefault="00FA61F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Los trabajos fueron realizados y ejecutados por la dirección de Obras Públicas y no por el organismo OPDAPAS, por lo tanto toda la información está en poder de la dirección de Obras Públicas y es quien debe hacer entrega de todo lo solicitado.</w:t>
      </w:r>
      <w:r>
        <w:rPr>
          <w:rFonts w:ascii="Palatino Linotype" w:eastAsia="Palatino Linotype" w:hAnsi="Palatino Linotype" w:cs="Palatino Linotype"/>
          <w:i/>
        </w:rPr>
        <w:t>” (Sic)</w:t>
      </w:r>
    </w:p>
    <w:p w14:paraId="7ACD75BC" w14:textId="77777777" w:rsidR="00286EFA" w:rsidRDefault="00286EFA">
      <w:pPr>
        <w:spacing w:line="360" w:lineRule="auto"/>
        <w:ind w:right="-28"/>
        <w:jc w:val="both"/>
        <w:rPr>
          <w:rFonts w:ascii="Palatino Linotype" w:eastAsia="Palatino Linotype" w:hAnsi="Palatino Linotype" w:cs="Palatino Linotype"/>
          <w:b/>
          <w:sz w:val="22"/>
          <w:szCs w:val="22"/>
        </w:rPr>
      </w:pPr>
    </w:p>
    <w:p w14:paraId="372A972C" w14:textId="77777777" w:rsidR="00286EFA" w:rsidRDefault="00FA61F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14:paraId="77F63FC8" w14:textId="77777777" w:rsidR="00286EFA" w:rsidRDefault="00286EFA">
      <w:pPr>
        <w:spacing w:line="360" w:lineRule="auto"/>
        <w:ind w:right="-28"/>
        <w:jc w:val="both"/>
        <w:rPr>
          <w:rFonts w:ascii="Palatino Linotype" w:eastAsia="Palatino Linotype" w:hAnsi="Palatino Linotype" w:cs="Palatino Linotype"/>
          <w:b/>
          <w:sz w:val="22"/>
          <w:szCs w:val="22"/>
        </w:rPr>
      </w:pPr>
    </w:p>
    <w:p w14:paraId="3CF9E2D4"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veintidós de enero de dos mil veinticinco, el Sistema de Acceso a la Información Mexiquense (SAIMEX), asignó el número de expediente </w:t>
      </w:r>
      <w:r>
        <w:rPr>
          <w:rFonts w:ascii="Palatino Linotype" w:eastAsia="Palatino Linotype" w:hAnsi="Palatino Linotype" w:cs="Palatino Linotype"/>
          <w:b/>
          <w:sz w:val="22"/>
          <w:szCs w:val="22"/>
        </w:rPr>
        <w:t xml:space="preserve">0161/INFOEM/IP/RR/2025,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597FAC91" w14:textId="77777777" w:rsidR="00286EFA" w:rsidRDefault="00286EFA">
      <w:pPr>
        <w:spacing w:line="360" w:lineRule="auto"/>
        <w:ind w:right="-28"/>
        <w:jc w:val="both"/>
        <w:rPr>
          <w:rFonts w:ascii="Palatino Linotype" w:eastAsia="Palatino Linotype" w:hAnsi="Palatino Linotype" w:cs="Palatino Linotype"/>
          <w:sz w:val="22"/>
          <w:szCs w:val="22"/>
        </w:rPr>
      </w:pPr>
    </w:p>
    <w:p w14:paraId="120C1071"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veinticuatro de enero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veintisiete de dicho mes y año, a través del Sistema de Acceso a la Información Mexiquense (SAIMEX), en el que se les otorgó un plazo de siete días hábiles posteriores a la misma, para que manifestaran lo que a su derecho conviniera y formularan alegatos.</w:t>
      </w:r>
    </w:p>
    <w:p w14:paraId="73DF89C0" w14:textId="77777777" w:rsidR="00286EFA" w:rsidRDefault="00286EFA">
      <w:pPr>
        <w:spacing w:line="360" w:lineRule="auto"/>
        <w:jc w:val="both"/>
        <w:rPr>
          <w:rFonts w:ascii="Palatino Linotype" w:eastAsia="Palatino Linotype" w:hAnsi="Palatino Linotype" w:cs="Palatino Linotype"/>
          <w:sz w:val="22"/>
          <w:szCs w:val="22"/>
        </w:rPr>
      </w:pPr>
    </w:p>
    <w:p w14:paraId="61B48E9F"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c) Informe Justificado</w:t>
      </w:r>
      <w:r>
        <w:rPr>
          <w:rFonts w:ascii="Palatino Linotype" w:eastAsia="Palatino Linotype" w:hAnsi="Palatino Linotype" w:cs="Palatino Linotype"/>
          <w:sz w:val="22"/>
          <w:szCs w:val="22"/>
        </w:rPr>
        <w:t>. El veintinueve de enero de dos mil veinticinco, se recibió en este Instituto, a través del Sistema de Acceso a la Información Mexiquense (SAIMEX), el Informe Justificado, por parte del Sujeto Obligado, por medio del oficio número PMT058/C.T./00161/2025, del veintiocho de enero de dos mil veinticinco, suscrito por la Coordinadora de Transparencia, dirigido al Comisionado Ponente, por medio del cual ratifica su incompetencia manifestada en su respuesta inicial.</w:t>
      </w:r>
    </w:p>
    <w:p w14:paraId="66D05DF9"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62B20F18" w14:textId="77777777" w:rsidR="00286EFA" w:rsidRDefault="00FA61F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Vista de Informe Justificado. </w:t>
      </w:r>
      <w:r>
        <w:rPr>
          <w:rFonts w:ascii="Palatino Linotype" w:eastAsia="Palatino Linotype" w:hAnsi="Palatino Linotype" w:cs="Palatino Linotype"/>
          <w:sz w:val="22"/>
          <w:szCs w:val="22"/>
        </w:rPr>
        <w:t>El veintinueve de enero de dos mil veinticinco, se notificó a través del SAIMEX y correo electrónico,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63F9EC4D" w14:textId="77777777" w:rsidR="00286EFA" w:rsidRDefault="00286EFA">
      <w:pPr>
        <w:spacing w:line="360" w:lineRule="auto"/>
        <w:jc w:val="both"/>
        <w:rPr>
          <w:rFonts w:ascii="Palatino Linotype" w:eastAsia="Palatino Linotype" w:hAnsi="Palatino Linotype" w:cs="Palatino Linotype"/>
          <w:b/>
          <w:sz w:val="22"/>
          <w:szCs w:val="22"/>
        </w:rPr>
      </w:pPr>
    </w:p>
    <w:p w14:paraId="05EB24FC" w14:textId="77777777" w:rsidR="00286EFA" w:rsidRDefault="00FA61F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El cinco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seis de dicho mes y año, a través del Sistema de Acceso a la Información Mexiquense (SAIMEX).</w:t>
      </w:r>
    </w:p>
    <w:p w14:paraId="28F69750" w14:textId="77777777" w:rsidR="00286EFA" w:rsidRDefault="00286EFA">
      <w:pPr>
        <w:spacing w:line="360" w:lineRule="auto"/>
        <w:ind w:right="-28"/>
        <w:jc w:val="both"/>
        <w:rPr>
          <w:rFonts w:ascii="Palatino Linotype" w:eastAsia="Palatino Linotype" w:hAnsi="Palatino Linotype" w:cs="Palatino Linotype"/>
          <w:sz w:val="22"/>
          <w:szCs w:val="22"/>
        </w:rPr>
      </w:pPr>
    </w:p>
    <w:p w14:paraId="1717A1A5" w14:textId="77777777" w:rsidR="00286EFA" w:rsidRDefault="00FA61F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00A0F8A8"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3A7003F9" w14:textId="77777777" w:rsidR="00286EFA" w:rsidRDefault="00FA61F8">
      <w:pPr>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7655311C" w14:textId="77777777" w:rsidR="00286EFA" w:rsidRDefault="00286EFA">
      <w:pPr>
        <w:spacing w:line="360" w:lineRule="auto"/>
        <w:ind w:right="-28"/>
        <w:jc w:val="center"/>
        <w:rPr>
          <w:rFonts w:ascii="Palatino Linotype" w:eastAsia="Palatino Linotype" w:hAnsi="Palatino Linotype" w:cs="Palatino Linotype"/>
          <w:b/>
          <w:sz w:val="22"/>
          <w:szCs w:val="22"/>
        </w:rPr>
      </w:pPr>
    </w:p>
    <w:p w14:paraId="3D49F9AE" w14:textId="77777777" w:rsidR="00286EFA" w:rsidRDefault="00FA61F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59FC6173" w14:textId="77777777" w:rsidR="00286EFA" w:rsidRDefault="00286EFA">
      <w:pPr>
        <w:spacing w:line="360" w:lineRule="auto"/>
        <w:ind w:right="-28"/>
        <w:jc w:val="both"/>
        <w:rPr>
          <w:rFonts w:ascii="Palatino Linotype" w:eastAsia="Palatino Linotype" w:hAnsi="Palatino Linotype" w:cs="Palatino Linotype"/>
          <w:b/>
          <w:sz w:val="22"/>
          <w:szCs w:val="22"/>
        </w:rPr>
      </w:pPr>
    </w:p>
    <w:p w14:paraId="42335F6E" w14:textId="77777777" w:rsidR="00286EFA" w:rsidRDefault="00FA61F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rFonts w:ascii="Palatino Linotype" w:eastAsia="Palatino Linotype" w:hAnsi="Palatino Linotype" w:cs="Palatino Linotype"/>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47E0D2F5"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1709CC3C" w14:textId="77777777" w:rsidR="00286EFA" w:rsidRDefault="00FA61F8">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SEGUNDO. Causales de improcedencia y sobreseimiento</w:t>
      </w:r>
    </w:p>
    <w:p w14:paraId="6DECDB5B" w14:textId="77777777" w:rsidR="00286EFA" w:rsidRDefault="00286EFA">
      <w:pPr>
        <w:spacing w:line="360" w:lineRule="auto"/>
        <w:jc w:val="both"/>
        <w:rPr>
          <w:rFonts w:ascii="Palatino Linotype" w:eastAsia="Palatino Linotype" w:hAnsi="Palatino Linotype" w:cs="Palatino Linotype"/>
          <w:sz w:val="22"/>
          <w:szCs w:val="22"/>
        </w:rPr>
      </w:pPr>
    </w:p>
    <w:p w14:paraId="32A82FCA"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para determinar lo que en Derecho proceda.</w:t>
      </w:r>
    </w:p>
    <w:p w14:paraId="793E2A6D" w14:textId="77777777" w:rsidR="00286EFA" w:rsidRDefault="00286EFA">
      <w:pPr>
        <w:spacing w:line="360" w:lineRule="auto"/>
        <w:jc w:val="both"/>
        <w:rPr>
          <w:rFonts w:ascii="Palatino Linotype" w:eastAsia="Palatino Linotype" w:hAnsi="Palatino Linotype" w:cs="Palatino Linotype"/>
          <w:b/>
          <w:color w:val="000000"/>
          <w:sz w:val="22"/>
          <w:szCs w:val="22"/>
        </w:rPr>
      </w:pPr>
    </w:p>
    <w:p w14:paraId="60EE93D4" w14:textId="77777777" w:rsidR="00286EFA" w:rsidRDefault="00FA61F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3BAA0C26"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05A0E95F" w14:textId="77777777" w:rsidR="00286EFA" w:rsidRDefault="00FA61F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w:t>
      </w:r>
      <w:r>
        <w:rPr>
          <w:rFonts w:ascii="Palatino Linotype" w:eastAsia="Palatino Linotype" w:hAnsi="Palatino Linotype" w:cs="Palatino Linotype"/>
          <w:color w:val="000000"/>
          <w:sz w:val="22"/>
          <w:szCs w:val="22"/>
        </w:rPr>
        <w:lastRenderedPageBreak/>
        <w:t>supuestos establecidos en el artículo 191 de la Ley de Transparencia y Acceso a la Información Pública del Estado de México y Municipios, por ser improcedente.</w:t>
      </w:r>
    </w:p>
    <w:p w14:paraId="092593A4"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019DC1EA"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14:paraId="1C24DE7D"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4D7828E4" w14:textId="77777777" w:rsidR="00286EFA" w:rsidRDefault="00FA61F8">
      <w:pPr>
        <w:widowControl w:val="0"/>
        <w:spacing w:line="360" w:lineRule="auto"/>
        <w:jc w:val="both"/>
        <w:rPr>
          <w:rFonts w:ascii="Palatino Linotype" w:eastAsia="Palatino Linotype" w:hAnsi="Palatino Linotype" w:cs="Palatino Linotype"/>
          <w:sz w:val="22"/>
          <w:szCs w:val="22"/>
        </w:rPr>
      </w:pPr>
      <w:bookmarkStart w:id="2" w:name="_heading=h.1fob9te" w:colFirst="0" w:colLast="0"/>
      <w:bookmarkEnd w:id="2"/>
      <w:r>
        <w:rPr>
          <w:rFonts w:ascii="Palatino Linotype" w:eastAsia="Palatino Linotype" w:hAnsi="Palatino Linotype" w:cs="Palatino Linotype"/>
          <w:sz w:val="22"/>
          <w:szCs w:val="22"/>
        </w:rPr>
        <w:t xml:space="preserve">Asimismo, se actualiza la causal de procedencia del Recurso de Revisión señalada en el artículo 179, fracción IV,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declaración de incompetencia por parte del Sujeto Obligado.</w:t>
      </w:r>
    </w:p>
    <w:p w14:paraId="15C5A31C" w14:textId="77777777" w:rsidR="00286EFA" w:rsidRDefault="00286EFA">
      <w:pPr>
        <w:widowControl w:val="0"/>
        <w:spacing w:line="360" w:lineRule="auto"/>
        <w:jc w:val="both"/>
        <w:rPr>
          <w:rFonts w:ascii="Palatino Linotype" w:eastAsia="Palatino Linotype" w:hAnsi="Palatino Linotype" w:cs="Palatino Linotype"/>
          <w:b/>
          <w:sz w:val="22"/>
          <w:szCs w:val="22"/>
        </w:rPr>
      </w:pPr>
    </w:p>
    <w:p w14:paraId="5A0F3719" w14:textId="77777777" w:rsidR="00286EFA" w:rsidRDefault="00FA61F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14C19054" w14:textId="77777777" w:rsidR="00286EFA" w:rsidRDefault="00286EFA">
      <w:pPr>
        <w:spacing w:line="360" w:lineRule="auto"/>
        <w:jc w:val="both"/>
        <w:rPr>
          <w:rFonts w:ascii="Palatino Linotype" w:eastAsia="Palatino Linotype" w:hAnsi="Palatino Linotype" w:cs="Palatino Linotype"/>
          <w:color w:val="0D0D0D"/>
          <w:sz w:val="22"/>
          <w:szCs w:val="22"/>
        </w:rPr>
      </w:pPr>
    </w:p>
    <w:p w14:paraId="60CA9C9D"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57E7126B" w14:textId="77777777" w:rsidR="00286EFA" w:rsidRDefault="00286EFA">
      <w:pPr>
        <w:spacing w:line="360" w:lineRule="auto"/>
        <w:jc w:val="both"/>
        <w:rPr>
          <w:rFonts w:ascii="Palatino Linotype" w:eastAsia="Palatino Linotype" w:hAnsi="Palatino Linotype" w:cs="Palatino Linotype"/>
          <w:sz w:val="22"/>
          <w:szCs w:val="22"/>
        </w:rPr>
      </w:pPr>
    </w:p>
    <w:p w14:paraId="56BA757A"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w:t>
      </w:r>
      <w:r>
        <w:rPr>
          <w:rFonts w:ascii="Palatino Linotype" w:eastAsia="Palatino Linotype" w:hAnsi="Palatino Linotype" w:cs="Palatino Linotype"/>
          <w:sz w:val="22"/>
          <w:szCs w:val="22"/>
        </w:rPr>
        <w:lastRenderedPageBreak/>
        <w:t>fallecido, sobreviniera alguna causal de improcedencia, que el Sujeto Obligado hubiese modificado o revocado el acto impugnado o bien, haya quedado sin materia.</w:t>
      </w:r>
    </w:p>
    <w:p w14:paraId="4A39A4A8" w14:textId="77777777" w:rsidR="00286EFA" w:rsidRDefault="00286EFA">
      <w:pPr>
        <w:spacing w:line="360" w:lineRule="auto"/>
        <w:jc w:val="both"/>
        <w:rPr>
          <w:rFonts w:ascii="Palatino Linotype" w:eastAsia="Palatino Linotype" w:hAnsi="Palatino Linotype" w:cs="Palatino Linotype"/>
          <w:sz w:val="22"/>
          <w:szCs w:val="22"/>
        </w:rPr>
      </w:pPr>
    </w:p>
    <w:p w14:paraId="206EAAFB" w14:textId="77777777" w:rsidR="00286EFA" w:rsidRDefault="00FA61F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14:paraId="50A232E1" w14:textId="77777777" w:rsidR="00286EFA" w:rsidRDefault="00286EFA">
      <w:pPr>
        <w:tabs>
          <w:tab w:val="left" w:pos="4962"/>
        </w:tabs>
        <w:spacing w:line="360" w:lineRule="auto"/>
        <w:jc w:val="both"/>
        <w:rPr>
          <w:rFonts w:ascii="Palatino Linotype" w:eastAsia="Palatino Linotype" w:hAnsi="Palatino Linotype" w:cs="Palatino Linotype"/>
          <w:sz w:val="22"/>
          <w:szCs w:val="22"/>
        </w:rPr>
      </w:pPr>
    </w:p>
    <w:p w14:paraId="7986B774" w14:textId="77777777" w:rsidR="00286EFA" w:rsidRDefault="00FA61F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4038D58D" w14:textId="77777777" w:rsidR="00286EFA" w:rsidRDefault="00286EFA">
      <w:pPr>
        <w:tabs>
          <w:tab w:val="left" w:pos="4962"/>
        </w:tabs>
        <w:spacing w:line="360" w:lineRule="auto"/>
        <w:jc w:val="both"/>
        <w:rPr>
          <w:rFonts w:ascii="Palatino Linotype" w:eastAsia="Palatino Linotype" w:hAnsi="Palatino Linotype" w:cs="Palatino Linotype"/>
          <w:b/>
          <w:sz w:val="22"/>
          <w:szCs w:val="22"/>
        </w:rPr>
      </w:pPr>
    </w:p>
    <w:p w14:paraId="5F65582A"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realizado el estudio de las constancias que integran el expediente en que se actúa, se desprende que el Particular requirió respecto de la perforación de un nuevo pozo de agua potable, operado por el Sistema de Agua Potable Alcantarillado y Saneamiento del Municipio de Tenancingo, realizado durante los ejercicios fiscales dos mil veintitrés y dos mil veinticuatro, por la Dirección de Obras Públicas, lo siguiente:</w:t>
      </w:r>
    </w:p>
    <w:p w14:paraId="4DF42A35" w14:textId="77777777" w:rsidR="00286EFA" w:rsidRDefault="00286EFA">
      <w:pPr>
        <w:spacing w:line="360" w:lineRule="auto"/>
        <w:jc w:val="both"/>
        <w:rPr>
          <w:rFonts w:ascii="Palatino Linotype" w:eastAsia="Palatino Linotype" w:hAnsi="Palatino Linotype" w:cs="Palatino Linotype"/>
          <w:sz w:val="22"/>
          <w:szCs w:val="22"/>
        </w:rPr>
      </w:pPr>
    </w:p>
    <w:p w14:paraId="2B042320" w14:textId="77777777" w:rsidR="00286EFA" w:rsidRDefault="00FA61F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Catálogo de conceptos, cantidades y precios por la ejecución de la obra; y</w:t>
      </w:r>
    </w:p>
    <w:p w14:paraId="58C43D5E" w14:textId="77777777" w:rsidR="00286EFA" w:rsidRDefault="00FA61F8">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Nombre de la empresa que ejecutó la obra.</w:t>
      </w:r>
    </w:p>
    <w:p w14:paraId="7B732892" w14:textId="77777777" w:rsidR="00286EFA" w:rsidRDefault="00286EFA">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0BE858B0"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respuesta, el Sujeto Obligado señaló que carecía de atribuciones para conocer sobre la información requerida, y orientó al Particular a dirigir su solicitud al Sistema de Agua Potable Alcantarillado y Saneamiento del Municipio de Tenancingo</w:t>
      </w: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sz w:val="22"/>
          <w:szCs w:val="22"/>
        </w:rPr>
        <w:t xml:space="preserve"> ante dicha circunstancia, el Particular se agravió con la incompetencia manifestada, lo cual, actualiza la causal de procedencia prevista en la fracción IV, del artículo 179 de la Ley de Transparencia y Acceso a la Información Pública del Estado de México y Municipios. Así, las cosas, una vez admitido y notificado el Recurso de Revisión a las partes, el Sujeto Obligado esencialmente ratificó su respuesta inicial.</w:t>
      </w:r>
      <w:r>
        <w:rPr>
          <w:rFonts w:ascii="Palatino Linotype" w:eastAsia="Palatino Linotype" w:hAnsi="Palatino Linotype" w:cs="Palatino Linotype"/>
          <w:b/>
          <w:sz w:val="22"/>
          <w:szCs w:val="22"/>
        </w:rPr>
        <w:t xml:space="preserve"> </w:t>
      </w:r>
    </w:p>
    <w:p w14:paraId="6B9EFDEC" w14:textId="77777777" w:rsidR="00286EFA" w:rsidRDefault="00286EFA">
      <w:pPr>
        <w:spacing w:line="360" w:lineRule="auto"/>
        <w:jc w:val="both"/>
        <w:rPr>
          <w:rFonts w:ascii="Palatino Linotype" w:eastAsia="Palatino Linotype" w:hAnsi="Palatino Linotype" w:cs="Palatino Linotype"/>
          <w:sz w:val="22"/>
          <w:szCs w:val="22"/>
        </w:rPr>
      </w:pPr>
    </w:p>
    <w:p w14:paraId="4D804A75"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 anterior, se desprende de las documentales que obran en el expediente de referencia, materia de la presente resolución, consistente en: la solicitud de acceso a la información, la </w:t>
      </w:r>
      <w:r>
        <w:rPr>
          <w:rFonts w:ascii="Palatino Linotype" w:eastAsia="Palatino Linotype" w:hAnsi="Palatino Linotype" w:cs="Palatino Linotype"/>
          <w:sz w:val="22"/>
          <w:szCs w:val="22"/>
        </w:rPr>
        <w:lastRenderedPageBreak/>
        <w:t xml:space="preserve">respuesta proporcionada,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4DB550EE" w14:textId="77777777" w:rsidR="00286EFA" w:rsidRDefault="00FA61F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3FEE9FEA" w14:textId="77777777" w:rsidR="00286EFA" w:rsidRDefault="00286EFA">
      <w:pPr>
        <w:spacing w:line="360" w:lineRule="auto"/>
        <w:jc w:val="both"/>
        <w:rPr>
          <w:rFonts w:ascii="Palatino Linotype" w:eastAsia="Palatino Linotype" w:hAnsi="Palatino Linotype" w:cs="Palatino Linotype"/>
          <w:b/>
          <w:sz w:val="22"/>
          <w:szCs w:val="22"/>
        </w:rPr>
      </w:pPr>
    </w:p>
    <w:p w14:paraId="4079AB99"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6B8F363" w14:textId="77777777" w:rsidR="00286EFA" w:rsidRDefault="00286EFA">
      <w:pPr>
        <w:spacing w:line="360" w:lineRule="auto"/>
        <w:jc w:val="both"/>
        <w:rPr>
          <w:rFonts w:ascii="Palatino Linotype" w:eastAsia="Palatino Linotype" w:hAnsi="Palatino Linotype" w:cs="Palatino Linotype"/>
          <w:sz w:val="22"/>
          <w:szCs w:val="22"/>
        </w:rPr>
      </w:pPr>
    </w:p>
    <w:p w14:paraId="505DD888"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B48C2C2" w14:textId="77777777" w:rsidR="00286EFA" w:rsidRDefault="00286EFA">
      <w:pPr>
        <w:spacing w:line="360" w:lineRule="auto"/>
        <w:jc w:val="both"/>
        <w:rPr>
          <w:rFonts w:ascii="Palatino Linotype" w:eastAsia="Palatino Linotype" w:hAnsi="Palatino Linotype" w:cs="Palatino Linotype"/>
          <w:sz w:val="22"/>
          <w:szCs w:val="22"/>
        </w:rPr>
      </w:pPr>
    </w:p>
    <w:p w14:paraId="71644EC9"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302F6BB5" w14:textId="77777777" w:rsidR="00286EFA" w:rsidRDefault="00286EFA">
      <w:pPr>
        <w:spacing w:line="360" w:lineRule="auto"/>
        <w:jc w:val="both"/>
        <w:rPr>
          <w:rFonts w:ascii="Palatino Linotype" w:eastAsia="Palatino Linotype" w:hAnsi="Palatino Linotype" w:cs="Palatino Linotype"/>
          <w:sz w:val="22"/>
          <w:szCs w:val="22"/>
        </w:rPr>
      </w:pPr>
    </w:p>
    <w:p w14:paraId="2643CDCE"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123B2384"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14:paraId="01CE43F7" w14:textId="77777777" w:rsidR="00286EFA" w:rsidRDefault="00286EFA">
      <w:pPr>
        <w:spacing w:line="360" w:lineRule="auto"/>
        <w:jc w:val="both"/>
        <w:rPr>
          <w:rFonts w:ascii="Palatino Linotype" w:eastAsia="Palatino Linotype" w:hAnsi="Palatino Linotype" w:cs="Palatino Linotype"/>
          <w:sz w:val="22"/>
          <w:szCs w:val="22"/>
        </w:rPr>
      </w:pPr>
    </w:p>
    <w:p w14:paraId="6112195E"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E6425A9" w14:textId="77777777" w:rsidR="00286EFA" w:rsidRDefault="00286EFA">
      <w:pPr>
        <w:spacing w:line="360" w:lineRule="auto"/>
        <w:jc w:val="both"/>
        <w:rPr>
          <w:rFonts w:ascii="Palatino Linotype" w:eastAsia="Palatino Linotype" w:hAnsi="Palatino Linotype" w:cs="Palatino Linotype"/>
          <w:sz w:val="22"/>
          <w:szCs w:val="22"/>
        </w:rPr>
      </w:pPr>
    </w:p>
    <w:p w14:paraId="33058E33"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72D1124" w14:textId="77777777" w:rsidR="00286EFA" w:rsidRDefault="00286EFA">
      <w:pPr>
        <w:spacing w:line="360" w:lineRule="auto"/>
        <w:jc w:val="both"/>
        <w:rPr>
          <w:rFonts w:ascii="Palatino Linotype" w:eastAsia="Palatino Linotype" w:hAnsi="Palatino Linotype" w:cs="Palatino Linotype"/>
          <w:b/>
          <w:sz w:val="22"/>
          <w:szCs w:val="22"/>
        </w:rPr>
      </w:pPr>
    </w:p>
    <w:p w14:paraId="16F79162" w14:textId="77777777" w:rsidR="00286EFA" w:rsidRDefault="00FA61F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32912775" w14:textId="77777777" w:rsidR="00286EFA" w:rsidRDefault="00286EFA">
      <w:pPr>
        <w:spacing w:line="360" w:lineRule="auto"/>
        <w:jc w:val="both"/>
        <w:rPr>
          <w:rFonts w:ascii="Palatino Linotype" w:eastAsia="Palatino Linotype" w:hAnsi="Palatino Linotype" w:cs="Palatino Linotype"/>
          <w:sz w:val="22"/>
          <w:szCs w:val="22"/>
        </w:rPr>
      </w:pPr>
    </w:p>
    <w:p w14:paraId="05A37897" w14:textId="77777777" w:rsidR="00286EFA" w:rsidRDefault="00FA61F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 realizar el análisis del agravio hecho valer por el ahora Recurrente, concerniente a la declaración de incompetencia por parte del Sujeto Obligado, para conocer de lo requerido.</w:t>
      </w:r>
    </w:p>
    <w:p w14:paraId="6B55FE76" w14:textId="77777777" w:rsidR="00286EFA" w:rsidRDefault="00286EFA">
      <w:pPr>
        <w:widowControl w:val="0"/>
        <w:spacing w:line="360" w:lineRule="auto"/>
        <w:jc w:val="both"/>
        <w:rPr>
          <w:rFonts w:ascii="Palatino Linotype" w:eastAsia="Palatino Linotype" w:hAnsi="Palatino Linotype" w:cs="Palatino Linotype"/>
          <w:sz w:val="22"/>
          <w:szCs w:val="22"/>
        </w:rPr>
      </w:pPr>
    </w:p>
    <w:p w14:paraId="5D0FEB41"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principio, en atención a lo previsto en los artículos 49, fracción II, 53, fracción III y 167 de la Ley de Transparencia y Acceso a la Información Pública del Estado de México y Municipios, se desprende que las Unidades de Transparencia son responsables de orientar a los particulares respecto de la dependencia, entidad u órgano que pudiera tener la información requerida, </w:t>
      </w:r>
      <w:r>
        <w:rPr>
          <w:rFonts w:ascii="Palatino Linotype" w:eastAsia="Palatino Linotype" w:hAnsi="Palatino Linotype" w:cs="Palatino Linotype"/>
          <w:b/>
          <w:sz w:val="22"/>
          <w:szCs w:val="22"/>
        </w:rPr>
        <w:t xml:space="preserve">cuando la misma no sea competencia del sujeto obligado ante el cual se formule la solicitud de acceso. </w:t>
      </w:r>
      <w:r>
        <w:rPr>
          <w:rFonts w:ascii="Palatino Linotype" w:eastAsia="Palatino Linotype" w:hAnsi="Palatino Linotype" w:cs="Palatino Linotype"/>
          <w:sz w:val="22"/>
          <w:szCs w:val="22"/>
        </w:rPr>
        <w:t xml:space="preserve">Asimismo, que los Comités de Transparencia tienen entre sus atribuciones confirmar, modificar o revocar la </w:t>
      </w:r>
      <w:r>
        <w:rPr>
          <w:rFonts w:ascii="Palatino Linotype" w:eastAsia="Palatino Linotype" w:hAnsi="Palatino Linotype" w:cs="Palatino Linotype"/>
          <w:b/>
          <w:sz w:val="22"/>
          <w:szCs w:val="22"/>
        </w:rPr>
        <w:t>declaración de incompetencia</w:t>
      </w:r>
      <w:r>
        <w:rPr>
          <w:rFonts w:ascii="Palatino Linotype" w:eastAsia="Palatino Linotype" w:hAnsi="Palatino Linotype" w:cs="Palatino Linotype"/>
          <w:sz w:val="22"/>
          <w:szCs w:val="22"/>
        </w:rPr>
        <w:t xml:space="preserve"> que realicen los titulares de las unidades administrativas.</w:t>
      </w:r>
    </w:p>
    <w:p w14:paraId="46C0F627"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3B01254"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tesitura, cuando las Unidades de Transparencia determinen </w:t>
      </w:r>
      <w:r>
        <w:rPr>
          <w:rFonts w:ascii="Palatino Linotype" w:eastAsia="Palatino Linotype" w:hAnsi="Palatino Linotype" w:cs="Palatino Linotype"/>
          <w:b/>
          <w:sz w:val="22"/>
          <w:szCs w:val="22"/>
        </w:rPr>
        <w:t>la notoria incompetencia</w:t>
      </w:r>
      <w:r>
        <w:rPr>
          <w:rFonts w:ascii="Palatino Linotype" w:eastAsia="Palatino Linotype" w:hAnsi="Palatino Linotype" w:cs="Palatino Linotype"/>
          <w:sz w:val="22"/>
          <w:szCs w:val="22"/>
        </w:rPr>
        <w:t xml:space="preserve"> por parte de los sujetos obligados deberán comunicar al solicitante la misma dentro de los tres </w:t>
      </w:r>
      <w:r>
        <w:rPr>
          <w:rFonts w:ascii="Palatino Linotype" w:eastAsia="Palatino Linotype" w:hAnsi="Palatino Linotype" w:cs="Palatino Linotype"/>
          <w:sz w:val="22"/>
          <w:szCs w:val="22"/>
        </w:rPr>
        <w:lastRenderedPageBreak/>
        <w:t>días posteriores a la recepción de la solicitud, circunstancia que no aconteció, pues la misma fue atendida hasta el veintiuno de enero de la presente anualidad.</w:t>
      </w:r>
    </w:p>
    <w:p w14:paraId="44BC0A64"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CE76B20"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logra observar, si bien la Ley de la materia, prevé el supuesto de incompetencia para que los sujetos obligados den atención a solitudes de información, también lo es, que no se precisa en que consiste dicho concepto; sobre dicha situación, según Cabanellas, Guillermo (1993), en el “Diccionario Jurídico Elemental” (p. 32 y 161), precisó los siguientes conceptos:</w:t>
      </w:r>
    </w:p>
    <w:p w14:paraId="5505B1CB"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682ACA9" w14:textId="77777777" w:rsidR="00286EFA" w:rsidRDefault="00FA61F8">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Competencia: </w:t>
      </w:r>
      <w:r>
        <w:rPr>
          <w:rFonts w:ascii="Palatino Linotype" w:eastAsia="Palatino Linotype" w:hAnsi="Palatino Linotype" w:cs="Palatino Linotype"/>
          <w:sz w:val="22"/>
          <w:szCs w:val="22"/>
        </w:rPr>
        <w:t>La capacidad de una autoridad para conocer sobre una materia o asunto.</w:t>
      </w:r>
    </w:p>
    <w:p w14:paraId="6E26A928" w14:textId="77777777" w:rsidR="00286EFA" w:rsidRDefault="00FA61F8">
      <w:pPr>
        <w:numPr>
          <w:ilvl w:val="0"/>
          <w:numId w:val="4"/>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Incompetencia:</w:t>
      </w:r>
      <w:r>
        <w:rPr>
          <w:rFonts w:ascii="Palatino Linotype" w:eastAsia="Palatino Linotype" w:hAnsi="Palatino Linotype" w:cs="Palatino Linotype"/>
          <w:sz w:val="22"/>
          <w:szCs w:val="22"/>
        </w:rPr>
        <w:t xml:space="preserve"> Falta de Competencia.</w:t>
      </w:r>
    </w:p>
    <w:p w14:paraId="5C345499"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E9E4F2A"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w:t>
      </w:r>
      <w:r>
        <w:rPr>
          <w:rFonts w:ascii="Palatino Linotype" w:eastAsia="Palatino Linotype" w:hAnsi="Palatino Linotype" w:cs="Palatino Linotype"/>
          <w:b/>
          <w:sz w:val="22"/>
          <w:szCs w:val="22"/>
        </w:rPr>
        <w:t>la incompetencia</w:t>
      </w:r>
      <w:r>
        <w:rPr>
          <w:rFonts w:ascii="Palatino Linotype" w:eastAsia="Palatino Linotype" w:hAnsi="Palatino Linotype" w:cs="Palatino Linotype"/>
          <w:sz w:val="22"/>
          <w:szCs w:val="22"/>
        </w:rPr>
        <w:t>, radica en la incapacidad de una autoridad para conocer de un tema o asunto; en el mismo sentido, conviene traer al presente estudio la tesis aislada, con número de registro: 186917, publicada en el Semanario Judicial de la Federación y su Gaceta, Novena Época, Tomo XV, Mayo de 2002, Pág. 1243, cuyo texto y rubro es el siguiente:</w:t>
      </w:r>
    </w:p>
    <w:p w14:paraId="7A4FF970" w14:textId="77777777" w:rsidR="00286EFA" w:rsidRDefault="00FA61F8">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p w14:paraId="69212F34" w14:textId="77777777" w:rsidR="00286EFA" w:rsidRDefault="00FA61F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“LEGITIMACIÓN DE FUNCIONARIOS PÚBLICOS. LOS TRIBUNALES DE AMPARO, POR ESTAR VINCULADOS CON EL CONCEPTO DE COMPETENCIA A QUE SE REFIERE EL ARTÍCULO 16 CONSTITUCIONAL, NO PUEDEN CONOCER DE AQUÉLLA. </w:t>
      </w:r>
      <w:r>
        <w:rPr>
          <w:rFonts w:ascii="Palatino Linotype" w:eastAsia="Palatino Linotype" w:hAnsi="Palatino Linotype" w:cs="Palatino Linotype"/>
          <w:i/>
        </w:rPr>
        <w:t xml:space="preserve">El artículo </w:t>
      </w:r>
      <w:hyperlink r:id="rId8">
        <w:r>
          <w:rPr>
            <w:rFonts w:ascii="Palatino Linotype" w:eastAsia="Palatino Linotype" w:hAnsi="Palatino Linotype" w:cs="Palatino Linotype"/>
            <w:color w:val="0563C1"/>
            <w:u w:val="single"/>
          </w:rPr>
          <w:t>16 constitucional</w:t>
        </w:r>
      </w:hyperlink>
      <w:r>
        <w:rPr>
          <w:rFonts w:ascii="Palatino Linotype" w:eastAsia="Palatino Linotype" w:hAnsi="Palatino Linotype" w:cs="Palatino Linotype"/>
          <w:i/>
        </w:rPr>
        <w:t xml:space="preserve"> se refiere a la competencia que tienen las autoridades para conocer de determinadas conductas en particular, caso que corresponde a la esfera de atribuciones de 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w:t>
      </w:r>
      <w:r>
        <w:rPr>
          <w:rFonts w:ascii="Palatino Linotype" w:eastAsia="Palatino Linotype" w:hAnsi="Palatino Linotype" w:cs="Palatino Linotype"/>
          <w:i/>
        </w:rPr>
        <w:lastRenderedPageBreak/>
        <w:t>límites fijados para la actuación del órgano frente a los particulares, ya que consagra una garantía individual y no un control interno de la organización administrativa.”</w:t>
      </w:r>
    </w:p>
    <w:p w14:paraId="391CBEEC" w14:textId="77777777" w:rsidR="00286EFA" w:rsidRDefault="00FA61F8">
      <w:pPr>
        <w:spacing w:line="360" w:lineRule="auto"/>
        <w:rPr>
          <w:rFonts w:ascii="Palatino Linotype" w:eastAsia="Palatino Linotype" w:hAnsi="Palatino Linotype" w:cs="Palatino Linotype"/>
        </w:rPr>
      </w:pPr>
      <w:r>
        <w:rPr>
          <w:rFonts w:ascii="Palatino Linotype" w:eastAsia="Palatino Linotype" w:hAnsi="Palatino Linotype" w:cs="Palatino Linotype"/>
        </w:rPr>
        <w:t xml:space="preserve"> </w:t>
      </w:r>
    </w:p>
    <w:p w14:paraId="1ED54631"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 mayor abundamiento, resulta necesario traer a colación, el Criterio de interpretación, con número de registro SO/013/2017, de la Segunda Época, emitido por el Instituto Nacional de Transparencia, Acceso a la Información y Protección de Datos Personales, que establece que la </w:t>
      </w:r>
      <w:r>
        <w:rPr>
          <w:rFonts w:ascii="Palatino Linotype" w:eastAsia="Palatino Linotype" w:hAnsi="Palatino Linotype" w:cs="Palatino Linotype"/>
          <w:b/>
          <w:sz w:val="22"/>
          <w:szCs w:val="22"/>
        </w:rPr>
        <w:t xml:space="preserve">incompetencia </w:t>
      </w:r>
      <w:r>
        <w:rPr>
          <w:rFonts w:ascii="Palatino Linotype" w:eastAsia="Palatino Linotype" w:hAnsi="Palatino Linotype" w:cs="Palatino Linotype"/>
          <w:sz w:val="22"/>
          <w:szCs w:val="22"/>
        </w:rPr>
        <w:t>implica que, de conformidad con las atribuciones conferidas al Sujeto Obligado, no habría razón por la cual éste deba contar con la información solicitada, en cuyo caso, tendría que orientar al particular para que acuda a la instancia competente. En otro orden de ideas, dicho concepto refiere a la ausencia de atribuciones por parte de los Entes sujetos a las Leyes de Transparencia, para contar con la información que se requiere, es decir, se trata de una situación que se dilucida a partir de las facultades atribuidas a éste.</w:t>
      </w:r>
    </w:p>
    <w:p w14:paraId="76F29333" w14:textId="77777777" w:rsidR="00286EFA" w:rsidRDefault="00FA61F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305FDB8"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 xml:space="preserve">Por tanto, a continuación, se analiza si en la especie, el Ente Recurrido cuenta con atribuciones para conocer sobre la información requerida, para lo cual es necesario precisar </w:t>
      </w:r>
      <w:r>
        <w:rPr>
          <w:rFonts w:ascii="Palatino Linotype" w:eastAsia="Palatino Linotype" w:hAnsi="Palatino Linotype" w:cs="Palatino Linotype"/>
          <w:color w:val="0D0D0D"/>
          <w:sz w:val="22"/>
          <w:szCs w:val="22"/>
        </w:rPr>
        <w:t xml:space="preserve">que </w:t>
      </w:r>
      <w:r>
        <w:rPr>
          <w:rFonts w:ascii="Palatino Linotype" w:eastAsia="Palatino Linotype" w:hAnsi="Palatino Linotype" w:cs="Palatino Linotype"/>
          <w:color w:val="000000"/>
          <w:sz w:val="22"/>
          <w:szCs w:val="22"/>
        </w:rPr>
        <w:t xml:space="preserve">el artículo 12.4 del Código Administrativo del Estado de México, establece que las obras públicas son aquellas cuyo objeto principal sea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27E34ECB"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56527825"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conforme al artículo 12.6 de dicho ordenamiento jurídico, uno de los entes que pueden llevar a cabo contratos de obra pública o servicios relacionados con la misma, son los Municipios, a través de los Ayuntamientos.</w:t>
      </w:r>
    </w:p>
    <w:p w14:paraId="34D7F856"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5C5ECD5D"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3BF9459F"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64F0C09F"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Además, el artículo 12.38 del Código Administrativo del Estado de México, establece que la adjudicación de un procedimiento de </w:t>
      </w:r>
      <w:r>
        <w:rPr>
          <w:rFonts w:ascii="Palatino Linotype" w:eastAsia="Palatino Linotype" w:hAnsi="Palatino Linotype" w:cs="Palatino Linotype"/>
          <w:b/>
          <w:color w:val="000000"/>
          <w:sz w:val="22"/>
          <w:szCs w:val="22"/>
        </w:rPr>
        <w:t>ejecución de obra,</w:t>
      </w:r>
      <w:r>
        <w:rPr>
          <w:rFonts w:ascii="Palatino Linotype" w:eastAsia="Palatino Linotype" w:hAnsi="Palatino Linotype" w:cs="Palatino Linotype"/>
          <w:color w:val="000000"/>
          <w:sz w:val="22"/>
          <w:szCs w:val="22"/>
        </w:rPr>
        <w:t xml:space="preserve"> se realizará mediante la suscripción de un contrato, entre el Ayuntamiento y la persona a la cual haya ganado el procedimiento respectivo, dentro de los diez días hábiles siguientes a la notificación del fallo.</w:t>
      </w:r>
    </w:p>
    <w:p w14:paraId="031A8821"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2BE510D6" w14:textId="77777777" w:rsidR="00286EFA" w:rsidRDefault="00FA61F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los artículos 33, fracción IV, 34 fracción X, 129 fracciones I y II, y del Reglamento del Libro Décimo Segundo del Código Administrativo del Estado de México, precisan que en los procesos de licitación, que rigen a los participantes deberán considerar entre otras cosas, el “Catálogo de Conceptos”, con sus partidas y subpartidas en contratación a precio alzado, las actividades y subactividades que comprendan los proyectos de obra, el catálogo podrá contener solamente los precios unitarios siguientes:</w:t>
      </w:r>
    </w:p>
    <w:p w14:paraId="0DC3BA17"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28C6AE64" w14:textId="77777777" w:rsidR="00286EFA" w:rsidRDefault="00FA61F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Precios unitarios originales: Establecidos en el catálogo de conceptos del contrato y que sirvieron de base para la adjudicación, y</w:t>
      </w:r>
    </w:p>
    <w:p w14:paraId="691D0858" w14:textId="77777777" w:rsidR="00286EFA" w:rsidRDefault="00286EFA">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19D605E4" w14:textId="77777777" w:rsidR="00286EFA" w:rsidRDefault="00FA61F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Precios unitarios por cantidades adicionales o por conceptos no previstos en el catálogo original del contrato.</w:t>
      </w:r>
    </w:p>
    <w:p w14:paraId="42ACC136"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787D1619" w14:textId="77777777" w:rsidR="00286EFA" w:rsidRDefault="00FA61F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el artículo 104 del Reglamento previamente referido, los contratos de obra pública contendrán, a parte de los datos de las partes, contendrá el precio a pagar por los trabajos objeto del contrato.</w:t>
      </w:r>
    </w:p>
    <w:p w14:paraId="71C5A2FB"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460A7896" w14:textId="77777777" w:rsidR="00286EFA" w:rsidRDefault="00FA61F8">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lastRenderedPageBreak/>
        <w:t xml:space="preserve">Asimismo,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que incluye la versión pública </w:t>
      </w:r>
      <w:r>
        <w:rPr>
          <w:rFonts w:ascii="Palatino Linotype" w:eastAsia="Palatino Linotype" w:hAnsi="Palatino Linotype" w:cs="Palatino Linotype"/>
          <w:b/>
          <w:color w:val="000000"/>
          <w:sz w:val="22"/>
          <w:szCs w:val="22"/>
        </w:rPr>
        <w:t>del expediente respectivo y de los contratos celebrados.</w:t>
      </w:r>
    </w:p>
    <w:p w14:paraId="1AC0E0A5"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7476DEB9"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3.2, numeral 8, con relación al 3.55, del Código Reglamentario para el Municipio de Tenancingo, establecen que el Sujeto Obligado cuenta con una Dirección de Obras Públicas, encargada de coordinar los proyectos de obras públicas y servicios relacionados con las mismas; de realizar la programación y ejecución de las obras públicas; de construir y ejecutar todas aquellas obras públicas y servicios relacionados, que</w:t>
      </w:r>
    </w:p>
    <w:p w14:paraId="0F4B55AC"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aumenten y mantengan la infraestructura municipal.</w:t>
      </w:r>
    </w:p>
    <w:p w14:paraId="582261B4" w14:textId="77777777" w:rsidR="00286EFA" w:rsidRDefault="00286EFA">
      <w:pPr>
        <w:spacing w:line="360" w:lineRule="auto"/>
        <w:ind w:right="-28"/>
        <w:jc w:val="both"/>
        <w:rPr>
          <w:rFonts w:ascii="Palatino Linotype" w:eastAsia="Palatino Linotype" w:hAnsi="Palatino Linotype" w:cs="Palatino Linotype"/>
          <w:sz w:val="22"/>
          <w:szCs w:val="22"/>
        </w:rPr>
      </w:pPr>
    </w:p>
    <w:p w14:paraId="3A0B1566"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en primera instancia, el Sujeto Obligado cuenta con competencia para realizar obras públicas de cualquier naturaleza, inclusive la hídrica; lo cual toma relevancia, pues se localizaron los Reportes de Avances Ramo 33 “Registro de Avances Físicos y Financieros” del FAISMUN, del ejercicio fiscal dos mil veintitrés y dos mil veinticuatro, firmados por la Dirección de Obras Públicas, en el cual se logra vislumbrar que por contrato se realizaron obras públicas relacionadas con los servicios de agua potable y drenaje, tal como se muestra a continuación:</w:t>
      </w:r>
    </w:p>
    <w:p w14:paraId="5640D02E" w14:textId="77777777" w:rsidR="00286EFA" w:rsidRDefault="00286EFA">
      <w:pPr>
        <w:spacing w:line="360" w:lineRule="auto"/>
        <w:ind w:right="-28"/>
        <w:jc w:val="both"/>
        <w:rPr>
          <w:rFonts w:ascii="Palatino Linotype" w:eastAsia="Palatino Linotype" w:hAnsi="Palatino Linotype" w:cs="Palatino Linotype"/>
          <w:sz w:val="22"/>
          <w:szCs w:val="22"/>
        </w:rPr>
      </w:pPr>
    </w:p>
    <w:p w14:paraId="0F7F64A8"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2023</w:t>
      </w:r>
    </w:p>
    <w:p w14:paraId="254542BF"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2B468BC8" wp14:editId="4C6D50E5">
            <wp:extent cx="5742940" cy="1795145"/>
            <wp:effectExtent l="0" t="0" r="0" b="0"/>
            <wp:docPr id="21298858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42940" cy="1795145"/>
                    </a:xfrm>
                    <a:prstGeom prst="rect">
                      <a:avLst/>
                    </a:prstGeom>
                    <a:ln/>
                  </pic:spPr>
                </pic:pic>
              </a:graphicData>
            </a:graphic>
          </wp:inline>
        </w:drawing>
      </w:r>
    </w:p>
    <w:p w14:paraId="6D1E5853"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18C547D9" wp14:editId="6361FD76">
            <wp:extent cx="5742940" cy="1285875"/>
            <wp:effectExtent l="0" t="0" r="0" b="0"/>
            <wp:docPr id="21298858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42940" cy="1285875"/>
                    </a:xfrm>
                    <a:prstGeom prst="rect">
                      <a:avLst/>
                    </a:prstGeom>
                    <a:ln/>
                  </pic:spPr>
                </pic:pic>
              </a:graphicData>
            </a:graphic>
          </wp:inline>
        </w:drawing>
      </w:r>
    </w:p>
    <w:p w14:paraId="402F582C" w14:textId="77777777" w:rsidR="00286EFA" w:rsidRDefault="00286EFA">
      <w:pPr>
        <w:spacing w:line="360" w:lineRule="auto"/>
        <w:ind w:right="-28"/>
        <w:jc w:val="both"/>
        <w:rPr>
          <w:rFonts w:ascii="Palatino Linotype" w:eastAsia="Palatino Linotype" w:hAnsi="Palatino Linotype" w:cs="Palatino Linotype"/>
          <w:sz w:val="22"/>
          <w:szCs w:val="22"/>
        </w:rPr>
      </w:pPr>
    </w:p>
    <w:p w14:paraId="735658BD"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2024</w:t>
      </w:r>
    </w:p>
    <w:p w14:paraId="529732CF"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41458975" wp14:editId="23B7356E">
            <wp:extent cx="5742940" cy="913765"/>
            <wp:effectExtent l="0" t="0" r="0" b="0"/>
            <wp:docPr id="21298858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42940" cy="913765"/>
                    </a:xfrm>
                    <a:prstGeom prst="rect">
                      <a:avLst/>
                    </a:prstGeom>
                    <a:ln/>
                  </pic:spPr>
                </pic:pic>
              </a:graphicData>
            </a:graphic>
          </wp:inline>
        </w:drawing>
      </w:r>
    </w:p>
    <w:p w14:paraId="0D851BA0"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46899454" wp14:editId="270C2C6A">
            <wp:extent cx="5742940" cy="1003300"/>
            <wp:effectExtent l="0" t="0" r="0" b="0"/>
            <wp:docPr id="21298858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42940" cy="1003300"/>
                    </a:xfrm>
                    <a:prstGeom prst="rect">
                      <a:avLst/>
                    </a:prstGeom>
                    <a:ln/>
                  </pic:spPr>
                </pic:pic>
              </a:graphicData>
            </a:graphic>
          </wp:inline>
        </w:drawing>
      </w:r>
    </w:p>
    <w:p w14:paraId="4681763B" w14:textId="77777777" w:rsidR="00286EFA" w:rsidRDefault="00FA61F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drawing>
          <wp:inline distT="0" distB="0" distL="0" distR="0" wp14:anchorId="1910A671" wp14:editId="2ECDFEEA">
            <wp:extent cx="5742940" cy="579120"/>
            <wp:effectExtent l="0" t="0" r="0" b="0"/>
            <wp:docPr id="21298858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742940" cy="579120"/>
                    </a:xfrm>
                    <a:prstGeom prst="rect">
                      <a:avLst/>
                    </a:prstGeom>
                    <a:ln/>
                  </pic:spPr>
                </pic:pic>
              </a:graphicData>
            </a:graphic>
          </wp:inline>
        </w:drawing>
      </w:r>
    </w:p>
    <w:p w14:paraId="6FA19C9B" w14:textId="77777777" w:rsidR="00286EFA" w:rsidRDefault="00286EFA">
      <w:pPr>
        <w:spacing w:line="360" w:lineRule="auto"/>
        <w:ind w:right="-28"/>
        <w:jc w:val="both"/>
        <w:rPr>
          <w:rFonts w:ascii="Palatino Linotype" w:eastAsia="Palatino Linotype" w:hAnsi="Palatino Linotype" w:cs="Palatino Linotype"/>
          <w:sz w:val="22"/>
          <w:szCs w:val="22"/>
        </w:rPr>
      </w:pPr>
    </w:p>
    <w:p w14:paraId="2601EB15" w14:textId="77777777" w:rsidR="00286EFA" w:rsidRDefault="00FA61F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lastRenderedPageBreak/>
        <w:t xml:space="preserve">De tal suerte, se logra vislumbrar que la Dirección de Obras Públicas, conoce de obras realizadas en materia de infraestructura para brindar los servicios de agua potable y drenaje, lo cual da como resultado que el agravio sea </w:t>
      </w:r>
      <w:r>
        <w:rPr>
          <w:rFonts w:ascii="Palatino Linotype" w:eastAsia="Palatino Linotype" w:hAnsi="Palatino Linotype" w:cs="Palatino Linotype"/>
          <w:b/>
          <w:sz w:val="22"/>
          <w:szCs w:val="22"/>
        </w:rPr>
        <w:t>FUNDADO.</w:t>
      </w:r>
    </w:p>
    <w:p w14:paraId="32A45960" w14:textId="77777777" w:rsidR="00286EFA" w:rsidRDefault="00286EFA">
      <w:pPr>
        <w:spacing w:line="360" w:lineRule="auto"/>
        <w:ind w:right="-28"/>
        <w:jc w:val="both"/>
        <w:rPr>
          <w:rFonts w:ascii="Palatino Linotype" w:eastAsia="Palatino Linotype" w:hAnsi="Palatino Linotype" w:cs="Palatino Linotype"/>
          <w:b/>
          <w:sz w:val="22"/>
          <w:szCs w:val="22"/>
        </w:rPr>
      </w:pPr>
    </w:p>
    <w:p w14:paraId="66057C0F"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Tan es así, que en el Reporte de Avances Ramo 33 “Registro de Avances Físicos y Financieros” del FAISMUN SETPIEMBRE 2024, se localizó la obra por contrato, de construcción del Pozo Profundo de Agua Entubada en Tenancingo, en la Localidad el Salitre, con un monto de inversión aprobada de tres millones seiscientos mil pesos y que al tercer trimestre del dos mil veinticuatro, tenía un avance físico del 100% y financiero del 99.93 %.</w:t>
      </w:r>
    </w:p>
    <w:p w14:paraId="7B753086" w14:textId="77777777" w:rsidR="00286EFA" w:rsidRDefault="00286EFA">
      <w:pPr>
        <w:spacing w:line="360" w:lineRule="auto"/>
        <w:ind w:right="-28"/>
        <w:jc w:val="both"/>
        <w:rPr>
          <w:rFonts w:ascii="Palatino Linotype" w:eastAsia="Palatino Linotype" w:hAnsi="Palatino Linotype" w:cs="Palatino Linotype"/>
          <w:sz w:val="22"/>
          <w:szCs w:val="22"/>
        </w:rPr>
      </w:pPr>
    </w:p>
    <w:p w14:paraId="59D38628"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es necesario precisar que este Instituto realizó una búsqueda de la obra solicitada por el Particular y no se localizó información específica; sin embargo, se revisó el apartado de “Búsqueda de localidades por municipio”, del Sistema de Actualización del Nomenclátor de Localidades del Estado de México del Instituto de Información e Investigación Geográfica, Estadística y Catastral del Estado de México, y se logró advertir que la Colonia </w:t>
      </w:r>
      <w:proofErr w:type="spellStart"/>
      <w:r>
        <w:rPr>
          <w:rFonts w:ascii="Palatino Linotype" w:eastAsia="Palatino Linotype" w:hAnsi="Palatino Linotype" w:cs="Palatino Linotype"/>
          <w:sz w:val="22"/>
          <w:szCs w:val="22"/>
        </w:rPr>
        <w:t>Vimate</w:t>
      </w:r>
      <w:proofErr w:type="spellEnd"/>
      <w:r>
        <w:rPr>
          <w:rFonts w:ascii="Palatino Linotype" w:eastAsia="Palatino Linotype" w:hAnsi="Palatino Linotype" w:cs="Palatino Linotype"/>
          <w:sz w:val="22"/>
          <w:szCs w:val="22"/>
        </w:rPr>
        <w:t>, se localiza dentro de la Comunidad de el Salitre.</w:t>
      </w:r>
    </w:p>
    <w:p w14:paraId="22CE8194" w14:textId="77777777" w:rsidR="00286EFA" w:rsidRDefault="00286EFA">
      <w:pPr>
        <w:spacing w:line="360" w:lineRule="auto"/>
        <w:ind w:right="-28"/>
        <w:jc w:val="both"/>
        <w:rPr>
          <w:rFonts w:ascii="Palatino Linotype" w:eastAsia="Palatino Linotype" w:hAnsi="Palatino Linotype" w:cs="Palatino Linotype"/>
          <w:sz w:val="22"/>
          <w:szCs w:val="22"/>
        </w:rPr>
      </w:pPr>
    </w:p>
    <w:p w14:paraId="674DC475"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Situación que toma relevancia, pues se revisó el apartado “Consulta de Códigos Postales” del Servicio Postal Mexicano y se </w:t>
      </w:r>
      <w:proofErr w:type="spellStart"/>
      <w:r>
        <w:rPr>
          <w:rFonts w:ascii="Palatino Linotype" w:eastAsia="Palatino Linotype" w:hAnsi="Palatino Linotype" w:cs="Palatino Linotype"/>
          <w:sz w:val="22"/>
          <w:szCs w:val="22"/>
        </w:rPr>
        <w:t>logro</w:t>
      </w:r>
      <w:proofErr w:type="spellEnd"/>
      <w:r>
        <w:rPr>
          <w:rFonts w:ascii="Palatino Linotype" w:eastAsia="Palatino Linotype" w:hAnsi="Palatino Linotype" w:cs="Palatino Linotype"/>
          <w:sz w:val="22"/>
          <w:szCs w:val="22"/>
        </w:rPr>
        <w:t xml:space="preserve"> vislumbrar que corresponde el mismo código postal para la Colonia referida, que para la Comunidad.</w:t>
      </w:r>
    </w:p>
    <w:p w14:paraId="2D76B776" w14:textId="77777777" w:rsidR="00286EFA" w:rsidRDefault="00286EFA">
      <w:pPr>
        <w:spacing w:line="360" w:lineRule="auto"/>
        <w:ind w:right="-28"/>
        <w:jc w:val="both"/>
        <w:rPr>
          <w:rFonts w:ascii="Palatino Linotype" w:eastAsia="Palatino Linotype" w:hAnsi="Palatino Linotype" w:cs="Palatino Linotype"/>
          <w:sz w:val="22"/>
          <w:szCs w:val="22"/>
        </w:rPr>
      </w:pPr>
    </w:p>
    <w:p w14:paraId="3E69067B"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este Instituto logra vislumbrar que la pretensión del ahora Recurrente, es obtener información sobre la obra pública de construcción del del Pozo Profundo de Agua Entubada en Tenancingo, en la Localidad el Salitre, con número de control 71451/000961097, tal como se muestra a continuación:</w:t>
      </w:r>
    </w:p>
    <w:p w14:paraId="5E2A63A4" w14:textId="77777777" w:rsidR="00286EFA" w:rsidRDefault="00286EFA">
      <w:pPr>
        <w:spacing w:line="360" w:lineRule="auto"/>
        <w:ind w:right="-28"/>
        <w:jc w:val="both"/>
        <w:rPr>
          <w:rFonts w:ascii="Palatino Linotype" w:eastAsia="Palatino Linotype" w:hAnsi="Palatino Linotype" w:cs="Palatino Linotype"/>
          <w:sz w:val="22"/>
          <w:szCs w:val="22"/>
        </w:rPr>
      </w:pPr>
    </w:p>
    <w:p w14:paraId="1B3D64F2" w14:textId="77777777" w:rsidR="00286EFA" w:rsidRDefault="00FA61F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2FB923E3" wp14:editId="6CA27CE0">
            <wp:extent cx="5742940" cy="568960"/>
            <wp:effectExtent l="0" t="0" r="0" b="0"/>
            <wp:docPr id="21298858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742940" cy="568960"/>
                    </a:xfrm>
                    <a:prstGeom prst="rect">
                      <a:avLst/>
                    </a:prstGeom>
                    <a:ln/>
                  </pic:spPr>
                </pic:pic>
              </a:graphicData>
            </a:graphic>
          </wp:inline>
        </w:drawing>
      </w:r>
    </w:p>
    <w:p w14:paraId="1D564DA4" w14:textId="77777777" w:rsidR="00286EFA" w:rsidRDefault="00286EFA">
      <w:pPr>
        <w:spacing w:line="360" w:lineRule="auto"/>
        <w:jc w:val="both"/>
        <w:rPr>
          <w:rFonts w:ascii="Palatino Linotype" w:eastAsia="Palatino Linotype" w:hAnsi="Palatino Linotype" w:cs="Palatino Linotype"/>
          <w:sz w:val="22"/>
          <w:szCs w:val="22"/>
        </w:rPr>
      </w:pPr>
    </w:p>
    <w:p w14:paraId="12ED4920"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que, para atender al requerimiento en análisis, el Sujeto Obligado deberá asumir competencia y, por medio de la Dirección de Obras Públicas, deberá realizar una búsqueda exhaustiva y razonable, en términos del artículo 162 de la Ley de Transparencia y Acceso a la Información Pública del Estado de México y Municipios, a efecto de que entregue los documentos donde conste el catálogo de conceptos, las cantidades y precios, así como, el nombre de la contratista, que de manera enunciativa, mas no limitativa, podría localizarse la información en el contrato celebrado, o bien, un documento que obre en el expediente del procedimiento de adjudicación. </w:t>
      </w:r>
    </w:p>
    <w:p w14:paraId="341AFB1C" w14:textId="77777777" w:rsidR="00286EFA" w:rsidRDefault="00286EFA">
      <w:pPr>
        <w:spacing w:line="360" w:lineRule="auto"/>
        <w:jc w:val="both"/>
        <w:rPr>
          <w:rFonts w:ascii="Palatino Linotype" w:eastAsia="Palatino Linotype" w:hAnsi="Palatino Linotype" w:cs="Palatino Linotype"/>
          <w:sz w:val="22"/>
          <w:szCs w:val="22"/>
        </w:rPr>
      </w:pPr>
    </w:p>
    <w:p w14:paraId="0A203AA4"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11765469" w14:textId="77777777" w:rsidR="00286EFA" w:rsidRDefault="00286EFA">
      <w:pPr>
        <w:tabs>
          <w:tab w:val="center" w:pos="4522"/>
        </w:tabs>
        <w:spacing w:line="360" w:lineRule="auto"/>
        <w:jc w:val="both"/>
        <w:rPr>
          <w:rFonts w:ascii="Palatino Linotype" w:eastAsia="Palatino Linotype" w:hAnsi="Palatino Linotype" w:cs="Palatino Linotype"/>
          <w:sz w:val="22"/>
          <w:szCs w:val="22"/>
        </w:rPr>
      </w:pPr>
    </w:p>
    <w:p w14:paraId="039107C8" w14:textId="77777777" w:rsidR="00286EFA" w:rsidRDefault="00FA61F8">
      <w:pPr>
        <w:tabs>
          <w:tab w:val="center" w:pos="45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6DE429A4" w14:textId="77777777" w:rsidR="00286EFA" w:rsidRDefault="00286EFA">
      <w:pPr>
        <w:tabs>
          <w:tab w:val="center" w:pos="4522"/>
        </w:tabs>
        <w:spacing w:line="360" w:lineRule="auto"/>
        <w:jc w:val="both"/>
        <w:rPr>
          <w:rFonts w:ascii="Palatino Linotype" w:eastAsia="Palatino Linotype" w:hAnsi="Palatino Linotype" w:cs="Palatino Linotype"/>
          <w:sz w:val="22"/>
          <w:szCs w:val="22"/>
        </w:rPr>
      </w:pPr>
    </w:p>
    <w:p w14:paraId="651E7C4D" w14:textId="77777777" w:rsidR="00286EFA" w:rsidRDefault="00FA61F8">
      <w:pPr>
        <w:tabs>
          <w:tab w:val="center" w:pos="45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tales circunstancias, se concluye que los sujetos obligados únicamente se encuentran constreñidos a proporcionar los documentos que den cuenta de la información solicitada, </w:t>
      </w:r>
      <w:r>
        <w:rPr>
          <w:rFonts w:ascii="Palatino Linotype" w:eastAsia="Palatino Linotype" w:hAnsi="Palatino Linotype" w:cs="Palatino Linotype"/>
          <w:sz w:val="22"/>
          <w:szCs w:val="22"/>
        </w:rPr>
        <w:lastRenderedPageBreak/>
        <w:t>como obren en sus archivos, sin tener que elaborarlos a las necesidades del Recurrente; por lo que, en el presente caso, deberá proporcionar los documentos donde conste la información solicitada, sobre la construcción del pozo profundo de agua potable.</w:t>
      </w:r>
    </w:p>
    <w:p w14:paraId="5D937C66" w14:textId="77777777" w:rsidR="00286EFA" w:rsidRDefault="00286EFA">
      <w:pPr>
        <w:spacing w:line="360" w:lineRule="auto"/>
        <w:jc w:val="both"/>
        <w:rPr>
          <w:rFonts w:ascii="Palatino Linotype" w:eastAsia="Palatino Linotype" w:hAnsi="Palatino Linotype" w:cs="Palatino Linotype"/>
          <w:sz w:val="22"/>
          <w:szCs w:val="22"/>
        </w:rPr>
      </w:pPr>
    </w:p>
    <w:p w14:paraId="7E183A81"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28964D2" w14:textId="77777777" w:rsidR="00286EFA" w:rsidRDefault="00286EFA">
      <w:pPr>
        <w:spacing w:line="360" w:lineRule="auto"/>
        <w:jc w:val="both"/>
        <w:rPr>
          <w:rFonts w:ascii="Palatino Linotype" w:eastAsia="Palatino Linotype" w:hAnsi="Palatino Linotype" w:cs="Palatino Linotype"/>
          <w:sz w:val="22"/>
          <w:szCs w:val="22"/>
        </w:rPr>
      </w:pPr>
    </w:p>
    <w:p w14:paraId="6BED8CCD"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33F7D61" w14:textId="77777777" w:rsidR="00286EFA" w:rsidRDefault="00286EFA">
      <w:pPr>
        <w:spacing w:line="360" w:lineRule="auto"/>
        <w:ind w:right="-93"/>
        <w:jc w:val="both"/>
        <w:rPr>
          <w:rFonts w:ascii="Palatino Linotype" w:eastAsia="Palatino Linotype" w:hAnsi="Palatino Linotype" w:cs="Palatino Linotype"/>
          <w:sz w:val="22"/>
          <w:szCs w:val="22"/>
        </w:rPr>
      </w:pPr>
    </w:p>
    <w:p w14:paraId="05B9A1D2" w14:textId="77777777" w:rsidR="00286EFA" w:rsidRDefault="00FA61F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Decisión </w:t>
      </w:r>
    </w:p>
    <w:p w14:paraId="3D81B5E1" w14:textId="77777777" w:rsidR="00286EFA" w:rsidRDefault="00FA61F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342B423E"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acuerdo con lo expuesto y, 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 xml:space="preserve">REVOCAR </w:t>
      </w:r>
      <w:r>
        <w:rPr>
          <w:rFonts w:ascii="Palatino Linotype" w:eastAsia="Palatino Linotype" w:hAnsi="Palatino Linotype" w:cs="Palatino Linotype"/>
          <w:color w:val="000000"/>
          <w:sz w:val="22"/>
          <w:szCs w:val="22"/>
        </w:rPr>
        <w:t>la respuesta del Ayuntamiento de Tenancingo, a efecto de que entregue la información sobre la construcción del pozo profundo referido.</w:t>
      </w:r>
    </w:p>
    <w:p w14:paraId="7A9925A1" w14:textId="77777777" w:rsidR="00286EFA" w:rsidRDefault="00286EFA">
      <w:pPr>
        <w:spacing w:line="360" w:lineRule="auto"/>
        <w:jc w:val="both"/>
        <w:rPr>
          <w:rFonts w:ascii="Palatino Linotype" w:eastAsia="Palatino Linotype" w:hAnsi="Palatino Linotype" w:cs="Palatino Linotype"/>
          <w:sz w:val="22"/>
          <w:szCs w:val="22"/>
        </w:rPr>
      </w:pPr>
    </w:p>
    <w:p w14:paraId="60457AE9" w14:textId="77777777" w:rsidR="00286EFA" w:rsidRDefault="00FA61F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para conocimiento del Particular.</w:t>
      </w:r>
    </w:p>
    <w:p w14:paraId="64892C5C" w14:textId="77777777" w:rsidR="00286EFA" w:rsidRDefault="00286EFA">
      <w:pPr>
        <w:spacing w:line="360" w:lineRule="auto"/>
        <w:jc w:val="both"/>
        <w:rPr>
          <w:rFonts w:ascii="Palatino Linotype" w:eastAsia="Palatino Linotype" w:hAnsi="Palatino Linotype" w:cs="Palatino Linotype"/>
          <w:b/>
          <w:color w:val="000000"/>
          <w:sz w:val="22"/>
          <w:szCs w:val="22"/>
        </w:rPr>
      </w:pPr>
    </w:p>
    <w:p w14:paraId="7D77BEF4" w14:textId="77777777" w:rsidR="00286EFA" w:rsidRDefault="00FA61F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Se le hace del conocimiento al Particular, que, en el presente caso, se le concede la razón, pues el Sujetó Obligado es competente para conocer de lo requerido, por lo que deberá realizar una búsqueda exhaustiva y razonable en sus archivos y proporcionar lo que obre en estos. </w:t>
      </w:r>
      <w:r>
        <w:rPr>
          <w:rFonts w:ascii="Palatino Linotype" w:eastAsia="Palatino Linotype" w:hAnsi="Palatino Linotype" w:cs="Palatino Linotype"/>
          <w:sz w:val="22"/>
          <w:szCs w:val="22"/>
        </w:rPr>
        <w:t>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Finalmente, se le informa que la labor de este Instituto de Transparencia, Acceso a la Información Pública y Protección de Datos Personales del Estado de México y Municipios, es apoyar a la población a acceder a la información pública y es garantizar la protección de los datos personales.</w:t>
      </w:r>
    </w:p>
    <w:p w14:paraId="75E5884E"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1AB074F"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194415A1" w14:textId="77777777" w:rsidR="00286EFA" w:rsidRDefault="00286EFA">
      <w:pPr>
        <w:spacing w:line="360" w:lineRule="auto"/>
        <w:jc w:val="both"/>
        <w:rPr>
          <w:rFonts w:ascii="Palatino Linotype" w:eastAsia="Palatino Linotype" w:hAnsi="Palatino Linotype" w:cs="Palatino Linotype"/>
          <w:sz w:val="22"/>
          <w:szCs w:val="22"/>
        </w:rPr>
      </w:pPr>
    </w:p>
    <w:p w14:paraId="63FE703E" w14:textId="77777777" w:rsidR="00286EFA" w:rsidRDefault="00FA61F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3324F88E"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2C6026FE"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REVOCA</w:t>
      </w:r>
      <w:r>
        <w:rPr>
          <w:rFonts w:ascii="Palatino Linotype" w:eastAsia="Palatino Linotype" w:hAnsi="Palatino Linotype" w:cs="Palatino Linotype"/>
          <w:color w:val="000000"/>
          <w:sz w:val="22"/>
          <w:szCs w:val="22"/>
        </w:rPr>
        <w:t xml:space="preserve"> la respuesta entregada por el Sujeto Obligado, a la solicitud de información 00001/TENANCIN/IP/2025, por resultar </w:t>
      </w:r>
      <w:r>
        <w:rPr>
          <w:rFonts w:ascii="Palatino Linotype" w:eastAsia="Palatino Linotype" w:hAnsi="Palatino Linotype" w:cs="Palatino Linotype"/>
          <w:b/>
          <w:color w:val="000000"/>
          <w:sz w:val="22"/>
          <w:szCs w:val="22"/>
        </w:rPr>
        <w:t>FUNDADAS</w:t>
      </w:r>
      <w:r>
        <w:rPr>
          <w:rFonts w:ascii="Palatino Linotype" w:eastAsia="Palatino Linotype" w:hAnsi="Palatino Linotype" w:cs="Palatino Linotype"/>
          <w:color w:val="000000"/>
          <w:sz w:val="22"/>
          <w:szCs w:val="22"/>
        </w:rPr>
        <w:t xml:space="preserve"> las razones o motivos de inconformidad hechos valer por el Particular, en términos de los considerandos QUINTO y SEXTO de la presente Resolución.</w:t>
      </w:r>
    </w:p>
    <w:p w14:paraId="7FC4BC15" w14:textId="77777777" w:rsidR="00286EFA" w:rsidRDefault="00286EFA">
      <w:pPr>
        <w:spacing w:line="360" w:lineRule="auto"/>
        <w:jc w:val="both"/>
        <w:rPr>
          <w:rFonts w:ascii="Palatino Linotype" w:eastAsia="Palatino Linotype" w:hAnsi="Palatino Linotype" w:cs="Palatino Linotype"/>
          <w:b/>
          <w:sz w:val="22"/>
          <w:szCs w:val="22"/>
        </w:rPr>
      </w:pPr>
    </w:p>
    <w:p w14:paraId="39705B5A"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al Ente Recurrido, a efecto de que previa búsqueda exhaustiva y razonable en las unidades administrativas competentes, entregue, a través del Sistema de Acceso a la Información Mexiquense (SAIMEX), en su caso, en versión pública, respecto de la obra pública de construcción del Pozo Profundo de Agua Entubada en Tenancingo, en la Localidad el Salitre, con número de control 71451/000961097, los documentos con los que contara al trece de enero de dos mil veinticinco, donde conste lo siguiente:</w:t>
      </w:r>
    </w:p>
    <w:p w14:paraId="266D70ED" w14:textId="77777777" w:rsidR="00286EFA" w:rsidRDefault="00286EFA">
      <w:pPr>
        <w:spacing w:line="360" w:lineRule="auto"/>
        <w:jc w:val="both"/>
        <w:rPr>
          <w:rFonts w:ascii="Palatino Linotype" w:eastAsia="Palatino Linotype" w:hAnsi="Palatino Linotype" w:cs="Palatino Linotype"/>
          <w:sz w:val="22"/>
          <w:szCs w:val="22"/>
        </w:rPr>
      </w:pPr>
    </w:p>
    <w:p w14:paraId="4F91F6C9" w14:textId="77777777" w:rsidR="00286EFA" w:rsidRDefault="00FA61F8">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El nombre del contratista;</w:t>
      </w:r>
    </w:p>
    <w:p w14:paraId="2DB549D3" w14:textId="77777777" w:rsidR="00286EFA" w:rsidRDefault="00FA61F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catálogo de conceptos, las cantidades y precios de los materiales o servicios utilizados para la ejecución de la obra.</w:t>
      </w:r>
    </w:p>
    <w:p w14:paraId="1EDDDE19"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409E32A2"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de ser necesario, deberá proporcionar el Acuerdo de Clasificación donde el Comité de Transparencia, confirme la eliminación de los datos o información, en la versión pública, de conformidad con los artículos 49, fracciones II y VIII y 132, fracción II, de la Ley de Transparencia y Acceso a la Información Pública del Estado de México y Municipios.</w:t>
      </w:r>
    </w:p>
    <w:p w14:paraId="10094A9E" w14:textId="77777777" w:rsidR="00286EFA" w:rsidRDefault="00286EFA">
      <w:pPr>
        <w:spacing w:line="360" w:lineRule="auto"/>
        <w:ind w:right="-28"/>
        <w:jc w:val="both"/>
        <w:rPr>
          <w:rFonts w:ascii="Palatino Linotype" w:eastAsia="Palatino Linotype" w:hAnsi="Palatino Linotype" w:cs="Palatino Linotype"/>
          <w:sz w:val="22"/>
          <w:szCs w:val="22"/>
        </w:rPr>
      </w:pPr>
    </w:p>
    <w:p w14:paraId="4F805A1A"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w:t>
      </w:r>
      <w:r>
        <w:rPr>
          <w:rFonts w:ascii="Palatino Linotype" w:eastAsia="Palatino Linotype" w:hAnsi="Palatino Linotype" w:cs="Palatino Linotype"/>
          <w:sz w:val="22"/>
          <w:szCs w:val="22"/>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0A0D74F6" w14:textId="77777777" w:rsidR="00286EFA" w:rsidRDefault="00286EFA">
      <w:pPr>
        <w:spacing w:line="360" w:lineRule="auto"/>
        <w:ind w:right="-28"/>
        <w:jc w:val="both"/>
        <w:rPr>
          <w:rFonts w:ascii="Palatino Linotype" w:eastAsia="Palatino Linotype" w:hAnsi="Palatino Linotype" w:cs="Palatino Linotype"/>
          <w:b/>
          <w:sz w:val="22"/>
          <w:szCs w:val="22"/>
        </w:rPr>
      </w:pPr>
    </w:p>
    <w:p w14:paraId="414CA8DB" w14:textId="77777777" w:rsidR="00286EFA" w:rsidRDefault="00FA61F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CUARTO.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34F6A8D5" w14:textId="77777777" w:rsidR="00286EFA" w:rsidRDefault="00286EFA">
      <w:pPr>
        <w:spacing w:line="360" w:lineRule="auto"/>
        <w:ind w:right="-28"/>
        <w:jc w:val="both"/>
        <w:rPr>
          <w:rFonts w:ascii="Palatino Linotype" w:eastAsia="Palatino Linotype" w:hAnsi="Palatino Linotype" w:cs="Palatino Linotype"/>
          <w:color w:val="000000"/>
          <w:sz w:val="22"/>
          <w:szCs w:val="22"/>
        </w:rPr>
      </w:pPr>
    </w:p>
    <w:p w14:paraId="75B7D3F5" w14:textId="77777777" w:rsidR="00286EFA" w:rsidRDefault="00FA61F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De conformidad con el artículo 198 de la Ley de la materia, de considerarlo procedente, el Sujeto Obligado de manera fundada y motivada, podrá solicitar una ampliación de plazo para el cumplimiento de la presente resolución.</w:t>
      </w:r>
    </w:p>
    <w:p w14:paraId="284B6361" w14:textId="77777777" w:rsidR="00286EFA" w:rsidRDefault="00286EFA">
      <w:pPr>
        <w:spacing w:line="360" w:lineRule="auto"/>
        <w:jc w:val="both"/>
        <w:rPr>
          <w:rFonts w:ascii="Palatino Linotype" w:eastAsia="Palatino Linotype" w:hAnsi="Palatino Linotype" w:cs="Palatino Linotype"/>
          <w:color w:val="000000"/>
          <w:sz w:val="22"/>
          <w:szCs w:val="22"/>
        </w:rPr>
      </w:pPr>
    </w:p>
    <w:p w14:paraId="6F304000"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QUINTO. NOTIFÍQUESE POR SAIMEX</w:t>
      </w:r>
      <w:r>
        <w:rPr>
          <w:rFonts w:ascii="Palatino Linotype" w:eastAsia="Palatino Linotype" w:hAnsi="Palatino Linotype" w:cs="Palatino Linotype"/>
          <w:sz w:val="22"/>
          <w:szCs w:val="22"/>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9142FF2"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068018C8" w14:textId="77777777" w:rsidR="00286EFA" w:rsidRDefault="00FA61F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293D4C">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14:paraId="7B43572B" w14:textId="77777777" w:rsidR="00286EFA" w:rsidRDefault="00286EFA">
      <w:pPr>
        <w:spacing w:line="360" w:lineRule="auto"/>
        <w:ind w:right="-28"/>
        <w:jc w:val="both"/>
        <w:rPr>
          <w:rFonts w:ascii="Palatino Linotype" w:eastAsia="Palatino Linotype" w:hAnsi="Palatino Linotype" w:cs="Palatino Linotype"/>
          <w:sz w:val="22"/>
          <w:szCs w:val="22"/>
        </w:rPr>
      </w:pPr>
    </w:p>
    <w:p w14:paraId="6173F465" w14:textId="77777777" w:rsidR="00286EFA" w:rsidRDefault="00286EFA">
      <w:pPr>
        <w:spacing w:line="360" w:lineRule="auto"/>
        <w:rPr>
          <w:rFonts w:ascii="Palatino Linotype" w:eastAsia="Palatino Linotype" w:hAnsi="Palatino Linotype" w:cs="Palatino Linotype"/>
        </w:rPr>
      </w:pPr>
    </w:p>
    <w:p w14:paraId="3873B68F" w14:textId="77777777" w:rsidR="00286EFA" w:rsidRDefault="00286EFA">
      <w:pPr>
        <w:spacing w:line="360" w:lineRule="auto"/>
        <w:rPr>
          <w:rFonts w:ascii="Palatino Linotype" w:eastAsia="Palatino Linotype" w:hAnsi="Palatino Linotype" w:cs="Palatino Linotype"/>
        </w:rPr>
      </w:pPr>
    </w:p>
    <w:p w14:paraId="4A2F6D0E" w14:textId="77777777" w:rsidR="00286EFA" w:rsidRDefault="00286EFA">
      <w:pPr>
        <w:spacing w:line="360" w:lineRule="auto"/>
        <w:rPr>
          <w:rFonts w:ascii="Palatino Linotype" w:eastAsia="Palatino Linotype" w:hAnsi="Palatino Linotype" w:cs="Palatino Linotype"/>
        </w:rPr>
      </w:pPr>
    </w:p>
    <w:p w14:paraId="18779B83" w14:textId="77777777" w:rsidR="00286EFA" w:rsidRDefault="00286EFA">
      <w:pPr>
        <w:spacing w:line="360" w:lineRule="auto"/>
        <w:rPr>
          <w:rFonts w:ascii="Palatino Linotype" w:eastAsia="Palatino Linotype" w:hAnsi="Palatino Linotype" w:cs="Palatino Linotype"/>
        </w:rPr>
      </w:pPr>
    </w:p>
    <w:p w14:paraId="3F95B9DF" w14:textId="77777777" w:rsidR="00286EFA" w:rsidRDefault="00286EFA">
      <w:pPr>
        <w:spacing w:line="360" w:lineRule="auto"/>
        <w:rPr>
          <w:rFonts w:ascii="Palatino Linotype" w:eastAsia="Palatino Linotype" w:hAnsi="Palatino Linotype" w:cs="Palatino Linotype"/>
        </w:rPr>
      </w:pPr>
    </w:p>
    <w:p w14:paraId="6E086C36" w14:textId="77777777" w:rsidR="00286EFA" w:rsidRDefault="00286EFA">
      <w:pPr>
        <w:spacing w:line="360" w:lineRule="auto"/>
        <w:rPr>
          <w:rFonts w:ascii="Palatino Linotype" w:eastAsia="Palatino Linotype" w:hAnsi="Palatino Linotype" w:cs="Palatino Linotype"/>
        </w:rPr>
      </w:pPr>
    </w:p>
    <w:p w14:paraId="542C4967" w14:textId="77777777" w:rsidR="00286EFA" w:rsidRDefault="00286EFA">
      <w:pPr>
        <w:spacing w:line="360" w:lineRule="auto"/>
        <w:rPr>
          <w:rFonts w:ascii="Palatino Linotype" w:eastAsia="Palatino Linotype" w:hAnsi="Palatino Linotype" w:cs="Palatino Linotype"/>
        </w:rPr>
      </w:pPr>
    </w:p>
    <w:p w14:paraId="4208E2F0" w14:textId="77777777" w:rsidR="00286EFA" w:rsidRDefault="00286EFA">
      <w:pPr>
        <w:spacing w:line="360" w:lineRule="auto"/>
        <w:rPr>
          <w:rFonts w:ascii="Palatino Linotype" w:eastAsia="Palatino Linotype" w:hAnsi="Palatino Linotype" w:cs="Palatino Linotype"/>
        </w:rPr>
      </w:pPr>
    </w:p>
    <w:p w14:paraId="69F6E7F4" w14:textId="77777777" w:rsidR="00286EFA" w:rsidRDefault="00286EFA">
      <w:pPr>
        <w:spacing w:line="360" w:lineRule="auto"/>
        <w:rPr>
          <w:rFonts w:ascii="Palatino Linotype" w:eastAsia="Palatino Linotype" w:hAnsi="Palatino Linotype" w:cs="Palatino Linotype"/>
        </w:rPr>
      </w:pPr>
    </w:p>
    <w:p w14:paraId="402D6284" w14:textId="77777777" w:rsidR="00286EFA" w:rsidRDefault="00286EFA">
      <w:pPr>
        <w:spacing w:line="360" w:lineRule="auto"/>
        <w:rPr>
          <w:rFonts w:ascii="Palatino Linotype" w:eastAsia="Palatino Linotype" w:hAnsi="Palatino Linotype" w:cs="Palatino Linotype"/>
        </w:rPr>
      </w:pPr>
    </w:p>
    <w:p w14:paraId="28294ADB" w14:textId="77777777" w:rsidR="00286EFA" w:rsidRDefault="00286EFA">
      <w:pPr>
        <w:spacing w:line="360" w:lineRule="auto"/>
        <w:rPr>
          <w:rFonts w:ascii="Palatino Linotype" w:eastAsia="Palatino Linotype" w:hAnsi="Palatino Linotype" w:cs="Palatino Linotype"/>
        </w:rPr>
      </w:pPr>
    </w:p>
    <w:p w14:paraId="5329726C" w14:textId="77777777" w:rsidR="00286EFA" w:rsidRDefault="00286EFA">
      <w:pPr>
        <w:spacing w:line="360" w:lineRule="auto"/>
        <w:rPr>
          <w:rFonts w:ascii="Palatino Linotype" w:eastAsia="Palatino Linotype" w:hAnsi="Palatino Linotype" w:cs="Palatino Linotype"/>
        </w:rPr>
      </w:pPr>
    </w:p>
    <w:p w14:paraId="78178248" w14:textId="77777777" w:rsidR="00286EFA" w:rsidRDefault="00286EFA">
      <w:pPr>
        <w:spacing w:line="360" w:lineRule="auto"/>
        <w:rPr>
          <w:rFonts w:ascii="Palatino Linotype" w:eastAsia="Palatino Linotype" w:hAnsi="Palatino Linotype" w:cs="Palatino Linotype"/>
        </w:rPr>
      </w:pPr>
    </w:p>
    <w:p w14:paraId="38EDF752" w14:textId="77777777" w:rsidR="00286EFA" w:rsidRDefault="00286EFA">
      <w:pPr>
        <w:spacing w:line="360" w:lineRule="auto"/>
        <w:rPr>
          <w:rFonts w:ascii="Palatino Linotype" w:eastAsia="Palatino Linotype" w:hAnsi="Palatino Linotype" w:cs="Palatino Linotype"/>
        </w:rPr>
      </w:pPr>
    </w:p>
    <w:p w14:paraId="1C35E5AD" w14:textId="77777777" w:rsidR="00286EFA" w:rsidRDefault="00286EFA">
      <w:pPr>
        <w:spacing w:line="360" w:lineRule="auto"/>
        <w:rPr>
          <w:rFonts w:ascii="Palatino Linotype" w:eastAsia="Palatino Linotype" w:hAnsi="Palatino Linotype" w:cs="Palatino Linotype"/>
        </w:rPr>
      </w:pPr>
    </w:p>
    <w:p w14:paraId="5AB8CC01" w14:textId="77777777" w:rsidR="00286EFA" w:rsidRDefault="00286EFA">
      <w:pPr>
        <w:spacing w:line="360" w:lineRule="auto"/>
        <w:rPr>
          <w:rFonts w:ascii="Palatino Linotype" w:eastAsia="Palatino Linotype" w:hAnsi="Palatino Linotype" w:cs="Palatino Linotype"/>
        </w:rPr>
      </w:pPr>
    </w:p>
    <w:p w14:paraId="7E771801" w14:textId="77777777" w:rsidR="00286EFA" w:rsidRDefault="00286EFA">
      <w:pPr>
        <w:spacing w:line="360" w:lineRule="auto"/>
        <w:rPr>
          <w:rFonts w:ascii="Palatino Linotype" w:eastAsia="Palatino Linotype" w:hAnsi="Palatino Linotype" w:cs="Palatino Linotype"/>
        </w:rPr>
      </w:pPr>
    </w:p>
    <w:p w14:paraId="39E0CFCE" w14:textId="77777777" w:rsidR="00286EFA" w:rsidRDefault="00286EFA">
      <w:pPr>
        <w:spacing w:line="360" w:lineRule="auto"/>
        <w:rPr>
          <w:rFonts w:ascii="Palatino Linotype" w:eastAsia="Palatino Linotype" w:hAnsi="Palatino Linotype" w:cs="Palatino Linotype"/>
        </w:rPr>
      </w:pPr>
    </w:p>
    <w:p w14:paraId="0090EBFB" w14:textId="77777777" w:rsidR="00286EFA" w:rsidRDefault="00286EFA">
      <w:pPr>
        <w:spacing w:line="360" w:lineRule="auto"/>
        <w:rPr>
          <w:rFonts w:ascii="Palatino Linotype" w:eastAsia="Palatino Linotype" w:hAnsi="Palatino Linotype" w:cs="Palatino Linotype"/>
        </w:rPr>
      </w:pPr>
    </w:p>
    <w:p w14:paraId="52B99D00" w14:textId="77777777" w:rsidR="00286EFA" w:rsidRDefault="00286EFA">
      <w:pPr>
        <w:spacing w:line="360" w:lineRule="auto"/>
        <w:rPr>
          <w:rFonts w:ascii="Palatino Linotype" w:eastAsia="Palatino Linotype" w:hAnsi="Palatino Linotype" w:cs="Palatino Linotype"/>
        </w:rPr>
      </w:pPr>
    </w:p>
    <w:p w14:paraId="35C8F845" w14:textId="77777777" w:rsidR="00286EFA" w:rsidRDefault="00286EFA">
      <w:pPr>
        <w:spacing w:line="360" w:lineRule="auto"/>
        <w:rPr>
          <w:rFonts w:ascii="Palatino Linotype" w:eastAsia="Palatino Linotype" w:hAnsi="Palatino Linotype" w:cs="Palatino Linotype"/>
        </w:rPr>
      </w:pPr>
    </w:p>
    <w:p w14:paraId="79E94A40" w14:textId="77777777" w:rsidR="00286EFA" w:rsidRDefault="00286EFA">
      <w:pPr>
        <w:spacing w:line="360" w:lineRule="auto"/>
        <w:rPr>
          <w:rFonts w:ascii="Palatino Linotype" w:eastAsia="Palatino Linotype" w:hAnsi="Palatino Linotype" w:cs="Palatino Linotype"/>
        </w:rPr>
      </w:pPr>
    </w:p>
    <w:p w14:paraId="05D27BA1" w14:textId="77777777" w:rsidR="00286EFA" w:rsidRDefault="00286EFA">
      <w:pPr>
        <w:spacing w:line="360" w:lineRule="auto"/>
        <w:rPr>
          <w:rFonts w:ascii="Palatino Linotype" w:eastAsia="Palatino Linotype" w:hAnsi="Palatino Linotype" w:cs="Palatino Linotype"/>
        </w:rPr>
      </w:pPr>
    </w:p>
    <w:p w14:paraId="76DD850F" w14:textId="77777777" w:rsidR="00286EFA" w:rsidRDefault="00286EFA">
      <w:pPr>
        <w:spacing w:line="360" w:lineRule="auto"/>
        <w:rPr>
          <w:rFonts w:ascii="Palatino Linotype" w:eastAsia="Palatino Linotype" w:hAnsi="Palatino Linotype" w:cs="Palatino Linotype"/>
        </w:rPr>
      </w:pPr>
    </w:p>
    <w:sectPr w:rsidR="00286EFA">
      <w:headerReference w:type="even" r:id="rId15"/>
      <w:headerReference w:type="default" r:id="rId16"/>
      <w:footerReference w:type="default" r:id="rId17"/>
      <w:headerReference w:type="first" r:id="rId18"/>
      <w:footerReference w:type="first" r:id="rId19"/>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EE01A" w14:textId="77777777" w:rsidR="00FD546C" w:rsidRDefault="00FD546C">
      <w:r>
        <w:separator/>
      </w:r>
    </w:p>
  </w:endnote>
  <w:endnote w:type="continuationSeparator" w:id="0">
    <w:p w14:paraId="039EB348" w14:textId="77777777" w:rsidR="00FD546C" w:rsidRDefault="00FD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17B3" w14:textId="77777777" w:rsidR="00286EFA" w:rsidRDefault="00286EFA">
    <w:pPr>
      <w:pBdr>
        <w:top w:val="nil"/>
        <w:left w:val="nil"/>
        <w:bottom w:val="nil"/>
        <w:right w:val="nil"/>
        <w:between w:val="nil"/>
      </w:pBdr>
      <w:tabs>
        <w:tab w:val="center" w:pos="4419"/>
        <w:tab w:val="right" w:pos="8838"/>
      </w:tabs>
      <w:jc w:val="right"/>
      <w:rPr>
        <w:color w:val="000000"/>
        <w:sz w:val="26"/>
        <w:szCs w:val="26"/>
      </w:rPr>
    </w:pPr>
  </w:p>
  <w:p w14:paraId="7C27E180" w14:textId="77777777" w:rsidR="00286EFA" w:rsidRDefault="00FA61F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671F">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671F">
      <w:rPr>
        <w:b/>
        <w:noProof/>
        <w:color w:val="000000"/>
        <w:sz w:val="24"/>
        <w:szCs w:val="24"/>
      </w:rPr>
      <w:t>22</w:t>
    </w:r>
    <w:r>
      <w:rPr>
        <w:b/>
        <w:color w:val="000000"/>
        <w:sz w:val="24"/>
        <w:szCs w:val="24"/>
      </w:rPr>
      <w:fldChar w:fldCharType="end"/>
    </w:r>
  </w:p>
  <w:p w14:paraId="2102E38A" w14:textId="77777777" w:rsidR="00286EFA" w:rsidRDefault="00286EF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8704" w14:textId="77777777" w:rsidR="00286EFA" w:rsidRDefault="00286EFA">
    <w:pPr>
      <w:pBdr>
        <w:top w:val="nil"/>
        <w:left w:val="nil"/>
        <w:bottom w:val="nil"/>
        <w:right w:val="nil"/>
        <w:between w:val="nil"/>
      </w:pBdr>
      <w:tabs>
        <w:tab w:val="center" w:pos="4419"/>
        <w:tab w:val="right" w:pos="8838"/>
      </w:tabs>
      <w:jc w:val="right"/>
      <w:rPr>
        <w:color w:val="000000"/>
      </w:rPr>
    </w:pPr>
  </w:p>
  <w:p w14:paraId="2FA4736E" w14:textId="77777777" w:rsidR="00286EFA" w:rsidRDefault="00286EFA">
    <w:pPr>
      <w:pBdr>
        <w:top w:val="nil"/>
        <w:left w:val="nil"/>
        <w:bottom w:val="nil"/>
        <w:right w:val="nil"/>
        <w:between w:val="nil"/>
      </w:pBdr>
      <w:tabs>
        <w:tab w:val="center" w:pos="4419"/>
        <w:tab w:val="right" w:pos="8838"/>
      </w:tabs>
      <w:jc w:val="right"/>
      <w:rPr>
        <w:color w:val="000000"/>
      </w:rPr>
    </w:pPr>
  </w:p>
  <w:p w14:paraId="52ED07AB" w14:textId="77777777" w:rsidR="00286EFA" w:rsidRDefault="00286EFA">
    <w:pPr>
      <w:pBdr>
        <w:top w:val="nil"/>
        <w:left w:val="nil"/>
        <w:bottom w:val="nil"/>
        <w:right w:val="nil"/>
        <w:between w:val="nil"/>
      </w:pBdr>
      <w:tabs>
        <w:tab w:val="center" w:pos="4419"/>
        <w:tab w:val="right" w:pos="8838"/>
      </w:tabs>
      <w:jc w:val="right"/>
      <w:rPr>
        <w:color w:val="000000"/>
      </w:rPr>
    </w:pPr>
  </w:p>
  <w:p w14:paraId="6A4C1A9D" w14:textId="77777777" w:rsidR="00286EFA" w:rsidRDefault="00FA61F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B671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B671F">
      <w:rPr>
        <w:b/>
        <w:noProof/>
        <w:color w:val="000000"/>
        <w:sz w:val="24"/>
        <w:szCs w:val="24"/>
      </w:rPr>
      <w:t>22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D7F63" w14:textId="77777777" w:rsidR="00FD546C" w:rsidRDefault="00FD546C">
      <w:r>
        <w:separator/>
      </w:r>
    </w:p>
  </w:footnote>
  <w:footnote w:type="continuationSeparator" w:id="0">
    <w:p w14:paraId="0F93BA16" w14:textId="77777777" w:rsidR="00FD546C" w:rsidRDefault="00FD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A44F" w14:textId="77777777" w:rsidR="00286EFA" w:rsidRDefault="00000000">
    <w:pPr>
      <w:pBdr>
        <w:top w:val="nil"/>
        <w:left w:val="nil"/>
        <w:bottom w:val="nil"/>
        <w:right w:val="nil"/>
        <w:between w:val="nil"/>
      </w:pBdr>
      <w:tabs>
        <w:tab w:val="center" w:pos="4419"/>
        <w:tab w:val="right" w:pos="8838"/>
      </w:tabs>
      <w:rPr>
        <w:color w:val="000000"/>
      </w:rPr>
    </w:pPr>
    <w:r>
      <w:rPr>
        <w:color w:val="000000"/>
      </w:rPr>
      <w:pict w14:anchorId="25720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marcaaguaINFOEM" style="position:absolute;margin-left:0;margin-top:0;width:663.5pt;height:12in;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B53F" w14:textId="77777777" w:rsidR="00286EFA" w:rsidRDefault="00000000">
    <w:pPr>
      <w:tabs>
        <w:tab w:val="left" w:pos="3416"/>
      </w:tabs>
      <w:rPr>
        <w:sz w:val="22"/>
        <w:szCs w:val="22"/>
      </w:rPr>
    </w:pPr>
    <w:r>
      <w:rPr>
        <w:sz w:val="14"/>
        <w:szCs w:val="14"/>
      </w:rPr>
      <w:pict w14:anchorId="23B67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marcaaguaINFOEM" style="position:absolute;margin-left:-100.7pt;margin-top:-126.25pt;width:663.5pt;height:12in;z-index:-251659776;mso-position-horizontal:absolute;mso-position-horizontal-relative:margin;mso-position-vertical:absolute;mso-position-vertical-relative:margin">
          <v:imagedata r:id="rId1" o:title="image5"/>
          <w10:wrap anchorx="margin" anchory="margin"/>
        </v:shape>
      </w:pict>
    </w:r>
  </w:p>
  <w:tbl>
    <w:tblPr>
      <w:tblStyle w:val="a"/>
      <w:tblW w:w="9461" w:type="dxa"/>
      <w:tblInd w:w="0" w:type="dxa"/>
      <w:tblLayout w:type="fixed"/>
      <w:tblLook w:val="0400" w:firstRow="0" w:lastRow="0" w:firstColumn="0" w:lastColumn="0" w:noHBand="0" w:noVBand="1"/>
    </w:tblPr>
    <w:tblGrid>
      <w:gridCol w:w="2268"/>
      <w:gridCol w:w="7193"/>
    </w:tblGrid>
    <w:tr w:rsidR="00286EFA" w14:paraId="759F7A34" w14:textId="77777777">
      <w:trPr>
        <w:trHeight w:val="70"/>
      </w:trPr>
      <w:tc>
        <w:tcPr>
          <w:tcW w:w="2268" w:type="dxa"/>
          <w:shd w:val="clear" w:color="auto" w:fill="auto"/>
        </w:tcPr>
        <w:p w14:paraId="53EFF28D" w14:textId="77777777" w:rsidR="00286EFA" w:rsidRDefault="00286EFA">
          <w:pPr>
            <w:tabs>
              <w:tab w:val="right" w:pos="4273"/>
            </w:tabs>
            <w:rPr>
              <w:rFonts w:ascii="Garamond" w:eastAsia="Garamond" w:hAnsi="Garamond" w:cs="Garamond"/>
              <w:sz w:val="16"/>
              <w:szCs w:val="16"/>
            </w:rPr>
          </w:pPr>
        </w:p>
      </w:tc>
      <w:tc>
        <w:tcPr>
          <w:tcW w:w="7193" w:type="dxa"/>
          <w:shd w:val="clear" w:color="auto" w:fill="auto"/>
        </w:tcPr>
        <w:p w14:paraId="3738DBB2" w14:textId="77777777" w:rsidR="00286EFA" w:rsidRDefault="00286EFA">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9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13"/>
            <w:gridCol w:w="4225"/>
          </w:tblGrid>
          <w:tr w:rsidR="00286EFA" w14:paraId="4D2B0B91" w14:textId="77777777">
            <w:trPr>
              <w:trHeight w:val="128"/>
            </w:trPr>
            <w:tc>
              <w:tcPr>
                <w:tcW w:w="3713" w:type="dxa"/>
                <w:vAlign w:val="bottom"/>
              </w:tcPr>
              <w:p w14:paraId="1B5118A7"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25" w:type="dxa"/>
              </w:tcPr>
              <w:p w14:paraId="112B821B" w14:textId="77777777" w:rsidR="00286EFA" w:rsidRDefault="00FA61F8">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0161/INFOEM/IP/RR/2025</w:t>
                </w:r>
              </w:p>
            </w:tc>
          </w:tr>
          <w:tr w:rsidR="00286EFA" w14:paraId="72AC9380" w14:textId="77777777">
            <w:trPr>
              <w:trHeight w:val="251"/>
            </w:trPr>
            <w:tc>
              <w:tcPr>
                <w:tcW w:w="3713" w:type="dxa"/>
              </w:tcPr>
              <w:p w14:paraId="076797A4"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25" w:type="dxa"/>
              </w:tcPr>
              <w:p w14:paraId="2C311983" w14:textId="77777777" w:rsidR="00286EFA" w:rsidRDefault="00FA61F8">
                <w:pPr>
                  <w:tabs>
                    <w:tab w:val="right" w:pos="8838"/>
                  </w:tabs>
                  <w:ind w:left="-28" w:right="100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Tenancingo</w:t>
                </w:r>
              </w:p>
            </w:tc>
          </w:tr>
          <w:tr w:rsidR="00286EFA" w14:paraId="1E47B5EF" w14:textId="77777777">
            <w:trPr>
              <w:trHeight w:val="251"/>
            </w:trPr>
            <w:tc>
              <w:tcPr>
                <w:tcW w:w="3713" w:type="dxa"/>
              </w:tcPr>
              <w:p w14:paraId="61A37854"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25" w:type="dxa"/>
              </w:tcPr>
              <w:p w14:paraId="574C1ED5" w14:textId="77777777" w:rsidR="00286EFA" w:rsidRDefault="00FA61F8">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401B6286" w14:textId="77777777" w:rsidR="00286EFA" w:rsidRDefault="00286EFA">
          <w:pPr>
            <w:tabs>
              <w:tab w:val="right" w:pos="8838"/>
            </w:tabs>
            <w:ind w:left="-28"/>
            <w:rPr>
              <w:rFonts w:ascii="Arial" w:eastAsia="Arial" w:hAnsi="Arial" w:cs="Arial"/>
              <w:b/>
            </w:rPr>
          </w:pPr>
        </w:p>
      </w:tc>
    </w:tr>
  </w:tbl>
  <w:p w14:paraId="022020B2" w14:textId="77777777" w:rsidR="00286EFA" w:rsidRDefault="00286EFA">
    <w:pPr>
      <w:pBdr>
        <w:top w:val="nil"/>
        <w:left w:val="nil"/>
        <w:bottom w:val="nil"/>
        <w:right w:val="nil"/>
        <w:between w:val="nil"/>
      </w:pBdr>
      <w:tabs>
        <w:tab w:val="center" w:pos="4419"/>
        <w:tab w:val="right" w:pos="8838"/>
      </w:tabs>
      <w:rPr>
        <w:color w:val="000000"/>
        <w:sz w:val="14"/>
        <w:szCs w:val="14"/>
      </w:rPr>
    </w:pPr>
  </w:p>
  <w:p w14:paraId="2592ED43" w14:textId="77777777" w:rsidR="00286EFA" w:rsidRDefault="00286EFA">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2ADC" w14:textId="77777777" w:rsidR="00286EFA" w:rsidRDefault="00286EFA">
    <w:pPr>
      <w:widowControl w:val="0"/>
      <w:pBdr>
        <w:top w:val="nil"/>
        <w:left w:val="nil"/>
        <w:bottom w:val="nil"/>
        <w:right w:val="nil"/>
        <w:between w:val="nil"/>
      </w:pBdr>
      <w:spacing w:line="276" w:lineRule="auto"/>
      <w:rPr>
        <w:color w:val="000000"/>
        <w:sz w:val="14"/>
        <w:szCs w:val="14"/>
      </w:rPr>
    </w:pPr>
  </w:p>
  <w:tbl>
    <w:tblPr>
      <w:tblStyle w:val="a1"/>
      <w:tblW w:w="6946" w:type="dxa"/>
      <w:tblInd w:w="2268" w:type="dxa"/>
      <w:tblBorders>
        <w:top w:val="nil"/>
        <w:left w:val="nil"/>
        <w:bottom w:val="nil"/>
        <w:right w:val="nil"/>
        <w:insideH w:val="nil"/>
        <w:insideV w:val="nil"/>
      </w:tblBorders>
      <w:tblLayout w:type="fixed"/>
      <w:tblLook w:val="0400" w:firstRow="0" w:lastRow="0" w:firstColumn="0" w:lastColumn="0" w:noHBand="0" w:noVBand="1"/>
    </w:tblPr>
    <w:tblGrid>
      <w:gridCol w:w="3828"/>
      <w:gridCol w:w="3118"/>
    </w:tblGrid>
    <w:tr w:rsidR="00286EFA" w14:paraId="34378C95" w14:textId="77777777">
      <w:trPr>
        <w:trHeight w:val="302"/>
      </w:trPr>
      <w:tc>
        <w:tcPr>
          <w:tcW w:w="3828" w:type="dxa"/>
        </w:tcPr>
        <w:p w14:paraId="6DCB23CB"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118" w:type="dxa"/>
        </w:tcPr>
        <w:p w14:paraId="252915D7" w14:textId="77777777" w:rsidR="00286EFA" w:rsidRDefault="00FA61F8">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0161/INFOEM/IP/RR/2025</w:t>
          </w:r>
        </w:p>
      </w:tc>
    </w:tr>
    <w:tr w:rsidR="00286EFA" w14:paraId="1BE66283" w14:textId="77777777">
      <w:trPr>
        <w:trHeight w:val="110"/>
      </w:trPr>
      <w:tc>
        <w:tcPr>
          <w:tcW w:w="3828" w:type="dxa"/>
        </w:tcPr>
        <w:p w14:paraId="521901CD"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118" w:type="dxa"/>
        </w:tcPr>
        <w:p w14:paraId="2466EEDD" w14:textId="4BFC796C" w:rsidR="00286EFA" w:rsidRDefault="00DB01C3">
          <w:pPr>
            <w:jc w:val="both"/>
            <w:rPr>
              <w:rFonts w:ascii="Palatino Linotype" w:eastAsia="Palatino Linotype" w:hAnsi="Palatino Linotype" w:cs="Palatino Linotype"/>
              <w:sz w:val="22"/>
              <w:szCs w:val="22"/>
            </w:rPr>
          </w:pPr>
          <w:r w:rsidRPr="00DB01C3">
            <w:rPr>
              <w:rFonts w:ascii="Palatino Linotype" w:eastAsia="Palatino Linotype" w:hAnsi="Palatino Linotype" w:cs="Palatino Linotype"/>
              <w:sz w:val="22"/>
              <w:szCs w:val="22"/>
              <w:highlight w:val="black"/>
            </w:rPr>
            <w:t>XXXXXXXXXXXXXXXXXXX</w:t>
          </w:r>
        </w:p>
      </w:tc>
    </w:tr>
    <w:tr w:rsidR="00286EFA" w14:paraId="2CE1D2F3" w14:textId="77777777">
      <w:trPr>
        <w:trHeight w:val="248"/>
      </w:trPr>
      <w:tc>
        <w:tcPr>
          <w:tcW w:w="3828" w:type="dxa"/>
        </w:tcPr>
        <w:p w14:paraId="705E0757"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118" w:type="dxa"/>
        </w:tcPr>
        <w:p w14:paraId="624C86F2" w14:textId="77777777" w:rsidR="00286EFA" w:rsidRDefault="00FA61F8">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Ayuntamiento de Tenancingo</w:t>
          </w:r>
        </w:p>
      </w:tc>
    </w:tr>
    <w:tr w:rsidR="00286EFA" w14:paraId="567611E9" w14:textId="77777777">
      <w:trPr>
        <w:trHeight w:val="248"/>
      </w:trPr>
      <w:tc>
        <w:tcPr>
          <w:tcW w:w="3828" w:type="dxa"/>
        </w:tcPr>
        <w:p w14:paraId="6E66705E" w14:textId="77777777" w:rsidR="00286EFA" w:rsidRDefault="00FA61F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118" w:type="dxa"/>
        </w:tcPr>
        <w:p w14:paraId="6AF1B9E9" w14:textId="77777777" w:rsidR="00286EFA" w:rsidRDefault="00FA61F8">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0A99F1A3" w14:textId="77777777" w:rsidR="00286EFA" w:rsidRDefault="00000000">
    <w:pPr>
      <w:ind w:right="-312"/>
    </w:pPr>
    <w:r>
      <w:pict w14:anchorId="2A06B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marcaaguaINFOEM" style="position:absolute;margin-left:-92.55pt;margin-top:-120.95pt;width:663.5pt;height:12in;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3E4D"/>
    <w:multiLevelType w:val="multilevel"/>
    <w:tmpl w:val="86FE66C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3A9653E8"/>
    <w:multiLevelType w:val="multilevel"/>
    <w:tmpl w:val="759C6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DE6470"/>
    <w:multiLevelType w:val="multilevel"/>
    <w:tmpl w:val="ADF62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FF3072"/>
    <w:multiLevelType w:val="multilevel"/>
    <w:tmpl w:val="86E47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4689323">
    <w:abstractNumId w:val="2"/>
  </w:num>
  <w:num w:numId="2" w16cid:durableId="501169238">
    <w:abstractNumId w:val="3"/>
  </w:num>
  <w:num w:numId="3" w16cid:durableId="524707288">
    <w:abstractNumId w:val="1"/>
  </w:num>
  <w:num w:numId="4" w16cid:durableId="189126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FA"/>
    <w:rsid w:val="001C47AF"/>
    <w:rsid w:val="00286EFA"/>
    <w:rsid w:val="00293D4C"/>
    <w:rsid w:val="005B671F"/>
    <w:rsid w:val="00916660"/>
    <w:rsid w:val="00DB01C3"/>
    <w:rsid w:val="00EA45A1"/>
    <w:rsid w:val="00EA6469"/>
    <w:rsid w:val="00FA61F8"/>
    <w:rsid w:val="00FD5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6B65D"/>
  <w15:docId w15:val="{F1F43B96-2873-4356-8DEC-3F1DB969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90"/>
    <w:rPr>
      <w:lang w:eastAsia="es-ES"/>
    </w:rPr>
  </w:style>
  <w:style w:type="paragraph" w:styleId="Ttulo1">
    <w:name w:val="heading 1"/>
    <w:basedOn w:val="Normal"/>
    <w:next w:val="Normal"/>
    <w:link w:val="Ttulo1Car"/>
    <w:uiPriority w:val="9"/>
    <w:qFormat/>
    <w:rsid w:val="007916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916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9169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9169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9169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916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916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916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916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91690"/>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9169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9169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9169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9169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9169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9169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9169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9169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91690"/>
    <w:rPr>
      <w:rFonts w:eastAsiaTheme="majorEastAsia" w:cstheme="majorBidi"/>
      <w:color w:val="272727" w:themeColor="text1" w:themeTint="D8"/>
    </w:rPr>
  </w:style>
  <w:style w:type="character" w:customStyle="1" w:styleId="TtuloCar">
    <w:name w:val="Título Car"/>
    <w:basedOn w:val="Fuentedeprrafopredeter"/>
    <w:link w:val="Ttulo"/>
    <w:uiPriority w:val="10"/>
    <w:rsid w:val="007916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79169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91690"/>
    <w:pPr>
      <w:spacing w:before="160"/>
      <w:jc w:val="center"/>
    </w:pPr>
    <w:rPr>
      <w:i/>
      <w:iCs/>
      <w:color w:val="404040" w:themeColor="text1" w:themeTint="BF"/>
    </w:rPr>
  </w:style>
  <w:style w:type="character" w:customStyle="1" w:styleId="CitaCar">
    <w:name w:val="Cita Car"/>
    <w:basedOn w:val="Fuentedeprrafopredeter"/>
    <w:link w:val="Cita"/>
    <w:uiPriority w:val="29"/>
    <w:rsid w:val="0079169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690"/>
    <w:pPr>
      <w:ind w:left="720"/>
      <w:contextualSpacing/>
    </w:pPr>
  </w:style>
  <w:style w:type="character" w:styleId="nfasisintenso">
    <w:name w:val="Intense Emphasis"/>
    <w:basedOn w:val="Fuentedeprrafopredeter"/>
    <w:uiPriority w:val="21"/>
    <w:qFormat/>
    <w:rsid w:val="00791690"/>
    <w:rPr>
      <w:i/>
      <w:iCs/>
      <w:color w:val="2F5496" w:themeColor="accent1" w:themeShade="BF"/>
    </w:rPr>
  </w:style>
  <w:style w:type="paragraph" w:styleId="Citadestacada">
    <w:name w:val="Intense Quote"/>
    <w:basedOn w:val="Normal"/>
    <w:next w:val="Normal"/>
    <w:link w:val="CitadestacadaCar"/>
    <w:uiPriority w:val="30"/>
    <w:qFormat/>
    <w:rsid w:val="0079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91690"/>
    <w:rPr>
      <w:i/>
      <w:iCs/>
      <w:color w:val="2F5496" w:themeColor="accent1" w:themeShade="BF"/>
    </w:rPr>
  </w:style>
  <w:style w:type="character" w:styleId="Referenciaintensa">
    <w:name w:val="Intense Reference"/>
    <w:basedOn w:val="Fuentedeprrafopredeter"/>
    <w:uiPriority w:val="32"/>
    <w:qFormat/>
    <w:rsid w:val="00791690"/>
    <w:rPr>
      <w:b/>
      <w:bCs/>
      <w:smallCaps/>
      <w:color w:val="2F5496" w:themeColor="accent1" w:themeShade="BF"/>
      <w:spacing w:val="5"/>
    </w:rPr>
  </w:style>
  <w:style w:type="paragraph" w:styleId="Encabezado">
    <w:name w:val="header"/>
    <w:basedOn w:val="Normal"/>
    <w:link w:val="EncabezadoCar"/>
    <w:uiPriority w:val="99"/>
    <w:unhideWhenUsed/>
    <w:rsid w:val="00791690"/>
    <w:pPr>
      <w:tabs>
        <w:tab w:val="center" w:pos="4419"/>
        <w:tab w:val="right" w:pos="8838"/>
      </w:tabs>
    </w:pPr>
  </w:style>
  <w:style w:type="character" w:customStyle="1" w:styleId="EncabezadoCar">
    <w:name w:val="Encabezado Car"/>
    <w:basedOn w:val="Fuentedeprrafopredeter"/>
    <w:link w:val="Encabezado"/>
    <w:uiPriority w:val="99"/>
    <w:rsid w:val="0079169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791690"/>
    <w:pPr>
      <w:tabs>
        <w:tab w:val="center" w:pos="4419"/>
        <w:tab w:val="right" w:pos="8838"/>
      </w:tabs>
    </w:pPr>
  </w:style>
  <w:style w:type="character" w:customStyle="1" w:styleId="PiedepginaCar">
    <w:name w:val="Pie de página Car"/>
    <w:basedOn w:val="Fuentedeprrafopredeter"/>
    <w:link w:val="Piedepgina"/>
    <w:uiPriority w:val="99"/>
    <w:rsid w:val="0079169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791690"/>
  </w:style>
  <w:style w:type="table" w:styleId="Tablaconcuadrcula">
    <w:name w:val="Table Grid"/>
    <w:basedOn w:val="Tablanormal"/>
    <w:uiPriority w:val="39"/>
    <w:rsid w:val="00791690"/>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1690"/>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791690"/>
    <w:rPr>
      <w:color w:val="0563C1" w:themeColor="hyperlink"/>
      <w:u w:val="single"/>
    </w:rPr>
  </w:style>
  <w:style w:type="paragraph" w:styleId="TtuloTDC">
    <w:name w:val="TOC Heading"/>
    <w:basedOn w:val="Ttulo1"/>
    <w:next w:val="Normal"/>
    <w:uiPriority w:val="39"/>
    <w:unhideWhenUsed/>
    <w:qFormat/>
    <w:rsid w:val="00791690"/>
    <w:pPr>
      <w:spacing w:before="240" w:after="0"/>
      <w:outlineLvl w:val="9"/>
    </w:pPr>
    <w:rPr>
      <w:sz w:val="32"/>
      <w:szCs w:val="32"/>
      <w:lang w:eastAsia="es-MX"/>
    </w:rPr>
  </w:style>
  <w:style w:type="paragraph" w:styleId="TDC1">
    <w:name w:val="toc 1"/>
    <w:basedOn w:val="Normal"/>
    <w:next w:val="Normal"/>
    <w:autoRedefine/>
    <w:uiPriority w:val="39"/>
    <w:unhideWhenUsed/>
    <w:rsid w:val="00791690"/>
    <w:pPr>
      <w:spacing w:after="100"/>
    </w:pPr>
  </w:style>
  <w:style w:type="paragraph" w:styleId="TDC2">
    <w:name w:val="toc 2"/>
    <w:basedOn w:val="Normal"/>
    <w:next w:val="Normal"/>
    <w:autoRedefine/>
    <w:uiPriority w:val="39"/>
    <w:unhideWhenUsed/>
    <w:rsid w:val="00791690"/>
    <w:pPr>
      <w:spacing w:after="100"/>
      <w:ind w:left="200"/>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TXUG3pZWvcw6BYkYwGufCHfVmA==">CgMxLjAyCGguZ2pkZ3hzMgloLjMwajB6bGwyCWguMWZvYjl0ZTgAciExMXIyRkotRTNhcUJLMmNMM1hnb3FUTGRTY0poUGdkbE0=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5090</Words>
  <Characters>27998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PEÑA VARA</dc:creator>
  <cp:lastModifiedBy>IVAN PEÑA VARA</cp:lastModifiedBy>
  <cp:revision>4</cp:revision>
  <cp:lastPrinted>2025-02-07T21:13:00Z</cp:lastPrinted>
  <dcterms:created xsi:type="dcterms:W3CDTF">2025-02-07T21:12:00Z</dcterms:created>
  <dcterms:modified xsi:type="dcterms:W3CDTF">2025-02-17T16:28:00Z</dcterms:modified>
</cp:coreProperties>
</file>