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5181D" w14:textId="77777777" w:rsidR="00294DB4" w:rsidRPr="00AD0632" w:rsidRDefault="002015D9">
      <w:pP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AD0632">
        <w:rPr>
          <w:rFonts w:ascii="Palatino Linotype" w:eastAsia="Palatino Linotype" w:hAnsi="Palatino Linotype" w:cs="Palatino Linotype"/>
          <w:b/>
          <w:bCs/>
          <w:sz w:val="22"/>
          <w:szCs w:val="22"/>
        </w:rPr>
        <w:t>veinticinco de noviembre</w:t>
      </w:r>
      <w:r w:rsidRPr="00AD0632">
        <w:rPr>
          <w:rFonts w:ascii="Palatino Linotype" w:eastAsia="Palatino Linotype" w:hAnsi="Palatino Linotype" w:cs="Palatino Linotype"/>
          <w:sz w:val="22"/>
          <w:szCs w:val="22"/>
        </w:rPr>
        <w:t xml:space="preserve"> </w:t>
      </w:r>
      <w:r w:rsidRPr="00AD0632">
        <w:rPr>
          <w:rFonts w:ascii="Palatino Linotype" w:eastAsia="Palatino Linotype" w:hAnsi="Palatino Linotype" w:cs="Palatino Linotype"/>
          <w:b/>
          <w:bCs/>
          <w:sz w:val="22"/>
          <w:szCs w:val="22"/>
        </w:rPr>
        <w:t>de dos mil veinticinco.</w:t>
      </w:r>
    </w:p>
    <w:p w14:paraId="63DABD6A" w14:textId="77777777" w:rsidR="00294DB4" w:rsidRPr="00AD0632" w:rsidRDefault="00294DB4">
      <w:pPr>
        <w:spacing w:line="360" w:lineRule="auto"/>
        <w:ind w:right="49"/>
        <w:jc w:val="both"/>
        <w:rPr>
          <w:rFonts w:ascii="Palatino Linotype" w:eastAsia="Palatino Linotype" w:hAnsi="Palatino Linotype" w:cs="Palatino Linotype"/>
          <w:sz w:val="22"/>
          <w:szCs w:val="22"/>
        </w:rPr>
      </w:pPr>
    </w:p>
    <w:p w14:paraId="59A18424" w14:textId="77777777" w:rsidR="00294DB4" w:rsidRPr="00AD0632" w:rsidRDefault="002015D9">
      <w:pP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 xml:space="preserve">VISTOS </w:t>
      </w:r>
      <w:r w:rsidRPr="00AD0632">
        <w:rPr>
          <w:rFonts w:ascii="Palatino Linotype" w:eastAsia="Palatino Linotype" w:hAnsi="Palatino Linotype" w:cs="Palatino Linotype"/>
          <w:sz w:val="22"/>
          <w:szCs w:val="22"/>
        </w:rPr>
        <w:t xml:space="preserve">los expedientes relativos a los recursos de revisión </w:t>
      </w:r>
      <w:r w:rsidRPr="00AD0632">
        <w:rPr>
          <w:rFonts w:ascii="Palatino Linotype" w:eastAsia="Palatino Linotype" w:hAnsi="Palatino Linotype" w:cs="Palatino Linotype"/>
          <w:b/>
          <w:bCs/>
          <w:sz w:val="22"/>
          <w:szCs w:val="22"/>
        </w:rPr>
        <w:t xml:space="preserve">09469/INFOEM/IP/RR/2025 y 09470/INFOEM/IP/RR/2025, </w:t>
      </w:r>
      <w:r w:rsidRPr="00AD0632">
        <w:rPr>
          <w:rFonts w:ascii="Palatino Linotype" w:eastAsia="Palatino Linotype" w:hAnsi="Palatino Linotype" w:cs="Palatino Linotype"/>
          <w:sz w:val="22"/>
          <w:szCs w:val="22"/>
        </w:rPr>
        <w:t xml:space="preserve">interpuestos por un </w:t>
      </w:r>
      <w:r w:rsidRPr="00AD0632">
        <w:rPr>
          <w:rFonts w:ascii="Palatino Linotype" w:eastAsia="Palatino Linotype" w:hAnsi="Palatino Linotype" w:cs="Palatino Linotype"/>
          <w:b/>
          <w:bCs/>
          <w:sz w:val="22"/>
          <w:szCs w:val="22"/>
        </w:rPr>
        <w:t xml:space="preserve">Usuario que no proporcionó su nombre, </w:t>
      </w:r>
      <w:r w:rsidRPr="00AD0632">
        <w:rPr>
          <w:rFonts w:ascii="Palatino Linotype" w:eastAsia="Palatino Linotype" w:hAnsi="Palatino Linotype" w:cs="Palatino Linotype"/>
          <w:sz w:val="22"/>
          <w:szCs w:val="22"/>
        </w:rPr>
        <w:t xml:space="preserve">en lo sucesivo la parte </w:t>
      </w:r>
      <w:r w:rsidRPr="00AD0632">
        <w:rPr>
          <w:rFonts w:ascii="Palatino Linotype" w:eastAsia="Palatino Linotype" w:hAnsi="Palatino Linotype" w:cs="Palatino Linotype"/>
          <w:b/>
          <w:bCs/>
          <w:sz w:val="22"/>
          <w:szCs w:val="22"/>
        </w:rPr>
        <w:t>Recurrente</w:t>
      </w:r>
      <w:r w:rsidRPr="00AD0632">
        <w:rPr>
          <w:rFonts w:ascii="Palatino Linotype" w:eastAsia="Palatino Linotype" w:hAnsi="Palatino Linotype" w:cs="Palatino Linotype"/>
          <w:sz w:val="22"/>
          <w:szCs w:val="22"/>
        </w:rPr>
        <w:t xml:space="preserve">, en contra de la falta de respuestas a las solicitudes de información por parte del </w:t>
      </w:r>
      <w:r w:rsidRPr="00AD0632">
        <w:rPr>
          <w:rFonts w:ascii="Palatino Linotype" w:eastAsia="Palatino Linotype" w:hAnsi="Palatino Linotype" w:cs="Palatino Linotype"/>
          <w:b/>
          <w:bCs/>
          <w:sz w:val="22"/>
          <w:szCs w:val="22"/>
        </w:rPr>
        <w:t>Ayuntamiento de Tepotzotlán</w:t>
      </w:r>
      <w:r w:rsidRPr="00AD0632">
        <w:rPr>
          <w:rFonts w:ascii="Palatino Linotype" w:eastAsia="Palatino Linotype" w:hAnsi="Palatino Linotype" w:cs="Palatino Linotype"/>
          <w:sz w:val="22"/>
          <w:szCs w:val="22"/>
        </w:rPr>
        <w:t xml:space="preserve">, en lo sucesivo el </w:t>
      </w:r>
      <w:r w:rsidRPr="00AD0632">
        <w:rPr>
          <w:rFonts w:ascii="Palatino Linotype" w:eastAsia="Palatino Linotype" w:hAnsi="Palatino Linotype" w:cs="Palatino Linotype"/>
          <w:b/>
          <w:bCs/>
          <w:sz w:val="22"/>
          <w:szCs w:val="22"/>
        </w:rPr>
        <w:t xml:space="preserve">Sujeto Obligado; </w:t>
      </w:r>
      <w:r w:rsidRPr="00AD0632">
        <w:rPr>
          <w:rFonts w:ascii="Palatino Linotype" w:eastAsia="Palatino Linotype" w:hAnsi="Palatino Linotype" w:cs="Palatino Linotype"/>
          <w:sz w:val="22"/>
          <w:szCs w:val="22"/>
        </w:rPr>
        <w:t>se procede a dictar la presente resolución, con base en lo siguiente.</w:t>
      </w:r>
    </w:p>
    <w:p w14:paraId="245743DA" w14:textId="77777777" w:rsidR="00294DB4" w:rsidRPr="00AD0632" w:rsidRDefault="00294DB4">
      <w:pPr>
        <w:spacing w:line="360" w:lineRule="auto"/>
        <w:ind w:right="49"/>
        <w:jc w:val="both"/>
        <w:rPr>
          <w:rFonts w:ascii="Palatino Linotype" w:eastAsia="Palatino Linotype" w:hAnsi="Palatino Linotype" w:cs="Palatino Linotype"/>
          <w:sz w:val="22"/>
          <w:szCs w:val="22"/>
        </w:rPr>
      </w:pPr>
    </w:p>
    <w:p w14:paraId="42D2D5D1" w14:textId="77777777" w:rsidR="00294DB4" w:rsidRPr="00AD0632" w:rsidRDefault="002015D9">
      <w:pPr>
        <w:spacing w:line="360" w:lineRule="auto"/>
        <w:ind w:right="49"/>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I.</w:t>
      </w:r>
      <w:r w:rsidRPr="00AD0632">
        <w:rPr>
          <w:rFonts w:ascii="Palatino Linotype" w:eastAsia="Palatino Linotype" w:hAnsi="Palatino Linotype" w:cs="Palatino Linotype"/>
          <w:b/>
          <w:bCs/>
          <w:sz w:val="22"/>
          <w:szCs w:val="22"/>
        </w:rPr>
        <w:tab/>
        <w:t>A N T E C E D E N T E S</w:t>
      </w:r>
    </w:p>
    <w:p w14:paraId="2D6181AD" w14:textId="77777777" w:rsidR="00294DB4" w:rsidRPr="00AD0632" w:rsidRDefault="00294DB4">
      <w:pPr>
        <w:spacing w:line="360" w:lineRule="auto"/>
        <w:ind w:right="49"/>
        <w:jc w:val="both"/>
        <w:rPr>
          <w:rFonts w:ascii="Palatino Linotype" w:eastAsia="Palatino Linotype" w:hAnsi="Palatino Linotype" w:cs="Palatino Linotype"/>
          <w:sz w:val="22"/>
          <w:szCs w:val="22"/>
        </w:rPr>
      </w:pPr>
    </w:p>
    <w:p w14:paraId="10B8A005"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1.</w:t>
      </w:r>
      <w:r w:rsidRPr="00AD0632">
        <w:rPr>
          <w:rFonts w:ascii="Palatino Linotype" w:eastAsia="Palatino Linotype" w:hAnsi="Palatino Linotype" w:cs="Palatino Linotype"/>
          <w:sz w:val="22"/>
          <w:szCs w:val="22"/>
        </w:rPr>
        <w:t xml:space="preserve"> </w:t>
      </w:r>
      <w:r w:rsidRPr="00AD0632">
        <w:rPr>
          <w:rFonts w:ascii="Palatino Linotype" w:eastAsia="Palatino Linotype" w:hAnsi="Palatino Linotype" w:cs="Palatino Linotype"/>
          <w:b/>
          <w:bCs/>
          <w:sz w:val="22"/>
          <w:szCs w:val="22"/>
        </w:rPr>
        <w:t>Solicitud de Acceso a la Información. El diecisiete de junio de dos mil veinticinco</w:t>
      </w:r>
      <w:r w:rsidRPr="00AD0632">
        <w:rPr>
          <w:rFonts w:ascii="Palatino Linotype" w:eastAsia="Palatino Linotype" w:hAnsi="Palatino Linotype" w:cs="Palatino Linotype"/>
          <w:sz w:val="22"/>
          <w:szCs w:val="22"/>
        </w:rPr>
        <w:t xml:space="preserve">, </w:t>
      </w:r>
      <w:r w:rsidRPr="00AD0632">
        <w:rPr>
          <w:rFonts w:ascii="Palatino Linotype" w:eastAsia="Palatino Linotype" w:hAnsi="Palatino Linotype" w:cs="Palatino Linotype"/>
          <w:b/>
          <w:bCs/>
          <w:sz w:val="22"/>
          <w:szCs w:val="22"/>
        </w:rPr>
        <w:t>LA PARTE</w:t>
      </w:r>
      <w:r w:rsidRPr="00AD0632">
        <w:rPr>
          <w:rFonts w:ascii="Palatino Linotype" w:eastAsia="Palatino Linotype" w:hAnsi="Palatino Linotype" w:cs="Palatino Linotype"/>
          <w:sz w:val="22"/>
          <w:szCs w:val="22"/>
        </w:rPr>
        <w:t xml:space="preserve"> </w:t>
      </w:r>
      <w:r w:rsidRPr="00AD0632">
        <w:rPr>
          <w:rFonts w:ascii="Palatino Linotype" w:eastAsia="Palatino Linotype" w:hAnsi="Palatino Linotype" w:cs="Palatino Linotype"/>
          <w:b/>
          <w:bCs/>
          <w:sz w:val="22"/>
          <w:szCs w:val="22"/>
        </w:rPr>
        <w:t>RECURRENTE</w:t>
      </w:r>
      <w:r w:rsidRPr="00AD0632">
        <w:rPr>
          <w:rFonts w:ascii="Palatino Linotype" w:eastAsia="Palatino Linotype" w:hAnsi="Palatino Linotype" w:cs="Palatino Linotype"/>
          <w:sz w:val="22"/>
          <w:szCs w:val="22"/>
        </w:rPr>
        <w:t xml:space="preserve"> formuló solicitud de acceso a información pública a través del </w:t>
      </w:r>
      <w:r w:rsidRPr="00AD0632">
        <w:rPr>
          <w:rFonts w:ascii="Palatino Linotype" w:eastAsia="Palatino Linotype" w:hAnsi="Palatino Linotype" w:cs="Palatino Linotype"/>
          <w:b/>
          <w:bCs/>
          <w:sz w:val="22"/>
          <w:szCs w:val="22"/>
        </w:rPr>
        <w:t>SAIMEX</w:t>
      </w:r>
      <w:r w:rsidRPr="00AD0632">
        <w:rPr>
          <w:rFonts w:ascii="Palatino Linotype" w:eastAsia="Palatino Linotype" w:hAnsi="Palatino Linotype" w:cs="Palatino Linotype"/>
          <w:sz w:val="22"/>
          <w:szCs w:val="22"/>
        </w:rPr>
        <w:t>, en la que requirió lo siguiente:</w:t>
      </w:r>
    </w:p>
    <w:p w14:paraId="15DF8EF3" w14:textId="77777777" w:rsidR="00294DB4" w:rsidRPr="00AD0632" w:rsidRDefault="00294DB4">
      <w:pPr>
        <w:spacing w:line="360" w:lineRule="auto"/>
        <w:jc w:val="both"/>
        <w:rPr>
          <w:rFonts w:ascii="Palatino Linotype" w:eastAsia="Palatino Linotype" w:hAnsi="Palatino Linotype" w:cs="Palatino Linotype"/>
          <w:sz w:val="22"/>
          <w:szCs w:val="22"/>
        </w:rPr>
      </w:pPr>
    </w:p>
    <w:tbl>
      <w:tblPr>
        <w:tblStyle w:val="afb"/>
        <w:tblW w:w="90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812"/>
      </w:tblGrid>
      <w:tr w:rsidR="005275CA" w:rsidRPr="00AD0632" w14:paraId="1A24884F" w14:textId="77777777">
        <w:trPr>
          <w:jc w:val="center"/>
        </w:trPr>
        <w:tc>
          <w:tcPr>
            <w:tcW w:w="3256" w:type="dxa"/>
          </w:tcPr>
          <w:p w14:paraId="3C7BBD6B" w14:textId="77777777" w:rsidR="00294DB4" w:rsidRPr="00AD0632" w:rsidRDefault="002015D9">
            <w:pPr>
              <w:spacing w:line="360" w:lineRule="auto"/>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Solicitud</w:t>
            </w:r>
          </w:p>
        </w:tc>
        <w:tc>
          <w:tcPr>
            <w:tcW w:w="5812" w:type="dxa"/>
          </w:tcPr>
          <w:p w14:paraId="721E9419" w14:textId="77777777" w:rsidR="00294DB4" w:rsidRPr="00AD0632" w:rsidRDefault="002015D9">
            <w:pPr>
              <w:spacing w:line="360" w:lineRule="auto"/>
              <w:ind w:right="167"/>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Información requerida.</w:t>
            </w:r>
          </w:p>
        </w:tc>
      </w:tr>
      <w:tr w:rsidR="005275CA" w:rsidRPr="00AD0632" w14:paraId="3A25A565" w14:textId="77777777">
        <w:trPr>
          <w:jc w:val="center"/>
        </w:trPr>
        <w:tc>
          <w:tcPr>
            <w:tcW w:w="3256" w:type="dxa"/>
          </w:tcPr>
          <w:p w14:paraId="068DF0AE" w14:textId="77777777" w:rsidR="00294DB4" w:rsidRPr="00AD0632" w:rsidRDefault="002015D9">
            <w:pPr>
              <w:pBdr>
                <w:top w:val="nil"/>
                <w:left w:val="nil"/>
                <w:bottom w:val="nil"/>
                <w:right w:val="nil"/>
                <w:between w:val="nil"/>
              </w:pBdr>
              <w:spacing w:line="360" w:lineRule="auto"/>
              <w:ind w:left="29" w:right="49"/>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00317/TEPOTZOT/IP/2025</w:t>
            </w:r>
          </w:p>
        </w:tc>
        <w:tc>
          <w:tcPr>
            <w:tcW w:w="5812" w:type="dxa"/>
          </w:tcPr>
          <w:p w14:paraId="0E56FC9C" w14:textId="77777777" w:rsidR="00294DB4" w:rsidRPr="00AD0632" w:rsidRDefault="002015D9">
            <w:pPr>
              <w:spacing w:line="360" w:lineRule="auto"/>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Del programa social de entrega de cascos para la seguridad de los motociclistas, solicito el documento en el que se aprobó ese programa, el documento en donde se vea el presupuesto destinado para ese programa, la comprobación de todos los cascos entregados, el procedimiento completo para la compra de esos cascos, la certificación de calidad o de categoría que tienen </w:t>
            </w:r>
            <w:r w:rsidRPr="00AD0632">
              <w:rPr>
                <w:rFonts w:ascii="Palatino Linotype" w:eastAsia="Palatino Linotype" w:hAnsi="Palatino Linotype" w:cs="Palatino Linotype"/>
                <w:i/>
                <w:iCs/>
                <w:sz w:val="22"/>
                <w:szCs w:val="22"/>
              </w:rPr>
              <w:lastRenderedPageBreak/>
              <w:t>esos cascos, en cada caso la misma información correspondiente a cada año 2024, 2023, y 2022.</w:t>
            </w:r>
          </w:p>
        </w:tc>
      </w:tr>
      <w:tr w:rsidR="005275CA" w:rsidRPr="00AD0632" w14:paraId="0C36FA8A" w14:textId="77777777">
        <w:trPr>
          <w:jc w:val="center"/>
        </w:trPr>
        <w:tc>
          <w:tcPr>
            <w:tcW w:w="3256" w:type="dxa"/>
          </w:tcPr>
          <w:p w14:paraId="5146DA6C" w14:textId="77777777" w:rsidR="00294DB4" w:rsidRPr="00AD0632" w:rsidRDefault="002015D9">
            <w:pPr>
              <w:spacing w:line="360" w:lineRule="auto"/>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lastRenderedPageBreak/>
              <w:t>00318/TEPOTZOT/IP/2025</w:t>
            </w:r>
          </w:p>
        </w:tc>
        <w:tc>
          <w:tcPr>
            <w:tcW w:w="5812" w:type="dxa"/>
          </w:tcPr>
          <w:p w14:paraId="26364D0F" w14:textId="77777777" w:rsidR="00294DB4" w:rsidRPr="00AD0632" w:rsidRDefault="002015D9">
            <w:pPr>
              <w:spacing w:line="360" w:lineRule="auto"/>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Del programa social de entrega de cascos para la seguridad de los motociclistas, solicito el documento en el que se aprobó ese programa, el documento en donde se vea el presupuesto destinado para ese programa, la comprobación de todos los cascos entregados, el procedimiento completo para la compra de esos cascos, la certificación de calidad o de categoría que tienen esos cascos, en cada caso la misma información correspondiente a cada año 2024, 2023, y 2022.</w:t>
            </w:r>
          </w:p>
        </w:tc>
      </w:tr>
    </w:tbl>
    <w:p w14:paraId="34363B8D"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1F976BA3" w14:textId="77777777" w:rsidR="00294DB4" w:rsidRPr="00AD0632" w:rsidRDefault="002015D9">
      <w:pPr>
        <w:spacing w:line="360" w:lineRule="auto"/>
        <w:ind w:right="49"/>
        <w:jc w:val="both"/>
        <w:rPr>
          <w:rFonts w:ascii="Palatino Linotype" w:eastAsia="Palatino Linotype" w:hAnsi="Palatino Linotype" w:cs="Palatino Linotype"/>
          <w:sz w:val="22"/>
          <w:szCs w:val="22"/>
        </w:rPr>
      </w:pPr>
      <w:bookmarkStart w:id="0" w:name="_heading=h.3znysh7" w:colFirst="0" w:colLast="0"/>
      <w:bookmarkEnd w:id="0"/>
      <w:r w:rsidRPr="00AD0632">
        <w:rPr>
          <w:rFonts w:ascii="Palatino Linotype" w:eastAsia="Palatino Linotype" w:hAnsi="Palatino Linotype" w:cs="Palatino Linotype"/>
          <w:b/>
          <w:bCs/>
          <w:sz w:val="22"/>
          <w:szCs w:val="22"/>
        </w:rPr>
        <w:t>Modalidad elegida para la entrega de la información:</w:t>
      </w:r>
      <w:r w:rsidRPr="00AD0632">
        <w:rPr>
          <w:rFonts w:ascii="Palatino Linotype" w:eastAsia="Palatino Linotype" w:hAnsi="Palatino Linotype" w:cs="Palatino Linotype"/>
          <w:sz w:val="22"/>
          <w:szCs w:val="22"/>
        </w:rPr>
        <w:t xml:space="preserve"> a través del Sistema de Acceso a la Información Mexiquense (SAIMEX).</w:t>
      </w:r>
    </w:p>
    <w:p w14:paraId="0F0916C6" w14:textId="77777777" w:rsidR="00294DB4" w:rsidRPr="00AD0632" w:rsidRDefault="00294DB4">
      <w:pPr>
        <w:widowControl w:val="0"/>
        <w:spacing w:line="360" w:lineRule="auto"/>
        <w:jc w:val="both"/>
        <w:rPr>
          <w:rFonts w:ascii="Palatino Linotype" w:eastAsia="Palatino Linotype" w:hAnsi="Palatino Linotype" w:cs="Palatino Linotype"/>
          <w:b/>
          <w:bCs/>
          <w:sz w:val="22"/>
          <w:szCs w:val="22"/>
        </w:rPr>
      </w:pPr>
    </w:p>
    <w:p w14:paraId="6ABB5323" w14:textId="77777777" w:rsidR="00294DB4" w:rsidRPr="00AD0632" w:rsidRDefault="002015D9">
      <w:pPr>
        <w:widowControl w:val="0"/>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2. Respuestas.</w:t>
      </w:r>
      <w:r w:rsidRPr="00AD0632">
        <w:rPr>
          <w:rFonts w:ascii="Palatino Linotype" w:eastAsia="Palatino Linotype" w:hAnsi="Palatino Linotype" w:cs="Palatino Linotype"/>
          <w:sz w:val="22"/>
          <w:szCs w:val="22"/>
        </w:rPr>
        <w:t xml:space="preserve"> De las constancias que obran en el expediente electrónico, se advierte que el Sujeto Obligado fue omiso en dar respuesta a las solicitudes.</w:t>
      </w:r>
    </w:p>
    <w:p w14:paraId="2F71622C" w14:textId="77777777" w:rsidR="00294DB4" w:rsidRPr="00AD0632" w:rsidRDefault="00294DB4">
      <w:pPr>
        <w:widowControl w:val="0"/>
        <w:spacing w:line="360" w:lineRule="auto"/>
        <w:jc w:val="both"/>
        <w:rPr>
          <w:rFonts w:ascii="Palatino Linotype" w:eastAsia="Palatino Linotype" w:hAnsi="Palatino Linotype" w:cs="Palatino Linotype"/>
          <w:sz w:val="22"/>
          <w:szCs w:val="22"/>
        </w:rPr>
      </w:pPr>
    </w:p>
    <w:p w14:paraId="2BD00083"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 xml:space="preserve">3. Del Recurso de Revisión. </w:t>
      </w:r>
      <w:r w:rsidRPr="00AD0632">
        <w:rPr>
          <w:rFonts w:ascii="Palatino Linotype" w:eastAsia="Palatino Linotype" w:hAnsi="Palatino Linotype" w:cs="Palatino Linotype"/>
          <w:sz w:val="22"/>
          <w:szCs w:val="22"/>
        </w:rPr>
        <w:t>Inconforme con la falta de respuestas del</w:t>
      </w:r>
      <w:r w:rsidRPr="00AD0632">
        <w:rPr>
          <w:rFonts w:ascii="Palatino Linotype" w:eastAsia="Palatino Linotype" w:hAnsi="Palatino Linotype" w:cs="Palatino Linotype"/>
          <w:b/>
          <w:bCs/>
          <w:sz w:val="22"/>
          <w:szCs w:val="22"/>
        </w:rPr>
        <w:t xml:space="preserve"> SUJETO OBLIGADO, </w:t>
      </w:r>
      <w:r w:rsidRPr="00AD0632">
        <w:rPr>
          <w:rFonts w:ascii="Palatino Linotype" w:eastAsia="Palatino Linotype" w:hAnsi="Palatino Linotype" w:cs="Palatino Linotype"/>
          <w:sz w:val="22"/>
          <w:szCs w:val="22"/>
        </w:rPr>
        <w:t xml:space="preserve">el </w:t>
      </w:r>
      <w:r w:rsidRPr="00AD0632">
        <w:rPr>
          <w:rFonts w:ascii="Palatino Linotype" w:eastAsia="Palatino Linotype" w:hAnsi="Palatino Linotype" w:cs="Palatino Linotype"/>
          <w:b/>
          <w:bCs/>
          <w:sz w:val="22"/>
          <w:szCs w:val="22"/>
        </w:rPr>
        <w:t xml:space="preserve">doce de agosto de dos mil veinticinco, LA PARTE RECURRENTE </w:t>
      </w:r>
      <w:r w:rsidRPr="00AD0632">
        <w:rPr>
          <w:rFonts w:ascii="Palatino Linotype" w:eastAsia="Palatino Linotype" w:hAnsi="Palatino Linotype" w:cs="Palatino Linotype"/>
          <w:sz w:val="22"/>
          <w:szCs w:val="22"/>
        </w:rPr>
        <w:t xml:space="preserve">interpuso los recursos de revisión, mediante los cuales y manifestó lo siguiente: </w:t>
      </w:r>
    </w:p>
    <w:p w14:paraId="65B062DA" w14:textId="77777777" w:rsidR="00294DB4" w:rsidRPr="00AD0632" w:rsidRDefault="00294DB4">
      <w:pPr>
        <w:spacing w:line="360" w:lineRule="auto"/>
        <w:jc w:val="both"/>
        <w:rPr>
          <w:rFonts w:ascii="Palatino Linotype" w:eastAsia="Palatino Linotype" w:hAnsi="Palatino Linotype" w:cs="Palatino Linotype"/>
          <w:sz w:val="22"/>
          <w:szCs w:val="22"/>
        </w:rPr>
      </w:pPr>
    </w:p>
    <w:tbl>
      <w:tblPr>
        <w:tblStyle w:val="afc"/>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5386"/>
      </w:tblGrid>
      <w:tr w:rsidR="005275CA" w:rsidRPr="00AD0632" w14:paraId="5CF0D23D" w14:textId="77777777">
        <w:tc>
          <w:tcPr>
            <w:tcW w:w="3686" w:type="dxa"/>
          </w:tcPr>
          <w:p w14:paraId="3ACD270D" w14:textId="77777777" w:rsidR="00294DB4" w:rsidRPr="00AD0632" w:rsidRDefault="002015D9">
            <w:pPr>
              <w:spacing w:line="360" w:lineRule="auto"/>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 xml:space="preserve">Recurso de revisión </w:t>
            </w:r>
          </w:p>
        </w:tc>
        <w:tc>
          <w:tcPr>
            <w:tcW w:w="5386" w:type="dxa"/>
          </w:tcPr>
          <w:p w14:paraId="6B60001A" w14:textId="77777777" w:rsidR="00294DB4" w:rsidRPr="00AD0632" w:rsidRDefault="002015D9">
            <w:pPr>
              <w:spacing w:line="360" w:lineRule="auto"/>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Agravio</w:t>
            </w:r>
          </w:p>
        </w:tc>
      </w:tr>
      <w:tr w:rsidR="005275CA" w:rsidRPr="00AD0632" w14:paraId="4E64C6EA" w14:textId="77777777">
        <w:tc>
          <w:tcPr>
            <w:tcW w:w="3686" w:type="dxa"/>
          </w:tcPr>
          <w:p w14:paraId="1DBE6479" w14:textId="77777777" w:rsidR="00294DB4" w:rsidRPr="00AD0632" w:rsidRDefault="002015D9">
            <w:pPr>
              <w:pBdr>
                <w:top w:val="nil"/>
                <w:left w:val="nil"/>
                <w:bottom w:val="nil"/>
                <w:right w:val="nil"/>
                <w:between w:val="nil"/>
              </w:pBdr>
              <w:spacing w:line="360" w:lineRule="auto"/>
              <w:ind w:left="426" w:right="49"/>
              <w:jc w:val="center"/>
              <w:rPr>
                <w:rFonts w:ascii="Palatino Linotype" w:eastAsia="Palatino Linotype" w:hAnsi="Palatino Linotype" w:cs="Palatino Linotype"/>
                <w:b/>
                <w:bCs/>
                <w:sz w:val="22"/>
                <w:szCs w:val="22"/>
                <w:lang w:val="en-US"/>
              </w:rPr>
            </w:pPr>
            <w:r w:rsidRPr="00AD0632">
              <w:rPr>
                <w:rFonts w:ascii="Palatino Linotype" w:eastAsia="Palatino Linotype" w:hAnsi="Palatino Linotype" w:cs="Palatino Linotype"/>
                <w:b/>
                <w:bCs/>
                <w:sz w:val="22"/>
                <w:szCs w:val="22"/>
                <w:lang w:val="en-US"/>
              </w:rPr>
              <w:t>09469/INFOEM/IP/RR/2025</w:t>
            </w:r>
          </w:p>
          <w:p w14:paraId="2C214888" w14:textId="77777777" w:rsidR="00294DB4" w:rsidRPr="00AD0632" w:rsidRDefault="002015D9">
            <w:pPr>
              <w:pBdr>
                <w:top w:val="nil"/>
                <w:left w:val="nil"/>
                <w:bottom w:val="nil"/>
                <w:right w:val="nil"/>
                <w:between w:val="nil"/>
              </w:pBdr>
              <w:spacing w:line="360" w:lineRule="auto"/>
              <w:ind w:left="426" w:right="49"/>
              <w:jc w:val="center"/>
              <w:rPr>
                <w:rFonts w:ascii="Palatino Linotype" w:eastAsia="Palatino Linotype" w:hAnsi="Palatino Linotype" w:cs="Palatino Linotype"/>
                <w:b/>
                <w:bCs/>
                <w:sz w:val="22"/>
                <w:szCs w:val="22"/>
                <w:lang w:val="en-US"/>
              </w:rPr>
            </w:pPr>
            <w:r w:rsidRPr="00AD0632">
              <w:rPr>
                <w:rFonts w:ascii="Palatino Linotype" w:eastAsia="Palatino Linotype" w:hAnsi="Palatino Linotype" w:cs="Palatino Linotype"/>
                <w:b/>
                <w:bCs/>
                <w:sz w:val="22"/>
                <w:szCs w:val="22"/>
                <w:lang w:val="en-US"/>
              </w:rPr>
              <w:t>09470/INFOEM/IP/RR/2025</w:t>
            </w:r>
          </w:p>
        </w:tc>
        <w:tc>
          <w:tcPr>
            <w:tcW w:w="5386" w:type="dxa"/>
          </w:tcPr>
          <w:p w14:paraId="13E84354" w14:textId="77777777" w:rsidR="00294DB4" w:rsidRPr="00AD0632" w:rsidRDefault="002015D9">
            <w:pPr>
              <w:spacing w:line="276" w:lineRule="auto"/>
              <w:ind w:right="21"/>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Acto Impugnado:</w:t>
            </w:r>
            <w:r w:rsidRPr="00AD0632">
              <w:rPr>
                <w:rFonts w:ascii="Palatino Linotype" w:eastAsia="Palatino Linotype" w:hAnsi="Palatino Linotype" w:cs="Palatino Linotype"/>
                <w:i/>
                <w:iCs/>
                <w:sz w:val="22"/>
                <w:szCs w:val="22"/>
              </w:rPr>
              <w:t xml:space="preserve"> “La falta de respuesta a una solicitud de acceso a la información” (Sic.)</w:t>
            </w:r>
          </w:p>
          <w:p w14:paraId="506BB0A7" w14:textId="77777777" w:rsidR="00294DB4" w:rsidRPr="00AD0632" w:rsidRDefault="002015D9">
            <w:pPr>
              <w:spacing w:line="276" w:lineRule="auto"/>
              <w:ind w:right="21"/>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Motivo de inconformidad “</w:t>
            </w:r>
            <w:r w:rsidRPr="00AD0632">
              <w:rPr>
                <w:rFonts w:ascii="Palatino Linotype" w:eastAsia="Palatino Linotype" w:hAnsi="Palatino Linotype" w:cs="Palatino Linotype"/>
                <w:i/>
                <w:iCs/>
                <w:sz w:val="22"/>
                <w:szCs w:val="22"/>
              </w:rPr>
              <w:t>La falta de respuesta a una solicitud de acceso a la información” (Sic.)</w:t>
            </w:r>
          </w:p>
        </w:tc>
      </w:tr>
    </w:tbl>
    <w:p w14:paraId="0B2FED75" w14:textId="77777777" w:rsidR="00294DB4" w:rsidRPr="00AD0632" w:rsidRDefault="00294DB4">
      <w:pPr>
        <w:spacing w:line="360" w:lineRule="auto"/>
        <w:ind w:right="560"/>
        <w:jc w:val="both"/>
        <w:rPr>
          <w:rFonts w:ascii="Palatino Linotype" w:eastAsia="Palatino Linotype" w:hAnsi="Palatino Linotype" w:cs="Palatino Linotype"/>
          <w:i/>
          <w:iCs/>
          <w:sz w:val="22"/>
          <w:szCs w:val="22"/>
        </w:rPr>
      </w:pPr>
    </w:p>
    <w:p w14:paraId="48B54AF0"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 xml:space="preserve">4. Turno. </w:t>
      </w:r>
      <w:r w:rsidRPr="00AD0632">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AD0632">
        <w:rPr>
          <w:rFonts w:ascii="Palatino Linotype" w:eastAsia="Palatino Linotype" w:hAnsi="Palatino Linotype" w:cs="Palatino Linotype"/>
          <w:b/>
          <w:bCs/>
          <w:sz w:val="22"/>
          <w:szCs w:val="22"/>
        </w:rPr>
        <w:t xml:space="preserve"> </w:t>
      </w:r>
      <w:r w:rsidRPr="00AD0632">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14:paraId="6E08C42F" w14:textId="77777777" w:rsidR="00294DB4" w:rsidRPr="00AD0632" w:rsidRDefault="00294DB4">
      <w:pPr>
        <w:spacing w:line="360" w:lineRule="auto"/>
        <w:jc w:val="both"/>
        <w:rPr>
          <w:rFonts w:ascii="Palatino Linotype" w:eastAsia="Palatino Linotype" w:hAnsi="Palatino Linotype" w:cs="Palatino Linotype"/>
          <w:sz w:val="22"/>
          <w:szCs w:val="22"/>
        </w:rPr>
      </w:pPr>
    </w:p>
    <w:tbl>
      <w:tblPr>
        <w:tblStyle w:val="afd"/>
        <w:tblW w:w="89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6"/>
        <w:gridCol w:w="5096"/>
      </w:tblGrid>
      <w:tr w:rsidR="005275CA" w:rsidRPr="00AD0632" w14:paraId="1E41D10B" w14:textId="77777777">
        <w:trPr>
          <w:jc w:val="center"/>
        </w:trPr>
        <w:tc>
          <w:tcPr>
            <w:tcW w:w="3826" w:type="dxa"/>
            <w:shd w:val="clear" w:color="auto" w:fill="DDD9C4"/>
          </w:tcPr>
          <w:p w14:paraId="615B2799" w14:textId="77777777" w:rsidR="00294DB4" w:rsidRPr="00AD0632" w:rsidRDefault="002015D9">
            <w:pPr>
              <w:spacing w:line="360" w:lineRule="auto"/>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Recurso de Revisión</w:t>
            </w:r>
          </w:p>
        </w:tc>
        <w:tc>
          <w:tcPr>
            <w:tcW w:w="5096" w:type="dxa"/>
            <w:shd w:val="clear" w:color="auto" w:fill="DDD9C4"/>
          </w:tcPr>
          <w:p w14:paraId="010B0169" w14:textId="77777777" w:rsidR="00294DB4" w:rsidRPr="00AD0632" w:rsidRDefault="002015D9">
            <w:pPr>
              <w:spacing w:line="360" w:lineRule="auto"/>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Comisionada</w:t>
            </w:r>
          </w:p>
        </w:tc>
      </w:tr>
      <w:tr w:rsidR="005275CA" w:rsidRPr="00AD0632" w14:paraId="34AF2AC8" w14:textId="77777777">
        <w:trPr>
          <w:jc w:val="center"/>
        </w:trPr>
        <w:tc>
          <w:tcPr>
            <w:tcW w:w="3826" w:type="dxa"/>
          </w:tcPr>
          <w:p w14:paraId="5DFD59CE" w14:textId="77777777" w:rsidR="00294DB4" w:rsidRPr="00AD0632" w:rsidRDefault="002015D9">
            <w:pPr>
              <w:spacing w:line="360" w:lineRule="auto"/>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09469/INFOEM/IP/RR/2025</w:t>
            </w:r>
          </w:p>
        </w:tc>
        <w:tc>
          <w:tcPr>
            <w:tcW w:w="5096" w:type="dxa"/>
          </w:tcPr>
          <w:p w14:paraId="5B6B0BC3" w14:textId="77777777" w:rsidR="00294DB4" w:rsidRPr="00AD0632" w:rsidRDefault="002015D9">
            <w:pPr>
              <w:spacing w:line="360" w:lineRule="auto"/>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Comisionada Guadalupe Ramírez Peña.</w:t>
            </w:r>
          </w:p>
        </w:tc>
      </w:tr>
      <w:tr w:rsidR="005275CA" w:rsidRPr="00AD0632" w14:paraId="2EAF77ED" w14:textId="77777777">
        <w:trPr>
          <w:jc w:val="center"/>
        </w:trPr>
        <w:tc>
          <w:tcPr>
            <w:tcW w:w="3826" w:type="dxa"/>
          </w:tcPr>
          <w:p w14:paraId="3F09068F" w14:textId="77777777" w:rsidR="00294DB4" w:rsidRPr="00AD0632" w:rsidRDefault="002015D9">
            <w:pPr>
              <w:spacing w:line="360" w:lineRule="auto"/>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09470/INFOEM/IP/RR/2025</w:t>
            </w:r>
          </w:p>
        </w:tc>
        <w:tc>
          <w:tcPr>
            <w:tcW w:w="5096" w:type="dxa"/>
          </w:tcPr>
          <w:p w14:paraId="584D75DD" w14:textId="77777777" w:rsidR="00294DB4" w:rsidRPr="00AD0632" w:rsidRDefault="002015D9">
            <w:pPr>
              <w:spacing w:line="360" w:lineRule="auto"/>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Comisionado José Martínez Vilchis.</w:t>
            </w:r>
          </w:p>
        </w:tc>
      </w:tr>
    </w:tbl>
    <w:p w14:paraId="1C98945E" w14:textId="77777777" w:rsidR="00294DB4" w:rsidRPr="00AD0632" w:rsidRDefault="00294DB4">
      <w:pPr>
        <w:spacing w:line="360" w:lineRule="auto"/>
        <w:jc w:val="both"/>
        <w:rPr>
          <w:rFonts w:ascii="Palatino Linotype" w:eastAsia="Palatino Linotype" w:hAnsi="Palatino Linotype" w:cs="Palatino Linotype"/>
          <w:b/>
          <w:bCs/>
          <w:sz w:val="22"/>
          <w:szCs w:val="22"/>
        </w:rPr>
      </w:pPr>
    </w:p>
    <w:p w14:paraId="2480A8C0" w14:textId="77777777" w:rsidR="00294DB4" w:rsidRPr="00AD0632" w:rsidRDefault="002015D9">
      <w:pPr>
        <w:spacing w:line="360" w:lineRule="auto"/>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 xml:space="preserve">5. Admisión. </w:t>
      </w:r>
      <w:r w:rsidRPr="00AD0632">
        <w:rPr>
          <w:rFonts w:ascii="Palatino Linotype" w:eastAsia="Palatino Linotype" w:hAnsi="Palatino Linotype" w:cs="Palatino Linotype"/>
          <w:sz w:val="22"/>
          <w:szCs w:val="22"/>
        </w:rPr>
        <w:t xml:space="preserve">El </w:t>
      </w:r>
      <w:r w:rsidRPr="00AD0632">
        <w:rPr>
          <w:rFonts w:ascii="Palatino Linotype" w:eastAsia="Palatino Linotype" w:hAnsi="Palatino Linotype" w:cs="Palatino Linotype"/>
          <w:b/>
          <w:bCs/>
          <w:sz w:val="22"/>
          <w:szCs w:val="22"/>
        </w:rPr>
        <w:t>trece y dieciocho de agosto de dos mil veinticinco</w:t>
      </w:r>
      <w:r w:rsidRPr="00AD0632">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AD0632">
        <w:rPr>
          <w:rFonts w:ascii="Palatino Linotype" w:eastAsia="Palatino Linotype" w:hAnsi="Palatino Linotype" w:cs="Palatino Linotype"/>
          <w:b/>
          <w:bCs/>
          <w:sz w:val="22"/>
          <w:szCs w:val="22"/>
        </w:rPr>
        <w:t>.</w:t>
      </w:r>
    </w:p>
    <w:p w14:paraId="76D695FA" w14:textId="77777777" w:rsidR="00294DB4" w:rsidRPr="00AD0632" w:rsidRDefault="00294DB4">
      <w:pPr>
        <w:spacing w:line="360" w:lineRule="auto"/>
        <w:jc w:val="both"/>
        <w:rPr>
          <w:rFonts w:ascii="Palatino Linotype" w:eastAsia="Palatino Linotype" w:hAnsi="Palatino Linotype" w:cs="Palatino Linotype"/>
          <w:b/>
          <w:bCs/>
          <w:sz w:val="22"/>
          <w:szCs w:val="22"/>
        </w:rPr>
      </w:pPr>
    </w:p>
    <w:p w14:paraId="21449BEC" w14:textId="77777777" w:rsidR="00294DB4" w:rsidRPr="00AD0632" w:rsidRDefault="002015D9">
      <w:pPr>
        <w:spacing w:line="360" w:lineRule="auto"/>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 xml:space="preserve">6. Acumulación. A través del acuerdo de veintiuno de agosto de dos mil veinticinco </w:t>
      </w:r>
      <w:r w:rsidRPr="00AD0632">
        <w:rPr>
          <w:rFonts w:ascii="Palatino Linotype" w:eastAsia="Palatino Linotype" w:hAnsi="Palatino Linotype" w:cs="Palatino Linotype"/>
          <w:sz w:val="22"/>
          <w:szCs w:val="22"/>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turnados a la </w:t>
      </w:r>
      <w:r w:rsidRPr="00AD0632">
        <w:rPr>
          <w:rFonts w:ascii="Palatino Linotype" w:eastAsia="Palatino Linotype" w:hAnsi="Palatino Linotype" w:cs="Palatino Linotype"/>
          <w:b/>
          <w:bCs/>
          <w:sz w:val="22"/>
          <w:szCs w:val="22"/>
        </w:rPr>
        <w:t>Comisionada Guadalupe Ramírez Peña.</w:t>
      </w:r>
    </w:p>
    <w:p w14:paraId="601E6933" w14:textId="77777777" w:rsidR="00294DB4" w:rsidRPr="00AD0632" w:rsidRDefault="00294DB4">
      <w:pPr>
        <w:spacing w:line="360" w:lineRule="auto"/>
        <w:jc w:val="both"/>
        <w:rPr>
          <w:rFonts w:ascii="Palatino Linotype" w:eastAsia="Palatino Linotype" w:hAnsi="Palatino Linotype" w:cs="Palatino Linotype"/>
          <w:b/>
          <w:bCs/>
          <w:sz w:val="22"/>
          <w:szCs w:val="22"/>
        </w:rPr>
      </w:pPr>
    </w:p>
    <w:p w14:paraId="09B6B9C6"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7. Manifestaciones.</w:t>
      </w:r>
      <w:r w:rsidRPr="00AD0632">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AD0632">
        <w:rPr>
          <w:rFonts w:ascii="Palatino Linotype" w:eastAsia="Palatino Linotype" w:hAnsi="Palatino Linotype" w:cs="Palatino Linotype"/>
          <w:b/>
          <w:bCs/>
          <w:sz w:val="22"/>
          <w:szCs w:val="22"/>
        </w:rPr>
        <w:t>dieciocho de agosto de dos mil veinticinco</w:t>
      </w:r>
      <w:r w:rsidRPr="00AD0632">
        <w:rPr>
          <w:rFonts w:ascii="Palatino Linotype" w:eastAsia="Palatino Linotype" w:hAnsi="Palatino Linotype" w:cs="Palatino Linotype"/>
          <w:sz w:val="22"/>
          <w:szCs w:val="22"/>
        </w:rPr>
        <w:t xml:space="preserve">, mismo que se puso a disposición del Recurrente el </w:t>
      </w:r>
      <w:r w:rsidRPr="00AD0632">
        <w:rPr>
          <w:rFonts w:ascii="Palatino Linotype" w:eastAsia="Palatino Linotype" w:hAnsi="Palatino Linotype" w:cs="Palatino Linotype"/>
          <w:b/>
          <w:bCs/>
          <w:sz w:val="22"/>
          <w:szCs w:val="22"/>
        </w:rPr>
        <w:t>diecinueve de noviembre de dos mil veinticinco</w:t>
      </w:r>
      <w:r w:rsidRPr="00AD0632">
        <w:rPr>
          <w:rFonts w:ascii="Palatino Linotype" w:eastAsia="Palatino Linotype" w:hAnsi="Palatino Linotype" w:cs="Palatino Linotype"/>
          <w:sz w:val="22"/>
          <w:szCs w:val="22"/>
        </w:rPr>
        <w:t>; sin embargo, se describe su contenido medular, siendo el siguiente:</w:t>
      </w:r>
    </w:p>
    <w:p w14:paraId="42019827"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5236E4FC" w14:textId="77777777" w:rsidR="00294DB4" w:rsidRPr="00AD0632" w:rsidRDefault="002015D9">
      <w:pPr>
        <w:numPr>
          <w:ilvl w:val="0"/>
          <w:numId w:val="1"/>
        </w:numPr>
        <w:pBdr>
          <w:top w:val="nil"/>
          <w:left w:val="nil"/>
          <w:bottom w:val="nil"/>
          <w:right w:val="nil"/>
          <w:between w:val="nil"/>
        </w:pBdr>
        <w:spacing w:line="360" w:lineRule="auto"/>
        <w:ind w:left="284" w:right="49"/>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09469/INFOEM/IP/RR/2025 y 09470/INFOEM/IP/RR/2025:</w:t>
      </w:r>
    </w:p>
    <w:p w14:paraId="1EFB8911" w14:textId="77777777" w:rsidR="00294DB4" w:rsidRPr="00AD0632" w:rsidRDefault="002015D9">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 xml:space="preserve">ACUERDO DE CABILDO DE CASCOS 2023.pdf: </w:t>
      </w:r>
      <w:r w:rsidRPr="00AD0632">
        <w:rPr>
          <w:rFonts w:ascii="Palatino Linotype" w:eastAsia="Palatino Linotype" w:hAnsi="Palatino Linotype" w:cs="Palatino Linotype"/>
          <w:sz w:val="22"/>
          <w:szCs w:val="22"/>
        </w:rPr>
        <w:t>Acuerdo de cabildo certificado mediante el cual se desarrolla la propuesta, discusión y, en su caso, aprobación del presupuesto, reglas de operación y convocatoria para el programa “Ángeles protegiendo tu vida”, así como la convocatoria para acceder al programa.</w:t>
      </w:r>
    </w:p>
    <w:p w14:paraId="32C60BC5" w14:textId="77777777" w:rsidR="00294DB4" w:rsidRPr="00AD0632" w:rsidRDefault="002015D9">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 xml:space="preserve">PS-053-2025.pdf: </w:t>
      </w:r>
      <w:r w:rsidRPr="00AD0632">
        <w:rPr>
          <w:rFonts w:ascii="Palatino Linotype" w:eastAsia="Palatino Linotype" w:hAnsi="Palatino Linotype" w:cs="Palatino Linotype"/>
          <w:sz w:val="22"/>
          <w:szCs w:val="22"/>
        </w:rPr>
        <w:t xml:space="preserve">Oficio suscrito por la jefa de Programas Sociales mediante el cual refiere que se envía el acuerdo de cabildo donde se encuentra la información relacionada con el programa, así como la lista de personas beneficiadas en Excel. </w:t>
      </w:r>
    </w:p>
    <w:p w14:paraId="72BE600D" w14:textId="77777777" w:rsidR="00294DB4" w:rsidRPr="00AD0632" w:rsidRDefault="00294DB4">
      <w:pPr>
        <w:pBdr>
          <w:top w:val="nil"/>
          <w:left w:val="nil"/>
          <w:bottom w:val="nil"/>
          <w:right w:val="nil"/>
          <w:between w:val="nil"/>
        </w:pBdr>
        <w:spacing w:line="360" w:lineRule="auto"/>
        <w:ind w:left="720" w:right="49"/>
        <w:rPr>
          <w:rFonts w:ascii="Palatino Linotype" w:eastAsia="Palatino Linotype" w:hAnsi="Palatino Linotype" w:cs="Palatino Linotype"/>
          <w:b/>
          <w:bCs/>
          <w:sz w:val="22"/>
          <w:szCs w:val="22"/>
        </w:rPr>
      </w:pPr>
    </w:p>
    <w:p w14:paraId="0C77CA9D" w14:textId="77777777" w:rsidR="00294DB4" w:rsidRPr="00AD0632" w:rsidRDefault="002015D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8. Ampliación de plazo. El diecinueve de noviembre de dos mil veinticinco</w:t>
      </w:r>
      <w:r w:rsidRPr="00AD0632">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6AA48E1F"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5ED3818"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388DBBB9"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0677B3B"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CEF43CE"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208E03F" w14:textId="77777777" w:rsidR="00294DB4" w:rsidRPr="00AD0632" w:rsidRDefault="002015D9">
      <w:pPr>
        <w:numPr>
          <w:ilvl w:val="0"/>
          <w:numId w:val="6"/>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Complejidad del Asunto:</w:t>
      </w:r>
      <w:r w:rsidRPr="00AD0632">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98FA362" w14:textId="77777777" w:rsidR="00294DB4" w:rsidRPr="00AD0632" w:rsidRDefault="002015D9">
      <w:pPr>
        <w:numPr>
          <w:ilvl w:val="0"/>
          <w:numId w:val="6"/>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Actividad Procesal del interesado</w:t>
      </w:r>
      <w:r w:rsidRPr="00AD0632">
        <w:rPr>
          <w:rFonts w:ascii="Palatino Linotype" w:eastAsia="Palatino Linotype" w:hAnsi="Palatino Linotype" w:cs="Palatino Linotype"/>
          <w:sz w:val="22"/>
          <w:szCs w:val="22"/>
        </w:rPr>
        <w:t>. Acciones u omisiones del interesado.</w:t>
      </w:r>
    </w:p>
    <w:p w14:paraId="567BBFEA" w14:textId="77777777" w:rsidR="00294DB4" w:rsidRPr="00AD0632" w:rsidRDefault="002015D9">
      <w:pPr>
        <w:numPr>
          <w:ilvl w:val="0"/>
          <w:numId w:val="6"/>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Conducta de la Autoridad:</w:t>
      </w:r>
      <w:r w:rsidRPr="00AD0632">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647E61A0" w14:textId="77777777" w:rsidR="00294DB4" w:rsidRPr="00AD0632" w:rsidRDefault="002015D9">
      <w:pPr>
        <w:numPr>
          <w:ilvl w:val="0"/>
          <w:numId w:val="6"/>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La afectación generada en la situación jurídica de la persona involucrada en el proceso:</w:t>
      </w:r>
      <w:r w:rsidRPr="00AD0632">
        <w:rPr>
          <w:rFonts w:ascii="Palatino Linotype" w:eastAsia="Palatino Linotype" w:hAnsi="Palatino Linotype" w:cs="Palatino Linotype"/>
          <w:sz w:val="22"/>
          <w:szCs w:val="22"/>
        </w:rPr>
        <w:t xml:space="preserve"> Violación a sus derechos humanos.</w:t>
      </w:r>
    </w:p>
    <w:p w14:paraId="5F742D5C"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6FD1464"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D0632">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AD0632">
        <w:rPr>
          <w:rFonts w:ascii="Palatino Linotype" w:eastAsia="Palatino Linotype" w:hAnsi="Palatino Linotype" w:cs="Palatino Linotype"/>
          <w:sz w:val="22"/>
          <w:szCs w:val="22"/>
        </w:rPr>
        <w:t>, visible en la Gaceta del Seminario Judicial de la Federación con el registro digital 205635.</w:t>
      </w:r>
    </w:p>
    <w:p w14:paraId="3603FE5F"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424546"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3686233" w14:textId="77777777" w:rsidR="00294DB4" w:rsidRPr="00AD0632" w:rsidRDefault="002015D9">
      <w:pPr>
        <w:spacing w:before="240" w:after="240" w:line="360" w:lineRule="auto"/>
        <w:ind w:left="851" w:right="90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 </w:t>
      </w:r>
      <w:r w:rsidRPr="00AD0632">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AD0632">
        <w:rPr>
          <w:rFonts w:ascii="Palatino Linotype" w:eastAsia="Palatino Linotype" w:hAnsi="Palatino Linotype" w:cs="Palatino Linotype"/>
          <w:i/>
          <w:iCs/>
          <w:sz w:val="22"/>
          <w:szCs w:val="22"/>
        </w:rPr>
        <w:t>.”</w:t>
      </w:r>
      <w:r w:rsidRPr="00AD0632">
        <w:rPr>
          <w:rFonts w:ascii="Palatino Linotype" w:eastAsia="Palatino Linotype" w:hAnsi="Palatino Linotype" w:cs="Palatino Linotype"/>
          <w:sz w:val="22"/>
          <w:szCs w:val="22"/>
        </w:rPr>
        <w:t xml:space="preserve"> consultable en el Seminario Judicial de la Federación y su gaceta, con el registro digital 2002351.</w:t>
      </w:r>
    </w:p>
    <w:p w14:paraId="668C1B36" w14:textId="77777777" w:rsidR="00294DB4" w:rsidRPr="00AD0632" w:rsidRDefault="002015D9">
      <w:pPr>
        <w:spacing w:before="240" w:after="240" w:line="360" w:lineRule="auto"/>
        <w:ind w:left="851" w:right="90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AD0632">
        <w:rPr>
          <w:rFonts w:ascii="Palatino Linotype" w:eastAsia="Palatino Linotype" w:hAnsi="Palatino Linotype" w:cs="Palatino Linotype"/>
          <w:sz w:val="22"/>
          <w:szCs w:val="22"/>
        </w:rPr>
        <w:t>, visible en el Seminario Judicial de la Federación y su gaceta, con el registro digital 2002350.</w:t>
      </w:r>
    </w:p>
    <w:p w14:paraId="27FCDAE8"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2A66CC86" w14:textId="77777777" w:rsidR="00294DB4" w:rsidRPr="00AD0632" w:rsidRDefault="002015D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9. Cierre de instrucción</w:t>
      </w:r>
      <w:r w:rsidRPr="00AD0632">
        <w:rPr>
          <w:rFonts w:ascii="Palatino Linotype" w:eastAsia="Palatino Linotype" w:hAnsi="Palatino Linotype" w:cs="Palatino Linotype"/>
          <w:sz w:val="22"/>
          <w:szCs w:val="22"/>
        </w:rPr>
        <w:t xml:space="preserve">. En fecha </w:t>
      </w:r>
      <w:r w:rsidRPr="00AD0632">
        <w:rPr>
          <w:rFonts w:ascii="Palatino Linotype" w:eastAsia="Palatino Linotype" w:hAnsi="Palatino Linotype" w:cs="Palatino Linotype"/>
          <w:b/>
          <w:bCs/>
          <w:sz w:val="22"/>
          <w:szCs w:val="22"/>
        </w:rPr>
        <w:t>veinticinco</w:t>
      </w:r>
      <w:r w:rsidRPr="00AD0632">
        <w:rPr>
          <w:rFonts w:ascii="Palatino Linotype" w:eastAsia="Palatino Linotype" w:hAnsi="Palatino Linotype" w:cs="Palatino Linotype"/>
          <w:sz w:val="22"/>
          <w:szCs w:val="22"/>
        </w:rPr>
        <w:t xml:space="preserve"> </w:t>
      </w:r>
      <w:r w:rsidRPr="00AD0632">
        <w:rPr>
          <w:rFonts w:ascii="Palatino Linotype" w:eastAsia="Palatino Linotype" w:hAnsi="Palatino Linotype" w:cs="Palatino Linotype"/>
          <w:b/>
          <w:bCs/>
          <w:sz w:val="22"/>
          <w:szCs w:val="22"/>
        </w:rPr>
        <w:t>de</w:t>
      </w:r>
      <w:bookmarkStart w:id="1" w:name="_GoBack"/>
      <w:bookmarkEnd w:id="1"/>
      <w:r w:rsidRPr="00AD0632">
        <w:rPr>
          <w:rFonts w:ascii="Palatino Linotype" w:eastAsia="Palatino Linotype" w:hAnsi="Palatino Linotype" w:cs="Palatino Linotype"/>
          <w:b/>
          <w:bCs/>
          <w:sz w:val="22"/>
          <w:szCs w:val="22"/>
        </w:rPr>
        <w:t xml:space="preserve"> noviembre de dos mil veinticinco</w:t>
      </w:r>
      <w:r w:rsidRPr="00AD063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4C10D24" w14:textId="77777777" w:rsidR="00294DB4" w:rsidRPr="00AD0632" w:rsidRDefault="00294DB4">
      <w:pPr>
        <w:spacing w:line="360" w:lineRule="auto"/>
        <w:ind w:right="49"/>
        <w:jc w:val="both"/>
        <w:rPr>
          <w:rFonts w:ascii="Palatino Linotype" w:eastAsia="Palatino Linotype" w:hAnsi="Palatino Linotype" w:cs="Palatino Linotype"/>
          <w:sz w:val="22"/>
          <w:szCs w:val="22"/>
        </w:rPr>
      </w:pPr>
    </w:p>
    <w:p w14:paraId="3D21FD76" w14:textId="77777777" w:rsidR="00294DB4" w:rsidRPr="00AD0632" w:rsidRDefault="002015D9">
      <w:pP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5C057A79" w14:textId="77777777" w:rsidR="00294DB4" w:rsidRPr="00AD0632" w:rsidRDefault="00294DB4">
      <w:pPr>
        <w:spacing w:line="360" w:lineRule="auto"/>
        <w:ind w:right="49"/>
        <w:jc w:val="both"/>
        <w:rPr>
          <w:rFonts w:ascii="Palatino Linotype" w:eastAsia="Palatino Linotype" w:hAnsi="Palatino Linotype" w:cs="Palatino Linotype"/>
          <w:sz w:val="22"/>
          <w:szCs w:val="22"/>
        </w:rPr>
      </w:pPr>
    </w:p>
    <w:p w14:paraId="59384F4B" w14:textId="77777777" w:rsidR="00294DB4" w:rsidRPr="00AD0632" w:rsidRDefault="002015D9">
      <w:pPr>
        <w:spacing w:line="360" w:lineRule="auto"/>
        <w:ind w:right="49"/>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II.</w:t>
      </w:r>
      <w:r w:rsidRPr="00AD0632">
        <w:rPr>
          <w:rFonts w:ascii="Palatino Linotype" w:eastAsia="Palatino Linotype" w:hAnsi="Palatino Linotype" w:cs="Palatino Linotype"/>
          <w:b/>
          <w:bCs/>
          <w:sz w:val="22"/>
          <w:szCs w:val="22"/>
        </w:rPr>
        <w:tab/>
        <w:t>C O N S I D E R A N D O:</w:t>
      </w:r>
    </w:p>
    <w:p w14:paraId="6046DA31" w14:textId="77777777" w:rsidR="00294DB4" w:rsidRPr="00AD0632" w:rsidRDefault="00294DB4">
      <w:pPr>
        <w:spacing w:line="360" w:lineRule="auto"/>
        <w:ind w:right="49"/>
        <w:jc w:val="both"/>
        <w:rPr>
          <w:rFonts w:ascii="Palatino Linotype" w:eastAsia="Palatino Linotype" w:hAnsi="Palatino Linotype" w:cs="Palatino Linotype"/>
          <w:sz w:val="22"/>
          <w:szCs w:val="22"/>
        </w:rPr>
      </w:pPr>
    </w:p>
    <w:p w14:paraId="192D83DD"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Primero. Competencia.</w:t>
      </w:r>
      <w:r w:rsidRPr="00AD063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22864A5"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62A9B99F"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 xml:space="preserve">Segundo. Oportunidad y Procedibilidad del Recurso de Revisión. </w:t>
      </w:r>
      <w:r w:rsidRPr="00AD0632">
        <w:rPr>
          <w:rFonts w:ascii="Palatino Linotype" w:eastAsia="Palatino Linotype" w:hAnsi="Palatino Linotype" w:cs="Palatino Linotype"/>
          <w:sz w:val="22"/>
          <w:szCs w:val="22"/>
        </w:rPr>
        <w:t>Por cuanto hace a la oportunidad del recurso de revisión</w:t>
      </w:r>
      <w:r w:rsidRPr="00AD0632">
        <w:rPr>
          <w:rFonts w:ascii="Palatino Linotype" w:eastAsia="Palatino Linotype" w:hAnsi="Palatino Linotype" w:cs="Palatino Linotype"/>
          <w:b/>
          <w:bCs/>
          <w:sz w:val="22"/>
          <w:szCs w:val="22"/>
        </w:rPr>
        <w:t xml:space="preserve"> </w:t>
      </w:r>
      <w:r w:rsidRPr="00AD0632">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244304FF"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3A237B43"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Derivado de lo anterior, se constituye la figura jurídica de la </w:t>
      </w:r>
      <w:r w:rsidRPr="00AD0632">
        <w:rPr>
          <w:rFonts w:ascii="Palatino Linotype" w:eastAsia="Palatino Linotype" w:hAnsi="Palatino Linotype" w:cs="Palatino Linotype"/>
          <w:b/>
          <w:bCs/>
          <w:sz w:val="22"/>
          <w:szCs w:val="22"/>
        </w:rPr>
        <w:t>NEGATIVA FICTA</w:t>
      </w:r>
      <w:r w:rsidRPr="00AD0632">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7E3C7DE5"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71B6C21C"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De tal manera, en el presente recurso de revisión se actualizó la negativa ficta por parte del </w:t>
      </w:r>
      <w:r w:rsidRPr="00AD0632">
        <w:rPr>
          <w:rFonts w:ascii="Palatino Linotype" w:eastAsia="Palatino Linotype" w:hAnsi="Palatino Linotype" w:cs="Palatino Linotype"/>
          <w:b/>
          <w:bCs/>
          <w:sz w:val="22"/>
          <w:szCs w:val="22"/>
        </w:rPr>
        <w:t>SUJETO OBLIGADO</w:t>
      </w:r>
      <w:r w:rsidRPr="00AD0632">
        <w:rPr>
          <w:rFonts w:ascii="Palatino Linotype" w:eastAsia="Palatino Linotype" w:hAnsi="Palatino Linotype" w:cs="Palatino Linotype"/>
          <w:sz w:val="22"/>
          <w:szCs w:val="22"/>
        </w:rPr>
        <w:t xml:space="preserve"> al no haber respondido a la parte </w:t>
      </w:r>
      <w:r w:rsidRPr="00AD0632">
        <w:rPr>
          <w:rFonts w:ascii="Palatino Linotype" w:eastAsia="Palatino Linotype" w:hAnsi="Palatino Linotype" w:cs="Palatino Linotype"/>
          <w:b/>
          <w:bCs/>
          <w:sz w:val="22"/>
          <w:szCs w:val="22"/>
        </w:rPr>
        <w:t>RECURRENTE</w:t>
      </w:r>
      <w:r w:rsidRPr="00AD0632">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0B419932"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6E9ED1BA"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Si a ello se le suma lo previsto en el párrafo segundo del artículo 178, párrafo segundo</w:t>
      </w:r>
      <w:r w:rsidRPr="00AD0632">
        <w:rPr>
          <w:rFonts w:ascii="Palatino Linotype" w:eastAsia="Palatino Linotype" w:hAnsi="Palatino Linotype" w:cs="Palatino Linotype"/>
          <w:sz w:val="22"/>
          <w:szCs w:val="22"/>
          <w:vertAlign w:val="superscript"/>
        </w:rPr>
        <w:footnoteReference w:id="1"/>
      </w:r>
      <w:r w:rsidRPr="00AD0632">
        <w:rPr>
          <w:rFonts w:ascii="Palatino Linotype" w:eastAsia="Palatino Linotype" w:hAnsi="Palatino Linotype" w:cs="Palatino Linotype"/>
          <w:sz w:val="22"/>
          <w:szCs w:val="22"/>
        </w:rPr>
        <w:t xml:space="preserve"> de la Ley de Transparencia y Acceso a la Información Pública vigente en la entidad.</w:t>
      </w:r>
    </w:p>
    <w:p w14:paraId="5DE0C01C"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1236CF9C"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5BC75A8D" w14:textId="77777777" w:rsidR="00294DB4" w:rsidRPr="00AD0632" w:rsidRDefault="00294DB4">
      <w:pPr>
        <w:spacing w:line="360" w:lineRule="auto"/>
        <w:jc w:val="both"/>
        <w:rPr>
          <w:i/>
          <w:iCs/>
          <w:sz w:val="22"/>
          <w:szCs w:val="22"/>
        </w:rPr>
      </w:pPr>
    </w:p>
    <w:p w14:paraId="09E9CCFC" w14:textId="77777777" w:rsidR="00294DB4" w:rsidRPr="00AD0632" w:rsidRDefault="002015D9">
      <w:pPr>
        <w:ind w:left="567" w:right="616"/>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i/>
          <w:iCs/>
          <w:sz w:val="22"/>
          <w:szCs w:val="22"/>
        </w:rPr>
        <w:t>“</w:t>
      </w:r>
      <w:r w:rsidRPr="00AD0632">
        <w:rPr>
          <w:rFonts w:ascii="Palatino Linotype" w:eastAsia="Palatino Linotype" w:hAnsi="Palatino Linotype" w:cs="Palatino Linotype"/>
          <w:b/>
          <w:bCs/>
          <w:i/>
          <w:iCs/>
          <w:sz w:val="22"/>
          <w:szCs w:val="22"/>
        </w:rPr>
        <w:t>CRITERIO 0001-15 NEGATIVA FICTA. PLAZO PARA INTERPONER EL RECURSO DE REVISIÓN TRATÁNDOSE DE</w:t>
      </w:r>
      <w:r w:rsidRPr="00AD0632">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9699964" w14:textId="77777777" w:rsidR="00294DB4" w:rsidRPr="00AD0632" w:rsidRDefault="00294DB4">
      <w:pPr>
        <w:ind w:left="567" w:right="851"/>
        <w:jc w:val="both"/>
        <w:rPr>
          <w:rFonts w:ascii="Palatino Linotype" w:eastAsia="Palatino Linotype" w:hAnsi="Palatino Linotype" w:cs="Palatino Linotype"/>
          <w:i/>
          <w:iCs/>
          <w:sz w:val="22"/>
          <w:szCs w:val="22"/>
        </w:rPr>
      </w:pPr>
    </w:p>
    <w:p w14:paraId="132E73DD" w14:textId="77777777" w:rsidR="00294DB4" w:rsidRPr="00AD0632" w:rsidRDefault="002015D9">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AD0632">
        <w:rPr>
          <w:rFonts w:ascii="Palatino Linotype" w:eastAsia="Palatino Linotype" w:hAnsi="Palatino Linotype" w:cs="Palatino Linotype"/>
          <w:b/>
          <w:bCs/>
          <w:sz w:val="22"/>
          <w:szCs w:val="22"/>
        </w:rPr>
        <w:t>EL</w:t>
      </w:r>
      <w:r w:rsidRPr="00AD0632">
        <w:rPr>
          <w:rFonts w:ascii="Palatino Linotype" w:eastAsia="Palatino Linotype" w:hAnsi="Palatino Linotype" w:cs="Palatino Linotype"/>
          <w:sz w:val="22"/>
          <w:szCs w:val="22"/>
        </w:rPr>
        <w:t xml:space="preserve"> </w:t>
      </w:r>
      <w:r w:rsidRPr="00AD0632">
        <w:rPr>
          <w:rFonts w:ascii="Palatino Linotype" w:eastAsia="Palatino Linotype" w:hAnsi="Palatino Linotype" w:cs="Palatino Linotype"/>
          <w:b/>
          <w:bCs/>
          <w:sz w:val="22"/>
          <w:szCs w:val="22"/>
        </w:rPr>
        <w:t>SAIMEX</w:t>
      </w:r>
      <w:r w:rsidRPr="00AD0632">
        <w:rPr>
          <w:rFonts w:ascii="Palatino Linotype" w:eastAsia="Palatino Linotype" w:hAnsi="Palatino Linotype" w:cs="Palatino Linotype"/>
          <w:sz w:val="22"/>
          <w:szCs w:val="22"/>
        </w:rPr>
        <w:t>.</w:t>
      </w:r>
    </w:p>
    <w:p w14:paraId="781F934A" w14:textId="77777777" w:rsidR="00294DB4" w:rsidRPr="00AD0632" w:rsidRDefault="00294DB4">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6E626BF3"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0D44309" w14:textId="77777777" w:rsidR="00294DB4" w:rsidRPr="00AD0632" w:rsidRDefault="002015D9">
      <w:pPr>
        <w:ind w:left="426" w:right="701"/>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br/>
      </w:r>
      <w:r w:rsidRPr="00AD0632">
        <w:rPr>
          <w:rFonts w:ascii="Palatino Linotype" w:eastAsia="Palatino Linotype" w:hAnsi="Palatino Linotype" w:cs="Palatino Linotype"/>
          <w:b/>
          <w:bCs/>
          <w:i/>
          <w:iCs/>
          <w:sz w:val="22"/>
          <w:szCs w:val="22"/>
        </w:rPr>
        <w:t xml:space="preserve">"Las solicitudes anónimas, </w:t>
      </w:r>
      <w:r w:rsidRPr="00AD0632">
        <w:rPr>
          <w:rFonts w:ascii="Palatino Linotype" w:eastAsia="Palatino Linotype" w:hAnsi="Palatino Linotype" w:cs="Palatino Linotype"/>
          <w:i/>
          <w:iCs/>
          <w:sz w:val="22"/>
          <w:szCs w:val="22"/>
        </w:rPr>
        <w:t>con nombre incompleto o seudónimo </w:t>
      </w:r>
      <w:r w:rsidRPr="00AD0632">
        <w:rPr>
          <w:rFonts w:ascii="Palatino Linotype" w:eastAsia="Palatino Linotype" w:hAnsi="Palatino Linotype" w:cs="Palatino Linotype"/>
          <w:b/>
          <w:bCs/>
          <w:i/>
          <w:iCs/>
          <w:sz w:val="22"/>
          <w:szCs w:val="22"/>
        </w:rPr>
        <w:t>serán procedentes para su trámite por parte del sujeto obligado ante quien se presente.</w:t>
      </w:r>
      <w:r w:rsidRPr="00AD0632">
        <w:rPr>
          <w:rFonts w:ascii="Palatino Linotype" w:eastAsia="Palatino Linotype" w:hAnsi="Palatino Linotype" w:cs="Palatino Linotype"/>
          <w:i/>
          <w:iCs/>
          <w:sz w:val="22"/>
          <w:szCs w:val="22"/>
        </w:rPr>
        <w:t xml:space="preserve"> No podrá requerirse información adicional con motivo del nombre proporcionado por el solicitante."</w:t>
      </w:r>
    </w:p>
    <w:p w14:paraId="7A1C908D" w14:textId="77777777" w:rsidR="00294DB4" w:rsidRPr="00AD0632" w:rsidRDefault="00294DB4">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34E25AB9"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AD0632">
        <w:rPr>
          <w:rFonts w:ascii="Palatino Linotype" w:eastAsia="Palatino Linotype" w:hAnsi="Palatino Linotype" w:cs="Palatino Linotype"/>
          <w:b/>
          <w:bCs/>
          <w:sz w:val="22"/>
          <w:szCs w:val="22"/>
        </w:rPr>
        <w:t>RECURRENTE</w:t>
      </w:r>
      <w:r w:rsidRPr="00AD0632">
        <w:rPr>
          <w:rFonts w:ascii="Palatino Linotype" w:eastAsia="Palatino Linotype" w:hAnsi="Palatino Linotype" w:cs="Palatino Linotype"/>
          <w:sz w:val="22"/>
          <w:szCs w:val="22"/>
        </w:rPr>
        <w:t>, en términos del artículo 179, fracción VII del ordenamiento legal de la materia, que a la letra dice:</w:t>
      </w:r>
    </w:p>
    <w:p w14:paraId="6ABF3B74"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4558BF96" w14:textId="77777777" w:rsidR="00294DB4" w:rsidRPr="00AD0632" w:rsidRDefault="002015D9">
      <w:pPr>
        <w:ind w:left="567" w:right="616"/>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w:t>
      </w:r>
      <w:r w:rsidRPr="00AD0632">
        <w:rPr>
          <w:rFonts w:ascii="Palatino Linotype" w:eastAsia="Palatino Linotype" w:hAnsi="Palatino Linotype" w:cs="Palatino Linotype"/>
          <w:b/>
          <w:bCs/>
          <w:sz w:val="22"/>
          <w:szCs w:val="22"/>
        </w:rPr>
        <w:t>Artículo 179.</w:t>
      </w:r>
      <w:r w:rsidRPr="00AD0632">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AD0632">
        <w:rPr>
          <w:rFonts w:ascii="Palatino Linotype" w:eastAsia="Palatino Linotype" w:hAnsi="Palatino Linotype" w:cs="Palatino Linotype"/>
          <w:sz w:val="22"/>
          <w:szCs w:val="22"/>
        </w:rPr>
        <w:t> </w:t>
      </w:r>
    </w:p>
    <w:p w14:paraId="78BAAD4A" w14:textId="77777777" w:rsidR="00294DB4" w:rsidRPr="00AD0632" w:rsidRDefault="002015D9">
      <w:pPr>
        <w:ind w:left="567" w:right="616"/>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w:t>
      </w:r>
    </w:p>
    <w:p w14:paraId="2C96DAE2" w14:textId="77777777" w:rsidR="00294DB4" w:rsidRPr="00AD0632" w:rsidRDefault="002015D9">
      <w:pPr>
        <w:numPr>
          <w:ilvl w:val="0"/>
          <w:numId w:val="3"/>
        </w:numPr>
        <w:ind w:left="567" w:right="616" w:firstLine="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La falta de respuesta a una solicitud de acceso a la información…</w:t>
      </w:r>
    </w:p>
    <w:p w14:paraId="3257D244" w14:textId="77777777" w:rsidR="00294DB4" w:rsidRPr="00AD0632" w:rsidRDefault="00294DB4">
      <w:pPr>
        <w:spacing w:line="360" w:lineRule="auto"/>
        <w:ind w:right="1041"/>
        <w:jc w:val="both"/>
        <w:rPr>
          <w:rFonts w:ascii="Palatino Linotype" w:eastAsia="Palatino Linotype" w:hAnsi="Palatino Linotype" w:cs="Palatino Linotype"/>
          <w:i/>
          <w:iCs/>
          <w:sz w:val="22"/>
          <w:szCs w:val="22"/>
        </w:rPr>
      </w:pPr>
    </w:p>
    <w:p w14:paraId="6E2A3D16" w14:textId="77777777" w:rsidR="00294DB4" w:rsidRPr="00AD0632" w:rsidRDefault="002015D9">
      <w:pPr>
        <w:tabs>
          <w:tab w:val="left" w:pos="8647"/>
        </w:tabs>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 xml:space="preserve">Tercero. Materia de la revisión. </w:t>
      </w:r>
      <w:r w:rsidRPr="00AD0632">
        <w:rPr>
          <w:rFonts w:ascii="Palatino Linotype" w:eastAsia="Palatino Linotype" w:hAnsi="Palatino Linotype" w:cs="Palatino Linotype"/>
          <w:sz w:val="22"/>
          <w:szCs w:val="22"/>
        </w:rPr>
        <w:t xml:space="preserve">Este Organismo Garante procede del análisis de los agravios hechos valer por la parte </w:t>
      </w:r>
      <w:r w:rsidRPr="00AD0632">
        <w:rPr>
          <w:rFonts w:ascii="Palatino Linotype" w:eastAsia="Palatino Linotype" w:hAnsi="Palatino Linotype" w:cs="Palatino Linotype"/>
          <w:b/>
          <w:bCs/>
          <w:sz w:val="22"/>
          <w:szCs w:val="22"/>
        </w:rPr>
        <w:t>Recurrente</w:t>
      </w:r>
      <w:r w:rsidRPr="00AD0632">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657672A5" w14:textId="77777777" w:rsidR="00294DB4" w:rsidRPr="00AD0632" w:rsidRDefault="00294DB4">
      <w:pPr>
        <w:spacing w:line="360" w:lineRule="auto"/>
        <w:jc w:val="both"/>
        <w:rPr>
          <w:rFonts w:ascii="Palatino Linotype" w:eastAsia="Palatino Linotype" w:hAnsi="Palatino Linotype" w:cs="Palatino Linotype"/>
          <w:b/>
          <w:bCs/>
          <w:sz w:val="22"/>
          <w:szCs w:val="22"/>
        </w:rPr>
      </w:pPr>
    </w:p>
    <w:p w14:paraId="0C191550"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 xml:space="preserve">Cuarto. Estudio del asunto. </w:t>
      </w:r>
      <w:r w:rsidRPr="00AD0632">
        <w:rPr>
          <w:rFonts w:ascii="Palatino Linotype" w:eastAsia="Palatino Linotype" w:hAnsi="Palatino Linotype" w:cs="Palatino Linotype"/>
          <w:sz w:val="22"/>
          <w:szCs w:val="22"/>
        </w:rPr>
        <w:t xml:space="preserve">En principio, es conveniente analizar si las respuestas del </w:t>
      </w:r>
      <w:r w:rsidRPr="00AD0632">
        <w:rPr>
          <w:rFonts w:ascii="Palatino Linotype" w:eastAsia="Palatino Linotype" w:hAnsi="Palatino Linotype" w:cs="Palatino Linotype"/>
          <w:b/>
          <w:bCs/>
          <w:sz w:val="22"/>
          <w:szCs w:val="22"/>
        </w:rPr>
        <w:t>SUJETO OBLIGADO</w:t>
      </w:r>
      <w:r w:rsidRPr="00AD0632">
        <w:rPr>
          <w:rFonts w:ascii="Palatino Linotype" w:eastAsia="Palatino Linotype" w:hAnsi="Palatino Linotype" w:cs="Palatino Linotype"/>
          <w:sz w:val="22"/>
          <w:szCs w:val="22"/>
        </w:rPr>
        <w:t xml:space="preserve"> 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9534AB8"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4B665893" w14:textId="77777777" w:rsidR="00294DB4" w:rsidRPr="00AD0632" w:rsidRDefault="002015D9">
      <w:pPr>
        <w:spacing w:line="276" w:lineRule="auto"/>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r w:rsidRPr="00AD0632">
        <w:rPr>
          <w:rFonts w:ascii="Palatino Linotype" w:eastAsia="Palatino Linotype" w:hAnsi="Palatino Linotype" w:cs="Palatino Linotype"/>
          <w:b/>
          <w:bCs/>
          <w:i/>
          <w:iCs/>
          <w:sz w:val="22"/>
          <w:szCs w:val="22"/>
        </w:rPr>
        <w:t>Artículo 4</w:t>
      </w:r>
      <w:r w:rsidRPr="00AD0632">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060D02D" w14:textId="77777777" w:rsidR="00294DB4" w:rsidRPr="00AD0632" w:rsidRDefault="002015D9">
      <w:pPr>
        <w:spacing w:line="276" w:lineRule="auto"/>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AD0632">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D1F20D9" w14:textId="77777777" w:rsidR="00294DB4" w:rsidRPr="00AD0632" w:rsidRDefault="002015D9">
      <w:pPr>
        <w:spacing w:line="276" w:lineRule="auto"/>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AD0632">
        <w:rPr>
          <w:rFonts w:ascii="Palatino Linotype" w:eastAsia="Palatino Linotype" w:hAnsi="Palatino Linotype" w:cs="Palatino Linotype"/>
          <w:i/>
          <w:iCs/>
          <w:sz w:val="22"/>
          <w:szCs w:val="22"/>
        </w:rPr>
        <w:t>.”</w:t>
      </w:r>
    </w:p>
    <w:p w14:paraId="7E3BD7C8" w14:textId="77777777" w:rsidR="00294DB4" w:rsidRPr="00AD0632" w:rsidRDefault="00294DB4">
      <w:pPr>
        <w:spacing w:line="276" w:lineRule="auto"/>
        <w:jc w:val="both"/>
        <w:rPr>
          <w:rFonts w:ascii="Palatino Linotype" w:eastAsia="Palatino Linotype" w:hAnsi="Palatino Linotype" w:cs="Palatino Linotype"/>
          <w:sz w:val="22"/>
          <w:szCs w:val="22"/>
        </w:rPr>
      </w:pPr>
    </w:p>
    <w:p w14:paraId="58D20146"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B87D0BF"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745FDB97" w14:textId="77777777" w:rsidR="00294DB4" w:rsidRPr="00AD0632" w:rsidRDefault="002015D9">
      <w:pPr>
        <w:spacing w:line="276" w:lineRule="auto"/>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“Artículo 12.-</w:t>
      </w:r>
      <w:r w:rsidRPr="00AD0632">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1C783681" w14:textId="77777777" w:rsidR="00294DB4" w:rsidRPr="00AD0632" w:rsidRDefault="00294DB4">
      <w:pPr>
        <w:spacing w:line="276" w:lineRule="auto"/>
        <w:ind w:left="567" w:right="616"/>
        <w:jc w:val="both"/>
        <w:rPr>
          <w:rFonts w:ascii="Palatino Linotype" w:eastAsia="Palatino Linotype" w:hAnsi="Palatino Linotype" w:cs="Palatino Linotype"/>
          <w:i/>
          <w:iCs/>
          <w:sz w:val="22"/>
          <w:szCs w:val="22"/>
        </w:rPr>
      </w:pPr>
    </w:p>
    <w:p w14:paraId="4ACFB613" w14:textId="77777777" w:rsidR="00294DB4" w:rsidRPr="00AD0632" w:rsidRDefault="002015D9">
      <w:pPr>
        <w:spacing w:line="276" w:lineRule="auto"/>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AD0632">
        <w:rPr>
          <w:rFonts w:ascii="Palatino Linotype" w:eastAsia="Palatino Linotype" w:hAnsi="Palatino Linotype" w:cs="Palatino Linotype"/>
          <w:i/>
          <w:iCs/>
          <w:sz w:val="22"/>
          <w:szCs w:val="22"/>
        </w:rPr>
        <w:t xml:space="preserve">. </w:t>
      </w:r>
      <w:r w:rsidRPr="00AD0632">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D88CE1F" w14:textId="77777777" w:rsidR="00294DB4" w:rsidRPr="00AD0632" w:rsidRDefault="00294DB4">
      <w:pPr>
        <w:spacing w:line="360" w:lineRule="auto"/>
        <w:ind w:right="-93"/>
        <w:jc w:val="both"/>
        <w:rPr>
          <w:rFonts w:ascii="Palatino Linotype" w:eastAsia="Palatino Linotype" w:hAnsi="Palatino Linotype" w:cs="Palatino Linotype"/>
          <w:sz w:val="22"/>
          <w:szCs w:val="22"/>
        </w:rPr>
      </w:pPr>
    </w:p>
    <w:p w14:paraId="24583F39" w14:textId="77777777" w:rsidR="00294DB4" w:rsidRPr="00AD0632" w:rsidRDefault="002015D9">
      <w:pPr>
        <w:spacing w:line="360" w:lineRule="auto"/>
        <w:ind w:right="-93"/>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87E3DE1" w14:textId="77777777" w:rsidR="00294DB4" w:rsidRPr="00AD0632" w:rsidRDefault="00294DB4">
      <w:pPr>
        <w:spacing w:line="360" w:lineRule="auto"/>
        <w:ind w:right="-93"/>
        <w:jc w:val="both"/>
        <w:rPr>
          <w:rFonts w:ascii="Palatino Linotype" w:eastAsia="Palatino Linotype" w:hAnsi="Palatino Linotype" w:cs="Palatino Linotype"/>
          <w:sz w:val="22"/>
          <w:szCs w:val="22"/>
        </w:rPr>
      </w:pPr>
    </w:p>
    <w:p w14:paraId="4E18C837" w14:textId="77777777" w:rsidR="00294DB4" w:rsidRPr="00AD0632" w:rsidRDefault="002015D9">
      <w:pPr>
        <w:spacing w:line="360" w:lineRule="auto"/>
        <w:ind w:right="-93"/>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D0632">
        <w:rPr>
          <w:rFonts w:ascii="Palatino Linotype" w:eastAsia="Palatino Linotype" w:hAnsi="Palatino Linotype" w:cs="Palatino Linotype"/>
          <w:b/>
          <w:bCs/>
          <w:sz w:val="22"/>
          <w:szCs w:val="22"/>
        </w:rPr>
        <w:t xml:space="preserve"> </w:t>
      </w:r>
    </w:p>
    <w:p w14:paraId="27C5B9E7" w14:textId="77777777" w:rsidR="00294DB4" w:rsidRPr="00AD0632" w:rsidRDefault="00294DB4">
      <w:pPr>
        <w:spacing w:line="360" w:lineRule="auto"/>
        <w:jc w:val="both"/>
        <w:rPr>
          <w:rFonts w:ascii="Palatino Linotype" w:eastAsia="Palatino Linotype" w:hAnsi="Palatino Linotype" w:cs="Palatino Linotype"/>
          <w:b/>
          <w:bCs/>
          <w:sz w:val="22"/>
          <w:szCs w:val="22"/>
        </w:rPr>
      </w:pPr>
    </w:p>
    <w:p w14:paraId="6779972D"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r w:rsidRPr="00AD0632">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AD0632">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EA98565" w14:textId="77777777" w:rsidR="00294DB4" w:rsidRPr="00AD0632" w:rsidRDefault="00294DB4">
      <w:pPr>
        <w:spacing w:line="360" w:lineRule="auto"/>
        <w:ind w:right="-93"/>
        <w:jc w:val="both"/>
        <w:rPr>
          <w:rFonts w:ascii="Palatino Linotype" w:eastAsia="Palatino Linotype" w:hAnsi="Palatino Linotype" w:cs="Palatino Linotype"/>
          <w:sz w:val="22"/>
          <w:szCs w:val="22"/>
        </w:rPr>
      </w:pPr>
    </w:p>
    <w:p w14:paraId="086F4AB0"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090F0FE"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437A1CCF" w14:textId="77777777" w:rsidR="00294DB4" w:rsidRPr="00AD0632" w:rsidRDefault="002015D9">
      <w:pP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EB0178D" w14:textId="77777777" w:rsidR="00294DB4" w:rsidRPr="00AD0632" w:rsidRDefault="00294DB4">
      <w:pPr>
        <w:spacing w:line="360" w:lineRule="auto"/>
        <w:ind w:right="49"/>
        <w:jc w:val="both"/>
        <w:rPr>
          <w:rFonts w:ascii="Palatino Linotype" w:eastAsia="Palatino Linotype" w:hAnsi="Palatino Linotype" w:cs="Palatino Linotype"/>
          <w:sz w:val="22"/>
          <w:szCs w:val="22"/>
        </w:rPr>
      </w:pPr>
    </w:p>
    <w:p w14:paraId="04845AB6"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498AD77" w14:textId="77777777" w:rsidR="00294DB4" w:rsidRPr="00AD0632" w:rsidRDefault="00294DB4">
      <w:pPr>
        <w:spacing w:line="360" w:lineRule="auto"/>
        <w:ind w:left="567" w:right="616"/>
        <w:jc w:val="both"/>
        <w:rPr>
          <w:rFonts w:ascii="Palatino Linotype" w:eastAsia="Palatino Linotype" w:hAnsi="Palatino Linotype" w:cs="Palatino Linotype"/>
          <w:i/>
          <w:iCs/>
          <w:sz w:val="22"/>
          <w:szCs w:val="22"/>
        </w:rPr>
      </w:pPr>
    </w:p>
    <w:p w14:paraId="504394A8"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r w:rsidRPr="00AD0632">
        <w:rPr>
          <w:rFonts w:ascii="Palatino Linotype" w:eastAsia="Palatino Linotype" w:hAnsi="Palatino Linotype" w:cs="Palatino Linotype"/>
          <w:b/>
          <w:bCs/>
          <w:i/>
          <w:iCs/>
          <w:sz w:val="22"/>
          <w:szCs w:val="22"/>
        </w:rPr>
        <w:t xml:space="preserve">Artículo 3. </w:t>
      </w:r>
      <w:r w:rsidRPr="00AD0632">
        <w:rPr>
          <w:rFonts w:ascii="Palatino Linotype" w:eastAsia="Palatino Linotype" w:hAnsi="Palatino Linotype" w:cs="Palatino Linotype"/>
          <w:i/>
          <w:iCs/>
          <w:sz w:val="22"/>
          <w:szCs w:val="22"/>
        </w:rPr>
        <w:t>Para los efectos de la presente Ley se entenderá por:</w:t>
      </w:r>
    </w:p>
    <w:p w14:paraId="4BAAD67C"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73F32AA3"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XI. Documento:</w:t>
      </w:r>
      <w:r w:rsidRPr="00AD0632">
        <w:rPr>
          <w:rFonts w:ascii="Palatino Linotype" w:eastAsia="Palatino Linotype" w:hAnsi="Palatino Linotype" w:cs="Palatino Linotype"/>
          <w:i/>
          <w:iCs/>
          <w:sz w:val="22"/>
          <w:szCs w:val="22"/>
        </w:rPr>
        <w:t xml:space="preserve"> Los expedientes, reportes, estudios, actas</w:t>
      </w:r>
      <w:r w:rsidRPr="00AD0632">
        <w:rPr>
          <w:rFonts w:ascii="Palatino Linotype" w:eastAsia="Palatino Linotype" w:hAnsi="Palatino Linotype" w:cs="Palatino Linotype"/>
          <w:b/>
          <w:bCs/>
          <w:i/>
          <w:iCs/>
          <w:sz w:val="22"/>
          <w:szCs w:val="22"/>
        </w:rPr>
        <w:t>,</w:t>
      </w:r>
      <w:r w:rsidRPr="00AD0632">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2B79604" w14:textId="77777777" w:rsidR="00294DB4" w:rsidRPr="00AD0632" w:rsidRDefault="00294DB4">
      <w:pPr>
        <w:spacing w:line="360" w:lineRule="auto"/>
        <w:ind w:left="851" w:right="899"/>
        <w:jc w:val="both"/>
        <w:rPr>
          <w:rFonts w:ascii="Palatino Linotype" w:eastAsia="Palatino Linotype" w:hAnsi="Palatino Linotype" w:cs="Palatino Linotype"/>
          <w:sz w:val="22"/>
          <w:szCs w:val="22"/>
        </w:rPr>
      </w:pPr>
    </w:p>
    <w:p w14:paraId="6802F962"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5260DF3"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2FF20BF4" w14:textId="77777777" w:rsidR="00294DB4" w:rsidRPr="00AD0632" w:rsidRDefault="002015D9">
      <w:pPr>
        <w:ind w:left="567" w:right="616"/>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sz w:val="22"/>
          <w:szCs w:val="22"/>
        </w:rPr>
        <w:t>“</w:t>
      </w:r>
      <w:r w:rsidRPr="00AD0632">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AD0632">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3C15FF6"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5C8B55C7"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6866A568" w14:textId="77777777" w:rsidR="00294DB4" w:rsidRPr="00AD0632" w:rsidRDefault="002015D9">
      <w:pPr>
        <w:ind w:left="567" w:right="616"/>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44E4791F" w14:textId="77777777" w:rsidR="00294DB4" w:rsidRPr="00AD0632" w:rsidRDefault="002015D9">
      <w:pPr>
        <w:ind w:left="567" w:right="616"/>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0C077B26" w14:textId="77777777" w:rsidR="00294DB4" w:rsidRPr="00AD0632" w:rsidRDefault="00294DB4">
      <w:pPr>
        <w:tabs>
          <w:tab w:val="left" w:pos="8647"/>
        </w:tabs>
        <w:spacing w:line="360" w:lineRule="auto"/>
        <w:jc w:val="both"/>
        <w:rPr>
          <w:rFonts w:ascii="Palatino Linotype" w:eastAsia="Palatino Linotype" w:hAnsi="Palatino Linotype" w:cs="Palatino Linotype"/>
          <w:b/>
          <w:bCs/>
          <w:sz w:val="22"/>
          <w:szCs w:val="22"/>
        </w:rPr>
      </w:pPr>
    </w:p>
    <w:p w14:paraId="160C0EF7" w14:textId="77777777" w:rsidR="00294DB4" w:rsidRPr="00AD0632" w:rsidRDefault="002015D9">
      <w:pPr>
        <w:spacing w:after="240" w:line="360" w:lineRule="auto"/>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AD0632">
        <w:rPr>
          <w:rFonts w:ascii="Palatino Linotype" w:eastAsia="Palatino Linotype" w:hAnsi="Palatino Linotype" w:cs="Palatino Linotype"/>
          <w:b/>
          <w:bCs/>
          <w:sz w:val="22"/>
          <w:szCs w:val="22"/>
        </w:rPr>
        <w:t xml:space="preserve">Ayuntamiento de Tepotzotlán, </w:t>
      </w:r>
      <w:r w:rsidRPr="00AD0632">
        <w:rPr>
          <w:rFonts w:ascii="Palatino Linotype" w:eastAsia="Palatino Linotype" w:hAnsi="Palatino Linotype" w:cs="Palatino Linotype"/>
          <w:sz w:val="22"/>
          <w:szCs w:val="22"/>
        </w:rPr>
        <w:t>lo siguiente:</w:t>
      </w:r>
    </w:p>
    <w:p w14:paraId="67A6C902" w14:textId="77777777" w:rsidR="00294DB4" w:rsidRPr="00AD0632" w:rsidRDefault="002015D9">
      <w:pPr>
        <w:spacing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Del programa social de entrega de cascos para la seguridad de motociclistas de los ejercicios 2022, 2023 y 2024:</w:t>
      </w:r>
    </w:p>
    <w:p w14:paraId="047A432C" w14:textId="77777777" w:rsidR="00294DB4" w:rsidRPr="00AD0632" w:rsidRDefault="002015D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Documento donde se aprobó el programa;</w:t>
      </w:r>
    </w:p>
    <w:p w14:paraId="616FA29C" w14:textId="77777777" w:rsidR="00294DB4" w:rsidRPr="00AD0632" w:rsidRDefault="002015D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Presupuesto destinado;</w:t>
      </w:r>
    </w:p>
    <w:p w14:paraId="12BE1A49" w14:textId="77777777" w:rsidR="00294DB4" w:rsidRPr="00AD0632" w:rsidRDefault="002015D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Comprobación de los cascos entregados;</w:t>
      </w:r>
    </w:p>
    <w:p w14:paraId="22030D4E" w14:textId="77777777" w:rsidR="00294DB4" w:rsidRPr="00AD0632" w:rsidRDefault="002015D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Procedimiento de adquisición;</w:t>
      </w:r>
    </w:p>
    <w:p w14:paraId="6A22384F" w14:textId="77777777" w:rsidR="00294DB4" w:rsidRPr="00AD0632" w:rsidRDefault="002015D9">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Certificación de calidad o de categoría de los cascos</w:t>
      </w:r>
    </w:p>
    <w:p w14:paraId="3DD719C6" w14:textId="77777777" w:rsidR="00294DB4" w:rsidRPr="00AD0632" w:rsidRDefault="002015D9">
      <w:pPr>
        <w:pBdr>
          <w:top w:val="nil"/>
          <w:left w:val="nil"/>
          <w:bottom w:val="nil"/>
          <w:right w:val="nil"/>
          <w:between w:val="nil"/>
        </w:pBdr>
        <w:spacing w:after="240" w:line="360" w:lineRule="auto"/>
        <w:ind w:right="-15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Derivado de la naturaleza de la información requerida es necesario puntualizar que la solicitud parte de dos elementos de suma importancia, siendo la implementación de un programa social y la adquisición de bienes para otorgarlos en el desarrollo de dicho programa social.</w:t>
      </w:r>
    </w:p>
    <w:p w14:paraId="00048A10" w14:textId="77777777" w:rsidR="00294DB4" w:rsidRPr="00AD0632" w:rsidRDefault="002015D9">
      <w:pPr>
        <w:pBdr>
          <w:top w:val="nil"/>
          <w:left w:val="nil"/>
          <w:bottom w:val="nil"/>
          <w:right w:val="nil"/>
          <w:between w:val="nil"/>
        </w:pBdr>
        <w:spacing w:after="240" w:line="360" w:lineRule="auto"/>
        <w:ind w:right="-150"/>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De los programas sociales.</w:t>
      </w:r>
    </w:p>
    <w:p w14:paraId="49314614"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Para iniciar con el estudio de la fuente obligacional, resulta necesario traer a colación la Ley Orgánica Municipal del Estado de México, la cual precisa que:</w:t>
      </w:r>
    </w:p>
    <w:p w14:paraId="025A44F0" w14:textId="77777777" w:rsidR="00294DB4" w:rsidRPr="00AD0632" w:rsidRDefault="00294DB4">
      <w:pPr>
        <w:spacing w:line="360" w:lineRule="auto"/>
        <w:rPr>
          <w:rFonts w:ascii="Palatino Linotype" w:eastAsia="Palatino Linotype" w:hAnsi="Palatino Linotype" w:cs="Palatino Linotype"/>
          <w:sz w:val="22"/>
          <w:szCs w:val="22"/>
        </w:rPr>
      </w:pPr>
    </w:p>
    <w:p w14:paraId="5C135A17"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i/>
          <w:iCs/>
          <w:sz w:val="22"/>
          <w:szCs w:val="22"/>
        </w:rPr>
        <w:t>Artículo 96 Duodecies.</w:t>
      </w:r>
      <w:r w:rsidRPr="00AD0632">
        <w:rPr>
          <w:rFonts w:ascii="Palatino Linotype" w:eastAsia="Palatino Linotype" w:hAnsi="Palatino Linotype" w:cs="Palatino Linotype"/>
          <w:i/>
          <w:iCs/>
          <w:sz w:val="22"/>
          <w:szCs w:val="22"/>
        </w:rPr>
        <w:t xml:space="preserve"> El Director de Desarrollo Social o equivalente, tiene las siguientes atribuciones:</w:t>
      </w:r>
    </w:p>
    <w:p w14:paraId="6D741952"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w:t>
      </w:r>
    </w:p>
    <w:p w14:paraId="19FC3E07"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VII. Integrar los padrones respectivos de beneficiarios de los programas de desarrollo social municipal; </w:t>
      </w:r>
    </w:p>
    <w:p w14:paraId="7CE440EC"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VIII. Informar a la ciudadanía de las políticas, programas y acciones de desarrollo social que ejecuten; así como sobre la aplicación de los recursos y evolución de cada uno de estos programas, en términos de las disposiciones jurídicas aplicables;</w:t>
      </w:r>
    </w:p>
    <w:p w14:paraId="5B9B8848"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w:t>
      </w:r>
    </w:p>
    <w:p w14:paraId="78C81762" w14:textId="77777777" w:rsidR="00294DB4" w:rsidRPr="00AD0632" w:rsidRDefault="00294DB4">
      <w:pPr>
        <w:spacing w:line="360" w:lineRule="auto"/>
        <w:rPr>
          <w:rFonts w:ascii="Palatino Linotype" w:eastAsia="Palatino Linotype" w:hAnsi="Palatino Linotype" w:cs="Palatino Linotype"/>
          <w:sz w:val="22"/>
          <w:szCs w:val="22"/>
        </w:rPr>
      </w:pPr>
    </w:p>
    <w:p w14:paraId="2F35F3A7"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En lo que corresponde al Sujeto Obligado, el Código de Reglamentación Municipal, </w:t>
      </w:r>
    </w:p>
    <w:p w14:paraId="43D11A9F" w14:textId="77777777" w:rsidR="00294DB4" w:rsidRPr="00AD0632" w:rsidRDefault="00294DB4">
      <w:pPr>
        <w:spacing w:line="360" w:lineRule="auto"/>
        <w:rPr>
          <w:rFonts w:ascii="Palatino Linotype" w:eastAsia="Palatino Linotype" w:hAnsi="Palatino Linotype" w:cs="Palatino Linotype"/>
          <w:sz w:val="22"/>
          <w:szCs w:val="22"/>
        </w:rPr>
      </w:pPr>
    </w:p>
    <w:p w14:paraId="47F70E24" w14:textId="77777777" w:rsidR="00294DB4" w:rsidRPr="00AD0632" w:rsidRDefault="002015D9">
      <w:pPr>
        <w:pBdr>
          <w:top w:val="nil"/>
          <w:left w:val="nil"/>
          <w:bottom w:val="nil"/>
          <w:right w:val="nil"/>
          <w:between w:val="nil"/>
        </w:pBdr>
        <w:spacing w:line="360" w:lineRule="auto"/>
        <w:ind w:left="567" w:right="560"/>
        <w:jc w:val="center"/>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i/>
          <w:iCs/>
          <w:sz w:val="22"/>
          <w:szCs w:val="22"/>
        </w:rPr>
        <w:t>DE LA DIRECCIÓN GENERAL DE BIENESTAR SOCIAL</w:t>
      </w:r>
    </w:p>
    <w:p w14:paraId="6BE666BF" w14:textId="77777777" w:rsidR="00294DB4" w:rsidRPr="00AD0632" w:rsidRDefault="00294DB4">
      <w:pPr>
        <w:spacing w:line="360" w:lineRule="auto"/>
        <w:rPr>
          <w:rFonts w:ascii="Palatino Linotype" w:eastAsia="Palatino Linotype" w:hAnsi="Palatino Linotype" w:cs="Palatino Linotype"/>
          <w:sz w:val="22"/>
          <w:szCs w:val="22"/>
        </w:rPr>
      </w:pPr>
    </w:p>
    <w:p w14:paraId="0100AE44"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i/>
          <w:iCs/>
          <w:sz w:val="22"/>
          <w:szCs w:val="22"/>
        </w:rPr>
        <w:t>Artículo 3.68.</w:t>
      </w:r>
      <w:r w:rsidRPr="00AD0632">
        <w:rPr>
          <w:rFonts w:ascii="Palatino Linotype" w:eastAsia="Palatino Linotype" w:hAnsi="Palatino Linotype" w:cs="Palatino Linotype"/>
          <w:i/>
          <w:iCs/>
          <w:sz w:val="22"/>
          <w:szCs w:val="22"/>
        </w:rPr>
        <w:t xml:space="preserve"> La o el titular de la Dirección General de Bienestar Social, tendrá las siguientes atribuciones: </w:t>
      </w:r>
    </w:p>
    <w:p w14:paraId="122A2A5E"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 xml:space="preserve">I. Planear, impulsar y operar </w:t>
      </w:r>
      <w:r w:rsidRPr="00AD0632">
        <w:rPr>
          <w:rFonts w:ascii="Palatino Linotype" w:eastAsia="Palatino Linotype" w:hAnsi="Palatino Linotype" w:cs="Palatino Linotype"/>
          <w:b/>
          <w:bCs/>
          <w:i/>
          <w:iCs/>
          <w:sz w:val="22"/>
          <w:szCs w:val="22"/>
          <w:u w:val="single"/>
        </w:rPr>
        <w:t>programas</w:t>
      </w:r>
      <w:r w:rsidRPr="00AD0632">
        <w:rPr>
          <w:rFonts w:ascii="Palatino Linotype" w:eastAsia="Palatino Linotype" w:hAnsi="Palatino Linotype" w:cs="Palatino Linotype"/>
          <w:i/>
          <w:iCs/>
          <w:sz w:val="22"/>
          <w:szCs w:val="22"/>
        </w:rPr>
        <w:t xml:space="preserve">, proyectos y acciones para garantizar el pleno ejercicio de los derechos sociales consagrados en la Constitución Política de los Estados Unidos Mexicanos y la Constitución del Estado Libre y Soberano de México, </w:t>
      </w:r>
      <w:r w:rsidRPr="00AD0632">
        <w:rPr>
          <w:rFonts w:ascii="Palatino Linotype" w:eastAsia="Palatino Linotype" w:hAnsi="Palatino Linotype" w:cs="Palatino Linotype"/>
          <w:b/>
          <w:bCs/>
          <w:i/>
          <w:iCs/>
          <w:sz w:val="22"/>
          <w:szCs w:val="22"/>
          <w:u w:val="single"/>
        </w:rPr>
        <w:t>asegurando el acceso de toda la población al desarrollo social; </w:t>
      </w:r>
    </w:p>
    <w:p w14:paraId="76A80C72"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II. Participar, en el ámbito de sus atribuciones en el Sistema Nacional de Desarrollo Social; </w:t>
      </w:r>
    </w:p>
    <w:p w14:paraId="27F274E1"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i/>
          <w:iCs/>
          <w:sz w:val="22"/>
          <w:szCs w:val="22"/>
          <w:u w:val="single"/>
        </w:rPr>
        <w:t>III. Impulsar, supervisar, controlar y evaluar los programas en materia de asistencia social dirigidos a la población en situación de vulnerabilidad del municipio; </w:t>
      </w:r>
    </w:p>
    <w:p w14:paraId="1B7A968F"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IV. Promover, respetar y difundir las costumbres y tradiciones de los pueblos indígenas, preservando sus lenguas y escritura, llevando a cabo acciones concretas; </w:t>
      </w:r>
    </w:p>
    <w:p w14:paraId="48EEB5FA"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V. Promover la inclusión de los pueblos indígenas, para que accedan a los beneficios que otorgan los programas federales y estatales en la materia; </w:t>
      </w:r>
    </w:p>
    <w:p w14:paraId="08C82359"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VI. Promover servicios educativos de cualquier tipo o modalidad, de acuerdo a los programas establecidos, por el gobierno federal y estatal; </w:t>
      </w:r>
    </w:p>
    <w:p w14:paraId="0100B38D"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VII. Promover y ejecutar cursos y talleres dirigidos a la ciudadanía toluqueña para el desarrollo de habilidades que generen autoempleo; </w:t>
      </w:r>
    </w:p>
    <w:p w14:paraId="12F4CDC4"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VIII. Coordinar con las instancias responsables del gobierno municipal, la ejecución de programas integrales de desarrollo social, cultural y económico, incluidos los de salud, educación, vivienda, empleo, deporte y desarrollo urbano, con miras a disminuir los factores que pueden generar actitudes violentas o delictivas en la sociedad; </w:t>
      </w:r>
    </w:p>
    <w:p w14:paraId="54868BC1"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w:t>
      </w:r>
    </w:p>
    <w:p w14:paraId="48AC4F41"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XVI. Coordinar las acciones que deriven de los convenios suscritos con el gobierno Federal y con el gobierno del Estado de México, cuyo objeto detente el desarrollo social; </w:t>
      </w:r>
    </w:p>
    <w:p w14:paraId="15695492"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i/>
          <w:iCs/>
          <w:sz w:val="22"/>
          <w:szCs w:val="22"/>
          <w:u w:val="single"/>
        </w:rPr>
        <w:t>XVII. Promover la participación de los sectores social y privado para la atención de las necesidades básicas de la población del municipio; y </w:t>
      </w:r>
    </w:p>
    <w:p w14:paraId="04DE245B"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XVIII. Las demás que le confieran otros ordenamientos jurídicos, el H. Ayuntamiento y el presidente municipal. </w:t>
      </w:r>
    </w:p>
    <w:p w14:paraId="59257D31" w14:textId="77777777" w:rsidR="00294DB4" w:rsidRPr="00AD0632" w:rsidRDefault="002015D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i/>
          <w:iCs/>
          <w:sz w:val="22"/>
          <w:szCs w:val="22"/>
        </w:rPr>
        <w:t>Para el ejercicio de sus atribuciones, la Dirección General de Bienestar Social se auxiliará de la Dirección de Cultura, de la Dirección de Apoyo a la Juventud, de la Dirección de Programas Sociales y Apoyo a la Educación y de la Dirección de Fomento y Orientación para la Convivencia Social.</w:t>
      </w:r>
    </w:p>
    <w:p w14:paraId="0E409B3E" w14:textId="77777777" w:rsidR="00294DB4" w:rsidRPr="00AD0632" w:rsidRDefault="00294DB4">
      <w:pPr>
        <w:spacing w:line="360" w:lineRule="auto"/>
        <w:rPr>
          <w:rFonts w:ascii="Palatino Linotype" w:eastAsia="Palatino Linotype" w:hAnsi="Palatino Linotype" w:cs="Palatino Linotype"/>
          <w:sz w:val="22"/>
          <w:szCs w:val="22"/>
        </w:rPr>
      </w:pPr>
    </w:p>
    <w:p w14:paraId="5F905637"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En lo que respecta a nuestra materia, de conformidad con la Ley de Transparencia y Acceso a la Información Pública del Estado de México y Municipios, los sujetos obligados deberán poner a disposición del público de manera permanente y actualizada de forma sencilla, precisa y entendible, la siguiente información: </w:t>
      </w:r>
    </w:p>
    <w:p w14:paraId="3F485AC4" w14:textId="77777777" w:rsidR="00294DB4" w:rsidRPr="00AD0632" w:rsidRDefault="00294DB4">
      <w:pPr>
        <w:spacing w:line="360" w:lineRule="auto"/>
        <w:rPr>
          <w:rFonts w:ascii="Palatino Linotype" w:eastAsia="Palatino Linotype" w:hAnsi="Palatino Linotype" w:cs="Palatino Linotype"/>
          <w:sz w:val="22"/>
          <w:szCs w:val="22"/>
        </w:rPr>
      </w:pPr>
    </w:p>
    <w:p w14:paraId="55CEE26D" w14:textId="77777777" w:rsidR="00294DB4" w:rsidRPr="00AD0632" w:rsidRDefault="002015D9">
      <w:pPr>
        <w:pBdr>
          <w:top w:val="nil"/>
          <w:left w:val="nil"/>
          <w:bottom w:val="nil"/>
          <w:right w:val="nil"/>
          <w:between w:val="nil"/>
        </w:pBdr>
        <w:spacing w:line="360" w:lineRule="auto"/>
        <w:ind w:left="864" w:right="864"/>
        <w:jc w:val="center"/>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TÍTULO QUINTO DE LAS OBLIGACIONES DE TRANSPARENCIA</w:t>
      </w:r>
    </w:p>
    <w:p w14:paraId="7CD14589"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Capítulo II De las Obligaciones de Transparencia Comunes</w:t>
      </w:r>
    </w:p>
    <w:p w14:paraId="0365A617"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6DA163A5"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XIV. La información de los programas de subsidios, estímulos y apoyos, en el que se deberá informar respecto de los programas de transferencia, de servicios, de infraestructura social y de subsidio, en los que se deberá contener lo siguiente:</w:t>
      </w:r>
    </w:p>
    <w:p w14:paraId="63789FFC"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a) Área; </w:t>
      </w:r>
    </w:p>
    <w:p w14:paraId="259E67E1"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 xml:space="preserve">b) Denominación del programa; </w:t>
      </w:r>
    </w:p>
    <w:p w14:paraId="4903FAB4"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 xml:space="preserve">c) Periodo de vigencia; </w:t>
      </w:r>
    </w:p>
    <w:p w14:paraId="38B5AEAC"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d) Diseño, objetivos y alcances;</w:t>
      </w:r>
    </w:p>
    <w:p w14:paraId="2CFAC9D0"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e) Metas físicas; </w:t>
      </w:r>
    </w:p>
    <w:p w14:paraId="2C1CF56C"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f) Población beneficiada estimada; </w:t>
      </w:r>
    </w:p>
    <w:p w14:paraId="6E00074C"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 xml:space="preserve">g) Monto aprobado, modificado y ejercido, así como los calendarios de su programación presupuestal; </w:t>
      </w:r>
    </w:p>
    <w:p w14:paraId="1224F15D"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 xml:space="preserve">h) Requisitos y procedimientos de acceso; </w:t>
      </w:r>
    </w:p>
    <w:p w14:paraId="2E4C2EEA"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 Procedimiento de queja o inconformidad ciudadana; </w:t>
      </w:r>
    </w:p>
    <w:p w14:paraId="3BB08E57"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j) Mecanismos de exigibilidad; </w:t>
      </w:r>
    </w:p>
    <w:p w14:paraId="7F517672"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k) Mecanismos e informes de evaluación y seguimiento de recomendaciones; </w:t>
      </w:r>
    </w:p>
    <w:p w14:paraId="7339E142"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l) Indicadores con nombre, definición, método de cálculo, unidad de medida; dimensión, frecuencia de medición, nombre de las bases de datos utilizadas para su cálculo; </w:t>
      </w:r>
    </w:p>
    <w:p w14:paraId="0E8385E9"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 xml:space="preserve">m) Formas de participación social; </w:t>
      </w:r>
    </w:p>
    <w:p w14:paraId="66B4E288"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n) Articulación con otros programas sociales; </w:t>
      </w:r>
    </w:p>
    <w:p w14:paraId="44635FA9"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 xml:space="preserve">ñ) Vínculo a las reglas de operación o documento equivalente; </w:t>
      </w:r>
    </w:p>
    <w:p w14:paraId="3359B195"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o) Informes periódicos sobre la ejecución y los resultados de las evaluaciones realizadas; y</w:t>
      </w:r>
    </w:p>
    <w:p w14:paraId="12FE7D25"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p) Padrón de beneficiarios</w:t>
      </w:r>
      <w:r w:rsidRPr="00AD0632">
        <w:rPr>
          <w:rFonts w:ascii="Palatino Linotype" w:eastAsia="Palatino Linotype" w:hAnsi="Palatino Linotype" w:cs="Palatino Linotype"/>
          <w:i/>
          <w:iCs/>
          <w:sz w:val="22"/>
          <w:szCs w:val="22"/>
        </w:rPr>
        <w:t xml:space="preserve">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4813AA04" w14:textId="77777777" w:rsidR="00294DB4" w:rsidRPr="00AD0632" w:rsidRDefault="002015D9">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w:t>
      </w:r>
    </w:p>
    <w:p w14:paraId="356E306C" w14:textId="77777777" w:rsidR="00294DB4" w:rsidRPr="00AD0632" w:rsidRDefault="00294DB4">
      <w:pPr>
        <w:spacing w:line="360" w:lineRule="auto"/>
        <w:rPr>
          <w:rFonts w:ascii="Palatino Linotype" w:eastAsia="Palatino Linotype" w:hAnsi="Palatino Linotype" w:cs="Palatino Linotype"/>
          <w:sz w:val="22"/>
          <w:szCs w:val="22"/>
        </w:rPr>
      </w:pPr>
    </w:p>
    <w:p w14:paraId="5F447853"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De lo anterior, se colige que la información solicitada por la parte Recurrente constituye obligaciones de transparencia que deben ser acatadas por el Sujeto Obligado, debiendo publicar, entre otra información el presupuesto, convocatoria y padrón de beneficiarios, que este último cobra relevancia, pues para su publicación debe observarse lo siguiente:</w:t>
      </w:r>
    </w:p>
    <w:p w14:paraId="60C8E0DE" w14:textId="77777777" w:rsidR="00294DB4" w:rsidRPr="00AD0632" w:rsidRDefault="00294DB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56780E3"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noProof/>
          <w:sz w:val="22"/>
          <w:szCs w:val="22"/>
        </w:rPr>
        <w:drawing>
          <wp:inline distT="0" distB="0" distL="0" distR="0" wp14:anchorId="27560438" wp14:editId="29EC9E41">
            <wp:extent cx="5756275" cy="3797935"/>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56275" cy="3797935"/>
                    </a:xfrm>
                    <a:prstGeom prst="rect">
                      <a:avLst/>
                    </a:prstGeom>
                    <a:ln/>
                  </pic:spPr>
                </pic:pic>
              </a:graphicData>
            </a:graphic>
          </wp:inline>
        </w:drawing>
      </w:r>
    </w:p>
    <w:p w14:paraId="3EC84EF2" w14:textId="77777777" w:rsidR="00294DB4" w:rsidRPr="00AD0632" w:rsidRDefault="00294DB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5896286"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Entre la información de interés para el particular se advierte que debe contener sus datos generales y, además, el monto, recurso, beneficio o apoyo otorgado, resultando en información que debe generar, administrar y poseer el Sujeto Obligado, por corresponder a obligaciones de transparencia común.</w:t>
      </w:r>
    </w:p>
    <w:p w14:paraId="22956288" w14:textId="77777777" w:rsidR="00294DB4" w:rsidRPr="00AD0632" w:rsidRDefault="00294DB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7F1C98E"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Procedimientos de adquisición de bienes materia de programas sociales.</w:t>
      </w:r>
    </w:p>
    <w:p w14:paraId="71CE37BB" w14:textId="77777777" w:rsidR="00294DB4" w:rsidRPr="00AD0632" w:rsidRDefault="00294DB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F3CF766" w14:textId="77777777" w:rsidR="00294DB4" w:rsidRPr="00AD0632" w:rsidRDefault="002015D9">
      <w:pPr>
        <w:spacing w:line="360" w:lineRule="auto"/>
        <w:ind w:right="-7"/>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Derivado de la naturaleza de la información requerida, es necesario precisar que la Ley de Contratación Pública del Estado de México y Municipios, la cual tiene por objeto regular los actos relativos a la </w:t>
      </w:r>
      <w:r w:rsidRPr="00AD0632">
        <w:rPr>
          <w:rFonts w:ascii="Palatino Linotype" w:eastAsia="Palatino Linotype" w:hAnsi="Palatino Linotype" w:cs="Palatino Linotype"/>
          <w:b/>
          <w:bCs/>
          <w:sz w:val="22"/>
          <w:szCs w:val="22"/>
          <w:u w:val="single"/>
        </w:rPr>
        <w:t>planeación, programación, presupuestación</w:t>
      </w:r>
      <w:r w:rsidRPr="00AD0632">
        <w:rPr>
          <w:rFonts w:ascii="Palatino Linotype" w:eastAsia="Palatino Linotype" w:hAnsi="Palatino Linotype" w:cs="Palatino Linotype"/>
          <w:sz w:val="22"/>
          <w:szCs w:val="22"/>
        </w:rPr>
        <w:t xml:space="preserve">, ejecución y control de la </w:t>
      </w:r>
      <w:r w:rsidRPr="00AD0632">
        <w:rPr>
          <w:rFonts w:ascii="Palatino Linotype" w:eastAsia="Palatino Linotype" w:hAnsi="Palatino Linotype" w:cs="Palatino Linotype"/>
          <w:b/>
          <w:bCs/>
          <w:sz w:val="22"/>
          <w:szCs w:val="22"/>
          <w:u w:val="single"/>
        </w:rPr>
        <w:t>adquisición</w:t>
      </w:r>
      <w:r w:rsidRPr="00AD0632">
        <w:rPr>
          <w:rFonts w:ascii="Palatino Linotype" w:eastAsia="Palatino Linotype" w:hAnsi="Palatino Linotype" w:cs="Palatino Linotype"/>
          <w:sz w:val="22"/>
          <w:szCs w:val="22"/>
        </w:rPr>
        <w:t xml:space="preserve">, enajenación y arrendamiento de bienes, y la </w:t>
      </w:r>
      <w:r w:rsidRPr="00AD0632">
        <w:rPr>
          <w:rFonts w:ascii="Palatino Linotype" w:eastAsia="Palatino Linotype" w:hAnsi="Palatino Linotype" w:cs="Palatino Linotype"/>
          <w:b/>
          <w:bCs/>
          <w:sz w:val="22"/>
          <w:szCs w:val="22"/>
          <w:u w:val="single"/>
        </w:rPr>
        <w:t>contratación de servicios de cualquier naturaleza, que realicen los Ayuntamientos del Estado</w:t>
      </w:r>
      <w:r w:rsidRPr="00AD0632">
        <w:rPr>
          <w:rFonts w:ascii="Palatino Linotype" w:eastAsia="Palatino Linotype" w:hAnsi="Palatino Linotype" w:cs="Palatino Linotype"/>
          <w:sz w:val="22"/>
          <w:szCs w:val="22"/>
        </w:rPr>
        <w:t>; entre ellos el Sujeto Obligado, los cuales se adjudicarán a través de licitación pública, invitación restringida o adjudicación directa, mediante convocatoria pública, tal y como lo establecen los artículos 4, 26 y 27 de dicha Ley, los cuales son del tenor siguiente:</w:t>
      </w:r>
    </w:p>
    <w:p w14:paraId="30EBBE46" w14:textId="77777777" w:rsidR="00294DB4" w:rsidRPr="00AD0632" w:rsidRDefault="002015D9">
      <w:pPr>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“Artículo 4.-</w:t>
      </w:r>
      <w:r w:rsidRPr="00AD0632">
        <w:rPr>
          <w:rFonts w:ascii="Palatino Linotype" w:eastAsia="Palatino Linotype" w:hAnsi="Palatino Linotype" w:cs="Palatino Linotype"/>
          <w:i/>
          <w:iCs/>
          <w:sz w:val="22"/>
          <w:szCs w:val="22"/>
        </w:rPr>
        <w:t xml:space="preserve"> Para los efectos de esta Ley, </w:t>
      </w:r>
      <w:r w:rsidRPr="00AD0632">
        <w:rPr>
          <w:rFonts w:ascii="Palatino Linotype" w:eastAsia="Palatino Linotype" w:hAnsi="Palatino Linotype" w:cs="Palatino Linotype"/>
          <w:b/>
          <w:bCs/>
          <w:i/>
          <w:iCs/>
          <w:sz w:val="22"/>
          <w:szCs w:val="22"/>
        </w:rPr>
        <w:t>en las adquisiciones, enajenaciones, arrendamientos y servicios, quedan comprendidos</w:t>
      </w:r>
      <w:r w:rsidRPr="00AD0632">
        <w:rPr>
          <w:rFonts w:ascii="Palatino Linotype" w:eastAsia="Palatino Linotype" w:hAnsi="Palatino Linotype" w:cs="Palatino Linotype"/>
          <w:i/>
          <w:iCs/>
          <w:sz w:val="22"/>
          <w:szCs w:val="22"/>
        </w:rPr>
        <w:t>:</w:t>
      </w:r>
    </w:p>
    <w:p w14:paraId="5EEF6270"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I.</w:t>
      </w:r>
      <w:r w:rsidRPr="00AD0632">
        <w:rPr>
          <w:rFonts w:ascii="Palatino Linotype" w:eastAsia="Palatino Linotype" w:hAnsi="Palatino Linotype" w:cs="Palatino Linotype"/>
          <w:i/>
          <w:iCs/>
          <w:sz w:val="22"/>
          <w:szCs w:val="22"/>
        </w:rPr>
        <w:t xml:space="preserve"> La adquisición de bienes muebles.</w:t>
      </w:r>
    </w:p>
    <w:p w14:paraId="20A048D1"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II</w:t>
      </w:r>
      <w:r w:rsidRPr="00AD0632">
        <w:rPr>
          <w:rFonts w:ascii="Palatino Linotype" w:eastAsia="Palatino Linotype" w:hAnsi="Palatino Linotype" w:cs="Palatino Linotype"/>
          <w:i/>
          <w:iCs/>
          <w:sz w:val="22"/>
          <w:szCs w:val="22"/>
        </w:rPr>
        <w:t>. La adquisición de bienes inmuebles, a través de compraventa.</w:t>
      </w:r>
    </w:p>
    <w:p w14:paraId="40164381"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III.</w:t>
      </w:r>
      <w:r w:rsidRPr="00AD0632">
        <w:rPr>
          <w:rFonts w:ascii="Palatino Linotype" w:eastAsia="Palatino Linotype" w:hAnsi="Palatino Linotype" w:cs="Palatino Linotype"/>
          <w:i/>
          <w:iCs/>
          <w:sz w:val="22"/>
          <w:szCs w:val="22"/>
        </w:rPr>
        <w:t xml:space="preserve"> La enajenación de bienes muebles e inmuebles.</w:t>
      </w:r>
    </w:p>
    <w:p w14:paraId="312893F1"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IV.</w:t>
      </w:r>
      <w:r w:rsidRPr="00AD0632">
        <w:rPr>
          <w:rFonts w:ascii="Palatino Linotype" w:eastAsia="Palatino Linotype" w:hAnsi="Palatino Linotype" w:cs="Palatino Linotype"/>
          <w:i/>
          <w:iCs/>
          <w:sz w:val="22"/>
          <w:szCs w:val="22"/>
        </w:rPr>
        <w:t xml:space="preserve"> El arrendamiento de bienes muebles e inmuebles. </w:t>
      </w:r>
    </w:p>
    <w:p w14:paraId="7CC0437D"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V</w:t>
      </w:r>
      <w:r w:rsidRPr="00AD0632">
        <w:rPr>
          <w:rFonts w:ascii="Palatino Linotype" w:eastAsia="Palatino Linotype" w:hAnsi="Palatino Linotype" w:cs="Palatino Linotype"/>
          <w:i/>
          <w:iCs/>
          <w:sz w:val="22"/>
          <w:szCs w:val="22"/>
        </w:rPr>
        <w:t>. La contratación de los servicios, relacionados con bienes muebles que se encuentran incorporados o adheridos a bienes inmuebles, cuya instalación o mantenimiento no implique modificación al bien inmueble.</w:t>
      </w:r>
    </w:p>
    <w:p w14:paraId="76EA026D"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VI.</w:t>
      </w:r>
      <w:r w:rsidRPr="00AD0632">
        <w:rPr>
          <w:rFonts w:ascii="Palatino Linotype" w:eastAsia="Palatino Linotype" w:hAnsi="Palatino Linotype" w:cs="Palatino Linotype"/>
          <w:i/>
          <w:iCs/>
          <w:sz w:val="22"/>
          <w:szCs w:val="22"/>
        </w:rPr>
        <w:t xml:space="preserve"> La contratación de los servicios de reconstrucción y mantenimiento de bienes muebles. </w:t>
      </w:r>
    </w:p>
    <w:p w14:paraId="0A6BFEB8"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VII.</w:t>
      </w:r>
      <w:r w:rsidRPr="00AD0632">
        <w:rPr>
          <w:rFonts w:ascii="Palatino Linotype" w:eastAsia="Palatino Linotype" w:hAnsi="Palatino Linotype" w:cs="Palatino Linotype"/>
          <w:i/>
          <w:iCs/>
          <w:sz w:val="22"/>
          <w:szCs w:val="22"/>
        </w:rPr>
        <w:t xml:space="preserve"> La contratación de los servicios de maquila, seguros y transportación, así como de los de limpieza y vigilancia de bienes inmuebles. </w:t>
      </w:r>
    </w:p>
    <w:p w14:paraId="6C179AB4"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VIII.</w:t>
      </w:r>
      <w:r w:rsidRPr="00AD0632">
        <w:rPr>
          <w:rFonts w:ascii="Palatino Linotype" w:eastAsia="Palatino Linotype" w:hAnsi="Palatino Linotype" w:cs="Palatino Linotype"/>
          <w:i/>
          <w:iCs/>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6096DEA1" w14:textId="77777777" w:rsidR="00294DB4" w:rsidRPr="00AD0632" w:rsidRDefault="002015D9">
      <w:pPr>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En general, otros actos que impliquen la contratación de servicios de cualquier naturaleza</w:t>
      </w:r>
    </w:p>
    <w:p w14:paraId="16E7AE6B" w14:textId="77777777" w:rsidR="00294DB4" w:rsidRPr="00AD0632" w:rsidRDefault="002015D9">
      <w:pPr>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Artículo 26.-</w:t>
      </w:r>
      <w:r w:rsidRPr="00AD0632">
        <w:rPr>
          <w:rFonts w:ascii="Palatino Linotype" w:eastAsia="Palatino Linotype" w:hAnsi="Palatino Linotype" w:cs="Palatino Linotype"/>
          <w:i/>
          <w:iCs/>
          <w:sz w:val="22"/>
          <w:szCs w:val="22"/>
        </w:rPr>
        <w:t xml:space="preserve"> </w:t>
      </w:r>
      <w:r w:rsidRPr="00AD0632">
        <w:rPr>
          <w:rFonts w:ascii="Palatino Linotype" w:eastAsia="Palatino Linotype" w:hAnsi="Palatino Linotype" w:cs="Palatino Linotype"/>
          <w:b/>
          <w:bCs/>
          <w:i/>
          <w:iCs/>
          <w:sz w:val="22"/>
          <w:szCs w:val="22"/>
        </w:rPr>
        <w:t>Las adquisiciones, arrendamientos y servicios se adjudicarán a través de licitaciones públicas</w:t>
      </w:r>
      <w:r w:rsidRPr="00AD0632">
        <w:rPr>
          <w:rFonts w:ascii="Palatino Linotype" w:eastAsia="Palatino Linotype" w:hAnsi="Palatino Linotype" w:cs="Palatino Linotype"/>
          <w:i/>
          <w:iCs/>
          <w:sz w:val="22"/>
          <w:szCs w:val="22"/>
        </w:rPr>
        <w:t xml:space="preserve">, mediante convocatoria pública. </w:t>
      </w:r>
    </w:p>
    <w:p w14:paraId="511AEFE0" w14:textId="77777777" w:rsidR="00294DB4" w:rsidRPr="00AD0632" w:rsidRDefault="002015D9">
      <w:pPr>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Artículo 27.</w:t>
      </w:r>
      <w:r w:rsidRPr="00AD0632">
        <w:rPr>
          <w:rFonts w:ascii="Palatino Linotype" w:eastAsia="Palatino Linotype" w:hAnsi="Palatino Linotype" w:cs="Palatino Linotype"/>
          <w:i/>
          <w:iCs/>
          <w:sz w:val="22"/>
          <w:szCs w:val="22"/>
        </w:rPr>
        <w:t xml:space="preserve">- La Secretaría, las entidades, los tribunales administrativos y los ayuntamientos podrán </w:t>
      </w:r>
      <w:r w:rsidRPr="00AD0632">
        <w:rPr>
          <w:rFonts w:ascii="Palatino Linotype" w:eastAsia="Palatino Linotype" w:hAnsi="Palatino Linotype" w:cs="Palatino Linotype"/>
          <w:b/>
          <w:bCs/>
          <w:i/>
          <w:iCs/>
          <w:sz w:val="22"/>
          <w:szCs w:val="22"/>
        </w:rPr>
        <w:t>adjudicar adquisiciones, arrendamientos y servicios, mediante las excepciones al procedimiento de licitación</w:t>
      </w:r>
      <w:r w:rsidRPr="00AD0632">
        <w:rPr>
          <w:rFonts w:ascii="Palatino Linotype" w:eastAsia="Palatino Linotype" w:hAnsi="Palatino Linotype" w:cs="Palatino Linotype"/>
          <w:i/>
          <w:iCs/>
          <w:sz w:val="22"/>
          <w:szCs w:val="22"/>
        </w:rPr>
        <w:t xml:space="preserve"> que a continuación se señalan:</w:t>
      </w:r>
    </w:p>
    <w:p w14:paraId="11713646"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I</w:t>
      </w:r>
      <w:r w:rsidRPr="00AD0632">
        <w:rPr>
          <w:rFonts w:ascii="Palatino Linotype" w:eastAsia="Palatino Linotype" w:hAnsi="Palatino Linotype" w:cs="Palatino Linotype"/>
          <w:i/>
          <w:iCs/>
          <w:sz w:val="22"/>
          <w:szCs w:val="22"/>
        </w:rPr>
        <w:t>. Invitación restringida.</w:t>
      </w:r>
    </w:p>
    <w:p w14:paraId="3F3BE35C"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 xml:space="preserve">II. </w:t>
      </w:r>
      <w:r w:rsidRPr="00AD0632">
        <w:rPr>
          <w:rFonts w:ascii="Palatino Linotype" w:eastAsia="Palatino Linotype" w:hAnsi="Palatino Linotype" w:cs="Palatino Linotype"/>
          <w:i/>
          <w:iCs/>
          <w:sz w:val="22"/>
          <w:szCs w:val="22"/>
        </w:rPr>
        <w:t>Adjudicación directa.”</w:t>
      </w:r>
    </w:p>
    <w:p w14:paraId="778E28A5" w14:textId="77777777" w:rsidR="00294DB4" w:rsidRPr="00AD0632" w:rsidRDefault="002015D9">
      <w:pPr>
        <w:spacing w:before="240" w:after="240"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23BA352F" w14:textId="77777777" w:rsidR="00294DB4" w:rsidRPr="00AD0632" w:rsidRDefault="002015D9">
      <w:pPr>
        <w:spacing w:before="240" w:after="240"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39970DA3"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Por ello, de acuerdo con el artículo 44 de la Ley de Contratación Pública del Estado de México y Municipios, las entidades públicas podrán adquirir y contratar servicios mediante invitación restringida en los siguientes casos: </w:t>
      </w:r>
    </w:p>
    <w:p w14:paraId="72F2FD94" w14:textId="77777777" w:rsidR="00294DB4" w:rsidRPr="00AD0632" w:rsidRDefault="002015D9">
      <w:pPr>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“Artículo 44.-</w:t>
      </w:r>
      <w:r w:rsidRPr="00AD0632">
        <w:rPr>
          <w:rFonts w:ascii="Palatino Linotype" w:eastAsia="Palatino Linotype" w:hAnsi="Palatino Linotype" w:cs="Palatino Linotype"/>
          <w:i/>
          <w:iCs/>
          <w:sz w:val="22"/>
          <w:szCs w:val="22"/>
        </w:rPr>
        <w:t xml:space="preserve"> La Secretaría, las entidades, los tribunales administrativos y los ayuntamientos podrán adquirir y contratar servicios mediante invitación restringida, cuando:</w:t>
      </w:r>
    </w:p>
    <w:p w14:paraId="6EF70F06"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I.</w:t>
      </w:r>
      <w:r w:rsidRPr="00AD0632">
        <w:rPr>
          <w:rFonts w:ascii="Palatino Linotype" w:eastAsia="Palatino Linotype" w:hAnsi="Palatino Linotype" w:cs="Palatino Linotype"/>
          <w:i/>
          <w:iCs/>
          <w:sz w:val="22"/>
          <w:szCs w:val="22"/>
        </w:rPr>
        <w:t xml:space="preserve"> Se hubiere declarado desierto un procedimiento de licitación, o</w:t>
      </w:r>
    </w:p>
    <w:p w14:paraId="1708478D"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II</w:t>
      </w:r>
      <w:r w:rsidRPr="00AD0632">
        <w:rPr>
          <w:rFonts w:ascii="Palatino Linotype" w:eastAsia="Palatino Linotype" w:hAnsi="Palatino Linotype" w:cs="Palatino Linotype"/>
          <w:i/>
          <w:iCs/>
          <w:sz w:val="22"/>
          <w:szCs w:val="22"/>
        </w:rPr>
        <w:t>. El importe de la operación no exceda de los montos establecidos por el Presupuesto de Egresos del Gobierno del Estado de México del ejercicio correspondiente.</w:t>
      </w:r>
    </w:p>
    <w:p w14:paraId="33ADB521" w14:textId="77777777" w:rsidR="00294DB4" w:rsidRPr="00AD0632" w:rsidRDefault="002015D9">
      <w:pPr>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2A0A82B7" w14:textId="77777777" w:rsidR="00294DB4" w:rsidRPr="00AD0632" w:rsidRDefault="002015D9">
      <w:pPr>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En la invitación deberá especificarse si en el proceso de asignación aplicará la modalidad de subasta inversa.”</w:t>
      </w:r>
    </w:p>
    <w:p w14:paraId="70456425" w14:textId="77777777" w:rsidR="00294DB4" w:rsidRPr="00AD0632" w:rsidRDefault="002015D9">
      <w:pPr>
        <w:spacing w:before="240" w:after="240"/>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Asimismo, el artículo 46 de la Ley referida, menciona que:</w:t>
      </w:r>
    </w:p>
    <w:p w14:paraId="311FCC17" w14:textId="77777777" w:rsidR="00294DB4" w:rsidRPr="00AD0632" w:rsidRDefault="00294DB4">
      <w:pPr>
        <w:spacing w:before="240" w:after="240"/>
        <w:ind w:right="49"/>
        <w:jc w:val="both"/>
        <w:rPr>
          <w:rFonts w:ascii="Palatino Linotype" w:eastAsia="Palatino Linotype" w:hAnsi="Palatino Linotype" w:cs="Palatino Linotype"/>
          <w:i/>
          <w:iCs/>
          <w:sz w:val="22"/>
          <w:szCs w:val="22"/>
        </w:rPr>
      </w:pPr>
    </w:p>
    <w:p w14:paraId="2BE55085" w14:textId="77777777" w:rsidR="00294DB4" w:rsidRPr="00AD0632" w:rsidRDefault="002015D9">
      <w:pPr>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sz w:val="22"/>
          <w:szCs w:val="22"/>
        </w:rPr>
        <w:t xml:space="preserve"> “</w:t>
      </w:r>
      <w:r w:rsidRPr="00AD0632">
        <w:rPr>
          <w:rFonts w:ascii="Palatino Linotype" w:eastAsia="Palatino Linotype" w:hAnsi="Palatino Linotype" w:cs="Palatino Linotype"/>
          <w:b/>
          <w:bCs/>
          <w:i/>
          <w:iCs/>
          <w:sz w:val="22"/>
          <w:szCs w:val="22"/>
        </w:rPr>
        <w:t>Artículo 46.-</w:t>
      </w:r>
      <w:r w:rsidRPr="00AD0632">
        <w:rPr>
          <w:rFonts w:ascii="Palatino Linotype" w:eastAsia="Palatino Linotype" w:hAnsi="Palatino Linotype" w:cs="Palatino Linotype"/>
          <w:i/>
          <w:iCs/>
          <w:sz w:val="22"/>
          <w:szCs w:val="22"/>
        </w:rPr>
        <w:t xml:space="preserve"> El procedimiento de invitación restringida se desarrollará en los términos de la licitación pública, a excepción de la publicación de la convocatoria.”</w:t>
      </w:r>
    </w:p>
    <w:p w14:paraId="174EC0B5" w14:textId="77777777" w:rsidR="00294DB4" w:rsidRPr="00AD0632" w:rsidRDefault="00294DB4">
      <w:pPr>
        <w:spacing w:before="120" w:after="120"/>
        <w:ind w:left="851" w:right="902"/>
        <w:jc w:val="both"/>
        <w:rPr>
          <w:rFonts w:ascii="Palatino Linotype" w:eastAsia="Palatino Linotype" w:hAnsi="Palatino Linotype" w:cs="Palatino Linotype"/>
          <w:i/>
          <w:iCs/>
          <w:sz w:val="22"/>
          <w:szCs w:val="22"/>
        </w:rPr>
      </w:pPr>
    </w:p>
    <w:p w14:paraId="434390AF" w14:textId="77777777" w:rsidR="00294DB4" w:rsidRPr="00AD0632" w:rsidRDefault="002015D9">
      <w:pP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14:paraId="12125481" w14:textId="77777777" w:rsidR="00294DB4" w:rsidRPr="00AD0632" w:rsidRDefault="002015D9">
      <w:pPr>
        <w:tabs>
          <w:tab w:val="left" w:pos="7938"/>
        </w:tabs>
        <w:spacing w:before="120" w:after="120"/>
        <w:ind w:left="851"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“Artículo 48.-</w:t>
      </w:r>
      <w:r w:rsidRPr="00AD0632">
        <w:rPr>
          <w:rFonts w:ascii="Palatino Linotype" w:eastAsia="Palatino Linotype" w:hAnsi="Palatino Linotype" w:cs="Palatino Linotype"/>
          <w:i/>
          <w:iCs/>
          <w:sz w:val="22"/>
          <w:szCs w:val="22"/>
        </w:rPr>
        <w:t xml:space="preserve"> La Secretaría, las entidades, los tribunales administrativos y los ayuntamientos podrán adquirir bienes, arrendar bienes muebles e inmuebles y contratar servicios, mediante adjudicación directa, cuando:</w:t>
      </w:r>
    </w:p>
    <w:p w14:paraId="6440A4EA" w14:textId="77777777" w:rsidR="00294DB4" w:rsidRPr="00AD0632" w:rsidRDefault="002015D9">
      <w:pPr>
        <w:tabs>
          <w:tab w:val="left" w:pos="7938"/>
        </w:tabs>
        <w:spacing w:before="120" w:after="120"/>
        <w:ind w:left="1134"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I</w:t>
      </w:r>
      <w:r w:rsidRPr="00AD0632">
        <w:rPr>
          <w:rFonts w:ascii="Palatino Linotype" w:eastAsia="Palatino Linotype" w:hAnsi="Palatino Linotype" w:cs="Palatino Linotype"/>
          <w:i/>
          <w:iCs/>
          <w:sz w:val="22"/>
          <w:szCs w:val="22"/>
        </w:rPr>
        <w:t>. La adquisición o el servicio sólo puedan realizarse con una determinada persona, por tratarse de obras de arte, titularidad de patentes, registros, marcas específicas, derechos de autor u otros derechos exclusivos.</w:t>
      </w:r>
    </w:p>
    <w:p w14:paraId="1F038CDC" w14:textId="77777777" w:rsidR="00294DB4" w:rsidRPr="00AD0632" w:rsidRDefault="002015D9">
      <w:pPr>
        <w:tabs>
          <w:tab w:val="left" w:pos="7938"/>
        </w:tabs>
        <w:spacing w:before="120" w:after="120"/>
        <w:ind w:left="1134"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II</w:t>
      </w:r>
      <w:r w:rsidRPr="00AD0632">
        <w:rPr>
          <w:rFonts w:ascii="Palatino Linotype" w:eastAsia="Palatino Linotype" w:hAnsi="Palatino Linotype" w:cs="Palatino Linotype"/>
          <w:i/>
          <w:iCs/>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663FA451" w14:textId="77777777" w:rsidR="00294DB4" w:rsidRPr="00AD0632" w:rsidRDefault="002015D9">
      <w:pPr>
        <w:tabs>
          <w:tab w:val="left" w:pos="7938"/>
        </w:tabs>
        <w:spacing w:before="120" w:after="120"/>
        <w:ind w:left="1134"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III.</w:t>
      </w:r>
      <w:r w:rsidRPr="00AD0632">
        <w:rPr>
          <w:rFonts w:ascii="Palatino Linotype" w:eastAsia="Palatino Linotype" w:hAnsi="Palatino Linotype" w:cs="Palatino Linotype"/>
          <w:i/>
          <w:iCs/>
          <w:sz w:val="22"/>
          <w:szCs w:val="22"/>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328FB3CF" w14:textId="77777777" w:rsidR="00294DB4" w:rsidRPr="00AD0632" w:rsidRDefault="002015D9">
      <w:pPr>
        <w:tabs>
          <w:tab w:val="left" w:pos="7938"/>
        </w:tabs>
        <w:spacing w:before="120" w:after="120"/>
        <w:ind w:left="1134"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IV.</w:t>
      </w:r>
      <w:r w:rsidRPr="00AD0632">
        <w:rPr>
          <w:rFonts w:ascii="Palatino Linotype" w:eastAsia="Palatino Linotype" w:hAnsi="Palatino Linotype" w:cs="Palatino Linotype"/>
          <w:i/>
          <w:iCs/>
          <w:sz w:val="22"/>
          <w:szCs w:val="22"/>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4DF1D3C1" w14:textId="77777777" w:rsidR="00294DB4" w:rsidRPr="00AD0632" w:rsidRDefault="002015D9">
      <w:pPr>
        <w:tabs>
          <w:tab w:val="left" w:pos="7938"/>
        </w:tabs>
        <w:spacing w:before="120" w:after="120"/>
        <w:ind w:left="1134"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V</w:t>
      </w:r>
      <w:r w:rsidRPr="00AD0632">
        <w:rPr>
          <w:rFonts w:ascii="Palatino Linotype" w:eastAsia="Palatino Linotype" w:hAnsi="Palatino Linotype" w:cs="Palatino Linotype"/>
          <w:i/>
          <w:iCs/>
          <w:sz w:val="22"/>
          <w:szCs w:val="22"/>
        </w:rPr>
        <w:t>. Existan circunstancias que puedan provocar pérdidas o costos adicionales importantes al erario.</w:t>
      </w:r>
    </w:p>
    <w:p w14:paraId="51557EDC" w14:textId="77777777" w:rsidR="00294DB4" w:rsidRPr="00AD0632" w:rsidRDefault="002015D9">
      <w:pPr>
        <w:tabs>
          <w:tab w:val="left" w:pos="7938"/>
        </w:tabs>
        <w:spacing w:before="120" w:after="120"/>
        <w:ind w:left="1134"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VI</w:t>
      </w:r>
      <w:r w:rsidRPr="00AD0632">
        <w:rPr>
          <w:rFonts w:ascii="Palatino Linotype" w:eastAsia="Palatino Linotype" w:hAnsi="Palatino Linotype" w:cs="Palatino Linotype"/>
          <w:i/>
          <w:iCs/>
          <w:sz w:val="22"/>
          <w:szCs w:val="22"/>
        </w:rPr>
        <w:t>. Pueda comprometerse información de naturaleza confidencial para el Estado o municipios, por razones de seguridad pública.</w:t>
      </w:r>
    </w:p>
    <w:p w14:paraId="57F09F67" w14:textId="77777777" w:rsidR="00294DB4" w:rsidRPr="00AD0632" w:rsidRDefault="002015D9">
      <w:pPr>
        <w:tabs>
          <w:tab w:val="left" w:pos="7938"/>
        </w:tabs>
        <w:spacing w:before="120" w:after="120"/>
        <w:ind w:left="1134"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VII</w:t>
      </w:r>
      <w:r w:rsidRPr="00AD0632">
        <w:rPr>
          <w:rFonts w:ascii="Palatino Linotype" w:eastAsia="Palatino Linotype" w:hAnsi="Palatino Linotype" w:cs="Palatino Linotype"/>
          <w:i/>
          <w:iCs/>
          <w:sz w:val="22"/>
          <w:szCs w:val="22"/>
        </w:rPr>
        <w:t>. Existan circunstancias extraordinarias o imprevisibles derivadas de riesgo o desastre. En este supuesto, la adquisición, arrendamiento y servicio deberá limitarse a lo estrictamente necesario para enfrentar tal eventualidad.</w:t>
      </w:r>
    </w:p>
    <w:p w14:paraId="45201852" w14:textId="77777777" w:rsidR="00294DB4" w:rsidRPr="00AD0632" w:rsidRDefault="002015D9">
      <w:pPr>
        <w:tabs>
          <w:tab w:val="left" w:pos="7938"/>
        </w:tabs>
        <w:spacing w:before="120" w:after="120"/>
        <w:ind w:left="1134"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VIII</w:t>
      </w:r>
      <w:r w:rsidRPr="00AD0632">
        <w:rPr>
          <w:rFonts w:ascii="Palatino Linotype" w:eastAsia="Palatino Linotype" w:hAnsi="Palatino Linotype" w:cs="Palatino Linotype"/>
          <w:i/>
          <w:iCs/>
          <w:sz w:val="22"/>
          <w:szCs w:val="22"/>
        </w:rPr>
        <w:t>.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14:paraId="7B51DCD3" w14:textId="77777777" w:rsidR="00294DB4" w:rsidRPr="00AD0632" w:rsidRDefault="002015D9">
      <w:pPr>
        <w:tabs>
          <w:tab w:val="left" w:pos="7938"/>
        </w:tabs>
        <w:spacing w:before="120" w:after="120"/>
        <w:ind w:left="1134"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IX</w:t>
      </w:r>
      <w:r w:rsidRPr="00AD0632">
        <w:rPr>
          <w:rFonts w:ascii="Palatino Linotype" w:eastAsia="Palatino Linotype" w:hAnsi="Palatino Linotype" w:cs="Palatino Linotype"/>
          <w:i/>
          <w:iCs/>
          <w:sz w:val="22"/>
          <w:szCs w:val="22"/>
        </w:rPr>
        <w:t>. Se hubiere declarado desierto un procedimiento de invitación restringida.</w:t>
      </w:r>
    </w:p>
    <w:p w14:paraId="0E917F18" w14:textId="77777777" w:rsidR="00294DB4" w:rsidRPr="00AD0632" w:rsidRDefault="002015D9">
      <w:pPr>
        <w:tabs>
          <w:tab w:val="left" w:pos="7938"/>
        </w:tabs>
        <w:spacing w:before="120" w:after="120"/>
        <w:ind w:left="1134"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X</w:t>
      </w:r>
      <w:r w:rsidRPr="00AD0632">
        <w:rPr>
          <w:rFonts w:ascii="Palatino Linotype" w:eastAsia="Palatino Linotype" w:hAnsi="Palatino Linotype" w:cs="Palatino Linotype"/>
          <w:i/>
          <w:iCs/>
          <w:sz w:val="22"/>
          <w:szCs w:val="22"/>
        </w:rPr>
        <w:t>. Cuando se aseguren condiciones financieras que permitan al Estado o a los municipios cumplir con la obligación de pago de manera diferida, sin que ello implique un costo financiero adicional o que habiéndolo, sea inferior al del mercado, o</w:t>
      </w:r>
    </w:p>
    <w:p w14:paraId="7EC579AE" w14:textId="77777777" w:rsidR="00294DB4" w:rsidRPr="00AD0632" w:rsidRDefault="002015D9">
      <w:pPr>
        <w:tabs>
          <w:tab w:val="left" w:pos="7938"/>
        </w:tabs>
        <w:spacing w:before="120" w:after="120"/>
        <w:ind w:left="1134"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XI</w:t>
      </w:r>
      <w:r w:rsidRPr="00AD0632">
        <w:rPr>
          <w:rFonts w:ascii="Palatino Linotype" w:eastAsia="Palatino Linotype" w:hAnsi="Palatino Linotype" w:cs="Palatino Linotype"/>
          <w:i/>
          <w:iCs/>
          <w:sz w:val="22"/>
          <w:szCs w:val="22"/>
        </w:rPr>
        <w:t>.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78DA10BA" w14:textId="77777777" w:rsidR="00294DB4" w:rsidRPr="00AD0632" w:rsidRDefault="002015D9">
      <w:pPr>
        <w:tabs>
          <w:tab w:val="left" w:pos="7938"/>
        </w:tabs>
        <w:spacing w:before="120" w:after="120"/>
        <w:ind w:left="1134"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XII</w:t>
      </w:r>
      <w:r w:rsidRPr="00AD0632">
        <w:rPr>
          <w:rFonts w:ascii="Palatino Linotype" w:eastAsia="Palatino Linotype" w:hAnsi="Palatino Linotype" w:cs="Palatino Linotype"/>
          <w:i/>
          <w:iCs/>
          <w:sz w:val="22"/>
          <w:szCs w:val="22"/>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60C0ADF9" w14:textId="77777777" w:rsidR="00294DB4" w:rsidRPr="00AD0632" w:rsidRDefault="002015D9">
      <w:pPr>
        <w:tabs>
          <w:tab w:val="left" w:pos="7938"/>
        </w:tabs>
        <w:spacing w:before="120" w:after="120"/>
        <w:ind w:left="851" w:right="900"/>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Artículo 49.-</w:t>
      </w:r>
      <w:r w:rsidRPr="00AD0632">
        <w:rPr>
          <w:rFonts w:ascii="Palatino Linotype" w:eastAsia="Palatino Linotype" w:hAnsi="Palatino Linotype" w:cs="Palatino Linotype"/>
          <w:i/>
          <w:iCs/>
          <w:sz w:val="22"/>
          <w:szCs w:val="22"/>
        </w:rPr>
        <w:t xml:space="preserve"> El procedimiento de adjudicación directa se substanciará con arreglo a el reglamento de esta Ley.”</w:t>
      </w:r>
    </w:p>
    <w:p w14:paraId="5ADF13C7" w14:textId="77777777" w:rsidR="00294DB4" w:rsidRPr="00AD0632" w:rsidRDefault="002015D9">
      <w:pPr>
        <w:spacing w:before="240" w:after="240" w:line="360" w:lineRule="auto"/>
        <w:ind w:right="51"/>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Ahora bien, a través del cumplimiento a la obligación de transparencia señalada en la fracción XXIX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w:t>
      </w:r>
      <w:r w:rsidRPr="00AD0632">
        <w:rPr>
          <w:rFonts w:ascii="Palatino Linotype" w:eastAsia="Palatino Linotype" w:hAnsi="Palatino Linotype" w:cs="Palatino Linotype"/>
          <w:b/>
          <w:bCs/>
          <w:sz w:val="22"/>
          <w:szCs w:val="22"/>
        </w:rPr>
        <w:t>incluyendo la versión pública del expediente respectivo y de los contratos celebrados</w:t>
      </w:r>
      <w:r w:rsidRPr="00AD0632">
        <w:rPr>
          <w:rFonts w:ascii="Palatino Linotype" w:eastAsia="Palatino Linotype" w:hAnsi="Palatino Linotype" w:cs="Palatino Linotype"/>
          <w:sz w:val="22"/>
          <w:szCs w:val="22"/>
        </w:rPr>
        <w:t>, a saber:</w:t>
      </w:r>
    </w:p>
    <w:p w14:paraId="3B06AFD5" w14:textId="77777777" w:rsidR="00294DB4" w:rsidRPr="00AD0632" w:rsidRDefault="002015D9">
      <w:pPr>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r w:rsidRPr="00AD0632">
        <w:rPr>
          <w:rFonts w:ascii="Palatino Linotype" w:eastAsia="Palatino Linotype" w:hAnsi="Palatino Linotype" w:cs="Palatino Linotype"/>
          <w:b/>
          <w:bCs/>
          <w:i/>
          <w:iCs/>
          <w:sz w:val="22"/>
          <w:szCs w:val="22"/>
        </w:rPr>
        <w:t>Artículo 92</w:t>
      </w:r>
      <w:r w:rsidRPr="00AD0632">
        <w:rPr>
          <w:rFonts w:ascii="Palatino Linotype" w:eastAsia="Palatino Linotype" w:hAnsi="Palatino Linotype" w:cs="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A943F7F" w14:textId="77777777" w:rsidR="00294DB4" w:rsidRPr="00AD0632" w:rsidRDefault="002015D9">
      <w:pPr>
        <w:tabs>
          <w:tab w:val="left" w:pos="426"/>
          <w:tab w:val="left" w:pos="2145"/>
        </w:tabs>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r w:rsidRPr="00AD0632">
        <w:rPr>
          <w:rFonts w:ascii="Palatino Linotype" w:eastAsia="Palatino Linotype" w:hAnsi="Palatino Linotype" w:cs="Palatino Linotype"/>
          <w:i/>
          <w:iCs/>
          <w:sz w:val="22"/>
          <w:szCs w:val="22"/>
        </w:rPr>
        <w:tab/>
      </w:r>
    </w:p>
    <w:p w14:paraId="745498B1" w14:textId="77777777" w:rsidR="00294DB4" w:rsidRPr="00AD0632" w:rsidRDefault="002015D9">
      <w:pPr>
        <w:tabs>
          <w:tab w:val="left" w:pos="426"/>
        </w:tabs>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XXIX.</w:t>
      </w:r>
      <w:r w:rsidRPr="00AD0632">
        <w:rPr>
          <w:rFonts w:ascii="Palatino Linotype" w:eastAsia="Palatino Linotype" w:hAnsi="Palatino Linotype" w:cs="Palatino Linotype"/>
          <w:i/>
          <w:iCs/>
          <w:sz w:val="22"/>
          <w:szCs w:val="22"/>
        </w:rPr>
        <w:t xml:space="preserve"> La </w:t>
      </w:r>
      <w:r w:rsidRPr="00AD0632">
        <w:rPr>
          <w:rFonts w:ascii="Palatino Linotype" w:eastAsia="Palatino Linotype" w:hAnsi="Palatino Linotype" w:cs="Palatino Linotype"/>
          <w:b/>
          <w:bCs/>
          <w:i/>
          <w:iCs/>
          <w:sz w:val="22"/>
          <w:szCs w:val="22"/>
        </w:rPr>
        <w:t xml:space="preserve">información sobre los procesos y resultados </w:t>
      </w:r>
      <w:r w:rsidRPr="00AD0632">
        <w:rPr>
          <w:rFonts w:ascii="Palatino Linotype" w:eastAsia="Palatino Linotype" w:hAnsi="Palatino Linotype" w:cs="Palatino Linotype"/>
          <w:b/>
          <w:bCs/>
          <w:i/>
          <w:iCs/>
          <w:sz w:val="22"/>
          <w:szCs w:val="22"/>
          <w:u w:val="single"/>
        </w:rPr>
        <w:t>sobre procedimientos de adjudicación directa, invitación restringida y licitación de cualquier naturaleza</w:t>
      </w:r>
      <w:r w:rsidRPr="00AD0632">
        <w:rPr>
          <w:rFonts w:ascii="Palatino Linotype" w:eastAsia="Palatino Linotype" w:hAnsi="Palatino Linotype" w:cs="Palatino Linotype"/>
          <w:i/>
          <w:iCs/>
          <w:sz w:val="22"/>
          <w:szCs w:val="22"/>
          <w:u w:val="single"/>
        </w:rPr>
        <w:t xml:space="preserve">, </w:t>
      </w:r>
      <w:r w:rsidRPr="00AD0632">
        <w:rPr>
          <w:rFonts w:ascii="Palatino Linotype" w:eastAsia="Palatino Linotype" w:hAnsi="Palatino Linotype" w:cs="Palatino Linotype"/>
          <w:b/>
          <w:bCs/>
          <w:i/>
          <w:iCs/>
          <w:sz w:val="22"/>
          <w:szCs w:val="22"/>
        </w:rPr>
        <w:t>incluyendo la versión pública</w:t>
      </w:r>
      <w:r w:rsidRPr="00AD0632">
        <w:rPr>
          <w:rFonts w:ascii="Palatino Linotype" w:eastAsia="Palatino Linotype" w:hAnsi="Palatino Linotype" w:cs="Palatino Linotype"/>
          <w:i/>
          <w:iCs/>
          <w:sz w:val="22"/>
          <w:szCs w:val="22"/>
        </w:rPr>
        <w:t xml:space="preserve"> del expediente respectivo y </w:t>
      </w:r>
      <w:r w:rsidRPr="00AD0632">
        <w:rPr>
          <w:rFonts w:ascii="Palatino Linotype" w:eastAsia="Palatino Linotype" w:hAnsi="Palatino Linotype" w:cs="Palatino Linotype"/>
          <w:b/>
          <w:bCs/>
          <w:i/>
          <w:iCs/>
          <w:sz w:val="22"/>
          <w:szCs w:val="22"/>
        </w:rPr>
        <w:t>de los contratos celebrados</w:t>
      </w:r>
      <w:r w:rsidRPr="00AD0632">
        <w:rPr>
          <w:rFonts w:ascii="Palatino Linotype" w:eastAsia="Palatino Linotype" w:hAnsi="Palatino Linotype" w:cs="Palatino Linotype"/>
          <w:i/>
          <w:iCs/>
          <w:sz w:val="22"/>
          <w:szCs w:val="22"/>
        </w:rPr>
        <w:t>, que deberán contener, por los menos, lo siguiente:</w:t>
      </w:r>
    </w:p>
    <w:p w14:paraId="6C72A8EC" w14:textId="77777777" w:rsidR="00294DB4" w:rsidRPr="00AD0632" w:rsidRDefault="002015D9">
      <w:pPr>
        <w:tabs>
          <w:tab w:val="left" w:pos="426"/>
        </w:tabs>
        <w:spacing w:before="120" w:after="120"/>
        <w:ind w:left="1418" w:right="902"/>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a) De licitaciones públicas o procedimientos de invitación restringida:</w:t>
      </w:r>
    </w:p>
    <w:p w14:paraId="05C751DC"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1)</w:t>
      </w:r>
      <w:r w:rsidRPr="00AD0632">
        <w:rPr>
          <w:rFonts w:ascii="Palatino Linotype" w:eastAsia="Palatino Linotype" w:hAnsi="Palatino Linotype" w:cs="Palatino Linotype"/>
          <w:i/>
          <w:iCs/>
          <w:sz w:val="22"/>
          <w:szCs w:val="22"/>
        </w:rPr>
        <w:t xml:space="preserve"> La convocatoria o invitación emitida, así como los fundamentos legales aplicados para llevarla a cabo;</w:t>
      </w:r>
    </w:p>
    <w:p w14:paraId="4A9C1C98"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2)</w:t>
      </w:r>
      <w:r w:rsidRPr="00AD0632">
        <w:rPr>
          <w:rFonts w:ascii="Palatino Linotype" w:eastAsia="Palatino Linotype" w:hAnsi="Palatino Linotype" w:cs="Palatino Linotype"/>
          <w:i/>
          <w:iCs/>
          <w:sz w:val="22"/>
          <w:szCs w:val="22"/>
        </w:rPr>
        <w:t xml:space="preserve"> Los nombres de los participantes o invitados;</w:t>
      </w:r>
    </w:p>
    <w:p w14:paraId="6201CB7C"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3)</w:t>
      </w:r>
      <w:r w:rsidRPr="00AD0632">
        <w:rPr>
          <w:rFonts w:ascii="Palatino Linotype" w:eastAsia="Palatino Linotype" w:hAnsi="Palatino Linotype" w:cs="Palatino Linotype"/>
          <w:i/>
          <w:iCs/>
          <w:sz w:val="22"/>
          <w:szCs w:val="22"/>
        </w:rPr>
        <w:t xml:space="preserve"> El nombre del ganador y las razones que lo justifican;</w:t>
      </w:r>
    </w:p>
    <w:p w14:paraId="79E82CD5"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4)</w:t>
      </w:r>
      <w:r w:rsidRPr="00AD0632">
        <w:rPr>
          <w:rFonts w:ascii="Palatino Linotype" w:eastAsia="Palatino Linotype" w:hAnsi="Palatino Linotype" w:cs="Palatino Linotype"/>
          <w:i/>
          <w:iCs/>
          <w:sz w:val="22"/>
          <w:szCs w:val="22"/>
        </w:rPr>
        <w:t xml:space="preserve"> El área solicitante y la responsable de su ejecución;</w:t>
      </w:r>
    </w:p>
    <w:p w14:paraId="5B0CF0F2"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5)</w:t>
      </w:r>
      <w:r w:rsidRPr="00AD0632">
        <w:rPr>
          <w:rFonts w:ascii="Palatino Linotype" w:eastAsia="Palatino Linotype" w:hAnsi="Palatino Linotype" w:cs="Palatino Linotype"/>
          <w:i/>
          <w:iCs/>
          <w:sz w:val="22"/>
          <w:szCs w:val="22"/>
        </w:rPr>
        <w:t xml:space="preserve"> Las convocatorias e invitaciones emitidas; </w:t>
      </w:r>
    </w:p>
    <w:p w14:paraId="1A8460A3"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6)</w:t>
      </w:r>
      <w:r w:rsidRPr="00AD0632">
        <w:rPr>
          <w:rFonts w:ascii="Palatino Linotype" w:eastAsia="Palatino Linotype" w:hAnsi="Palatino Linotype" w:cs="Palatino Linotype"/>
          <w:i/>
          <w:iCs/>
          <w:sz w:val="22"/>
          <w:szCs w:val="22"/>
        </w:rPr>
        <w:t xml:space="preserve"> Los dictámenes y fallo de adjudicación;</w:t>
      </w:r>
    </w:p>
    <w:p w14:paraId="637C1631"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 xml:space="preserve">7) El contrato y, en su caso, sus anexos; </w:t>
      </w:r>
    </w:p>
    <w:p w14:paraId="2A6C52DC"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8)</w:t>
      </w:r>
      <w:r w:rsidRPr="00AD0632">
        <w:rPr>
          <w:rFonts w:ascii="Palatino Linotype" w:eastAsia="Palatino Linotype" w:hAnsi="Palatino Linotype" w:cs="Palatino Linotype"/>
          <w:i/>
          <w:iCs/>
          <w:sz w:val="22"/>
          <w:szCs w:val="22"/>
        </w:rPr>
        <w:t xml:space="preserve"> Los mecanismos de vigilancia y supervisión, incluyendo en su caso, los estudios de impacto urbano y ambiental, según corresponda;</w:t>
      </w:r>
    </w:p>
    <w:p w14:paraId="18B37B78"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9)</w:t>
      </w:r>
      <w:r w:rsidRPr="00AD0632">
        <w:rPr>
          <w:rFonts w:ascii="Palatino Linotype" w:eastAsia="Palatino Linotype" w:hAnsi="Palatino Linotype" w:cs="Palatino Linotype"/>
          <w:i/>
          <w:iCs/>
          <w:sz w:val="22"/>
          <w:szCs w:val="22"/>
        </w:rPr>
        <w:t xml:space="preserve"> La partida presupuestal, de conformidad con el clasificador por objeto del gasto, en el caso de ser aplicable; </w:t>
      </w:r>
    </w:p>
    <w:p w14:paraId="38947140"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10)</w:t>
      </w:r>
      <w:r w:rsidRPr="00AD0632">
        <w:rPr>
          <w:rFonts w:ascii="Palatino Linotype" w:eastAsia="Palatino Linotype" w:hAnsi="Palatino Linotype" w:cs="Palatino Linotype"/>
          <w:i/>
          <w:iCs/>
          <w:sz w:val="22"/>
          <w:szCs w:val="22"/>
        </w:rPr>
        <w:t xml:space="preserve"> Origen de los recursos especificando si son federales, estatales o municipales, así como el tipo de fondo de participación o aportación respectiva;</w:t>
      </w:r>
    </w:p>
    <w:p w14:paraId="31C9891B"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11)</w:t>
      </w:r>
      <w:r w:rsidRPr="00AD0632">
        <w:rPr>
          <w:rFonts w:ascii="Palatino Linotype" w:eastAsia="Palatino Linotype" w:hAnsi="Palatino Linotype" w:cs="Palatino Linotype"/>
          <w:i/>
          <w:iCs/>
          <w:sz w:val="22"/>
          <w:szCs w:val="22"/>
        </w:rPr>
        <w:t xml:space="preserve"> Los convenios modificatorios que, en su caso, sean firmados, precisando el objeto y la fecha de celebración;</w:t>
      </w:r>
    </w:p>
    <w:p w14:paraId="1B9D9705"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12)</w:t>
      </w:r>
      <w:r w:rsidRPr="00AD0632">
        <w:rPr>
          <w:rFonts w:ascii="Palatino Linotype" w:eastAsia="Palatino Linotype" w:hAnsi="Palatino Linotype" w:cs="Palatino Linotype"/>
          <w:i/>
          <w:iCs/>
          <w:sz w:val="22"/>
          <w:szCs w:val="22"/>
        </w:rPr>
        <w:t xml:space="preserve"> Los informes de avance físico y financiero sobre las obras o servicios contratados; </w:t>
      </w:r>
    </w:p>
    <w:p w14:paraId="07B755DD"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13)</w:t>
      </w:r>
      <w:r w:rsidRPr="00AD0632">
        <w:rPr>
          <w:rFonts w:ascii="Palatino Linotype" w:eastAsia="Palatino Linotype" w:hAnsi="Palatino Linotype" w:cs="Palatino Linotype"/>
          <w:i/>
          <w:iCs/>
          <w:sz w:val="22"/>
          <w:szCs w:val="22"/>
        </w:rPr>
        <w:t xml:space="preserve"> El convenio de terminación; </w:t>
      </w:r>
    </w:p>
    <w:p w14:paraId="1F65B7DC"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14)</w:t>
      </w:r>
      <w:r w:rsidRPr="00AD0632">
        <w:rPr>
          <w:rFonts w:ascii="Palatino Linotype" w:eastAsia="Palatino Linotype" w:hAnsi="Palatino Linotype" w:cs="Palatino Linotype"/>
          <w:i/>
          <w:iCs/>
          <w:sz w:val="22"/>
          <w:szCs w:val="22"/>
        </w:rPr>
        <w:t xml:space="preserve"> El finiquito.</w:t>
      </w:r>
    </w:p>
    <w:p w14:paraId="1C4B2BB8" w14:textId="77777777" w:rsidR="00294DB4" w:rsidRPr="00AD0632" w:rsidRDefault="002015D9">
      <w:pPr>
        <w:tabs>
          <w:tab w:val="left" w:pos="426"/>
        </w:tabs>
        <w:spacing w:before="120" w:after="120"/>
        <w:ind w:left="1418" w:right="902"/>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 xml:space="preserve">b) De las adjudicaciones directas: </w:t>
      </w:r>
    </w:p>
    <w:p w14:paraId="0AD8FF8C"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1)</w:t>
      </w:r>
      <w:r w:rsidRPr="00AD0632">
        <w:rPr>
          <w:rFonts w:ascii="Palatino Linotype" w:eastAsia="Palatino Linotype" w:hAnsi="Palatino Linotype" w:cs="Palatino Linotype"/>
          <w:i/>
          <w:iCs/>
          <w:sz w:val="22"/>
          <w:szCs w:val="22"/>
        </w:rPr>
        <w:t xml:space="preserve"> La propuesta enviada por el participante; </w:t>
      </w:r>
    </w:p>
    <w:p w14:paraId="41D05F32"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2)</w:t>
      </w:r>
      <w:r w:rsidRPr="00AD0632">
        <w:rPr>
          <w:rFonts w:ascii="Palatino Linotype" w:eastAsia="Palatino Linotype" w:hAnsi="Palatino Linotype" w:cs="Palatino Linotype"/>
          <w:i/>
          <w:iCs/>
          <w:sz w:val="22"/>
          <w:szCs w:val="22"/>
        </w:rPr>
        <w:t xml:space="preserve"> Los motivos y fundamentos legales aplicados para llevarla a cabo;</w:t>
      </w:r>
    </w:p>
    <w:p w14:paraId="71E0E9FC"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 xml:space="preserve">3) La autorización del ejercicio de la opción; </w:t>
      </w:r>
    </w:p>
    <w:p w14:paraId="5C7D6D2B"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 xml:space="preserve">4) </w:t>
      </w:r>
      <w:r w:rsidRPr="00AD0632">
        <w:rPr>
          <w:rFonts w:ascii="Palatino Linotype" w:eastAsia="Palatino Linotype" w:hAnsi="Palatino Linotype" w:cs="Palatino Linotype"/>
          <w:i/>
          <w:iCs/>
          <w:sz w:val="22"/>
          <w:szCs w:val="22"/>
        </w:rPr>
        <w:t>En su caso, las cotizaciones consideradas, especificando los nombres de los proveedores y sus montos;</w:t>
      </w:r>
      <w:r w:rsidRPr="00AD0632">
        <w:rPr>
          <w:rFonts w:ascii="Palatino Linotype" w:eastAsia="Palatino Linotype" w:hAnsi="Palatino Linotype" w:cs="Palatino Linotype"/>
          <w:b/>
          <w:bCs/>
          <w:i/>
          <w:iCs/>
          <w:sz w:val="22"/>
          <w:szCs w:val="22"/>
        </w:rPr>
        <w:t xml:space="preserve"> </w:t>
      </w:r>
    </w:p>
    <w:p w14:paraId="52D1F7F1"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5)</w:t>
      </w:r>
      <w:r w:rsidRPr="00AD0632">
        <w:rPr>
          <w:rFonts w:ascii="Palatino Linotype" w:eastAsia="Palatino Linotype" w:hAnsi="Palatino Linotype" w:cs="Palatino Linotype"/>
          <w:i/>
          <w:iCs/>
          <w:sz w:val="22"/>
          <w:szCs w:val="22"/>
        </w:rPr>
        <w:t xml:space="preserve"> El nombre de la persona física o jurídica colectiva adjudicada; </w:t>
      </w:r>
    </w:p>
    <w:p w14:paraId="5C21B2EA"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6)</w:t>
      </w:r>
      <w:r w:rsidRPr="00AD0632">
        <w:rPr>
          <w:rFonts w:ascii="Palatino Linotype" w:eastAsia="Palatino Linotype" w:hAnsi="Palatino Linotype" w:cs="Palatino Linotype"/>
          <w:i/>
          <w:iCs/>
          <w:sz w:val="22"/>
          <w:szCs w:val="22"/>
        </w:rPr>
        <w:t xml:space="preserve"> La unidad administrativa solicitante y la responsable de su ejecución; </w:t>
      </w:r>
    </w:p>
    <w:p w14:paraId="13D99719"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 xml:space="preserve">7) El número, fecha, el monto del contrato y el plazo de entrega o de ejecución de los servicios u obra; </w:t>
      </w:r>
    </w:p>
    <w:p w14:paraId="1D8656A0"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8)</w:t>
      </w:r>
      <w:r w:rsidRPr="00AD0632">
        <w:rPr>
          <w:rFonts w:ascii="Palatino Linotype" w:eastAsia="Palatino Linotype" w:hAnsi="Palatino Linotype" w:cs="Palatino Linotype"/>
          <w:i/>
          <w:iCs/>
          <w:sz w:val="22"/>
          <w:szCs w:val="22"/>
        </w:rPr>
        <w:t xml:space="preserve"> Los mecanismos de vigilancia y supervisión, incluyendo, en su caso, los estudios de impacto urbano y ambiental, según corresponda; </w:t>
      </w:r>
    </w:p>
    <w:p w14:paraId="45B608F9"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9)</w:t>
      </w:r>
      <w:r w:rsidRPr="00AD0632">
        <w:rPr>
          <w:rFonts w:ascii="Palatino Linotype" w:eastAsia="Palatino Linotype" w:hAnsi="Palatino Linotype" w:cs="Palatino Linotype"/>
          <w:i/>
          <w:iCs/>
          <w:sz w:val="22"/>
          <w:szCs w:val="22"/>
        </w:rPr>
        <w:t xml:space="preserve"> Los informes de avance sobre las obras o servicios contratados; </w:t>
      </w:r>
    </w:p>
    <w:p w14:paraId="738311EB"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10)</w:t>
      </w:r>
      <w:r w:rsidRPr="00AD0632">
        <w:rPr>
          <w:rFonts w:ascii="Palatino Linotype" w:eastAsia="Palatino Linotype" w:hAnsi="Palatino Linotype" w:cs="Palatino Linotype"/>
          <w:i/>
          <w:iCs/>
          <w:sz w:val="22"/>
          <w:szCs w:val="22"/>
        </w:rPr>
        <w:t xml:space="preserve"> El convenio de terminación; y </w:t>
      </w:r>
    </w:p>
    <w:p w14:paraId="06535FEF" w14:textId="77777777" w:rsidR="00294DB4" w:rsidRPr="00AD0632" w:rsidRDefault="002015D9">
      <w:pPr>
        <w:tabs>
          <w:tab w:val="left" w:pos="426"/>
        </w:tabs>
        <w:spacing w:before="120" w:after="120"/>
        <w:ind w:left="170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11)</w:t>
      </w:r>
      <w:r w:rsidRPr="00AD0632">
        <w:rPr>
          <w:rFonts w:ascii="Palatino Linotype" w:eastAsia="Palatino Linotype" w:hAnsi="Palatino Linotype" w:cs="Palatino Linotype"/>
          <w:i/>
          <w:iCs/>
          <w:sz w:val="22"/>
          <w:szCs w:val="22"/>
        </w:rPr>
        <w:t xml:space="preserve"> El finiquito;”</w:t>
      </w:r>
    </w:p>
    <w:p w14:paraId="4793F52B"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123145F2" w14:textId="77777777" w:rsidR="00294DB4" w:rsidRPr="00AD0632" w:rsidRDefault="002015D9">
      <w:pPr>
        <w:spacing w:before="240" w:after="240" w:line="360" w:lineRule="auto"/>
        <w:ind w:left="28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    </w:t>
      </w:r>
      <w:r w:rsidRPr="00AD0632">
        <w:rPr>
          <w:rFonts w:ascii="Palatino Linotype" w:eastAsia="Palatino Linotype" w:hAnsi="Palatino Linotype" w:cs="Palatino Linotype"/>
          <w:sz w:val="22"/>
          <w:szCs w:val="22"/>
        </w:rPr>
        <w:tab/>
      </w:r>
      <w:r w:rsidRPr="00AD0632">
        <w:rPr>
          <w:rFonts w:ascii="Palatino Linotype" w:eastAsia="Palatino Linotype" w:hAnsi="Palatino Linotype" w:cs="Palatino Linotype"/>
          <w:b/>
          <w:bCs/>
          <w:sz w:val="22"/>
          <w:szCs w:val="22"/>
        </w:rPr>
        <w:t xml:space="preserve">Licitación pública: </w:t>
      </w:r>
      <w:r w:rsidRPr="00AD0632">
        <w:rPr>
          <w:rFonts w:ascii="Palatino Linotype" w:eastAsia="Palatino Linotype" w:hAnsi="Palatino Linotype" w:cs="Palatino Linotype"/>
          <w:sz w:val="22"/>
          <w:szCs w:val="22"/>
        </w:rPr>
        <w:t>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075507CB" w14:textId="77777777" w:rsidR="00294DB4" w:rsidRPr="00AD0632" w:rsidRDefault="002015D9">
      <w:pPr>
        <w:spacing w:before="240" w:after="240" w:line="360" w:lineRule="auto"/>
        <w:ind w:left="426"/>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        </w:t>
      </w:r>
      <w:r w:rsidRPr="00AD0632">
        <w:rPr>
          <w:rFonts w:ascii="Palatino Linotype" w:eastAsia="Palatino Linotype" w:hAnsi="Palatino Linotype" w:cs="Palatino Linotype"/>
          <w:b/>
          <w:bCs/>
          <w:sz w:val="22"/>
          <w:szCs w:val="22"/>
        </w:rPr>
        <w:t xml:space="preserve">Invitación restringida: </w:t>
      </w:r>
      <w:r w:rsidRPr="00AD0632">
        <w:rPr>
          <w:rFonts w:ascii="Palatino Linotype" w:eastAsia="Palatino Linotype" w:hAnsi="Palatino Linotype" w:cs="Palatino Linotype"/>
          <w:sz w:val="22"/>
          <w:szCs w:val="22"/>
        </w:rPr>
        <w:t>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6418B708" w14:textId="77777777" w:rsidR="00294DB4" w:rsidRPr="00AD0632" w:rsidRDefault="002015D9">
      <w:pPr>
        <w:spacing w:before="240" w:after="240" w:line="360" w:lineRule="auto"/>
        <w:ind w:left="426"/>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        </w:t>
      </w:r>
      <w:r w:rsidRPr="00AD0632">
        <w:rPr>
          <w:rFonts w:ascii="Palatino Linotype" w:eastAsia="Palatino Linotype" w:hAnsi="Palatino Linotype" w:cs="Palatino Linotype"/>
          <w:b/>
          <w:bCs/>
          <w:sz w:val="22"/>
          <w:szCs w:val="22"/>
        </w:rPr>
        <w:t xml:space="preserve">Adjudicaciones directas: </w:t>
      </w:r>
      <w:r w:rsidRPr="00AD0632">
        <w:rPr>
          <w:rFonts w:ascii="Palatino Linotype" w:eastAsia="Palatino Linotype" w:hAnsi="Palatino Linotype" w:cs="Palatino Linotype"/>
          <w:sz w:val="22"/>
          <w:szCs w:val="22"/>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2332A844" w14:textId="77777777" w:rsidR="00294DB4" w:rsidRPr="00AD0632" w:rsidRDefault="002015D9">
      <w:pPr>
        <w:spacing w:before="240" w:after="240" w:line="360" w:lineRule="auto"/>
        <w:ind w:right="51"/>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señalada en el artículo 70  fracción XXVIII de la Ley General de Transparencia y Acceso a la Información Pública, vigentes a la fecha de la solicitud, los sujetos obligados deben publicar información sobre los actos, contratos y convenios celebrados, misma que </w:t>
      </w:r>
      <w:r w:rsidRPr="00AD0632">
        <w:rPr>
          <w:rFonts w:ascii="Palatino Linotype" w:eastAsia="Palatino Linotype" w:hAnsi="Palatino Linotype" w:cs="Palatino Linotype"/>
          <w:b/>
          <w:bCs/>
          <w:sz w:val="22"/>
          <w:szCs w:val="22"/>
        </w:rPr>
        <w:t>debe presentarse en una base de datos en la que cada registro se hará por tipo de procedimiento, ya sea licitación pública, invitación restringida o adjudicación directa,</w:t>
      </w:r>
      <w:r w:rsidRPr="00AD0632">
        <w:rPr>
          <w:rFonts w:ascii="Palatino Linotype" w:eastAsia="Palatino Linotype" w:hAnsi="Palatino Linotype" w:cs="Palatino Linotype"/>
          <w:sz w:val="22"/>
          <w:szCs w:val="22"/>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696E03EE"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En este sentido, se colige que la información requerida por la persona solicitante versa sobre una obligación de transparencia, y que por tal motivo el </w:t>
      </w:r>
      <w:r w:rsidRPr="00AD0632">
        <w:rPr>
          <w:rFonts w:ascii="Palatino Linotype" w:eastAsia="Palatino Linotype" w:hAnsi="Palatino Linotype" w:cs="Palatino Linotype"/>
          <w:b/>
          <w:bCs/>
          <w:sz w:val="22"/>
          <w:szCs w:val="22"/>
        </w:rPr>
        <w:t>Sujeto Obligado</w:t>
      </w:r>
      <w:r w:rsidRPr="00AD0632">
        <w:rPr>
          <w:rFonts w:ascii="Palatino Linotype" w:eastAsia="Palatino Linotype" w:hAnsi="Palatino Linotype" w:cs="Palatino Linotype"/>
          <w:sz w:val="22"/>
          <w:szCs w:val="22"/>
        </w:rPr>
        <w:t xml:space="preserve"> se encuentra constreñido a poner a disposición del público dicha 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3C99A963" w14:textId="77777777" w:rsidR="00294DB4" w:rsidRPr="00AD0632" w:rsidRDefault="002015D9">
      <w:pPr>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r w:rsidRPr="00AD0632">
        <w:rPr>
          <w:rFonts w:ascii="Palatino Linotype" w:eastAsia="Palatino Linotype" w:hAnsi="Palatino Linotype" w:cs="Palatino Linotype"/>
          <w:b/>
          <w:bCs/>
          <w:i/>
          <w:iCs/>
          <w:sz w:val="22"/>
          <w:szCs w:val="22"/>
        </w:rPr>
        <w:t>Artículo 18.</w:t>
      </w:r>
      <w:r w:rsidRPr="00AD0632">
        <w:rPr>
          <w:rFonts w:ascii="Palatino Linotype" w:eastAsia="Palatino Linotype" w:hAnsi="Palatino Linotype" w:cs="Palatino Linotype"/>
          <w:i/>
          <w:iCs/>
          <w:sz w:val="22"/>
          <w:szCs w:val="22"/>
        </w:rPr>
        <w:t xml:space="preserve"> Los sujetos obligados </w:t>
      </w:r>
      <w:r w:rsidRPr="00AD0632">
        <w:rPr>
          <w:rFonts w:ascii="Palatino Linotype" w:eastAsia="Palatino Linotype" w:hAnsi="Palatino Linotype" w:cs="Palatino Linotype"/>
          <w:b/>
          <w:bCs/>
          <w:i/>
          <w:iCs/>
          <w:sz w:val="22"/>
          <w:szCs w:val="22"/>
        </w:rPr>
        <w:t>deberán documentar todo acto</w:t>
      </w:r>
      <w:r w:rsidRPr="00AD0632">
        <w:rPr>
          <w:rFonts w:ascii="Palatino Linotype" w:eastAsia="Palatino Linotype" w:hAnsi="Palatino Linotype" w:cs="Palatino Linotype"/>
          <w:i/>
          <w:iCs/>
          <w:sz w:val="22"/>
          <w:szCs w:val="22"/>
        </w:rPr>
        <w:t xml:space="preserve"> </w:t>
      </w:r>
      <w:r w:rsidRPr="00AD0632">
        <w:rPr>
          <w:rFonts w:ascii="Palatino Linotype" w:eastAsia="Palatino Linotype" w:hAnsi="Palatino Linotype" w:cs="Palatino Linotype"/>
          <w:b/>
          <w:bCs/>
          <w:i/>
          <w:iCs/>
          <w:sz w:val="22"/>
          <w:szCs w:val="22"/>
        </w:rPr>
        <w:t>que derive del ejercicio de sus facultades, competencias o funciones</w:t>
      </w:r>
      <w:r w:rsidRPr="00AD0632">
        <w:rPr>
          <w:rFonts w:ascii="Palatino Linotype" w:eastAsia="Palatino Linotype" w:hAnsi="Palatino Linotype" w:cs="Palatino Linotype"/>
          <w:i/>
          <w:iCs/>
          <w:sz w:val="22"/>
          <w:szCs w:val="22"/>
        </w:rPr>
        <w:t>, considerando desde su origen la eventual publicidad y reutilización de la información que generen.</w:t>
      </w:r>
    </w:p>
    <w:p w14:paraId="6E041254" w14:textId="77777777" w:rsidR="00294DB4" w:rsidRPr="00AD0632" w:rsidRDefault="002015D9">
      <w:pPr>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2D4018C7" w14:textId="77777777" w:rsidR="00294DB4" w:rsidRPr="00AD0632" w:rsidRDefault="002015D9">
      <w:pPr>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Artículo 24.</w:t>
      </w:r>
      <w:r w:rsidRPr="00AD0632">
        <w:rPr>
          <w:rFonts w:ascii="Palatino Linotype" w:eastAsia="Palatino Linotype" w:hAnsi="Palatino Linotype" w:cs="Palatino Linotype"/>
          <w:i/>
          <w:iCs/>
          <w:sz w:val="22"/>
          <w:szCs w:val="22"/>
        </w:rPr>
        <w:t xml:space="preserve"> Para el cumplimiento de los objetivos de esta Ley</w:t>
      </w:r>
      <w:r w:rsidRPr="00AD0632">
        <w:rPr>
          <w:rFonts w:ascii="Palatino Linotype" w:eastAsia="Palatino Linotype" w:hAnsi="Palatino Linotype" w:cs="Palatino Linotype"/>
          <w:b/>
          <w:bCs/>
          <w:i/>
          <w:iCs/>
          <w:sz w:val="22"/>
          <w:szCs w:val="22"/>
        </w:rPr>
        <w:t>, los sujetos obligados deberán cumplir con las siguientes obligaciones</w:t>
      </w:r>
      <w:r w:rsidRPr="00AD0632">
        <w:rPr>
          <w:rFonts w:ascii="Palatino Linotype" w:eastAsia="Palatino Linotype" w:hAnsi="Palatino Linotype" w:cs="Palatino Linotype"/>
          <w:i/>
          <w:iCs/>
          <w:sz w:val="22"/>
          <w:szCs w:val="22"/>
        </w:rPr>
        <w:t>, según corresponda, de acuerdo a su naturaleza:</w:t>
      </w:r>
    </w:p>
    <w:p w14:paraId="0F03524D"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0D791CCE" w14:textId="77777777" w:rsidR="00294DB4" w:rsidRPr="00AD0632" w:rsidRDefault="002015D9">
      <w:pPr>
        <w:spacing w:before="120" w:after="120"/>
        <w:ind w:left="1134"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XXII.</w:t>
      </w:r>
      <w:r w:rsidRPr="00AD0632">
        <w:rPr>
          <w:rFonts w:ascii="Palatino Linotype" w:eastAsia="Palatino Linotype" w:hAnsi="Palatino Linotype" w:cs="Palatino Linotype"/>
          <w:i/>
          <w:iCs/>
          <w:sz w:val="22"/>
          <w:szCs w:val="22"/>
        </w:rPr>
        <w:t xml:space="preserve"> </w:t>
      </w:r>
      <w:r w:rsidRPr="00AD0632">
        <w:rPr>
          <w:rFonts w:ascii="Palatino Linotype" w:eastAsia="Palatino Linotype" w:hAnsi="Palatino Linotype" w:cs="Palatino Linotype"/>
          <w:b/>
          <w:bCs/>
          <w:i/>
          <w:iCs/>
          <w:sz w:val="22"/>
          <w:szCs w:val="22"/>
        </w:rPr>
        <w:t>Documentar todo acto que derive del ejercicio de sus facultades, competencias o funciones</w:t>
      </w:r>
      <w:r w:rsidRPr="00AD0632">
        <w:rPr>
          <w:rFonts w:ascii="Palatino Linotype" w:eastAsia="Palatino Linotype" w:hAnsi="Palatino Linotype" w:cs="Palatino Linotype"/>
          <w:i/>
          <w:iCs/>
          <w:sz w:val="22"/>
          <w:szCs w:val="22"/>
        </w:rPr>
        <w:t xml:space="preserve"> y abstenerse de destruirlos u ocultarlos, dentro de los que destacan los procesos deliberativos y de decisión definitiva;”</w:t>
      </w:r>
    </w:p>
    <w:p w14:paraId="7A52D397"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Por lo anterior, se advierte que los Ayuntamientos tienen atribuciones para generar, administrar y poseer información relacionada con procedimientos de adquisición de bienes y servicios que requieran las unidades administrativas, entre los que pudieran corresponder a bienes o recursos destinados para programas sociales que desarrolle el municipio.</w:t>
      </w:r>
    </w:p>
    <w:p w14:paraId="568C3001" w14:textId="77777777" w:rsidR="00294DB4" w:rsidRPr="00AD0632" w:rsidRDefault="00294DB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B1A82C8" w14:textId="77777777" w:rsidR="00294DB4" w:rsidRPr="00AD0632" w:rsidRDefault="002015D9">
      <w:pPr>
        <w:pBdr>
          <w:top w:val="nil"/>
          <w:left w:val="nil"/>
          <w:bottom w:val="nil"/>
          <w:right w:val="nil"/>
          <w:between w:val="nil"/>
        </w:pBdr>
        <w:spacing w:after="240" w:line="360" w:lineRule="auto"/>
        <w:ind w:right="-15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Establecido lo anterior, es de precisar que, el Titular de la Unidad de Transparencia turnó la solicitud a la Jefatura de Programas Sociales, la cual, de acuerdo al Reglamento de la Dirección de Educación y Bienestar Social tiene las siguientes atribuciones:</w:t>
      </w:r>
    </w:p>
    <w:p w14:paraId="23182C7E"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De la Jefatura de Programas Sociales</w:t>
      </w:r>
    </w:p>
    <w:p w14:paraId="716F9E95"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Artículo 17. La Jefatura de Programas Sociales, coordinará las funciones administrativas y cooperativas que proyectan los Programas Sociales en beneficio de la comunidad. </w:t>
      </w:r>
    </w:p>
    <w:p w14:paraId="6223BEE6"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Artículo 18. La Jefatura de Programas Sociales tendrá las siguientes funciones: </w:t>
      </w:r>
    </w:p>
    <w:p w14:paraId="105F78AA"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 Coordinar los recursos humanos para llevar a cabo las actividades administrativas; </w:t>
      </w:r>
    </w:p>
    <w:p w14:paraId="39A4D5F1"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II. Proponer proyectos de utilidad e interés social, acorde a las necesidades de los habitantes del Municipio;</w:t>
      </w:r>
    </w:p>
    <w:p w14:paraId="03B063A2"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III. Atender a las autoridades pertinentes de los Programas Sociales Federales, con el propósito de entregar los apoyos destinados al Municipio; </w:t>
      </w:r>
    </w:p>
    <w:p w14:paraId="20EAF29A"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IV. Atender a las autoridades pertinentes de los Programas Sociales Estatales, con el propósito de entregar los apoyos destinados al Municipio; </w:t>
      </w:r>
    </w:p>
    <w:p w14:paraId="7069D2FC"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V. Planear, organizar, implementar y evaluar cada uno de los programas o proyectos destinados a los habitantes del Municipio; </w:t>
      </w:r>
    </w:p>
    <w:p w14:paraId="26D013F8"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VI. Difundir los diversos programas y/o proyectos que implementa el H. Ayuntamiento de Tepotzotlán para sus habitantes; </w:t>
      </w:r>
    </w:p>
    <w:p w14:paraId="179AE5D7"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VII. Generar un reporte de actividades hacia la Dirección de manera mensual.</w:t>
      </w:r>
    </w:p>
    <w:p w14:paraId="2C702D4B" w14:textId="77777777" w:rsidR="00294DB4" w:rsidRPr="00AD0632" w:rsidRDefault="002015D9">
      <w:pPr>
        <w:spacing w:before="240" w:after="240" w:line="360" w:lineRule="auto"/>
        <w:ind w:right="51"/>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Si bien tiene parcialmente atribuciones para generar, administrar y poseer la información requerida por el Recurrente, resulta conveniente traer a contexto las atribuciones de la Dirección de Administración y Finanzas, a través de sus diversas áreas administrativas, siendo las siguientes:</w:t>
      </w:r>
    </w:p>
    <w:p w14:paraId="668654F6"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Dirección de Administración y Finanzas</w:t>
      </w:r>
    </w:p>
    <w:p w14:paraId="4A763C7B"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VII. Realizar las suficiencias presupuestales de los diferentes actos de procedimiento adquisitivos (Adjudicación Directa, Invitación Restringida o Licitación Pública).</w:t>
      </w:r>
    </w:p>
    <w:p w14:paraId="34FB0FBA"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1E9732A1"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1.4 JEFATURA DE ADQUISICIONES </w:t>
      </w:r>
    </w:p>
    <w:p w14:paraId="297E1F16"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Objetivo Proporcionar los recursos materiales a todos los departamentos y direcciones que integran la estructura organizacional del municipio con oportunidad y rapidez necesaria en atención de sus necesidades de administración y operativas, así como mantener y conservar en adecuadas condiciones físicas, mecánicas y de operación las unidades de parque vehicular del municipio.</w:t>
      </w:r>
    </w:p>
    <w:p w14:paraId="667B453D"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221C227C"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VII. Vigilar que las adquisiciones de bienes y contratación de servicios se efectuarán de conformidad con las disposiciones de la Ley de Contratación Públicas del Estado de México y en su caso del reglamento respectivo o de acuerdo con la normatividad Federal cuando sea el caso, previa Dictaminación del Comité de Adquisiciones y servicios respectivo.</w:t>
      </w:r>
    </w:p>
    <w:p w14:paraId="2C63A30C"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VIII. Asignar fecha y número de folio a los requerimientos de bienes, servicios y arrendamientos de las unidades administrativas.</w:t>
      </w:r>
    </w:p>
    <w:p w14:paraId="0572DF73"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IX. Asegurar que las adjudicaciones de bienes y servicios de los proveedores cumplan con las características de vigencia, garantía y tiempo de entrega. </w:t>
      </w:r>
    </w:p>
    <w:p w14:paraId="22F2FB52"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X. Elaborar el Cuadro Comparativo de adquisiciones, seleccionando al proveedor que cumpla con las mejores condiciones de mercado, oportunidad, calidad precio y financiamiento. </w:t>
      </w:r>
    </w:p>
    <w:p w14:paraId="5EA049A3"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XI. Elaborar el Contrato-Pedido de adquisiciones, recabando la firma del Proveedor y Director de Administración y Finanzas.</w:t>
      </w:r>
    </w:p>
    <w:p w14:paraId="4635CBAE"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18D3A768" w14:textId="77777777" w:rsidR="00294DB4" w:rsidRPr="00AD0632" w:rsidRDefault="002015D9">
      <w:pPr>
        <w:spacing w:before="240" w:after="240" w:line="360" w:lineRule="auto"/>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XXIV. Levantar el acta respectiva en los procedimientos de adquisición por licitación o invitación restringida, la cual será firmada por los participantes, sin que la falta de firma de alguno de ellos invalide su contenido y efectos.</w:t>
      </w:r>
    </w:p>
    <w:p w14:paraId="0ACA086B" w14:textId="77777777" w:rsidR="00294DB4" w:rsidRPr="00AD0632" w:rsidRDefault="002015D9">
      <w:pPr>
        <w:spacing w:before="240" w:after="240" w:line="360" w:lineRule="auto"/>
        <w:ind w:left="567" w:right="51"/>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w:t>
      </w:r>
    </w:p>
    <w:p w14:paraId="03B196DD" w14:textId="77777777" w:rsidR="00294DB4" w:rsidRPr="00AD0632" w:rsidRDefault="002015D9">
      <w:pPr>
        <w:spacing w:line="360" w:lineRule="auto"/>
        <w:ind w:right="-7"/>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Es así que, si bien, la Jefatura de Programas Sociales tiene atribuciones para conocer sobre la información requerida respecto a la ejecución de programas sociales por el Sujeto Obligado, también lo es que la Dirección de Administración y Finanzas cuenta con atribuciones para conocer sobre los procedimientos de adquisición de bienes y servicios que requiera al Ayuntamiento, entre los cuales se puede contener la adquisición de los cascos materia del programa social referido por el Recurrente. </w:t>
      </w:r>
    </w:p>
    <w:p w14:paraId="4EF55348" w14:textId="77777777" w:rsidR="00294DB4" w:rsidRPr="00AD0632" w:rsidRDefault="00294DB4">
      <w:pPr>
        <w:spacing w:line="360" w:lineRule="auto"/>
        <w:ind w:right="-7"/>
        <w:jc w:val="both"/>
        <w:rPr>
          <w:rFonts w:ascii="Palatino Linotype" w:eastAsia="Palatino Linotype" w:hAnsi="Palatino Linotype" w:cs="Palatino Linotype"/>
          <w:sz w:val="22"/>
          <w:szCs w:val="22"/>
        </w:rPr>
      </w:pPr>
    </w:p>
    <w:p w14:paraId="3488D76F"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En consecuencia, al haber turnado la solicitud a únicamente a la Jefatura de Programas Sociales se determina que no siguió el procedimiento para la atención a las solicitudes de acceso a la información, establecido en los artículos 151, 160, 162, 163, 164, 165 y 166, de la Ley de Transparencia y Acceso a la Información Pública del Estado de México y Municipios: </w:t>
      </w:r>
    </w:p>
    <w:p w14:paraId="00BD94D8" w14:textId="77777777" w:rsidR="00294DB4" w:rsidRPr="00AD0632" w:rsidRDefault="00294DB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403DBF1" w14:textId="77777777" w:rsidR="00294DB4" w:rsidRPr="00AD0632" w:rsidRDefault="002015D9">
      <w:pPr>
        <w:spacing w:after="240" w:line="360" w:lineRule="auto"/>
        <w:ind w:left="284"/>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3196C3E" w14:textId="77777777" w:rsidR="00294DB4" w:rsidRPr="00AD0632" w:rsidRDefault="002015D9">
      <w:pPr>
        <w:spacing w:after="240" w:line="360" w:lineRule="auto"/>
        <w:ind w:left="284"/>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215A54A2" w14:textId="77777777" w:rsidR="00294DB4" w:rsidRPr="00AD0632" w:rsidRDefault="002015D9">
      <w:pPr>
        <w:spacing w:after="240" w:line="360" w:lineRule="auto"/>
        <w:ind w:left="284"/>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216D97B1" w14:textId="77777777" w:rsidR="00294DB4" w:rsidRPr="00AD0632" w:rsidRDefault="002015D9">
      <w:pPr>
        <w:spacing w:after="240" w:line="360" w:lineRule="auto"/>
        <w:ind w:left="284"/>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461326A" w14:textId="77777777" w:rsidR="00294DB4" w:rsidRPr="00AD0632" w:rsidRDefault="002015D9">
      <w:pPr>
        <w:spacing w:after="240" w:line="360" w:lineRule="auto"/>
        <w:ind w:left="284"/>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FD7C4D2" w14:textId="77777777" w:rsidR="00294DB4" w:rsidRPr="00AD0632" w:rsidRDefault="002015D9">
      <w:pPr>
        <w:spacing w:after="240" w:line="360" w:lineRule="auto"/>
        <w:ind w:left="284"/>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3A65FE1" w14:textId="77777777" w:rsidR="00294DB4" w:rsidRPr="00AD0632" w:rsidRDefault="002015D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En este orden de ideas, se reitera que la Unidad de Transparencia al no turnar la solicitud a todas las áreas que de acuerdo a sus funciones, atribuciones y competencias se tiene que no se acreditó la correcta búsqueda exhaustiva y razonable de la información.</w:t>
      </w:r>
    </w:p>
    <w:p w14:paraId="10B903AF" w14:textId="77777777" w:rsidR="00294DB4" w:rsidRPr="00AD0632" w:rsidRDefault="00294DB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4CF109A" w14:textId="77777777" w:rsidR="00294DB4" w:rsidRPr="00AD0632" w:rsidRDefault="002015D9">
      <w:pPr>
        <w:pBdr>
          <w:top w:val="nil"/>
          <w:left w:val="nil"/>
          <w:bottom w:val="nil"/>
          <w:right w:val="nil"/>
          <w:between w:val="nil"/>
        </w:pBdr>
        <w:spacing w:after="240" w:line="360" w:lineRule="auto"/>
        <w:ind w:right="-15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Acotado lo anterior, es necesario indicar que el Sujeto Obligado a través de la información que remitió en informe justificado, asumió contar con la información, además, se localizaron diversas notas periodísticas en las que se menciona el programa de entrega de cascos, como lo son el periódico “Capital” con título </w:t>
      </w:r>
      <w:r w:rsidRPr="00AD0632">
        <w:rPr>
          <w:rFonts w:ascii="Palatino Linotype" w:eastAsia="Palatino Linotype" w:hAnsi="Palatino Linotype" w:cs="Palatino Linotype"/>
          <w:b/>
          <w:bCs/>
          <w:sz w:val="22"/>
          <w:szCs w:val="22"/>
        </w:rPr>
        <w:t>“Ángeles protegiendo tu vida” busca garantizar seguridad de motociclistas y el</w:t>
      </w:r>
      <w:r w:rsidRPr="00AD0632">
        <w:rPr>
          <w:rFonts w:ascii="Palatino Linotype" w:eastAsia="Palatino Linotype" w:hAnsi="Palatino Linotype" w:cs="Palatino Linotype"/>
          <w:sz w:val="22"/>
          <w:szCs w:val="22"/>
        </w:rPr>
        <w:t xml:space="preserve"> periódico denominado “El Universal Estado de México” de fecha quince de octubre de dos mil veinticuatro bajo el título </w:t>
      </w:r>
      <w:r w:rsidRPr="00AD0632">
        <w:rPr>
          <w:rFonts w:ascii="Palatino Linotype" w:eastAsia="Palatino Linotype" w:hAnsi="Palatino Linotype" w:cs="Palatino Linotype"/>
          <w:b/>
          <w:bCs/>
          <w:sz w:val="22"/>
          <w:szCs w:val="22"/>
        </w:rPr>
        <w:t>“Refuerzan seguridad en Tepotzotlán con operativos a motos”</w:t>
      </w:r>
      <w:r w:rsidRPr="00AD0632">
        <w:rPr>
          <w:rFonts w:ascii="Palatino Linotype" w:eastAsia="Palatino Linotype" w:hAnsi="Palatino Linotype" w:cs="Palatino Linotype"/>
          <w:sz w:val="22"/>
          <w:szCs w:val="22"/>
        </w:rPr>
        <w:t xml:space="preserve"> cuyo contenido es el siguiente respectivamente:</w:t>
      </w:r>
    </w:p>
    <w:p w14:paraId="36BCB2BC"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“Capital”</w:t>
      </w:r>
    </w:p>
    <w:p w14:paraId="00219CC5"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2487F1DB"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El gobierno municipal de Tepotzotlán lanzó el programa “Ángeles protegiendo tu vida“, con el propósito de prevenir accidentes y garantizar la seguridad de los motociclistas.</w:t>
      </w:r>
    </w:p>
    <w:p w14:paraId="0E56328F"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1BDE4B34"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La alcaldesa, María de los Ángeles Zuppa Villegas, anunció el inicio de la entrega, que implica un subsidio del 100%, para hasta 2 cascos certificados por familia.</w:t>
      </w:r>
    </w:p>
    <w:p w14:paraId="39F7C6A8"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718D00C8"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Este programa se enfoca en aquellos que utilizan motocicletas como medio de transporte en el Pueblo Mágico de Tepotzotlán.</w:t>
      </w:r>
    </w:p>
    <w:p w14:paraId="4963EC1F"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196637A8"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Los interesados deben presentar una solicitud dirigida a la alcaldesa, residir en Tepotzotlán, y proporcionar documentación que respalde la posesión legal de la motocicleta.</w:t>
      </w:r>
    </w:p>
    <w:p w14:paraId="0171EC12"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0A7A1F52"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Se permite la entrega de hasta dos cascos por familia, siendo necesario presentar la identificación del co-beneficiario en caso de ser aplicable.</w:t>
      </w:r>
    </w:p>
    <w:p w14:paraId="0A1049C9"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2DEB5D74"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La presidencia municipal de Tepotzotlán, señaló que el objetivo primordial es proteger la vida de los habitantes que se transportan en motos o motonetas.</w:t>
      </w:r>
    </w:p>
    <w:p w14:paraId="396CFA87"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24D3E4E6"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Lamentó que en fechas recientes se hayan incrementado los choques y accidentes de estos vehículos, con daños a los conductores y acompañantes.</w:t>
      </w:r>
    </w:p>
    <w:p w14:paraId="7001113C"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73FF2826"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La alcaldesa María de los Ángeles Zuppa, dio a conocer que a la par de la entrega de cascos protectores, se darán cursos para conducir y para evitar accidentes que dejen daños físicos qué lamentar o incluso pérdida de vidas. En la zona metropolitana, el año pasado se vendieron más motocicletas que vehículos automotores y esa tendencia se espera, se incremente en este año y en el futuro cercano.</w:t>
      </w:r>
    </w:p>
    <w:p w14:paraId="1EB435AA"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027B77FA" w14:textId="77777777" w:rsidR="00294DB4" w:rsidRPr="00AD0632" w:rsidRDefault="00294DB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5B674A8" w14:textId="77777777" w:rsidR="00294DB4" w:rsidRPr="00AD0632" w:rsidRDefault="002015D9">
      <w:pPr>
        <w:pBdr>
          <w:top w:val="nil"/>
          <w:left w:val="nil"/>
          <w:bottom w:val="nil"/>
          <w:right w:val="nil"/>
          <w:between w:val="nil"/>
        </w:pBdr>
        <w:spacing w:line="360" w:lineRule="auto"/>
        <w:ind w:left="567"/>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“El Universal Estado de México”</w:t>
      </w:r>
    </w:p>
    <w:p w14:paraId="53A62BC5"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Los elementos de policía de Tepotzotlán han realizado operativos desde octubre y terminarán el 31 de diciembre, para comprobar la documentación de los motociclistas.</w:t>
      </w:r>
    </w:p>
    <w:p w14:paraId="28EA1423"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371347F3"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Tepotzotlán, Mex. La policía de tránsito de Tepotzotlán La policía de tránsito de Tepotzotlán estará realizando operativos para revisar que los motociclistas que circulan por el territorio municipal usen casco de seguridad y cuenten con la documentación necesaria como licencia y tarjeta de circulación vigentes, así lo informó la presidenta municipal María de los Ángeles Zuppa Villegas.</w:t>
      </w:r>
    </w:p>
    <w:p w14:paraId="79BC08D2"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3DAB4E6F"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El operativo Moto Segura, que comenzó a partir de octubre y culmina el 31 de diciembre, tiene dos propósitos: verificar que las unidades no sean robadas, pues la mayoría de los ilícitos se cometen en motos que los delincuentes hurtaron; y para evitar accidentes de tránsito al generar cultura vial.</w:t>
      </w:r>
    </w:p>
    <w:p w14:paraId="6FECD2C3"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6B5E65E5"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Aquellos infractores del Reglamento de Tránsito del Estado de México que no puedan acreditar la propiedad de las motocicletas serán remitidos a las oficinas de la dirección de Seguridad Pública de Tepotzotlán, donde quedarán bajo resguardo de las unidades.</w:t>
      </w:r>
    </w:p>
    <w:p w14:paraId="1F77E121"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550467DC"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Y tendrán hasta 72 horas para poder presentar la documentación y que el vehículo les sea entregado, sin la necesidad de emitir algún pago por el arrastre del lugar de la revisión hacia el patio de la policía municipal.</w:t>
      </w:r>
    </w:p>
    <w:p w14:paraId="25113798"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208E7F70"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“No va a tener ningún costo. En ocasiones les dicen que al momento de llevárselos en la grúa tendrá algún costo y en este caso no, será totalmente gratuito. Les vamos a dar 72 horas para que acrediten la propiedad de la moto. Presentan sus documentos y se les regresa sin costo alguno”, dijo la alcaldesa del Pueblo Mágico.</w:t>
      </w:r>
    </w:p>
    <w:p w14:paraId="15BBAE87"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5C23256B"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En el territorio municipal han detectado a motociclistas circulando con menores de edad y sin usar casco, registrándose accidentes en donde derrapan y terminan con lesiones no graves. Sin embargo, la finalidad es generar la cultura vial para que la gente ya use el equipo de seguridad y respeten los señalamientos viales.</w:t>
      </w:r>
    </w:p>
    <w:p w14:paraId="4B5F5270" w14:textId="77777777" w:rsidR="00294DB4" w:rsidRPr="00AD0632" w:rsidRDefault="00294DB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p>
    <w:p w14:paraId="22EA60FD" w14:textId="77777777" w:rsidR="00294DB4" w:rsidRPr="00AD0632" w:rsidRDefault="002015D9">
      <w:pPr>
        <w:pBdr>
          <w:top w:val="nil"/>
          <w:left w:val="nil"/>
          <w:bottom w:val="nil"/>
          <w:right w:val="nil"/>
          <w:between w:val="nil"/>
        </w:pBdr>
        <w:ind w:left="567" w:right="843"/>
        <w:jc w:val="both"/>
        <w:rPr>
          <w:rFonts w:ascii="Palatino Linotype" w:eastAsia="Palatino Linotype" w:hAnsi="Palatino Linotype" w:cs="Palatino Linotype"/>
          <w:b/>
          <w:bCs/>
          <w:i/>
          <w:iCs/>
          <w:sz w:val="22"/>
          <w:szCs w:val="22"/>
        </w:rPr>
      </w:pPr>
      <w:r w:rsidRPr="00AD0632">
        <w:rPr>
          <w:rFonts w:ascii="Palatino Linotype" w:eastAsia="Palatino Linotype" w:hAnsi="Palatino Linotype" w:cs="Palatino Linotype"/>
          <w:b/>
          <w:bCs/>
          <w:i/>
          <w:iCs/>
          <w:sz w:val="22"/>
          <w:szCs w:val="22"/>
        </w:rPr>
        <w:t>Para ello también empezaron una campaña para entregar cascos de seguridad, sumando ya mil 200 para motociclistas que acreditaron ser residentes del municipio, por lo que ya deben circular usándolos, dijo la edil de Tepotzotlán.</w:t>
      </w:r>
    </w:p>
    <w:p w14:paraId="14979CA2" w14:textId="77777777" w:rsidR="00294DB4" w:rsidRPr="00AD0632" w:rsidRDefault="00294DB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60BAB6"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De tal suerte que con lo vertido anteriormente, podemos advertir que obran indicios de que el Ayuntamiento de Tepotzotlán contaba en el año 2024 con un programa denominado “Ángeles protegiendo tu vida” en el que se entregaron cascos a las familias que residieran en el municipio y  que tuvieran como medio de transporte la motocicleta, por lo que estaríamos ante un hecho notorio, el cual se sustenta conforme a las siguientes Tesis de la Suprema Corte de Justicia de la Nación, cuyo rubro y texto son del tenor siguiente:</w:t>
      </w:r>
    </w:p>
    <w:p w14:paraId="74E79302" w14:textId="77777777" w:rsidR="00294DB4" w:rsidRPr="00AD0632" w:rsidRDefault="002015D9">
      <w:pPr>
        <w:tabs>
          <w:tab w:val="left" w:pos="7938"/>
        </w:tabs>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“HECHOS NOTORIOS. CONCEPTOS GENERAL Y JURÍDICO. Conforme al artículo 88 del Código Federal de Procedimientos Civiles los tribunales pueden invocar hechos notorios aunque no hayan sido alegados ni probados por las partes.</w:t>
      </w:r>
      <w:r w:rsidRPr="00AD0632">
        <w:rPr>
          <w:rFonts w:ascii="Palatino Linotype" w:eastAsia="Palatino Linotype" w:hAnsi="Palatino Linotype" w:cs="Palatino Linotype"/>
          <w:i/>
          <w:iCs/>
          <w:sz w:val="22"/>
          <w:szCs w:val="22"/>
        </w:rPr>
        <w:t xml:space="preserve"> Por hechos notorios deben entenderse, en general, aquellos que por el conocimiento humano se consideran ciertos e indiscutibles, ya sea que pertenezcan a la historia, a la ciencia, a la naturaleza</w:t>
      </w:r>
      <w:r w:rsidRPr="00AD0632">
        <w:rPr>
          <w:rFonts w:ascii="Palatino Linotype" w:eastAsia="Palatino Linotype" w:hAnsi="Palatino Linotype" w:cs="Palatino Linotype"/>
          <w:b/>
          <w:bCs/>
          <w:i/>
          <w:iCs/>
          <w:sz w:val="22"/>
          <w:szCs w:val="22"/>
        </w:rPr>
        <w:t>, a las vicisitudes de la vida pública actual o a circunstancias comúnmente conocidas en un determinado lugar</w:t>
      </w:r>
      <w:r w:rsidRPr="00AD0632">
        <w:rPr>
          <w:rFonts w:ascii="Palatino Linotype" w:eastAsia="Palatino Linotype" w:hAnsi="Palatino Linotype" w:cs="Palatino Linotype"/>
          <w:i/>
          <w:iCs/>
          <w:sz w:val="22"/>
          <w:szCs w:val="22"/>
        </w:rPr>
        <w:t xml:space="preserve">, </w:t>
      </w:r>
      <w:r w:rsidRPr="00AD0632">
        <w:rPr>
          <w:rFonts w:ascii="Palatino Linotype" w:eastAsia="Palatino Linotype" w:hAnsi="Palatino Linotype" w:cs="Palatino Linotype"/>
          <w:b/>
          <w:bCs/>
          <w:i/>
          <w:iCs/>
          <w:sz w:val="22"/>
          <w:szCs w:val="22"/>
        </w:rPr>
        <w:t>de modo que toda persona de ese medio esté en condiciones de saberlo</w:t>
      </w:r>
      <w:r w:rsidRPr="00AD0632">
        <w:rPr>
          <w:rFonts w:ascii="Palatino Linotype" w:eastAsia="Palatino Linotype" w:hAnsi="Palatino Linotype" w:cs="Palatino Linotype"/>
          <w:i/>
          <w:iCs/>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r w:rsidRPr="00AD0632">
        <w:rPr>
          <w:rFonts w:ascii="Palatino Linotype" w:eastAsia="Palatino Linotype" w:hAnsi="Palatino Linotype" w:cs="Palatino Linotype"/>
          <w:i/>
          <w:iCs/>
          <w:sz w:val="22"/>
          <w:szCs w:val="22"/>
          <w:vertAlign w:val="superscript"/>
        </w:rPr>
        <w:footnoteReference w:id="2"/>
      </w:r>
    </w:p>
    <w:p w14:paraId="72FFAB16" w14:textId="77777777" w:rsidR="00294DB4" w:rsidRPr="00AD0632" w:rsidRDefault="002015D9">
      <w:pPr>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r w:rsidRPr="00AD0632">
        <w:rPr>
          <w:rFonts w:ascii="Palatino Linotype" w:eastAsia="Palatino Linotype" w:hAnsi="Palatino Linotype" w:cs="Palatino Linotype"/>
          <w:b/>
          <w:bCs/>
          <w:i/>
          <w:iCs/>
          <w:sz w:val="22"/>
          <w:szCs w:val="22"/>
        </w:rPr>
        <w:t>PÁGINAS WEB O ELECTRÓNICAS. SU CONTENIDO ES UN HECHO NOTORIO Y SUSCEPTIBLE DE SER VALORADO EN UNA DECISIÓN JUDICIAL.</w:t>
      </w:r>
      <w:r w:rsidRPr="00AD0632">
        <w:rPr>
          <w:rFonts w:ascii="Palatino Linotype" w:eastAsia="Palatino Linotype" w:hAnsi="Palatino Linotype" w:cs="Palatino Linotype"/>
          <w:i/>
          <w:iCs/>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r w:rsidRPr="00AD0632">
        <w:rPr>
          <w:rFonts w:ascii="Palatino Linotype" w:eastAsia="Palatino Linotype" w:hAnsi="Palatino Linotype" w:cs="Palatino Linotype"/>
          <w:i/>
          <w:iCs/>
          <w:sz w:val="22"/>
          <w:szCs w:val="22"/>
          <w:vertAlign w:val="superscript"/>
        </w:rPr>
        <w:footnoteReference w:id="3"/>
      </w:r>
    </w:p>
    <w:p w14:paraId="55535278" w14:textId="77777777" w:rsidR="00294DB4" w:rsidRPr="00AD0632" w:rsidRDefault="002015D9">
      <w:pPr>
        <w:spacing w:before="120" w:after="120"/>
        <w:ind w:left="851" w:right="902"/>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r w:rsidRPr="00AD0632">
        <w:rPr>
          <w:rFonts w:ascii="Palatino Linotype" w:eastAsia="Palatino Linotype" w:hAnsi="Palatino Linotype" w:cs="Palatino Linotype"/>
          <w:b/>
          <w:bCs/>
          <w:i/>
          <w:iCs/>
          <w:sz w:val="22"/>
          <w:szCs w:val="22"/>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AD0632">
        <w:rPr>
          <w:rFonts w:ascii="Palatino Linotype" w:eastAsia="Palatino Linotype" w:hAnsi="Palatino Linotype" w:cs="Palatino Linotype"/>
          <w:i/>
          <w:iCs/>
          <w:sz w:val="22"/>
          <w:szCs w:val="22"/>
        </w:rPr>
        <w:t>.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r w:rsidRPr="00AD0632">
        <w:rPr>
          <w:rFonts w:ascii="Palatino Linotype" w:eastAsia="Palatino Linotype" w:hAnsi="Palatino Linotype" w:cs="Palatino Linotype"/>
          <w:i/>
          <w:iCs/>
          <w:sz w:val="22"/>
          <w:szCs w:val="22"/>
          <w:vertAlign w:val="superscript"/>
        </w:rPr>
        <w:footnoteReference w:id="4"/>
      </w:r>
    </w:p>
    <w:p w14:paraId="788F9996" w14:textId="77777777" w:rsidR="00294DB4" w:rsidRPr="00AD0632" w:rsidRDefault="00294DB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040116" w14:textId="77777777" w:rsidR="00294DB4" w:rsidRPr="00AD0632" w:rsidRDefault="002015D9">
      <w:pPr>
        <w:pBdr>
          <w:top w:val="nil"/>
          <w:left w:val="nil"/>
          <w:bottom w:val="nil"/>
          <w:right w:val="nil"/>
          <w:between w:val="nil"/>
        </w:pBdr>
        <w:spacing w:after="240" w:line="360" w:lineRule="auto"/>
        <w:ind w:right="-150"/>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sz w:val="22"/>
          <w:szCs w:val="22"/>
        </w:rPr>
        <w:t xml:space="preserve">Es por lo anterior, que se tiene certeza que el Ayuntamiento genera, administra y posee información respecto a la entrega de cascos por la ejecución del programa denominado </w:t>
      </w:r>
      <w:r w:rsidRPr="00AD0632">
        <w:rPr>
          <w:rFonts w:ascii="Palatino Linotype" w:eastAsia="Palatino Linotype" w:hAnsi="Palatino Linotype" w:cs="Palatino Linotype"/>
          <w:b/>
          <w:bCs/>
          <w:sz w:val="22"/>
          <w:szCs w:val="22"/>
        </w:rPr>
        <w:t xml:space="preserve">“Ángeles protegiendo tu vida”. </w:t>
      </w:r>
    </w:p>
    <w:p w14:paraId="0CAA6A8F" w14:textId="77777777" w:rsidR="00294DB4" w:rsidRPr="00AD0632" w:rsidRDefault="002015D9">
      <w:pPr>
        <w:pBdr>
          <w:top w:val="nil"/>
          <w:left w:val="nil"/>
          <w:bottom w:val="nil"/>
          <w:right w:val="nil"/>
          <w:between w:val="nil"/>
        </w:pBdr>
        <w:spacing w:after="240" w:line="360" w:lineRule="auto"/>
        <w:ind w:right="-15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Dicho lo anterior, a efecto de demostrar si con la información que se remitió en informe justificado se colman los requerimientos del particular, resulta conveniente realizar el siguiente cuadro comparativo:</w:t>
      </w:r>
    </w:p>
    <w:p w14:paraId="00C6A0F5" w14:textId="77777777" w:rsidR="00294DB4" w:rsidRPr="00AD0632" w:rsidRDefault="00294DB4">
      <w:pPr>
        <w:pBdr>
          <w:top w:val="nil"/>
          <w:left w:val="nil"/>
          <w:bottom w:val="nil"/>
          <w:right w:val="nil"/>
          <w:between w:val="nil"/>
        </w:pBdr>
        <w:spacing w:after="240" w:line="360" w:lineRule="auto"/>
        <w:ind w:right="-150"/>
        <w:jc w:val="both"/>
        <w:rPr>
          <w:rFonts w:ascii="Palatino Linotype" w:eastAsia="Palatino Linotype" w:hAnsi="Palatino Linotype" w:cs="Palatino Linotype"/>
          <w:b/>
          <w:bCs/>
          <w:sz w:val="22"/>
          <w:szCs w:val="22"/>
        </w:rPr>
      </w:pPr>
    </w:p>
    <w:tbl>
      <w:tblPr>
        <w:tblStyle w:val="afe"/>
        <w:tblW w:w="9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3"/>
        <w:gridCol w:w="3825"/>
        <w:gridCol w:w="1270"/>
      </w:tblGrid>
      <w:tr w:rsidR="005275CA" w:rsidRPr="00AD0632" w14:paraId="315C9EB9" w14:textId="77777777">
        <w:tc>
          <w:tcPr>
            <w:tcW w:w="4103" w:type="dxa"/>
            <w:shd w:val="clear" w:color="auto" w:fill="E7E6E6"/>
          </w:tcPr>
          <w:p w14:paraId="5F198289" w14:textId="77777777" w:rsidR="00294DB4" w:rsidRPr="00AD0632" w:rsidRDefault="002015D9">
            <w:pPr>
              <w:spacing w:after="240" w:line="360" w:lineRule="auto"/>
              <w:jc w:val="center"/>
              <w:rPr>
                <w:rFonts w:ascii="Palatino Linotype" w:eastAsia="Palatino Linotype" w:hAnsi="Palatino Linotype" w:cs="Palatino Linotype"/>
                <w:b/>
                <w:bCs/>
                <w:sz w:val="20"/>
                <w:szCs w:val="20"/>
              </w:rPr>
            </w:pPr>
            <w:r w:rsidRPr="00AD0632">
              <w:rPr>
                <w:rFonts w:ascii="Palatino Linotype" w:eastAsia="Palatino Linotype" w:hAnsi="Palatino Linotype" w:cs="Palatino Linotype"/>
                <w:b/>
                <w:bCs/>
                <w:sz w:val="20"/>
                <w:szCs w:val="20"/>
              </w:rPr>
              <w:t>Requerimientos del programa social de entrega de cascos para la seguridad de motociclistas de los ejercicios 2022, 2023 y 2024:</w:t>
            </w:r>
          </w:p>
        </w:tc>
        <w:tc>
          <w:tcPr>
            <w:tcW w:w="3825" w:type="dxa"/>
            <w:shd w:val="clear" w:color="auto" w:fill="E7E6E6"/>
          </w:tcPr>
          <w:p w14:paraId="70B1B010" w14:textId="77777777" w:rsidR="00294DB4" w:rsidRPr="00AD0632" w:rsidRDefault="002015D9">
            <w:pPr>
              <w:spacing w:after="240" w:line="360" w:lineRule="auto"/>
              <w:jc w:val="center"/>
              <w:rPr>
                <w:rFonts w:ascii="Palatino Linotype" w:eastAsia="Palatino Linotype" w:hAnsi="Palatino Linotype" w:cs="Palatino Linotype"/>
                <w:b/>
                <w:bCs/>
                <w:sz w:val="20"/>
                <w:szCs w:val="20"/>
              </w:rPr>
            </w:pPr>
            <w:r w:rsidRPr="00AD0632">
              <w:rPr>
                <w:rFonts w:ascii="Palatino Linotype" w:eastAsia="Palatino Linotype" w:hAnsi="Palatino Linotype" w:cs="Palatino Linotype"/>
                <w:b/>
                <w:bCs/>
                <w:sz w:val="20"/>
                <w:szCs w:val="20"/>
              </w:rPr>
              <w:t>Información proporcionada</w:t>
            </w:r>
          </w:p>
        </w:tc>
        <w:tc>
          <w:tcPr>
            <w:tcW w:w="1270" w:type="dxa"/>
            <w:shd w:val="clear" w:color="auto" w:fill="E7E6E6"/>
          </w:tcPr>
          <w:p w14:paraId="6BBC4980" w14:textId="77777777" w:rsidR="00294DB4" w:rsidRPr="00AD0632" w:rsidRDefault="002015D9">
            <w:pPr>
              <w:spacing w:after="240" w:line="360" w:lineRule="auto"/>
              <w:jc w:val="center"/>
              <w:rPr>
                <w:rFonts w:ascii="Palatino Linotype" w:eastAsia="Palatino Linotype" w:hAnsi="Palatino Linotype" w:cs="Palatino Linotype"/>
                <w:b/>
                <w:bCs/>
                <w:sz w:val="20"/>
                <w:szCs w:val="20"/>
              </w:rPr>
            </w:pPr>
            <w:r w:rsidRPr="00AD0632">
              <w:rPr>
                <w:rFonts w:ascii="Palatino Linotype" w:eastAsia="Palatino Linotype" w:hAnsi="Palatino Linotype" w:cs="Palatino Linotype"/>
                <w:b/>
                <w:bCs/>
                <w:sz w:val="20"/>
                <w:szCs w:val="20"/>
              </w:rPr>
              <w:t>¿Colma?</w:t>
            </w:r>
          </w:p>
        </w:tc>
      </w:tr>
      <w:tr w:rsidR="005275CA" w:rsidRPr="00AD0632" w14:paraId="53464337" w14:textId="77777777">
        <w:tc>
          <w:tcPr>
            <w:tcW w:w="4103" w:type="dxa"/>
          </w:tcPr>
          <w:p w14:paraId="4941F659"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Documento donde se aprobó el programa;</w:t>
            </w:r>
          </w:p>
        </w:tc>
        <w:tc>
          <w:tcPr>
            <w:tcW w:w="3825" w:type="dxa"/>
          </w:tcPr>
          <w:p w14:paraId="029497B1"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b/>
                <w:bCs/>
                <w:sz w:val="20"/>
                <w:szCs w:val="20"/>
              </w:rPr>
            </w:pPr>
            <w:r w:rsidRPr="00AD0632">
              <w:rPr>
                <w:rFonts w:ascii="Palatino Linotype" w:eastAsia="Palatino Linotype" w:hAnsi="Palatino Linotype" w:cs="Palatino Linotype"/>
                <w:sz w:val="20"/>
                <w:szCs w:val="20"/>
              </w:rPr>
              <w:t>Acuerdo de cabildo certificado mediante el cual se desarrolla la propuesta, discusión y, en su caso, aprobación del presupuesto, reglas de operación y convocatoria para el programa “Ángeles protegiendo tu vida”, así como la convocatoria para acceder al programa.</w:t>
            </w:r>
          </w:p>
          <w:p w14:paraId="198C0F3C" w14:textId="77777777" w:rsidR="00294DB4" w:rsidRPr="00AD0632" w:rsidRDefault="00294DB4">
            <w:pPr>
              <w:spacing w:after="240" w:line="360" w:lineRule="auto"/>
              <w:jc w:val="both"/>
              <w:rPr>
                <w:rFonts w:ascii="Palatino Linotype" w:eastAsia="Palatino Linotype" w:hAnsi="Palatino Linotype" w:cs="Palatino Linotype"/>
                <w:sz w:val="20"/>
                <w:szCs w:val="20"/>
              </w:rPr>
            </w:pPr>
          </w:p>
        </w:tc>
        <w:tc>
          <w:tcPr>
            <w:tcW w:w="1270" w:type="dxa"/>
          </w:tcPr>
          <w:p w14:paraId="2D31318A"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Si colma</w:t>
            </w:r>
          </w:p>
        </w:tc>
      </w:tr>
      <w:tr w:rsidR="005275CA" w:rsidRPr="00AD0632" w14:paraId="39A87A88" w14:textId="77777777">
        <w:tc>
          <w:tcPr>
            <w:tcW w:w="4103" w:type="dxa"/>
          </w:tcPr>
          <w:p w14:paraId="498D64C7"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Presupuesto destinado;</w:t>
            </w:r>
          </w:p>
        </w:tc>
        <w:tc>
          <w:tcPr>
            <w:tcW w:w="3825" w:type="dxa"/>
          </w:tcPr>
          <w:p w14:paraId="5060114A"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2,000,000.00 (Dos millones de pesos 00/100 M.N)</w:t>
            </w:r>
          </w:p>
        </w:tc>
        <w:tc>
          <w:tcPr>
            <w:tcW w:w="1270" w:type="dxa"/>
          </w:tcPr>
          <w:p w14:paraId="10842C69"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Si colma</w:t>
            </w:r>
          </w:p>
        </w:tc>
      </w:tr>
      <w:tr w:rsidR="005275CA" w:rsidRPr="00AD0632" w14:paraId="48888EF0" w14:textId="77777777">
        <w:tc>
          <w:tcPr>
            <w:tcW w:w="4103" w:type="dxa"/>
          </w:tcPr>
          <w:p w14:paraId="0F718AB3"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Comprobación de los cascos entregados;</w:t>
            </w:r>
          </w:p>
        </w:tc>
        <w:tc>
          <w:tcPr>
            <w:tcW w:w="3825" w:type="dxa"/>
          </w:tcPr>
          <w:p w14:paraId="11E2BFF5"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En informe justificado refiere que anexa un listado de las personas beneficiadas en formato Excel.</w:t>
            </w:r>
          </w:p>
        </w:tc>
        <w:tc>
          <w:tcPr>
            <w:tcW w:w="1270" w:type="dxa"/>
          </w:tcPr>
          <w:p w14:paraId="42EAE60E"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 xml:space="preserve">No colma. No se adjuntó el documento. </w:t>
            </w:r>
          </w:p>
        </w:tc>
      </w:tr>
      <w:tr w:rsidR="005275CA" w:rsidRPr="00AD0632" w14:paraId="67423D43" w14:textId="77777777">
        <w:tc>
          <w:tcPr>
            <w:tcW w:w="4103" w:type="dxa"/>
          </w:tcPr>
          <w:p w14:paraId="39E05D96"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Procedimiento de adquisición (compra de cascos);</w:t>
            </w:r>
          </w:p>
        </w:tc>
        <w:tc>
          <w:tcPr>
            <w:tcW w:w="3825" w:type="dxa"/>
          </w:tcPr>
          <w:p w14:paraId="6F731982"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No hubo pronunciamiento</w:t>
            </w:r>
          </w:p>
        </w:tc>
        <w:tc>
          <w:tcPr>
            <w:tcW w:w="1270" w:type="dxa"/>
          </w:tcPr>
          <w:p w14:paraId="2DA67E26"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No colma</w:t>
            </w:r>
          </w:p>
        </w:tc>
      </w:tr>
      <w:tr w:rsidR="005275CA" w:rsidRPr="00AD0632" w14:paraId="109064E9" w14:textId="77777777">
        <w:tc>
          <w:tcPr>
            <w:tcW w:w="4103" w:type="dxa"/>
          </w:tcPr>
          <w:p w14:paraId="73351BC9"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Certificación de calidad o de categoría de los cascos</w:t>
            </w:r>
          </w:p>
        </w:tc>
        <w:tc>
          <w:tcPr>
            <w:tcW w:w="3825" w:type="dxa"/>
          </w:tcPr>
          <w:p w14:paraId="5777F62A"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No hubo pronunciamiento</w:t>
            </w:r>
          </w:p>
        </w:tc>
        <w:tc>
          <w:tcPr>
            <w:tcW w:w="1270" w:type="dxa"/>
          </w:tcPr>
          <w:p w14:paraId="302B84BF" w14:textId="77777777" w:rsidR="00294DB4" w:rsidRPr="00AD0632" w:rsidRDefault="002015D9">
            <w:pPr>
              <w:spacing w:after="240" w:line="360" w:lineRule="auto"/>
              <w:jc w:val="both"/>
              <w:rPr>
                <w:rFonts w:ascii="Palatino Linotype" w:eastAsia="Palatino Linotype" w:hAnsi="Palatino Linotype" w:cs="Palatino Linotype"/>
                <w:sz w:val="20"/>
                <w:szCs w:val="20"/>
              </w:rPr>
            </w:pPr>
            <w:r w:rsidRPr="00AD0632">
              <w:rPr>
                <w:rFonts w:ascii="Palatino Linotype" w:eastAsia="Palatino Linotype" w:hAnsi="Palatino Linotype" w:cs="Palatino Linotype"/>
                <w:sz w:val="20"/>
                <w:szCs w:val="20"/>
              </w:rPr>
              <w:t>No colma</w:t>
            </w:r>
          </w:p>
        </w:tc>
      </w:tr>
    </w:tbl>
    <w:p w14:paraId="0E7C0A1A" w14:textId="77777777" w:rsidR="00294DB4" w:rsidRPr="00AD0632" w:rsidRDefault="00294DB4">
      <w:pPr>
        <w:pBdr>
          <w:top w:val="nil"/>
          <w:left w:val="nil"/>
          <w:bottom w:val="nil"/>
          <w:right w:val="nil"/>
          <w:between w:val="nil"/>
        </w:pBdr>
        <w:spacing w:after="240" w:line="360" w:lineRule="auto"/>
        <w:ind w:right="-150"/>
        <w:jc w:val="both"/>
        <w:rPr>
          <w:rFonts w:ascii="Palatino Linotype" w:eastAsia="Palatino Linotype" w:hAnsi="Palatino Linotype" w:cs="Palatino Linotype"/>
          <w:sz w:val="22"/>
          <w:szCs w:val="22"/>
        </w:rPr>
      </w:pPr>
    </w:p>
    <w:p w14:paraId="479C378D"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sz w:val="22"/>
          <w:szCs w:val="22"/>
        </w:rPr>
        <w:t>De la información antes referida, se advierte que, con la información proporcionada por el Sujeto Obligado a través del informe justificado se colman dos requerimientos, los cuales versan sobre el documento donde se aprobó el programa y el presupuesto destinado ya que el documento proporcionado corresponde al Acuerdo de cabildo certificado mediante el cual se desarrolla la propuesta, discusión y, en su caso, aprobación del presupuesto, reglas de operación y convocatoria para el programa “Ángeles protegiendo tu vida”, así como la convocatoria para acceder al programa que, además, contiene el presupuesto destinado, el cual es de 2,000,000.00 (Dos millones de pesos 00/100 M.N).</w:t>
      </w:r>
    </w:p>
    <w:p w14:paraId="4F0BE73A" w14:textId="77777777" w:rsidR="00294DB4" w:rsidRPr="00AD0632" w:rsidRDefault="00294DB4">
      <w:pPr>
        <w:spacing w:line="360" w:lineRule="auto"/>
        <w:ind w:right="-7"/>
        <w:jc w:val="both"/>
        <w:rPr>
          <w:rFonts w:ascii="Palatino Linotype" w:eastAsia="Palatino Linotype" w:hAnsi="Palatino Linotype" w:cs="Palatino Linotype"/>
          <w:sz w:val="22"/>
          <w:szCs w:val="22"/>
        </w:rPr>
      </w:pPr>
    </w:p>
    <w:p w14:paraId="16B26F18" w14:textId="77777777" w:rsidR="00294DB4" w:rsidRPr="00AD0632" w:rsidRDefault="002015D9">
      <w:pPr>
        <w:spacing w:line="360" w:lineRule="auto"/>
        <w:ind w:right="-7"/>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Por lo que al haber sido proporcionada esta información por parte del Servidor Público Habilitado Competente, es que no se puede dudar de la veracidad de la información proporcionada.</w:t>
      </w:r>
    </w:p>
    <w:p w14:paraId="565CA916" w14:textId="77777777" w:rsidR="00294DB4" w:rsidRPr="00AD0632" w:rsidRDefault="00294DB4">
      <w:pPr>
        <w:spacing w:line="360" w:lineRule="auto"/>
        <w:ind w:right="-7"/>
        <w:jc w:val="both"/>
        <w:rPr>
          <w:rFonts w:ascii="Palatino Linotype" w:eastAsia="Palatino Linotype" w:hAnsi="Palatino Linotype" w:cs="Palatino Linotype"/>
          <w:sz w:val="22"/>
          <w:szCs w:val="22"/>
        </w:rPr>
      </w:pPr>
    </w:p>
    <w:p w14:paraId="3BCF81C4" w14:textId="77777777" w:rsidR="00294DB4" w:rsidRPr="00AD0632" w:rsidRDefault="002015D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Sirve de apoyo a lo anterior por analogía el criterio orientador 31-10 emitido por el entonces Instituto Federal de Acceso a la Información y Protección de Datos, que a la letra dice:</w:t>
      </w:r>
    </w:p>
    <w:p w14:paraId="22B20EB4" w14:textId="77777777" w:rsidR="00294DB4" w:rsidRPr="00AD0632" w:rsidRDefault="00294DB4">
      <w:pPr>
        <w:pBdr>
          <w:top w:val="nil"/>
          <w:left w:val="nil"/>
          <w:bottom w:val="nil"/>
          <w:right w:val="nil"/>
          <w:between w:val="nil"/>
        </w:pBdr>
        <w:ind w:left="720"/>
        <w:rPr>
          <w:rFonts w:ascii="Palatino Linotype" w:eastAsia="Palatino Linotype" w:hAnsi="Palatino Linotype" w:cs="Palatino Linotype"/>
          <w:sz w:val="22"/>
          <w:szCs w:val="22"/>
        </w:rPr>
      </w:pPr>
    </w:p>
    <w:p w14:paraId="23EAC258" w14:textId="77777777" w:rsidR="00294DB4" w:rsidRPr="00AD0632" w:rsidRDefault="002015D9">
      <w:pPr>
        <w:ind w:left="567" w:right="567"/>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El Instituto Federal de Acceso a la Información y Protección de Datos no cuenta con facultades para pronunciarse respecto de la veracidad de los documentos proporcionados por los sujetos obligados.</w:t>
      </w:r>
      <w:r w:rsidRPr="00AD0632">
        <w:rPr>
          <w:rFonts w:ascii="Palatino Linotype" w:eastAsia="Palatino Linotype" w:hAnsi="Palatino Linotype" w:cs="Palatino Linotype"/>
          <w:i/>
          <w:iCs/>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02E713B" w14:textId="77777777" w:rsidR="00294DB4" w:rsidRPr="00AD0632" w:rsidRDefault="00294DB4">
      <w:pPr>
        <w:spacing w:line="360" w:lineRule="auto"/>
        <w:ind w:right="567"/>
        <w:jc w:val="both"/>
        <w:rPr>
          <w:rFonts w:ascii="Palatino Linotype" w:eastAsia="Palatino Linotype" w:hAnsi="Palatino Linotype" w:cs="Palatino Linotype"/>
          <w:sz w:val="22"/>
          <w:szCs w:val="22"/>
        </w:rPr>
      </w:pPr>
    </w:p>
    <w:p w14:paraId="10BA8DF2"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Este Órgano Garante carece de facultades para dudar de la veracidad sobre la información proporcionada por el Sujeto Obligado, en consecuencia, deben declararse atendidos dichos requerimientos. </w:t>
      </w:r>
    </w:p>
    <w:p w14:paraId="5FE44884" w14:textId="77777777" w:rsidR="00294DB4" w:rsidRPr="00AD0632" w:rsidRDefault="00294DB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3BEE2B9"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bookmarkStart w:id="2" w:name="_heading=h.oizg55bdzrfn" w:colFirst="0" w:colLast="0"/>
      <w:bookmarkEnd w:id="2"/>
      <w:r w:rsidRPr="00AD0632">
        <w:rPr>
          <w:rFonts w:ascii="Palatino Linotype" w:eastAsia="Palatino Linotype" w:hAnsi="Palatino Linotype" w:cs="Palatino Linotype"/>
          <w:sz w:val="22"/>
          <w:szCs w:val="22"/>
        </w:rPr>
        <w:t xml:space="preserve">Respecto a la comprobación de los cascos entregados, es necesario indicar que, mediante el informe justificado, el Sujeto Obligado refirió que se adjuntaba un documento en Excel donde se contenían los nombres de los beneficiarios del programa, con esta manifestación, el Sujeto Obligado asume generar, administrar y poseer la información requerida por el particular respecto a este punto en particular; sin embargo, esta acción no se materializó, ya que el documento referido no se proporcionó. Además, de acuerdo con las reglas de operación del programa, se entregarán de manera gratuita a los ciudadanos del municipio que cuenten con una motocicleta. Enfatizando que </w:t>
      </w:r>
      <w:r w:rsidRPr="00AD0632">
        <w:rPr>
          <w:rFonts w:ascii="Palatino Linotype" w:eastAsia="Palatino Linotype" w:hAnsi="Palatino Linotype" w:cs="Palatino Linotype"/>
          <w:b/>
          <w:bCs/>
          <w:sz w:val="22"/>
          <w:szCs w:val="22"/>
        </w:rPr>
        <w:t>el apoyo se brinda por una única ocasión y estará sujeto a que el beneficiario cumpla con los documentos solicitados, así como con la participación en la sesión de capacitación que realizará la Dirección de Seguridad Pública y la Coordinación de Protección Civil, de la cual se expedita una constancia que deberá presentar como parte de los requisitos, siendo este documento, de manera enunciativa más no limitativa el comprobante de entrega del casco, ya que, por la falta del mismo, será causa de no entrega del apoyo referido, o bien, el documento referido por el Sujeto Obligado en informe justificado.</w:t>
      </w:r>
    </w:p>
    <w:p w14:paraId="5D0CBF67" w14:textId="77777777" w:rsidR="00294DB4" w:rsidRPr="00AD0632" w:rsidRDefault="00294DB4">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4D17B759"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Ahora bien, por lo que corresponde a la certificación de calidad o de categoría de los casos, es información que debe obrar en los archivos del Sujeto Obligado, ya que en la propuesta que se realiza al cabildo para su aprobación, así como también en las reglas de operación, se enfatiza que el apoyo corresponde a cascos certificados; se inserta imagen de referencia:</w:t>
      </w:r>
    </w:p>
    <w:p w14:paraId="21E19E83" w14:textId="77777777" w:rsidR="00294DB4" w:rsidRPr="00AD0632" w:rsidRDefault="00294DB4">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678ABE83"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noProof/>
          <w:sz w:val="22"/>
          <w:szCs w:val="22"/>
        </w:rPr>
        <w:drawing>
          <wp:inline distT="0" distB="0" distL="0" distR="0" wp14:anchorId="757FE925" wp14:editId="47201FDC">
            <wp:extent cx="5153744" cy="1267002"/>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153744" cy="1267002"/>
                    </a:xfrm>
                    <a:prstGeom prst="rect">
                      <a:avLst/>
                    </a:prstGeom>
                    <a:ln/>
                  </pic:spPr>
                </pic:pic>
              </a:graphicData>
            </a:graphic>
          </wp:inline>
        </w:drawing>
      </w:r>
    </w:p>
    <w:p w14:paraId="50BB86E6" w14:textId="77777777" w:rsidR="00294DB4" w:rsidRPr="00AD0632" w:rsidRDefault="00294DB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5330131"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Por lo que, se determina que el Sujeto Obligado debe poseer y administrar la información correspondiente a la certificación con la que cuentan los casos a entregar como parte del programa señalado por el Recurrente, información que de manera enunciativa más no limitativa debe obrar en la documentación que integra el procedimiento de adquisición, como el contrato o las facturas correspondientes.</w:t>
      </w:r>
    </w:p>
    <w:p w14:paraId="50C19442" w14:textId="77777777" w:rsidR="00294DB4" w:rsidRPr="00AD0632" w:rsidRDefault="00294DB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D61918D"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Por último y no menos importante, si bien es cierto, el particular señaló como temporalidad de la información del año 2022, 2023 y 2024, también lo es que, dicho programa fue aprobado a través de la </w:t>
      </w:r>
      <w:r w:rsidRPr="00AD0632">
        <w:rPr>
          <w:rFonts w:ascii="Palatino Linotype" w:eastAsia="Palatino Linotype" w:hAnsi="Palatino Linotype" w:cs="Palatino Linotype"/>
          <w:b/>
          <w:bCs/>
          <w:sz w:val="22"/>
          <w:szCs w:val="22"/>
        </w:rPr>
        <w:t>Quincuagésima Sexta Sesión Extraordinaria de Cabildo de fecha ocho de septiembre de dos mil veintitrés</w:t>
      </w:r>
      <w:r w:rsidRPr="00AD0632">
        <w:rPr>
          <w:rFonts w:ascii="Palatino Linotype" w:eastAsia="Palatino Linotype" w:hAnsi="Palatino Linotype" w:cs="Palatino Linotype"/>
          <w:sz w:val="22"/>
          <w:szCs w:val="22"/>
        </w:rPr>
        <w:t xml:space="preserve">, por lo que, el Sujeto Obligado deberá entregar la información con la que se cuente desde la implementación del mismo hasta el treinta y uno de diciembre de dos mil veinticuatro. </w:t>
      </w:r>
    </w:p>
    <w:p w14:paraId="1319A571" w14:textId="77777777" w:rsidR="00294DB4" w:rsidRPr="00AD0632" w:rsidRDefault="00294DB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9ECA402" w14:textId="77777777" w:rsidR="00294DB4" w:rsidRPr="00AD0632" w:rsidRDefault="002015D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De ser el caso de que la información que se ordena entregar contenga datos personales susceptibles de clasificarse como confidenciales, el Sujeto Obligado estará a lo dispuesto en el Considerando Quinto de la presente resolución.</w:t>
      </w:r>
    </w:p>
    <w:p w14:paraId="665CD743" w14:textId="77777777" w:rsidR="00294DB4" w:rsidRPr="00AD0632" w:rsidRDefault="00294DB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BB0CD2" w14:textId="77777777" w:rsidR="00294DB4" w:rsidRPr="00AD0632" w:rsidRDefault="002015D9">
      <w:pPr>
        <w:pBdr>
          <w:top w:val="nil"/>
          <w:left w:val="nil"/>
          <w:bottom w:val="nil"/>
          <w:right w:val="nil"/>
          <w:between w:val="nil"/>
        </w:pBdr>
        <w:spacing w:line="360" w:lineRule="auto"/>
        <w:jc w:val="both"/>
      </w:pPr>
      <w:r w:rsidRPr="00AD0632">
        <w:rPr>
          <w:rFonts w:ascii="Palatino Linotype" w:eastAsia="Palatino Linotype" w:hAnsi="Palatino Linotype" w:cs="Palatino Linotype"/>
          <w:sz w:val="22"/>
          <w:szCs w:val="22"/>
        </w:rPr>
        <w:t xml:space="preserve">Finalmente, es de señalar que, como ya se mencionó el </w:t>
      </w:r>
      <w:r w:rsidRPr="00AD0632">
        <w:rPr>
          <w:rFonts w:ascii="Palatino Linotype" w:eastAsia="Palatino Linotype" w:hAnsi="Palatino Linotype" w:cs="Palatino Linotype"/>
          <w:b/>
          <w:bCs/>
          <w:sz w:val="22"/>
          <w:szCs w:val="22"/>
        </w:rPr>
        <w:t>Sujeto Obligado</w:t>
      </w:r>
      <w:r w:rsidRPr="00AD0632">
        <w:rPr>
          <w:rFonts w:ascii="Palatino Linotype" w:eastAsia="Palatino Linotype" w:hAnsi="Palatino Linotype" w:cs="Palatino Linotype"/>
          <w:sz w:val="22"/>
          <w:szCs w:val="22"/>
        </w:rPr>
        <w:t xml:space="preserve">, omitió proporcionar  respuestas a las solicitudes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w:t>
      </w:r>
      <w:r w:rsidRPr="00AD0632">
        <w:rPr>
          <w:rFonts w:ascii="Palatino Linotype" w:eastAsia="Palatino Linotype" w:hAnsi="Palatino Linotype" w:cs="Palatino Linotype"/>
          <w:b/>
          <w:bCs/>
          <w:sz w:val="22"/>
          <w:szCs w:val="22"/>
        </w:rPr>
        <w:t xml:space="preserve">ORDENA </w:t>
      </w:r>
      <w:r w:rsidRPr="00AD0632">
        <w:rPr>
          <w:rFonts w:ascii="Palatino Linotype" w:eastAsia="Palatino Linotype" w:hAnsi="Palatino Linotype" w:cs="Palatino Linotype"/>
          <w:sz w:val="22"/>
          <w:szCs w:val="22"/>
        </w:rPr>
        <w:t>dar vista a la Secretaría Técnica del Pleno a efecto de que ejerza las atribuciones previstas en la normatividad aplicable y comunique al Órgano Interno de Control Competente para que éste último, en ejercicio de sus atribuciones resuelva lo conducente y determine en su caso el grado de responsabilidad en el incumplimiento de las obligaciones establecidas en la citada ley.</w:t>
      </w:r>
    </w:p>
    <w:p w14:paraId="2CE781D9" w14:textId="77777777" w:rsidR="00294DB4" w:rsidRPr="00AD0632" w:rsidRDefault="00294DB4">
      <w:pPr>
        <w:spacing w:line="360" w:lineRule="auto"/>
        <w:jc w:val="both"/>
        <w:rPr>
          <w:rFonts w:ascii="Palatino Linotype" w:eastAsia="Palatino Linotype" w:hAnsi="Palatino Linotype" w:cs="Palatino Linotype"/>
          <w:b/>
          <w:bCs/>
          <w:sz w:val="22"/>
          <w:szCs w:val="22"/>
        </w:rPr>
      </w:pPr>
    </w:p>
    <w:p w14:paraId="486D2617"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b/>
          <w:bCs/>
          <w:sz w:val="22"/>
          <w:szCs w:val="22"/>
        </w:rPr>
        <w:t xml:space="preserve">Quinto. Versión Pública. </w:t>
      </w:r>
      <w:r w:rsidRPr="00AD0632">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E5B2C68"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2AC34269"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1FD78B91"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2B11EFDA" w14:textId="77777777" w:rsidR="00294DB4" w:rsidRPr="00AD0632" w:rsidRDefault="002015D9">
      <w:pPr>
        <w:spacing w:line="360" w:lineRule="auto"/>
        <w:ind w:right="50"/>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6A2B3E2F" w14:textId="77777777" w:rsidR="00294DB4" w:rsidRPr="00AD0632" w:rsidRDefault="00294DB4">
      <w:pPr>
        <w:spacing w:line="360" w:lineRule="auto"/>
        <w:ind w:right="50"/>
        <w:jc w:val="both"/>
        <w:rPr>
          <w:rFonts w:ascii="Palatino Linotype" w:eastAsia="Palatino Linotype" w:hAnsi="Palatino Linotype" w:cs="Palatino Linotype"/>
          <w:sz w:val="22"/>
          <w:szCs w:val="22"/>
        </w:rPr>
      </w:pPr>
    </w:p>
    <w:p w14:paraId="17FD6F90"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r w:rsidRPr="00AD0632">
        <w:rPr>
          <w:rFonts w:ascii="Palatino Linotype" w:eastAsia="Palatino Linotype" w:hAnsi="Palatino Linotype" w:cs="Palatino Linotype"/>
          <w:b/>
          <w:bCs/>
          <w:i/>
          <w:iCs/>
          <w:sz w:val="22"/>
          <w:szCs w:val="22"/>
        </w:rPr>
        <w:t>Artículo 3.</w:t>
      </w:r>
      <w:r w:rsidRPr="00AD0632">
        <w:rPr>
          <w:rFonts w:ascii="Palatino Linotype" w:eastAsia="Palatino Linotype" w:hAnsi="Palatino Linotype" w:cs="Palatino Linotype"/>
          <w:i/>
          <w:iCs/>
          <w:sz w:val="22"/>
          <w:szCs w:val="22"/>
        </w:rPr>
        <w:t xml:space="preserve"> Para los efectos de la presente Ley se entenderá por:</w:t>
      </w:r>
    </w:p>
    <w:p w14:paraId="70AD9CA9"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4F5FE5D2"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2D008ED2"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XX. Información clasificada: Aquella considerada por la presente Ley como reservada o confidencial;</w:t>
      </w:r>
    </w:p>
    <w:p w14:paraId="0973C67D"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99265BA"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405572E0"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2924E134"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Artículo 91.</w:t>
      </w:r>
      <w:r w:rsidRPr="00AD0632">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06E05BF7"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Artículo 132.</w:t>
      </w:r>
      <w:r w:rsidRPr="00AD0632">
        <w:rPr>
          <w:rFonts w:ascii="Palatino Linotype" w:eastAsia="Palatino Linotype" w:hAnsi="Palatino Linotype" w:cs="Palatino Linotype"/>
          <w:i/>
          <w:iCs/>
          <w:sz w:val="22"/>
          <w:szCs w:val="22"/>
        </w:rPr>
        <w:t xml:space="preserve"> La clasificación de la información se llevará a cabo en el momento en que:</w:t>
      </w:r>
    </w:p>
    <w:p w14:paraId="6834BE90" w14:textId="77777777" w:rsidR="00294DB4" w:rsidRPr="00AD0632" w:rsidRDefault="002015D9">
      <w:pPr>
        <w:tabs>
          <w:tab w:val="left" w:pos="1134"/>
        </w:tabs>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I. Se reciba una solicitud de acceso a la información;</w:t>
      </w:r>
    </w:p>
    <w:p w14:paraId="4A7F7E1E" w14:textId="77777777" w:rsidR="00294DB4" w:rsidRPr="00AD0632" w:rsidRDefault="002015D9">
      <w:pPr>
        <w:tabs>
          <w:tab w:val="left" w:pos="1134"/>
        </w:tabs>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II. Se determine mediante resolución de autoridad competente; o</w:t>
      </w:r>
    </w:p>
    <w:p w14:paraId="18161CA4" w14:textId="77777777" w:rsidR="00294DB4" w:rsidRPr="00AD0632" w:rsidRDefault="002015D9">
      <w:pPr>
        <w:tabs>
          <w:tab w:val="left" w:pos="1134"/>
        </w:tabs>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23558DF5"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2433A355"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Artículo 143</w:t>
      </w:r>
      <w:r w:rsidRPr="00AD0632">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6C0DB79D"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6549E3AA"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EAFE4AC"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1CE47440"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034C85F5"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29BBBF27" w14:textId="77777777" w:rsidR="00294DB4" w:rsidRPr="00AD0632" w:rsidRDefault="00294DB4">
      <w:pPr>
        <w:ind w:left="567" w:right="616"/>
        <w:jc w:val="both"/>
        <w:rPr>
          <w:rFonts w:ascii="Palatino Linotype" w:eastAsia="Palatino Linotype" w:hAnsi="Palatino Linotype" w:cs="Palatino Linotype"/>
          <w:i/>
          <w:iCs/>
          <w:sz w:val="22"/>
          <w:szCs w:val="22"/>
        </w:rPr>
      </w:pPr>
    </w:p>
    <w:p w14:paraId="22A10906"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6E3EB19"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40BECF3C"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Entre los datos personales que se encuentran en las documentales solicitadas se destaca el nombre de los beneficiarios del programa.</w:t>
      </w:r>
    </w:p>
    <w:p w14:paraId="732110A1"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5687D68A" w14:textId="77777777" w:rsidR="00294DB4" w:rsidRPr="00AD0632" w:rsidRDefault="002015D9">
      <w:pPr>
        <w:spacing w:line="360" w:lineRule="auto"/>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sz w:val="22"/>
          <w:szCs w:val="22"/>
        </w:rPr>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AD0632">
        <w:rPr>
          <w:rFonts w:ascii="Palatino Linotype" w:eastAsia="Palatino Linotype" w:hAnsi="Palatino Linotype" w:cs="Palatino Linotype"/>
          <w:i/>
          <w:iCs/>
          <w:sz w:val="22"/>
          <w:szCs w:val="22"/>
        </w:rPr>
        <w:t>per se</w:t>
      </w:r>
      <w:r w:rsidRPr="00AD0632">
        <w:rPr>
          <w:rFonts w:ascii="Palatino Linotype" w:eastAsia="Palatino Linotype" w:hAnsi="Palatino Linotype" w:cs="Palatino Linotype"/>
          <w:sz w:val="22"/>
          <w:szCs w:val="22"/>
        </w:rPr>
        <w:t xml:space="preserve"> es un elemento que hace a una persona física identificada o identificable, por lo que, </w:t>
      </w:r>
      <w:r w:rsidRPr="00AD0632">
        <w:rPr>
          <w:rFonts w:ascii="Palatino Linotype" w:eastAsia="Palatino Linotype" w:hAnsi="Palatino Linotype" w:cs="Palatino Linotype"/>
          <w:b/>
          <w:bCs/>
          <w:sz w:val="22"/>
          <w:szCs w:val="22"/>
        </w:rPr>
        <w:t>se considera un dato personal.</w:t>
      </w:r>
    </w:p>
    <w:p w14:paraId="343E5542" w14:textId="77777777" w:rsidR="00294DB4" w:rsidRPr="00AD0632" w:rsidRDefault="00294DB4">
      <w:pPr>
        <w:spacing w:line="360" w:lineRule="auto"/>
        <w:jc w:val="both"/>
        <w:rPr>
          <w:rFonts w:ascii="Palatino Linotype" w:eastAsia="Palatino Linotype" w:hAnsi="Palatino Linotype" w:cs="Palatino Linotype"/>
          <w:b/>
          <w:bCs/>
          <w:sz w:val="22"/>
          <w:szCs w:val="22"/>
        </w:rPr>
      </w:pPr>
    </w:p>
    <w:p w14:paraId="565998BF" w14:textId="77777777" w:rsidR="00294DB4" w:rsidRPr="00AD0632" w:rsidRDefault="002015D9">
      <w:pPr>
        <w:spacing w:line="360" w:lineRule="auto"/>
        <w:ind w:right="-9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sz w:val="22"/>
          <w:szCs w:val="22"/>
        </w:rPr>
        <w:t>De conformidad con lo señalado, se colige que las actividades que realicen los particulares, dentro del ámbito privado, o dentro de la esfera particular, es información que debe protegerse; sin embargo, en el presente asunto en particular, los nombres de particulares corresponden a beneficiarios por ser propietarios de vehículos automotores.</w:t>
      </w:r>
    </w:p>
    <w:p w14:paraId="4645B413" w14:textId="77777777" w:rsidR="00294DB4" w:rsidRPr="00AD0632" w:rsidRDefault="00294DB4">
      <w:pPr>
        <w:spacing w:line="360" w:lineRule="auto"/>
        <w:ind w:right="-93"/>
        <w:jc w:val="both"/>
        <w:rPr>
          <w:rFonts w:ascii="Palatino Linotype" w:eastAsia="Palatino Linotype" w:hAnsi="Palatino Linotype" w:cs="Palatino Linotype"/>
          <w:sz w:val="22"/>
          <w:szCs w:val="22"/>
        </w:rPr>
      </w:pPr>
    </w:p>
    <w:p w14:paraId="7B1A0AD3" w14:textId="77777777" w:rsidR="00294DB4" w:rsidRPr="00AD0632" w:rsidRDefault="002015D9">
      <w:pPr>
        <w:spacing w:line="360" w:lineRule="auto"/>
        <w:ind w:right="-93"/>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 xml:space="preserve">La normatividad en la materia establece que es pública toda aquella información relativa al uso y destino de los recursos públicos, por lo que, bajo esa óptica, el nombre de beneficiarios del programa referido es información pública, y no actualiza causal de clasificación como información confidencial, de acuerdo al artículo 23 penúltimo párrafo, 24 fracción XVIII; 92, fracción XXXI y XLII, </w:t>
      </w:r>
    </w:p>
    <w:p w14:paraId="311E3D42" w14:textId="77777777" w:rsidR="00294DB4" w:rsidRPr="00AD0632" w:rsidRDefault="00294DB4">
      <w:pPr>
        <w:spacing w:line="360" w:lineRule="auto"/>
        <w:ind w:right="-93"/>
        <w:jc w:val="both"/>
        <w:rPr>
          <w:rFonts w:ascii="Palatino Linotype" w:eastAsia="Palatino Linotype" w:hAnsi="Palatino Linotype" w:cs="Palatino Linotype"/>
          <w:sz w:val="22"/>
          <w:szCs w:val="22"/>
        </w:rPr>
      </w:pPr>
    </w:p>
    <w:p w14:paraId="7020E983" w14:textId="77777777" w:rsidR="00294DB4" w:rsidRPr="00AD0632" w:rsidRDefault="002015D9">
      <w:pP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Artículo 23. Son sujetos obligados a transparentar y permitir el acceso a su información y proteger los datos personales que obren en su poder:</w:t>
      </w:r>
    </w:p>
    <w:p w14:paraId="39AB2CF1" w14:textId="77777777" w:rsidR="00294DB4" w:rsidRPr="00AD0632" w:rsidRDefault="002015D9">
      <w:pP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76E7F82F" w14:textId="77777777" w:rsidR="00294DB4" w:rsidRPr="00AD0632" w:rsidRDefault="002015D9">
      <w:pP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Los sujetos obligados deberán hacer pública toda aquella información relativa a los montos y las personas a quienes entreguen, por cualquier motivo, recursos públicos</w:t>
      </w:r>
      <w:r w:rsidRPr="00AD0632">
        <w:rPr>
          <w:rFonts w:ascii="Palatino Linotype" w:eastAsia="Palatino Linotype" w:hAnsi="Palatino Linotype" w:cs="Palatino Linotype"/>
          <w:i/>
          <w:iCs/>
          <w:sz w:val="22"/>
          <w:szCs w:val="22"/>
        </w:rPr>
        <w:t>, así como los informes que dichas personas les entreguen sobre el uso y destino de dichos recursos.</w:t>
      </w:r>
    </w:p>
    <w:p w14:paraId="3C290CB9" w14:textId="77777777" w:rsidR="00294DB4" w:rsidRPr="00AD0632" w:rsidRDefault="002015D9">
      <w:pP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0DD9F38C" w14:textId="77777777" w:rsidR="00294DB4" w:rsidRPr="00AD0632" w:rsidRDefault="00294DB4">
      <w:pPr>
        <w:ind w:left="567" w:right="843"/>
        <w:jc w:val="both"/>
        <w:rPr>
          <w:rFonts w:ascii="Palatino Linotype" w:eastAsia="Palatino Linotype" w:hAnsi="Palatino Linotype" w:cs="Palatino Linotype"/>
          <w:i/>
          <w:iCs/>
          <w:sz w:val="22"/>
          <w:szCs w:val="22"/>
        </w:rPr>
      </w:pPr>
    </w:p>
    <w:p w14:paraId="7D60E945" w14:textId="77777777" w:rsidR="00294DB4" w:rsidRPr="00AD0632" w:rsidRDefault="002015D9">
      <w:pP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Artículo 24. Para el cumplimiento de los objetivos de esta Ley, los sujetos obligados deberán cumplir con las siguientes obligaciones, según corresponda, de acuerdo a su naturaleza:</w:t>
      </w:r>
    </w:p>
    <w:p w14:paraId="09E1EABD" w14:textId="77777777" w:rsidR="00294DB4" w:rsidRPr="00AD0632" w:rsidRDefault="002015D9">
      <w:pPr>
        <w:ind w:left="567" w:right="843"/>
        <w:jc w:val="both"/>
        <w:rPr>
          <w:rFonts w:ascii="Palatino Linotype" w:eastAsia="Palatino Linotype" w:hAnsi="Palatino Linotype" w:cs="Palatino Linotype"/>
          <w:i/>
          <w:iCs/>
          <w:sz w:val="20"/>
          <w:szCs w:val="20"/>
        </w:rPr>
      </w:pPr>
      <w:r w:rsidRPr="00AD0632">
        <w:rPr>
          <w:rFonts w:ascii="Palatino Linotype" w:eastAsia="Palatino Linotype" w:hAnsi="Palatino Linotype" w:cs="Palatino Linotype"/>
          <w:b/>
          <w:bCs/>
          <w:i/>
          <w:iCs/>
          <w:sz w:val="22"/>
          <w:szCs w:val="22"/>
        </w:rPr>
        <w:t>XVIII. Hacer pública toda aquella información relativa a los montos y las personas a quienes entreguen</w:t>
      </w:r>
      <w:r w:rsidRPr="00AD0632">
        <w:rPr>
          <w:rFonts w:ascii="Palatino Linotype" w:eastAsia="Palatino Linotype" w:hAnsi="Palatino Linotype" w:cs="Palatino Linotype"/>
          <w:i/>
          <w:iCs/>
          <w:sz w:val="22"/>
          <w:szCs w:val="22"/>
        </w:rPr>
        <w:t>, por cualquier motivo, recursos públicos, así como los informes que dichas personas les entreguen sobre el uso y destino de dichos recursos;</w:t>
      </w:r>
    </w:p>
    <w:p w14:paraId="3AF71313" w14:textId="77777777" w:rsidR="00294DB4" w:rsidRPr="00AD0632" w:rsidRDefault="00294DB4">
      <w:pPr>
        <w:ind w:left="567" w:right="843"/>
        <w:jc w:val="both"/>
        <w:rPr>
          <w:rFonts w:ascii="Palatino Linotype" w:eastAsia="Palatino Linotype" w:hAnsi="Palatino Linotype" w:cs="Palatino Linotype"/>
          <w:i/>
          <w:iCs/>
          <w:sz w:val="20"/>
          <w:szCs w:val="20"/>
        </w:rPr>
      </w:pPr>
    </w:p>
    <w:p w14:paraId="33A3A582" w14:textId="77777777" w:rsidR="00294DB4" w:rsidRPr="00AD0632" w:rsidRDefault="002015D9">
      <w:pP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Capítulo II </w:t>
      </w:r>
    </w:p>
    <w:p w14:paraId="28112B65" w14:textId="77777777" w:rsidR="00294DB4" w:rsidRPr="00AD0632" w:rsidRDefault="002015D9">
      <w:pP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De las Obligaciones de Transparencia Comunes </w:t>
      </w:r>
    </w:p>
    <w:p w14:paraId="35BA79E3" w14:textId="77777777" w:rsidR="00294DB4" w:rsidRPr="00AD0632" w:rsidRDefault="002015D9">
      <w:pP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E2DC25" w14:textId="77777777" w:rsidR="00294DB4" w:rsidRPr="00AD0632" w:rsidRDefault="002015D9">
      <w:pPr>
        <w:ind w:left="567" w:right="843"/>
        <w:jc w:val="both"/>
        <w:rPr>
          <w:rFonts w:ascii="Palatino Linotype" w:eastAsia="Palatino Linotype" w:hAnsi="Palatino Linotype" w:cs="Palatino Linotype"/>
          <w:b/>
          <w:bCs/>
          <w:i/>
          <w:iCs/>
          <w:sz w:val="20"/>
          <w:szCs w:val="20"/>
        </w:rPr>
      </w:pPr>
      <w:r w:rsidRPr="00AD0632">
        <w:rPr>
          <w:rFonts w:ascii="Palatino Linotype" w:eastAsia="Palatino Linotype" w:hAnsi="Palatino Linotype" w:cs="Palatino Linotype"/>
          <w:b/>
          <w:bCs/>
          <w:i/>
          <w:iCs/>
          <w:sz w:val="22"/>
          <w:szCs w:val="22"/>
        </w:rPr>
        <w:t>…</w:t>
      </w:r>
    </w:p>
    <w:p w14:paraId="132459C0" w14:textId="77777777" w:rsidR="00294DB4" w:rsidRPr="00AD0632" w:rsidRDefault="002015D9">
      <w:pP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XXXI. Los montos, criterios, convocatorias y listado de personas físicas o jurídicas colectivas, a quienes, por cualquier motivo, se les asigne o permita usar recursos públicos</w:t>
      </w:r>
      <w:r w:rsidRPr="00AD0632">
        <w:rPr>
          <w:rFonts w:ascii="Palatino Linotype" w:eastAsia="Palatino Linotype" w:hAnsi="Palatino Linotype" w:cs="Palatino Linotype"/>
          <w:i/>
          <w:iCs/>
          <w:sz w:val="22"/>
          <w:szCs w:val="22"/>
        </w:rPr>
        <w:t xml:space="preserve"> o, en los términos de las disposiciones jurídicas aplicables, realicen actos de autoridad. Asimismo, los informes que dichas personas les entreguen sobre el uso y destino de dichos recursos;</w:t>
      </w:r>
    </w:p>
    <w:p w14:paraId="7493DA36" w14:textId="77777777" w:rsidR="00294DB4" w:rsidRPr="00AD0632" w:rsidRDefault="002015D9">
      <w:pP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6727440C" w14:textId="77777777" w:rsidR="00294DB4" w:rsidRPr="00AD0632" w:rsidRDefault="002015D9">
      <w:pPr>
        <w:ind w:left="567" w:right="843"/>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XLII. Los programas que ofrecen, incluyendo información sobre la población, objetivo y destino, tiempos de respuesta, requisitos y formatos para acceder a los mismos;</w:t>
      </w:r>
    </w:p>
    <w:p w14:paraId="686A7911" w14:textId="77777777" w:rsidR="00294DB4" w:rsidRPr="00AD0632" w:rsidRDefault="002015D9">
      <w:pPr>
        <w:ind w:left="567" w:right="843"/>
        <w:jc w:val="both"/>
        <w:rPr>
          <w:rFonts w:ascii="Palatino Linotype" w:eastAsia="Palatino Linotype" w:hAnsi="Palatino Linotype" w:cs="Palatino Linotype"/>
          <w:i/>
          <w:iCs/>
          <w:sz w:val="20"/>
          <w:szCs w:val="20"/>
        </w:rPr>
      </w:pPr>
      <w:r w:rsidRPr="00AD0632">
        <w:rPr>
          <w:rFonts w:ascii="Palatino Linotype" w:eastAsia="Palatino Linotype" w:hAnsi="Palatino Linotype" w:cs="Palatino Linotype"/>
          <w:i/>
          <w:iCs/>
          <w:sz w:val="22"/>
          <w:szCs w:val="22"/>
        </w:rPr>
        <w:t>…</w:t>
      </w:r>
    </w:p>
    <w:p w14:paraId="57B372EA" w14:textId="77777777" w:rsidR="00294DB4" w:rsidRPr="00AD0632" w:rsidRDefault="00294DB4">
      <w:pPr>
        <w:spacing w:line="360" w:lineRule="auto"/>
        <w:ind w:right="-93"/>
        <w:jc w:val="both"/>
        <w:rPr>
          <w:rFonts w:ascii="Palatino Linotype" w:eastAsia="Palatino Linotype" w:hAnsi="Palatino Linotype" w:cs="Palatino Linotype"/>
          <w:sz w:val="22"/>
          <w:szCs w:val="22"/>
        </w:rPr>
      </w:pPr>
    </w:p>
    <w:p w14:paraId="1A4C70DF"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Es así que, el nombre de los beneficiarios de los programas que ofrece el Ayuntamiento es de naturaleza pública.</w:t>
      </w:r>
    </w:p>
    <w:p w14:paraId="0192EA24"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7C2D135B"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684C97AC"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5D639266"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 “</w:t>
      </w:r>
      <w:r w:rsidRPr="00AD0632">
        <w:rPr>
          <w:rFonts w:ascii="Palatino Linotype" w:eastAsia="Palatino Linotype" w:hAnsi="Palatino Linotype" w:cs="Palatino Linotype"/>
          <w:b/>
          <w:bCs/>
          <w:i/>
          <w:iCs/>
          <w:sz w:val="22"/>
          <w:szCs w:val="22"/>
        </w:rPr>
        <w:t>Quincuagésimo</w:t>
      </w:r>
      <w:r w:rsidRPr="00AD0632">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FF448FE"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Quincuagésimo primero.</w:t>
      </w:r>
      <w:r w:rsidRPr="00AD0632">
        <w:rPr>
          <w:rFonts w:ascii="Palatino Linotype" w:eastAsia="Palatino Linotype" w:hAnsi="Palatino Linotype" w:cs="Palatino Linotype"/>
          <w:i/>
          <w:iCs/>
          <w:sz w:val="22"/>
          <w:szCs w:val="22"/>
        </w:rPr>
        <w:t xml:space="preserve"> Toda acta del Comité de Transparencia deberá contener: </w:t>
      </w:r>
    </w:p>
    <w:p w14:paraId="69A10E5D"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 El número de sesión y fecha; </w:t>
      </w:r>
    </w:p>
    <w:p w14:paraId="62B0FAAC"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II. El nombre del área que solicitó la clasificación de información; </w:t>
      </w:r>
    </w:p>
    <w:p w14:paraId="3A8D801C"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III. La fundamentación legal y motivación correspondiente; </w:t>
      </w:r>
    </w:p>
    <w:p w14:paraId="61789407"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IV. La resolución o resoluciones aprobadas; y </w:t>
      </w:r>
    </w:p>
    <w:p w14:paraId="69D3B2EC"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V. La rúbrica o firma digital de cada integrante del Comité de Transparencia. </w:t>
      </w:r>
    </w:p>
    <w:p w14:paraId="7983F487"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5648D55B"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I. Los motivos y razonamientos que sustenten la confirmación o modificación de la prueba de daño;</w:t>
      </w:r>
    </w:p>
    <w:p w14:paraId="432DD6B4"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II. Descripción de las partes o secciones reservadas, en caso de clasificación parcial; </w:t>
      </w:r>
    </w:p>
    <w:p w14:paraId="50929EA4"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III. El periodo por el que mantendrá su clasificación y fecha de expiración; y </w:t>
      </w:r>
    </w:p>
    <w:p w14:paraId="23DCDEF5"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6B622DA0"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307D3E0D"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FC233FE"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Quincuagésimo segundo.</w:t>
      </w:r>
      <w:r w:rsidRPr="00AD0632">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85164BF"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1592EC8C"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408985AF"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76DA67B5"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III. Señalar las personas o instancias autorizadas a acceder a la información clasificada.</w:t>
      </w:r>
    </w:p>
    <w:p w14:paraId="33C9827E"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549FD970"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13658A56" w14:textId="77777777" w:rsidR="00294DB4" w:rsidRPr="00AD0632" w:rsidRDefault="002015D9">
      <w:pPr>
        <w:spacing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vigentes a la fecha de la solicitud de información establecen lo siguiente:</w:t>
      </w:r>
    </w:p>
    <w:p w14:paraId="3978C741" w14:textId="77777777" w:rsidR="00294DB4" w:rsidRPr="00AD0632" w:rsidRDefault="00294DB4">
      <w:pPr>
        <w:spacing w:line="360" w:lineRule="auto"/>
        <w:jc w:val="both"/>
        <w:rPr>
          <w:rFonts w:ascii="Palatino Linotype" w:eastAsia="Palatino Linotype" w:hAnsi="Palatino Linotype" w:cs="Palatino Linotype"/>
          <w:sz w:val="22"/>
          <w:szCs w:val="22"/>
        </w:rPr>
      </w:pPr>
    </w:p>
    <w:p w14:paraId="6980E36D" w14:textId="77777777" w:rsidR="00294DB4" w:rsidRPr="00AD0632" w:rsidRDefault="002015D9">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r w:rsidRPr="00AD0632">
        <w:rPr>
          <w:rFonts w:ascii="Palatino Linotype" w:eastAsia="Palatino Linotype" w:hAnsi="Palatino Linotype" w:cs="Palatino Linotype"/>
          <w:b/>
          <w:bCs/>
          <w:i/>
          <w:iCs/>
          <w:sz w:val="22"/>
          <w:szCs w:val="22"/>
        </w:rPr>
        <w:t>Quincuagésimo cuarto.</w:t>
      </w:r>
      <w:r w:rsidRPr="00AD0632">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10A1AC22"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Quincuagésimo quinto.</w:t>
      </w:r>
      <w:r w:rsidRPr="00AD0632">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5555E88"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w:t>
      </w:r>
    </w:p>
    <w:p w14:paraId="57185A80"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b/>
          <w:bCs/>
          <w:i/>
          <w:iCs/>
          <w:sz w:val="22"/>
          <w:szCs w:val="22"/>
        </w:rPr>
        <w:t>Quincuagésimo séptimo.</w:t>
      </w:r>
      <w:r w:rsidRPr="00AD0632">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5C54CB32"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3C04302E"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07B92796"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53054EB"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0A36BAC1" w14:textId="77777777" w:rsidR="00294DB4" w:rsidRPr="00AD0632" w:rsidRDefault="002015D9">
      <w:pPr>
        <w:ind w:left="567" w:right="616"/>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70A7297E" w14:textId="77777777" w:rsidR="00294DB4" w:rsidRPr="00AD0632" w:rsidRDefault="00294DB4">
      <w:pPr>
        <w:spacing w:line="360" w:lineRule="auto"/>
        <w:ind w:left="567" w:right="616"/>
        <w:jc w:val="both"/>
        <w:rPr>
          <w:rFonts w:ascii="Palatino Linotype" w:eastAsia="Palatino Linotype" w:hAnsi="Palatino Linotype" w:cs="Palatino Linotype"/>
          <w:i/>
          <w:iCs/>
          <w:sz w:val="22"/>
          <w:szCs w:val="22"/>
        </w:rPr>
      </w:pPr>
    </w:p>
    <w:p w14:paraId="57EFCD7E" w14:textId="77777777" w:rsidR="00294DB4" w:rsidRPr="00AD0632" w:rsidRDefault="002015D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25AB4B65" w14:textId="77777777" w:rsidR="00294DB4" w:rsidRPr="00AD0632" w:rsidRDefault="002015D9">
      <w:pPr>
        <w:spacing w:before="240" w:after="240" w:line="360" w:lineRule="auto"/>
        <w:jc w:val="both"/>
        <w:rPr>
          <w:rFonts w:ascii="Palatino Linotype" w:eastAsia="Palatino Linotype" w:hAnsi="Palatino Linotype" w:cs="Palatino Linotype"/>
          <w:sz w:val="22"/>
          <w:szCs w:val="22"/>
        </w:rPr>
      </w:pPr>
      <w:r w:rsidRPr="00AD0632">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37781565" w14:textId="77777777" w:rsidR="00294DB4" w:rsidRPr="00AD0632" w:rsidRDefault="002015D9">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R E S U E L V E:</w:t>
      </w:r>
    </w:p>
    <w:p w14:paraId="14D983E8" w14:textId="77777777" w:rsidR="00294DB4" w:rsidRPr="00AD0632" w:rsidRDefault="002015D9">
      <w:pPr>
        <w:pBdr>
          <w:top w:val="nil"/>
          <w:left w:val="nil"/>
          <w:bottom w:val="nil"/>
          <w:right w:val="nil"/>
          <w:between w:val="nil"/>
        </w:pBdr>
        <w:spacing w:line="360" w:lineRule="auto"/>
        <w:jc w:val="both"/>
        <w:rPr>
          <w:sz w:val="22"/>
          <w:szCs w:val="22"/>
        </w:rPr>
      </w:pPr>
      <w:bookmarkStart w:id="3" w:name="_heading=h.8bg43gohqof1" w:colFirst="0" w:colLast="0"/>
      <w:bookmarkEnd w:id="3"/>
      <w:r w:rsidRPr="00AD0632">
        <w:rPr>
          <w:rFonts w:ascii="Palatino Linotype" w:eastAsia="Palatino Linotype" w:hAnsi="Palatino Linotype" w:cs="Palatino Linotype"/>
          <w:b/>
          <w:bCs/>
          <w:sz w:val="22"/>
          <w:szCs w:val="22"/>
        </w:rPr>
        <w:t xml:space="preserve">Primero. </w:t>
      </w:r>
      <w:r w:rsidRPr="00AD0632">
        <w:rPr>
          <w:rFonts w:ascii="Palatino Linotype" w:eastAsia="Palatino Linotype" w:hAnsi="Palatino Linotype" w:cs="Palatino Linotype"/>
          <w:sz w:val="22"/>
          <w:szCs w:val="22"/>
        </w:rPr>
        <w:t xml:space="preserve">Resultan </w:t>
      </w:r>
      <w:r w:rsidRPr="00AD0632">
        <w:rPr>
          <w:rFonts w:ascii="Palatino Linotype" w:eastAsia="Palatino Linotype" w:hAnsi="Palatino Linotype" w:cs="Palatino Linotype"/>
          <w:b/>
          <w:bCs/>
          <w:sz w:val="22"/>
          <w:szCs w:val="22"/>
        </w:rPr>
        <w:t>fundadas</w:t>
      </w:r>
      <w:r w:rsidRPr="00AD0632">
        <w:rPr>
          <w:rFonts w:ascii="Palatino Linotype" w:eastAsia="Palatino Linotype" w:hAnsi="Palatino Linotype" w:cs="Palatino Linotype"/>
          <w:sz w:val="22"/>
          <w:szCs w:val="22"/>
        </w:rPr>
        <w:t xml:space="preserve"> las</w:t>
      </w:r>
      <w:r w:rsidRPr="00AD0632">
        <w:rPr>
          <w:rFonts w:ascii="Palatino Linotype" w:eastAsia="Palatino Linotype" w:hAnsi="Palatino Linotype" w:cs="Palatino Linotype"/>
          <w:b/>
          <w:bCs/>
          <w:sz w:val="22"/>
          <w:szCs w:val="22"/>
        </w:rPr>
        <w:t xml:space="preserve"> </w:t>
      </w:r>
      <w:r w:rsidRPr="00AD0632">
        <w:rPr>
          <w:rFonts w:ascii="Palatino Linotype" w:eastAsia="Palatino Linotype" w:hAnsi="Palatino Linotype" w:cs="Palatino Linotype"/>
          <w:sz w:val="22"/>
          <w:szCs w:val="22"/>
        </w:rPr>
        <w:t xml:space="preserve">razones o motivos de inconformidad hechos valer por la parte </w:t>
      </w:r>
      <w:r w:rsidRPr="00AD0632">
        <w:rPr>
          <w:rFonts w:ascii="Palatino Linotype" w:eastAsia="Palatino Linotype" w:hAnsi="Palatino Linotype" w:cs="Palatino Linotype"/>
          <w:b/>
          <w:bCs/>
          <w:sz w:val="22"/>
          <w:szCs w:val="22"/>
        </w:rPr>
        <w:t>Recurrente</w:t>
      </w:r>
      <w:r w:rsidRPr="00AD0632">
        <w:rPr>
          <w:rFonts w:ascii="Palatino Linotype" w:eastAsia="Palatino Linotype" w:hAnsi="Palatino Linotype" w:cs="Palatino Linotype"/>
          <w:sz w:val="22"/>
          <w:szCs w:val="22"/>
        </w:rPr>
        <w:t xml:space="preserve"> en los Recursos de Revisión </w:t>
      </w:r>
      <w:r w:rsidRPr="00AD0632">
        <w:rPr>
          <w:rFonts w:ascii="Palatino Linotype" w:eastAsia="Palatino Linotype" w:hAnsi="Palatino Linotype" w:cs="Palatino Linotype"/>
          <w:b/>
          <w:bCs/>
          <w:sz w:val="22"/>
          <w:szCs w:val="22"/>
        </w:rPr>
        <w:t xml:space="preserve">09469/INFOEM/IP/RR/2025 y 09470/INFOEM/IP/RR/2025, </w:t>
      </w:r>
      <w:r w:rsidRPr="00AD0632">
        <w:rPr>
          <w:rFonts w:ascii="Palatino Linotype" w:eastAsia="Palatino Linotype" w:hAnsi="Palatino Linotype" w:cs="Palatino Linotype"/>
          <w:sz w:val="22"/>
          <w:szCs w:val="22"/>
        </w:rPr>
        <w:t xml:space="preserve">en términos del Considerando </w:t>
      </w:r>
      <w:r w:rsidRPr="00AD0632">
        <w:rPr>
          <w:rFonts w:ascii="Palatino Linotype" w:eastAsia="Palatino Linotype" w:hAnsi="Palatino Linotype" w:cs="Palatino Linotype"/>
          <w:b/>
          <w:bCs/>
          <w:sz w:val="22"/>
          <w:szCs w:val="22"/>
        </w:rPr>
        <w:t>Cuarto</w:t>
      </w:r>
      <w:r w:rsidRPr="00AD0632">
        <w:rPr>
          <w:rFonts w:ascii="Palatino Linotype" w:eastAsia="Palatino Linotype" w:hAnsi="Palatino Linotype" w:cs="Palatino Linotype"/>
          <w:sz w:val="22"/>
          <w:szCs w:val="22"/>
        </w:rPr>
        <w:t xml:space="preserve"> de la presente resolución.</w:t>
      </w:r>
      <w:r w:rsidRPr="00AD0632">
        <w:rPr>
          <w:rFonts w:ascii="Palatino Linotype" w:eastAsia="Palatino Linotype" w:hAnsi="Palatino Linotype" w:cs="Palatino Linotype"/>
          <w:b/>
          <w:bCs/>
          <w:sz w:val="22"/>
          <w:szCs w:val="22"/>
        </w:rPr>
        <w:t> </w:t>
      </w:r>
    </w:p>
    <w:p w14:paraId="77A6284E" w14:textId="77777777" w:rsidR="00294DB4" w:rsidRPr="00AD0632" w:rsidRDefault="00294DB4">
      <w:pPr>
        <w:spacing w:line="360" w:lineRule="auto"/>
        <w:rPr>
          <w:sz w:val="22"/>
          <w:szCs w:val="22"/>
        </w:rPr>
      </w:pPr>
    </w:p>
    <w:p w14:paraId="3C652E0D" w14:textId="77777777" w:rsidR="00294DB4" w:rsidRPr="00AD0632" w:rsidRDefault="002015D9">
      <w:pPr>
        <w:pBdr>
          <w:top w:val="nil"/>
          <w:left w:val="nil"/>
          <w:bottom w:val="nil"/>
          <w:right w:val="nil"/>
          <w:between w:val="nil"/>
        </w:pBdr>
        <w:spacing w:line="360" w:lineRule="auto"/>
        <w:jc w:val="both"/>
        <w:rPr>
          <w:sz w:val="22"/>
          <w:szCs w:val="22"/>
        </w:rPr>
      </w:pPr>
      <w:r w:rsidRPr="00AD0632">
        <w:rPr>
          <w:rFonts w:ascii="Palatino Linotype" w:eastAsia="Palatino Linotype" w:hAnsi="Palatino Linotype" w:cs="Palatino Linotype"/>
          <w:b/>
          <w:bCs/>
          <w:sz w:val="22"/>
          <w:szCs w:val="22"/>
        </w:rPr>
        <w:t xml:space="preserve">Segundo. </w:t>
      </w:r>
      <w:r w:rsidRPr="00AD0632">
        <w:rPr>
          <w:rFonts w:ascii="Palatino Linotype" w:eastAsia="Palatino Linotype" w:hAnsi="Palatino Linotype" w:cs="Palatino Linotype"/>
          <w:sz w:val="22"/>
          <w:szCs w:val="22"/>
        </w:rPr>
        <w:t xml:space="preserve">Se </w:t>
      </w:r>
      <w:r w:rsidRPr="00AD0632">
        <w:rPr>
          <w:rFonts w:ascii="Palatino Linotype" w:eastAsia="Palatino Linotype" w:hAnsi="Palatino Linotype" w:cs="Palatino Linotype"/>
          <w:b/>
          <w:bCs/>
          <w:sz w:val="22"/>
          <w:szCs w:val="22"/>
        </w:rPr>
        <w:t>Ordena</w:t>
      </w:r>
      <w:r w:rsidRPr="00AD0632">
        <w:rPr>
          <w:rFonts w:ascii="Palatino Linotype" w:eastAsia="Palatino Linotype" w:hAnsi="Palatino Linotype" w:cs="Palatino Linotype"/>
          <w:sz w:val="22"/>
          <w:szCs w:val="22"/>
        </w:rPr>
        <w:t xml:space="preserve"> al </w:t>
      </w:r>
      <w:r w:rsidRPr="00AD0632">
        <w:rPr>
          <w:rFonts w:ascii="Palatino Linotype" w:eastAsia="Palatino Linotype" w:hAnsi="Palatino Linotype" w:cs="Palatino Linotype"/>
          <w:b/>
          <w:bCs/>
          <w:sz w:val="22"/>
          <w:szCs w:val="22"/>
        </w:rPr>
        <w:t>Sujeto Obligado</w:t>
      </w:r>
      <w:r w:rsidRPr="00AD0632">
        <w:rPr>
          <w:rFonts w:ascii="Palatino Linotype" w:eastAsia="Palatino Linotype" w:hAnsi="Palatino Linotype" w:cs="Palatino Linotype"/>
          <w:sz w:val="22"/>
          <w:szCs w:val="22"/>
        </w:rPr>
        <w:t xml:space="preserve"> que, en términos de los Considerandos </w:t>
      </w:r>
      <w:r w:rsidRPr="00AD0632">
        <w:rPr>
          <w:rFonts w:ascii="Palatino Linotype" w:eastAsia="Palatino Linotype" w:hAnsi="Palatino Linotype" w:cs="Palatino Linotype"/>
          <w:b/>
          <w:bCs/>
          <w:sz w:val="22"/>
          <w:szCs w:val="22"/>
        </w:rPr>
        <w:t xml:space="preserve">Cuarto </w:t>
      </w:r>
      <w:r w:rsidRPr="00AD0632">
        <w:rPr>
          <w:rFonts w:ascii="Palatino Linotype" w:eastAsia="Palatino Linotype" w:hAnsi="Palatino Linotype" w:cs="Palatino Linotype"/>
          <w:sz w:val="22"/>
          <w:szCs w:val="22"/>
        </w:rPr>
        <w:t xml:space="preserve">y </w:t>
      </w:r>
      <w:r w:rsidRPr="00AD0632">
        <w:rPr>
          <w:rFonts w:ascii="Palatino Linotype" w:eastAsia="Palatino Linotype" w:hAnsi="Palatino Linotype" w:cs="Palatino Linotype"/>
          <w:b/>
          <w:bCs/>
          <w:sz w:val="22"/>
          <w:szCs w:val="22"/>
        </w:rPr>
        <w:t>Quinto</w:t>
      </w:r>
      <w:r w:rsidRPr="00AD0632">
        <w:rPr>
          <w:rFonts w:ascii="Palatino Linotype" w:eastAsia="Palatino Linotype" w:hAnsi="Palatino Linotype" w:cs="Palatino Linotype"/>
          <w:sz w:val="22"/>
          <w:szCs w:val="22"/>
        </w:rPr>
        <w:t>, haga entrega vía Sistema de Acceso a la Información Mexiquense (SAIMEX), de ser procedente en versión pública, los documentos donde conste</w:t>
      </w:r>
      <w:r w:rsidRPr="00AD0632">
        <w:rPr>
          <w:rFonts w:ascii="Palatino Linotype" w:eastAsia="Palatino Linotype" w:hAnsi="Palatino Linotype" w:cs="Palatino Linotype"/>
          <w:b/>
          <w:bCs/>
          <w:sz w:val="22"/>
          <w:szCs w:val="22"/>
        </w:rPr>
        <w:t xml:space="preserve"> </w:t>
      </w:r>
      <w:r w:rsidRPr="00AD0632">
        <w:rPr>
          <w:rFonts w:ascii="Palatino Linotype" w:eastAsia="Palatino Linotype" w:hAnsi="Palatino Linotype" w:cs="Palatino Linotype"/>
          <w:sz w:val="22"/>
          <w:szCs w:val="22"/>
        </w:rPr>
        <w:t>lo siguiente:</w:t>
      </w:r>
    </w:p>
    <w:p w14:paraId="10A469FD" w14:textId="77777777" w:rsidR="00294DB4" w:rsidRPr="00AD0632" w:rsidRDefault="002015D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 xml:space="preserve">Del programa denominado “Ángeles protegiendo tu vida” del ocho de septiembre de dos mil veintitrés al treinta y uno de diciembre de dos mil veinticuatro: </w:t>
      </w:r>
    </w:p>
    <w:p w14:paraId="0E82CA68" w14:textId="77777777" w:rsidR="00294DB4" w:rsidRPr="00AD0632" w:rsidRDefault="002015D9">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Documento de que compruebe la entrega de los cascos a los beneficiarios;</w:t>
      </w:r>
    </w:p>
    <w:p w14:paraId="4A9BB3CC" w14:textId="77777777" w:rsidR="00294DB4" w:rsidRPr="00AD0632" w:rsidRDefault="002015D9">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Procedimiento de adquisición de los cascos; y,</w:t>
      </w:r>
    </w:p>
    <w:p w14:paraId="524D85E8" w14:textId="77777777" w:rsidR="00294DB4" w:rsidRPr="00AD0632" w:rsidRDefault="002015D9">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b/>
          <w:bCs/>
          <w:sz w:val="22"/>
          <w:szCs w:val="22"/>
        </w:rPr>
      </w:pPr>
      <w:r w:rsidRPr="00AD0632">
        <w:rPr>
          <w:rFonts w:ascii="Palatino Linotype" w:eastAsia="Palatino Linotype" w:hAnsi="Palatino Linotype" w:cs="Palatino Linotype"/>
          <w:b/>
          <w:bCs/>
          <w:sz w:val="22"/>
          <w:szCs w:val="22"/>
        </w:rPr>
        <w:t xml:space="preserve">Certificación de Calidad de los Cascos. </w:t>
      </w:r>
    </w:p>
    <w:p w14:paraId="0316E53C" w14:textId="77777777" w:rsidR="00294DB4" w:rsidRPr="00AD0632" w:rsidRDefault="00294DB4">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2064DB02" w14:textId="77777777" w:rsidR="00294DB4" w:rsidRPr="00AD0632" w:rsidRDefault="002015D9">
      <w:pPr>
        <w:pBdr>
          <w:top w:val="nil"/>
          <w:left w:val="nil"/>
          <w:bottom w:val="nil"/>
          <w:right w:val="nil"/>
          <w:between w:val="nil"/>
        </w:pBdr>
        <w:ind w:left="357"/>
        <w:jc w:val="both"/>
        <w:rPr>
          <w:rFonts w:ascii="Palatino Linotype" w:eastAsia="Palatino Linotype" w:hAnsi="Palatino Linotype" w:cs="Palatino Linotype"/>
          <w:i/>
          <w:iCs/>
          <w:sz w:val="22"/>
          <w:szCs w:val="22"/>
        </w:rPr>
      </w:pPr>
      <w:r w:rsidRPr="00AD0632">
        <w:rPr>
          <w:rFonts w:ascii="Palatino Linotype" w:eastAsia="Palatino Linotype" w:hAnsi="Palatino Linotype" w:cs="Palatino Linotype"/>
          <w:i/>
          <w:iCs/>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AD0632">
        <w:rPr>
          <w:rFonts w:ascii="Palatino Linotype" w:eastAsia="Palatino Linotype" w:hAnsi="Palatino Linotype" w:cs="Palatino Linotype"/>
          <w:b/>
          <w:bCs/>
          <w:i/>
          <w:iCs/>
          <w:sz w:val="22"/>
          <w:szCs w:val="22"/>
        </w:rPr>
        <w:t>la parte Recurrente</w:t>
      </w:r>
      <w:r w:rsidRPr="00AD0632">
        <w:rPr>
          <w:rFonts w:ascii="Palatino Linotype" w:eastAsia="Palatino Linotype" w:hAnsi="Palatino Linotype" w:cs="Palatino Linotype"/>
          <w:i/>
          <w:iCs/>
          <w:sz w:val="22"/>
          <w:szCs w:val="22"/>
        </w:rPr>
        <w:t>.</w:t>
      </w:r>
    </w:p>
    <w:p w14:paraId="583295A6" w14:textId="77777777" w:rsidR="00294DB4" w:rsidRPr="00AD0632" w:rsidRDefault="00294DB4">
      <w:pPr>
        <w:pBdr>
          <w:top w:val="nil"/>
          <w:left w:val="nil"/>
          <w:bottom w:val="nil"/>
          <w:right w:val="nil"/>
          <w:between w:val="nil"/>
        </w:pBdr>
        <w:ind w:left="357"/>
        <w:jc w:val="both"/>
      </w:pPr>
    </w:p>
    <w:p w14:paraId="27A3DB72" w14:textId="77777777" w:rsidR="00294DB4" w:rsidRPr="00AD0632" w:rsidRDefault="002015D9">
      <w:pPr>
        <w:pBdr>
          <w:top w:val="nil"/>
          <w:left w:val="nil"/>
          <w:bottom w:val="nil"/>
          <w:right w:val="nil"/>
          <w:between w:val="nil"/>
        </w:pBdr>
        <w:spacing w:line="360" w:lineRule="auto"/>
        <w:ind w:right="49"/>
        <w:jc w:val="both"/>
      </w:pPr>
      <w:r w:rsidRPr="00AD0632">
        <w:rPr>
          <w:rFonts w:ascii="Palatino Linotype" w:eastAsia="Palatino Linotype" w:hAnsi="Palatino Linotype" w:cs="Palatino Linotype"/>
          <w:b/>
          <w:bCs/>
          <w:sz w:val="22"/>
          <w:szCs w:val="22"/>
        </w:rPr>
        <w:t>Tercero.</w:t>
      </w:r>
      <w:r w:rsidRPr="00AD0632">
        <w:rPr>
          <w:rFonts w:ascii="Palatino Linotype" w:eastAsia="Palatino Linotype" w:hAnsi="Palatino Linotype" w:cs="Palatino Linotype"/>
          <w:sz w:val="22"/>
          <w:szCs w:val="22"/>
        </w:rPr>
        <w:t xml:space="preserve"> </w:t>
      </w:r>
      <w:r w:rsidRPr="00AD0632">
        <w:rPr>
          <w:rFonts w:ascii="Palatino Linotype" w:eastAsia="Palatino Linotype" w:hAnsi="Palatino Linotype" w:cs="Palatino Linotype"/>
          <w:b/>
          <w:bCs/>
          <w:sz w:val="22"/>
          <w:szCs w:val="22"/>
        </w:rPr>
        <w:t xml:space="preserve">Notifíquese vía SAIMEX </w:t>
      </w:r>
      <w:r w:rsidRPr="00AD0632">
        <w:rPr>
          <w:rFonts w:ascii="Palatino Linotype" w:eastAsia="Palatino Linotype" w:hAnsi="Palatino Linotype" w:cs="Palatino Linotype"/>
          <w:sz w:val="22"/>
          <w:szCs w:val="22"/>
        </w:rPr>
        <w:t>la presente resolución al T</w:t>
      </w:r>
      <w:r w:rsidRPr="00AD0632">
        <w:rPr>
          <w:rFonts w:ascii="Palatino Linotype" w:eastAsia="Palatino Linotype" w:hAnsi="Palatino Linotype" w:cs="Palatino Linotype"/>
          <w:b/>
          <w:bCs/>
          <w:sz w:val="22"/>
          <w:szCs w:val="22"/>
        </w:rPr>
        <w:t xml:space="preserve">itular de la Unidad de Transparencia </w:t>
      </w:r>
      <w:r w:rsidRPr="00AD0632">
        <w:rPr>
          <w:rFonts w:ascii="Palatino Linotype" w:eastAsia="Palatino Linotype" w:hAnsi="Palatino Linotype" w:cs="Palatino Linotype"/>
          <w:sz w:val="22"/>
          <w:szCs w:val="22"/>
        </w:rPr>
        <w:t xml:space="preserve">del </w:t>
      </w:r>
      <w:r w:rsidRPr="00AD0632">
        <w:rPr>
          <w:rFonts w:ascii="Palatino Linotype" w:eastAsia="Palatino Linotype" w:hAnsi="Palatino Linotype" w:cs="Palatino Linotype"/>
          <w:b/>
          <w:bCs/>
          <w:sz w:val="22"/>
          <w:szCs w:val="22"/>
        </w:rPr>
        <w:t>Sujeto Obligado</w:t>
      </w:r>
      <w:r w:rsidRPr="00AD0632">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4266B98" w14:textId="77777777" w:rsidR="00294DB4" w:rsidRPr="00AD0632" w:rsidRDefault="00294DB4">
      <w:pPr>
        <w:spacing w:line="360" w:lineRule="auto"/>
      </w:pPr>
    </w:p>
    <w:p w14:paraId="60FA957C" w14:textId="77777777" w:rsidR="00294DB4" w:rsidRPr="00AD0632" w:rsidRDefault="002015D9">
      <w:pPr>
        <w:pBdr>
          <w:top w:val="nil"/>
          <w:left w:val="nil"/>
          <w:bottom w:val="nil"/>
          <w:right w:val="nil"/>
          <w:between w:val="nil"/>
        </w:pBdr>
        <w:spacing w:line="360" w:lineRule="auto"/>
        <w:ind w:right="49"/>
        <w:jc w:val="both"/>
      </w:pPr>
      <w:r w:rsidRPr="00AD0632">
        <w:rPr>
          <w:rFonts w:ascii="Palatino Linotype" w:eastAsia="Palatino Linotype" w:hAnsi="Palatino Linotype" w:cs="Palatino Linotype"/>
          <w:b/>
          <w:bCs/>
          <w:sz w:val="22"/>
          <w:szCs w:val="22"/>
        </w:rPr>
        <w:t>Cuarto.</w:t>
      </w:r>
      <w:r w:rsidRPr="00AD0632">
        <w:rPr>
          <w:rFonts w:ascii="Palatino Linotype" w:eastAsia="Palatino Linotype" w:hAnsi="Palatino Linotype" w:cs="Palatino Linotype"/>
          <w:sz w:val="22"/>
          <w:szCs w:val="22"/>
        </w:rPr>
        <w:t xml:space="preserve"> </w:t>
      </w:r>
      <w:r w:rsidRPr="00AD0632">
        <w:rPr>
          <w:rFonts w:ascii="Palatino Linotype" w:eastAsia="Palatino Linotype" w:hAnsi="Palatino Linotype" w:cs="Palatino Linotype"/>
          <w:b/>
          <w:bCs/>
          <w:sz w:val="22"/>
          <w:szCs w:val="22"/>
        </w:rPr>
        <w:t>Notifíquese vía SAIMEX</w:t>
      </w:r>
      <w:r w:rsidRPr="00AD0632">
        <w:rPr>
          <w:rFonts w:ascii="Palatino Linotype" w:eastAsia="Palatino Linotype" w:hAnsi="Palatino Linotype" w:cs="Palatino Linotype"/>
          <w:sz w:val="22"/>
          <w:szCs w:val="22"/>
        </w:rPr>
        <w:t xml:space="preserve"> a la parte </w:t>
      </w:r>
      <w:r w:rsidRPr="00AD0632">
        <w:rPr>
          <w:rFonts w:ascii="Palatino Linotype" w:eastAsia="Palatino Linotype" w:hAnsi="Palatino Linotype" w:cs="Palatino Linotype"/>
          <w:b/>
          <w:bCs/>
          <w:sz w:val="22"/>
          <w:szCs w:val="22"/>
        </w:rPr>
        <w:t xml:space="preserve">Recurrente </w:t>
      </w:r>
      <w:r w:rsidRPr="00AD0632">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845AC23" w14:textId="77777777" w:rsidR="00294DB4" w:rsidRPr="00AD0632" w:rsidRDefault="00294DB4">
      <w:pPr>
        <w:spacing w:line="360" w:lineRule="auto"/>
      </w:pPr>
    </w:p>
    <w:p w14:paraId="73E97861" w14:textId="77777777" w:rsidR="00294DB4" w:rsidRPr="00AD0632" w:rsidRDefault="002015D9">
      <w:pPr>
        <w:pBdr>
          <w:top w:val="nil"/>
          <w:left w:val="nil"/>
          <w:bottom w:val="nil"/>
          <w:right w:val="nil"/>
          <w:between w:val="nil"/>
        </w:pBdr>
        <w:spacing w:line="360" w:lineRule="auto"/>
        <w:jc w:val="both"/>
      </w:pPr>
      <w:r w:rsidRPr="00AD0632">
        <w:rPr>
          <w:rFonts w:ascii="Palatino Linotype" w:eastAsia="Palatino Linotype" w:hAnsi="Palatino Linotype" w:cs="Palatino Linotype"/>
          <w:b/>
          <w:bCs/>
          <w:sz w:val="22"/>
          <w:szCs w:val="22"/>
        </w:rPr>
        <w:t>Quinto. Notifíquese vía SAIMEX</w:t>
      </w:r>
      <w:r w:rsidRPr="00AD0632">
        <w:rPr>
          <w:rFonts w:ascii="Palatino Linotype" w:eastAsia="Palatino Linotype" w:hAnsi="Palatino Linotype" w:cs="Palatino Linotype"/>
          <w:sz w:val="22"/>
          <w:szCs w:val="22"/>
        </w:rPr>
        <w:t xml:space="preserve"> a la parte </w:t>
      </w:r>
      <w:r w:rsidRPr="00AD0632">
        <w:rPr>
          <w:rFonts w:ascii="Palatino Linotype" w:eastAsia="Palatino Linotype" w:hAnsi="Palatino Linotype" w:cs="Palatino Linotype"/>
          <w:b/>
          <w:bCs/>
          <w:sz w:val="22"/>
          <w:szCs w:val="22"/>
        </w:rPr>
        <w:t xml:space="preserve">Recurrente </w:t>
      </w:r>
      <w:r w:rsidRPr="00AD0632">
        <w:rPr>
          <w:rFonts w:ascii="Palatino Linotype" w:eastAsia="Palatino Linotype" w:hAnsi="Palatino Linotype" w:cs="Palatino Linotype"/>
          <w:sz w:val="22"/>
          <w:szCs w:val="22"/>
        </w:rPr>
        <w:t xml:space="preserve">que la respuesta que dé el </w:t>
      </w:r>
      <w:r w:rsidRPr="00AD0632">
        <w:rPr>
          <w:rFonts w:ascii="Palatino Linotype" w:eastAsia="Palatino Linotype" w:hAnsi="Palatino Linotype" w:cs="Palatino Linotype"/>
          <w:b/>
          <w:bCs/>
          <w:sz w:val="22"/>
          <w:szCs w:val="22"/>
        </w:rPr>
        <w:t>Sujeto Obligado</w:t>
      </w:r>
      <w:r w:rsidRPr="00AD0632">
        <w:rPr>
          <w:rFonts w:ascii="Palatino Linotype" w:eastAsia="Palatino Linotype" w:hAnsi="Palatino Linotype" w:cs="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5EBC0DE2" w14:textId="77777777" w:rsidR="00294DB4" w:rsidRPr="00AD0632" w:rsidRDefault="002015D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AD0632">
        <w:br/>
      </w:r>
      <w:r w:rsidRPr="00AD0632">
        <w:rPr>
          <w:rFonts w:ascii="Palatino Linotype" w:eastAsia="Palatino Linotype" w:hAnsi="Palatino Linotype" w:cs="Palatino Linotype"/>
          <w:b/>
          <w:bCs/>
          <w:sz w:val="22"/>
          <w:szCs w:val="22"/>
        </w:rPr>
        <w:t>Sexto. Gírese</w:t>
      </w:r>
      <w:r w:rsidRPr="00AD0632">
        <w:rPr>
          <w:rFonts w:ascii="Palatino Linotype" w:eastAsia="Palatino Linotype" w:hAnsi="Palatino Linotype" w:cs="Palatino Linotype"/>
          <w:sz w:val="22"/>
          <w:szCs w:val="22"/>
        </w:rPr>
        <w:t xml:space="preserve"> oficio a la </w:t>
      </w:r>
      <w:r w:rsidRPr="00AD0632">
        <w:rPr>
          <w:rFonts w:ascii="Palatino Linotype" w:eastAsia="Palatino Linotype" w:hAnsi="Palatino Linotype" w:cs="Palatino Linotype"/>
          <w:b/>
          <w:bCs/>
          <w:sz w:val="22"/>
          <w:szCs w:val="22"/>
        </w:rPr>
        <w:t>Secretaría Técnica del Pleno de este Instituto</w:t>
      </w:r>
      <w:r w:rsidRPr="00AD0632">
        <w:rPr>
          <w:rFonts w:ascii="Palatino Linotype" w:eastAsia="Palatino Linotype" w:hAnsi="Palatino Linotype" w:cs="Palatino Linotype"/>
          <w:sz w:val="22"/>
          <w:szCs w:val="22"/>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AD0632">
        <w:rPr>
          <w:rFonts w:ascii="Palatino Linotype" w:eastAsia="Palatino Linotype" w:hAnsi="Palatino Linotype" w:cs="Palatino Linotype"/>
          <w:b/>
          <w:bCs/>
          <w:sz w:val="22"/>
          <w:szCs w:val="22"/>
        </w:rPr>
        <w:t xml:space="preserve"> Cuarto </w:t>
      </w:r>
      <w:r w:rsidRPr="00AD0632">
        <w:rPr>
          <w:rFonts w:ascii="Palatino Linotype" w:eastAsia="Palatino Linotype" w:hAnsi="Palatino Linotype" w:cs="Palatino Linotype"/>
          <w:sz w:val="22"/>
          <w:szCs w:val="22"/>
        </w:rPr>
        <w:t>de la presente resolución.</w:t>
      </w:r>
    </w:p>
    <w:p w14:paraId="6F6D7FA0" w14:textId="77777777" w:rsidR="00294DB4" w:rsidRPr="00AD0632" w:rsidRDefault="00294DB4">
      <w:pPr>
        <w:pBdr>
          <w:top w:val="nil"/>
          <w:left w:val="nil"/>
          <w:bottom w:val="nil"/>
          <w:right w:val="nil"/>
          <w:between w:val="nil"/>
        </w:pBdr>
        <w:spacing w:line="360" w:lineRule="auto"/>
        <w:ind w:left="993"/>
        <w:jc w:val="both"/>
        <w:rPr>
          <w:rFonts w:ascii="Palatino Linotype" w:eastAsia="Palatino Linotype" w:hAnsi="Palatino Linotype" w:cs="Palatino Linotype"/>
          <w:b/>
          <w:bCs/>
          <w:sz w:val="22"/>
          <w:szCs w:val="22"/>
        </w:rPr>
      </w:pPr>
    </w:p>
    <w:p w14:paraId="56C605E0" w14:textId="77777777" w:rsidR="00294DB4" w:rsidRPr="005275CA" w:rsidRDefault="002015D9">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AD0632">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VEINTICINCO DE NOVIEMBRE DE DOS MIL VEINTICINCO, ANTE EL SECRETARIO TÉCNICO DEL PLENO ALEXIS TAPIA RAMÍREZ.</w:t>
      </w:r>
    </w:p>
    <w:p w14:paraId="05DC39D2"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6CA2DFCA"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3F70328E"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4E505A43"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7BA38CA9"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4C5824CF"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6C88E4F3"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5AC4309E"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3389FE6F"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4FF2A46B"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2A9A6A46"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00EBCB43"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70E175EB"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1475BB80"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03A6D793"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32A8CD1D"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10D1998B"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53FC3253" w14:textId="77777777" w:rsidR="00294DB4" w:rsidRPr="005275CA" w:rsidRDefault="00294DB4">
      <w:pPr>
        <w:spacing w:line="360" w:lineRule="auto"/>
        <w:ind w:right="-93"/>
        <w:jc w:val="both"/>
        <w:rPr>
          <w:rFonts w:ascii="Palatino Linotype" w:eastAsia="Palatino Linotype" w:hAnsi="Palatino Linotype" w:cs="Palatino Linotype"/>
          <w:sz w:val="22"/>
          <w:szCs w:val="22"/>
        </w:rPr>
      </w:pPr>
    </w:p>
    <w:p w14:paraId="0D238946" w14:textId="555F949E" w:rsidR="00294DB4" w:rsidRPr="005275CA" w:rsidRDefault="00294DB4">
      <w:pPr>
        <w:spacing w:line="360" w:lineRule="auto"/>
        <w:ind w:right="49"/>
        <w:jc w:val="both"/>
        <w:rPr>
          <w:rFonts w:ascii="Palatino Linotype" w:eastAsia="Palatino Linotype" w:hAnsi="Palatino Linotype" w:cs="Palatino Linotype"/>
          <w:sz w:val="22"/>
          <w:szCs w:val="22"/>
        </w:rPr>
      </w:pPr>
    </w:p>
    <w:p w14:paraId="4ED563E3" w14:textId="6B65EA48" w:rsidR="005275CA" w:rsidRPr="005275CA" w:rsidRDefault="005275CA">
      <w:pPr>
        <w:spacing w:line="360" w:lineRule="auto"/>
        <w:ind w:right="49"/>
        <w:jc w:val="both"/>
        <w:rPr>
          <w:rFonts w:ascii="Palatino Linotype" w:eastAsia="Palatino Linotype" w:hAnsi="Palatino Linotype" w:cs="Palatino Linotype"/>
          <w:sz w:val="22"/>
          <w:szCs w:val="22"/>
        </w:rPr>
      </w:pPr>
    </w:p>
    <w:p w14:paraId="3FD9BECC" w14:textId="1F796EA7" w:rsidR="005275CA" w:rsidRPr="005275CA" w:rsidRDefault="005275CA">
      <w:pPr>
        <w:spacing w:line="360" w:lineRule="auto"/>
        <w:ind w:right="49"/>
        <w:jc w:val="both"/>
        <w:rPr>
          <w:rFonts w:ascii="Palatino Linotype" w:eastAsia="Palatino Linotype" w:hAnsi="Palatino Linotype" w:cs="Palatino Linotype"/>
          <w:sz w:val="22"/>
          <w:szCs w:val="22"/>
        </w:rPr>
      </w:pPr>
    </w:p>
    <w:p w14:paraId="1096CEA5" w14:textId="0482387B" w:rsidR="005275CA" w:rsidRPr="005275CA" w:rsidRDefault="005275CA">
      <w:pPr>
        <w:spacing w:line="360" w:lineRule="auto"/>
        <w:ind w:right="49"/>
        <w:jc w:val="both"/>
        <w:rPr>
          <w:rFonts w:ascii="Palatino Linotype" w:eastAsia="Palatino Linotype" w:hAnsi="Palatino Linotype" w:cs="Palatino Linotype"/>
          <w:sz w:val="22"/>
          <w:szCs w:val="22"/>
        </w:rPr>
      </w:pPr>
    </w:p>
    <w:p w14:paraId="12BD846D" w14:textId="0B8E16DA" w:rsidR="005275CA" w:rsidRPr="005275CA" w:rsidRDefault="005275CA">
      <w:pPr>
        <w:spacing w:line="360" w:lineRule="auto"/>
        <w:ind w:right="49"/>
        <w:jc w:val="both"/>
        <w:rPr>
          <w:rFonts w:ascii="Palatino Linotype" w:eastAsia="Palatino Linotype" w:hAnsi="Palatino Linotype" w:cs="Palatino Linotype"/>
          <w:sz w:val="22"/>
          <w:szCs w:val="22"/>
        </w:rPr>
      </w:pPr>
    </w:p>
    <w:p w14:paraId="650F6716" w14:textId="77777777" w:rsidR="005275CA" w:rsidRPr="005275CA" w:rsidRDefault="005275CA">
      <w:pPr>
        <w:spacing w:line="360" w:lineRule="auto"/>
        <w:ind w:right="49"/>
        <w:jc w:val="both"/>
        <w:rPr>
          <w:rFonts w:ascii="Palatino Linotype" w:eastAsia="Palatino Linotype" w:hAnsi="Palatino Linotype" w:cs="Palatino Linotype"/>
          <w:sz w:val="22"/>
          <w:szCs w:val="22"/>
        </w:rPr>
      </w:pPr>
    </w:p>
    <w:sectPr w:rsidR="005275CA" w:rsidRPr="005275CA">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CCD57" w14:textId="77777777" w:rsidR="00184ADC" w:rsidRDefault="00184ADC">
      <w:r>
        <w:separator/>
      </w:r>
    </w:p>
  </w:endnote>
  <w:endnote w:type="continuationSeparator" w:id="0">
    <w:p w14:paraId="2F1F6F46" w14:textId="77777777" w:rsidR="00184ADC" w:rsidRDefault="00184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2F03F914-3946-48B8-BBA6-178B340CCB36}"/>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FE949E1-EF01-49DC-A437-036B84EAEAA3}"/>
    <w:embedBold r:id="rId3" w:fontKey="{8E0B649B-51F7-403D-9093-7B066D4671F6}"/>
    <w:embedItalic r:id="rId4" w:fontKey="{4246D006-A762-42EE-943B-46F3094B59AA}"/>
    <w:embedBoldItalic r:id="rId5" w:fontKey="{E58153BC-3AE9-40D3-94FB-FCD2C0EAC44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6E087EB-0238-4C2C-BA26-AB73AFA85EEB}"/>
    <w:embedBold r:id="rId7" w:fontKey="{4CBC587A-C2AD-40AE-9844-A750C0805C84}"/>
  </w:font>
  <w:font w:name="Georgia">
    <w:panose1 w:val="02040502050405020303"/>
    <w:charset w:val="00"/>
    <w:family w:val="roman"/>
    <w:pitch w:val="variable"/>
    <w:sig w:usb0="00000287" w:usb1="00000000" w:usb2="00000000" w:usb3="00000000" w:csb0="0000009F" w:csb1="00000000"/>
    <w:embedItalic r:id="rId8" w:fontKey="{F1E5517B-DFCE-4DA7-8B6E-8AF58787E3F4}"/>
  </w:font>
  <w:font w:name="Calibri Light">
    <w:panose1 w:val="020F0302020204030204"/>
    <w:charset w:val="00"/>
    <w:family w:val="swiss"/>
    <w:pitch w:val="variable"/>
    <w:sig w:usb0="E4002EFF" w:usb1="C200247B" w:usb2="00000009" w:usb3="00000000" w:csb0="000001FF" w:csb1="00000000"/>
    <w:embedRegular r:id="rId9" w:fontKey="{A22DCE79-0A21-4096-B626-33D26238CF6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E31E1" w14:textId="616B3C04" w:rsidR="00294DB4" w:rsidRDefault="002015D9">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632E56">
      <w:rPr>
        <w:b/>
        <w:bCs/>
        <w:noProof/>
        <w:color w:val="000000"/>
      </w:rPr>
      <w:t>53</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632E56">
      <w:rPr>
        <w:b/>
        <w:bCs/>
        <w:noProof/>
        <w:color w:val="000000"/>
      </w:rPr>
      <w:t>53</w:t>
    </w:r>
    <w:r>
      <w:rPr>
        <w:b/>
        <w:bCs/>
        <w:color w:val="000000"/>
      </w:rPr>
      <w:fldChar w:fldCharType="end"/>
    </w:r>
  </w:p>
  <w:p w14:paraId="26DC6EEA" w14:textId="77777777" w:rsidR="00294DB4" w:rsidRDefault="00294DB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12EE2" w14:textId="6F4FD9F2" w:rsidR="00294DB4" w:rsidRDefault="002015D9">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632E56">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632E56">
      <w:rPr>
        <w:b/>
        <w:bCs/>
        <w:noProof/>
        <w:color w:val="000000"/>
      </w:rPr>
      <w:t>4</w:t>
    </w:r>
    <w:r>
      <w:rPr>
        <w:b/>
        <w:bCs/>
        <w:color w:val="000000"/>
      </w:rPr>
      <w:fldChar w:fldCharType="end"/>
    </w:r>
  </w:p>
  <w:p w14:paraId="17C09C79" w14:textId="77777777" w:rsidR="00294DB4" w:rsidRDefault="00294DB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96F8E" w14:textId="77777777" w:rsidR="00184ADC" w:rsidRDefault="00184ADC">
      <w:r>
        <w:separator/>
      </w:r>
    </w:p>
  </w:footnote>
  <w:footnote w:type="continuationSeparator" w:id="0">
    <w:p w14:paraId="00D1DD61" w14:textId="77777777" w:rsidR="00184ADC" w:rsidRDefault="00184ADC">
      <w:r>
        <w:continuationSeparator/>
      </w:r>
    </w:p>
  </w:footnote>
  <w:footnote w:id="1">
    <w:p w14:paraId="552D0A6C" w14:textId="77777777" w:rsidR="00294DB4" w:rsidRDefault="002015D9">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3BF5B171" w14:textId="77777777" w:rsidR="00294DB4" w:rsidRDefault="002015D9">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5BA51E95" w14:textId="77777777" w:rsidR="00294DB4" w:rsidRDefault="002015D9">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68930E7F" w14:textId="77777777" w:rsidR="00294DB4" w:rsidRDefault="002015D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[J.]: P./J. 74/2006, </w:t>
      </w:r>
      <w:r>
        <w:rPr>
          <w:rFonts w:ascii="Palatino Linotype" w:eastAsia="Palatino Linotype" w:hAnsi="Palatino Linotype" w:cs="Palatino Linotype"/>
          <w:i/>
          <w:iCs/>
          <w:color w:val="000000"/>
          <w:sz w:val="16"/>
          <w:szCs w:val="16"/>
        </w:rPr>
        <w:t xml:space="preserve">Semanario Judicial de la Federación y su Gaceta, </w:t>
      </w:r>
      <w:r>
        <w:rPr>
          <w:rFonts w:ascii="Palatino Linotype" w:eastAsia="Palatino Linotype" w:hAnsi="Palatino Linotype" w:cs="Palatino Linotype"/>
          <w:color w:val="000000"/>
          <w:sz w:val="16"/>
          <w:szCs w:val="16"/>
        </w:rPr>
        <w:t>Novena Época, Pleno, Tomo XXIII, Junio 2006, P. 963, Registro digital 174899.</w:t>
      </w:r>
    </w:p>
    <w:p w14:paraId="6CA00C34" w14:textId="77777777" w:rsidR="00294DB4" w:rsidRDefault="00294DB4">
      <w:pPr>
        <w:pBdr>
          <w:top w:val="nil"/>
          <w:left w:val="nil"/>
          <w:bottom w:val="nil"/>
          <w:right w:val="nil"/>
          <w:between w:val="nil"/>
        </w:pBdr>
        <w:jc w:val="both"/>
        <w:rPr>
          <w:rFonts w:ascii="Palatino Linotype" w:eastAsia="Palatino Linotype" w:hAnsi="Palatino Linotype" w:cs="Palatino Linotype"/>
          <w:color w:val="000000"/>
          <w:sz w:val="16"/>
          <w:szCs w:val="16"/>
        </w:rPr>
      </w:pPr>
    </w:p>
  </w:footnote>
  <w:footnote w:id="3">
    <w:p w14:paraId="53012093" w14:textId="77777777" w:rsidR="00294DB4" w:rsidRDefault="002015D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I.3o.C.35 K (10a.), </w:t>
      </w:r>
      <w:r>
        <w:rPr>
          <w:rFonts w:ascii="Palatino Linotype" w:eastAsia="Palatino Linotype" w:hAnsi="Palatino Linotype" w:cs="Palatino Linotype"/>
          <w:i/>
          <w:iCs/>
          <w:color w:val="000000"/>
          <w:sz w:val="16"/>
          <w:szCs w:val="16"/>
        </w:rPr>
        <w:t>Semanario Judicial de la Federación y su Gaceta</w:t>
      </w:r>
      <w:r>
        <w:rPr>
          <w:rFonts w:ascii="Palatino Linotype" w:eastAsia="Palatino Linotype" w:hAnsi="Palatino Linotype" w:cs="Palatino Linotype"/>
          <w:color w:val="000000"/>
          <w:sz w:val="16"/>
          <w:szCs w:val="16"/>
        </w:rPr>
        <w:t>, Décima Época, Tribunales Colegiados de Circuito Libro XXVI, Noviembre 2013, P. 1373, Registro digital 2004949.</w:t>
      </w:r>
    </w:p>
  </w:footnote>
  <w:footnote w:id="4">
    <w:p w14:paraId="6D4B80A4" w14:textId="77777777" w:rsidR="00294DB4" w:rsidRDefault="002015D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[J.]: XX.2o. J/24, </w:t>
      </w:r>
      <w:r>
        <w:rPr>
          <w:rFonts w:ascii="Palatino Linotype" w:eastAsia="Palatino Linotype" w:hAnsi="Palatino Linotype" w:cs="Palatino Linotype"/>
          <w:i/>
          <w:iCs/>
          <w:color w:val="000000"/>
          <w:sz w:val="16"/>
          <w:szCs w:val="16"/>
        </w:rPr>
        <w:t xml:space="preserve">Semanario Judicial de la Federación y su Gaceta, </w:t>
      </w:r>
      <w:r>
        <w:rPr>
          <w:rFonts w:ascii="Palatino Linotype" w:eastAsia="Palatino Linotype" w:hAnsi="Palatino Linotype" w:cs="Palatino Linotype"/>
          <w:color w:val="000000"/>
          <w:sz w:val="16"/>
          <w:szCs w:val="16"/>
        </w:rPr>
        <w:t>Novena Época, Tribunales Colegiados de Circuito, XXIX, Enero de 2009, P. 2470, Registro digital 168124.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5B558" w14:textId="77777777" w:rsidR="00294DB4" w:rsidRDefault="002015D9">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C95373B" wp14:editId="53747799">
          <wp:simplePos x="0" y="0"/>
          <wp:positionH relativeFrom="column">
            <wp:posOffset>0</wp:posOffset>
          </wp:positionH>
          <wp:positionV relativeFrom="paragraph">
            <wp:posOffset>-401952</wp:posOffset>
          </wp:positionV>
          <wp:extent cx="7809876" cy="10165823"/>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
      <w:tblW w:w="5603" w:type="dxa"/>
      <w:tblInd w:w="3611" w:type="dxa"/>
      <w:tblLayout w:type="fixed"/>
      <w:tblLook w:val="0400" w:firstRow="0" w:lastRow="0" w:firstColumn="0" w:lastColumn="0" w:noHBand="0" w:noVBand="1"/>
    </w:tblPr>
    <w:tblGrid>
      <w:gridCol w:w="2551"/>
      <w:gridCol w:w="3052"/>
    </w:tblGrid>
    <w:tr w:rsidR="00294DB4" w14:paraId="5709201D" w14:textId="77777777">
      <w:tc>
        <w:tcPr>
          <w:tcW w:w="2551" w:type="dxa"/>
          <w:vAlign w:val="center"/>
        </w:tcPr>
        <w:p w14:paraId="414AD8F8" w14:textId="77777777" w:rsidR="00294DB4" w:rsidRDefault="002015D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6F72806D" w14:textId="77777777" w:rsidR="00294DB4" w:rsidRDefault="00294DB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16B5C9BD" w14:textId="77777777" w:rsidR="00294DB4" w:rsidRDefault="002015D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09469/INFOEM/IP/RR/2025 y acumulado</w:t>
          </w:r>
        </w:p>
      </w:tc>
    </w:tr>
    <w:tr w:rsidR="00294DB4" w14:paraId="075E8410" w14:textId="77777777">
      <w:trPr>
        <w:trHeight w:val="217"/>
      </w:trPr>
      <w:tc>
        <w:tcPr>
          <w:tcW w:w="2551" w:type="dxa"/>
          <w:vAlign w:val="center"/>
        </w:tcPr>
        <w:p w14:paraId="1421EB2E" w14:textId="77777777" w:rsidR="00294DB4" w:rsidRDefault="002015D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7447F3BD" w14:textId="77777777" w:rsidR="00294DB4" w:rsidRDefault="002015D9">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sz w:val="22"/>
              <w:szCs w:val="22"/>
            </w:rPr>
            <w:t>Ayuntamiento de Tepotzotlán</w:t>
          </w:r>
        </w:p>
      </w:tc>
    </w:tr>
    <w:tr w:rsidR="00294DB4" w14:paraId="50A2B9E9" w14:textId="77777777">
      <w:tc>
        <w:tcPr>
          <w:tcW w:w="2551" w:type="dxa"/>
          <w:vAlign w:val="center"/>
        </w:tcPr>
        <w:p w14:paraId="4FFD0A97" w14:textId="77777777" w:rsidR="00294DB4" w:rsidRDefault="002015D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398C2636" w14:textId="77777777" w:rsidR="00294DB4" w:rsidRDefault="002015D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0DC306C0" w14:textId="77777777" w:rsidR="00294DB4" w:rsidRDefault="00294DB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03F3D" w14:textId="77777777" w:rsidR="00294DB4" w:rsidRDefault="002015D9">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361D0605" wp14:editId="127CB4B4">
          <wp:simplePos x="0" y="0"/>
          <wp:positionH relativeFrom="column">
            <wp:posOffset>-929003</wp:posOffset>
          </wp:positionH>
          <wp:positionV relativeFrom="paragraph">
            <wp:posOffset>-644523</wp:posOffset>
          </wp:positionV>
          <wp:extent cx="7809865" cy="10165715"/>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0"/>
      <w:tblW w:w="5603" w:type="dxa"/>
      <w:tblInd w:w="3611" w:type="dxa"/>
      <w:tblLayout w:type="fixed"/>
      <w:tblLook w:val="0400" w:firstRow="0" w:lastRow="0" w:firstColumn="0" w:lastColumn="0" w:noHBand="0" w:noVBand="1"/>
    </w:tblPr>
    <w:tblGrid>
      <w:gridCol w:w="2551"/>
      <w:gridCol w:w="3052"/>
    </w:tblGrid>
    <w:tr w:rsidR="00294DB4" w14:paraId="6A123650" w14:textId="77777777">
      <w:tc>
        <w:tcPr>
          <w:tcW w:w="2551" w:type="dxa"/>
          <w:vAlign w:val="center"/>
        </w:tcPr>
        <w:p w14:paraId="755700C4" w14:textId="77777777" w:rsidR="00294DB4" w:rsidRDefault="002015D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25C557D7" w14:textId="77777777" w:rsidR="00294DB4" w:rsidRDefault="00294DB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052" w:type="dxa"/>
          <w:vAlign w:val="center"/>
        </w:tcPr>
        <w:p w14:paraId="1EC797AB" w14:textId="77777777" w:rsidR="00294DB4" w:rsidRDefault="002015D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09469/INFOEM/IP/RR/2025 y acumulado</w:t>
          </w:r>
        </w:p>
      </w:tc>
    </w:tr>
    <w:tr w:rsidR="00294DB4" w14:paraId="04BEF17A" w14:textId="77777777">
      <w:tc>
        <w:tcPr>
          <w:tcW w:w="2551" w:type="dxa"/>
          <w:vAlign w:val="center"/>
        </w:tcPr>
        <w:p w14:paraId="57BA87EF" w14:textId="77777777" w:rsidR="00294DB4" w:rsidRDefault="002015D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052" w:type="dxa"/>
          <w:vAlign w:val="center"/>
        </w:tcPr>
        <w:p w14:paraId="29FDB2BE" w14:textId="77777777" w:rsidR="00294DB4" w:rsidRDefault="00294DB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r>
    <w:tr w:rsidR="00294DB4" w14:paraId="2A9DCA0A" w14:textId="77777777">
      <w:trPr>
        <w:trHeight w:val="152"/>
      </w:trPr>
      <w:tc>
        <w:tcPr>
          <w:tcW w:w="2551" w:type="dxa"/>
          <w:vAlign w:val="center"/>
        </w:tcPr>
        <w:p w14:paraId="2C428F9E" w14:textId="77777777" w:rsidR="00294DB4" w:rsidRDefault="002015D9">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108C6004" w14:textId="77777777" w:rsidR="00294DB4" w:rsidRDefault="00294DB4">
          <w:pPr>
            <w:tabs>
              <w:tab w:val="center" w:pos="4419"/>
              <w:tab w:val="right" w:pos="8838"/>
            </w:tabs>
            <w:rPr>
              <w:rFonts w:ascii="Palatino Linotype" w:eastAsia="Palatino Linotype" w:hAnsi="Palatino Linotype" w:cs="Palatino Linotype"/>
              <w:b/>
              <w:bCs/>
              <w:color w:val="000000"/>
              <w:sz w:val="20"/>
              <w:szCs w:val="20"/>
            </w:rPr>
          </w:pPr>
        </w:p>
      </w:tc>
      <w:tc>
        <w:tcPr>
          <w:tcW w:w="3052" w:type="dxa"/>
          <w:vAlign w:val="center"/>
        </w:tcPr>
        <w:p w14:paraId="744C3518" w14:textId="77777777" w:rsidR="00294DB4" w:rsidRDefault="002015D9">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sz w:val="22"/>
              <w:szCs w:val="22"/>
            </w:rPr>
            <w:t>Ayuntamiento de Tepotzotlán</w:t>
          </w:r>
        </w:p>
      </w:tc>
    </w:tr>
    <w:tr w:rsidR="00294DB4" w14:paraId="5E1ADC1D" w14:textId="77777777">
      <w:tc>
        <w:tcPr>
          <w:tcW w:w="2551" w:type="dxa"/>
          <w:vAlign w:val="center"/>
        </w:tcPr>
        <w:p w14:paraId="025C9FE7" w14:textId="77777777" w:rsidR="00294DB4" w:rsidRDefault="002015D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052" w:type="dxa"/>
          <w:vAlign w:val="center"/>
        </w:tcPr>
        <w:p w14:paraId="366F1239" w14:textId="77777777" w:rsidR="00294DB4" w:rsidRDefault="002015D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477B3959" w14:textId="77777777" w:rsidR="00294DB4" w:rsidRDefault="002015D9">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F249E"/>
    <w:multiLevelType w:val="multilevel"/>
    <w:tmpl w:val="12E40E5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D6488A"/>
    <w:multiLevelType w:val="multilevel"/>
    <w:tmpl w:val="379A58B6"/>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163327B"/>
    <w:multiLevelType w:val="multilevel"/>
    <w:tmpl w:val="BC60686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298059DD"/>
    <w:multiLevelType w:val="multilevel"/>
    <w:tmpl w:val="7CB00AE6"/>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41728A"/>
    <w:multiLevelType w:val="multilevel"/>
    <w:tmpl w:val="B686A78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B341CB"/>
    <w:multiLevelType w:val="multilevel"/>
    <w:tmpl w:val="82B00A3C"/>
    <w:lvl w:ilvl="0">
      <w:start w:val="3"/>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DB4"/>
    <w:rsid w:val="00184ADC"/>
    <w:rsid w:val="002015D9"/>
    <w:rsid w:val="00294DB4"/>
    <w:rsid w:val="005275CA"/>
    <w:rsid w:val="00632E56"/>
    <w:rsid w:val="00AD06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C6FEE"/>
  <w15:docId w15:val="{6B9B9355-25C3-410C-AD99-70E043E9F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5"/>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top w:w="15" w:type="dxa"/>
        <w:left w:w="115" w:type="dxa"/>
        <w:bottom w:w="15" w:type="dxa"/>
        <w:right w:w="115" w:type="dxa"/>
      </w:tblCellMar>
    </w:tblPr>
  </w:style>
  <w:style w:type="table" w:customStyle="1" w:styleId="afa">
    <w:basedOn w:val="TableNormal1"/>
    <w:tblPr>
      <w:tblStyleRowBandSize w:val="1"/>
      <w:tblStyleColBandSize w:val="1"/>
      <w:tblCellMar>
        <w:top w:w="15" w:type="dxa"/>
        <w:left w:w="115" w:type="dxa"/>
        <w:bottom w:w="15" w:type="dxa"/>
        <w:right w:w="115" w:type="dxa"/>
      </w:tblCellMar>
    </w:tblPr>
  </w:style>
  <w:style w:type="paragraph" w:customStyle="1" w:styleId="p1">
    <w:name w:val="p1"/>
    <w:basedOn w:val="Normal"/>
    <w:rsid w:val="00A155ED"/>
    <w:rPr>
      <w:rFonts w:ascii="Arial" w:hAnsi="Arial" w:cs="Arial"/>
      <w:color w:val="000000"/>
      <w:sz w:val="17"/>
      <w:szCs w:val="17"/>
      <w:lang w:val="es-ES"/>
    </w:rPr>
  </w:style>
  <w:style w:type="character" w:customStyle="1" w:styleId="s1">
    <w:name w:val="s1"/>
    <w:basedOn w:val="Fuentedeprrafopredeter"/>
    <w:rsid w:val="00A155ED"/>
    <w:rPr>
      <w:rFonts w:ascii="Arial" w:hAnsi="Arial" w:cs="Arial" w:hint="default"/>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15" w:type="dxa"/>
        <w:left w:w="115" w:type="dxa"/>
        <w:bottom w:w="15" w:type="dxa"/>
        <w:right w:w="115" w:type="dxa"/>
      </w:tblCellMar>
    </w:tblPr>
  </w:style>
  <w:style w:type="table" w:customStyle="1" w:styleId="aff0">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cygJb1Iabia3slHm1D1PQD3VyQ==">CgMxLjAyCWguM3pueXNoNzIOaC5vaXpnNTViZHpyZm4yDmguOGJnNDNnb2hxb2YxMg1oLmpsMGRsYXNvdDRmOAByITFqTGJ3aHZvWl8wWmZ0YVNfd1VIcHpjTlhOOTZlQ0FXbw==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13632</Words>
  <Characters>74976</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2025-11-27T18:29:00Z</cp:lastPrinted>
  <dcterms:created xsi:type="dcterms:W3CDTF">2025-12-15T02:55:00Z</dcterms:created>
  <dcterms:modified xsi:type="dcterms:W3CDTF">2025-12-15T02:55:00Z</dcterms:modified>
</cp:coreProperties>
</file>