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5C9F4F67" w:rsidR="00611EC6" w:rsidRPr="00425E92" w:rsidRDefault="00947C3B" w:rsidP="00AE6C6A">
      <w:pPr>
        <w:tabs>
          <w:tab w:val="left" w:pos="3465"/>
        </w:tabs>
        <w:spacing w:line="360" w:lineRule="auto"/>
        <w:jc w:val="both"/>
        <w:rPr>
          <w:rFonts w:ascii="Palatino Linotype" w:hAnsi="Palatino Linotype"/>
          <w:color w:val="000000" w:themeColor="text1"/>
          <w:lang w:val="es-MX"/>
        </w:rPr>
      </w:pPr>
      <w:r w:rsidRPr="00425E9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425E92">
        <w:rPr>
          <w:rFonts w:ascii="Palatino Linotype" w:hAnsi="Palatino Linotype"/>
          <w:b/>
        </w:rPr>
        <w:t xml:space="preserve">de fecha </w:t>
      </w:r>
      <w:r w:rsidR="00CE08AC" w:rsidRPr="00425E92">
        <w:rPr>
          <w:rFonts w:ascii="Palatino Linotype" w:hAnsi="Palatino Linotype"/>
          <w:b/>
          <w:color w:val="000000" w:themeColor="text1"/>
        </w:rPr>
        <w:t>veinti</w:t>
      </w:r>
      <w:r w:rsidR="00AE6C6A" w:rsidRPr="00425E92">
        <w:rPr>
          <w:rFonts w:ascii="Palatino Linotype" w:hAnsi="Palatino Linotype"/>
          <w:b/>
          <w:color w:val="000000" w:themeColor="text1"/>
        </w:rPr>
        <w:t>ocho</w:t>
      </w:r>
      <w:r w:rsidR="002C5E64">
        <w:rPr>
          <w:rFonts w:ascii="Palatino Linotype" w:hAnsi="Palatino Linotype"/>
          <w:b/>
          <w:color w:val="000000" w:themeColor="text1"/>
        </w:rPr>
        <w:t xml:space="preserve"> (28)</w:t>
      </w:r>
      <w:r w:rsidR="00AE6C6A" w:rsidRPr="00425E92">
        <w:rPr>
          <w:rFonts w:ascii="Palatino Linotype" w:hAnsi="Palatino Linotype"/>
          <w:b/>
          <w:color w:val="000000" w:themeColor="text1"/>
        </w:rPr>
        <w:t xml:space="preserve"> </w:t>
      </w:r>
      <w:r w:rsidR="00CE08AC" w:rsidRPr="00425E92">
        <w:rPr>
          <w:rFonts w:ascii="Palatino Linotype" w:hAnsi="Palatino Linotype"/>
          <w:b/>
          <w:color w:val="000000" w:themeColor="text1"/>
        </w:rPr>
        <w:t>de mayo</w:t>
      </w:r>
      <w:r w:rsidR="0041452A" w:rsidRPr="00425E92">
        <w:rPr>
          <w:rFonts w:ascii="Palatino Linotype" w:hAnsi="Palatino Linotype"/>
          <w:b/>
          <w:color w:val="000000" w:themeColor="text1"/>
        </w:rPr>
        <w:t xml:space="preserve"> de dos mil veinticinco</w:t>
      </w:r>
      <w:r w:rsidR="00611EC6" w:rsidRPr="00425E92">
        <w:rPr>
          <w:rFonts w:ascii="Palatino Linotype" w:hAnsi="Palatino Linotype"/>
          <w:color w:val="000000" w:themeColor="text1"/>
        </w:rPr>
        <w:t>.</w:t>
      </w:r>
    </w:p>
    <w:p w14:paraId="70BA5E97" w14:textId="77777777" w:rsidR="00947C3B" w:rsidRPr="00425E92" w:rsidRDefault="00947C3B" w:rsidP="00AE6C6A">
      <w:pPr>
        <w:tabs>
          <w:tab w:val="left" w:pos="3465"/>
        </w:tabs>
        <w:spacing w:line="360" w:lineRule="auto"/>
        <w:jc w:val="both"/>
        <w:rPr>
          <w:rFonts w:ascii="Palatino Linotype" w:hAnsi="Palatino Linotype"/>
        </w:rPr>
      </w:pPr>
    </w:p>
    <w:p w14:paraId="38CBC7E2" w14:textId="6F693090" w:rsidR="00947C3B" w:rsidRPr="00425E92" w:rsidRDefault="00947C3B" w:rsidP="00AE6C6A">
      <w:pPr>
        <w:spacing w:line="360" w:lineRule="auto"/>
        <w:jc w:val="both"/>
        <w:rPr>
          <w:rFonts w:ascii="Palatino Linotype" w:hAnsi="Palatino Linotype"/>
        </w:rPr>
      </w:pPr>
      <w:r w:rsidRPr="00425E92">
        <w:rPr>
          <w:rFonts w:ascii="Palatino Linotype" w:hAnsi="Palatino Linotype"/>
          <w:b/>
        </w:rPr>
        <w:t>VISTO</w:t>
      </w:r>
      <w:r w:rsidRPr="00425E92">
        <w:rPr>
          <w:rFonts w:ascii="Palatino Linotype" w:hAnsi="Palatino Linotype"/>
        </w:rPr>
        <w:t xml:space="preserve"> el expediente elec</w:t>
      </w:r>
      <w:r w:rsidR="0033685C" w:rsidRPr="00425E92">
        <w:rPr>
          <w:rFonts w:ascii="Palatino Linotype" w:hAnsi="Palatino Linotype"/>
        </w:rPr>
        <w:t>trónico formado con motivo del Recurso de R</w:t>
      </w:r>
      <w:r w:rsidRPr="00425E92">
        <w:rPr>
          <w:rFonts w:ascii="Palatino Linotype" w:hAnsi="Palatino Linotype"/>
        </w:rPr>
        <w:t xml:space="preserve">evisión </w:t>
      </w:r>
      <w:r w:rsidR="00C06049" w:rsidRPr="00425E92">
        <w:rPr>
          <w:rFonts w:ascii="Palatino Linotype" w:hAnsi="Palatino Linotype"/>
          <w:b/>
        </w:rPr>
        <w:t>00378/INFOEM/IP/RR/2025</w:t>
      </w:r>
      <w:r w:rsidRPr="00425E92">
        <w:rPr>
          <w:rFonts w:ascii="Palatino Linotype" w:hAnsi="Palatino Linotype"/>
        </w:rPr>
        <w:t>,</w:t>
      </w:r>
      <w:r w:rsidRPr="00425E92">
        <w:rPr>
          <w:rFonts w:ascii="Palatino Linotype" w:hAnsi="Palatino Linotype" w:cs="Arial"/>
          <w:b/>
          <w:bCs/>
        </w:rPr>
        <w:t xml:space="preserve"> </w:t>
      </w:r>
      <w:r w:rsidRPr="00425E92">
        <w:rPr>
          <w:rFonts w:ascii="Palatino Linotype" w:hAnsi="Palatino Linotype"/>
        </w:rPr>
        <w:t xml:space="preserve">promovido por </w:t>
      </w:r>
      <w:r w:rsidR="000D0911">
        <w:rPr>
          <w:rFonts w:ascii="Palatino Linotype" w:hAnsi="Palatino Linotype"/>
          <w:b/>
        </w:rPr>
        <w:t>XXXX</w:t>
      </w:r>
      <w:r w:rsidRPr="00425E92">
        <w:rPr>
          <w:rFonts w:ascii="Palatino Linotype" w:hAnsi="Palatino Linotype"/>
          <w:b/>
        </w:rPr>
        <w:t>,</w:t>
      </w:r>
      <w:r w:rsidRPr="00425E92">
        <w:rPr>
          <w:rFonts w:ascii="Palatino Linotype" w:hAnsi="Palatino Linotype"/>
        </w:rPr>
        <w:t xml:space="preserve"> a quien en lo sucesivo se le identificará como </w:t>
      </w:r>
      <w:r w:rsidR="00C862A5" w:rsidRPr="00425E92">
        <w:rPr>
          <w:rFonts w:ascii="Palatino Linotype" w:hAnsi="Palatino Linotype"/>
          <w:b/>
        </w:rPr>
        <w:t>EL RECURRENTE</w:t>
      </w:r>
      <w:r w:rsidRPr="00425E92">
        <w:rPr>
          <w:rFonts w:ascii="Palatino Linotype" w:hAnsi="Palatino Linotype" w:cs="Arial"/>
        </w:rPr>
        <w:t xml:space="preserve">, en contra de la respuesta del </w:t>
      </w:r>
      <w:r w:rsidR="00253A31" w:rsidRPr="00425E92">
        <w:rPr>
          <w:rFonts w:ascii="Palatino Linotype" w:hAnsi="Palatino Linotype" w:cs="Arial"/>
          <w:b/>
          <w:bCs/>
        </w:rPr>
        <w:t>Colegio de Bachilleres del Estado de México</w:t>
      </w:r>
      <w:r w:rsidRPr="00425E92">
        <w:rPr>
          <w:rFonts w:ascii="Palatino Linotype" w:hAnsi="Palatino Linotype" w:cs="Arial"/>
          <w:b/>
        </w:rPr>
        <w:t>,</w:t>
      </w:r>
      <w:r w:rsidRPr="00425E92">
        <w:rPr>
          <w:rFonts w:ascii="Palatino Linotype" w:hAnsi="Palatino Linotype"/>
          <w:b/>
        </w:rPr>
        <w:t xml:space="preserve"> </w:t>
      </w:r>
      <w:r w:rsidRPr="00425E92">
        <w:rPr>
          <w:rFonts w:ascii="Palatino Linotype" w:hAnsi="Palatino Linotype"/>
        </w:rPr>
        <w:t>en lo sucesivo el</w:t>
      </w:r>
      <w:r w:rsidRPr="00425E92">
        <w:rPr>
          <w:rFonts w:ascii="Palatino Linotype" w:hAnsi="Palatino Linotype"/>
          <w:b/>
        </w:rPr>
        <w:t xml:space="preserve"> SUJETO OBLIGADO</w:t>
      </w:r>
      <w:r w:rsidRPr="00425E92">
        <w:rPr>
          <w:rFonts w:ascii="Palatino Linotype" w:hAnsi="Palatino Linotype"/>
        </w:rPr>
        <w:t xml:space="preserve">, se procede a dictar la presente </w:t>
      </w:r>
      <w:r w:rsidR="009366E5" w:rsidRPr="00425E92">
        <w:rPr>
          <w:rFonts w:ascii="Palatino Linotype" w:hAnsi="Palatino Linotype"/>
        </w:rPr>
        <w:t>R</w:t>
      </w:r>
      <w:r w:rsidRPr="00425E92">
        <w:rPr>
          <w:rFonts w:ascii="Palatino Linotype" w:hAnsi="Palatino Linotype"/>
        </w:rPr>
        <w:t>esolución, con base en los siguientes:</w:t>
      </w:r>
    </w:p>
    <w:p w14:paraId="7CBFFAD8" w14:textId="77777777" w:rsidR="00947C3B" w:rsidRPr="00425E92" w:rsidRDefault="00947C3B" w:rsidP="00AE6C6A">
      <w:pPr>
        <w:spacing w:line="360" w:lineRule="auto"/>
        <w:jc w:val="both"/>
        <w:rPr>
          <w:rFonts w:ascii="Palatino Linotype" w:hAnsi="Palatino Linotype"/>
        </w:rPr>
      </w:pPr>
    </w:p>
    <w:p w14:paraId="6C073730" w14:textId="23F08D01" w:rsidR="00947C3B" w:rsidRPr="00425E92" w:rsidRDefault="00947C3B" w:rsidP="00AE6C6A">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25E92">
        <w:rPr>
          <w:rFonts w:ascii="Palatino Linotype" w:hAnsi="Palatino Linotype"/>
          <w:b/>
          <w:color w:val="000000" w:themeColor="text1"/>
          <w:sz w:val="24"/>
          <w:szCs w:val="24"/>
        </w:rPr>
        <w:t>A</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N</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T</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E</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C</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E</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D</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E</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N</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T</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E</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S</w:t>
      </w:r>
      <w:bookmarkEnd w:id="0"/>
      <w:bookmarkEnd w:id="1"/>
      <w:bookmarkEnd w:id="2"/>
    </w:p>
    <w:p w14:paraId="6BDD1D0D" w14:textId="77777777" w:rsidR="00947C3B" w:rsidRPr="00425E92" w:rsidRDefault="00947C3B" w:rsidP="00AE6C6A">
      <w:pPr>
        <w:pStyle w:val="Prrafodelista"/>
        <w:spacing w:line="360" w:lineRule="auto"/>
        <w:ind w:left="0"/>
        <w:jc w:val="both"/>
        <w:rPr>
          <w:rFonts w:ascii="Palatino Linotype" w:eastAsia="Calibri" w:hAnsi="Palatino Linotype" w:cs="Arial"/>
          <w:lang w:val="es-ES"/>
        </w:rPr>
      </w:pPr>
    </w:p>
    <w:p w14:paraId="1CB07C3A" w14:textId="0D060345" w:rsidR="00947C3B" w:rsidRPr="00425E92" w:rsidRDefault="00947C3B" w:rsidP="00AE6C6A">
      <w:pPr>
        <w:pStyle w:val="Prrafodelista"/>
        <w:numPr>
          <w:ilvl w:val="0"/>
          <w:numId w:val="1"/>
        </w:numPr>
        <w:spacing w:line="360" w:lineRule="auto"/>
        <w:ind w:left="0" w:firstLine="0"/>
        <w:jc w:val="both"/>
        <w:rPr>
          <w:rFonts w:ascii="Palatino Linotype" w:eastAsia="Calibri" w:hAnsi="Palatino Linotype" w:cs="Arial"/>
          <w:lang w:val="es-ES"/>
        </w:rPr>
      </w:pPr>
      <w:r w:rsidRPr="00425E92">
        <w:rPr>
          <w:rFonts w:ascii="Palatino Linotype" w:eastAsia="Calibri" w:hAnsi="Palatino Linotype" w:cs="Arial"/>
          <w:lang w:val="es-ES"/>
        </w:rPr>
        <w:t xml:space="preserve">El día </w:t>
      </w:r>
      <w:r w:rsidR="00791F28" w:rsidRPr="00425E92">
        <w:rPr>
          <w:rFonts w:ascii="Palatino Linotype" w:eastAsia="Calibri" w:hAnsi="Palatino Linotype" w:cs="Arial"/>
          <w:b/>
          <w:lang w:val="es-ES"/>
        </w:rPr>
        <w:t>diecisiete</w:t>
      </w:r>
      <w:r w:rsidR="00DB3F94" w:rsidRPr="00425E92">
        <w:rPr>
          <w:rFonts w:ascii="Palatino Linotype" w:eastAsia="Calibri" w:hAnsi="Palatino Linotype" w:cs="Arial"/>
          <w:b/>
          <w:lang w:val="es-ES"/>
        </w:rPr>
        <w:t xml:space="preserve"> de </w:t>
      </w:r>
      <w:r w:rsidR="00791F28" w:rsidRPr="00425E92">
        <w:rPr>
          <w:rFonts w:ascii="Palatino Linotype" w:eastAsia="Calibri" w:hAnsi="Palatino Linotype" w:cs="Arial"/>
          <w:b/>
          <w:lang w:val="es-ES"/>
        </w:rPr>
        <w:t xml:space="preserve">diciembre </w:t>
      </w:r>
      <w:r w:rsidR="00091C25" w:rsidRPr="00425E92">
        <w:rPr>
          <w:rFonts w:ascii="Palatino Linotype" w:eastAsia="Calibri" w:hAnsi="Palatino Linotype" w:cs="Arial"/>
          <w:b/>
          <w:lang w:val="es-ES"/>
        </w:rPr>
        <w:t xml:space="preserve">de dos mil </w:t>
      </w:r>
      <w:r w:rsidR="0065108D" w:rsidRPr="00425E92">
        <w:rPr>
          <w:rFonts w:ascii="Palatino Linotype" w:eastAsia="Calibri" w:hAnsi="Palatino Linotype" w:cs="Arial"/>
          <w:b/>
          <w:lang w:val="es-ES"/>
        </w:rPr>
        <w:t>veinticinco</w:t>
      </w:r>
      <w:r w:rsidRPr="00425E92">
        <w:rPr>
          <w:rFonts w:ascii="Palatino Linotype" w:hAnsi="Palatino Linotype"/>
          <w:b/>
        </w:rPr>
        <w:t xml:space="preserve">, </w:t>
      </w:r>
      <w:r w:rsidRPr="00425E92">
        <w:rPr>
          <w:rFonts w:ascii="Palatino Linotype" w:eastAsia="Calibri" w:hAnsi="Palatino Linotype" w:cs="Arial"/>
          <w:lang w:val="es-ES"/>
        </w:rPr>
        <w:t xml:space="preserve">se presentó ante el </w:t>
      </w:r>
      <w:r w:rsidRPr="00425E92">
        <w:rPr>
          <w:rFonts w:ascii="Palatino Linotype" w:eastAsia="Calibri" w:hAnsi="Palatino Linotype" w:cs="Arial"/>
          <w:b/>
          <w:lang w:val="es-ES"/>
        </w:rPr>
        <w:t>SUJETO OBLIGADO</w:t>
      </w:r>
      <w:r w:rsidRPr="00425E92">
        <w:rPr>
          <w:rFonts w:ascii="Palatino Linotype" w:eastAsia="Calibri" w:hAnsi="Palatino Linotype" w:cs="Arial"/>
        </w:rPr>
        <w:t xml:space="preserve"> vía </w:t>
      </w:r>
      <w:r w:rsidR="00D177AD" w:rsidRPr="00425E92">
        <w:rPr>
          <w:rFonts w:ascii="Palatino Linotype" w:eastAsia="Calibri" w:hAnsi="Palatino Linotype" w:cs="Arial"/>
        </w:rPr>
        <w:t>Sistema de Acceso a la Información Mexiquense (</w:t>
      </w:r>
      <w:r w:rsidRPr="00425E92">
        <w:rPr>
          <w:rFonts w:ascii="Palatino Linotype" w:eastAsia="Calibri" w:hAnsi="Palatino Linotype" w:cs="Arial"/>
          <w:lang w:val="es-ES"/>
        </w:rPr>
        <w:t>SAIMEX</w:t>
      </w:r>
      <w:r w:rsidR="00D177AD" w:rsidRPr="00425E92">
        <w:rPr>
          <w:rFonts w:ascii="Palatino Linotype" w:eastAsia="Calibri" w:hAnsi="Palatino Linotype" w:cs="Arial"/>
          <w:lang w:val="es-ES"/>
        </w:rPr>
        <w:t>)</w:t>
      </w:r>
      <w:r w:rsidRPr="00425E92">
        <w:rPr>
          <w:rFonts w:ascii="Palatino Linotype" w:eastAsia="Calibri" w:hAnsi="Palatino Linotype" w:cs="Arial"/>
          <w:lang w:val="es-ES"/>
        </w:rPr>
        <w:t xml:space="preserve">, la solicitud de </w:t>
      </w:r>
      <w:r w:rsidR="003D106E" w:rsidRPr="00425E92">
        <w:rPr>
          <w:rFonts w:ascii="Palatino Linotype" w:eastAsia="Calibri" w:hAnsi="Palatino Linotype" w:cs="Arial"/>
          <w:lang w:val="es-ES"/>
        </w:rPr>
        <w:t>acceso a datos personales</w:t>
      </w:r>
      <w:r w:rsidRPr="00425E92">
        <w:rPr>
          <w:rFonts w:ascii="Palatino Linotype" w:eastAsia="Calibri" w:hAnsi="Palatino Linotype" w:cs="Arial"/>
          <w:lang w:val="es-ES"/>
        </w:rPr>
        <w:t xml:space="preserve"> registrada con el número</w:t>
      </w:r>
      <w:r w:rsidRPr="00425E92">
        <w:rPr>
          <w:rFonts w:ascii="Palatino Linotype" w:hAnsi="Palatino Linotype"/>
          <w:b/>
          <w:bCs/>
          <w:color w:val="000000" w:themeColor="text1"/>
        </w:rPr>
        <w:t xml:space="preserve"> </w:t>
      </w:r>
      <w:r w:rsidR="00C06049" w:rsidRPr="00425E92">
        <w:rPr>
          <w:rFonts w:ascii="Palatino Linotype" w:hAnsi="Palatino Linotype"/>
          <w:b/>
          <w:bCs/>
          <w:color w:val="000000" w:themeColor="text1"/>
        </w:rPr>
        <w:t>00157/COBAEM/IP/2024</w:t>
      </w:r>
      <w:r w:rsidRPr="00425E92">
        <w:rPr>
          <w:rFonts w:ascii="Palatino Linotype" w:hAnsi="Palatino Linotype"/>
          <w:b/>
          <w:bCs/>
          <w:color w:val="000000" w:themeColor="text1"/>
        </w:rPr>
        <w:t xml:space="preserve">; </w:t>
      </w:r>
      <w:r w:rsidRPr="00425E92">
        <w:rPr>
          <w:rFonts w:ascii="Palatino Linotype" w:eastAsia="Calibri" w:hAnsi="Palatino Linotype" w:cs="Arial"/>
          <w:lang w:val="es-ES"/>
        </w:rPr>
        <w:t>mediante la cual se solicitó la siguiente información:</w:t>
      </w:r>
    </w:p>
    <w:p w14:paraId="6B526C57" w14:textId="77777777" w:rsidR="005F346E" w:rsidRPr="00425E92" w:rsidRDefault="005F346E" w:rsidP="00AE6C6A">
      <w:pPr>
        <w:pStyle w:val="Prrafodelista"/>
        <w:spacing w:line="360" w:lineRule="auto"/>
        <w:ind w:left="0"/>
        <w:jc w:val="both"/>
        <w:rPr>
          <w:rFonts w:ascii="Palatino Linotype" w:eastAsia="Calibri" w:hAnsi="Palatino Linotype" w:cs="Arial"/>
          <w:lang w:val="es-ES"/>
        </w:rPr>
      </w:pPr>
    </w:p>
    <w:p w14:paraId="399A8454" w14:textId="79757F73" w:rsidR="00947C3B" w:rsidRPr="00425E92" w:rsidRDefault="00947C3B" w:rsidP="00AE6C6A">
      <w:pPr>
        <w:pStyle w:val="Prrafodelista"/>
        <w:spacing w:line="360" w:lineRule="auto"/>
        <w:ind w:left="0"/>
        <w:jc w:val="both"/>
        <w:rPr>
          <w:rFonts w:ascii="Palatino Linotype" w:hAnsi="Palatino Linotype"/>
          <w:i/>
        </w:rPr>
      </w:pPr>
      <w:r w:rsidRPr="00425E92">
        <w:rPr>
          <w:rFonts w:ascii="Palatino Linotype" w:hAnsi="Palatino Linotype"/>
          <w:i/>
        </w:rPr>
        <w:t>“</w:t>
      </w:r>
      <w:r w:rsidR="00C06049" w:rsidRPr="00425E92">
        <w:rPr>
          <w:rFonts w:ascii="Palatino Linotype" w:hAnsi="Palatino Linotype"/>
          <w:i/>
        </w:rPr>
        <w:t xml:space="preserve">Toluca, Méx., a 17 de diciembre 2024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FB4137">
        <w:rPr>
          <w:rFonts w:ascii="Palatino Linotype" w:hAnsi="Palatino Linotype"/>
          <w:i/>
        </w:rPr>
        <w:t>XXXX</w:t>
      </w:r>
      <w:r w:rsidR="00C06049" w:rsidRPr="00425E92">
        <w:rPr>
          <w:rFonts w:ascii="Palatino Linotype" w:hAnsi="Palatino Linotype"/>
          <w:i/>
        </w:rPr>
        <w:t xml:space="preserve"> CURP: </w:t>
      </w:r>
      <w:r w:rsidR="000D0911">
        <w:rPr>
          <w:rFonts w:ascii="Palatino Linotype" w:hAnsi="Palatino Linotype"/>
          <w:i/>
        </w:rPr>
        <w:t>XXXX</w:t>
      </w:r>
      <w:r w:rsidR="00C06049" w:rsidRPr="00425E92">
        <w:rPr>
          <w:rFonts w:ascii="Palatino Linotype" w:hAnsi="Palatino Linotype"/>
          <w:i/>
        </w:rPr>
        <w:t xml:space="preserve"> RFC: </w:t>
      </w:r>
      <w:r w:rsidR="000D0911">
        <w:rPr>
          <w:rFonts w:ascii="Palatino Linotype" w:hAnsi="Palatino Linotype"/>
          <w:i/>
        </w:rPr>
        <w:t>XXXX</w:t>
      </w:r>
      <w:r w:rsidR="00C06049" w:rsidRPr="00425E92">
        <w:rPr>
          <w:rFonts w:ascii="Palatino Linotype" w:hAnsi="Palatino Linotype"/>
          <w:i/>
        </w:rPr>
        <w:t xml:space="preserve"> ADSCRPICION DE PLANTEL: 11 OTUMBA CATEGORIA: DIRECTOR DE PLANTEL "B" </w:t>
      </w:r>
      <w:r w:rsidR="00C06049" w:rsidRPr="00425E92">
        <w:rPr>
          <w:rFonts w:ascii="Palatino Linotype" w:hAnsi="Palatino Linotype"/>
          <w:i/>
        </w:rPr>
        <w:lastRenderedPageBreak/>
        <w:t xml:space="preserve">NUMERO DE EMPLEADO O SERVIDOR PUBLICO: 1579 Por la presente manifiesto a usted que, tengo conocimiento que se encuentra suscrito un ANEXO DE EJECUCIÓN, que celebró el Ejecutivo Federal, con el Gobierno del Estado de México y el Colegio de Bachilleres del Estado de México, en fecha 10 de enero del año en curso,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este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APOYO PARA ANTEOJOS Y LENTES OTROS PAGOS: • PAGO APLICACIÓN DE EXANI I OTRAS PERCEPCIONES: • PRIMA VACACIONAL • ISR PRIMA VACACIONAL • PAGO DE AGUINALDO • ISR AGUINALDO DEDUCCIONES: • CUOTAS DEL SIS.CAPITALIZ 1.4 • ISSEMYM 4.625 • ISSEMYM 6.1 • I.S.R. • CAJA DE AHORRO ATAYA • CREDITOS AL CONSUMO ISSEMYM • DESC.SEGURO. SEP. INDIV • FALTAS YO AUSENTISMOS Ahora bien, insisto, que la información solicitada, respecto del </w:t>
      </w:r>
      <w:r w:rsidR="00C06049" w:rsidRPr="00425E92">
        <w:rPr>
          <w:rFonts w:ascii="Palatino Linotype" w:hAnsi="Palatino Linotype"/>
          <w:i/>
        </w:rPr>
        <w:lastRenderedPageBreak/>
        <w:t xml:space="preserve">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ESTE AÑO 2024, por lo que de existir diferencia también se solicita se me informe el monto que dejé de percibir y los conceptos, en los cuales se aplicó la deducción. Asimismo, señalo como correo electrónico para oír y recibir todo tipo de notificaciones respecto de la respuesta que se de al presente: miguel.trto06@gmail.com Sin otro particular quedo de Usted. ATENTAMENTE </w:t>
      </w:r>
      <w:r w:rsidR="00FB4137">
        <w:rPr>
          <w:rFonts w:ascii="Palatino Linotype" w:hAnsi="Palatino Linotype"/>
          <w:i/>
        </w:rPr>
        <w:t>XXXX</w:t>
      </w:r>
      <w:r w:rsidRPr="00425E92">
        <w:rPr>
          <w:rFonts w:ascii="Palatino Linotype" w:hAnsi="Palatino Linotype"/>
          <w:i/>
        </w:rPr>
        <w:t>”</w:t>
      </w:r>
    </w:p>
    <w:p w14:paraId="13E541BC" w14:textId="77777777" w:rsidR="00791F28" w:rsidRPr="00425E92" w:rsidRDefault="00791F28" w:rsidP="00AE6C6A">
      <w:pPr>
        <w:pStyle w:val="Prrafodelista"/>
        <w:spacing w:line="360" w:lineRule="auto"/>
        <w:ind w:left="0"/>
        <w:jc w:val="both"/>
        <w:rPr>
          <w:rFonts w:ascii="Palatino Linotype" w:hAnsi="Palatino Linotype"/>
          <w:i/>
        </w:rPr>
      </w:pPr>
    </w:p>
    <w:p w14:paraId="754BE896" w14:textId="77777777" w:rsidR="00791F28" w:rsidRPr="00425E92" w:rsidRDefault="00791F28" w:rsidP="00AE6C6A">
      <w:pPr>
        <w:spacing w:line="360" w:lineRule="auto"/>
        <w:jc w:val="both"/>
        <w:rPr>
          <w:rFonts w:ascii="Palatino Linotype" w:eastAsia="Palatino Linotype" w:hAnsi="Palatino Linotype" w:cs="Palatino Linotype"/>
          <w:b/>
        </w:rPr>
      </w:pPr>
      <w:r w:rsidRPr="00425E92">
        <w:rPr>
          <w:rFonts w:ascii="Palatino Linotype" w:eastAsia="Palatino Linotype" w:hAnsi="Palatino Linotype" w:cs="Palatino Linotype"/>
          <w:b/>
        </w:rPr>
        <w:t>Modalidad de Entrega:</w:t>
      </w:r>
      <w:r w:rsidRPr="00425E92">
        <w:rPr>
          <w:rFonts w:ascii="Palatino Linotype" w:eastAsia="Palatino Linotype" w:hAnsi="Palatino Linotype" w:cs="Palatino Linotype"/>
        </w:rPr>
        <w:t xml:space="preserve"> A través de </w:t>
      </w:r>
      <w:r w:rsidRPr="00425E92">
        <w:rPr>
          <w:rFonts w:ascii="Palatino Linotype" w:eastAsia="Palatino Linotype" w:hAnsi="Palatino Linotype" w:cs="Palatino Linotype"/>
          <w:b/>
        </w:rPr>
        <w:t>SAIMEX y correo electrónico.</w:t>
      </w:r>
    </w:p>
    <w:p w14:paraId="7C26C3F7" w14:textId="77777777" w:rsidR="00791F28" w:rsidRPr="00425E92" w:rsidRDefault="00791F28" w:rsidP="00AE6C6A">
      <w:pPr>
        <w:spacing w:line="360" w:lineRule="auto"/>
        <w:jc w:val="both"/>
        <w:rPr>
          <w:rFonts w:ascii="Palatino Linotype" w:eastAsia="Palatino Linotype" w:hAnsi="Palatino Linotype" w:cs="Palatino Linotype"/>
          <w:b/>
        </w:rPr>
      </w:pPr>
    </w:p>
    <w:p w14:paraId="7638D622" w14:textId="77777777" w:rsidR="00791F28" w:rsidRPr="00425E92" w:rsidRDefault="00791F28" w:rsidP="00AE6C6A">
      <w:pPr>
        <w:spacing w:line="360" w:lineRule="auto"/>
        <w:jc w:val="both"/>
        <w:rPr>
          <w:rFonts w:ascii="Palatino Linotype" w:eastAsia="Palatino Linotype" w:hAnsi="Palatino Linotype" w:cs="Palatino Linotype"/>
        </w:rPr>
      </w:pPr>
      <w:r w:rsidRPr="00425E92">
        <w:rPr>
          <w:rFonts w:ascii="Palatino Linotype" w:eastAsia="Palatino Linotype" w:hAnsi="Palatino Linotype" w:cs="Palatino Linotype"/>
          <w:b/>
        </w:rPr>
        <w:t>Archivos adjuntos</w:t>
      </w:r>
      <w:r w:rsidRPr="00425E92">
        <w:rPr>
          <w:rFonts w:ascii="Palatino Linotype" w:eastAsia="Palatino Linotype" w:hAnsi="Palatino Linotype" w:cs="Palatino Linotype"/>
          <w:b/>
          <w:i/>
        </w:rPr>
        <w:t xml:space="preserve">: “ANEXO DE EJECUCION.pdf”: </w:t>
      </w:r>
      <w:r w:rsidRPr="00425E92">
        <w:rPr>
          <w:rFonts w:ascii="Palatino Linotype" w:eastAsia="Palatino Linotype" w:hAnsi="Palatino Linotype" w:cs="Palatino Linotype"/>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14:paraId="7A46BAB4" w14:textId="77777777" w:rsidR="004C674D" w:rsidRPr="00425E92" w:rsidRDefault="004C674D" w:rsidP="00AE6C6A">
      <w:pPr>
        <w:spacing w:line="360" w:lineRule="auto"/>
        <w:jc w:val="both"/>
        <w:rPr>
          <w:rFonts w:ascii="Palatino Linotype" w:hAnsi="Palatino Linotype" w:cs="Arial"/>
          <w:color w:val="000000" w:themeColor="text1"/>
        </w:rPr>
      </w:pPr>
    </w:p>
    <w:p w14:paraId="1300457B" w14:textId="356C8014" w:rsidR="00947C3B" w:rsidRPr="00425E92" w:rsidRDefault="00193D79" w:rsidP="00AE6C6A">
      <w:pPr>
        <w:pStyle w:val="Prrafodelista"/>
        <w:numPr>
          <w:ilvl w:val="0"/>
          <w:numId w:val="1"/>
        </w:numPr>
        <w:spacing w:line="360" w:lineRule="auto"/>
        <w:ind w:left="0" w:firstLine="0"/>
        <w:jc w:val="both"/>
        <w:rPr>
          <w:rFonts w:ascii="Palatino Linotype" w:hAnsi="Palatino Linotype" w:cs="Arial"/>
          <w:i/>
          <w:color w:val="000000" w:themeColor="text1"/>
        </w:rPr>
      </w:pPr>
      <w:r w:rsidRPr="00425E92">
        <w:rPr>
          <w:rFonts w:ascii="Palatino Linotype" w:hAnsi="Palatino Linotype" w:cs="Arial"/>
          <w:color w:val="000000" w:themeColor="text1"/>
        </w:rPr>
        <w:t xml:space="preserve">El </w:t>
      </w:r>
      <w:r w:rsidR="009054C3" w:rsidRPr="00425E92">
        <w:rPr>
          <w:rFonts w:ascii="Palatino Linotype" w:hAnsi="Palatino Linotype" w:cs="Arial"/>
          <w:b/>
          <w:color w:val="000000" w:themeColor="text1"/>
        </w:rPr>
        <w:t>diecisiete de enero</w:t>
      </w:r>
      <w:r w:rsidR="004C674D" w:rsidRPr="00425E92">
        <w:rPr>
          <w:rFonts w:ascii="Palatino Linotype" w:hAnsi="Palatino Linotype" w:cs="Arial"/>
          <w:b/>
          <w:color w:val="000000" w:themeColor="text1"/>
        </w:rPr>
        <w:t xml:space="preserve"> de dos mil </w:t>
      </w:r>
      <w:r w:rsidR="0065108D" w:rsidRPr="00425E92">
        <w:rPr>
          <w:rFonts w:ascii="Palatino Linotype" w:hAnsi="Palatino Linotype" w:cs="Arial"/>
          <w:b/>
          <w:color w:val="000000" w:themeColor="text1"/>
        </w:rPr>
        <w:t>veinticinco</w:t>
      </w:r>
      <w:r w:rsidR="004C674D" w:rsidRPr="00425E92">
        <w:rPr>
          <w:rFonts w:ascii="Palatino Linotype" w:hAnsi="Palatino Linotype" w:cs="Arial"/>
          <w:color w:val="000000" w:themeColor="text1"/>
        </w:rPr>
        <w:t xml:space="preserve">, el </w:t>
      </w:r>
      <w:r w:rsidR="004C674D" w:rsidRPr="00425E92">
        <w:rPr>
          <w:rFonts w:ascii="Palatino Linotype" w:hAnsi="Palatino Linotype" w:cs="Arial"/>
          <w:b/>
          <w:color w:val="000000" w:themeColor="text1"/>
        </w:rPr>
        <w:t>SUJETO OBLIGADO</w:t>
      </w:r>
      <w:r w:rsidR="004C674D" w:rsidRPr="00425E92">
        <w:rPr>
          <w:rFonts w:ascii="Palatino Linotype" w:hAnsi="Palatino Linotype" w:cs="Arial"/>
          <w:color w:val="000000" w:themeColor="text1"/>
        </w:rPr>
        <w:t xml:space="preserve"> emitió su </w:t>
      </w:r>
      <w:r w:rsidR="009366E5" w:rsidRPr="00425E92">
        <w:rPr>
          <w:rFonts w:ascii="Palatino Linotype" w:hAnsi="Palatino Linotype" w:cs="Arial"/>
          <w:color w:val="000000" w:themeColor="text1"/>
        </w:rPr>
        <w:t xml:space="preserve">respuesta </w:t>
      </w:r>
      <w:r w:rsidR="003D106E" w:rsidRPr="00425E92">
        <w:rPr>
          <w:rFonts w:ascii="Palatino Linotype" w:hAnsi="Palatino Linotype" w:cs="Arial"/>
          <w:color w:val="000000" w:themeColor="text1"/>
        </w:rPr>
        <w:t xml:space="preserve">a </w:t>
      </w:r>
      <w:r w:rsidR="009366E5" w:rsidRPr="00425E92">
        <w:rPr>
          <w:rFonts w:ascii="Palatino Linotype" w:hAnsi="Palatino Linotype" w:cs="Arial"/>
          <w:color w:val="000000" w:themeColor="text1"/>
        </w:rPr>
        <w:t>la solicitud</w:t>
      </w:r>
      <w:r w:rsidR="004C674D" w:rsidRPr="00425E92">
        <w:rPr>
          <w:rFonts w:ascii="Palatino Linotype" w:hAnsi="Palatino Linotype" w:cs="Arial"/>
          <w:color w:val="000000" w:themeColor="text1"/>
        </w:rPr>
        <w:t xml:space="preserve"> a través de</w:t>
      </w:r>
      <w:r w:rsidR="009054C3" w:rsidRPr="00425E92">
        <w:rPr>
          <w:rFonts w:ascii="Palatino Linotype" w:hAnsi="Palatino Linotype" w:cs="Arial"/>
          <w:color w:val="000000" w:themeColor="text1"/>
        </w:rPr>
        <w:t xml:space="preserve"> un </w:t>
      </w:r>
      <w:r w:rsidR="004C674D" w:rsidRPr="00425E92">
        <w:rPr>
          <w:rFonts w:ascii="Palatino Linotype" w:hAnsi="Palatino Linotype" w:cs="Arial"/>
          <w:color w:val="000000" w:themeColor="text1"/>
        </w:rPr>
        <w:t>archivo</w:t>
      </w:r>
      <w:r w:rsidR="00C32E84" w:rsidRPr="00425E92">
        <w:rPr>
          <w:rFonts w:ascii="Palatino Linotype" w:hAnsi="Palatino Linotype" w:cs="Arial"/>
          <w:color w:val="000000" w:themeColor="text1"/>
        </w:rPr>
        <w:t xml:space="preserve"> electrónico</w:t>
      </w:r>
      <w:r w:rsidR="006E3D04" w:rsidRPr="00425E92">
        <w:rPr>
          <w:rFonts w:ascii="Palatino Linotype" w:hAnsi="Palatino Linotype" w:cs="Arial"/>
          <w:color w:val="000000" w:themeColor="text1"/>
        </w:rPr>
        <w:t>, a saber</w:t>
      </w:r>
      <w:r w:rsidR="00961A06" w:rsidRPr="00425E92">
        <w:rPr>
          <w:rFonts w:ascii="Palatino Linotype" w:hAnsi="Palatino Linotype" w:cs="Arial"/>
          <w:color w:val="000000" w:themeColor="text1"/>
        </w:rPr>
        <w:t>:</w:t>
      </w:r>
    </w:p>
    <w:p w14:paraId="53C2689C" w14:textId="23720645" w:rsidR="00185604" w:rsidRPr="00425E92" w:rsidRDefault="009054C3" w:rsidP="00AE6C6A">
      <w:pPr>
        <w:spacing w:line="360" w:lineRule="auto"/>
        <w:jc w:val="both"/>
        <w:rPr>
          <w:rFonts w:ascii="Palatino Linotype" w:eastAsia="Palatino Linotype" w:hAnsi="Palatino Linotype" w:cs="Palatino Linotype"/>
          <w:b/>
          <w:i/>
        </w:rPr>
      </w:pPr>
      <w:r w:rsidRPr="00425E92">
        <w:rPr>
          <w:rFonts w:ascii="Palatino Linotype" w:hAnsi="Palatino Linotype" w:cs="Arial"/>
          <w:b/>
          <w:color w:val="000000" w:themeColor="text1"/>
        </w:rPr>
        <w:lastRenderedPageBreak/>
        <w:t>1</w:t>
      </w:r>
      <w:r w:rsidR="00C06049" w:rsidRPr="00425E92">
        <w:rPr>
          <w:rFonts w:ascii="Palatino Linotype" w:hAnsi="Palatino Linotype" w:cs="Arial"/>
          <w:b/>
          <w:color w:val="000000" w:themeColor="text1"/>
        </w:rPr>
        <w:t>57</w:t>
      </w:r>
      <w:r w:rsidRPr="00425E92">
        <w:rPr>
          <w:rFonts w:ascii="Palatino Linotype" w:hAnsi="Palatino Linotype" w:cs="Arial"/>
          <w:b/>
          <w:color w:val="000000" w:themeColor="text1"/>
        </w:rPr>
        <w:t>.pdf</w:t>
      </w:r>
      <w:r w:rsidR="006E3D04" w:rsidRPr="00425E92">
        <w:rPr>
          <w:rFonts w:ascii="Palatino Linotype" w:hAnsi="Palatino Linotype" w:cs="Arial"/>
          <w:color w:val="000000" w:themeColor="text1"/>
        </w:rPr>
        <w:t xml:space="preserve">, </w:t>
      </w:r>
      <w:r w:rsidR="0068494D" w:rsidRPr="00425E92">
        <w:rPr>
          <w:rFonts w:ascii="Palatino Linotype" w:hAnsi="Palatino Linotype" w:cs="Arial"/>
          <w:color w:val="000000" w:themeColor="text1"/>
        </w:rPr>
        <w:t xml:space="preserve">que </w:t>
      </w:r>
      <w:r w:rsidRPr="00425E92">
        <w:rPr>
          <w:rFonts w:ascii="Palatino Linotype" w:hAnsi="Palatino Linotype" w:cs="Arial"/>
          <w:color w:val="000000" w:themeColor="text1"/>
        </w:rPr>
        <w:t>correspon</w:t>
      </w:r>
      <w:r w:rsidR="00C06049" w:rsidRPr="00425E92">
        <w:rPr>
          <w:rFonts w:ascii="Palatino Linotype" w:hAnsi="Palatino Linotype" w:cs="Arial"/>
          <w:color w:val="000000" w:themeColor="text1"/>
        </w:rPr>
        <w:t>de al oficio 228C0701040001L/0025</w:t>
      </w:r>
      <w:r w:rsidRPr="00425E92">
        <w:rPr>
          <w:rFonts w:ascii="Palatino Linotype" w:hAnsi="Palatino Linotype" w:cs="Arial"/>
          <w:color w:val="000000" w:themeColor="text1"/>
        </w:rPr>
        <w:t>/2025, signado por la Jefa del Departamento de Recursos Humanos, a través del cual</w:t>
      </w:r>
      <w:r w:rsidR="00185604" w:rsidRPr="00425E92">
        <w:rPr>
          <w:rFonts w:ascii="Palatino Linotype" w:hAnsi="Palatino Linotype" w:cs="Arial"/>
          <w:color w:val="000000" w:themeColor="text1"/>
        </w:rPr>
        <w:t xml:space="preserve"> manifiesta </w:t>
      </w:r>
      <w:r w:rsidR="00185604" w:rsidRPr="00425E92">
        <w:rPr>
          <w:rFonts w:ascii="Palatino Linotype" w:eastAsia="Palatino Linotype" w:hAnsi="Palatino Linotype" w:cs="Palatino Linotype"/>
        </w:rPr>
        <w:t xml:space="preserve">que de acuerdo con los conceptos establecidos en la solicitud de información, no es posible determinar algún otro instrumento de análisis y comparativo de las percepciones y deducciones del solicitante; sin embargo, indicó que remitía los montos de percepciones y deducciones acumulados durante el ejercicio 2024 a nombre de la servidora pública señalada en la solicitud; proporcionando en dos </w:t>
      </w:r>
      <w:r w:rsidR="00CC2048" w:rsidRPr="00425E92">
        <w:rPr>
          <w:rFonts w:ascii="Palatino Linotype" w:eastAsia="Palatino Linotype" w:hAnsi="Palatino Linotype" w:cs="Palatino Linotype"/>
        </w:rPr>
        <w:t>columnas</w:t>
      </w:r>
      <w:r w:rsidR="00185604" w:rsidRPr="00425E92">
        <w:rPr>
          <w:rFonts w:ascii="Palatino Linotype" w:eastAsia="Palatino Linotype" w:hAnsi="Palatino Linotype" w:cs="Palatino Linotype"/>
        </w:rPr>
        <w:t xml:space="preserve"> de contenido</w:t>
      </w:r>
      <w:r w:rsidR="00C06049" w:rsidRPr="00425E92">
        <w:rPr>
          <w:rFonts w:ascii="Palatino Linotype" w:eastAsia="Palatino Linotype" w:hAnsi="Palatino Linotype" w:cs="Palatino Linotype"/>
        </w:rPr>
        <w:t>:</w:t>
      </w:r>
      <w:r w:rsidR="00185604" w:rsidRPr="00425E92">
        <w:rPr>
          <w:rFonts w:ascii="Palatino Linotype" w:eastAsia="Palatino Linotype" w:hAnsi="Palatino Linotype" w:cs="Palatino Linotype"/>
        </w:rPr>
        <w:t xml:space="preserve"> conceptos y montos de las percepciones</w:t>
      </w:r>
      <w:r w:rsidR="00C06049" w:rsidRPr="00425E92">
        <w:rPr>
          <w:rFonts w:ascii="Palatino Linotype" w:eastAsia="Palatino Linotype" w:hAnsi="Palatino Linotype" w:cs="Palatino Linotype"/>
        </w:rPr>
        <w:t>,</w:t>
      </w:r>
      <w:r w:rsidR="00185604" w:rsidRPr="00425E92">
        <w:rPr>
          <w:rFonts w:ascii="Palatino Linotype" w:eastAsia="Palatino Linotype" w:hAnsi="Palatino Linotype" w:cs="Palatino Linotype"/>
        </w:rPr>
        <w:t xml:space="preserve"> y deducciones acumulados respecto del servidor público en el ejercicio 2024.</w:t>
      </w:r>
    </w:p>
    <w:p w14:paraId="2CDE8541" w14:textId="26A2EF48" w:rsidR="006E3D04" w:rsidRPr="00425E92" w:rsidRDefault="006E3D04" w:rsidP="00AE6C6A">
      <w:pPr>
        <w:pStyle w:val="Prrafodelista"/>
        <w:spacing w:line="360" w:lineRule="auto"/>
        <w:ind w:left="0"/>
        <w:jc w:val="both"/>
        <w:rPr>
          <w:rFonts w:ascii="Palatino Linotype" w:hAnsi="Palatino Linotype" w:cs="Arial"/>
          <w:color w:val="000000" w:themeColor="text1"/>
        </w:rPr>
      </w:pPr>
    </w:p>
    <w:p w14:paraId="1DBC79A2" w14:textId="565AC929" w:rsidR="00CA1D2E" w:rsidRPr="00425E92" w:rsidRDefault="00CA1D2E" w:rsidP="00AE6C6A">
      <w:pPr>
        <w:pStyle w:val="Prrafodelista"/>
        <w:numPr>
          <w:ilvl w:val="0"/>
          <w:numId w:val="1"/>
        </w:numPr>
        <w:spacing w:line="360" w:lineRule="auto"/>
        <w:ind w:left="0" w:firstLine="0"/>
        <w:jc w:val="both"/>
        <w:rPr>
          <w:rFonts w:ascii="Palatino Linotype" w:hAnsi="Palatino Linotype" w:cs="Arial"/>
          <w:i/>
          <w:color w:val="000000" w:themeColor="text1"/>
        </w:rPr>
      </w:pPr>
      <w:r w:rsidRPr="00425E92">
        <w:rPr>
          <w:rFonts w:ascii="Palatino Linotype" w:hAnsi="Palatino Linotype" w:cs="Arial"/>
          <w:color w:val="000000" w:themeColor="text1"/>
        </w:rPr>
        <w:t>Inconfor</w:t>
      </w:r>
      <w:r w:rsidR="00CD6CD8" w:rsidRPr="00425E92">
        <w:rPr>
          <w:rFonts w:ascii="Palatino Linotype" w:hAnsi="Palatino Linotype" w:cs="Arial"/>
          <w:color w:val="000000" w:themeColor="text1"/>
        </w:rPr>
        <w:t xml:space="preserve">me con lo anterior, el </w:t>
      </w:r>
      <w:r w:rsidR="00185604" w:rsidRPr="00425E92">
        <w:rPr>
          <w:rFonts w:ascii="Palatino Linotype" w:hAnsi="Palatino Linotype" w:cs="Arial"/>
          <w:b/>
          <w:color w:val="000000" w:themeColor="text1"/>
        </w:rPr>
        <w:t>treinta y uno de enero de dos mil veinticinco</w:t>
      </w:r>
      <w:r w:rsidR="00185604" w:rsidRPr="00425E92">
        <w:rPr>
          <w:rFonts w:ascii="Palatino Linotype" w:hAnsi="Palatino Linotype" w:cs="Arial"/>
          <w:color w:val="000000" w:themeColor="text1"/>
        </w:rPr>
        <w:t xml:space="preserve">, </w:t>
      </w:r>
      <w:r w:rsidR="00CD6CD8" w:rsidRPr="00425E92">
        <w:rPr>
          <w:rFonts w:ascii="Palatino Linotype" w:hAnsi="Palatino Linotype" w:cs="Arial"/>
          <w:color w:val="000000" w:themeColor="text1"/>
        </w:rPr>
        <w:t>particular interpuso recurso de revisión, al tenor de los siguientes argumentos:</w:t>
      </w:r>
    </w:p>
    <w:p w14:paraId="73E4132A" w14:textId="77777777" w:rsidR="00185604" w:rsidRPr="00425E92" w:rsidRDefault="00185604" w:rsidP="00AE6C6A">
      <w:pPr>
        <w:pStyle w:val="Prrafodelista"/>
        <w:spacing w:line="360" w:lineRule="auto"/>
        <w:ind w:left="0"/>
        <w:jc w:val="both"/>
        <w:rPr>
          <w:rFonts w:ascii="Palatino Linotype" w:hAnsi="Palatino Linotype" w:cs="Arial"/>
          <w:i/>
          <w:color w:val="000000" w:themeColor="text1"/>
        </w:rPr>
      </w:pPr>
    </w:p>
    <w:p w14:paraId="5D8BD90A" w14:textId="77777777" w:rsidR="00D5494C" w:rsidRPr="00425E92" w:rsidRDefault="00D5494C" w:rsidP="002C5E64">
      <w:pPr>
        <w:pStyle w:val="Prrafodelista"/>
        <w:numPr>
          <w:ilvl w:val="0"/>
          <w:numId w:val="8"/>
        </w:numPr>
        <w:spacing w:line="360" w:lineRule="auto"/>
        <w:jc w:val="both"/>
        <w:rPr>
          <w:rStyle w:val="Ttulo2Car"/>
          <w:rFonts w:ascii="Palatino Linotype" w:hAnsi="Palatino Linotype"/>
          <w:b/>
          <w:color w:val="000000" w:themeColor="text1"/>
          <w:sz w:val="24"/>
          <w:szCs w:val="24"/>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425E92">
        <w:rPr>
          <w:rStyle w:val="Ttulo2Car"/>
          <w:rFonts w:ascii="Palatino Linotype" w:hAnsi="Palatino Linotype"/>
          <w:b/>
          <w:color w:val="000000" w:themeColor="text1"/>
          <w:sz w:val="24"/>
          <w:szCs w:val="24"/>
        </w:rPr>
        <w:t>ACTO IMPUGNADO:</w:t>
      </w:r>
    </w:p>
    <w:p w14:paraId="332B30C8" w14:textId="6E9523D1" w:rsidR="00961A06" w:rsidRPr="00425E92" w:rsidRDefault="00D5494C" w:rsidP="00AE6C6A">
      <w:pPr>
        <w:pStyle w:val="Prrafodelista"/>
        <w:spacing w:line="360" w:lineRule="auto"/>
        <w:ind w:left="0"/>
        <w:jc w:val="both"/>
        <w:rPr>
          <w:rStyle w:val="Ttulo2Car"/>
          <w:rFonts w:ascii="Palatino Linotype" w:hAnsi="Palatino Linotype"/>
          <w:i/>
          <w:color w:val="000000" w:themeColor="text1"/>
          <w:sz w:val="24"/>
          <w:szCs w:val="24"/>
        </w:rPr>
      </w:pPr>
      <w:r w:rsidRPr="00425E92">
        <w:rPr>
          <w:rStyle w:val="Ttulo2Car"/>
          <w:rFonts w:ascii="Palatino Linotype" w:hAnsi="Palatino Linotype"/>
          <w:i/>
          <w:color w:val="000000" w:themeColor="text1"/>
          <w:sz w:val="24"/>
          <w:szCs w:val="24"/>
        </w:rPr>
        <w:t>“</w:t>
      </w:r>
      <w:r w:rsidR="00C06049" w:rsidRPr="00425E92">
        <w:rPr>
          <w:rStyle w:val="Ttulo2Car"/>
          <w:rFonts w:ascii="Palatino Linotype" w:hAnsi="Palatino Linotype"/>
          <w:i/>
          <w:color w:val="000000" w:themeColor="text1"/>
          <w:sz w:val="24"/>
          <w:szCs w:val="24"/>
        </w:rPr>
        <w:t>Oficio de respuesta suscrito por Julia Leticia Domínguez Bustos, Jefa del Departamento de Recursos Humanos que recayó a esta solicitud y por el cual se está presentando el presente Recurso de Revisión EN TIEMPO Y FORMA.</w:t>
      </w:r>
      <w:r w:rsidRPr="00425E92">
        <w:rPr>
          <w:rStyle w:val="Ttulo2Car"/>
          <w:rFonts w:ascii="Palatino Linotype" w:hAnsi="Palatino Linotype"/>
          <w:i/>
          <w:color w:val="000000" w:themeColor="text1"/>
          <w:sz w:val="24"/>
          <w:szCs w:val="24"/>
        </w:rPr>
        <w:t>”</w:t>
      </w:r>
    </w:p>
    <w:p w14:paraId="0C424CD0" w14:textId="77777777" w:rsidR="00942B6E" w:rsidRPr="00425E92" w:rsidRDefault="00942B6E" w:rsidP="00AE6C6A">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425E92" w:rsidRDefault="00942B6E" w:rsidP="002C5E64">
      <w:pPr>
        <w:pStyle w:val="Prrafodelista"/>
        <w:numPr>
          <w:ilvl w:val="0"/>
          <w:numId w:val="8"/>
        </w:numPr>
        <w:spacing w:line="360" w:lineRule="auto"/>
        <w:jc w:val="both"/>
        <w:rPr>
          <w:rStyle w:val="Ttulo2Car"/>
          <w:rFonts w:ascii="Palatino Linotype" w:hAnsi="Palatino Linotype"/>
          <w:b/>
          <w:color w:val="000000" w:themeColor="text1"/>
          <w:sz w:val="24"/>
          <w:szCs w:val="24"/>
        </w:rPr>
      </w:pPr>
      <w:r w:rsidRPr="00425E92">
        <w:rPr>
          <w:rStyle w:val="Ttulo2Car"/>
          <w:rFonts w:ascii="Palatino Linotype" w:hAnsi="Palatino Linotype"/>
          <w:b/>
          <w:color w:val="000000" w:themeColor="text1"/>
          <w:sz w:val="24"/>
          <w:szCs w:val="24"/>
        </w:rPr>
        <w:t>RAZONES O MOTIVOS DE LA INCONFORMIDAD</w:t>
      </w:r>
      <w:r w:rsidRPr="00425E92">
        <w:rPr>
          <w:rStyle w:val="Ttulo2Car"/>
          <w:rFonts w:ascii="Palatino Linotype" w:hAnsi="Palatino Linotype"/>
          <w:b/>
          <w:color w:val="000000" w:themeColor="text1"/>
          <w:sz w:val="24"/>
          <w:szCs w:val="24"/>
        </w:rPr>
        <w:tab/>
      </w:r>
    </w:p>
    <w:p w14:paraId="66898454" w14:textId="3FFE8CF2" w:rsidR="00942B6E" w:rsidRPr="00425E92" w:rsidRDefault="00942B6E" w:rsidP="00AE6C6A">
      <w:pPr>
        <w:pStyle w:val="Prrafodelista"/>
        <w:spacing w:line="360" w:lineRule="auto"/>
        <w:ind w:left="0"/>
        <w:jc w:val="both"/>
        <w:rPr>
          <w:rStyle w:val="Ttulo2Car"/>
          <w:rFonts w:ascii="Palatino Linotype" w:hAnsi="Palatino Linotype"/>
          <w:i/>
          <w:color w:val="000000" w:themeColor="text1"/>
          <w:sz w:val="24"/>
          <w:szCs w:val="24"/>
        </w:rPr>
      </w:pPr>
      <w:r w:rsidRPr="00425E92">
        <w:rPr>
          <w:rStyle w:val="Ttulo2Car"/>
          <w:rFonts w:ascii="Palatino Linotype" w:hAnsi="Palatino Linotype"/>
          <w:i/>
          <w:color w:val="000000" w:themeColor="text1"/>
          <w:sz w:val="24"/>
          <w:szCs w:val="24"/>
        </w:rPr>
        <w:t>“</w:t>
      </w:r>
      <w:r w:rsidR="00C06049" w:rsidRPr="00425E92">
        <w:rPr>
          <w:rStyle w:val="Ttulo2Car"/>
          <w:rFonts w:ascii="Palatino Linotype" w:hAnsi="Palatino Linotype"/>
          <w:i/>
          <w:color w:val="000000" w:themeColor="text1"/>
          <w:sz w:val="24"/>
          <w:szCs w:val="24"/>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w:t>
      </w:r>
      <w:r w:rsidR="00C06049" w:rsidRPr="00425E92">
        <w:rPr>
          <w:rStyle w:val="Ttulo2Car"/>
          <w:rFonts w:ascii="Palatino Linotype" w:hAnsi="Palatino Linotype"/>
          <w:i/>
          <w:color w:val="000000" w:themeColor="text1"/>
          <w:sz w:val="24"/>
          <w:szCs w:val="24"/>
        </w:rPr>
        <w:lastRenderedPageBreak/>
        <w:t>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w:t>
      </w:r>
      <w:r w:rsidRPr="00425E92">
        <w:rPr>
          <w:rStyle w:val="Ttulo2Car"/>
          <w:rFonts w:ascii="Palatino Linotype" w:hAnsi="Palatino Linotype"/>
          <w:i/>
          <w:color w:val="000000" w:themeColor="text1"/>
          <w:sz w:val="24"/>
          <w:szCs w:val="24"/>
        </w:rPr>
        <w:t>”</w:t>
      </w:r>
    </w:p>
    <w:p w14:paraId="365B93B3" w14:textId="77777777" w:rsidR="00EF6B3C" w:rsidRPr="00425E92" w:rsidRDefault="00EF6B3C" w:rsidP="00AE6C6A">
      <w:pPr>
        <w:pStyle w:val="Prrafodelista"/>
        <w:spacing w:line="360" w:lineRule="auto"/>
        <w:ind w:left="0"/>
        <w:jc w:val="both"/>
        <w:rPr>
          <w:rStyle w:val="Ttulo2Car"/>
          <w:rFonts w:ascii="Palatino Linotype" w:hAnsi="Palatino Linotype"/>
          <w:i/>
          <w:color w:val="000000" w:themeColor="text1"/>
          <w:sz w:val="24"/>
          <w:szCs w:val="24"/>
        </w:rPr>
      </w:pPr>
    </w:p>
    <w:p w14:paraId="506DB5C3" w14:textId="77777777" w:rsidR="00EF6B3C" w:rsidRPr="00425E92" w:rsidRDefault="00EF6B3C" w:rsidP="00AE6C6A">
      <w:pPr>
        <w:spacing w:line="360" w:lineRule="auto"/>
        <w:jc w:val="both"/>
        <w:rPr>
          <w:rFonts w:ascii="Palatino Linotype" w:eastAsia="Palatino Linotype" w:hAnsi="Palatino Linotype" w:cs="Palatino Linotype"/>
          <w:b/>
        </w:rPr>
      </w:pPr>
      <w:r w:rsidRPr="00425E92">
        <w:rPr>
          <w:rFonts w:ascii="Palatino Linotype" w:eastAsia="Palatino Linotype" w:hAnsi="Palatino Linotype" w:cs="Palatino Linotype"/>
          <w:b/>
        </w:rPr>
        <w:t xml:space="preserve">Archivos adjuntos: </w:t>
      </w:r>
    </w:p>
    <w:p w14:paraId="698EB87B" w14:textId="77777777" w:rsidR="00EF6B3C" w:rsidRPr="00425E92" w:rsidRDefault="00EF6B3C" w:rsidP="00AE6C6A">
      <w:pPr>
        <w:spacing w:line="360" w:lineRule="auto"/>
        <w:jc w:val="both"/>
        <w:rPr>
          <w:rFonts w:ascii="Palatino Linotype" w:eastAsia="Palatino Linotype" w:hAnsi="Palatino Linotype" w:cs="Palatino Linotype"/>
        </w:rPr>
      </w:pPr>
      <w:r w:rsidRPr="00425E92">
        <w:rPr>
          <w:rFonts w:ascii="Palatino Linotype" w:eastAsia="Palatino Linotype" w:hAnsi="Palatino Linotype" w:cs="Palatino Linotype"/>
          <w:b/>
          <w:i/>
        </w:rPr>
        <w:t>“15_ANEXO DE EJECUCION MEXICO 0236_24.pdf”:</w:t>
      </w:r>
      <w:r w:rsidRPr="00425E92">
        <w:rPr>
          <w:rFonts w:ascii="Palatino Linotype" w:eastAsia="Palatino Linotype" w:hAnsi="Palatino Linotype" w:cs="Palatino Linotype"/>
        </w:rPr>
        <w:t xml:space="preserve"> Documento que se compone de quince fojas, el cual consiste en el Anexo de Ejecución que celebraron, el Ejecutivo Federal, por conducto de la Secretaría de Educación Pública, el Gobierno del Estado de México, representado por la Gobernadora Constitucional del Estado de México, asistida por la </w:t>
      </w:r>
      <w:r w:rsidRPr="00425E92">
        <w:rPr>
          <w:rFonts w:ascii="Palatino Linotype" w:eastAsia="Palatino Linotype" w:hAnsi="Palatino Linotype" w:cs="Palatino Linotype"/>
        </w:rPr>
        <w:lastRenderedPageBreak/>
        <w:t>Secretaria de Finanzas y el Secretario de Educación, Ciencia, Tecnología e Innovación y el Colegio de Bachilleres del Estado de México, representado por su Director General.</w:t>
      </w:r>
    </w:p>
    <w:p w14:paraId="0EE8D61B" w14:textId="77777777" w:rsidR="00067EAC" w:rsidRPr="00425E92" w:rsidRDefault="00067EAC" w:rsidP="00AE6C6A">
      <w:pPr>
        <w:pStyle w:val="Prrafodelista"/>
        <w:spacing w:line="360" w:lineRule="auto"/>
        <w:ind w:left="0"/>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4D27997" w14:textId="3BFCE90F" w:rsidR="00947C3B" w:rsidRPr="00425E92" w:rsidRDefault="00947C3B" w:rsidP="00AE6C6A">
      <w:pPr>
        <w:pStyle w:val="Prrafodelista"/>
        <w:numPr>
          <w:ilvl w:val="0"/>
          <w:numId w:val="1"/>
        </w:numPr>
        <w:spacing w:line="360" w:lineRule="auto"/>
        <w:ind w:left="0" w:firstLine="0"/>
        <w:jc w:val="both"/>
        <w:rPr>
          <w:rFonts w:ascii="Palatino Linotype" w:hAnsi="Palatino Linotype"/>
          <w:i/>
        </w:rPr>
      </w:pPr>
      <w:r w:rsidRPr="00425E92">
        <w:rPr>
          <w:rFonts w:ascii="Palatino Linotype" w:eastAsia="Calibri" w:hAnsi="Palatino Linotype" w:cs="Arial"/>
          <w:lang w:val="es-ES"/>
        </w:rPr>
        <w:t>La Comisionada Ponente con fundamento en lo dispuesto por el artículo 185 fracción II de la ley de la materia, a través d</w:t>
      </w:r>
      <w:r w:rsidR="00EF6B3C" w:rsidRPr="00425E92">
        <w:rPr>
          <w:rFonts w:ascii="Palatino Linotype" w:eastAsia="Calibri" w:hAnsi="Palatino Linotype" w:cs="Arial"/>
          <w:lang w:val="es-ES"/>
        </w:rPr>
        <w:t xml:space="preserve">el acuerdo de admisión de fecha </w:t>
      </w:r>
      <w:r w:rsidR="00872F05" w:rsidRPr="00425E92">
        <w:rPr>
          <w:rFonts w:ascii="Palatino Linotype" w:eastAsia="Calibri" w:hAnsi="Palatino Linotype" w:cs="Arial"/>
          <w:b/>
          <w:lang w:val="es-ES"/>
        </w:rPr>
        <w:t>cuatro de febrero</w:t>
      </w:r>
      <w:r w:rsidRPr="00425E92">
        <w:rPr>
          <w:rFonts w:ascii="Palatino Linotype" w:eastAsia="Calibri" w:hAnsi="Palatino Linotype" w:cs="Arial"/>
          <w:b/>
          <w:lang w:val="es-ES"/>
        </w:rPr>
        <w:t xml:space="preserve"> </w:t>
      </w:r>
      <w:r w:rsidR="005E75E6" w:rsidRPr="00425E92">
        <w:rPr>
          <w:rFonts w:ascii="Palatino Linotype" w:eastAsia="Calibri" w:hAnsi="Palatino Linotype" w:cs="Arial"/>
          <w:b/>
          <w:lang w:val="es-ES"/>
        </w:rPr>
        <w:t xml:space="preserve">de dos mil </w:t>
      </w:r>
      <w:r w:rsidR="00067EAC" w:rsidRPr="00425E92">
        <w:rPr>
          <w:rFonts w:ascii="Palatino Linotype" w:eastAsia="Calibri" w:hAnsi="Palatino Linotype" w:cs="Arial"/>
          <w:b/>
          <w:lang w:val="es-ES"/>
        </w:rPr>
        <w:t>vein</w:t>
      </w:r>
      <w:r w:rsidR="00DA5EB8" w:rsidRPr="00425E92">
        <w:rPr>
          <w:rFonts w:ascii="Palatino Linotype" w:eastAsia="Calibri" w:hAnsi="Palatino Linotype" w:cs="Arial"/>
          <w:b/>
          <w:lang w:val="es-ES"/>
        </w:rPr>
        <w:t>ticinco</w:t>
      </w:r>
      <w:r w:rsidRPr="00425E92">
        <w:rPr>
          <w:rFonts w:ascii="Palatino Linotype" w:eastAsia="Calibri" w:hAnsi="Palatino Linotype" w:cs="Arial"/>
          <w:lang w:val="es-ES"/>
        </w:rPr>
        <w:t xml:space="preserve">, puso a disposición de las partes el expediente electrónico </w:t>
      </w:r>
      <w:r w:rsidRPr="00425E92">
        <w:rPr>
          <w:rFonts w:ascii="Palatino Linotype" w:eastAsia="Calibri" w:hAnsi="Palatino Linotype" w:cs="Arial"/>
        </w:rPr>
        <w:t xml:space="preserve">vía </w:t>
      </w:r>
      <w:r w:rsidRPr="00425E92">
        <w:rPr>
          <w:rFonts w:ascii="Palatino Linotype" w:eastAsia="Calibri" w:hAnsi="Palatino Linotype" w:cs="Arial"/>
          <w:b/>
          <w:lang w:val="es-ES"/>
        </w:rPr>
        <w:t xml:space="preserve">SAIMEX </w:t>
      </w:r>
      <w:r w:rsidRPr="00425E9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425E92">
        <w:rPr>
          <w:rFonts w:ascii="Palatino Linotype" w:eastAsia="Calibri" w:hAnsi="Palatino Linotype" w:cs="Arial"/>
          <w:b/>
          <w:lang w:val="es-ES"/>
        </w:rPr>
        <w:t>SUJETO OBLIGADO</w:t>
      </w:r>
      <w:r w:rsidRPr="00425E92">
        <w:rPr>
          <w:rFonts w:ascii="Palatino Linotype" w:eastAsia="Calibri" w:hAnsi="Palatino Linotype" w:cs="Arial"/>
          <w:lang w:val="es-ES"/>
        </w:rPr>
        <w:t xml:space="preserve"> presentará el Informe Justificado procedente.</w:t>
      </w:r>
    </w:p>
    <w:p w14:paraId="26233B28" w14:textId="77777777" w:rsidR="00382484" w:rsidRPr="00425E92" w:rsidRDefault="00382484" w:rsidP="00AE6C6A">
      <w:pPr>
        <w:pStyle w:val="Prrafodelista"/>
        <w:spacing w:line="360" w:lineRule="auto"/>
        <w:ind w:left="0"/>
        <w:jc w:val="both"/>
        <w:rPr>
          <w:rFonts w:ascii="Palatino Linotype" w:hAnsi="Palatino Linotype"/>
          <w:color w:val="000000"/>
        </w:rPr>
      </w:pPr>
    </w:p>
    <w:p w14:paraId="59DE5921" w14:textId="1F61363C" w:rsidR="00382484" w:rsidRPr="00425E92" w:rsidRDefault="00382484" w:rsidP="00AE6C6A">
      <w:pPr>
        <w:pStyle w:val="Prrafodelista"/>
        <w:numPr>
          <w:ilvl w:val="0"/>
          <w:numId w:val="1"/>
        </w:numPr>
        <w:spacing w:line="360" w:lineRule="auto"/>
        <w:ind w:left="0" w:firstLine="0"/>
        <w:jc w:val="both"/>
        <w:rPr>
          <w:rFonts w:ascii="Palatino Linotype" w:hAnsi="Palatino Linotype"/>
          <w:color w:val="000000"/>
        </w:rPr>
      </w:pPr>
      <w:r w:rsidRPr="00425E92">
        <w:rPr>
          <w:rFonts w:ascii="Palatino Linotype" w:hAnsi="Palatino Linotype"/>
          <w:color w:val="000000"/>
        </w:rPr>
        <w:t xml:space="preserve">En fecha </w:t>
      </w:r>
      <w:r w:rsidRPr="00425E92">
        <w:rPr>
          <w:rFonts w:ascii="Palatino Linotype" w:hAnsi="Palatino Linotype"/>
          <w:b/>
          <w:color w:val="000000"/>
        </w:rPr>
        <w:t>trece de febrero de dos mil veinticinco</w:t>
      </w:r>
      <w:r w:rsidRPr="00425E92">
        <w:rPr>
          <w:rFonts w:ascii="Palatino Linotype" w:hAnsi="Palatino Linotype"/>
          <w:color w:val="000000"/>
        </w:rPr>
        <w:t xml:space="preserve">, </w:t>
      </w:r>
      <w:r w:rsidR="00C06049" w:rsidRPr="00425E92">
        <w:rPr>
          <w:rFonts w:ascii="Palatino Linotype" w:hAnsi="Palatino Linotype"/>
          <w:color w:val="000000"/>
        </w:rPr>
        <w:t xml:space="preserve">se </w:t>
      </w:r>
      <w:r w:rsidRPr="00425E92">
        <w:rPr>
          <w:rFonts w:ascii="Palatino Linotype" w:hAnsi="Palatino Linotype"/>
          <w:color w:val="000000"/>
        </w:rPr>
        <w:t>remitió un archivo en el apartado de manifestaciones, a saber:</w:t>
      </w:r>
    </w:p>
    <w:p w14:paraId="420E2253" w14:textId="77777777" w:rsidR="00382484" w:rsidRPr="00425E92" w:rsidRDefault="00382484" w:rsidP="00AE6C6A">
      <w:pPr>
        <w:pStyle w:val="Prrafodelista"/>
        <w:spacing w:line="360" w:lineRule="auto"/>
        <w:ind w:left="0"/>
        <w:rPr>
          <w:rFonts w:ascii="Palatino Linotype" w:hAnsi="Palatino Linotype"/>
          <w:color w:val="000000"/>
        </w:rPr>
      </w:pPr>
    </w:p>
    <w:p w14:paraId="3347B41A" w14:textId="6DE9EF75" w:rsidR="00382484" w:rsidRPr="00425E92" w:rsidRDefault="00C06049" w:rsidP="00AE6C6A">
      <w:pPr>
        <w:pStyle w:val="Prrafodelista"/>
        <w:numPr>
          <w:ilvl w:val="0"/>
          <w:numId w:val="7"/>
        </w:numPr>
        <w:spacing w:line="360" w:lineRule="auto"/>
        <w:ind w:left="0"/>
        <w:jc w:val="both"/>
        <w:rPr>
          <w:rFonts w:ascii="Palatino Linotype" w:eastAsia="Palatino Linotype" w:hAnsi="Palatino Linotype"/>
        </w:rPr>
      </w:pPr>
      <w:r w:rsidRPr="00425E92">
        <w:rPr>
          <w:rFonts w:ascii="Palatino Linotype" w:hAnsi="Palatino Linotype"/>
          <w:b/>
        </w:rPr>
        <w:t xml:space="preserve">OFICIO 055 RECURSO </w:t>
      </w:r>
      <w:r w:rsidRPr="00425E92">
        <w:rPr>
          <w:rFonts w:ascii="Palatino Linotype" w:eastAsia="Calibri" w:hAnsi="Palatino Linotype" w:cs="Arial"/>
          <w:lang w:val="es-ES"/>
        </w:rPr>
        <w:t>378</w:t>
      </w:r>
      <w:r w:rsidRPr="00425E92">
        <w:rPr>
          <w:rFonts w:ascii="Palatino Linotype" w:hAnsi="Palatino Linotype"/>
          <w:b/>
        </w:rPr>
        <w:t xml:space="preserve"> DE SOLICITUD 157.pdf</w:t>
      </w:r>
      <w:r w:rsidR="00382484" w:rsidRPr="00425E92">
        <w:rPr>
          <w:rFonts w:ascii="Palatino Linotype" w:hAnsi="Palatino Linotype"/>
        </w:rPr>
        <w:t xml:space="preserve">, que contiene: </w:t>
      </w:r>
      <w:r w:rsidRPr="00425E92">
        <w:rPr>
          <w:rFonts w:ascii="Palatino Linotype" w:eastAsia="Palatino Linotype" w:hAnsi="Palatino Linotype"/>
        </w:rPr>
        <w:t>Oficio 228C0701020001L/055</w:t>
      </w:r>
      <w:r w:rsidR="00382484" w:rsidRPr="00425E92">
        <w:rPr>
          <w:rFonts w:ascii="Palatino Linotype" w:eastAsia="Palatino Linotype" w:hAnsi="Palatino Linotype"/>
        </w:rPr>
        <w:t>/2025, signado por el Jefe del Departamento de Planeación y Programación y Titular de la Unidad de Transparencia indica a la Comisionada Ponente que rendir informe justific</w:t>
      </w:r>
      <w:r w:rsidRPr="00425E92">
        <w:rPr>
          <w:rFonts w:ascii="Palatino Linotype" w:eastAsia="Palatino Linotype" w:hAnsi="Palatino Linotype"/>
        </w:rPr>
        <w:t>ado; Oficio 228C0701040001L/0334</w:t>
      </w:r>
      <w:r w:rsidR="00382484" w:rsidRPr="00425E92">
        <w:rPr>
          <w:rFonts w:ascii="Palatino Linotype" w:eastAsia="Palatino Linotype" w:hAnsi="Palatino Linotype"/>
        </w:rPr>
        <w:t>/2025 signado por la Encargada del Despacho del Departamento de Recursos Humanos a través del cual informó al servidor público respecto del cual se pide la información, que se ha dado puntual respuesta a su petición con el oficio entregado en respuesta; Oficio n</w:t>
      </w:r>
      <w:r w:rsidRPr="00425E92">
        <w:rPr>
          <w:rFonts w:ascii="Palatino Linotype" w:eastAsia="Palatino Linotype" w:hAnsi="Palatino Linotype"/>
        </w:rPr>
        <w:t>úmero 228C0701040001L/0028</w:t>
      </w:r>
      <w:r w:rsidR="00382484" w:rsidRPr="00425E92">
        <w:rPr>
          <w:rFonts w:ascii="Palatino Linotype" w:eastAsia="Palatino Linotype" w:hAnsi="Palatino Linotype"/>
        </w:rPr>
        <w:t xml:space="preserve">/2025, signado por la Jefa del Departamento de Recursos Humanos; mismo que fue remitido en respuesta. Documentales que no se hicieron del conocimiento del solicitante; toda vez que no se cuenta con </w:t>
      </w:r>
      <w:r w:rsidR="00382484" w:rsidRPr="00425E92">
        <w:rPr>
          <w:rFonts w:ascii="Palatino Linotype" w:eastAsia="Palatino Linotype" w:hAnsi="Palatino Linotype" w:cs="Palatino Linotype"/>
          <w:color w:val="000000"/>
        </w:rPr>
        <w:t xml:space="preserve">certeza respecto de la identidad de la persona </w:t>
      </w:r>
      <w:r w:rsidR="00382484" w:rsidRPr="00425E92">
        <w:rPr>
          <w:rFonts w:ascii="Palatino Linotype" w:eastAsia="Palatino Linotype" w:hAnsi="Palatino Linotype" w:cs="Palatino Linotype"/>
          <w:color w:val="000000"/>
        </w:rPr>
        <w:lastRenderedPageBreak/>
        <w:t>titular de los datos, así como de la representación legal con la que actúa la persona solicitante.</w:t>
      </w:r>
    </w:p>
    <w:p w14:paraId="198F57DF" w14:textId="31E3412C" w:rsidR="00947C3B" w:rsidRPr="00425E92" w:rsidRDefault="00947C3B" w:rsidP="00AE6C6A">
      <w:pPr>
        <w:pStyle w:val="Prrafodelista"/>
        <w:spacing w:line="360" w:lineRule="auto"/>
        <w:ind w:left="0"/>
        <w:jc w:val="both"/>
        <w:rPr>
          <w:rFonts w:ascii="Palatino Linotype" w:hAnsi="Palatino Linotype"/>
        </w:rPr>
      </w:pPr>
    </w:p>
    <w:p w14:paraId="4A395AAE" w14:textId="1DF4C2C6" w:rsidR="00EF6B3C" w:rsidRPr="00425E92" w:rsidRDefault="00F0241F" w:rsidP="00AE6C6A">
      <w:pPr>
        <w:pStyle w:val="Prrafodelista"/>
        <w:numPr>
          <w:ilvl w:val="0"/>
          <w:numId w:val="1"/>
        </w:numPr>
        <w:spacing w:line="360" w:lineRule="auto"/>
        <w:ind w:left="0" w:firstLine="0"/>
        <w:jc w:val="both"/>
        <w:rPr>
          <w:rFonts w:ascii="Palatino Linotype" w:hAnsi="Palatino Linotype"/>
          <w:color w:val="000000"/>
        </w:rPr>
      </w:pPr>
      <w:r w:rsidRPr="00425E92">
        <w:rPr>
          <w:rFonts w:ascii="Palatino Linotype" w:hAnsi="Palatino Linotype"/>
          <w:color w:val="000000"/>
        </w:rPr>
        <w:t xml:space="preserve">Mediante Acuerdo de fecha ocho </w:t>
      </w:r>
      <w:r w:rsidR="00C34319" w:rsidRPr="00425E92">
        <w:rPr>
          <w:rFonts w:ascii="Palatino Linotype" w:hAnsi="Palatino Linotype"/>
          <w:color w:val="000000"/>
        </w:rPr>
        <w:t xml:space="preserve">y treinta </w:t>
      </w:r>
      <w:r w:rsidRPr="00425E92">
        <w:rPr>
          <w:rFonts w:ascii="Palatino Linotype" w:hAnsi="Palatino Linotype"/>
          <w:color w:val="000000"/>
        </w:rPr>
        <w:t xml:space="preserve">de abril del año en curso se </w:t>
      </w:r>
      <w:r w:rsidR="00382484" w:rsidRPr="00425E92">
        <w:rPr>
          <w:rFonts w:ascii="Palatino Linotype" w:hAnsi="Palatino Linotype"/>
          <w:color w:val="000000"/>
        </w:rPr>
        <w:t xml:space="preserve">notificó la </w:t>
      </w:r>
      <w:r w:rsidRPr="00425E92">
        <w:rPr>
          <w:rFonts w:ascii="Palatino Linotype" w:hAnsi="Palatino Linotype"/>
          <w:color w:val="000000"/>
        </w:rPr>
        <w:t>recondu</w:t>
      </w:r>
      <w:r w:rsidR="00382484" w:rsidRPr="00425E92">
        <w:rPr>
          <w:rFonts w:ascii="Palatino Linotype" w:hAnsi="Palatino Linotype"/>
          <w:color w:val="000000"/>
        </w:rPr>
        <w:t>cción de</w:t>
      </w:r>
      <w:r w:rsidR="003D106E" w:rsidRPr="00425E92">
        <w:rPr>
          <w:rFonts w:ascii="Palatino Linotype" w:hAnsi="Palatino Linotype"/>
          <w:color w:val="000000"/>
        </w:rPr>
        <w:t xml:space="preserve"> la</w:t>
      </w:r>
      <w:r w:rsidRPr="00425E92">
        <w:rPr>
          <w:rFonts w:ascii="Palatino Linotype" w:hAnsi="Palatino Linotype"/>
          <w:color w:val="000000"/>
        </w:rPr>
        <w:t xml:space="preserve"> vía</w:t>
      </w:r>
      <w:r w:rsidR="00C34319" w:rsidRPr="00425E92">
        <w:rPr>
          <w:rFonts w:ascii="Palatino Linotype" w:hAnsi="Palatino Linotype"/>
          <w:color w:val="000000"/>
        </w:rPr>
        <w:t xml:space="preserve"> a través de SAIMEX y de correo electrónico respectivamente</w:t>
      </w:r>
      <w:r w:rsidR="00382484" w:rsidRPr="00425E92">
        <w:rPr>
          <w:rFonts w:ascii="Palatino Linotype" w:hAnsi="Palatino Linotype"/>
          <w:color w:val="000000"/>
        </w:rPr>
        <w:t>,</w:t>
      </w:r>
      <w:r w:rsidRPr="00425E92">
        <w:rPr>
          <w:rFonts w:ascii="Palatino Linotype" w:hAnsi="Palatino Linotype"/>
          <w:color w:val="000000"/>
        </w:rPr>
        <w:t xml:space="preserve"> al ejercicio del </w:t>
      </w:r>
      <w:r w:rsidRPr="00425E92">
        <w:rPr>
          <w:rFonts w:ascii="Palatino Linotype" w:eastAsia="Calibri" w:hAnsi="Palatino Linotype" w:cs="Arial"/>
          <w:lang w:val="es-ES"/>
        </w:rPr>
        <w:t>derecho</w:t>
      </w:r>
      <w:r w:rsidRPr="00425E92">
        <w:rPr>
          <w:rFonts w:ascii="Palatino Linotype" w:hAnsi="Palatino Linotype"/>
          <w:color w:val="000000"/>
        </w:rPr>
        <w:t xml:space="preserve"> de acceso a datos personales en términos del artículo 112, párrafo segundo de la Ley de Protección de Datos Personales en Posesión de Sujetos Obligados del Estado de México y Municipios, al advertir que</w:t>
      </w:r>
      <w:r w:rsidR="003D106E" w:rsidRPr="00425E92">
        <w:rPr>
          <w:rFonts w:ascii="Palatino Linotype" w:hAnsi="Palatino Linotype"/>
          <w:color w:val="000000"/>
        </w:rPr>
        <w:t xml:space="preserve"> se</w:t>
      </w:r>
      <w:r w:rsidRPr="00425E92">
        <w:rPr>
          <w:rFonts w:ascii="Palatino Linotype" w:hAnsi="Palatino Linotype"/>
          <w:color w:val="000000"/>
        </w:rPr>
        <w:t xml:space="preserve"> prende ejercer </w:t>
      </w:r>
      <w:r w:rsidR="003D106E" w:rsidRPr="00425E92">
        <w:rPr>
          <w:rFonts w:ascii="Palatino Linotype" w:hAnsi="Palatino Linotype"/>
          <w:color w:val="000000"/>
        </w:rPr>
        <w:t>dicho derecho</w:t>
      </w:r>
      <w:r w:rsidRPr="00425E92">
        <w:rPr>
          <w:rFonts w:ascii="Palatino Linotype" w:hAnsi="Palatino Linotype"/>
          <w:color w:val="000000"/>
        </w:rPr>
        <w:t xml:space="preserve"> en términos de lo contemplado en el artículo 98 de la Ley de Protección de Datos Personales en Posesión de Sujetos Obligados del</w:t>
      </w:r>
      <w:r w:rsidR="003D106E" w:rsidRPr="00425E92">
        <w:rPr>
          <w:rFonts w:ascii="Palatino Linotype" w:hAnsi="Palatino Linotype"/>
          <w:color w:val="000000"/>
        </w:rPr>
        <w:t xml:space="preserve"> Estado de México y Municipios, por lo que adicionalmente</w:t>
      </w:r>
      <w:r w:rsidRPr="00425E92">
        <w:rPr>
          <w:rFonts w:ascii="Palatino Linotype" w:hAnsi="Palatino Linotype"/>
          <w:color w:val="000000"/>
        </w:rPr>
        <w:t xml:space="preserve"> se le apercibió a efecto de </w:t>
      </w:r>
      <w:r w:rsidR="00382484" w:rsidRPr="00425E92">
        <w:rPr>
          <w:rFonts w:ascii="Palatino Linotype" w:eastAsia="Palatino Linotype" w:hAnsi="Palatino Linotype" w:cs="Palatino Linotype"/>
        </w:rPr>
        <w:t>que en</w:t>
      </w:r>
      <w:r w:rsidRPr="00425E92">
        <w:rPr>
          <w:rFonts w:ascii="Palatino Linotype" w:eastAsia="Palatino Linotype" w:hAnsi="Palatino Linotype" w:cs="Palatino Linotype"/>
        </w:rPr>
        <w:t xml:space="preserve"> un término no mayor a cinco días hábiles, contados a partir del día hábil siguiente a la fecha de notificación, subsanara la omisión de acreditar su identidad y representación, así como la identidad de la persona titular de los datos personales sobre los</w:t>
      </w:r>
      <w:r w:rsidR="00382484" w:rsidRPr="00425E92">
        <w:rPr>
          <w:rFonts w:ascii="Palatino Linotype" w:eastAsia="Palatino Linotype" w:hAnsi="Palatino Linotype" w:cs="Palatino Linotype"/>
        </w:rPr>
        <w:t xml:space="preserve"> cuales se pretende ejercer el d</w:t>
      </w:r>
      <w:r w:rsidRPr="00425E92">
        <w:rPr>
          <w:rFonts w:ascii="Palatino Linotype" w:eastAsia="Palatino Linotype" w:hAnsi="Palatino Linotype" w:cs="Palatino Linotype"/>
        </w:rPr>
        <w:t xml:space="preserve">erecho de </w:t>
      </w:r>
      <w:r w:rsidR="00382484" w:rsidRPr="00425E92">
        <w:rPr>
          <w:rFonts w:ascii="Palatino Linotype" w:eastAsia="Palatino Linotype" w:hAnsi="Palatino Linotype" w:cs="Palatino Linotype"/>
        </w:rPr>
        <w:t>acceso a datos personales.</w:t>
      </w:r>
    </w:p>
    <w:p w14:paraId="15ED3AC4" w14:textId="77777777" w:rsidR="003D106E" w:rsidRPr="00425E92" w:rsidRDefault="003D106E" w:rsidP="00AE6C6A">
      <w:pPr>
        <w:pStyle w:val="Prrafodelista"/>
        <w:ind w:left="0"/>
        <w:rPr>
          <w:rFonts w:ascii="Palatino Linotype" w:hAnsi="Palatino Linotype"/>
          <w:color w:val="000000"/>
        </w:rPr>
      </w:pPr>
    </w:p>
    <w:p w14:paraId="4D6720FD" w14:textId="77777777" w:rsidR="00827A8B" w:rsidRPr="00425E92" w:rsidRDefault="00CA3F0F" w:rsidP="00AE6C6A">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425E92">
        <w:rPr>
          <w:rFonts w:ascii="Palatino Linotype" w:eastAsia="Palatino Linotype" w:hAnsi="Palatino Linotype" w:cs="Palatino Linotype"/>
          <w:color w:val="000000"/>
        </w:rPr>
        <w:t xml:space="preserve">El </w:t>
      </w:r>
      <w:r w:rsidR="00827A8B" w:rsidRPr="00425E92">
        <w:rPr>
          <w:rFonts w:ascii="Palatino Linotype" w:eastAsia="Palatino Linotype" w:hAnsi="Palatino Linotype" w:cs="Palatino Linotype"/>
          <w:b/>
          <w:color w:val="000000"/>
        </w:rPr>
        <w:t>catorce de marzo</w:t>
      </w:r>
      <w:r w:rsidRPr="00425E92">
        <w:rPr>
          <w:rFonts w:ascii="Palatino Linotype" w:eastAsia="Palatino Linotype" w:hAnsi="Palatino Linotype" w:cs="Palatino Linotype"/>
          <w:b/>
          <w:color w:val="000000"/>
        </w:rPr>
        <w:t xml:space="preserve"> de dos mil veinticinco</w:t>
      </w:r>
      <w:r w:rsidRPr="00425E92">
        <w:rPr>
          <w:rFonts w:ascii="Palatino Linotype" w:eastAsia="Palatino Linotype" w:hAnsi="Palatino Linotype" w:cs="Palatino Linotype"/>
          <w:color w:val="000000"/>
        </w:rPr>
        <w:t xml:space="preserve">, con fundamento en el artículo 181, tercer párrafo, de la Ley de Transparencia y Acceso a la </w:t>
      </w:r>
      <w:r w:rsidRPr="00425E92">
        <w:rPr>
          <w:rFonts w:ascii="Palatino Linotype" w:hAnsi="Palatino Linotype"/>
          <w:color w:val="000000"/>
        </w:rPr>
        <w:t>Información</w:t>
      </w:r>
      <w:r w:rsidRPr="00425E92">
        <w:rPr>
          <w:rFonts w:ascii="Palatino Linotype" w:eastAsia="Palatino Linotype" w:hAnsi="Palatino Linotype" w:cs="Palatino Linotype"/>
          <w:color w:val="000000"/>
        </w:rPr>
        <w:t xml:space="preserve"> Pública del Estado de México y Municipios se notificó que el plazo de treinta días para resolver el recurso de revisión sería ampliado por un periodo de quince días hábiles adicionales.</w:t>
      </w:r>
    </w:p>
    <w:p w14:paraId="1FA3FF9D" w14:textId="77777777" w:rsidR="00382484" w:rsidRPr="00425E92" w:rsidRDefault="00382484" w:rsidP="00AE6C6A">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519A870A" w14:textId="00ADD98D" w:rsidR="00050602" w:rsidRPr="00425E92" w:rsidRDefault="00827A8B" w:rsidP="00AE6C6A">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425E92">
        <w:rPr>
          <w:rFonts w:ascii="Palatino Linotype" w:eastAsia="Palatino Linotype" w:hAnsi="Palatino Linotype" w:cs="Palatino Linotype"/>
        </w:rPr>
        <w:t xml:space="preserve">El </w:t>
      </w:r>
      <w:r w:rsidRPr="00425E92">
        <w:rPr>
          <w:rFonts w:ascii="Palatino Linotype" w:eastAsia="Palatino Linotype" w:hAnsi="Palatino Linotype" w:cs="Palatino Linotype"/>
          <w:b/>
        </w:rPr>
        <w:t xml:space="preserve">veintidós de abril de dos mil veinticinco, </w:t>
      </w:r>
      <w:r w:rsidRPr="00425E92">
        <w:rPr>
          <w:rFonts w:ascii="Palatino Linotype" w:eastAsia="Palatino Linotype" w:hAnsi="Palatino Linotype" w:cs="Palatino Linotype"/>
        </w:rPr>
        <w:t xml:space="preserve">al no haber desahogado la prevención relativa a la acreditación de la identidad y representación, así como la identidad de la persona titular de los datos personales sobre los cuales se pretende ejercer el Derecho de </w:t>
      </w:r>
      <w:r w:rsidRPr="00425E92">
        <w:rPr>
          <w:rFonts w:ascii="Palatino Linotype" w:eastAsia="Palatino Linotype" w:hAnsi="Palatino Linotype" w:cs="Palatino Linotype"/>
        </w:rPr>
        <w:lastRenderedPageBreak/>
        <w:t xml:space="preserve">acceso, en el plazo establecido para tal efecto, se decretó la preclusión del mismo, de conformidad con los artículos 124 y 136 de la Ley de Protección de Datos Personales en Posesión de Sujetos Obligados del Estado de México y Municipios. </w:t>
      </w:r>
      <w:r w:rsidR="00CA3F0F" w:rsidRPr="00425E92">
        <w:rPr>
          <w:rFonts w:ascii="Palatino Linotype" w:eastAsia="Palatino Linotype" w:hAnsi="Palatino Linotype" w:cs="Palatino Linotype"/>
          <w:color w:val="000000"/>
        </w:rPr>
        <w:t xml:space="preserve">Seguidamente mediante Acuerdo de </w:t>
      </w:r>
      <w:r w:rsidRPr="00425E92">
        <w:rPr>
          <w:rFonts w:ascii="Palatino Linotype" w:eastAsia="Palatino Linotype" w:hAnsi="Palatino Linotype" w:cs="Palatino Linotype"/>
          <w:color w:val="000000"/>
        </w:rPr>
        <w:t>fecha</w:t>
      </w:r>
      <w:r w:rsidR="00CE08AC" w:rsidRPr="00425E92">
        <w:rPr>
          <w:rFonts w:ascii="Palatino Linotype" w:eastAsia="Palatino Linotype" w:hAnsi="Palatino Linotype" w:cs="Palatino Linotype"/>
          <w:color w:val="000000"/>
        </w:rPr>
        <w:t xml:space="preserve"> quince de mayo del año en curso</w:t>
      </w:r>
      <w:r w:rsidRPr="00425E92">
        <w:rPr>
          <w:rFonts w:ascii="Palatino Linotype" w:eastAsia="Palatino Linotype" w:hAnsi="Palatino Linotype" w:cs="Palatino Linotype"/>
          <w:color w:val="000000"/>
        </w:rPr>
        <w:t xml:space="preserve"> </w:t>
      </w:r>
      <w:r w:rsidR="00CA3F0F" w:rsidRPr="00425E92">
        <w:rPr>
          <w:rFonts w:ascii="Palatino Linotype" w:eastAsia="Palatino Linotype" w:hAnsi="Palatino Linotype" w:cs="Palatino Linotype"/>
          <w:color w:val="000000"/>
        </w:rPr>
        <w:t xml:space="preserve">se decretó el cierre de instrucción, por lo que: </w:t>
      </w:r>
    </w:p>
    <w:p w14:paraId="596C849E" w14:textId="77777777" w:rsidR="00827A8B" w:rsidRPr="00425E92" w:rsidRDefault="00827A8B" w:rsidP="00AE6C6A">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6967D00B" w14:textId="0E1F278D" w:rsidR="00947C3B" w:rsidRPr="00425E92" w:rsidRDefault="00947C3B" w:rsidP="00AE6C6A">
      <w:pPr>
        <w:pStyle w:val="Ttulo1"/>
        <w:spacing w:before="0" w:line="360" w:lineRule="auto"/>
        <w:jc w:val="center"/>
        <w:rPr>
          <w:rFonts w:ascii="Palatino Linotype" w:hAnsi="Palatino Linotype"/>
          <w:b/>
          <w:color w:val="000000" w:themeColor="text1"/>
          <w:sz w:val="24"/>
          <w:szCs w:val="24"/>
        </w:rPr>
      </w:pPr>
      <w:bookmarkStart w:id="62" w:name="_Toc491791302"/>
      <w:bookmarkStart w:id="63" w:name="_Toc83128578"/>
      <w:r w:rsidRPr="00425E92">
        <w:rPr>
          <w:rFonts w:ascii="Palatino Linotype" w:hAnsi="Palatino Linotype"/>
          <w:b/>
          <w:color w:val="000000" w:themeColor="text1"/>
          <w:sz w:val="24"/>
          <w:szCs w:val="24"/>
        </w:rPr>
        <w:t>C</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O</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N</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S</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I</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D</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E</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R</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A</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N</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D</w:t>
      </w:r>
      <w:r w:rsidR="00AE6C6A" w:rsidRPr="00425E92">
        <w:rPr>
          <w:rFonts w:ascii="Palatino Linotype" w:hAnsi="Palatino Linotype"/>
          <w:b/>
          <w:color w:val="000000" w:themeColor="text1"/>
          <w:sz w:val="24"/>
          <w:szCs w:val="24"/>
        </w:rPr>
        <w:t xml:space="preserve"> </w:t>
      </w:r>
      <w:r w:rsidRPr="00425E92">
        <w:rPr>
          <w:rFonts w:ascii="Palatino Linotype" w:hAnsi="Palatino Linotype"/>
          <w:b/>
          <w:color w:val="000000" w:themeColor="text1"/>
          <w:sz w:val="24"/>
          <w:szCs w:val="24"/>
        </w:rPr>
        <w:t>O</w:t>
      </w:r>
      <w:bookmarkEnd w:id="62"/>
      <w:bookmarkEnd w:id="63"/>
    </w:p>
    <w:p w14:paraId="4EA515D4" w14:textId="77777777" w:rsidR="00947C3B" w:rsidRPr="00425E92" w:rsidRDefault="00947C3B" w:rsidP="00AE6C6A">
      <w:pPr>
        <w:pStyle w:val="Ttulo2"/>
        <w:spacing w:before="0" w:line="360" w:lineRule="auto"/>
        <w:rPr>
          <w:rFonts w:ascii="Palatino Linotype" w:hAnsi="Palatino Linotype"/>
          <w:b/>
          <w:color w:val="auto"/>
          <w:sz w:val="24"/>
          <w:szCs w:val="24"/>
        </w:rPr>
      </w:pPr>
      <w:bookmarkStart w:id="64" w:name="_Toc491791303"/>
      <w:bookmarkStart w:id="65" w:name="_Toc83128579"/>
    </w:p>
    <w:p w14:paraId="2E434C12" w14:textId="77777777" w:rsidR="00947C3B" w:rsidRPr="00425E92" w:rsidRDefault="00947C3B" w:rsidP="00AE6C6A">
      <w:pPr>
        <w:pStyle w:val="Ttulo2"/>
        <w:spacing w:before="0" w:line="360" w:lineRule="auto"/>
        <w:rPr>
          <w:rFonts w:ascii="Palatino Linotype" w:hAnsi="Palatino Linotype"/>
          <w:b/>
          <w:color w:val="auto"/>
          <w:sz w:val="24"/>
          <w:szCs w:val="24"/>
        </w:rPr>
      </w:pPr>
      <w:r w:rsidRPr="00425E92">
        <w:rPr>
          <w:rFonts w:ascii="Palatino Linotype" w:hAnsi="Palatino Linotype"/>
          <w:b/>
          <w:color w:val="auto"/>
          <w:sz w:val="24"/>
          <w:szCs w:val="24"/>
        </w:rPr>
        <w:t>PRIMERO. De la competencia</w:t>
      </w:r>
      <w:bookmarkEnd w:id="64"/>
      <w:bookmarkEnd w:id="65"/>
    </w:p>
    <w:p w14:paraId="330BB4B2" w14:textId="6F150EAE" w:rsidR="00827A8B" w:rsidRPr="00425E92" w:rsidRDefault="00827A8B" w:rsidP="00AE6C6A">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25E92">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w:t>
      </w:r>
      <w:r w:rsidR="003E3CE0" w:rsidRPr="00425E92">
        <w:rPr>
          <w:rFonts w:ascii="Palatino Linotype" w:eastAsia="Palatino Linotype" w:hAnsi="Palatino Linotype" w:cs="Palatino Linotype"/>
        </w:rPr>
        <w:t xml:space="preserve"> vigente a la fecha de la solicitud</w:t>
      </w:r>
      <w:r w:rsidRPr="00425E92">
        <w:rPr>
          <w:rFonts w:ascii="Palatino Linotype" w:eastAsia="Palatino Linotype" w:hAnsi="Palatino Linotype" w:cs="Palatino Linotype"/>
        </w:rPr>
        <w:t xml:space="preserve">;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w:t>
      </w:r>
      <w:r w:rsidRPr="00425E92">
        <w:rPr>
          <w:rFonts w:ascii="Palatino Linotype" w:eastAsia="Palatino Linotype" w:hAnsi="Palatino Linotype" w:cs="Palatino Linotype"/>
        </w:rPr>
        <w:lastRenderedPageBreak/>
        <w:t>y Municipios; 9, fracciones I y XXIII y 11 del Reglamento Interior del Instituto de Transparencia, Acceso a la Información Pública y Protección de Datos Personales del Estado de México y Municipios.</w:t>
      </w:r>
    </w:p>
    <w:p w14:paraId="2E4166AF" w14:textId="77777777" w:rsidR="00C47088" w:rsidRPr="00425E92" w:rsidRDefault="00C47088" w:rsidP="00AE6C6A">
      <w:pPr>
        <w:spacing w:line="360" w:lineRule="auto"/>
        <w:contextualSpacing/>
        <w:jc w:val="both"/>
        <w:rPr>
          <w:rFonts w:ascii="Palatino Linotype" w:hAnsi="Palatino Linotype"/>
          <w:color w:val="000000" w:themeColor="text1"/>
        </w:rPr>
      </w:pPr>
    </w:p>
    <w:p w14:paraId="4678A3EE" w14:textId="1F5DA7A0" w:rsidR="00947C3B" w:rsidRPr="00425E92" w:rsidRDefault="00947C3B" w:rsidP="00AE6C6A">
      <w:pPr>
        <w:spacing w:line="360" w:lineRule="auto"/>
        <w:contextualSpacing/>
        <w:jc w:val="both"/>
        <w:rPr>
          <w:rFonts w:ascii="Palatino Linotype" w:hAnsi="Palatino Linotype"/>
          <w:b/>
        </w:rPr>
      </w:pPr>
      <w:r w:rsidRPr="00425E92">
        <w:rPr>
          <w:rFonts w:ascii="Palatino Linotype" w:hAnsi="Palatino Linotype"/>
          <w:color w:val="000000" w:themeColor="text1"/>
        </w:rPr>
        <w:t xml:space="preserve"> </w:t>
      </w:r>
      <w:bookmarkStart w:id="66" w:name="_Toc491791304"/>
      <w:bookmarkStart w:id="67" w:name="_Toc83128580"/>
      <w:r w:rsidRPr="00425E92">
        <w:rPr>
          <w:rFonts w:ascii="Palatino Linotype" w:hAnsi="Palatino Linotype"/>
          <w:b/>
        </w:rPr>
        <w:t>SEGUNDO. De la oportunidad y procedencia.</w:t>
      </w:r>
      <w:bookmarkEnd w:id="66"/>
      <w:bookmarkEnd w:id="67"/>
    </w:p>
    <w:p w14:paraId="60E72AD3" w14:textId="18D906DC" w:rsidR="00A72EED" w:rsidRPr="00425E92" w:rsidRDefault="00382484" w:rsidP="00AE6C6A">
      <w:pPr>
        <w:numPr>
          <w:ilvl w:val="0"/>
          <w:numId w:val="1"/>
        </w:numPr>
        <w:spacing w:line="360" w:lineRule="auto"/>
        <w:ind w:left="0" w:firstLine="0"/>
        <w:contextualSpacing/>
        <w:jc w:val="both"/>
        <w:rPr>
          <w:rFonts w:ascii="Palatino Linotype" w:hAnsi="Palatino Linotype"/>
        </w:rPr>
      </w:pPr>
      <w:r w:rsidRPr="00425E92">
        <w:rPr>
          <w:rFonts w:ascii="Palatino Linotype" w:eastAsia="Palatino Linotype" w:hAnsi="Palatino Linotype" w:cs="Palatino Linotype"/>
        </w:rPr>
        <w:t>El R</w:t>
      </w:r>
      <w:r w:rsidR="0077616D" w:rsidRPr="00425E92">
        <w:rPr>
          <w:rFonts w:ascii="Palatino Linotype" w:eastAsia="Palatino Linotype" w:hAnsi="Palatino Linotype" w:cs="Palatino Linotype"/>
        </w:rPr>
        <w:t xml:space="preserve">ecurso de </w:t>
      </w:r>
      <w:r w:rsidRPr="00425E92">
        <w:rPr>
          <w:rFonts w:ascii="Palatino Linotype" w:eastAsia="Palatino Linotype" w:hAnsi="Palatino Linotype" w:cs="Palatino Linotype"/>
        </w:rPr>
        <w:t>R</w:t>
      </w:r>
      <w:r w:rsidR="0077616D" w:rsidRPr="00425E92">
        <w:rPr>
          <w:rFonts w:ascii="Palatino Linotype" w:eastAsia="Palatino Linotype" w:hAnsi="Palatino Linotype" w:cs="Palatino Linotype"/>
        </w:rPr>
        <w:t>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w:t>
      </w:r>
      <w:r w:rsidR="00A72EED" w:rsidRPr="00425E92">
        <w:rPr>
          <w:rFonts w:ascii="Palatino Linotype" w:eastAsia="Calibri" w:hAnsi="Palatino Linotype" w:cs="Tahoma"/>
          <w:color w:val="000000"/>
          <w:lang w:eastAsia="es-MX"/>
        </w:rPr>
        <w:t>.</w:t>
      </w:r>
    </w:p>
    <w:p w14:paraId="4F1B3892" w14:textId="77777777" w:rsidR="0077616D" w:rsidRPr="00425E92" w:rsidRDefault="0077616D"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r w:rsidRPr="00425E92">
        <w:rPr>
          <w:rFonts w:ascii="Palatino Linotype" w:eastAsia="Palatino Linotype" w:hAnsi="Palatino Linotype" w:cs="Palatino Linotype"/>
          <w:b/>
          <w:i/>
        </w:rPr>
        <w:t xml:space="preserve">Artículo 128. </w:t>
      </w:r>
      <w:r w:rsidRPr="00425E92">
        <w:rPr>
          <w:rFonts w:ascii="Palatino Linotype" w:eastAsia="Palatino Linotype" w:hAnsi="Palatino Linotype" w:cs="Palatino Linotype"/>
          <w:i/>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25618DF" w14:textId="77777777" w:rsidR="0077616D" w:rsidRPr="00425E92" w:rsidRDefault="0077616D"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32CB93D2" w14:textId="77777777" w:rsidR="0077616D" w:rsidRPr="00425E92" w:rsidRDefault="0077616D" w:rsidP="00AE6C6A">
      <w:pPr>
        <w:spacing w:line="360" w:lineRule="auto"/>
        <w:jc w:val="both"/>
        <w:rPr>
          <w:rFonts w:ascii="Palatino Linotype" w:eastAsia="Palatino Linotype" w:hAnsi="Palatino Linotype" w:cs="Palatino Linotype"/>
          <w:i/>
        </w:rPr>
      </w:pPr>
    </w:p>
    <w:p w14:paraId="1C050911" w14:textId="7C585CA4" w:rsidR="0077616D" w:rsidRPr="00425E92" w:rsidRDefault="0077616D"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En esa tesitura, atendiendo a que el</w:t>
      </w:r>
      <w:r w:rsidRPr="00425E92">
        <w:rPr>
          <w:rFonts w:ascii="Palatino Linotype" w:eastAsia="Palatino Linotype" w:hAnsi="Palatino Linotype" w:cs="Palatino Linotype"/>
          <w:b/>
        </w:rPr>
        <w:t xml:space="preserve"> </w:t>
      </w:r>
      <w:r w:rsidR="00382484" w:rsidRPr="00425E92">
        <w:rPr>
          <w:rFonts w:ascii="Palatino Linotype" w:eastAsia="Palatino Linotype" w:hAnsi="Palatino Linotype" w:cs="Palatino Linotype"/>
          <w:b/>
        </w:rPr>
        <w:t>SUJETO OBLIGADO</w:t>
      </w:r>
      <w:r w:rsidRPr="00425E92">
        <w:rPr>
          <w:rFonts w:ascii="Palatino Linotype" w:eastAsia="Palatino Linotype" w:hAnsi="Palatino Linotype" w:cs="Palatino Linotype"/>
        </w:rPr>
        <w:t xml:space="preserve"> notificó la respuesta a la solicitud el </w:t>
      </w:r>
      <w:r w:rsidRPr="00425E92">
        <w:rPr>
          <w:rFonts w:ascii="Palatino Linotype" w:eastAsia="Palatino Linotype" w:hAnsi="Palatino Linotype" w:cs="Palatino Linotype"/>
          <w:b/>
        </w:rPr>
        <w:t>diecisiete de enero de dos mil veinticinco</w:t>
      </w:r>
      <w:r w:rsidRPr="00425E92">
        <w:rPr>
          <w:rFonts w:ascii="Palatino Linotype" w:eastAsia="Palatino Linotype" w:hAnsi="Palatino Linotype" w:cs="Palatino Linotype"/>
        </w:rPr>
        <w:t xml:space="preserve">, por lo que, el plazo de quince días hábiles que contempla el artículo 128 de la Ley de Protección de Datos Personales en Posesión de Sujetos Obligados del Estado de México y Municipios, transcurrió del </w:t>
      </w:r>
      <w:r w:rsidRPr="00425E92">
        <w:rPr>
          <w:rFonts w:ascii="Palatino Linotype" w:eastAsia="Palatino Linotype" w:hAnsi="Palatino Linotype" w:cs="Palatino Linotype"/>
          <w:b/>
        </w:rPr>
        <w:t>veinte de enero de dos mil veinticinco al diez de febrero de dos mil veinticinco</w:t>
      </w:r>
      <w:r w:rsidRPr="00425E92">
        <w:rPr>
          <w:rFonts w:ascii="Palatino Linotype" w:eastAsia="Palatino Linotype" w:hAnsi="Palatino Linotype" w:cs="Palatino Linotype"/>
        </w:rPr>
        <w:t xml:space="preserve">; en términos de </w:t>
      </w:r>
      <w:r w:rsidRPr="00425E92">
        <w:rPr>
          <w:rFonts w:ascii="Palatino Linotype" w:eastAsia="Palatino Linotype" w:hAnsi="Palatino Linotype" w:cs="Palatino Linotype"/>
        </w:rPr>
        <w:lastRenderedPageBreak/>
        <w:t>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0FADDB5E" w14:textId="77777777" w:rsidR="00BB78C3" w:rsidRPr="00425E92" w:rsidRDefault="00BB78C3" w:rsidP="00AE6C6A">
      <w:pPr>
        <w:spacing w:line="360" w:lineRule="auto"/>
        <w:contextualSpacing/>
        <w:jc w:val="both"/>
        <w:rPr>
          <w:rFonts w:ascii="Palatino Linotype" w:eastAsia="Palatino Linotype" w:hAnsi="Palatino Linotype" w:cs="Palatino Linotype"/>
        </w:rPr>
      </w:pPr>
    </w:p>
    <w:p w14:paraId="083993CA" w14:textId="51E0DC54" w:rsidR="0077616D" w:rsidRPr="00425E92" w:rsidRDefault="0038248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Por lo que</w:t>
      </w:r>
      <w:r w:rsidR="0077616D" w:rsidRPr="00425E92">
        <w:rPr>
          <w:rFonts w:ascii="Palatino Linotype" w:eastAsia="Palatino Linotype" w:hAnsi="Palatino Linotype" w:cs="Palatino Linotype"/>
        </w:rPr>
        <w:t xml:space="preserve"> si el </w:t>
      </w:r>
      <w:r w:rsidRPr="00425E92">
        <w:rPr>
          <w:rFonts w:ascii="Palatino Linotype" w:eastAsia="Palatino Linotype" w:hAnsi="Palatino Linotype" w:cs="Palatino Linotype"/>
        </w:rPr>
        <w:t>R</w:t>
      </w:r>
      <w:r w:rsidR="0077616D" w:rsidRPr="00425E92">
        <w:rPr>
          <w:rFonts w:ascii="Palatino Linotype" w:eastAsia="Palatino Linotype" w:hAnsi="Palatino Linotype" w:cs="Palatino Linotype"/>
        </w:rPr>
        <w:t xml:space="preserve">ecurso de </w:t>
      </w:r>
      <w:r w:rsidRPr="00425E92">
        <w:rPr>
          <w:rFonts w:ascii="Palatino Linotype" w:eastAsia="Palatino Linotype" w:hAnsi="Palatino Linotype" w:cs="Palatino Linotype"/>
        </w:rPr>
        <w:t>R</w:t>
      </w:r>
      <w:r w:rsidR="0077616D" w:rsidRPr="00425E92">
        <w:rPr>
          <w:rFonts w:ascii="Palatino Linotype" w:eastAsia="Palatino Linotype" w:hAnsi="Palatino Linotype" w:cs="Palatino Linotype"/>
        </w:rPr>
        <w:t xml:space="preserve">evisión que nos ocupa se interpuso el </w:t>
      </w:r>
      <w:r w:rsidR="0077616D" w:rsidRPr="00425E92">
        <w:rPr>
          <w:rFonts w:ascii="Palatino Linotype" w:eastAsia="Palatino Linotype" w:hAnsi="Palatino Linotype" w:cs="Palatino Linotype"/>
          <w:b/>
        </w:rPr>
        <w:t>treinta y uno de enero de dos mil veinticinco</w:t>
      </w:r>
      <w:r w:rsidR="0077616D" w:rsidRPr="00425E92">
        <w:rPr>
          <w:rFonts w:ascii="Palatino Linotype" w:eastAsia="Palatino Linotype" w:hAnsi="Palatino Linotype" w:cs="Palatino Linotype"/>
        </w:rPr>
        <w:t>; es decir, el décimo día hábil siguiente al que tu</w:t>
      </w:r>
      <w:r w:rsidRPr="00425E92">
        <w:rPr>
          <w:rFonts w:ascii="Palatino Linotype" w:eastAsia="Palatino Linotype" w:hAnsi="Palatino Linotype" w:cs="Palatino Linotype"/>
        </w:rPr>
        <w:t>vo conocimiento de la respuesta,</w:t>
      </w:r>
      <w:r w:rsidR="0077616D" w:rsidRPr="00425E92">
        <w:rPr>
          <w:rFonts w:ascii="Palatino Linotype" w:eastAsia="Palatino Linotype" w:hAnsi="Palatino Linotype" w:cs="Palatino Linotype"/>
        </w:rPr>
        <w:t xml:space="preserve"> </w:t>
      </w:r>
      <w:r w:rsidRPr="00425E92">
        <w:rPr>
          <w:rFonts w:ascii="Palatino Linotype" w:eastAsia="Palatino Linotype" w:hAnsi="Palatino Linotype" w:cs="Palatino Linotype"/>
        </w:rPr>
        <w:t>se colige que</w:t>
      </w:r>
      <w:r w:rsidR="0077616D" w:rsidRPr="00425E92">
        <w:rPr>
          <w:rFonts w:ascii="Palatino Linotype" w:eastAsia="Palatino Linotype" w:hAnsi="Palatino Linotype" w:cs="Palatino Linotype"/>
        </w:rPr>
        <w:t xml:space="preserve"> el medio de impugnación se encuentra dentro de los márgenes temporales previstos en el artículo 128 de la Ley de Protección de Datos Personales en Posesión de Sujetos Obligados del Estado de México y Municipios y, por tanto, su interposición </w:t>
      </w:r>
      <w:r w:rsidR="00BB78C3" w:rsidRPr="00425E92">
        <w:rPr>
          <w:rFonts w:ascii="Palatino Linotype" w:eastAsia="Palatino Linotype" w:hAnsi="Palatino Linotype" w:cs="Palatino Linotype"/>
        </w:rPr>
        <w:t>resulta</w:t>
      </w:r>
      <w:r w:rsidR="0077616D" w:rsidRPr="00425E92">
        <w:rPr>
          <w:rFonts w:ascii="Palatino Linotype" w:eastAsia="Palatino Linotype" w:hAnsi="Palatino Linotype" w:cs="Palatino Linotype"/>
        </w:rPr>
        <w:t xml:space="preserve"> oportuna.</w:t>
      </w:r>
    </w:p>
    <w:p w14:paraId="55B4F8C1" w14:textId="77777777" w:rsidR="00407F62" w:rsidRPr="00425E92" w:rsidRDefault="00407F62" w:rsidP="00AE6C6A">
      <w:pPr>
        <w:spacing w:line="360" w:lineRule="auto"/>
        <w:rPr>
          <w:rFonts w:ascii="Palatino Linotype" w:hAnsi="Palatino Linotype"/>
        </w:rPr>
      </w:pPr>
    </w:p>
    <w:p w14:paraId="016C3D4C" w14:textId="424E4783" w:rsidR="00947C3B" w:rsidRPr="00425E92" w:rsidRDefault="00947C3B" w:rsidP="00AE6C6A">
      <w:pPr>
        <w:pStyle w:val="Ttulo2"/>
        <w:spacing w:before="0" w:line="360" w:lineRule="auto"/>
        <w:rPr>
          <w:rFonts w:ascii="Palatino Linotype" w:hAnsi="Palatino Linotype"/>
          <w:b/>
          <w:color w:val="000000" w:themeColor="text1"/>
          <w:sz w:val="24"/>
          <w:szCs w:val="24"/>
        </w:rPr>
      </w:pPr>
      <w:bookmarkStart w:id="68" w:name="_Toc34246179"/>
      <w:bookmarkStart w:id="69" w:name="_Toc50033991"/>
      <w:bookmarkStart w:id="70" w:name="_Toc51259588"/>
      <w:bookmarkStart w:id="71" w:name="_Toc83128581"/>
      <w:r w:rsidRPr="00425E92">
        <w:rPr>
          <w:rFonts w:ascii="Palatino Linotype" w:hAnsi="Palatino Linotype"/>
          <w:b/>
          <w:color w:val="000000" w:themeColor="text1"/>
          <w:sz w:val="24"/>
          <w:szCs w:val="24"/>
        </w:rPr>
        <w:t xml:space="preserve">TERCERO. </w:t>
      </w:r>
      <w:bookmarkEnd w:id="68"/>
      <w:bookmarkEnd w:id="69"/>
      <w:bookmarkEnd w:id="70"/>
      <w:bookmarkEnd w:id="71"/>
      <w:r w:rsidR="00C32E84" w:rsidRPr="00425E92">
        <w:rPr>
          <w:rFonts w:ascii="Palatino Linotype" w:hAnsi="Palatino Linotype"/>
          <w:b/>
          <w:color w:val="000000" w:themeColor="text1"/>
          <w:sz w:val="24"/>
          <w:szCs w:val="24"/>
        </w:rPr>
        <w:t>De las causales de sobreseimiento.</w:t>
      </w:r>
    </w:p>
    <w:p w14:paraId="0E599386" w14:textId="2B2FD349" w:rsidR="00947C3B" w:rsidRPr="00425E92" w:rsidRDefault="00947C3B" w:rsidP="00AE6C6A">
      <w:pPr>
        <w:pStyle w:val="Prrafodelista"/>
        <w:numPr>
          <w:ilvl w:val="0"/>
          <w:numId w:val="1"/>
        </w:numPr>
        <w:spacing w:line="360" w:lineRule="auto"/>
        <w:ind w:left="0" w:firstLine="0"/>
        <w:jc w:val="both"/>
        <w:rPr>
          <w:rFonts w:ascii="Palatino Linotype" w:hAnsi="Palatino Linotype" w:cs="Arial"/>
        </w:rPr>
      </w:pPr>
      <w:r w:rsidRPr="00425E92">
        <w:rPr>
          <w:rFonts w:ascii="Palatino Linotype" w:hAnsi="Palatino Linotype" w:cs="Arial"/>
        </w:rPr>
        <w:t xml:space="preserve">Se </w:t>
      </w:r>
      <w:r w:rsidRPr="00425E92">
        <w:rPr>
          <w:rFonts w:ascii="Palatino Linotype" w:eastAsia="Calibri" w:hAnsi="Palatino Linotype" w:cs="Arial"/>
        </w:rPr>
        <w:t>solicitó</w:t>
      </w:r>
      <w:r w:rsidRPr="00425E92">
        <w:rPr>
          <w:rFonts w:ascii="Palatino Linotype" w:hAnsi="Palatino Linotype" w:cs="Arial"/>
        </w:rPr>
        <w:t xml:space="preserve"> tener acceso, a la información que a continuación se desagrega</w:t>
      </w:r>
      <w:r w:rsidR="00A102A9" w:rsidRPr="00425E92">
        <w:rPr>
          <w:rFonts w:ascii="Palatino Linotype" w:hAnsi="Palatino Linotype" w:cs="Arial"/>
        </w:rPr>
        <w:t>:</w:t>
      </w:r>
    </w:p>
    <w:p w14:paraId="47E76662" w14:textId="0D64B28C" w:rsidR="00BB78C3" w:rsidRPr="00425E92" w:rsidRDefault="00BB78C3" w:rsidP="00AE6C6A">
      <w:pPr>
        <w:spacing w:line="360" w:lineRule="auto"/>
        <w:jc w:val="both"/>
        <w:rPr>
          <w:rFonts w:ascii="Palatino Linotype" w:eastAsia="Palatino Linotype" w:hAnsi="Palatino Linotype" w:cs="Palatino Linotype"/>
          <w:b/>
          <w:i/>
        </w:rPr>
      </w:pPr>
      <w:r w:rsidRPr="00425E92">
        <w:rPr>
          <w:rFonts w:ascii="Palatino Linotype" w:eastAsia="Palatino Linotype" w:hAnsi="Palatino Linotype" w:cs="Palatino Linotype"/>
          <w:b/>
        </w:rPr>
        <w:t>Con base al Anexo de Ejecución 0236/2024 celebrado entre el Ejecutivo Federal, Gobierno del Estado de México y el Colegio de Bachilleres, el diez de enero del dos mil veinticuatro, que incluye el Apartado Analítico de servicios personales 2024, plazas, horas y sueldos autorizados</w:t>
      </w:r>
      <w:r w:rsidR="00C06049" w:rsidRPr="00425E92">
        <w:rPr>
          <w:rFonts w:ascii="Palatino Linotype" w:eastAsia="Palatino Linotype" w:hAnsi="Palatino Linotype" w:cs="Palatino Linotype"/>
          <w:b/>
        </w:rPr>
        <w:t>, la siguiente información del servidor público señalado</w:t>
      </w:r>
      <w:r w:rsidRPr="00425E92">
        <w:rPr>
          <w:rFonts w:ascii="Palatino Linotype" w:eastAsia="Palatino Linotype" w:hAnsi="Palatino Linotype" w:cs="Palatino Linotype"/>
          <w:b/>
        </w:rPr>
        <w:t xml:space="preserve"> en la solicitud de información:</w:t>
      </w:r>
    </w:p>
    <w:p w14:paraId="134F8995" w14:textId="77777777" w:rsidR="00BB78C3" w:rsidRPr="00425E92" w:rsidRDefault="00BB78C3" w:rsidP="00AE6C6A">
      <w:pPr>
        <w:pStyle w:val="Prrafodelista"/>
        <w:numPr>
          <w:ilvl w:val="0"/>
          <w:numId w:val="3"/>
        </w:numPr>
        <w:spacing w:line="360" w:lineRule="auto"/>
        <w:ind w:left="0"/>
        <w:jc w:val="both"/>
        <w:rPr>
          <w:rFonts w:ascii="Palatino Linotype" w:eastAsia="Palatino Linotype" w:hAnsi="Palatino Linotype" w:cs="Palatino Linotype"/>
          <w:b/>
        </w:rPr>
      </w:pPr>
      <w:r w:rsidRPr="00425E92">
        <w:rPr>
          <w:rFonts w:ascii="Palatino Linotype" w:eastAsia="Palatino Linotype" w:hAnsi="Palatino Linotype" w:cs="Palatino Linotype"/>
          <w:b/>
        </w:rPr>
        <w:t>Monto total individualizado asignado a la plaza del servidor público, como ingreso bruto, que debió y debo percibir en el ejercicio 2024;</w:t>
      </w:r>
    </w:p>
    <w:p w14:paraId="240C3FA9" w14:textId="77777777" w:rsidR="00BB78C3" w:rsidRPr="00425E92" w:rsidRDefault="00BB78C3" w:rsidP="00AE6C6A">
      <w:pPr>
        <w:pStyle w:val="Prrafodelista"/>
        <w:spacing w:line="360" w:lineRule="auto"/>
        <w:ind w:left="0"/>
        <w:jc w:val="both"/>
        <w:rPr>
          <w:rFonts w:ascii="Palatino Linotype" w:eastAsia="Palatino Linotype" w:hAnsi="Palatino Linotype" w:cs="Palatino Linotype"/>
          <w:b/>
        </w:rPr>
      </w:pPr>
    </w:p>
    <w:p w14:paraId="6D5DD3A5" w14:textId="2F220452" w:rsidR="00BB78C3" w:rsidRPr="00425E92" w:rsidRDefault="00BB78C3" w:rsidP="00AE6C6A">
      <w:pPr>
        <w:pStyle w:val="Prrafodelista"/>
        <w:numPr>
          <w:ilvl w:val="0"/>
          <w:numId w:val="3"/>
        </w:numPr>
        <w:spacing w:line="360" w:lineRule="auto"/>
        <w:ind w:left="0"/>
        <w:jc w:val="both"/>
        <w:rPr>
          <w:rFonts w:ascii="Palatino Linotype" w:eastAsia="Palatino Linotype" w:hAnsi="Palatino Linotype" w:cs="Palatino Linotype"/>
          <w:b/>
        </w:rPr>
      </w:pPr>
      <w:r w:rsidRPr="00425E92">
        <w:rPr>
          <w:rFonts w:ascii="Palatino Linotype" w:eastAsia="Palatino Linotype" w:hAnsi="Palatino Linotype" w:cs="Palatino Linotype"/>
          <w:b/>
        </w:rPr>
        <w:lastRenderedPageBreak/>
        <w:t>Monto detallado anual que debió aplicarse por concepto tanto de percepciones como de deducciones -cuyos conceptos se precisaron en cada caso, respecto del ejercicio 2024.</w:t>
      </w:r>
    </w:p>
    <w:p w14:paraId="438D5BD3" w14:textId="77777777" w:rsidR="00BB78C3" w:rsidRPr="00425E92" w:rsidRDefault="00BB78C3" w:rsidP="00AE6C6A">
      <w:pPr>
        <w:pStyle w:val="Prrafodelista"/>
        <w:numPr>
          <w:ilvl w:val="0"/>
          <w:numId w:val="3"/>
        </w:numPr>
        <w:spacing w:line="360" w:lineRule="auto"/>
        <w:ind w:left="0"/>
        <w:jc w:val="both"/>
        <w:rPr>
          <w:rFonts w:ascii="Palatino Linotype" w:eastAsia="Palatino Linotype" w:hAnsi="Palatino Linotype" w:cs="Palatino Linotype"/>
          <w:b/>
        </w:rPr>
      </w:pPr>
      <w:r w:rsidRPr="00425E92">
        <w:rPr>
          <w:rFonts w:ascii="Palatino Linotype" w:eastAsia="Palatino Linotype" w:hAnsi="Palatino Linotype" w:cs="Palatino Linotype"/>
          <w:b/>
        </w:rPr>
        <w:t>En caso de que exista diferencia salarial entre lo autorizado en el Anexo de Ejecución y lo que realmente se ha pagado en 2024, se informe el monto que dejó de percibir el servidor público y los conceptos, en los cuales se aplicó la deducción.</w:t>
      </w:r>
    </w:p>
    <w:p w14:paraId="5DAE1720" w14:textId="77777777" w:rsidR="00382484" w:rsidRPr="00425E92" w:rsidRDefault="00382484" w:rsidP="00AE6C6A">
      <w:pPr>
        <w:pStyle w:val="Prrafodelista"/>
        <w:ind w:left="0"/>
        <w:rPr>
          <w:rFonts w:ascii="Palatino Linotype" w:eastAsia="Palatino Linotype" w:hAnsi="Palatino Linotype" w:cs="Palatino Linotype"/>
          <w:b/>
        </w:rPr>
      </w:pPr>
    </w:p>
    <w:p w14:paraId="08D07717" w14:textId="5844DFAE" w:rsidR="00947C3B" w:rsidRPr="00425E92" w:rsidRDefault="00947C3B" w:rsidP="00AE6C6A">
      <w:pPr>
        <w:numPr>
          <w:ilvl w:val="0"/>
          <w:numId w:val="1"/>
        </w:numPr>
        <w:spacing w:line="360" w:lineRule="auto"/>
        <w:ind w:left="0" w:firstLine="0"/>
        <w:contextualSpacing/>
        <w:jc w:val="both"/>
        <w:rPr>
          <w:rFonts w:ascii="Palatino Linotype" w:eastAsia="MS Mincho" w:hAnsi="Palatino Linotype" w:cs="Arial"/>
        </w:rPr>
      </w:pPr>
      <w:r w:rsidRPr="00425E92">
        <w:rPr>
          <w:rFonts w:ascii="Palatino Linotype" w:hAnsi="Palatino Linotype" w:cs="Arial"/>
        </w:rPr>
        <w:t xml:space="preserve">En respuesta, el </w:t>
      </w:r>
      <w:r w:rsidRPr="00425E92">
        <w:rPr>
          <w:rFonts w:ascii="Palatino Linotype" w:hAnsi="Palatino Linotype" w:cs="Arial"/>
          <w:b/>
        </w:rPr>
        <w:t xml:space="preserve">SUJETO OBLIGADO </w:t>
      </w:r>
      <w:r w:rsidR="007B20F5" w:rsidRPr="00425E92">
        <w:rPr>
          <w:rFonts w:ascii="Palatino Linotype" w:hAnsi="Palatino Linotype" w:cs="Arial"/>
        </w:rPr>
        <w:t xml:space="preserve">remitió </w:t>
      </w:r>
      <w:r w:rsidR="00822FD3" w:rsidRPr="00425E92">
        <w:rPr>
          <w:rFonts w:ascii="Palatino Linotype" w:hAnsi="Palatino Linotype" w:cs="Arial"/>
        </w:rPr>
        <w:t>los</w:t>
      </w:r>
      <w:r w:rsidR="003C7116" w:rsidRPr="00425E92">
        <w:rPr>
          <w:rFonts w:ascii="Palatino Linotype" w:hAnsi="Palatino Linotype" w:cs="Arial"/>
        </w:rPr>
        <w:t xml:space="preserve"> archivo</w:t>
      </w:r>
      <w:r w:rsidR="00822FD3" w:rsidRPr="00425E92">
        <w:rPr>
          <w:rFonts w:ascii="Palatino Linotype" w:hAnsi="Palatino Linotype" w:cs="Arial"/>
        </w:rPr>
        <w:t>s</w:t>
      </w:r>
      <w:r w:rsidR="00CF045D" w:rsidRPr="00425E92">
        <w:rPr>
          <w:rFonts w:ascii="Palatino Linotype" w:hAnsi="Palatino Linotype" w:cs="Arial"/>
        </w:rPr>
        <w:t xml:space="preserve"> ya descrito</w:t>
      </w:r>
      <w:r w:rsidR="00822FD3" w:rsidRPr="00425E92">
        <w:rPr>
          <w:rFonts w:ascii="Palatino Linotype" w:hAnsi="Palatino Linotype" w:cs="Arial"/>
        </w:rPr>
        <w:t>s</w:t>
      </w:r>
      <w:r w:rsidR="00B77121" w:rsidRPr="00425E92">
        <w:rPr>
          <w:rFonts w:ascii="Palatino Linotype" w:hAnsi="Palatino Linotype" w:cs="Arial"/>
        </w:rPr>
        <w:t xml:space="preserve"> en el </w:t>
      </w:r>
      <w:r w:rsidR="00B77121" w:rsidRPr="00425E92">
        <w:rPr>
          <w:rFonts w:ascii="Palatino Linotype" w:eastAsia="Calibri" w:hAnsi="Palatino Linotype" w:cs="Arial"/>
        </w:rPr>
        <w:t>anterior</w:t>
      </w:r>
      <w:r w:rsidR="00B77121" w:rsidRPr="00425E92">
        <w:rPr>
          <w:rFonts w:ascii="Palatino Linotype" w:hAnsi="Palatino Linotype" w:cs="Arial"/>
        </w:rPr>
        <w:t xml:space="preserve"> Párrafo 2; n</w:t>
      </w:r>
      <w:r w:rsidR="008A7A76" w:rsidRPr="00425E92">
        <w:rPr>
          <w:rFonts w:ascii="Palatino Linotype" w:eastAsia="MS Mincho" w:hAnsi="Palatino Linotype" w:cs="Arial"/>
        </w:rPr>
        <w:t>o obstante el particular se inconform</w:t>
      </w:r>
      <w:r w:rsidR="003C7116" w:rsidRPr="00425E92">
        <w:rPr>
          <w:rFonts w:ascii="Palatino Linotype" w:eastAsia="MS Mincho" w:hAnsi="Palatino Linotype" w:cs="Arial"/>
        </w:rPr>
        <w:t>ó</w:t>
      </w:r>
      <w:r w:rsidR="000E6238" w:rsidRPr="00425E92">
        <w:rPr>
          <w:rFonts w:ascii="Palatino Linotype" w:eastAsia="MS Mincho" w:hAnsi="Palatino Linotype" w:cs="Arial"/>
        </w:rPr>
        <w:t xml:space="preserve">, </w:t>
      </w:r>
      <w:r w:rsidR="003C7116" w:rsidRPr="00425E92">
        <w:rPr>
          <w:rFonts w:ascii="Palatino Linotype" w:eastAsia="MS Mincho" w:hAnsi="Palatino Linotype" w:cs="Arial"/>
        </w:rPr>
        <w:t>por la</w:t>
      </w:r>
      <w:r w:rsidR="00822FD3" w:rsidRPr="00425E92">
        <w:rPr>
          <w:rFonts w:ascii="Palatino Linotype" w:eastAsia="MS Mincho" w:hAnsi="Palatino Linotype" w:cs="Arial"/>
        </w:rPr>
        <w:t xml:space="preserve"> </w:t>
      </w:r>
      <w:r w:rsidR="00050602" w:rsidRPr="00425E92">
        <w:rPr>
          <w:rFonts w:ascii="Palatino Linotype" w:eastAsia="MS Mincho" w:hAnsi="Palatino Linotype" w:cs="Arial"/>
        </w:rPr>
        <w:t xml:space="preserve">entrega </w:t>
      </w:r>
      <w:r w:rsidR="00995D77" w:rsidRPr="00425E92">
        <w:rPr>
          <w:rFonts w:ascii="Palatino Linotype" w:eastAsia="MS Mincho" w:hAnsi="Palatino Linotype" w:cs="Arial"/>
        </w:rPr>
        <w:t>de datos personales que no correspondan con lo solicitado</w:t>
      </w:r>
      <w:r w:rsidR="000E6238" w:rsidRPr="00425E92">
        <w:rPr>
          <w:rFonts w:ascii="Palatino Linotype" w:eastAsia="MS Mincho" w:hAnsi="Palatino Linotype" w:cs="Arial"/>
        </w:rPr>
        <w:t>; e</w:t>
      </w:r>
      <w:r w:rsidRPr="00425E92">
        <w:rPr>
          <w:rFonts w:ascii="Palatino Linotype" w:eastAsia="MS Mincho" w:hAnsi="Palatino Linotype" w:cs="Arial"/>
        </w:rPr>
        <w:t xml:space="preserve">n </w:t>
      </w:r>
      <w:r w:rsidRPr="00425E92">
        <w:rPr>
          <w:rFonts w:ascii="Palatino Linotype" w:hAnsi="Palatino Linotype" w:cs="Arial"/>
          <w:lang w:eastAsia="es-MX"/>
        </w:rPr>
        <w:t>dichas</w:t>
      </w:r>
      <w:r w:rsidRPr="00425E92">
        <w:rPr>
          <w:rFonts w:ascii="Palatino Linotype" w:eastAsia="Times New Roman" w:hAnsi="Palatino Linotype" w:cs="Arial"/>
        </w:rPr>
        <w:t xml:space="preserve"> condiciones, la </w:t>
      </w:r>
      <w:r w:rsidRPr="00425E92">
        <w:rPr>
          <w:rFonts w:ascii="Palatino Linotype" w:eastAsia="Times New Roman" w:hAnsi="Palatino Linotype" w:cs="Arial"/>
          <w:i/>
        </w:rPr>
        <w:t>Litis</w:t>
      </w:r>
      <w:r w:rsidR="00382484" w:rsidRPr="00425E92">
        <w:rPr>
          <w:rFonts w:ascii="Palatino Linotype" w:eastAsia="Times New Roman" w:hAnsi="Palatino Linotype" w:cs="Arial"/>
        </w:rPr>
        <w:t xml:space="preserve"> a r</w:t>
      </w:r>
      <w:r w:rsidR="003C4C55" w:rsidRPr="00425E92">
        <w:rPr>
          <w:rFonts w:ascii="Palatino Linotype" w:eastAsia="Times New Roman" w:hAnsi="Palatino Linotype" w:cs="Arial"/>
        </w:rPr>
        <w:t>esolver en el</w:t>
      </w:r>
      <w:r w:rsidR="00382484" w:rsidRPr="00425E92">
        <w:rPr>
          <w:rFonts w:ascii="Palatino Linotype" w:eastAsia="Times New Roman" w:hAnsi="Palatino Linotype" w:cs="Arial"/>
        </w:rPr>
        <w:t xml:space="preserve"> R</w:t>
      </w:r>
      <w:r w:rsidRPr="00425E92">
        <w:rPr>
          <w:rFonts w:ascii="Palatino Linotype" w:eastAsia="Times New Roman" w:hAnsi="Palatino Linotype" w:cs="Arial"/>
        </w:rPr>
        <w:t>ecurso</w:t>
      </w:r>
      <w:r w:rsidR="00382484" w:rsidRPr="00425E92">
        <w:rPr>
          <w:rFonts w:ascii="Palatino Linotype" w:eastAsia="Times New Roman" w:hAnsi="Palatino Linotype" w:cs="Arial"/>
        </w:rPr>
        <w:t xml:space="preserve"> de R</w:t>
      </w:r>
      <w:r w:rsidR="003C4C55" w:rsidRPr="00425E92">
        <w:rPr>
          <w:rFonts w:ascii="Palatino Linotype" w:eastAsia="Times New Roman" w:hAnsi="Palatino Linotype" w:cs="Arial"/>
        </w:rPr>
        <w:t>evisión</w:t>
      </w:r>
      <w:r w:rsidRPr="00425E92">
        <w:rPr>
          <w:rFonts w:ascii="Palatino Linotype" w:eastAsia="Times New Roman" w:hAnsi="Palatino Linotype" w:cs="Arial"/>
        </w:rPr>
        <w:t xml:space="preserve"> se circunscribe a determinar si </w:t>
      </w:r>
      <w:r w:rsidRPr="00425E92">
        <w:rPr>
          <w:rFonts w:ascii="Palatino Linotype" w:hAnsi="Palatino Linotype" w:cs="Arial"/>
        </w:rPr>
        <w:t>se</w:t>
      </w:r>
      <w:r w:rsidRPr="00425E92">
        <w:rPr>
          <w:rFonts w:ascii="Palatino Linotype" w:eastAsia="MS Mincho" w:hAnsi="Palatino Linotype" w:cs="Arial"/>
        </w:rPr>
        <w:t xml:space="preserve"> </w:t>
      </w:r>
      <w:r w:rsidRPr="00425E92">
        <w:rPr>
          <w:rFonts w:ascii="Palatino Linotype" w:eastAsia="Times New Roman" w:hAnsi="Palatino Linotype" w:cs="Arial"/>
          <w:color w:val="000000" w:themeColor="text1"/>
          <w:lang w:val="es-ES" w:eastAsia="es-MX"/>
        </w:rPr>
        <w:t>actualiza</w:t>
      </w:r>
      <w:r w:rsidRPr="00425E92">
        <w:rPr>
          <w:rFonts w:ascii="Palatino Linotype" w:eastAsia="MS Mincho" w:hAnsi="Palatino Linotype" w:cs="Arial"/>
        </w:rPr>
        <w:t xml:space="preserve"> la </w:t>
      </w:r>
      <w:r w:rsidR="00822FD3" w:rsidRPr="00425E92">
        <w:rPr>
          <w:rFonts w:ascii="Palatino Linotype" w:eastAsia="MS Mincho" w:hAnsi="Palatino Linotype" w:cs="Arial"/>
        </w:rPr>
        <w:t>causal</w:t>
      </w:r>
      <w:r w:rsidRPr="00425E92">
        <w:rPr>
          <w:rFonts w:ascii="Palatino Linotype" w:eastAsia="MS Mincho" w:hAnsi="Palatino Linotype" w:cs="Arial"/>
        </w:rPr>
        <w:t xml:space="preserve"> de procede</w:t>
      </w:r>
      <w:r w:rsidR="00995D77" w:rsidRPr="00425E92">
        <w:rPr>
          <w:rFonts w:ascii="Palatino Linotype" w:eastAsia="MS Mincho" w:hAnsi="Palatino Linotype" w:cs="Arial"/>
        </w:rPr>
        <w:t>ncia prevista en el artículo 12</w:t>
      </w:r>
      <w:r w:rsidRPr="00425E92">
        <w:rPr>
          <w:rFonts w:ascii="Palatino Linotype" w:eastAsia="MS Mincho" w:hAnsi="Palatino Linotype" w:cs="Arial"/>
        </w:rPr>
        <w:t xml:space="preserve">9, </w:t>
      </w:r>
      <w:r w:rsidR="00822FD3" w:rsidRPr="00425E92">
        <w:rPr>
          <w:rFonts w:ascii="Palatino Linotype" w:eastAsia="MS Mincho" w:hAnsi="Palatino Linotype" w:cs="Arial"/>
          <w:b/>
        </w:rPr>
        <w:t>fracción</w:t>
      </w:r>
      <w:r w:rsidRPr="00425E92">
        <w:rPr>
          <w:rFonts w:ascii="Palatino Linotype" w:eastAsia="MS Mincho" w:hAnsi="Palatino Linotype" w:cs="Arial"/>
          <w:b/>
        </w:rPr>
        <w:t xml:space="preserve"> </w:t>
      </w:r>
      <w:r w:rsidR="00050602" w:rsidRPr="00425E92">
        <w:rPr>
          <w:rFonts w:ascii="Palatino Linotype" w:eastAsia="MS Mincho" w:hAnsi="Palatino Linotype" w:cs="Arial"/>
          <w:b/>
        </w:rPr>
        <w:t>V</w:t>
      </w:r>
      <w:r w:rsidR="00887A07" w:rsidRPr="00425E92">
        <w:rPr>
          <w:rFonts w:ascii="Palatino Linotype" w:eastAsia="MS Mincho" w:hAnsi="Palatino Linotype" w:cs="Arial"/>
          <w:b/>
        </w:rPr>
        <w:t xml:space="preserve"> </w:t>
      </w:r>
      <w:r w:rsidRPr="00425E92">
        <w:rPr>
          <w:rFonts w:ascii="Palatino Linotype" w:eastAsia="MS Mincho" w:hAnsi="Palatino Linotype" w:cs="Arial"/>
        </w:rPr>
        <w:t xml:space="preserve">de la </w:t>
      </w:r>
      <w:r w:rsidR="00FF5B24" w:rsidRPr="00425E92">
        <w:rPr>
          <w:rFonts w:ascii="Palatino Linotype" w:eastAsia="MS Mincho" w:hAnsi="Palatino Linotype" w:cs="Arial"/>
          <w:b/>
        </w:rPr>
        <w:t>Ley de Protección de Datos Personales en Posesión de Sujetos Obligados del Estado de México y Municipios</w:t>
      </w:r>
      <w:r w:rsidRPr="00425E92">
        <w:rPr>
          <w:rFonts w:ascii="Palatino Linotype" w:eastAsia="MS Mincho" w:hAnsi="Palatino Linotype" w:cs="Arial"/>
        </w:rPr>
        <w:t xml:space="preserve">; </w:t>
      </w:r>
      <w:r w:rsidR="00050602" w:rsidRPr="00425E92">
        <w:rPr>
          <w:rFonts w:ascii="Palatino Linotype" w:eastAsia="Times New Roman" w:hAnsi="Palatino Linotype" w:cs="Arial"/>
          <w:color w:val="000000" w:themeColor="text1"/>
          <w:lang w:val="es-ES" w:eastAsia="es-MX"/>
        </w:rPr>
        <w:t>fracción</w:t>
      </w:r>
      <w:r w:rsidRPr="00425E92">
        <w:rPr>
          <w:rFonts w:ascii="Palatino Linotype" w:eastAsia="Times New Roman" w:hAnsi="Palatino Linotype" w:cs="Arial"/>
          <w:color w:val="000000" w:themeColor="text1"/>
          <w:lang w:val="es-ES" w:eastAsia="es-MX"/>
        </w:rPr>
        <w:t xml:space="preserve"> que</w:t>
      </w:r>
      <w:r w:rsidR="00E0091E" w:rsidRPr="00425E92">
        <w:rPr>
          <w:rFonts w:ascii="Palatino Linotype" w:eastAsia="Times New Roman" w:hAnsi="Palatino Linotype" w:cs="Arial"/>
          <w:color w:val="000000" w:themeColor="text1"/>
          <w:lang w:val="es-ES" w:eastAsia="es-MX"/>
        </w:rPr>
        <w:t xml:space="preserve"> determina la</w:t>
      </w:r>
      <w:r w:rsidR="00887A07" w:rsidRPr="00425E92">
        <w:rPr>
          <w:rFonts w:ascii="Palatino Linotype" w:eastAsia="Times New Roman" w:hAnsi="Palatino Linotype" w:cs="Arial"/>
          <w:color w:val="000000" w:themeColor="text1"/>
          <w:lang w:val="es-ES" w:eastAsia="es-MX"/>
        </w:rPr>
        <w:t>s</w:t>
      </w:r>
      <w:r w:rsidRPr="00425E92">
        <w:rPr>
          <w:rFonts w:ascii="Palatino Linotype" w:eastAsia="Times New Roman" w:hAnsi="Palatino Linotype" w:cs="Arial"/>
          <w:color w:val="000000" w:themeColor="text1"/>
          <w:lang w:val="es-ES" w:eastAsia="es-MX"/>
        </w:rPr>
        <w:t xml:space="preserve"> hipótesis jurídica relativa a </w:t>
      </w:r>
      <w:r w:rsidR="00E0091E" w:rsidRPr="00425E92">
        <w:rPr>
          <w:rFonts w:ascii="Palatino Linotype" w:eastAsia="Times New Roman" w:hAnsi="Palatino Linotype" w:cs="Arial"/>
          <w:color w:val="000000" w:themeColor="text1"/>
          <w:lang w:val="es-ES" w:eastAsia="es-MX"/>
        </w:rPr>
        <w:t>la</w:t>
      </w:r>
      <w:r w:rsidR="00822FD3" w:rsidRPr="00425E92">
        <w:rPr>
          <w:rFonts w:ascii="Palatino Linotype" w:eastAsia="Times New Roman" w:hAnsi="Palatino Linotype" w:cs="Arial"/>
          <w:color w:val="000000" w:themeColor="text1"/>
          <w:lang w:val="es-ES" w:eastAsia="es-MX"/>
        </w:rPr>
        <w:t xml:space="preserve"> </w:t>
      </w:r>
      <w:r w:rsidR="00FF5B24" w:rsidRPr="00425E92">
        <w:rPr>
          <w:rFonts w:ascii="Palatino Linotype" w:eastAsia="Times New Roman" w:hAnsi="Palatino Linotype" w:cs="Arial"/>
          <w:color w:val="000000" w:themeColor="text1"/>
          <w:lang w:val="es-ES" w:eastAsia="es-MX"/>
        </w:rPr>
        <w:t>entrega de datos personales que no correspondan con lo solicitado</w:t>
      </w:r>
      <w:r w:rsidR="00E0091E" w:rsidRPr="00425E92">
        <w:rPr>
          <w:rFonts w:ascii="Palatino Linotype" w:eastAsia="Times New Roman" w:hAnsi="Palatino Linotype" w:cs="Arial"/>
          <w:color w:val="000000" w:themeColor="text1"/>
          <w:lang w:val="es-ES" w:eastAsia="es-MX"/>
        </w:rPr>
        <w:t>;</w:t>
      </w:r>
      <w:r w:rsidRPr="00425E92">
        <w:rPr>
          <w:rFonts w:ascii="Palatino Linotype" w:eastAsia="Times New Roman" w:hAnsi="Palatino Linotype" w:cs="Arial"/>
          <w:color w:val="000000" w:themeColor="text1"/>
          <w:lang w:val="es-ES" w:eastAsia="es-MX"/>
        </w:rPr>
        <w:t xml:space="preserve"> </w:t>
      </w:r>
      <w:r w:rsidRPr="00425E92">
        <w:rPr>
          <w:rFonts w:ascii="Palatino Linotype" w:eastAsia="MS Mincho" w:hAnsi="Palatino Linotype" w:cs="Arial"/>
        </w:rPr>
        <w:t xml:space="preserve">contexto del cual se dolió </w:t>
      </w:r>
      <w:r w:rsidR="00C862A5" w:rsidRPr="00425E92">
        <w:rPr>
          <w:rFonts w:ascii="Palatino Linotype" w:eastAsia="MS Mincho" w:hAnsi="Palatino Linotype" w:cs="Arial"/>
          <w:b/>
        </w:rPr>
        <w:t>EL RECURRENTE</w:t>
      </w:r>
      <w:r w:rsidRPr="00425E92">
        <w:rPr>
          <w:rFonts w:ascii="Palatino Linotype" w:eastAsia="MS Mincho" w:hAnsi="Palatino Linotype" w:cs="Arial"/>
          <w:b/>
        </w:rPr>
        <w:t xml:space="preserve"> </w:t>
      </w:r>
      <w:r w:rsidRPr="00425E92">
        <w:rPr>
          <w:rFonts w:ascii="Palatino Linotype" w:eastAsia="MS Mincho" w:hAnsi="Palatino Linotype" w:cs="Arial"/>
        </w:rPr>
        <w:t>al momento de interponer su inconformidad.</w:t>
      </w:r>
      <w:r w:rsidRPr="00425E92">
        <w:rPr>
          <w:rFonts w:ascii="Palatino Linotype" w:eastAsia="Times New Roman" w:hAnsi="Palatino Linotype" w:cs="Arial"/>
          <w:color w:val="000000" w:themeColor="text1"/>
          <w:lang w:val="es-ES" w:eastAsia="es-MX"/>
        </w:rPr>
        <w:t xml:space="preserve"> </w:t>
      </w:r>
    </w:p>
    <w:p w14:paraId="40755C56" w14:textId="77777777" w:rsidR="00947C3B" w:rsidRPr="00425E92" w:rsidRDefault="00947C3B" w:rsidP="00AE6C6A">
      <w:pPr>
        <w:pStyle w:val="Prrafodelista"/>
        <w:spacing w:line="360" w:lineRule="auto"/>
        <w:ind w:left="0"/>
        <w:rPr>
          <w:rFonts w:ascii="Palatino Linotype" w:eastAsia="Times New Roman" w:hAnsi="Palatino Linotype" w:cs="Arial"/>
          <w:color w:val="000000" w:themeColor="text1"/>
          <w:lang w:val="es-ES" w:eastAsia="es-MX"/>
        </w:rPr>
      </w:pPr>
    </w:p>
    <w:p w14:paraId="27A1096F" w14:textId="7E9853E2"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 xml:space="preserve">En este sentido, </w:t>
      </w:r>
      <w:r w:rsidR="00F33C74" w:rsidRPr="00425E92">
        <w:rPr>
          <w:rFonts w:ascii="Palatino Linotype" w:eastAsia="Palatino Linotype" w:hAnsi="Palatino Linotype" w:cs="Palatino Linotype"/>
        </w:rPr>
        <w:t>se advierte</w:t>
      </w:r>
      <w:r w:rsidRPr="00425E92">
        <w:rPr>
          <w:rFonts w:ascii="Palatino Linotype" w:eastAsia="Palatino Linotype" w:hAnsi="Palatino Linotype" w:cs="Palatino Linotype"/>
        </w:rPr>
        <w:t xml:space="preserve"> que se pretende obtener, además del monto de las </w:t>
      </w:r>
      <w:r w:rsidRPr="00425E92">
        <w:rPr>
          <w:rFonts w:ascii="Palatino Linotype" w:hAnsi="Palatino Linotype" w:cs="Arial"/>
        </w:rPr>
        <w:t>percepciones</w:t>
      </w:r>
      <w:r w:rsidRPr="00425E92">
        <w:rPr>
          <w:rFonts w:ascii="Palatino Linotype" w:eastAsia="Palatino Linotype" w:hAnsi="Palatino Linotype" w:cs="Palatino Linotype"/>
        </w:rPr>
        <w:t xml:space="preserve"> y deducciones de Ley de la persona servidora pública referida en la solicitud, que es información de carácter público; el acceso al monto de las deducciones personales que le son aplicadas, información 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w:t>
      </w:r>
      <w:r w:rsidRPr="00425E92">
        <w:rPr>
          <w:rFonts w:ascii="Palatino Linotype" w:eastAsia="Palatino Linotype" w:hAnsi="Palatino Linotype" w:cs="Palatino Linotype"/>
        </w:rPr>
        <w:lastRenderedPageBreak/>
        <w:t xml:space="preserve">información pública </w:t>
      </w:r>
      <w:r w:rsidR="00CD4A2C" w:rsidRPr="00425E92">
        <w:rPr>
          <w:rFonts w:ascii="Palatino Linotype" w:eastAsia="Palatino Linotype" w:hAnsi="Palatino Linotype" w:cs="Palatino Linotype"/>
        </w:rPr>
        <w:t xml:space="preserve">no </w:t>
      </w:r>
      <w:r w:rsidR="00382484" w:rsidRPr="00425E92">
        <w:rPr>
          <w:rFonts w:ascii="Palatino Linotype" w:eastAsia="Palatino Linotype" w:hAnsi="Palatino Linotype" w:cs="Palatino Linotype"/>
        </w:rPr>
        <w:t>es la vía para su</w:t>
      </w:r>
      <w:r w:rsidRPr="00425E92">
        <w:rPr>
          <w:rFonts w:ascii="Palatino Linotype" w:eastAsia="Palatino Linotype" w:hAnsi="Palatino Linotype" w:cs="Palatino Linotype"/>
        </w:rPr>
        <w:t xml:space="preserve"> </w:t>
      </w:r>
      <w:r w:rsidR="00382484" w:rsidRPr="00425E92">
        <w:rPr>
          <w:rFonts w:ascii="Palatino Linotype" w:eastAsia="Palatino Linotype" w:hAnsi="Palatino Linotype" w:cs="Palatino Linotype"/>
        </w:rPr>
        <w:t xml:space="preserve">sustanciación, siendo procedente su tratamiento </w:t>
      </w:r>
      <w:r w:rsidR="00CC2048" w:rsidRPr="00425E92">
        <w:rPr>
          <w:rFonts w:ascii="Palatino Linotype" w:eastAsia="Palatino Linotype" w:hAnsi="Palatino Linotype" w:cs="Palatino Linotype"/>
        </w:rPr>
        <w:t>vía</w:t>
      </w:r>
      <w:r w:rsidRPr="00425E92">
        <w:rPr>
          <w:rFonts w:ascii="Palatino Linotype" w:eastAsia="Palatino Linotype" w:hAnsi="Palatino Linotype" w:cs="Palatino Linotype"/>
        </w:rPr>
        <w:t xml:space="preserve"> derecho de acceso a datos personales, toda vez que este Instituto, al igual que otros Órganos Garantes como es el</w:t>
      </w:r>
      <w:r w:rsidR="004F0723" w:rsidRPr="00425E92">
        <w:rPr>
          <w:rFonts w:ascii="Palatino Linotype" w:eastAsia="Palatino Linotype" w:hAnsi="Palatino Linotype" w:cs="Palatino Linotype"/>
        </w:rPr>
        <w:t xml:space="preserve"> entonces</w:t>
      </w:r>
      <w:r w:rsidRPr="00425E92">
        <w:rPr>
          <w:rFonts w:ascii="Palatino Linotype" w:eastAsia="Palatino Linotype" w:hAnsi="Palatino Linotype" w:cs="Palatino Linotype"/>
        </w:rPr>
        <w:t xml:space="preserve"> Instituto Nacional de Acceso a la Información y Protección de Datos (INAI) se han pronunciado por la procedencia de los recursos de revisión según la materia de la solicitud.</w:t>
      </w:r>
    </w:p>
    <w:p w14:paraId="46AD2E09" w14:textId="77777777" w:rsidR="004F0723" w:rsidRPr="00425E92" w:rsidRDefault="004F0723" w:rsidP="00AE6C6A">
      <w:pPr>
        <w:spacing w:line="360" w:lineRule="auto"/>
        <w:contextualSpacing/>
        <w:jc w:val="both"/>
        <w:rPr>
          <w:rFonts w:ascii="Palatino Linotype" w:eastAsia="Palatino Linotype" w:hAnsi="Palatino Linotype" w:cs="Palatino Linotype"/>
        </w:rPr>
      </w:pPr>
    </w:p>
    <w:p w14:paraId="67F3C249" w14:textId="2653BC0D" w:rsidR="00FF5B24" w:rsidRPr="00425E92" w:rsidRDefault="00CC2048"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Determinación</w:t>
      </w:r>
      <w:r w:rsidR="00FF5B24" w:rsidRPr="00425E92">
        <w:rPr>
          <w:rFonts w:ascii="Palatino Linotype" w:eastAsia="Palatino Linotype" w:hAnsi="Palatino Linotype" w:cs="Palatino Linotype"/>
        </w:rPr>
        <w:t xml:space="preserve"> que </w:t>
      </w:r>
      <w:r w:rsidRPr="00425E92">
        <w:rPr>
          <w:rFonts w:ascii="Palatino Linotype" w:eastAsia="Palatino Linotype" w:hAnsi="Palatino Linotype" w:cs="Palatino Linotype"/>
        </w:rPr>
        <w:t>se estableció dentro d</w:t>
      </w:r>
      <w:r w:rsidR="00FF5B24" w:rsidRPr="00425E92">
        <w:rPr>
          <w:rFonts w:ascii="Palatino Linotype" w:eastAsia="Palatino Linotype" w:hAnsi="Palatino Linotype" w:cs="Palatino Linotype"/>
        </w:rPr>
        <w:t xml:space="preserve">el </w:t>
      </w:r>
      <w:r w:rsidR="004F0723" w:rsidRPr="00425E92">
        <w:rPr>
          <w:rFonts w:ascii="Palatino Linotype" w:eastAsia="Palatino Linotype" w:hAnsi="Palatino Linotype" w:cs="Palatino Linotype"/>
        </w:rPr>
        <w:t>C</w:t>
      </w:r>
      <w:r w:rsidR="00FF5B24" w:rsidRPr="00425E92">
        <w:rPr>
          <w:rFonts w:ascii="Palatino Linotype" w:eastAsia="Palatino Linotype" w:hAnsi="Palatino Linotype" w:cs="Palatino Linotype"/>
        </w:rPr>
        <w:t xml:space="preserve">riterio </w:t>
      </w:r>
      <w:r w:rsidR="00FF5B24" w:rsidRPr="00425E92">
        <w:rPr>
          <w:rFonts w:ascii="Palatino Linotype" w:eastAsia="Palatino Linotype" w:hAnsi="Palatino Linotype" w:cs="Palatino Linotype"/>
          <w:b/>
        </w:rPr>
        <w:t>008/2009</w:t>
      </w:r>
      <w:r w:rsidR="00FF5B24" w:rsidRPr="00425E92">
        <w:rPr>
          <w:rFonts w:ascii="Palatino Linotype" w:eastAsia="Palatino Linotype" w:hAnsi="Palatino Linotype" w:cs="Palatino Linotype"/>
        </w:rPr>
        <w:t xml:space="preserve"> del</w:t>
      </w:r>
      <w:r w:rsidR="004F0723" w:rsidRPr="00425E92">
        <w:rPr>
          <w:rFonts w:ascii="Palatino Linotype" w:eastAsia="Palatino Linotype" w:hAnsi="Palatino Linotype" w:cs="Palatino Linotype"/>
        </w:rPr>
        <w:t xml:space="preserve"> entonces</w:t>
      </w:r>
      <w:r w:rsidR="00FF5B24" w:rsidRPr="00425E92">
        <w:rPr>
          <w:rFonts w:ascii="Palatino Linotype" w:eastAsia="Palatino Linotype" w:hAnsi="Palatino Linotype" w:cs="Palatino Linotype"/>
        </w:rPr>
        <w:t xml:space="preserve"> INAI, que a la letra dispone:</w:t>
      </w:r>
    </w:p>
    <w:p w14:paraId="0D7157FE" w14:textId="77777777" w:rsidR="00FF5B24" w:rsidRPr="00425E92" w:rsidRDefault="00FF5B24" w:rsidP="00AE6C6A">
      <w:pPr>
        <w:tabs>
          <w:tab w:val="left" w:pos="7655"/>
        </w:tabs>
        <w:spacing w:line="360" w:lineRule="auto"/>
        <w:jc w:val="both"/>
        <w:rPr>
          <w:rFonts w:ascii="Palatino Linotype" w:eastAsia="Palatino Linotype" w:hAnsi="Palatino Linotype" w:cs="Palatino Linotype"/>
          <w:b/>
          <w:i/>
        </w:rPr>
      </w:pPr>
      <w:r w:rsidRPr="00425E92">
        <w:rPr>
          <w:rFonts w:ascii="Palatino Linotype" w:eastAsia="Palatino Linotype" w:hAnsi="Palatino Linotype" w:cs="Palatino Linotype"/>
          <w:i/>
        </w:rPr>
        <w:t>“</w:t>
      </w:r>
      <w:r w:rsidRPr="00425E92">
        <w:rPr>
          <w:rFonts w:ascii="Palatino Linotype" w:eastAsia="Palatino Linotype" w:hAnsi="Palatino Linotype" w:cs="Palatino Linotype"/>
          <w:b/>
          <w:i/>
        </w:rPr>
        <w:t>Las dependencias y entidades deberán dar trámite a las solicitudes aun cuando la vía en la que fueron presentadas -acceso a datos personales o información pública- no corresponda con la naturaleza de la materia de la misma.</w:t>
      </w:r>
      <w:r w:rsidRPr="00425E92">
        <w:rPr>
          <w:rFonts w:ascii="Palatino Linotype" w:eastAsia="Palatino Linotype" w:hAnsi="Palatino Linotype" w:cs="Palatino Linotype"/>
          <w:i/>
        </w:rPr>
        <w:t xml:space="preserve"> </w:t>
      </w:r>
      <w:r w:rsidRPr="00425E92">
        <w:rPr>
          <w:rFonts w:ascii="Palatino Linotype" w:eastAsia="Palatino Linotype" w:hAnsi="Palatino Linotype" w:cs="Palatino Linotype"/>
          <w:b/>
          <w:i/>
        </w:rPr>
        <w:t xml:space="preserve">Todas aquellas solicitudes cuyo objetivo sea allegarse de información pública y que sean ingresadas por la vía de acceso a datos personales, así como el caso contrario, </w:t>
      </w:r>
      <w:r w:rsidRPr="00425E92">
        <w:rPr>
          <w:rFonts w:ascii="Palatino Linotype" w:eastAsia="Palatino Linotype" w:hAnsi="Palatino Linotype" w:cs="Palatino Linotype"/>
          <w:b/>
          <w:i/>
          <w:u w:val="single"/>
        </w:rPr>
        <w:t>deberán ser tramitadas por las dependencias y entidades de conformidad con la naturaleza de la información de que se trate</w:t>
      </w:r>
      <w:r w:rsidRPr="00425E92">
        <w:rPr>
          <w:rFonts w:ascii="Palatino Linotype" w:eastAsia="Palatino Linotype" w:hAnsi="Palatino Linotype" w:cs="Palatino Linotype"/>
          <w:b/>
          <w:i/>
        </w:rPr>
        <w:t>, sin necesidad de que el particular requiera presentar una nueva solicitud.</w:t>
      </w:r>
    </w:p>
    <w:p w14:paraId="50496D36" w14:textId="77777777" w:rsidR="00FF5B24" w:rsidRPr="00425E92" w:rsidRDefault="00FF5B24" w:rsidP="00AE6C6A">
      <w:pPr>
        <w:tabs>
          <w:tab w:val="left" w:pos="7655"/>
        </w:tabs>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w:t>
      </w:r>
      <w:r w:rsidRPr="00425E92">
        <w:rPr>
          <w:rFonts w:ascii="Palatino Linotype" w:eastAsia="Palatino Linotype" w:hAnsi="Palatino Linotype" w:cs="Palatino Linotype"/>
          <w:i/>
        </w:rPr>
        <w:lastRenderedPageBreak/>
        <w:t xml:space="preserve">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425E92">
        <w:rPr>
          <w:rFonts w:ascii="Palatino Linotype" w:eastAsia="Palatino Linotype" w:hAnsi="Palatino Linotype" w:cs="Palatino Linotype"/>
          <w:b/>
          <w:i/>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425E92">
        <w:rPr>
          <w:rFonts w:ascii="Palatino Linotype" w:eastAsia="Palatino Linotype" w:hAnsi="Palatino Linotype" w:cs="Palatino Linotype"/>
          <w:i/>
        </w:rPr>
        <w:t>.”</w:t>
      </w:r>
    </w:p>
    <w:p w14:paraId="4F87F46D" w14:textId="77777777" w:rsidR="004F0723" w:rsidRPr="00425E92" w:rsidRDefault="004F0723" w:rsidP="00AE6C6A">
      <w:pPr>
        <w:tabs>
          <w:tab w:val="left" w:pos="7655"/>
        </w:tabs>
        <w:spacing w:line="360" w:lineRule="auto"/>
        <w:rPr>
          <w:rFonts w:ascii="Palatino Linotype" w:eastAsia="Palatino Linotype" w:hAnsi="Palatino Linotype" w:cs="Palatino Linotype"/>
        </w:rPr>
      </w:pPr>
    </w:p>
    <w:p w14:paraId="59EBAD98" w14:textId="01537B2F" w:rsidR="004F0723" w:rsidRPr="00425E92" w:rsidRDefault="00CD4A2C"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Consecuencia</w:t>
      </w:r>
      <w:r w:rsidR="00CC2048" w:rsidRPr="00425E92">
        <w:rPr>
          <w:rFonts w:ascii="Palatino Linotype" w:eastAsia="Palatino Linotype" w:hAnsi="Palatino Linotype" w:cs="Palatino Linotype"/>
        </w:rPr>
        <w:t xml:space="preserve"> a lo anterior, se decretó</w:t>
      </w:r>
      <w:r w:rsidR="00FF5B24" w:rsidRPr="00425E92">
        <w:rPr>
          <w:rFonts w:ascii="Palatino Linotype" w:eastAsia="Palatino Linotype" w:hAnsi="Palatino Linotype" w:cs="Palatino Linotype"/>
        </w:rPr>
        <w:t xml:space="preserve"> procedente dar trámite a la solicitud formulada por la parte </w:t>
      </w:r>
      <w:r w:rsidR="00CC2048" w:rsidRPr="00425E92">
        <w:rPr>
          <w:rFonts w:ascii="Palatino Linotype" w:eastAsia="Palatino Linotype" w:hAnsi="Palatino Linotype" w:cs="Palatino Linotype"/>
          <w:b/>
        </w:rPr>
        <w:t>RECURRENTE</w:t>
      </w:r>
      <w:r w:rsidR="00CC2048" w:rsidRPr="00425E92">
        <w:rPr>
          <w:rFonts w:ascii="Palatino Linotype" w:eastAsia="Palatino Linotype" w:hAnsi="Palatino Linotype" w:cs="Palatino Linotype"/>
        </w:rPr>
        <w:t xml:space="preserve"> </w:t>
      </w:r>
      <w:r w:rsidR="00FF5B24" w:rsidRPr="00425E92">
        <w:rPr>
          <w:rFonts w:ascii="Palatino Linotype" w:eastAsia="Palatino Linotype" w:hAnsi="Palatino Linotype" w:cs="Palatino Linotype"/>
        </w:rPr>
        <w:t xml:space="preserve">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se encuentren en posesión de los </w:t>
      </w:r>
      <w:r w:rsidR="00CC2048" w:rsidRPr="00425E92">
        <w:rPr>
          <w:rFonts w:ascii="Palatino Linotype" w:eastAsia="Palatino Linotype" w:hAnsi="Palatino Linotype" w:cs="Palatino Linotype"/>
        </w:rPr>
        <w:t xml:space="preserve">sujetos obligados. </w:t>
      </w:r>
      <w:r w:rsidR="00AE6C6A" w:rsidRPr="00425E92">
        <w:rPr>
          <w:rFonts w:ascii="Palatino Linotype" w:eastAsia="Palatino Linotype" w:hAnsi="Palatino Linotype" w:cs="Palatino Linotype"/>
        </w:rPr>
        <w:tab/>
      </w:r>
    </w:p>
    <w:p w14:paraId="6C5FA67B" w14:textId="77777777" w:rsidR="004F0723" w:rsidRPr="00425E92" w:rsidRDefault="004F0723" w:rsidP="00AE6C6A">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4E6A8C7C" w14:textId="0EF2DDA1"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 xml:space="preserve">Acotado lo anterior, cabe reiterar que en respuesta a la solicitud de acceso a datos personales, el </w:t>
      </w:r>
      <w:r w:rsidR="00CC2048" w:rsidRPr="00425E92">
        <w:rPr>
          <w:rFonts w:ascii="Palatino Linotype" w:eastAsia="Palatino Linotype" w:hAnsi="Palatino Linotype" w:cs="Palatino Linotype"/>
          <w:b/>
        </w:rPr>
        <w:t>SUJETO OBLIGADO</w:t>
      </w:r>
      <w:r w:rsidR="00CC2048" w:rsidRPr="00425E92">
        <w:rPr>
          <w:rFonts w:ascii="Palatino Linotype" w:eastAsia="Palatino Linotype" w:hAnsi="Palatino Linotype" w:cs="Palatino Linotype"/>
        </w:rPr>
        <w:t xml:space="preserve"> a través de la </w:t>
      </w:r>
      <w:r w:rsidRPr="00425E92">
        <w:rPr>
          <w:rFonts w:ascii="Palatino Linotype" w:eastAsia="Palatino Linotype" w:hAnsi="Palatino Linotype" w:cs="Palatino Linotype"/>
        </w:rPr>
        <w:t xml:space="preserve">Jefa del Departamento de Recursos Humanos </w:t>
      </w:r>
      <w:r w:rsidR="00CC2048" w:rsidRPr="00425E92">
        <w:rPr>
          <w:rFonts w:ascii="Palatino Linotype" w:eastAsia="Palatino Linotype" w:hAnsi="Palatino Linotype" w:cs="Palatino Linotype"/>
        </w:rPr>
        <w:t xml:space="preserve">y servidora pública habilitada, informó </w:t>
      </w:r>
      <w:r w:rsidRPr="00425E92">
        <w:rPr>
          <w:rFonts w:ascii="Palatino Linotype" w:eastAsia="Palatino Linotype" w:hAnsi="Palatino Linotype" w:cs="Palatino Linotype"/>
        </w:rPr>
        <w:t xml:space="preserve">que de acuerdo con los conceptos establecidos en la misma, no es posible determinar algún otro instrumento de análisis y </w:t>
      </w:r>
      <w:r w:rsidRPr="00425E92">
        <w:rPr>
          <w:rFonts w:ascii="Palatino Linotype" w:eastAsia="Palatino Linotype" w:hAnsi="Palatino Linotype" w:cs="Palatino Linotype"/>
        </w:rPr>
        <w:lastRenderedPageBreak/>
        <w:t>comparativo de las percepciones y deducciones del solicitante; sin embargo, indicó que remitía los montos de percepciones y deducciones acumulados durante el ejercicio 2024 a nombre de</w:t>
      </w:r>
      <w:r w:rsidR="004F0723" w:rsidRPr="00425E92">
        <w:rPr>
          <w:rFonts w:ascii="Palatino Linotype" w:eastAsia="Palatino Linotype" w:hAnsi="Palatino Linotype" w:cs="Palatino Linotype"/>
        </w:rPr>
        <w:t xml:space="preserve"> </w:t>
      </w:r>
      <w:r w:rsidRPr="00425E92">
        <w:rPr>
          <w:rFonts w:ascii="Palatino Linotype" w:eastAsia="Palatino Linotype" w:hAnsi="Palatino Linotype" w:cs="Palatino Linotype"/>
        </w:rPr>
        <w:t>l</w:t>
      </w:r>
      <w:r w:rsidR="004F0723" w:rsidRPr="00425E92">
        <w:rPr>
          <w:rFonts w:ascii="Palatino Linotype" w:eastAsia="Palatino Linotype" w:hAnsi="Palatino Linotype" w:cs="Palatino Linotype"/>
        </w:rPr>
        <w:t xml:space="preserve">a </w:t>
      </w:r>
      <w:r w:rsidRPr="00425E92">
        <w:rPr>
          <w:rFonts w:ascii="Palatino Linotype" w:eastAsia="Palatino Linotype" w:hAnsi="Palatino Linotype" w:cs="Palatino Linotype"/>
        </w:rPr>
        <w:t>servidor</w:t>
      </w:r>
      <w:r w:rsidR="004F0723" w:rsidRPr="00425E92">
        <w:rPr>
          <w:rFonts w:ascii="Palatino Linotype" w:eastAsia="Palatino Linotype" w:hAnsi="Palatino Linotype" w:cs="Palatino Linotype"/>
        </w:rPr>
        <w:t>a</w:t>
      </w:r>
      <w:r w:rsidRPr="00425E92">
        <w:rPr>
          <w:rFonts w:ascii="Palatino Linotype" w:eastAsia="Palatino Linotype" w:hAnsi="Palatino Linotype" w:cs="Palatino Linotype"/>
        </w:rPr>
        <w:t xml:space="preserve"> públic</w:t>
      </w:r>
      <w:r w:rsidR="004F0723" w:rsidRPr="00425E92">
        <w:rPr>
          <w:rFonts w:ascii="Palatino Linotype" w:eastAsia="Palatino Linotype" w:hAnsi="Palatino Linotype" w:cs="Palatino Linotype"/>
        </w:rPr>
        <w:t>a señalada</w:t>
      </w:r>
      <w:r w:rsidRPr="00425E92">
        <w:rPr>
          <w:rFonts w:ascii="Palatino Linotype" w:eastAsia="Palatino Linotype" w:hAnsi="Palatino Linotype" w:cs="Palatino Linotype"/>
        </w:rPr>
        <w:t xml:space="preserve"> en la solicitud; proporcionando en dos </w:t>
      </w:r>
      <w:r w:rsidR="00CC2048" w:rsidRPr="00425E92">
        <w:rPr>
          <w:rFonts w:ascii="Palatino Linotype" w:eastAsia="Palatino Linotype" w:hAnsi="Palatino Linotype" w:cs="Palatino Linotype"/>
        </w:rPr>
        <w:t>columnas</w:t>
      </w:r>
      <w:r w:rsidRPr="00425E92">
        <w:rPr>
          <w:rFonts w:ascii="Palatino Linotype" w:eastAsia="Palatino Linotype" w:hAnsi="Palatino Linotype" w:cs="Palatino Linotype"/>
        </w:rPr>
        <w:t xml:space="preserve"> de contenido, conceptos y montos de las percepciones y deducciones acumulados respecto del servidor público en el ejercicio 2024.</w:t>
      </w:r>
    </w:p>
    <w:p w14:paraId="2C82B47F" w14:textId="77777777" w:rsidR="004F0723" w:rsidRPr="00425E92" w:rsidRDefault="004F0723" w:rsidP="00AE6C6A">
      <w:pPr>
        <w:spacing w:line="360" w:lineRule="auto"/>
        <w:contextualSpacing/>
        <w:jc w:val="both"/>
        <w:rPr>
          <w:rFonts w:ascii="Palatino Linotype" w:eastAsia="Palatino Linotype" w:hAnsi="Palatino Linotype" w:cs="Palatino Linotype"/>
        </w:rPr>
      </w:pPr>
    </w:p>
    <w:p w14:paraId="689C47A9" w14:textId="496E5881"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 xml:space="preserve">Una vez conocida la respuesta </w:t>
      </w:r>
      <w:r w:rsidR="00CD4A2C" w:rsidRPr="00425E92">
        <w:rPr>
          <w:rFonts w:ascii="Palatino Linotype" w:eastAsia="Palatino Linotype" w:hAnsi="Palatino Linotype" w:cs="Palatino Linotype"/>
        </w:rPr>
        <w:t>se</w:t>
      </w:r>
      <w:r w:rsidRPr="00425E92">
        <w:rPr>
          <w:rFonts w:ascii="Palatino Linotype" w:eastAsia="Palatino Linotype" w:hAnsi="Palatino Linotype" w:cs="Palatino Linotype"/>
        </w:rPr>
        <w:t xml:space="preserve"> presentó el recurso de revisión </w:t>
      </w:r>
      <w:r w:rsidR="00CD4A2C" w:rsidRPr="00425E92">
        <w:rPr>
          <w:rFonts w:ascii="Palatino Linotype" w:eastAsia="Palatino Linotype" w:hAnsi="Palatino Linotype" w:cs="Palatino Linotype"/>
        </w:rPr>
        <w:t>cuyo</w:t>
      </w:r>
      <w:r w:rsidRPr="00425E92">
        <w:rPr>
          <w:rFonts w:ascii="Palatino Linotype" w:eastAsia="Palatino Linotype" w:hAnsi="Palatino Linotype" w:cs="Palatino Linotype"/>
        </w:rPr>
        <w:t xml:space="preserve"> agravió</w:t>
      </w:r>
      <w:r w:rsidR="00CD4A2C" w:rsidRPr="00425E92">
        <w:rPr>
          <w:rFonts w:ascii="Palatino Linotype" w:eastAsia="Palatino Linotype" w:hAnsi="Palatino Linotype" w:cs="Palatino Linotype"/>
        </w:rPr>
        <w:t xml:space="preserve"> </w:t>
      </w:r>
      <w:r w:rsidRPr="00425E92">
        <w:rPr>
          <w:rFonts w:ascii="Palatino Linotype" w:eastAsia="Palatino Linotype" w:hAnsi="Palatino Linotype" w:cs="Palatino Linotype"/>
        </w:rPr>
        <w:t xml:space="preserve">medular </w:t>
      </w:r>
      <w:r w:rsidR="00CD4A2C" w:rsidRPr="00425E92">
        <w:rPr>
          <w:rFonts w:ascii="Palatino Linotype" w:eastAsia="Palatino Linotype" w:hAnsi="Palatino Linotype" w:cs="Palatino Linotype"/>
        </w:rPr>
        <w:t>versa en que</w:t>
      </w:r>
      <w:r w:rsidRPr="00425E92">
        <w:rPr>
          <w:rFonts w:ascii="Palatino Linotype" w:eastAsia="Palatino Linotype" w:hAnsi="Palatino Linotype" w:cs="Palatino Linotype"/>
        </w:rPr>
        <w:t xml:space="preserve"> la respuesta no </w:t>
      </w:r>
      <w:r w:rsidR="00CD4A2C" w:rsidRPr="00425E92">
        <w:rPr>
          <w:rFonts w:ascii="Palatino Linotype" w:eastAsia="Palatino Linotype" w:hAnsi="Palatino Linotype" w:cs="Palatino Linotype"/>
        </w:rPr>
        <w:t>atiende los datos personales requeridos, ya que</w:t>
      </w:r>
      <w:r w:rsidRPr="00425E92">
        <w:rPr>
          <w:rFonts w:ascii="Palatino Linotype" w:eastAsia="Palatino Linotype" w:hAnsi="Palatino Linotype" w:cs="Palatino Linotype"/>
        </w:rPr>
        <w:t xml:space="preserve"> </w:t>
      </w:r>
      <w:r w:rsidR="005D1BF5" w:rsidRPr="00425E92">
        <w:rPr>
          <w:rFonts w:ascii="Palatino Linotype" w:eastAsia="Palatino Linotype" w:hAnsi="Palatino Linotype" w:cs="Palatino Linotype"/>
        </w:rPr>
        <w:t xml:space="preserve">a </w:t>
      </w:r>
      <w:r w:rsidRPr="00425E92">
        <w:rPr>
          <w:rFonts w:ascii="Palatino Linotype" w:eastAsia="Palatino Linotype" w:hAnsi="Palatino Linotype" w:cs="Palatino Linotype"/>
        </w:rPr>
        <w:t>consideración</w:t>
      </w:r>
      <w:r w:rsidR="00CD4A2C" w:rsidRPr="00425E92">
        <w:rPr>
          <w:rFonts w:ascii="Palatino Linotype" w:eastAsia="Palatino Linotype" w:hAnsi="Palatino Linotype" w:cs="Palatino Linotype"/>
        </w:rPr>
        <w:t xml:space="preserve"> del promovente</w:t>
      </w:r>
      <w:r w:rsidRPr="00425E92">
        <w:rPr>
          <w:rFonts w:ascii="Palatino Linotype" w:eastAsia="Palatino Linotype" w:hAnsi="Palatino Linotype" w:cs="Palatino Linotype"/>
        </w:rPr>
        <w:t xml:space="preserve"> el </w:t>
      </w:r>
      <w:r w:rsidR="00CD4A2C" w:rsidRPr="00425E92">
        <w:rPr>
          <w:rFonts w:ascii="Palatino Linotype" w:eastAsia="Palatino Linotype" w:hAnsi="Palatino Linotype" w:cs="Palatino Linotype"/>
          <w:b/>
        </w:rPr>
        <w:t>SUJETO OBLIGADO</w:t>
      </w:r>
      <w:r w:rsidRPr="00425E92">
        <w:rPr>
          <w:rFonts w:ascii="Palatino Linotype" w:eastAsia="Palatino Linotype" w:hAnsi="Palatino Linotype" w:cs="Palatino Linotype"/>
        </w:rPr>
        <w:t xml:space="preserve"> si cuenta con un instrumento base de análisis de donde obtener el comparativo solicitado, </w:t>
      </w:r>
      <w:r w:rsidR="005D1BF5" w:rsidRPr="00425E92">
        <w:rPr>
          <w:rFonts w:ascii="Palatino Linotype" w:eastAsia="Palatino Linotype" w:hAnsi="Palatino Linotype" w:cs="Palatino Linotype"/>
        </w:rPr>
        <w:t>que</w:t>
      </w:r>
      <w:r w:rsidRPr="00425E92">
        <w:rPr>
          <w:rFonts w:ascii="Palatino Linotype" w:eastAsia="Palatino Linotype" w:hAnsi="Palatino Linotype" w:cs="Palatino Linotype"/>
        </w:rPr>
        <w:t xml:space="preserve"> corresponde al Anexo de Ejecución que celebró el Ejecutivo Federal, con Gobierno del Estado de México, donde asistió la Secretaria de Finanzas y el Colegio de Bachilleres del Estado de México.</w:t>
      </w:r>
    </w:p>
    <w:p w14:paraId="50BD1308" w14:textId="77777777" w:rsidR="00CD4A2C" w:rsidRPr="00425E92" w:rsidRDefault="00CD4A2C" w:rsidP="00AE6C6A">
      <w:pPr>
        <w:spacing w:line="360" w:lineRule="auto"/>
        <w:contextualSpacing/>
        <w:jc w:val="both"/>
        <w:rPr>
          <w:rFonts w:ascii="Palatino Linotype" w:eastAsia="Palatino Linotype" w:hAnsi="Palatino Linotype" w:cs="Palatino Linotype"/>
        </w:rPr>
      </w:pPr>
    </w:p>
    <w:p w14:paraId="245E26CF" w14:textId="1AFC23EA" w:rsidR="00FF5B24" w:rsidRPr="00425E92" w:rsidRDefault="00CC2048"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Contexto que se ratifica en</w:t>
      </w:r>
      <w:r w:rsidR="00FF5B24" w:rsidRPr="00425E92">
        <w:rPr>
          <w:rFonts w:ascii="Palatino Linotype" w:eastAsia="Palatino Linotype" w:hAnsi="Palatino Linotype" w:cs="Palatino Linotype"/>
        </w:rPr>
        <w:t xml:space="preserve"> informe justificado</w:t>
      </w:r>
      <w:r w:rsidRPr="00425E92">
        <w:rPr>
          <w:rFonts w:ascii="Palatino Linotype" w:eastAsia="Palatino Linotype" w:hAnsi="Palatino Linotype" w:cs="Palatino Linotype"/>
        </w:rPr>
        <w:t>, donde</w:t>
      </w:r>
      <w:r w:rsidR="00FF5B24" w:rsidRPr="00425E92">
        <w:rPr>
          <w:rFonts w:ascii="Palatino Linotype" w:eastAsia="Palatino Linotype" w:hAnsi="Palatino Linotype" w:cs="Palatino Linotype"/>
        </w:rPr>
        <w:t xml:space="preserve"> el </w:t>
      </w:r>
      <w:r w:rsidR="005D1BF5" w:rsidRPr="00425E92">
        <w:rPr>
          <w:rFonts w:ascii="Palatino Linotype" w:eastAsia="Palatino Linotype" w:hAnsi="Palatino Linotype" w:cs="Palatino Linotype"/>
          <w:b/>
        </w:rPr>
        <w:t>SUJETO OBLIGADO</w:t>
      </w:r>
      <w:r w:rsidR="00FF5B24"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adjunta</w:t>
      </w:r>
      <w:r w:rsidR="00A376F2" w:rsidRPr="00425E92">
        <w:rPr>
          <w:rFonts w:ascii="Palatino Linotype" w:eastAsia="Palatino Linotype" w:hAnsi="Palatino Linotype" w:cs="Palatino Linotype"/>
        </w:rPr>
        <w:t xml:space="preserve"> </w:t>
      </w:r>
      <w:r w:rsidRPr="00425E92">
        <w:rPr>
          <w:rFonts w:ascii="Palatino Linotype" w:eastAsia="Palatino Linotype" w:hAnsi="Palatino Linotype" w:cs="Palatino Linotype"/>
        </w:rPr>
        <w:t>nuevamente</w:t>
      </w:r>
      <w:r w:rsidR="00FF5B24" w:rsidRPr="00425E92">
        <w:rPr>
          <w:rFonts w:ascii="Palatino Linotype" w:eastAsia="Palatino Linotype" w:hAnsi="Palatino Linotype" w:cs="Palatino Linotype"/>
        </w:rPr>
        <w:t xml:space="preserve"> </w:t>
      </w:r>
      <w:r w:rsidR="00FF5B24" w:rsidRPr="00425E92">
        <w:rPr>
          <w:rFonts w:ascii="Palatino Linotype" w:hAnsi="Palatino Linotype"/>
        </w:rPr>
        <w:t xml:space="preserve">el oficio de respuesta de la </w:t>
      </w:r>
      <w:r w:rsidR="00FF5B24" w:rsidRPr="00425E92">
        <w:rPr>
          <w:rFonts w:ascii="Palatino Linotype" w:eastAsia="Palatino Linotype" w:hAnsi="Palatino Linotype" w:cs="Palatino Linotype"/>
        </w:rPr>
        <w:t>Jefa del Departamento de Recursos Human</w:t>
      </w:r>
      <w:r w:rsidR="00575397" w:rsidRPr="00425E92">
        <w:rPr>
          <w:rFonts w:ascii="Palatino Linotype" w:eastAsia="Palatino Linotype" w:hAnsi="Palatino Linotype" w:cs="Palatino Linotype"/>
        </w:rPr>
        <w:t>os</w:t>
      </w:r>
      <w:r w:rsidRPr="00425E92">
        <w:rPr>
          <w:rFonts w:ascii="Palatino Linotype" w:eastAsia="Palatino Linotype" w:hAnsi="Palatino Linotype" w:cs="Palatino Linotype"/>
        </w:rPr>
        <w:t xml:space="preserve"> sin aportar elementos novedosos</w:t>
      </w:r>
      <w:r w:rsidR="00575397" w:rsidRPr="00425E92">
        <w:rPr>
          <w:rFonts w:ascii="Palatino Linotype" w:eastAsia="Palatino Linotype" w:hAnsi="Palatino Linotype" w:cs="Palatino Linotype"/>
        </w:rPr>
        <w:t>; n</w:t>
      </w:r>
      <w:r w:rsidR="00FF5B24" w:rsidRPr="00425E92">
        <w:rPr>
          <w:rFonts w:ascii="Palatino Linotype" w:eastAsia="Palatino Linotype" w:hAnsi="Palatino Linotype" w:cs="Palatino Linotype"/>
        </w:rPr>
        <w:t xml:space="preserve">o obstante, </w:t>
      </w:r>
      <w:r w:rsidR="00575397" w:rsidRPr="00425E92">
        <w:rPr>
          <w:rFonts w:ascii="Palatino Linotype" w:eastAsia="Palatino Linotype" w:hAnsi="Palatino Linotype" w:cs="Palatino Linotype"/>
        </w:rPr>
        <w:t xml:space="preserve">como se menciona en los antecedentes del presente proveído, </w:t>
      </w:r>
      <w:r w:rsidR="00FF5B24" w:rsidRPr="00425E92">
        <w:rPr>
          <w:rFonts w:ascii="Palatino Linotype" w:eastAsia="Palatino Linotype" w:hAnsi="Palatino Linotype" w:cs="Palatino Linotype"/>
        </w:rPr>
        <w:t>dicho documento no se hizo del conocimiento de la persona solicitante al no haber acreditado la identidad del titular de los datos personales sobre los cuales se pretende ejercer el Derecho de Acceso, así como su personalidad e identidad en calidad de representante.</w:t>
      </w:r>
    </w:p>
    <w:p w14:paraId="03F783D0" w14:textId="77777777" w:rsidR="00CD4A2C" w:rsidRPr="00425E92" w:rsidRDefault="00CD4A2C" w:rsidP="00AE6C6A">
      <w:pPr>
        <w:pStyle w:val="Prrafodelista"/>
        <w:spacing w:line="360" w:lineRule="auto"/>
        <w:ind w:left="0"/>
        <w:rPr>
          <w:rFonts w:ascii="Palatino Linotype" w:eastAsia="Palatino Linotype" w:hAnsi="Palatino Linotype" w:cs="Palatino Linotype"/>
        </w:rPr>
      </w:pPr>
    </w:p>
    <w:p w14:paraId="4B039150" w14:textId="71A5EE43" w:rsidR="00FF5B24" w:rsidRPr="00425E92" w:rsidRDefault="00CC2048"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Dicho lo anterior, es importante insistir en que</w:t>
      </w:r>
      <w:r w:rsidR="00FF5B24" w:rsidRPr="00425E92">
        <w:rPr>
          <w:rFonts w:ascii="Palatino Linotype" w:eastAsia="Palatino Linotype" w:hAnsi="Palatino Linotype" w:cs="Palatino Linotype"/>
        </w:rPr>
        <w:t xml:space="preserve"> para el acceso a </w:t>
      </w:r>
      <w:r w:rsidR="00575397" w:rsidRPr="00425E92">
        <w:rPr>
          <w:rFonts w:ascii="Palatino Linotype" w:eastAsia="Palatino Linotype" w:hAnsi="Palatino Linotype" w:cs="Palatino Linotype"/>
        </w:rPr>
        <w:t xml:space="preserve">los </w:t>
      </w:r>
      <w:r w:rsidR="00FF5B24" w:rsidRPr="00425E92">
        <w:rPr>
          <w:rFonts w:ascii="Palatino Linotype" w:eastAsia="Palatino Linotype" w:hAnsi="Palatino Linotype" w:cs="Palatino Linotype"/>
        </w:rPr>
        <w:t xml:space="preserve">datos personales es necesario que el titular de los mismos acredite su identidad, y en caso de que se pretenda </w:t>
      </w:r>
      <w:r w:rsidR="00FF5B24" w:rsidRPr="00425E92">
        <w:rPr>
          <w:rFonts w:ascii="Palatino Linotype" w:eastAsia="Palatino Linotype" w:hAnsi="Palatino Linotype" w:cs="Palatino Linotype"/>
        </w:rPr>
        <w:lastRenderedPageBreak/>
        <w:t>acceder a través de un representante</w:t>
      </w:r>
      <w:r w:rsidR="008F1889" w:rsidRPr="00425E92">
        <w:rPr>
          <w:rFonts w:ascii="Palatino Linotype" w:eastAsia="Palatino Linotype" w:hAnsi="Palatino Linotype" w:cs="Palatino Linotype"/>
        </w:rPr>
        <w:t xml:space="preserve"> s</w:t>
      </w:r>
      <w:r w:rsidR="00FF5B24" w:rsidRPr="00425E92">
        <w:rPr>
          <w:rFonts w:ascii="Palatino Linotype" w:eastAsia="Palatino Linotype" w:hAnsi="Palatino Linotype" w:cs="Palatino Linotype"/>
        </w:rPr>
        <w:t>e</w:t>
      </w:r>
      <w:r w:rsidR="008F1889" w:rsidRPr="00425E92">
        <w:rPr>
          <w:rFonts w:ascii="Palatino Linotype" w:eastAsia="Palatino Linotype" w:hAnsi="Palatino Linotype" w:cs="Palatino Linotype"/>
        </w:rPr>
        <w:t xml:space="preserve"> deberá acreditar la identidad del titular y en su caso la identidad y personalidad con la que actúe el representante</w:t>
      </w:r>
      <w:r w:rsidR="00FF5B24" w:rsidRPr="00425E92">
        <w:rPr>
          <w:rFonts w:ascii="Palatino Linotype" w:eastAsia="Palatino Linotype" w:hAnsi="Palatino Linotype" w:cs="Palatino Linotype"/>
        </w:rPr>
        <w:t>; requisito dispuesto en el artículo 106, párrafo tercero de la Ley de Protección de Datos Personales en Posesión de Sujeto Obligados del Estado de México y Municipios</w:t>
      </w:r>
      <w:r w:rsidR="00FF5B24" w:rsidRPr="00425E92">
        <w:rPr>
          <w:rFonts w:ascii="Palatino Linotype" w:eastAsia="Palatino Linotype" w:hAnsi="Palatino Linotype" w:cs="Palatino Linotype"/>
          <w:b/>
        </w:rPr>
        <w:t xml:space="preserve">, </w:t>
      </w:r>
      <w:r w:rsidR="00FF5B24" w:rsidRPr="00425E92">
        <w:rPr>
          <w:rFonts w:ascii="Palatino Linotype" w:eastAsia="Palatino Linotype" w:hAnsi="Palatino Linotype" w:cs="Palatino Linotype"/>
        </w:rPr>
        <w:t>que es del tenor literal siguiente:</w:t>
      </w:r>
    </w:p>
    <w:p w14:paraId="62EA9A27"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r w:rsidRPr="00425E92">
        <w:rPr>
          <w:rFonts w:ascii="Palatino Linotype" w:eastAsia="Palatino Linotype" w:hAnsi="Palatino Linotype" w:cs="Palatino Linotype"/>
          <w:b/>
          <w:i/>
        </w:rPr>
        <w:t>Artículo 106</w:t>
      </w:r>
      <w:r w:rsidRPr="00425E92">
        <w:rPr>
          <w:rFonts w:ascii="Palatino Linotype" w:eastAsia="Palatino Linotype" w:hAnsi="Palatino Linotype" w:cs="Palatino Linotype"/>
          <w:i/>
        </w:rPr>
        <w:t>…</w:t>
      </w:r>
    </w:p>
    <w:p w14:paraId="5D28C02E"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u w:val="single"/>
        </w:rPr>
        <w:t>Para el ejercicio de los derechos ARCO solicitados será necesario acreditar la identidad de titular y en su caso la identidad y personalidad con la que actúe el representante</w:t>
      </w:r>
      <w:r w:rsidRPr="00425E92">
        <w:rPr>
          <w:rFonts w:ascii="Palatino Linotype" w:eastAsia="Palatino Linotype" w:hAnsi="Palatino Linotype" w:cs="Palatino Linotype"/>
          <w:i/>
        </w:rPr>
        <w:t>…”</w:t>
      </w:r>
    </w:p>
    <w:p w14:paraId="78D841A6" w14:textId="77777777" w:rsidR="00575397" w:rsidRPr="00425E92" w:rsidRDefault="00575397" w:rsidP="00AE6C6A">
      <w:pPr>
        <w:pBdr>
          <w:top w:val="nil"/>
          <w:left w:val="nil"/>
          <w:bottom w:val="nil"/>
          <w:right w:val="nil"/>
          <w:between w:val="nil"/>
        </w:pBdr>
        <w:spacing w:line="360" w:lineRule="auto"/>
        <w:jc w:val="both"/>
        <w:rPr>
          <w:rFonts w:ascii="Palatino Linotype" w:eastAsia="Palatino Linotype" w:hAnsi="Palatino Linotype" w:cs="Palatino Linotype"/>
          <w:i/>
        </w:rPr>
      </w:pPr>
    </w:p>
    <w:p w14:paraId="7F6181C5" w14:textId="77777777"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Al respecto, es de indicar que, de conformidad con los artículos 120 de la Ley de Protección de Datos Personales en Posesión de Sujetos Obligados del Estado de México y Municipios; 76 de los Lineamientos Generales de Protección de Datos Personales para el Sector Público; y 2.5 Bis del Código Civil del Estado de México, los medios para acreditar la identidad de personas físicas son los siguientes:</w:t>
      </w:r>
    </w:p>
    <w:p w14:paraId="05D5CBF5" w14:textId="77777777" w:rsidR="00FF5B24" w:rsidRPr="00425E92" w:rsidRDefault="00FF5B24" w:rsidP="00AE6C6A">
      <w:pPr>
        <w:numPr>
          <w:ilvl w:val="0"/>
          <w:numId w:val="4"/>
        </w:numPr>
        <w:spacing w:line="360" w:lineRule="auto"/>
        <w:ind w:left="0"/>
        <w:jc w:val="both"/>
        <w:rPr>
          <w:rFonts w:ascii="Palatino Linotype" w:eastAsia="Palatino Linotype" w:hAnsi="Palatino Linotype" w:cs="Palatino Linotype"/>
        </w:rPr>
      </w:pPr>
      <w:r w:rsidRPr="00425E92">
        <w:rPr>
          <w:rFonts w:ascii="Palatino Linotype" w:eastAsia="Palatino Linotype" w:hAnsi="Palatino Linotype" w:cs="Palatino Linotype"/>
        </w:rPr>
        <w:t>Identificación oficial, como Credencial para votar, pasaporte, matrícula consular mexicana, carta de naturalización, cédula profesional o de pasante, etc.</w:t>
      </w:r>
    </w:p>
    <w:p w14:paraId="3441F192" w14:textId="77777777" w:rsidR="00FF5B24" w:rsidRPr="00425E92" w:rsidRDefault="00FF5B24" w:rsidP="00AE6C6A">
      <w:pPr>
        <w:numPr>
          <w:ilvl w:val="0"/>
          <w:numId w:val="4"/>
        </w:numPr>
        <w:spacing w:line="360" w:lineRule="auto"/>
        <w:ind w:left="0"/>
        <w:jc w:val="both"/>
        <w:rPr>
          <w:rFonts w:ascii="Palatino Linotype" w:eastAsia="Palatino Linotype" w:hAnsi="Palatino Linotype" w:cs="Palatino Linotype"/>
        </w:rPr>
      </w:pPr>
      <w:r w:rsidRPr="00425E92">
        <w:rPr>
          <w:rFonts w:ascii="Palatino Linotype" w:eastAsia="Palatino Linotype" w:hAnsi="Palatino Linotype" w:cs="Palatino Linotype"/>
        </w:rPr>
        <w:t>Credenciales expedidas por autoridades educativas que cuenten con autorización o con reconocimiento de validez oficial o instituciones de seguridad social, licencia para conducir, cartilla del servicio militar nacional, etc.</w:t>
      </w:r>
    </w:p>
    <w:p w14:paraId="218BF1E6" w14:textId="77777777" w:rsidR="00FF5B24" w:rsidRPr="00425E92" w:rsidRDefault="00FF5B24" w:rsidP="00AE6C6A">
      <w:pPr>
        <w:numPr>
          <w:ilvl w:val="0"/>
          <w:numId w:val="4"/>
        </w:numPr>
        <w:spacing w:line="360" w:lineRule="auto"/>
        <w:ind w:left="0"/>
        <w:jc w:val="both"/>
        <w:rPr>
          <w:rFonts w:ascii="Palatino Linotype" w:eastAsia="Palatino Linotype" w:hAnsi="Palatino Linotype" w:cs="Palatino Linotype"/>
        </w:rPr>
      </w:pPr>
      <w:r w:rsidRPr="00425E92">
        <w:rPr>
          <w:rFonts w:ascii="Palatino Linotype" w:eastAsia="Palatino Linotype" w:hAnsi="Palatino Linotype" w:cs="Palatino Linotype"/>
        </w:rPr>
        <w:t>Firma electrónica avanzada o del instrumento electrónico que lo sustituya.</w:t>
      </w:r>
    </w:p>
    <w:p w14:paraId="7522FCC3" w14:textId="77777777" w:rsidR="00FF5B24" w:rsidRPr="00425E92" w:rsidRDefault="00FF5B24" w:rsidP="00AE6C6A">
      <w:pPr>
        <w:numPr>
          <w:ilvl w:val="0"/>
          <w:numId w:val="4"/>
        </w:numPr>
        <w:spacing w:line="360" w:lineRule="auto"/>
        <w:ind w:left="0"/>
        <w:jc w:val="both"/>
        <w:rPr>
          <w:rFonts w:ascii="Palatino Linotype" w:eastAsia="Palatino Linotype" w:hAnsi="Palatino Linotype" w:cs="Palatino Linotype"/>
        </w:rPr>
      </w:pPr>
      <w:r w:rsidRPr="00425E92">
        <w:rPr>
          <w:rFonts w:ascii="Palatino Linotype" w:eastAsia="Palatino Linotype" w:hAnsi="Palatino Linotype" w:cs="Palatino Linotype"/>
        </w:rPr>
        <w:t>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14:paraId="0BDB25B7" w14:textId="77777777"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lastRenderedPageBreak/>
        <w:t>Asimismo, de conformidad con el artículo 121 de la Ley de Protección de Datos Personales en Posesión de Sujetos Obligados del Estado de México y Municipios, las formas para acreditar la personalidad en representación, cuando el titular de los datos actúe a través de un representante, son las siguientes:</w:t>
      </w:r>
    </w:p>
    <w:p w14:paraId="2315E94A" w14:textId="77777777" w:rsidR="00FF5B24" w:rsidRPr="00425E92" w:rsidRDefault="00FF5B24" w:rsidP="00AE6C6A">
      <w:pPr>
        <w:numPr>
          <w:ilvl w:val="0"/>
          <w:numId w:val="6"/>
        </w:numPr>
        <w:spacing w:line="360" w:lineRule="auto"/>
        <w:ind w:left="0"/>
        <w:jc w:val="both"/>
        <w:rPr>
          <w:rFonts w:ascii="Palatino Linotype" w:eastAsia="Palatino Linotype" w:hAnsi="Palatino Linotype" w:cs="Palatino Linotype"/>
        </w:rPr>
      </w:pPr>
      <w:r w:rsidRPr="00425E92">
        <w:rPr>
          <w:rFonts w:ascii="Palatino Linotype" w:eastAsia="Palatino Linotype" w:hAnsi="Palatino Linotype" w:cs="Palatino Linotype"/>
          <w:b/>
          <w:u w:val="single"/>
        </w:rPr>
        <w:t>Cuando el titular se trate de una persona física</w:t>
      </w:r>
      <w:r w:rsidRPr="00425E92">
        <w:rPr>
          <w:rFonts w:ascii="Palatino Linotype" w:eastAsia="Palatino Linotype" w:hAnsi="Palatino Linotype" w:cs="Palatino Linotype"/>
        </w:rPr>
        <w:t>: a través de carta poder simple suscrita ante dos testigos anexando copia de las identificaciones de los suscriptores o instrumento público o declaración en comparecencia personal del titular y del representante ante el Instituto.</w:t>
      </w:r>
    </w:p>
    <w:p w14:paraId="0C24A063" w14:textId="77777777" w:rsidR="00FF5B24" w:rsidRPr="00425E92" w:rsidRDefault="00FF5B24" w:rsidP="00AE6C6A">
      <w:pPr>
        <w:numPr>
          <w:ilvl w:val="0"/>
          <w:numId w:val="6"/>
        </w:numPr>
        <w:spacing w:line="360" w:lineRule="auto"/>
        <w:ind w:left="0"/>
        <w:jc w:val="both"/>
        <w:rPr>
          <w:rFonts w:ascii="Palatino Linotype" w:eastAsia="Palatino Linotype" w:hAnsi="Palatino Linotype" w:cs="Palatino Linotype"/>
        </w:rPr>
      </w:pPr>
      <w:r w:rsidRPr="00425E92">
        <w:rPr>
          <w:rFonts w:ascii="Palatino Linotype" w:eastAsia="Palatino Linotype" w:hAnsi="Palatino Linotype" w:cs="Palatino Linotype"/>
          <w:b/>
          <w:u w:val="single"/>
        </w:rPr>
        <w:t>Cuando el titular se trate de una persona jurídica colectiva</w:t>
      </w:r>
      <w:r w:rsidRPr="00425E92">
        <w:rPr>
          <w:rFonts w:ascii="Palatino Linotype" w:eastAsia="Palatino Linotype" w:hAnsi="Palatino Linotype" w:cs="Palatino Linotype"/>
        </w:rPr>
        <w:t>: a través de instrumento público.</w:t>
      </w:r>
    </w:p>
    <w:p w14:paraId="28C12B49" w14:textId="77777777" w:rsidR="008F1889" w:rsidRPr="00425E92" w:rsidRDefault="008F1889" w:rsidP="00AE6C6A">
      <w:pPr>
        <w:pStyle w:val="Prrafodelista"/>
        <w:ind w:left="0"/>
        <w:rPr>
          <w:rFonts w:ascii="Palatino Linotype" w:eastAsia="Palatino Linotype" w:hAnsi="Palatino Linotype" w:cs="Palatino Linotype"/>
        </w:rPr>
      </w:pPr>
    </w:p>
    <w:p w14:paraId="7429C084" w14:textId="0AA7572B"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Corrobora lo anterior, los Lineamientos Generales de Protección de Datos Personales para el Sector Público, en los artículos 73 y 77, que establecen que</w:t>
      </w:r>
      <w:r w:rsidRPr="00425E92">
        <w:rPr>
          <w:rFonts w:ascii="Palatino Linotype" w:hAnsi="Palatino Linotype"/>
        </w:rPr>
        <w:t xml:space="preserve"> </w:t>
      </w:r>
      <w:r w:rsidRPr="00425E92">
        <w:rPr>
          <w:rFonts w:ascii="Palatino Linotype" w:eastAsia="Palatino Linotype" w:hAnsi="Palatino Linotype" w:cs="Palatino Linotype"/>
        </w:rPr>
        <w:t>los derechos ARCO se podrán ejercer por el titular o, en su caso, su representante, acreditando su identidad y, en su caso, la identidad y personalidad de este último; y, que los medios para la acreditación de la identidad del titular y su representante, así como la personalidad de este último es mediante: copia simple de la identificación oficial del titular y del representante, y la entrega del instrumento público; carta poder simple firmada ante dos testigos anexando copia simple de las identificaciones oficiales de quienes intervengan en la suscripción del mismo, o declaración en comparecencia personal del titular, como se muestra:</w:t>
      </w:r>
      <w:r w:rsidR="00575397" w:rsidRPr="00425E92">
        <w:rPr>
          <w:rFonts w:ascii="Palatino Linotype" w:eastAsia="Palatino Linotype" w:hAnsi="Palatino Linotype" w:cs="Palatino Linotype"/>
        </w:rPr>
        <w:t xml:space="preserve"> </w:t>
      </w:r>
    </w:p>
    <w:p w14:paraId="00CB7DE5"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 xml:space="preserve">“Artículo 73. Los derechos ARCO se podrán ejercer por el titular o, en su caso, su representante, acreditando su identidad y, en su caso, la identidad y personalidad de este último al presentar su </w:t>
      </w:r>
      <w:r w:rsidRPr="00425E92">
        <w:rPr>
          <w:rFonts w:ascii="Palatino Linotype" w:eastAsia="Palatino Linotype" w:hAnsi="Palatino Linotype" w:cs="Palatino Linotype"/>
          <w:i/>
        </w:rPr>
        <w:lastRenderedPageBreak/>
        <w:t>solicitud o, de manera previa, al momento de hacer efectivo su derecho ante el responsable, conforme a lo dispuesto en el artículo 91 de los presentes Lineamientos generales.”</w:t>
      </w:r>
    </w:p>
    <w:p w14:paraId="19A96A13"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“Artículo 77. Cuando el titular ejerza sus derechos ARCO a través de su representante, éste deberá acreditar la identidad del titular y su identidad y personalidad presentando ante el responsable lo siguiente:</w:t>
      </w:r>
    </w:p>
    <w:p w14:paraId="13571101"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 xml:space="preserve">I. Copia simple de la identificación oficial del titular; </w:t>
      </w:r>
    </w:p>
    <w:p w14:paraId="0E3417E3"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 xml:space="preserve">II. Identificación oficial del representante, e </w:t>
      </w:r>
    </w:p>
    <w:p w14:paraId="7F852A5A"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III. Instrumento público; carta poder simple firmada ante dos testigos anexando copia simple de las identificaciones oficiales de quienes intervengan en la suscripción del mismo, o declaración en comparecencia personal del titular.”</w:t>
      </w:r>
    </w:p>
    <w:p w14:paraId="07560D61" w14:textId="77777777" w:rsidR="00575397" w:rsidRPr="00425E92" w:rsidRDefault="00575397" w:rsidP="00AE6C6A">
      <w:pPr>
        <w:spacing w:line="360" w:lineRule="auto"/>
        <w:rPr>
          <w:rFonts w:ascii="Palatino Linotype" w:eastAsia="Palatino Linotype" w:hAnsi="Palatino Linotype" w:cs="Palatino Linotype"/>
        </w:rPr>
      </w:pPr>
    </w:p>
    <w:p w14:paraId="280F9C0B" w14:textId="2C58FDB4"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 xml:space="preserve">En este orden de ideas, </w:t>
      </w:r>
      <w:r w:rsidR="008073DB" w:rsidRPr="00425E92">
        <w:rPr>
          <w:rFonts w:ascii="Palatino Linotype" w:eastAsia="Palatino Linotype" w:hAnsi="Palatino Linotype" w:cs="Palatino Linotype"/>
        </w:rPr>
        <w:t>al no atenderse la prevención notificada al solicitante y consecuentemente no acredita</w:t>
      </w:r>
      <w:r w:rsidRPr="00425E92">
        <w:rPr>
          <w:rFonts w:ascii="Palatino Linotype" w:eastAsia="Palatino Linotype" w:hAnsi="Palatino Linotype" w:cs="Palatino Linotype"/>
        </w:rPr>
        <w:t xml:space="preserve"> la identidad y representación de la persona solicitante, así como la identidad de la persona titular de los datos personales sobre los cuales se pretende ejercer el derecho de acceso, siendo requisitos que deben contener tanto la solicitud, como el escrito de interposición del </w:t>
      </w:r>
      <w:r w:rsidR="009E7C0D" w:rsidRPr="00425E92">
        <w:rPr>
          <w:rFonts w:ascii="Palatino Linotype" w:eastAsia="Palatino Linotype" w:hAnsi="Palatino Linotype" w:cs="Palatino Linotype"/>
        </w:rPr>
        <w:t>R</w:t>
      </w:r>
      <w:r w:rsidRPr="00425E92">
        <w:rPr>
          <w:rFonts w:ascii="Palatino Linotype" w:eastAsia="Palatino Linotype" w:hAnsi="Palatino Linotype" w:cs="Palatino Linotype"/>
        </w:rPr>
        <w:t xml:space="preserve">ecurso de </w:t>
      </w:r>
      <w:r w:rsidR="009E7C0D" w:rsidRPr="00425E92">
        <w:rPr>
          <w:rFonts w:ascii="Palatino Linotype" w:eastAsia="Palatino Linotype" w:hAnsi="Palatino Linotype" w:cs="Palatino Linotype"/>
        </w:rPr>
        <w:t>R</w:t>
      </w:r>
      <w:r w:rsidRPr="00425E92">
        <w:rPr>
          <w:rFonts w:ascii="Palatino Linotype" w:eastAsia="Palatino Linotype" w:hAnsi="Palatino Linotype" w:cs="Palatino Linotype"/>
        </w:rPr>
        <w:t>evisión, en términos de los artículos 110, fracción II y 130, fracción VI, de la Ley de Protección de Datos Personales en Posesión de Sujetos Obligados del Estado de México y Municipios, a saber:</w:t>
      </w:r>
    </w:p>
    <w:p w14:paraId="79E21979"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r w:rsidRPr="00425E92">
        <w:rPr>
          <w:rFonts w:ascii="Palatino Linotype" w:eastAsia="Palatino Linotype" w:hAnsi="Palatino Linotype" w:cs="Palatino Linotype"/>
          <w:b/>
          <w:i/>
        </w:rPr>
        <w:t>Artículo 110.</w:t>
      </w:r>
      <w:r w:rsidRPr="00425E92">
        <w:rPr>
          <w:rFonts w:ascii="Palatino Linotype" w:eastAsia="Palatino Linotype" w:hAnsi="Palatino Linotype" w:cs="Palatino Linotype"/>
          <w:i/>
        </w:rPr>
        <w:t xml:space="preserve"> La solicitud para el ejercicio de derechos ARCO, deberá contener:</w:t>
      </w:r>
    </w:p>
    <w:p w14:paraId="71F84219"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p>
    <w:p w14:paraId="5C0C9EC2"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II.</w:t>
      </w:r>
      <w:r w:rsidRPr="00425E92">
        <w:rPr>
          <w:rFonts w:ascii="Palatino Linotype" w:eastAsia="Palatino Linotype" w:hAnsi="Palatino Linotype" w:cs="Palatino Linotype"/>
          <w:i/>
        </w:rPr>
        <w:t xml:space="preserve"> Los documentos que acrediten la identidad del titular y en su caso, la personalidad e identidad de su representante.</w:t>
      </w:r>
    </w:p>
    <w:p w14:paraId="6B33650C"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p>
    <w:p w14:paraId="2DB85EC5"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lastRenderedPageBreak/>
        <w:t>Artículo 130.</w:t>
      </w:r>
      <w:r w:rsidRPr="00425E92">
        <w:rPr>
          <w:rFonts w:ascii="Palatino Linotype" w:eastAsia="Palatino Linotype" w:hAnsi="Palatino Linotype" w:cs="Palatino Linotype"/>
          <w:i/>
        </w:rPr>
        <w:t xml:space="preserve"> Los únicos requisitos exigibles en el escrito de interposición del recurso de revisión serán los siguientes:</w:t>
      </w:r>
    </w:p>
    <w:p w14:paraId="15186424"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p>
    <w:p w14:paraId="63C671DF" w14:textId="77777777"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VI</w:t>
      </w:r>
      <w:r w:rsidRPr="00425E92">
        <w:rPr>
          <w:rFonts w:ascii="Palatino Linotype" w:eastAsia="Palatino Linotype" w:hAnsi="Palatino Linotype" w:cs="Palatino Linotype"/>
          <w:i/>
        </w:rPr>
        <w:t>. Los documentos que acrediten la identidad del titular y en su caso, la personalidad e identidad de su representante.”</w:t>
      </w:r>
    </w:p>
    <w:p w14:paraId="31C3AB83" w14:textId="77777777" w:rsidR="00A7111D" w:rsidRPr="00425E92" w:rsidRDefault="00A7111D" w:rsidP="00AE6C6A">
      <w:pPr>
        <w:spacing w:line="360" w:lineRule="auto"/>
        <w:jc w:val="both"/>
        <w:rPr>
          <w:rFonts w:ascii="Palatino Linotype" w:eastAsia="Palatino Linotype" w:hAnsi="Palatino Linotype" w:cs="Palatino Linotype"/>
          <w:i/>
        </w:rPr>
      </w:pPr>
    </w:p>
    <w:p w14:paraId="043DFC9B" w14:textId="7CF0E3DC" w:rsidR="00FF5B24" w:rsidRPr="00425E92" w:rsidRDefault="008073DB" w:rsidP="00AE6C6A">
      <w:pPr>
        <w:numPr>
          <w:ilvl w:val="0"/>
          <w:numId w:val="1"/>
        </w:numPr>
        <w:spacing w:line="360" w:lineRule="auto"/>
        <w:ind w:left="0" w:firstLine="0"/>
        <w:contextualSpacing/>
        <w:jc w:val="both"/>
        <w:rPr>
          <w:rFonts w:ascii="Palatino Linotype" w:eastAsia="Palatino Linotype" w:hAnsi="Palatino Linotype" w:cs="Palatino Linotype"/>
          <w:b/>
        </w:rPr>
      </w:pPr>
      <w:r w:rsidRPr="00425E92">
        <w:rPr>
          <w:rFonts w:ascii="Palatino Linotype" w:eastAsia="Palatino Linotype" w:hAnsi="Palatino Linotype" w:cs="Palatino Linotype"/>
        </w:rPr>
        <w:t>Es que se arriba a la conclusión que no se colman los requisitos para el ejercicio del derecho de acceso a datos personales, ante la</w:t>
      </w:r>
      <w:r w:rsidR="00FF5B24" w:rsidRPr="00425E92">
        <w:rPr>
          <w:rFonts w:ascii="Palatino Linotype" w:eastAsia="Palatino Linotype" w:hAnsi="Palatino Linotype" w:cs="Palatino Linotype"/>
        </w:rPr>
        <w:t xml:space="preserve"> omisión de acreditar la identidad del titular y en su caso la identidad y personalidad con la que actúe el representante</w:t>
      </w:r>
      <w:r w:rsidRPr="00425E92">
        <w:rPr>
          <w:rFonts w:ascii="Palatino Linotype" w:eastAsia="Palatino Linotype" w:hAnsi="Palatino Linotype" w:cs="Palatino Linotype"/>
        </w:rPr>
        <w:t>; al respecto</w:t>
      </w:r>
      <w:r w:rsidR="00FF5B24" w:rsidRPr="00425E92">
        <w:rPr>
          <w:rFonts w:ascii="Palatino Linotype" w:eastAsia="Palatino Linotype" w:hAnsi="Palatino Linotype" w:cs="Palatino Linotype"/>
          <w:b/>
        </w:rPr>
        <w:t xml:space="preserve"> </w:t>
      </w:r>
      <w:r w:rsidR="00FF5B24" w:rsidRPr="00425E92">
        <w:rPr>
          <w:rFonts w:ascii="Palatino Linotype" w:eastAsia="Palatino Linotype" w:hAnsi="Palatino Linotype" w:cs="Palatino Linotype"/>
        </w:rPr>
        <w:t xml:space="preserve">no debe perderse de vista que de conformidad con el artículo 136 de Ley de Protección de Datos Personales en Posesión de Sujetos Obligados del Estado de México y Municipios, en aquellos casos donde el escrito de interposición del recurso de revisión no cumpla con alguno de los requisitos previstos en el artículo 130 de la Ley de la materia, y que este Instituto no tenga elementos para subsanarlos, cuenta con el deber de requerir a la parte </w:t>
      </w:r>
      <w:r w:rsidR="00670DE3" w:rsidRPr="00425E92">
        <w:rPr>
          <w:rFonts w:ascii="Palatino Linotype" w:eastAsia="Palatino Linotype" w:hAnsi="Palatino Linotype" w:cs="Palatino Linotype"/>
          <w:b/>
        </w:rPr>
        <w:t xml:space="preserve">RECURRENTE </w:t>
      </w:r>
      <w:r w:rsidR="00FF5B24" w:rsidRPr="00425E92">
        <w:rPr>
          <w:rFonts w:ascii="Palatino Linotype" w:eastAsia="Palatino Linotype" w:hAnsi="Palatino Linotype" w:cs="Palatino Linotype"/>
        </w:rPr>
        <w:t>la información que subsane las omisiones, como se lee en seguida:</w:t>
      </w:r>
    </w:p>
    <w:p w14:paraId="591088C5" w14:textId="5AA60D54"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 xml:space="preserve"> “</w:t>
      </w:r>
      <w:r w:rsidRPr="00425E92">
        <w:rPr>
          <w:rFonts w:ascii="Palatino Linotype" w:eastAsia="Palatino Linotype" w:hAnsi="Palatino Linotype" w:cs="Palatino Linotype"/>
          <w:i/>
        </w:rPr>
        <w:t>Artículo 136. Si en el escrito de interposición del recurso de revisión el recurrente no cumple con alguno de los requisitos previstos en el artículo 130 de la presente Ley y el Instituto no cuente con elementos para subsanarlos, deberá requerir al recurrente, por una sola ocasión, la información que subsane las omisiones en un plazo que no podrá exceder de cinco días, contados a partir del día siguiente de la presentación del escrito.</w:t>
      </w:r>
    </w:p>
    <w:p w14:paraId="6A5BCBD3"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14:paraId="5EA74AD2"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lastRenderedPageBreak/>
        <w:t>La prevención tendrá el efecto de interrumpir el plazo que tiene el Instituto para resolver el recurso, por lo que comenzará a computarse a partir del día siguiente a su desahogo.”</w:t>
      </w:r>
    </w:p>
    <w:p w14:paraId="406261B6" w14:textId="77777777" w:rsidR="00670DE3" w:rsidRPr="00425E92" w:rsidRDefault="00670DE3" w:rsidP="00AE6C6A">
      <w:pPr>
        <w:pBdr>
          <w:top w:val="nil"/>
          <w:left w:val="nil"/>
          <w:bottom w:val="nil"/>
          <w:right w:val="nil"/>
          <w:between w:val="nil"/>
        </w:pBdr>
        <w:spacing w:line="360" w:lineRule="auto"/>
        <w:jc w:val="both"/>
        <w:rPr>
          <w:rFonts w:ascii="Palatino Linotype" w:eastAsia="Palatino Linotype" w:hAnsi="Palatino Linotype" w:cs="Palatino Linotype"/>
        </w:rPr>
      </w:pPr>
    </w:p>
    <w:p w14:paraId="52EE4D14" w14:textId="648F7902"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En este tenor, si bien</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 xml:space="preserve">la parte </w:t>
      </w:r>
      <w:r w:rsidR="00A7111D" w:rsidRPr="00425E92">
        <w:rPr>
          <w:rFonts w:ascii="Palatino Linotype" w:eastAsia="Palatino Linotype" w:hAnsi="Palatino Linotype" w:cs="Palatino Linotype"/>
          <w:b/>
        </w:rPr>
        <w:t>RECURRENTE</w:t>
      </w:r>
      <w:r w:rsidR="00A7111D" w:rsidRPr="00425E92">
        <w:rPr>
          <w:rFonts w:ascii="Palatino Linotype" w:eastAsia="Palatino Linotype" w:hAnsi="Palatino Linotype" w:cs="Palatino Linotype"/>
        </w:rPr>
        <w:t xml:space="preserve"> </w:t>
      </w:r>
      <w:r w:rsidRPr="00425E92">
        <w:rPr>
          <w:rFonts w:ascii="Palatino Linotype" w:eastAsia="Palatino Linotype" w:hAnsi="Palatino Linotype" w:cs="Palatino Linotype"/>
        </w:rPr>
        <w:t xml:space="preserve">no acreditó su identidad y representación al momento de interponer el recurso de revisión, así como la identidad de la persona titular de los datos personales a los que se pretende acceder, través de la prevención que efectúe este Organismo Garante, para lo cual se le concedieron a la parte </w:t>
      </w:r>
      <w:r w:rsidR="008571DF" w:rsidRPr="00425E92">
        <w:rPr>
          <w:rFonts w:ascii="Palatino Linotype" w:eastAsia="Palatino Linotype" w:hAnsi="Palatino Linotype" w:cs="Palatino Linotype"/>
        </w:rPr>
        <w:t>r</w:t>
      </w:r>
      <w:r w:rsidRPr="00425E92">
        <w:rPr>
          <w:rFonts w:ascii="Palatino Linotype" w:eastAsia="Palatino Linotype" w:hAnsi="Palatino Linotype" w:cs="Palatino Linotype"/>
        </w:rPr>
        <w:t>ecurrente</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cinco días hábiles posteriores a la notificación de la prevención para subsanar las omisiones.</w:t>
      </w:r>
    </w:p>
    <w:p w14:paraId="194B6773" w14:textId="77777777" w:rsidR="00670DE3" w:rsidRPr="00425E92" w:rsidRDefault="00670DE3" w:rsidP="00AE6C6A">
      <w:pPr>
        <w:spacing w:line="360" w:lineRule="auto"/>
        <w:contextualSpacing/>
        <w:jc w:val="both"/>
        <w:rPr>
          <w:rFonts w:ascii="Palatino Linotype" w:eastAsia="Palatino Linotype" w:hAnsi="Palatino Linotype" w:cs="Palatino Linotype"/>
        </w:rPr>
      </w:pPr>
    </w:p>
    <w:p w14:paraId="1B0FDC99" w14:textId="10D70123" w:rsidR="00FF5B24" w:rsidRPr="00425E92" w:rsidRDefault="00A7111D"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En ese contexto</w:t>
      </w:r>
      <w:r w:rsidR="00FF5B24" w:rsidRPr="00425E92">
        <w:rPr>
          <w:rFonts w:ascii="Palatino Linotype" w:eastAsia="Palatino Linotype" w:hAnsi="Palatino Linotype" w:cs="Palatino Linotype"/>
        </w:rPr>
        <w:t xml:space="preserve">, siendo un elemento subsanable, se admitió el </w:t>
      </w:r>
      <w:r w:rsidRPr="00425E92">
        <w:rPr>
          <w:rFonts w:ascii="Palatino Linotype" w:eastAsia="Palatino Linotype" w:hAnsi="Palatino Linotype" w:cs="Palatino Linotype"/>
        </w:rPr>
        <w:t>R</w:t>
      </w:r>
      <w:r w:rsidR="00FF5B24" w:rsidRPr="00425E92">
        <w:rPr>
          <w:rFonts w:ascii="Palatino Linotype" w:eastAsia="Palatino Linotype" w:hAnsi="Palatino Linotype" w:cs="Palatino Linotype"/>
        </w:rPr>
        <w:t xml:space="preserve">ecurso de </w:t>
      </w:r>
      <w:r w:rsidRPr="00425E92">
        <w:rPr>
          <w:rFonts w:ascii="Palatino Linotype" w:eastAsia="Palatino Linotype" w:hAnsi="Palatino Linotype" w:cs="Palatino Linotype"/>
        </w:rPr>
        <w:t>R</w:t>
      </w:r>
      <w:r w:rsidR="00FF5B24" w:rsidRPr="00425E92">
        <w:rPr>
          <w:rFonts w:ascii="Palatino Linotype" w:eastAsia="Palatino Linotype" w:hAnsi="Palatino Linotype" w:cs="Palatino Linotype"/>
        </w:rPr>
        <w:t xml:space="preserve">evisión con el objeto de tutelar de manera más amplia el ejercicio del derecho de acceso a datos personales que prendió ejercer la persona solicitante en representación de la persona titular de dichos datos, otorgado la posibilidad, mediante acuerdo de prevención notificado a </w:t>
      </w:r>
      <w:r w:rsidR="00670DE3" w:rsidRPr="00425E92">
        <w:rPr>
          <w:rFonts w:ascii="Palatino Linotype" w:eastAsia="Palatino Linotype" w:hAnsi="Palatino Linotype" w:cs="Palatino Linotype"/>
        </w:rPr>
        <w:t xml:space="preserve">la parte </w:t>
      </w:r>
      <w:r w:rsidR="00670DE3" w:rsidRPr="00425E92">
        <w:rPr>
          <w:rFonts w:ascii="Palatino Linotype" w:eastAsia="Palatino Linotype" w:hAnsi="Palatino Linotype" w:cs="Palatino Linotype"/>
          <w:b/>
        </w:rPr>
        <w:t>RECURRENTE</w:t>
      </w:r>
      <w:r w:rsidR="00FF5B24" w:rsidRPr="00425E92">
        <w:rPr>
          <w:rFonts w:ascii="Palatino Linotype" w:eastAsia="Palatino Linotype" w:hAnsi="Palatino Linotype" w:cs="Palatino Linotype"/>
        </w:rPr>
        <w:t>, a efecto de que acreditara su identidad y representación, así como la identidad de la persona titular de los datos personales, mediante el desahogo de la prevención, y así cumplir con el requisito de procedencia previsto en el artículo 130, fracción VI de la Ley en la materia, en los términos siguientes:</w:t>
      </w:r>
    </w:p>
    <w:p w14:paraId="5B055BC4" w14:textId="6068DBF4" w:rsidR="00FF5B24" w:rsidRPr="00425E92" w:rsidRDefault="00FF5B24"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r w:rsidR="00A7111D" w:rsidRPr="00425E92">
        <w:rPr>
          <w:rFonts w:ascii="Palatino Linotype" w:eastAsia="Palatino Linotype" w:hAnsi="Palatino Linotype" w:cs="Palatino Linotype"/>
          <w:b/>
          <w:i/>
        </w:rPr>
        <w:t>…</w:t>
      </w:r>
      <w:r w:rsidRPr="00425E92">
        <w:rPr>
          <w:rFonts w:ascii="Palatino Linotype" w:eastAsia="Palatino Linotype" w:hAnsi="Palatino Linotype" w:cs="Palatino Linotype"/>
          <w:i/>
        </w:rPr>
        <w:t>SE PREVIENE a la parte Recurrente para que, en un término no mayor de cinco días hábiles contados a partir del día hábil siguiente a la fecha de la notificación del presente acuerdo, subsane la omisión de acreditar la identidad del titular de los datos personales sobre los cuales se pretende ejercer el Derecho de Acceso, así como su personalidad e identidad en calidad de representante, en los términos indicados, mediante los documentos que a continuación se enlistan:</w:t>
      </w:r>
    </w:p>
    <w:p w14:paraId="72C1AB4D" w14:textId="3C3F6C1E" w:rsidR="00FF5B24" w:rsidRPr="00425E92" w:rsidRDefault="00A7111D" w:rsidP="00AE6C6A">
      <w:pP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lastRenderedPageBreak/>
        <w:t xml:space="preserve">… </w:t>
      </w:r>
      <w:r w:rsidR="00FF5B24" w:rsidRPr="00425E92">
        <w:rPr>
          <w:rFonts w:ascii="Palatino Linotype" w:eastAsia="Palatino Linotype" w:hAnsi="Palatino Linotype" w:cs="Palatino Linotype"/>
          <w:i/>
        </w:rPr>
        <w:t xml:space="preserve">Se apercibe a </w:t>
      </w:r>
      <w:r w:rsidR="00FF5B24" w:rsidRPr="00425E92">
        <w:rPr>
          <w:rFonts w:ascii="Palatino Linotype" w:eastAsia="Palatino Linotype" w:hAnsi="Palatino Linotype" w:cs="Palatino Linotype"/>
          <w:b/>
          <w:i/>
        </w:rPr>
        <w:t>la parte Recurrente</w:t>
      </w:r>
      <w:r w:rsidR="00FF5B24" w:rsidRPr="00425E92">
        <w:rPr>
          <w:rFonts w:ascii="Palatino Linotype" w:eastAsia="Palatino Linotype" w:hAnsi="Palatino Linotype" w:cs="Palatino Linotype"/>
          <w:i/>
        </w:rPr>
        <w:t xml:space="preserve"> que, en caso de no desahogar la prevención en los términos que le es formulada y dentro del plazo señalado, su recurso será sobreseído por improcedente, en términos de los artículos 137, fracción I, 138, fracción II, y 139, fracción III, de la Ley de Protección de Datos Personales en Posesión de Sujetos Obligados del Estado de México y Municipios.”</w:t>
      </w:r>
    </w:p>
    <w:p w14:paraId="0A9C6D4E" w14:textId="77777777" w:rsidR="00670DE3" w:rsidRPr="00425E92" w:rsidRDefault="00670DE3" w:rsidP="00AE6C6A">
      <w:pPr>
        <w:spacing w:line="360" w:lineRule="auto"/>
        <w:jc w:val="both"/>
        <w:rPr>
          <w:rFonts w:ascii="Palatino Linotype" w:eastAsia="Palatino Linotype" w:hAnsi="Palatino Linotype" w:cs="Palatino Linotype"/>
          <w:i/>
        </w:rPr>
      </w:pPr>
    </w:p>
    <w:p w14:paraId="0AD59DCA" w14:textId="733862BB" w:rsidR="00FF5B24" w:rsidRPr="00425E92" w:rsidRDefault="00A7111D" w:rsidP="00AE6C6A">
      <w:pPr>
        <w:numPr>
          <w:ilvl w:val="0"/>
          <w:numId w:val="1"/>
        </w:numPr>
        <w:spacing w:line="360" w:lineRule="auto"/>
        <w:ind w:left="0" w:firstLine="0"/>
        <w:contextualSpacing/>
        <w:jc w:val="both"/>
        <w:rPr>
          <w:rFonts w:ascii="Palatino Linotype" w:eastAsia="Palatino Linotype" w:hAnsi="Palatino Linotype" w:cs="Palatino Linotype"/>
        </w:rPr>
      </w:pPr>
      <w:bookmarkStart w:id="72" w:name="_heading=h.lnxbz9" w:colFirst="0" w:colLast="0"/>
      <w:bookmarkEnd w:id="72"/>
      <w:r w:rsidRPr="00425E92">
        <w:rPr>
          <w:rFonts w:ascii="Palatino Linotype" w:eastAsia="Palatino Linotype" w:hAnsi="Palatino Linotype" w:cs="Palatino Linotype"/>
        </w:rPr>
        <w:t>Como se aprecia,</w:t>
      </w:r>
      <w:r w:rsidR="00FF5B24" w:rsidRPr="00425E92">
        <w:rPr>
          <w:rFonts w:ascii="Palatino Linotype" w:eastAsia="Palatino Linotype" w:hAnsi="Palatino Linotype" w:cs="Palatino Linotype"/>
        </w:rPr>
        <w:t xml:space="preserve"> se concedieron cinco días hábiles</w:t>
      </w:r>
      <w:r w:rsidR="00FF5B24" w:rsidRPr="00425E92">
        <w:rPr>
          <w:rFonts w:ascii="Palatino Linotype" w:eastAsia="Palatino Linotype" w:hAnsi="Palatino Linotype" w:cs="Palatino Linotype"/>
          <w:b/>
        </w:rPr>
        <w:t xml:space="preserve">, </w:t>
      </w:r>
      <w:r w:rsidR="00FF5B24" w:rsidRPr="00425E92">
        <w:rPr>
          <w:rFonts w:ascii="Palatino Linotype" w:eastAsia="Palatino Linotype" w:hAnsi="Palatino Linotype" w:cs="Palatino Linotype"/>
        </w:rPr>
        <w:t xml:space="preserve">con la finalidad de </w:t>
      </w:r>
      <w:r w:rsidRPr="00425E92">
        <w:rPr>
          <w:rFonts w:ascii="Palatino Linotype" w:eastAsia="Palatino Linotype" w:hAnsi="Palatino Linotype" w:cs="Palatino Linotype"/>
        </w:rPr>
        <w:t>subsanar</w:t>
      </w:r>
      <w:r w:rsidR="00FF5B24" w:rsidRPr="00425E92">
        <w:rPr>
          <w:rFonts w:ascii="Palatino Linotype" w:eastAsia="Palatino Linotype" w:hAnsi="Palatino Linotype" w:cs="Palatino Linotype"/>
        </w:rPr>
        <w:t xml:space="preserve"> la omisión de acreditar su identidad y representación, así como la identidad de la persona titular de los datos personales sobre los cuales se pretende ejercer el derecho de acceso, no obstante, de las constancias que obran en expediente electrónico, se desprende que la parte Recurrente no atendió la prevención en el plazo establecido para tal efecto, por tanto al no haber exhibido los documentos mediante los cuales subsanara la omisión referida, subsiste el incumplimiento al requisito establecido en el artículo 106, párrafo tercero de Ley de Protección de Datos Personales en Posesión de Sujeto Obligados del Estado de México y Municipios</w:t>
      </w:r>
      <w:r w:rsidR="00670DE3" w:rsidRPr="00425E92">
        <w:rPr>
          <w:rFonts w:ascii="Palatino Linotype" w:eastAsia="Palatino Linotype" w:hAnsi="Palatino Linotype" w:cs="Palatino Linotype"/>
        </w:rPr>
        <w:t>,</w:t>
      </w:r>
      <w:r w:rsidR="00FF5B24" w:rsidRPr="00425E92">
        <w:rPr>
          <w:rFonts w:ascii="Palatino Linotype" w:eastAsia="Palatino Linotype" w:hAnsi="Palatino Linotype" w:cs="Palatino Linotype"/>
          <w:b/>
        </w:rPr>
        <w:t xml:space="preserve"> </w:t>
      </w:r>
      <w:r w:rsidR="00FF5B24" w:rsidRPr="00425E92">
        <w:rPr>
          <w:rFonts w:ascii="Palatino Linotype" w:eastAsia="Palatino Linotype" w:hAnsi="Palatino Linotype" w:cs="Palatino Linotype"/>
        </w:rPr>
        <w:t>el cual</w:t>
      </w:r>
      <w:r w:rsidR="00FF5B24" w:rsidRPr="00425E92">
        <w:rPr>
          <w:rFonts w:ascii="Palatino Linotype" w:hAnsi="Palatino Linotype"/>
        </w:rPr>
        <w:t xml:space="preserve"> </w:t>
      </w:r>
      <w:r w:rsidR="00FF5B24" w:rsidRPr="00425E92">
        <w:rPr>
          <w:rFonts w:ascii="Palatino Linotype" w:eastAsia="Palatino Linotype" w:hAnsi="Palatino Linotype" w:cs="Palatino Linotype"/>
        </w:rPr>
        <w:t>claramente establece que para el ejercicio de los derechos ARCO será necesario acreditar la identidad de titular y en su caso la identidad y personalidad con la que actúe el representante.</w:t>
      </w:r>
    </w:p>
    <w:p w14:paraId="02B59ACE" w14:textId="77777777" w:rsidR="00A7111D" w:rsidRPr="00425E92" w:rsidRDefault="00A7111D" w:rsidP="00AE6C6A">
      <w:pPr>
        <w:spacing w:line="360" w:lineRule="auto"/>
        <w:contextualSpacing/>
        <w:jc w:val="both"/>
        <w:rPr>
          <w:rFonts w:ascii="Palatino Linotype" w:eastAsia="Palatino Linotype" w:hAnsi="Palatino Linotype" w:cs="Palatino Linotype"/>
        </w:rPr>
      </w:pPr>
    </w:p>
    <w:p w14:paraId="401308C1" w14:textId="77777777"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En ese sentido, cobra relevancia lo establecido en</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los artículos 138, fracción II y</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 xml:space="preserve">139, fracción III de la Ley de Protección de Datos Personales en Posesión de Sujetos Obligados del Estado de México y Municipios, a saber: </w:t>
      </w:r>
    </w:p>
    <w:p w14:paraId="35439AB2"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r w:rsidRPr="00425E92">
        <w:rPr>
          <w:rFonts w:ascii="Palatino Linotype" w:eastAsia="Palatino Linotype" w:hAnsi="Palatino Linotype" w:cs="Palatino Linotype"/>
          <w:b/>
          <w:i/>
        </w:rPr>
        <w:t>Causales de improcedencia</w:t>
      </w:r>
      <w:r w:rsidRPr="00425E92">
        <w:rPr>
          <w:rFonts w:ascii="Palatino Linotype" w:eastAsia="Palatino Linotype" w:hAnsi="Palatino Linotype" w:cs="Palatino Linotype"/>
          <w:i/>
        </w:rPr>
        <w:t xml:space="preserve"> </w:t>
      </w:r>
    </w:p>
    <w:p w14:paraId="7D927C8C"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Artículo 138</w:t>
      </w:r>
      <w:r w:rsidRPr="00425E92">
        <w:rPr>
          <w:rFonts w:ascii="Palatino Linotype" w:eastAsia="Palatino Linotype" w:hAnsi="Palatino Linotype" w:cs="Palatino Linotype"/>
          <w:i/>
        </w:rPr>
        <w:t>. El recurso de revisión podrá ser desechado por improcedente cuando:</w:t>
      </w:r>
    </w:p>
    <w:p w14:paraId="77C0F78C"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I.</w:t>
      </w:r>
      <w:r w:rsidRPr="00425E92">
        <w:rPr>
          <w:rFonts w:ascii="Palatino Linotype" w:eastAsia="Palatino Linotype" w:hAnsi="Palatino Linotype" w:cs="Palatino Linotype"/>
          <w:i/>
        </w:rPr>
        <w:t xml:space="preserve"> Sea extemporáneo por haber transcurrido el plazo establecido en el artículo 128 de la presente Ley. </w:t>
      </w:r>
    </w:p>
    <w:p w14:paraId="40E5BD41"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b/>
          <w:i/>
          <w:u w:val="single"/>
        </w:rPr>
      </w:pPr>
      <w:r w:rsidRPr="00425E92">
        <w:rPr>
          <w:rFonts w:ascii="Palatino Linotype" w:eastAsia="Palatino Linotype" w:hAnsi="Palatino Linotype" w:cs="Palatino Linotype"/>
          <w:b/>
          <w:i/>
          <w:u w:val="single"/>
        </w:rPr>
        <w:lastRenderedPageBreak/>
        <w:t>II. El titular o su representante no acrediten debidamente su identidad y personalidad de este último.</w:t>
      </w:r>
    </w:p>
    <w:p w14:paraId="489A4925"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III</w:t>
      </w:r>
      <w:r w:rsidRPr="00425E92">
        <w:rPr>
          <w:rFonts w:ascii="Palatino Linotype" w:eastAsia="Palatino Linotype" w:hAnsi="Palatino Linotype" w:cs="Palatino Linotype"/>
          <w:i/>
        </w:rPr>
        <w:t xml:space="preserve">. El Instituto haya resuelto anteriormente en definitiva sobre la materia del mismo. </w:t>
      </w:r>
    </w:p>
    <w:p w14:paraId="61F4E4CF"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IV</w:t>
      </w:r>
      <w:r w:rsidRPr="00425E92">
        <w:rPr>
          <w:rFonts w:ascii="Palatino Linotype" w:eastAsia="Palatino Linotype" w:hAnsi="Palatino Linotype" w:cs="Palatino Linotype"/>
          <w:i/>
        </w:rPr>
        <w:t xml:space="preserve">. No se actualice alguna de las causales del recurso de revisión previstas en el artículo 129 de la presente Ley. </w:t>
      </w:r>
    </w:p>
    <w:p w14:paraId="0AFAC746"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V</w:t>
      </w:r>
      <w:r w:rsidRPr="00425E92">
        <w:rPr>
          <w:rFonts w:ascii="Palatino Linotype" w:eastAsia="Palatino Linotype" w:hAnsi="Palatino Linotype" w:cs="Palatino Linotype"/>
          <w:i/>
        </w:rPr>
        <w:t xml:space="preserve">. Se esté tramitando ante los tribunales competentes algún recurso o medio de defensa interpuesto por el recurrente, o en su caso, por el tercero interesado, en contra del acto recurrido ante el Instituto. </w:t>
      </w:r>
    </w:p>
    <w:p w14:paraId="51BB7563"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VI</w:t>
      </w:r>
      <w:r w:rsidRPr="00425E92">
        <w:rPr>
          <w:rFonts w:ascii="Palatino Linotype" w:eastAsia="Palatino Linotype" w:hAnsi="Palatino Linotype" w:cs="Palatino Linotype"/>
          <w:i/>
        </w:rPr>
        <w:t xml:space="preserve">. El recurrente modifique o amplíe su petición en el recurso de revisión, únicamente respecto de los nuevos contenidos. </w:t>
      </w:r>
    </w:p>
    <w:p w14:paraId="1F933035"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VII.</w:t>
      </w:r>
      <w:r w:rsidRPr="00425E92">
        <w:rPr>
          <w:rFonts w:ascii="Palatino Linotype" w:eastAsia="Palatino Linotype" w:hAnsi="Palatino Linotype" w:cs="Palatino Linotype"/>
          <w:i/>
        </w:rPr>
        <w:t xml:space="preserve"> El recurrente no acredite interés jurídico. </w:t>
      </w:r>
    </w:p>
    <w:p w14:paraId="6CAD218A"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El desechamiento no implica la preclusión del derecho del titular para interponer ante el Instituto un nuevo recurso de revisión.</w:t>
      </w:r>
    </w:p>
    <w:p w14:paraId="0C00904E" w14:textId="77777777" w:rsidR="00A7111D" w:rsidRPr="00425E92" w:rsidRDefault="00A7111D" w:rsidP="00AE6C6A">
      <w:pPr>
        <w:pBdr>
          <w:top w:val="nil"/>
          <w:left w:val="nil"/>
          <w:bottom w:val="nil"/>
          <w:right w:val="nil"/>
          <w:between w:val="nil"/>
        </w:pBdr>
        <w:spacing w:line="360" w:lineRule="auto"/>
        <w:jc w:val="both"/>
        <w:rPr>
          <w:rFonts w:ascii="Palatino Linotype" w:eastAsia="Palatino Linotype" w:hAnsi="Palatino Linotype" w:cs="Palatino Linotype"/>
          <w:i/>
        </w:rPr>
      </w:pPr>
    </w:p>
    <w:p w14:paraId="48ECA57E"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b/>
          <w:i/>
        </w:rPr>
      </w:pPr>
      <w:r w:rsidRPr="00425E92">
        <w:rPr>
          <w:rFonts w:ascii="Palatino Linotype" w:eastAsia="Palatino Linotype" w:hAnsi="Palatino Linotype" w:cs="Palatino Linotype"/>
          <w:b/>
          <w:i/>
        </w:rPr>
        <w:t>Causales de Sobreseimiento</w:t>
      </w:r>
    </w:p>
    <w:p w14:paraId="39959E14"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Artículo 139</w:t>
      </w:r>
      <w:r w:rsidRPr="00425E92">
        <w:rPr>
          <w:rFonts w:ascii="Palatino Linotype" w:eastAsia="Palatino Linotype" w:hAnsi="Palatino Linotype" w:cs="Palatino Linotype"/>
          <w:i/>
        </w:rPr>
        <w:t xml:space="preserve">. El recurso de revisión sólo podrá ser sobreseído cuando: </w:t>
      </w:r>
    </w:p>
    <w:p w14:paraId="3BDE2DCC"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I.</w:t>
      </w:r>
      <w:r w:rsidRPr="00425E92">
        <w:rPr>
          <w:rFonts w:ascii="Palatino Linotype" w:eastAsia="Palatino Linotype" w:hAnsi="Palatino Linotype" w:cs="Palatino Linotype"/>
          <w:i/>
        </w:rPr>
        <w:t xml:space="preserve"> El recurrente se desista expresamente. </w:t>
      </w:r>
    </w:p>
    <w:p w14:paraId="558FBE5B"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 xml:space="preserve">II. </w:t>
      </w:r>
      <w:r w:rsidRPr="00425E92">
        <w:rPr>
          <w:rFonts w:ascii="Palatino Linotype" w:eastAsia="Palatino Linotype" w:hAnsi="Palatino Linotype" w:cs="Palatino Linotype"/>
          <w:i/>
        </w:rPr>
        <w:t xml:space="preserve">El recurrente fallezca. </w:t>
      </w:r>
    </w:p>
    <w:p w14:paraId="06867B55"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u w:val="single"/>
        </w:rPr>
        <w:t>III. Admitido el recurso de revisión, se actualice alguna causal de improcedencia en los términos de la presente Ley</w:t>
      </w:r>
      <w:r w:rsidRPr="00425E92">
        <w:rPr>
          <w:rFonts w:ascii="Palatino Linotype" w:eastAsia="Palatino Linotype" w:hAnsi="Palatino Linotype" w:cs="Palatino Linotype"/>
          <w:i/>
        </w:rPr>
        <w:t xml:space="preserve">. </w:t>
      </w:r>
    </w:p>
    <w:p w14:paraId="70363049"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 xml:space="preserve">IV. </w:t>
      </w:r>
      <w:r w:rsidRPr="00425E92">
        <w:rPr>
          <w:rFonts w:ascii="Palatino Linotype" w:eastAsia="Palatino Linotype" w:hAnsi="Palatino Linotype" w:cs="Palatino Linotype"/>
          <w:i/>
        </w:rPr>
        <w:t xml:space="preserve">El responsable modifique o revoque su respuesta de tal manera que el recurso de revisión quede sin materia. </w:t>
      </w:r>
    </w:p>
    <w:p w14:paraId="69E75A80"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V</w:t>
      </w:r>
      <w:r w:rsidRPr="00425E92">
        <w:rPr>
          <w:rFonts w:ascii="Palatino Linotype" w:eastAsia="Palatino Linotype" w:hAnsi="Palatino Linotype" w:cs="Palatino Linotype"/>
          <w:i/>
        </w:rPr>
        <w:t>. Quede sin materia el recurso de revisión.”</w:t>
      </w:r>
    </w:p>
    <w:p w14:paraId="572F0170" w14:textId="77777777" w:rsidR="0062217D" w:rsidRPr="00425E92" w:rsidRDefault="0062217D" w:rsidP="00AE6C6A">
      <w:pPr>
        <w:pBdr>
          <w:top w:val="nil"/>
          <w:left w:val="nil"/>
          <w:bottom w:val="nil"/>
          <w:right w:val="nil"/>
          <w:between w:val="nil"/>
        </w:pBdr>
        <w:spacing w:line="360" w:lineRule="auto"/>
        <w:jc w:val="both"/>
        <w:rPr>
          <w:rFonts w:ascii="Palatino Linotype" w:eastAsia="Palatino Linotype" w:hAnsi="Palatino Linotype" w:cs="Palatino Linotype"/>
          <w:i/>
        </w:rPr>
      </w:pPr>
    </w:p>
    <w:p w14:paraId="35C202E0" w14:textId="7F2FC353" w:rsidR="00BC5BE9"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lastRenderedPageBreak/>
        <w:t xml:space="preserve"> Por consiguiente, de las constancias que obran en el expediente electrónico en que se actúa, se advierte que se actualiza </w:t>
      </w:r>
      <w:r w:rsidR="00A7111D" w:rsidRPr="00425E92">
        <w:rPr>
          <w:rFonts w:ascii="Palatino Linotype" w:eastAsia="Palatino Linotype" w:hAnsi="Palatino Linotype" w:cs="Palatino Linotype"/>
        </w:rPr>
        <w:t>la causal de sobreseimiento prevista</w:t>
      </w:r>
      <w:r w:rsidRPr="00425E92">
        <w:rPr>
          <w:rFonts w:ascii="Palatino Linotype" w:eastAsia="Palatino Linotype" w:hAnsi="Palatino Linotype" w:cs="Palatino Linotype"/>
        </w:rPr>
        <w:t xml:space="preserve"> en la fracción III, del artículo 139, en correlación con la fracción II de artículo 138, ambos de la Ley en comento, esto es que admitido el recurso de revisión, se actualice </w:t>
      </w:r>
      <w:r w:rsidR="00A7111D" w:rsidRPr="00425E92">
        <w:rPr>
          <w:rFonts w:ascii="Palatino Linotype" w:eastAsia="Palatino Linotype" w:hAnsi="Palatino Linotype" w:cs="Palatino Linotype"/>
        </w:rPr>
        <w:t>alguna causal de improcedencia.</w:t>
      </w:r>
    </w:p>
    <w:p w14:paraId="666539A4" w14:textId="77777777" w:rsidR="00A7111D" w:rsidRPr="00425E92" w:rsidRDefault="00A7111D" w:rsidP="00AE6C6A">
      <w:pPr>
        <w:spacing w:line="360" w:lineRule="auto"/>
        <w:contextualSpacing/>
        <w:jc w:val="both"/>
        <w:rPr>
          <w:rFonts w:ascii="Palatino Linotype" w:eastAsia="Palatino Linotype" w:hAnsi="Palatino Linotype" w:cs="Palatino Linotype"/>
        </w:rPr>
      </w:pPr>
    </w:p>
    <w:p w14:paraId="551ABE34" w14:textId="76879923"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 xml:space="preserve">Ahora bien, en virtud de </w:t>
      </w:r>
      <w:r w:rsidR="00BC5BE9" w:rsidRPr="00425E92">
        <w:rPr>
          <w:rFonts w:ascii="Palatino Linotype" w:eastAsia="Palatino Linotype" w:hAnsi="Palatino Linotype" w:cs="Palatino Linotype"/>
        </w:rPr>
        <w:t>no obrar</w:t>
      </w:r>
      <w:r w:rsidRPr="00425E92">
        <w:rPr>
          <w:rFonts w:ascii="Palatino Linotype" w:eastAsia="Palatino Linotype" w:hAnsi="Palatino Linotype" w:cs="Palatino Linotype"/>
        </w:rPr>
        <w:t xml:space="preserve"> constancias tendentes a acreditar debidamente interés, identidad y personalidad de la persona solicitante de los datos personales, desde la presentación de la solicitud ni durante la </w:t>
      </w:r>
      <w:r w:rsidR="00DF1A8C" w:rsidRPr="00425E92">
        <w:rPr>
          <w:rFonts w:ascii="Palatino Linotype" w:eastAsia="Palatino Linotype" w:hAnsi="Palatino Linotype" w:cs="Palatino Linotype"/>
        </w:rPr>
        <w:t>sustanciación del R</w:t>
      </w:r>
      <w:r w:rsidRPr="00425E92">
        <w:rPr>
          <w:rFonts w:ascii="Palatino Linotype" w:eastAsia="Palatino Linotype" w:hAnsi="Palatino Linotype" w:cs="Palatino Linotype"/>
        </w:rPr>
        <w:t xml:space="preserve">ecurso de </w:t>
      </w:r>
      <w:r w:rsidR="00DF1A8C" w:rsidRPr="00425E92">
        <w:rPr>
          <w:rFonts w:ascii="Palatino Linotype" w:eastAsia="Palatino Linotype" w:hAnsi="Palatino Linotype" w:cs="Palatino Linotype"/>
        </w:rPr>
        <w:t>R</w:t>
      </w:r>
      <w:r w:rsidRPr="00425E92">
        <w:rPr>
          <w:rFonts w:ascii="Palatino Linotype" w:eastAsia="Palatino Linotype" w:hAnsi="Palatino Linotype" w:cs="Palatino Linotype"/>
        </w:rPr>
        <w:t xml:space="preserve">evisión que nos ocupa, se concluye que se está ante la presencia de la causal de sobreseimiento establecida en el diverso 139, fracción III, de la Ley de la materia; sin embargo, toda vez que fue admitido el medio de impugnación, y subsistió la causal de improcedencia consistente en la omisión de la parte </w:t>
      </w:r>
      <w:r w:rsidR="00BC5BE9" w:rsidRPr="00425E92">
        <w:rPr>
          <w:rFonts w:ascii="Palatino Linotype" w:eastAsia="Palatino Linotype" w:hAnsi="Palatino Linotype" w:cs="Palatino Linotype"/>
          <w:b/>
        </w:rPr>
        <w:t>RECURRENTE</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 xml:space="preserve">resulta procedente </w:t>
      </w:r>
      <w:r w:rsidR="00BC5BE9" w:rsidRPr="00425E92">
        <w:rPr>
          <w:rFonts w:ascii="Palatino Linotype" w:eastAsia="Palatino Linotype" w:hAnsi="Palatino Linotype" w:cs="Palatino Linotype"/>
          <w:b/>
        </w:rPr>
        <w:t xml:space="preserve">SOBRESEER </w:t>
      </w:r>
      <w:r w:rsidRPr="00425E92">
        <w:rPr>
          <w:rFonts w:ascii="Palatino Linotype" w:eastAsia="Palatino Linotype" w:hAnsi="Palatino Linotype" w:cs="Palatino Linotype"/>
        </w:rPr>
        <w:t>el presente recurso de revisión, de conformidad con el artículo 137, fracción I</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 xml:space="preserve">de la Ley de Protección de Datos Personales en Posesión de Sujetos Obligados del Estado de México y Municipios, que es del tenor literal siguiente: </w:t>
      </w:r>
    </w:p>
    <w:p w14:paraId="7DFFA688" w14:textId="77777777" w:rsidR="00FF5B24" w:rsidRPr="00425E92" w:rsidRDefault="00FF5B24" w:rsidP="00AE6C6A">
      <w:pPr>
        <w:pBdr>
          <w:top w:val="nil"/>
          <w:left w:val="nil"/>
          <w:bottom w:val="nil"/>
          <w:right w:val="nil"/>
          <w:between w:val="nil"/>
        </w:pBdr>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i/>
        </w:rPr>
        <w:t>“</w:t>
      </w:r>
      <w:r w:rsidRPr="00425E92">
        <w:rPr>
          <w:rFonts w:ascii="Palatino Linotype" w:eastAsia="Palatino Linotype" w:hAnsi="Palatino Linotype" w:cs="Palatino Linotype"/>
          <w:b/>
          <w:i/>
        </w:rPr>
        <w:t>Artículo 137</w:t>
      </w:r>
      <w:r w:rsidRPr="00425E92">
        <w:rPr>
          <w:rFonts w:ascii="Palatino Linotype" w:eastAsia="Palatino Linotype" w:hAnsi="Palatino Linotype" w:cs="Palatino Linotype"/>
          <w:i/>
        </w:rPr>
        <w:t xml:space="preserve">. Las resoluciones del Instituto podrán: </w:t>
      </w:r>
    </w:p>
    <w:p w14:paraId="53A4A0D9" w14:textId="77777777" w:rsidR="00FF5B24" w:rsidRPr="00425E92" w:rsidRDefault="00FF5B24" w:rsidP="00AE6C6A">
      <w:pPr>
        <w:numPr>
          <w:ilvl w:val="0"/>
          <w:numId w:val="5"/>
        </w:numPr>
        <w:pBdr>
          <w:top w:val="nil"/>
          <w:left w:val="nil"/>
          <w:bottom w:val="nil"/>
          <w:right w:val="nil"/>
          <w:between w:val="nil"/>
        </w:pBdr>
        <w:spacing w:line="360" w:lineRule="auto"/>
        <w:ind w:left="0" w:hanging="141"/>
        <w:jc w:val="both"/>
        <w:rPr>
          <w:rFonts w:ascii="Palatino Linotype" w:eastAsia="Palatino Linotype" w:hAnsi="Palatino Linotype" w:cs="Palatino Linotype"/>
          <w:b/>
          <w:i/>
          <w:u w:val="single"/>
        </w:rPr>
      </w:pPr>
      <w:r w:rsidRPr="00425E92">
        <w:rPr>
          <w:rFonts w:ascii="Palatino Linotype" w:eastAsia="Palatino Linotype" w:hAnsi="Palatino Linotype" w:cs="Palatino Linotype"/>
          <w:b/>
          <w:i/>
          <w:u w:val="single"/>
        </w:rPr>
        <w:t>Sobreseer o desechar el recurso de revisión por improcedente.”</w:t>
      </w:r>
    </w:p>
    <w:p w14:paraId="0EB7B8A6" w14:textId="77777777" w:rsidR="00BC5BE9" w:rsidRPr="00425E92" w:rsidRDefault="00BC5BE9" w:rsidP="00AE6C6A">
      <w:pPr>
        <w:pBdr>
          <w:top w:val="nil"/>
          <w:left w:val="nil"/>
          <w:bottom w:val="nil"/>
          <w:right w:val="nil"/>
          <w:between w:val="nil"/>
        </w:pBdr>
        <w:spacing w:line="360" w:lineRule="auto"/>
        <w:jc w:val="both"/>
        <w:rPr>
          <w:rFonts w:ascii="Palatino Linotype" w:eastAsia="Palatino Linotype" w:hAnsi="Palatino Linotype" w:cs="Palatino Linotype"/>
          <w:b/>
          <w:i/>
          <w:u w:val="single"/>
        </w:rPr>
      </w:pPr>
    </w:p>
    <w:p w14:paraId="6DBB7EF8" w14:textId="05AC23E5" w:rsidR="00FF5B24" w:rsidRPr="00425E92" w:rsidRDefault="00BC5BE9" w:rsidP="00AE6C6A">
      <w:pPr>
        <w:numPr>
          <w:ilvl w:val="0"/>
          <w:numId w:val="1"/>
        </w:numPr>
        <w:spacing w:line="360" w:lineRule="auto"/>
        <w:ind w:left="0" w:firstLine="0"/>
        <w:contextualSpacing/>
        <w:jc w:val="both"/>
        <w:rPr>
          <w:rFonts w:ascii="Palatino Linotype" w:eastAsia="Palatino Linotype" w:hAnsi="Palatino Linotype" w:cs="Palatino Linotype"/>
          <w:i/>
        </w:rPr>
      </w:pPr>
      <w:r w:rsidRPr="00425E92">
        <w:rPr>
          <w:rFonts w:ascii="Palatino Linotype" w:eastAsia="Palatino Linotype" w:hAnsi="Palatino Linotype" w:cs="Palatino Linotype"/>
        </w:rPr>
        <w:t>Al respecto,</w:t>
      </w:r>
      <w:r w:rsidR="00FF5B24" w:rsidRPr="00425E92">
        <w:rPr>
          <w:rFonts w:ascii="Palatino Linotype" w:eastAsia="Palatino Linotype" w:hAnsi="Palatino Linotype" w:cs="Palatino Linotype"/>
        </w:rPr>
        <w:t xml:space="preserve"> de acuerdo con el procesalista Niceto Alcalá-Zamora y Castillo en su obra </w:t>
      </w:r>
      <w:r w:rsidR="00FF5B24" w:rsidRPr="00425E92">
        <w:rPr>
          <w:rFonts w:ascii="Palatino Linotype" w:eastAsia="Palatino Linotype" w:hAnsi="Palatino Linotype" w:cs="Palatino Linotype"/>
          <w:i/>
        </w:rPr>
        <w:t>“Cuestiones de Terminología Procesal”</w:t>
      </w:r>
      <w:r w:rsidR="00FF5B24" w:rsidRPr="00425E92">
        <w:rPr>
          <w:rFonts w:ascii="Palatino Linotype" w:eastAsia="Palatino Linotype" w:hAnsi="Palatino Linotype" w:cs="Palatino Linotype"/>
        </w:rPr>
        <w:t xml:space="preserve">, el sobreseimiento es </w:t>
      </w:r>
      <w:r w:rsidR="00FF5B24" w:rsidRPr="00425E92">
        <w:rPr>
          <w:rFonts w:ascii="Palatino Linotype" w:eastAsia="Palatino Linotype" w:hAnsi="Palatino Linotype" w:cs="Palatino Linotype"/>
          <w:i/>
        </w:rPr>
        <w:t xml:space="preserve">“...una resolución en forma de auto, que produce la suspensión indefinida del procedimiento penal, o que pone fin al proceso, </w:t>
      </w:r>
      <w:r w:rsidR="00FF5B24" w:rsidRPr="00425E92">
        <w:rPr>
          <w:rFonts w:ascii="Palatino Linotype" w:eastAsia="Palatino Linotype" w:hAnsi="Palatino Linotype" w:cs="Palatino Linotype"/>
          <w:i/>
        </w:rPr>
        <w:lastRenderedPageBreak/>
        <w:t>impidiendo en ambos casos, mientras subsista, la apertura del plenario o que en él se pronuncie sentencia...”</w:t>
      </w:r>
    </w:p>
    <w:p w14:paraId="4D02DDA3" w14:textId="116124E6" w:rsidR="00FF5B24" w:rsidRPr="00425E92" w:rsidRDefault="00DF1A8C" w:rsidP="00AE6C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rPr>
        <w:t>P</w:t>
      </w:r>
      <w:r w:rsidR="00FF5B24" w:rsidRPr="00425E92">
        <w:rPr>
          <w:rFonts w:ascii="Palatino Linotype" w:eastAsia="Palatino Linotype" w:hAnsi="Palatino Linotype" w:cs="Palatino Linotype"/>
        </w:rPr>
        <w:t xml:space="preserve">or su parte, Eduardo Pallares, en su artículo </w:t>
      </w:r>
      <w:r w:rsidR="00FF5B24" w:rsidRPr="00425E92">
        <w:rPr>
          <w:rFonts w:ascii="Palatino Linotype" w:eastAsia="Palatino Linotype" w:hAnsi="Palatino Linotype" w:cs="Palatino Linotype"/>
          <w:i/>
        </w:rPr>
        <w:t>“La caducidad y el sobreseimiento en el amparo”</w:t>
      </w:r>
      <w:r w:rsidR="00FF5B24" w:rsidRPr="00425E92">
        <w:rPr>
          <w:rFonts w:ascii="Palatino Linotype" w:eastAsia="Palatino Linotype" w:hAnsi="Palatino Linotype" w:cs="Palatino Linotype"/>
        </w:rPr>
        <w:t xml:space="preserve">, cita la definición de Aguilera Paz, aduciendo que se </w:t>
      </w:r>
      <w:r w:rsidR="00FF5B24" w:rsidRPr="00425E92">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00FF5B24" w:rsidRPr="00425E92">
        <w:rPr>
          <w:rFonts w:ascii="Palatino Linotype" w:eastAsia="Palatino Linotype" w:hAnsi="Palatino Linotype" w:cs="Palatino Linotype"/>
        </w:rPr>
        <w:t>. Asimismo señala que existe el sobreseimiento provisional y el definitivo</w:t>
      </w:r>
      <w:r w:rsidR="00FF5B24" w:rsidRPr="00425E92">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37E9C02A" w14:textId="77777777" w:rsidR="00BC5BE9" w:rsidRPr="00425E92" w:rsidRDefault="00BC5BE9" w:rsidP="00AE6C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1FDA5A3" w14:textId="77777777"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Así, para la doctrina el sobreseimiento provoca que un procedimiento se suspenda o se resuelva en definitiva sin que se entre al estudio de los agravios o motivos de inconformidad.</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14:paraId="7AC81582" w14:textId="77777777" w:rsidR="00FF5B24" w:rsidRPr="00425E92" w:rsidRDefault="00FF5B24" w:rsidP="00AE6C6A">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rPr>
      </w:pPr>
      <w:r w:rsidRPr="00425E92">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425E92">
        <w:rPr>
          <w:rFonts w:ascii="Palatino Linotype" w:eastAsia="Palatino Linotype" w:hAnsi="Palatino Linotype" w:cs="Palatino Linotype"/>
          <w:i/>
        </w:rPr>
        <w:t xml:space="preserve"> en el juicio de amparo directo </w:t>
      </w:r>
      <w:r w:rsidRPr="00425E92">
        <w:rPr>
          <w:rFonts w:ascii="Palatino Linotype" w:eastAsia="Palatino Linotype" w:hAnsi="Palatino Linotype" w:cs="Palatino Linotype"/>
          <w:b/>
          <w:i/>
        </w:rPr>
        <w:t>provoca la terminación de la controversia planteada</w:t>
      </w:r>
      <w:r w:rsidRPr="00425E92">
        <w:rPr>
          <w:rFonts w:ascii="Palatino Linotype" w:eastAsia="Palatino Linotype" w:hAnsi="Palatino Linotype" w:cs="Palatino Linotype"/>
          <w:i/>
        </w:rPr>
        <w:t xml:space="preserve"> por el quejoso en la demanda de amparo</w:t>
      </w:r>
      <w:r w:rsidRPr="00425E92">
        <w:rPr>
          <w:rFonts w:ascii="Palatino Linotype" w:eastAsia="Palatino Linotype" w:hAnsi="Palatino Linotype" w:cs="Palatino Linotype"/>
          <w:b/>
          <w:i/>
        </w:rPr>
        <w:t>, sin hacer un pronunciamiento de fondo sobre la legalidad o ilegalidad de la sentencia reclamada</w:t>
      </w:r>
      <w:r w:rsidRPr="00425E92">
        <w:rPr>
          <w:rFonts w:ascii="Palatino Linotype" w:eastAsia="Palatino Linotype" w:hAnsi="Palatino Linotype" w:cs="Palatino Linotype"/>
          <w:i/>
        </w:rPr>
        <w:t xml:space="preserve">. </w:t>
      </w:r>
      <w:r w:rsidRPr="00425E92">
        <w:rPr>
          <w:rFonts w:ascii="Palatino Linotype" w:eastAsia="Palatino Linotype" w:hAnsi="Palatino Linotype" w:cs="Palatino Linotype"/>
          <w:b/>
          <w:i/>
        </w:rPr>
        <w:t xml:space="preserve">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w:t>
      </w:r>
      <w:r w:rsidRPr="00425E92">
        <w:rPr>
          <w:rFonts w:ascii="Palatino Linotype" w:eastAsia="Palatino Linotype" w:hAnsi="Palatino Linotype" w:cs="Palatino Linotype"/>
          <w:b/>
          <w:i/>
        </w:rPr>
        <w:lastRenderedPageBreak/>
        <w:t>sobreseimiento es poner fin al juicio de amparo sin resolver la controversia en sus méritos</w:t>
      </w:r>
      <w:r w:rsidRPr="00425E92">
        <w:rPr>
          <w:rFonts w:ascii="Palatino Linotype" w:eastAsia="Palatino Linotype" w:hAnsi="Palatino Linotype" w:cs="Palatino Linotype"/>
          <w:i/>
        </w:rPr>
        <w:t>.”</w:t>
      </w:r>
    </w:p>
    <w:p w14:paraId="56D14446" w14:textId="020F6996" w:rsidR="00DF1A8C" w:rsidRPr="00425E92" w:rsidRDefault="00DF1A8C" w:rsidP="00AE6C6A">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b/>
        </w:rPr>
      </w:pPr>
      <w:r w:rsidRPr="00425E92">
        <w:rPr>
          <w:rFonts w:ascii="Palatino Linotype" w:eastAsia="Palatino Linotype" w:hAnsi="Palatino Linotype" w:cs="Palatino Linotype"/>
          <w:b/>
        </w:rPr>
        <w:t>Énfasis añadido</w:t>
      </w:r>
    </w:p>
    <w:p w14:paraId="49409E19" w14:textId="77777777" w:rsidR="00C52A7D" w:rsidRPr="00425E92" w:rsidRDefault="00C52A7D" w:rsidP="00AE6C6A">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rPr>
      </w:pPr>
    </w:p>
    <w:p w14:paraId="68EE1E61" w14:textId="0D3C278B"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No obstante, se dejan a salvo los derechos de la persona so</w:t>
      </w:r>
      <w:r w:rsidR="00DF1A8C" w:rsidRPr="00425E92">
        <w:rPr>
          <w:rFonts w:ascii="Palatino Linotype" w:eastAsia="Palatino Linotype" w:hAnsi="Palatino Linotype" w:cs="Palatino Linotype"/>
        </w:rPr>
        <w:t xml:space="preserve">licitante para </w:t>
      </w:r>
      <w:r w:rsidRPr="00425E92">
        <w:rPr>
          <w:rFonts w:ascii="Palatino Linotype" w:eastAsia="Palatino Linotype" w:hAnsi="Palatino Linotype" w:cs="Palatino Linotype"/>
        </w:rPr>
        <w:t>present</w:t>
      </w:r>
      <w:r w:rsidR="00DF1A8C" w:rsidRPr="00425E92">
        <w:rPr>
          <w:rFonts w:ascii="Palatino Linotype" w:eastAsia="Palatino Linotype" w:hAnsi="Palatino Linotype" w:cs="Palatino Linotype"/>
        </w:rPr>
        <w:t>ar</w:t>
      </w:r>
      <w:r w:rsidRPr="00425E92">
        <w:rPr>
          <w:rFonts w:ascii="Palatino Linotype" w:eastAsia="Palatino Linotype" w:hAnsi="Palatino Linotype" w:cs="Palatino Linotype"/>
        </w:rPr>
        <w:t xml:space="preserve"> </w:t>
      </w:r>
      <w:r w:rsidR="00BC5BE9" w:rsidRPr="00425E92">
        <w:rPr>
          <w:rFonts w:ascii="Palatino Linotype" w:eastAsia="Palatino Linotype" w:hAnsi="Palatino Linotype" w:cs="Palatino Linotype"/>
        </w:rPr>
        <w:t>nuevas solicitudes de acceso a datos personales</w:t>
      </w:r>
      <w:r w:rsidRPr="00425E92">
        <w:rPr>
          <w:rFonts w:ascii="Palatino Linotype" w:eastAsia="Palatino Linotype" w:hAnsi="Palatino Linotype" w:cs="Palatino Linotype"/>
        </w:rPr>
        <w:t xml:space="preserve"> </w:t>
      </w:r>
      <w:r w:rsidR="00DF1A8C" w:rsidRPr="00425E92">
        <w:rPr>
          <w:rFonts w:ascii="Palatino Linotype" w:eastAsia="Palatino Linotype" w:hAnsi="Palatino Linotype" w:cs="Palatino Linotype"/>
        </w:rPr>
        <w:t>en los términos ya precisados en el cuerpo del presente proveído</w:t>
      </w:r>
      <w:r w:rsidRPr="00425E92">
        <w:rPr>
          <w:rFonts w:ascii="Palatino Linotype" w:eastAsia="Palatino Linotype" w:hAnsi="Palatino Linotype" w:cs="Palatino Linotype"/>
        </w:rPr>
        <w:t>,</w:t>
      </w:r>
      <w:r w:rsidR="00DF1A8C" w:rsidRPr="00425E92">
        <w:rPr>
          <w:rFonts w:ascii="Palatino Linotype" w:eastAsia="Palatino Linotype" w:hAnsi="Palatino Linotype" w:cs="Palatino Linotype"/>
        </w:rPr>
        <w:t xml:space="preserve"> en virtud</w:t>
      </w:r>
      <w:r w:rsidRPr="00425E92">
        <w:rPr>
          <w:rFonts w:ascii="Palatino Linotype" w:eastAsia="Palatino Linotype" w:hAnsi="Palatino Linotype" w:cs="Palatino Linotype"/>
        </w:rPr>
        <w:t xml:space="preserve"> que la Ley otorga a los titulares de los datos personales el derecho a acceder, rectificar y cancelar su información personal en posesión de Sujetos Obligados, o bien oponerse al tratamiento de la misma, </w:t>
      </w:r>
      <w:r w:rsidR="00DF1A8C" w:rsidRPr="00425E92">
        <w:rPr>
          <w:rFonts w:ascii="Palatino Linotype" w:eastAsia="Palatino Linotype" w:hAnsi="Palatino Linotype" w:cs="Palatino Linotype"/>
        </w:rPr>
        <w:t>debiendo acreditar la titularidad</w:t>
      </w:r>
      <w:r w:rsidRPr="00425E92">
        <w:rPr>
          <w:rFonts w:ascii="Palatino Linotype" w:eastAsia="Palatino Linotype" w:hAnsi="Palatino Linotype" w:cs="Palatino Linotype"/>
        </w:rPr>
        <w:t xml:space="preserve"> de los datos o, en caso de que lo haga en representación del titular de los datos personales, </w:t>
      </w:r>
      <w:r w:rsidR="00BC5BE9" w:rsidRPr="00425E92">
        <w:rPr>
          <w:rFonts w:ascii="Palatino Linotype" w:eastAsia="Palatino Linotype" w:hAnsi="Palatino Linotype" w:cs="Palatino Linotype"/>
        </w:rPr>
        <w:t xml:space="preserve">acreditar </w:t>
      </w:r>
      <w:r w:rsidR="00DF1A8C" w:rsidRPr="00425E92">
        <w:rPr>
          <w:rFonts w:ascii="Palatino Linotype" w:eastAsia="Palatino Linotype" w:hAnsi="Palatino Linotype" w:cs="Palatino Linotype"/>
        </w:rPr>
        <w:t>dich</w:t>
      </w:r>
      <w:r w:rsidR="00BC5BE9" w:rsidRPr="00425E92">
        <w:rPr>
          <w:rFonts w:ascii="Palatino Linotype" w:eastAsia="Palatino Linotype" w:hAnsi="Palatino Linotype" w:cs="Palatino Linotype"/>
        </w:rPr>
        <w:t>a situación, como</w:t>
      </w:r>
      <w:r w:rsidRPr="00425E92">
        <w:rPr>
          <w:rFonts w:ascii="Palatino Linotype" w:eastAsia="Palatino Linotype" w:hAnsi="Palatino Linotype" w:cs="Palatino Linotype"/>
        </w:rPr>
        <w:t xml:space="preserve"> medida de seguridad de s</w:t>
      </w:r>
      <w:r w:rsidR="00BC5BE9" w:rsidRPr="00425E92">
        <w:rPr>
          <w:rFonts w:ascii="Palatino Linotype" w:eastAsia="Palatino Linotype" w:hAnsi="Palatino Linotype" w:cs="Palatino Linotype"/>
        </w:rPr>
        <w:t>u</w:t>
      </w:r>
      <w:r w:rsidRPr="00425E92">
        <w:rPr>
          <w:rFonts w:ascii="Palatino Linotype" w:eastAsia="Palatino Linotype" w:hAnsi="Palatino Linotype" w:cs="Palatino Linotype"/>
        </w:rPr>
        <w:t xml:space="preserve"> información personal.</w:t>
      </w:r>
    </w:p>
    <w:p w14:paraId="020B2E35" w14:textId="77777777" w:rsidR="00BC5BE9" w:rsidRPr="00425E92" w:rsidRDefault="00BC5BE9" w:rsidP="00AE6C6A">
      <w:pPr>
        <w:spacing w:line="360" w:lineRule="auto"/>
        <w:contextualSpacing/>
        <w:jc w:val="both"/>
        <w:rPr>
          <w:rFonts w:ascii="Palatino Linotype" w:eastAsia="Palatino Linotype" w:hAnsi="Palatino Linotype" w:cs="Palatino Linotype"/>
        </w:rPr>
      </w:pPr>
    </w:p>
    <w:p w14:paraId="4DC3D458" w14:textId="716B1E38" w:rsidR="00FF5B24" w:rsidRPr="00425E92" w:rsidRDefault="00FF5B24" w:rsidP="00AE6C6A">
      <w:pPr>
        <w:numPr>
          <w:ilvl w:val="0"/>
          <w:numId w:val="1"/>
        </w:numPr>
        <w:spacing w:line="360" w:lineRule="auto"/>
        <w:ind w:left="0" w:firstLine="0"/>
        <w:contextualSpacing/>
        <w:jc w:val="both"/>
        <w:rPr>
          <w:rFonts w:ascii="Palatino Linotype" w:eastAsia="Palatino Linotype" w:hAnsi="Palatino Linotype" w:cs="Palatino Linotype"/>
        </w:rPr>
      </w:pPr>
      <w:r w:rsidRPr="00425E92">
        <w:rPr>
          <w:rFonts w:ascii="Palatino Linotype" w:eastAsia="Palatino Linotype" w:hAnsi="Palatino Linotype" w:cs="Palatino Linotype"/>
        </w:rPr>
        <w:t xml:space="preserve">Finalmente, toda vez que dentro del expediente electrónico no se advirtió que el </w:t>
      </w:r>
      <w:r w:rsidR="00BC5BE9" w:rsidRPr="00425E92">
        <w:rPr>
          <w:rFonts w:ascii="Palatino Linotype" w:eastAsia="Palatino Linotype" w:hAnsi="Palatino Linotype" w:cs="Palatino Linotype"/>
          <w:b/>
        </w:rPr>
        <w:t>SUJETO OBLIGADO</w:t>
      </w:r>
      <w:r w:rsidRPr="00425E92">
        <w:rPr>
          <w:rFonts w:ascii="Palatino Linotype" w:eastAsia="Palatino Linotype" w:hAnsi="Palatino Linotype" w:cs="Palatino Linotype"/>
          <w:b/>
        </w:rPr>
        <w:t xml:space="preserve">, </w:t>
      </w:r>
      <w:r w:rsidRPr="00425E92">
        <w:rPr>
          <w:rFonts w:ascii="Palatino Linotype" w:eastAsia="Palatino Linotype" w:hAnsi="Palatino Linotype" w:cs="Palatino Linotype"/>
        </w:rPr>
        <w:t>en cumplimiento a lo dispuesto en los artículos 106 y 118 de la Ley de Protección de Datos Personales en Posesión de Sujetos Obligados del Estado de México y Municipios, verificara la identidad y representación de la persona solicitante previo a la entrega en respuesta de datos personales, concretamente por lo que se refiere a los montos y conceptos de las deducciones personales acumuladas recibidas en el ejercicio 2024 por la persona referida en la solicitud, en virtud de que el nombre del usuario del sistema SAIMEX y parte</w:t>
      </w:r>
      <w:r w:rsidRPr="00425E92">
        <w:rPr>
          <w:rFonts w:ascii="Palatino Linotype" w:eastAsia="Palatino Linotype" w:hAnsi="Palatino Linotype" w:cs="Palatino Linotype"/>
          <w:b/>
        </w:rPr>
        <w:t xml:space="preserve"> </w:t>
      </w:r>
      <w:r w:rsidR="008571DF" w:rsidRPr="00425E92">
        <w:rPr>
          <w:rFonts w:ascii="Palatino Linotype" w:eastAsia="Palatino Linotype" w:hAnsi="Palatino Linotype" w:cs="Palatino Linotype"/>
        </w:rPr>
        <w:t xml:space="preserve">recurrente </w:t>
      </w:r>
      <w:r w:rsidRPr="00425E92">
        <w:rPr>
          <w:rFonts w:ascii="Palatino Linotype" w:eastAsia="Palatino Linotype" w:hAnsi="Palatino Linotype" w:cs="Palatino Linotype"/>
        </w:rPr>
        <w:t xml:space="preserve">es distinto a la titular de los datos personales, se estima procedente dar vista a la Dirección General de Protección de Datos Personales de este Instituto, con fundamento en el artículo 82, fracción XXVII de la Ley de Protección de Datos </w:t>
      </w:r>
      <w:r w:rsidRPr="00425E92">
        <w:rPr>
          <w:rFonts w:ascii="Palatino Linotype" w:eastAsia="Palatino Linotype" w:hAnsi="Palatino Linotype" w:cs="Palatino Linotype"/>
        </w:rPr>
        <w:lastRenderedPageBreak/>
        <w:t xml:space="preserve">Personales del Estado de México y </w:t>
      </w:r>
      <w:r w:rsidRPr="00425E92">
        <w:rPr>
          <w:rFonts w:ascii="Palatino Linotype" w:eastAsia="Palatino Linotype" w:hAnsi="Palatino Linotype" w:cs="Palatino Linotype"/>
          <w:color w:val="000000"/>
        </w:rPr>
        <w:t>Municipios</w:t>
      </w:r>
      <w:r w:rsidRPr="00425E92">
        <w:rPr>
          <w:rFonts w:ascii="Palatino Linotype" w:eastAsia="Palatino Linotype" w:hAnsi="Palatino Linotype" w:cs="Palatino Linotype"/>
        </w:rPr>
        <w:t>, a fin de llevar a cabo el procedimiento que conforme a Derecho corresponda.</w:t>
      </w:r>
    </w:p>
    <w:p w14:paraId="190001B0" w14:textId="77777777" w:rsidR="00BC5BE9" w:rsidRPr="00425E92" w:rsidRDefault="00BC5BE9" w:rsidP="00AE6C6A">
      <w:pPr>
        <w:pStyle w:val="Prrafodelista"/>
        <w:spacing w:line="360" w:lineRule="auto"/>
        <w:ind w:left="0"/>
        <w:rPr>
          <w:rFonts w:ascii="Palatino Linotype" w:eastAsia="Palatino Linotype" w:hAnsi="Palatino Linotype" w:cs="Palatino Linotype"/>
        </w:rPr>
      </w:pPr>
    </w:p>
    <w:p w14:paraId="5ACEF2DA" w14:textId="6926DC62" w:rsidR="00F56023" w:rsidRPr="00425E92" w:rsidRDefault="00FF5B24" w:rsidP="00AE6C6A">
      <w:pPr>
        <w:numPr>
          <w:ilvl w:val="0"/>
          <w:numId w:val="1"/>
        </w:numPr>
        <w:spacing w:line="360" w:lineRule="auto"/>
        <w:ind w:left="0" w:firstLine="0"/>
        <w:jc w:val="both"/>
        <w:rPr>
          <w:rFonts w:ascii="Palatino Linotype" w:eastAsia="Palatino Linotype" w:hAnsi="Palatino Linotype" w:cs="Palatino Linotype"/>
        </w:rPr>
      </w:pPr>
      <w:r w:rsidRPr="00425E92">
        <w:rPr>
          <w:rFonts w:ascii="Palatino Linotype" w:eastAsia="Palatino Linotype" w:hAnsi="Palatino Linotype" w:cs="Palatino Linotype"/>
        </w:rPr>
        <w:t>Así, con fundamento en lo prescrito en los artículos 5 párrafos trigésimo tercero, trigésimo cuarto y trigésimo quinto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0478450" w14:textId="77777777" w:rsidR="00F56023" w:rsidRPr="00425E92" w:rsidRDefault="00F56023" w:rsidP="00AE6C6A">
      <w:pPr>
        <w:pStyle w:val="Prrafodelista"/>
        <w:spacing w:line="360" w:lineRule="auto"/>
        <w:ind w:left="0"/>
        <w:rPr>
          <w:rFonts w:ascii="Palatino Linotype" w:eastAsia="Palatino Linotype" w:hAnsi="Palatino Linotype" w:cs="Palatino Linotype"/>
        </w:rPr>
      </w:pPr>
    </w:p>
    <w:p w14:paraId="62ABD936" w14:textId="77777777" w:rsidR="00F56023" w:rsidRPr="00425E92" w:rsidRDefault="00F56023" w:rsidP="00AE6C6A">
      <w:pPr>
        <w:pStyle w:val="Ttulo1"/>
        <w:spacing w:before="0" w:line="360" w:lineRule="auto"/>
        <w:jc w:val="center"/>
        <w:rPr>
          <w:rFonts w:ascii="Palatino Linotype" w:eastAsia="Palatino Linotype" w:hAnsi="Palatino Linotype" w:cs="Palatino Linotype"/>
          <w:b/>
          <w:color w:val="000000"/>
          <w:sz w:val="24"/>
          <w:szCs w:val="24"/>
        </w:rPr>
      </w:pPr>
      <w:bookmarkStart w:id="73" w:name="_heading=h.4d34og8" w:colFirst="0" w:colLast="0"/>
      <w:bookmarkEnd w:id="73"/>
      <w:r w:rsidRPr="00425E92">
        <w:rPr>
          <w:rFonts w:ascii="Palatino Linotype" w:eastAsia="Palatino Linotype" w:hAnsi="Palatino Linotype" w:cs="Palatino Linotype"/>
          <w:b/>
          <w:color w:val="000000"/>
          <w:sz w:val="24"/>
          <w:szCs w:val="24"/>
        </w:rPr>
        <w:t>R E S O L U T I V O S</w:t>
      </w:r>
    </w:p>
    <w:p w14:paraId="75B8D8E3" w14:textId="77777777" w:rsidR="00F56023" w:rsidRPr="00425E92" w:rsidRDefault="00F56023" w:rsidP="00AE6C6A">
      <w:pPr>
        <w:spacing w:line="360" w:lineRule="auto"/>
        <w:rPr>
          <w:rFonts w:ascii="Palatino Linotype" w:eastAsia="Palatino Linotype" w:hAnsi="Palatino Linotype" w:cs="Palatino Linotype"/>
        </w:rPr>
      </w:pPr>
    </w:p>
    <w:p w14:paraId="4F65685C" w14:textId="070156A0" w:rsidR="00F56023" w:rsidRPr="00425E92" w:rsidRDefault="00F56023" w:rsidP="00AE6C6A">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74" w:name="_heading=h.1t3h5sf" w:colFirst="0" w:colLast="0"/>
      <w:bookmarkEnd w:id="74"/>
      <w:r w:rsidRPr="00425E92">
        <w:rPr>
          <w:rFonts w:ascii="Palatino Linotype" w:eastAsia="Palatino Linotype" w:hAnsi="Palatino Linotype" w:cs="Palatino Linotype"/>
          <w:b/>
          <w:color w:val="000000"/>
        </w:rPr>
        <w:t xml:space="preserve">PRIMERO. </w:t>
      </w:r>
      <w:r w:rsidR="003E3CE0" w:rsidRPr="00425E92">
        <w:rPr>
          <w:rFonts w:ascii="Palatino Linotype" w:eastAsia="Palatino Linotype" w:hAnsi="Palatino Linotype" w:cs="Palatino Linotype"/>
        </w:rPr>
        <w:t>Se</w:t>
      </w:r>
      <w:r w:rsidR="003E3CE0" w:rsidRPr="00425E92">
        <w:rPr>
          <w:rFonts w:ascii="Palatino Linotype" w:eastAsia="Palatino Linotype" w:hAnsi="Palatino Linotype" w:cs="Palatino Linotype"/>
          <w:b/>
        </w:rPr>
        <w:t xml:space="preserve"> SOBRESEE, </w:t>
      </w:r>
      <w:r w:rsidR="003E3CE0" w:rsidRPr="00425E92">
        <w:rPr>
          <w:rFonts w:ascii="Palatino Linotype" w:eastAsia="Palatino Linotype" w:hAnsi="Palatino Linotype" w:cs="Palatino Linotype"/>
        </w:rPr>
        <w:t xml:space="preserve">por </w:t>
      </w:r>
      <w:r w:rsidR="003E3CE0" w:rsidRPr="00425E92">
        <w:rPr>
          <w:rFonts w:ascii="Palatino Linotype" w:eastAsia="Palatino Linotype" w:hAnsi="Palatino Linotype" w:cs="Palatino Linotype"/>
          <w:b/>
        </w:rPr>
        <w:t>improcedente</w:t>
      </w:r>
      <w:r w:rsidR="003E3CE0" w:rsidRPr="00425E92">
        <w:rPr>
          <w:rFonts w:ascii="Palatino Linotype" w:eastAsia="Palatino Linotype" w:hAnsi="Palatino Linotype" w:cs="Palatino Linotype"/>
        </w:rPr>
        <w:t xml:space="preserve"> el Recurso de Revisión número </w:t>
      </w:r>
      <w:r w:rsidR="00C06049" w:rsidRPr="00425E92">
        <w:rPr>
          <w:rFonts w:ascii="Palatino Linotype" w:eastAsia="Palatino Linotype" w:hAnsi="Palatino Linotype" w:cs="Palatino Linotype"/>
          <w:b/>
        </w:rPr>
        <w:t>00378/INFOEM/IP/RR/2025</w:t>
      </w:r>
      <w:r w:rsidR="003E3CE0" w:rsidRPr="00425E92">
        <w:rPr>
          <w:rFonts w:ascii="Palatino Linotype" w:eastAsia="Palatino Linotype" w:hAnsi="Palatino Linotype" w:cs="Palatino Linotype"/>
          <w:b/>
        </w:rPr>
        <w:t xml:space="preserve">, </w:t>
      </w:r>
      <w:r w:rsidR="003E3CE0" w:rsidRPr="00425E92">
        <w:rPr>
          <w:rFonts w:ascii="Palatino Linotype" w:eastAsia="Palatino Linotype" w:hAnsi="Palatino Linotype" w:cs="Palatino Linotype"/>
        </w:rPr>
        <w:t xml:space="preserve">de conformidad con lo dispuesto en el artículo 139 fracción III, en relación </w:t>
      </w:r>
      <w:r w:rsidR="00DF1A8C" w:rsidRPr="00425E92">
        <w:rPr>
          <w:rFonts w:ascii="Palatino Linotype" w:eastAsia="Palatino Linotype" w:hAnsi="Palatino Linotype" w:cs="Palatino Linotype"/>
        </w:rPr>
        <w:t>con el artículo 138 fracción II</w:t>
      </w:r>
      <w:r w:rsidR="003E3CE0" w:rsidRPr="00425E92">
        <w:rPr>
          <w:rFonts w:ascii="Palatino Linotype" w:eastAsia="Palatino Linotype" w:hAnsi="Palatino Linotype" w:cs="Palatino Linotype"/>
        </w:rPr>
        <w:t xml:space="preserve"> de la Ley de Protección de Datos Personales en Posesión de Sujetos Obligados del Estado de México y Municipios, en términos del Considerando </w:t>
      </w:r>
      <w:r w:rsidR="003E3CE0" w:rsidRPr="00425E92">
        <w:rPr>
          <w:rFonts w:ascii="Palatino Linotype" w:eastAsia="Palatino Linotype" w:hAnsi="Palatino Linotype" w:cs="Palatino Linotype"/>
          <w:b/>
        </w:rPr>
        <w:t>Tercero</w:t>
      </w:r>
      <w:r w:rsidR="003E3CE0" w:rsidRPr="00425E92">
        <w:rPr>
          <w:rFonts w:ascii="Palatino Linotype" w:eastAsia="Palatino Linotype" w:hAnsi="Palatino Linotype" w:cs="Palatino Linotype"/>
        </w:rPr>
        <w:t xml:space="preserve"> de la presente Resolución</w:t>
      </w:r>
      <w:r w:rsidRPr="00425E92">
        <w:rPr>
          <w:rFonts w:ascii="Palatino Linotype" w:eastAsia="Palatino Linotype" w:hAnsi="Palatino Linotype" w:cs="Palatino Linotype"/>
          <w:color w:val="000000"/>
        </w:rPr>
        <w:t>.</w:t>
      </w:r>
    </w:p>
    <w:p w14:paraId="006180D8" w14:textId="77777777" w:rsidR="00F56023" w:rsidRPr="00425E92" w:rsidRDefault="00F56023" w:rsidP="00AE6C6A">
      <w:pPr>
        <w:spacing w:line="360" w:lineRule="auto"/>
        <w:jc w:val="both"/>
        <w:rPr>
          <w:rFonts w:ascii="Palatino Linotype" w:eastAsia="Palatino Linotype" w:hAnsi="Palatino Linotype" w:cs="Palatino Linotype"/>
          <w:b/>
        </w:rPr>
      </w:pPr>
    </w:p>
    <w:p w14:paraId="379895C4" w14:textId="2CF07A84" w:rsidR="00F56023" w:rsidRPr="00425E92" w:rsidRDefault="00F56023" w:rsidP="00AE6C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75" w:name="_heading=h.35nkun2" w:colFirst="0" w:colLast="0"/>
      <w:bookmarkEnd w:id="75"/>
      <w:r w:rsidRPr="00425E92">
        <w:rPr>
          <w:rFonts w:ascii="Palatino Linotype" w:eastAsia="Palatino Linotype" w:hAnsi="Palatino Linotype" w:cs="Palatino Linotype"/>
          <w:b/>
          <w:color w:val="000000"/>
        </w:rPr>
        <w:t xml:space="preserve">SEGUNDO. Notifíquese </w:t>
      </w:r>
      <w:r w:rsidRPr="00425E92">
        <w:rPr>
          <w:rFonts w:ascii="Palatino Linotype" w:eastAsia="Palatino Linotype" w:hAnsi="Palatino Linotype" w:cs="Palatino Linotype"/>
          <w:color w:val="000000"/>
        </w:rPr>
        <w:t xml:space="preserve">a través del Sistema de Acceso a la Información Mexiquense </w:t>
      </w:r>
      <w:r w:rsidRPr="00425E92">
        <w:rPr>
          <w:rFonts w:ascii="Palatino Linotype" w:eastAsia="Palatino Linotype" w:hAnsi="Palatino Linotype" w:cs="Palatino Linotype"/>
          <w:b/>
          <w:color w:val="000000"/>
        </w:rPr>
        <w:t xml:space="preserve">(SAIMEX) </w:t>
      </w:r>
      <w:r w:rsidR="00AD1E41" w:rsidRPr="00425E92">
        <w:rPr>
          <w:rFonts w:ascii="Palatino Linotype" w:eastAsia="Palatino Linotype" w:hAnsi="Palatino Linotype" w:cs="Palatino Linotype"/>
          <w:color w:val="000000"/>
        </w:rPr>
        <w:t>la presente R</w:t>
      </w:r>
      <w:r w:rsidRPr="00425E92">
        <w:rPr>
          <w:rFonts w:ascii="Palatino Linotype" w:eastAsia="Palatino Linotype" w:hAnsi="Palatino Linotype" w:cs="Palatino Linotype"/>
          <w:color w:val="000000"/>
        </w:rPr>
        <w:t>esolución al Titular de la Unidad de Transparencia del</w:t>
      </w:r>
      <w:r w:rsidRPr="00425E92">
        <w:rPr>
          <w:rFonts w:ascii="Palatino Linotype" w:eastAsia="Palatino Linotype" w:hAnsi="Palatino Linotype" w:cs="Palatino Linotype"/>
          <w:b/>
          <w:color w:val="000000"/>
        </w:rPr>
        <w:t xml:space="preserve"> SUJETO OBLIGADO</w:t>
      </w:r>
      <w:r w:rsidR="003E3CE0" w:rsidRPr="00425E92">
        <w:rPr>
          <w:rFonts w:ascii="Palatino Linotype" w:eastAsia="Palatino Linotype" w:hAnsi="Palatino Linotype" w:cs="Palatino Linotype"/>
          <w:color w:val="000000"/>
        </w:rPr>
        <w:t>, para su conocimiento</w:t>
      </w:r>
      <w:r w:rsidRPr="00425E92">
        <w:rPr>
          <w:rFonts w:ascii="Palatino Linotype" w:eastAsia="Palatino Linotype" w:hAnsi="Palatino Linotype" w:cs="Palatino Linotype"/>
          <w:b/>
          <w:color w:val="000000"/>
        </w:rPr>
        <w:t xml:space="preserve">. </w:t>
      </w:r>
    </w:p>
    <w:p w14:paraId="4CCD10D2" w14:textId="77777777" w:rsidR="00AE6C6A" w:rsidRPr="00425E92" w:rsidRDefault="00AE6C6A" w:rsidP="00AE6C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5F3F4B1" w14:textId="36BEAF8B" w:rsidR="00F56023" w:rsidRPr="00425E92" w:rsidRDefault="00F56023" w:rsidP="00AE6C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25E92">
        <w:rPr>
          <w:rFonts w:ascii="Palatino Linotype" w:eastAsia="Palatino Linotype" w:hAnsi="Palatino Linotype" w:cs="Palatino Linotype"/>
          <w:b/>
          <w:color w:val="000000"/>
        </w:rPr>
        <w:lastRenderedPageBreak/>
        <w:t xml:space="preserve">TERCERO. Notifíquese </w:t>
      </w:r>
      <w:r w:rsidRPr="00425E92">
        <w:rPr>
          <w:rFonts w:ascii="Palatino Linotype" w:eastAsia="Palatino Linotype" w:hAnsi="Palatino Linotype" w:cs="Palatino Linotype"/>
          <w:color w:val="000000"/>
        </w:rPr>
        <w:t xml:space="preserve">al </w:t>
      </w:r>
      <w:r w:rsidRPr="00425E92">
        <w:rPr>
          <w:rFonts w:ascii="Palatino Linotype" w:eastAsia="Palatino Linotype" w:hAnsi="Palatino Linotype" w:cs="Palatino Linotype"/>
          <w:b/>
          <w:color w:val="000000"/>
        </w:rPr>
        <w:t xml:space="preserve">RECURRENTE </w:t>
      </w:r>
      <w:r w:rsidR="003E3CE0" w:rsidRPr="00425E92">
        <w:rPr>
          <w:rFonts w:ascii="Palatino Linotype" w:eastAsia="Palatino Linotype" w:hAnsi="Palatino Linotype" w:cs="Palatino Linotype"/>
          <w:color w:val="000000"/>
        </w:rPr>
        <w:t>la presente R</w:t>
      </w:r>
      <w:r w:rsidRPr="00425E92">
        <w:rPr>
          <w:rFonts w:ascii="Palatino Linotype" w:eastAsia="Palatino Linotype" w:hAnsi="Palatino Linotype" w:cs="Palatino Linotype"/>
          <w:color w:val="000000"/>
        </w:rPr>
        <w:t>esolución, vía SAIMEX</w:t>
      </w:r>
      <w:r w:rsidR="003E3CE0" w:rsidRPr="00425E92">
        <w:rPr>
          <w:rFonts w:ascii="Palatino Linotype" w:eastAsia="Palatino Linotype" w:hAnsi="Palatino Linotype" w:cs="Palatino Linotype"/>
          <w:color w:val="000000"/>
        </w:rPr>
        <w:t xml:space="preserve"> y correo electrónico</w:t>
      </w:r>
      <w:r w:rsidRPr="00425E92">
        <w:rPr>
          <w:rFonts w:ascii="Palatino Linotype" w:eastAsia="Palatino Linotype" w:hAnsi="Palatino Linotype" w:cs="Palatino Linotype"/>
          <w:color w:val="000000"/>
        </w:rPr>
        <w:t>.</w:t>
      </w:r>
    </w:p>
    <w:p w14:paraId="6AFF06D6" w14:textId="77777777" w:rsidR="00F56023" w:rsidRPr="00425E92" w:rsidRDefault="00F56023" w:rsidP="00AE6C6A">
      <w:pPr>
        <w:tabs>
          <w:tab w:val="left" w:pos="8080"/>
        </w:tabs>
        <w:spacing w:line="360" w:lineRule="auto"/>
        <w:jc w:val="both"/>
        <w:rPr>
          <w:rFonts w:ascii="Palatino Linotype" w:eastAsia="Palatino Linotype" w:hAnsi="Palatino Linotype" w:cs="Palatino Linotype"/>
          <w:b/>
        </w:rPr>
      </w:pPr>
    </w:p>
    <w:p w14:paraId="54B62618" w14:textId="768D0024" w:rsidR="00F56023" w:rsidRPr="00425E92" w:rsidRDefault="00F56023" w:rsidP="00AE6C6A">
      <w:pPr>
        <w:shd w:val="clear" w:color="auto" w:fill="FFFFFF"/>
        <w:spacing w:line="360" w:lineRule="auto"/>
        <w:jc w:val="both"/>
        <w:rPr>
          <w:rFonts w:ascii="Palatino Linotype" w:eastAsia="Palatino Linotype" w:hAnsi="Palatino Linotype" w:cs="Palatino Linotype"/>
        </w:rPr>
      </w:pPr>
      <w:r w:rsidRPr="00425E92">
        <w:rPr>
          <w:rFonts w:ascii="Palatino Linotype" w:eastAsia="Palatino Linotype" w:hAnsi="Palatino Linotype" w:cs="Palatino Linotype"/>
          <w:b/>
        </w:rPr>
        <w:t>CUARTO.</w:t>
      </w:r>
      <w:r w:rsidRPr="00425E92">
        <w:rPr>
          <w:rFonts w:ascii="Palatino Linotype" w:eastAsia="Palatino Linotype" w:hAnsi="Palatino Linotype" w:cs="Palatino Linotype"/>
        </w:rPr>
        <w:t xml:space="preserve"> Se hace del conocimiento del </w:t>
      </w:r>
      <w:r w:rsidRPr="00425E92">
        <w:rPr>
          <w:rFonts w:ascii="Palatino Linotype" w:eastAsia="Palatino Linotype" w:hAnsi="Palatino Linotype" w:cs="Palatino Linotype"/>
          <w:b/>
        </w:rPr>
        <w:t xml:space="preserve">RECURRENTE </w:t>
      </w:r>
      <w:r w:rsidRPr="00425E92">
        <w:rPr>
          <w:rFonts w:ascii="Palatino Linotype" w:eastAsia="Palatino Linotype" w:hAnsi="Palatino Linotype" w:cs="Palatino Linotype"/>
        </w:rPr>
        <w:t>que de conformidad con lo establecido en el artículo 1</w:t>
      </w:r>
      <w:r w:rsidR="00C926B3" w:rsidRPr="00425E92">
        <w:rPr>
          <w:rFonts w:ascii="Palatino Linotype" w:eastAsia="Palatino Linotype" w:hAnsi="Palatino Linotype" w:cs="Palatino Linotype"/>
        </w:rPr>
        <w:t>42</w:t>
      </w:r>
      <w:r w:rsidRPr="00425E92">
        <w:rPr>
          <w:rFonts w:ascii="Palatino Linotype" w:eastAsia="Palatino Linotype" w:hAnsi="Palatino Linotype" w:cs="Palatino Linotype"/>
        </w:rPr>
        <w:t xml:space="preserve"> de la </w:t>
      </w:r>
      <w:r w:rsidR="00C926B3" w:rsidRPr="00425E92">
        <w:rPr>
          <w:rFonts w:ascii="Palatino Linotype" w:eastAsia="Palatino Linotype" w:hAnsi="Palatino Linotype" w:cs="Palatino Linotype"/>
        </w:rPr>
        <w:t>Ley de Protección de Datos Personales en Posesión de Sujetos Obligados del Estado de México y Municipios</w:t>
      </w:r>
      <w:r w:rsidRPr="00425E92">
        <w:rPr>
          <w:rFonts w:ascii="Palatino Linotype" w:eastAsia="Palatino Linotype" w:hAnsi="Palatino Linotype" w:cs="Palatino Linotype"/>
        </w:rPr>
        <w:t>, e</w:t>
      </w:r>
      <w:r w:rsidR="00C926B3" w:rsidRPr="00425E92">
        <w:rPr>
          <w:rFonts w:ascii="Palatino Linotype" w:eastAsia="Palatino Linotype" w:hAnsi="Palatino Linotype" w:cs="Palatino Linotype"/>
        </w:rPr>
        <w:t>n caso de que considere que la R</w:t>
      </w:r>
      <w:r w:rsidRPr="00425E92">
        <w:rPr>
          <w:rFonts w:ascii="Palatino Linotype" w:eastAsia="Palatino Linotype" w:hAnsi="Palatino Linotype" w:cs="Palatino Linotype"/>
        </w:rPr>
        <w:t>esolución le cause algún perjuicio podrá impugnar vía juicio de amparo en los términos de las leyes aplicables.</w:t>
      </w:r>
    </w:p>
    <w:p w14:paraId="29BBDA00" w14:textId="77777777" w:rsidR="00947C3B" w:rsidRPr="00425E92" w:rsidRDefault="00947C3B" w:rsidP="00AE6C6A">
      <w:pPr>
        <w:shd w:val="clear" w:color="auto" w:fill="FFFFFF"/>
        <w:spacing w:line="360" w:lineRule="auto"/>
        <w:jc w:val="both"/>
        <w:rPr>
          <w:rFonts w:ascii="Palatino Linotype" w:eastAsia="Times New Roman" w:hAnsi="Palatino Linotype" w:cs="Times New Roman"/>
          <w:lang w:val="es-ES" w:eastAsia="es-MX"/>
        </w:rPr>
      </w:pPr>
    </w:p>
    <w:p w14:paraId="6C28A634" w14:textId="49F4093D" w:rsidR="00947C3B" w:rsidRPr="00AE6C6A" w:rsidRDefault="00425E92" w:rsidP="00AE6C6A">
      <w:pPr>
        <w:spacing w:line="360" w:lineRule="auto"/>
        <w:jc w:val="both"/>
        <w:rPr>
          <w:rFonts w:ascii="Palatino Linotype" w:hAnsi="Palatino Linotype"/>
        </w:rPr>
      </w:pPr>
      <w:bookmarkStart w:id="76" w:name="_GoBack"/>
      <w:bookmarkEnd w:id="76"/>
      <w:r w:rsidRPr="00425E92">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r w:rsidR="00AE6C6A" w:rsidRPr="00425E92">
        <w:rPr>
          <w:rFonts w:ascii="Palatino Linotype" w:hAnsi="Palatino Linotype"/>
        </w:rPr>
        <w:t>.</w:t>
      </w:r>
    </w:p>
    <w:p w14:paraId="6E7D199D" w14:textId="77777777" w:rsidR="00947C3B" w:rsidRPr="00AE6C6A" w:rsidRDefault="00947C3B" w:rsidP="00AE6C6A">
      <w:pPr>
        <w:spacing w:line="360" w:lineRule="auto"/>
        <w:jc w:val="both"/>
        <w:rPr>
          <w:rFonts w:ascii="Palatino Linotype" w:hAnsi="Palatino Linotype"/>
        </w:rPr>
      </w:pPr>
    </w:p>
    <w:p w14:paraId="504C9EA2" w14:textId="77777777" w:rsidR="00947C3B" w:rsidRPr="00AE6C6A" w:rsidRDefault="00947C3B" w:rsidP="00AE6C6A">
      <w:pPr>
        <w:spacing w:line="360" w:lineRule="auto"/>
        <w:jc w:val="both"/>
        <w:rPr>
          <w:rFonts w:ascii="Palatino Linotype" w:hAnsi="Palatino Linotype"/>
        </w:rPr>
      </w:pPr>
    </w:p>
    <w:p w14:paraId="266E9DC5" w14:textId="77777777" w:rsidR="00947C3B" w:rsidRPr="00AE6C6A" w:rsidRDefault="00947C3B" w:rsidP="00AE6C6A">
      <w:pPr>
        <w:spacing w:line="360" w:lineRule="auto"/>
        <w:jc w:val="both"/>
        <w:rPr>
          <w:rFonts w:ascii="Palatino Linotype" w:hAnsi="Palatino Linotype"/>
        </w:rPr>
      </w:pPr>
    </w:p>
    <w:p w14:paraId="7CA75E23" w14:textId="77777777" w:rsidR="00947C3B" w:rsidRPr="00AE6C6A" w:rsidRDefault="00947C3B" w:rsidP="00AE6C6A">
      <w:pPr>
        <w:spacing w:line="360" w:lineRule="auto"/>
        <w:rPr>
          <w:rFonts w:ascii="Palatino Linotype" w:hAnsi="Palatino Linotype"/>
        </w:rPr>
      </w:pPr>
    </w:p>
    <w:p w14:paraId="3BD3612C" w14:textId="77777777" w:rsidR="00947C3B" w:rsidRPr="00AE6C6A" w:rsidRDefault="00947C3B" w:rsidP="00AE6C6A">
      <w:pPr>
        <w:spacing w:line="360" w:lineRule="auto"/>
        <w:rPr>
          <w:rFonts w:ascii="Palatino Linotype" w:hAnsi="Palatino Linotype"/>
        </w:rPr>
      </w:pPr>
    </w:p>
    <w:p w14:paraId="3743A396" w14:textId="77777777" w:rsidR="00947C3B" w:rsidRPr="00AE6C6A" w:rsidRDefault="00947C3B" w:rsidP="00AE6C6A">
      <w:pPr>
        <w:spacing w:line="360" w:lineRule="auto"/>
        <w:rPr>
          <w:rFonts w:ascii="Palatino Linotype" w:hAnsi="Palatino Linotype"/>
        </w:rPr>
      </w:pPr>
    </w:p>
    <w:p w14:paraId="38E779B9" w14:textId="77777777" w:rsidR="00947C3B" w:rsidRPr="00AE6C6A" w:rsidRDefault="00947C3B" w:rsidP="00AE6C6A">
      <w:pPr>
        <w:spacing w:line="360" w:lineRule="auto"/>
        <w:rPr>
          <w:rFonts w:ascii="Palatino Linotype" w:hAnsi="Palatino Linotype"/>
        </w:rPr>
      </w:pPr>
    </w:p>
    <w:p w14:paraId="23358BF2" w14:textId="77777777" w:rsidR="00947C3B" w:rsidRPr="00AE6C6A" w:rsidRDefault="00947C3B" w:rsidP="00AE6C6A">
      <w:pPr>
        <w:spacing w:line="360" w:lineRule="auto"/>
        <w:rPr>
          <w:rFonts w:ascii="Palatino Linotype" w:hAnsi="Palatino Linotype"/>
        </w:rPr>
      </w:pPr>
    </w:p>
    <w:p w14:paraId="58467F4E" w14:textId="77777777" w:rsidR="00947C3B" w:rsidRPr="00AE6C6A" w:rsidRDefault="00947C3B" w:rsidP="00AE6C6A">
      <w:pPr>
        <w:spacing w:line="360" w:lineRule="auto"/>
        <w:rPr>
          <w:rFonts w:ascii="Palatino Linotype" w:hAnsi="Palatino Linotype"/>
        </w:rPr>
      </w:pPr>
    </w:p>
    <w:p w14:paraId="238EBC9D" w14:textId="77777777" w:rsidR="00947C3B" w:rsidRPr="00AE6C6A" w:rsidRDefault="00947C3B" w:rsidP="00AE6C6A">
      <w:pPr>
        <w:spacing w:line="360" w:lineRule="auto"/>
        <w:rPr>
          <w:rFonts w:ascii="Palatino Linotype" w:hAnsi="Palatino Linotype"/>
        </w:rPr>
      </w:pPr>
    </w:p>
    <w:p w14:paraId="35E68E61" w14:textId="77777777" w:rsidR="00947C3B" w:rsidRPr="00AE6C6A" w:rsidRDefault="00947C3B" w:rsidP="00AE6C6A">
      <w:pPr>
        <w:tabs>
          <w:tab w:val="left" w:pos="3374"/>
        </w:tabs>
        <w:spacing w:line="360" w:lineRule="auto"/>
        <w:rPr>
          <w:rFonts w:ascii="Palatino Linotype" w:hAnsi="Palatino Linotype"/>
        </w:rPr>
      </w:pPr>
      <w:r w:rsidRPr="00AE6C6A">
        <w:rPr>
          <w:rFonts w:ascii="Palatino Linotype" w:hAnsi="Palatino Linotype"/>
        </w:rPr>
        <w:tab/>
      </w:r>
    </w:p>
    <w:p w14:paraId="68F0F3AE" w14:textId="77777777" w:rsidR="00947C3B" w:rsidRPr="00AE6C6A" w:rsidRDefault="00947C3B" w:rsidP="00AE6C6A">
      <w:pPr>
        <w:tabs>
          <w:tab w:val="left" w:pos="3374"/>
        </w:tabs>
        <w:spacing w:line="360" w:lineRule="auto"/>
        <w:rPr>
          <w:rFonts w:ascii="Palatino Linotype" w:hAnsi="Palatino Linotype"/>
        </w:rPr>
      </w:pPr>
    </w:p>
    <w:p w14:paraId="7EC14F3F" w14:textId="77777777" w:rsidR="00947C3B" w:rsidRPr="00AE6C6A" w:rsidRDefault="00947C3B" w:rsidP="00AE6C6A">
      <w:pPr>
        <w:tabs>
          <w:tab w:val="left" w:pos="3374"/>
        </w:tabs>
        <w:spacing w:line="360" w:lineRule="auto"/>
        <w:rPr>
          <w:rFonts w:ascii="Palatino Linotype" w:hAnsi="Palatino Linotype"/>
        </w:rPr>
      </w:pPr>
    </w:p>
    <w:p w14:paraId="590A1973" w14:textId="77777777" w:rsidR="00947C3B" w:rsidRPr="00AE6C6A" w:rsidRDefault="00947C3B" w:rsidP="00AE6C6A">
      <w:pPr>
        <w:tabs>
          <w:tab w:val="left" w:pos="3374"/>
        </w:tabs>
        <w:spacing w:line="360" w:lineRule="auto"/>
        <w:rPr>
          <w:rFonts w:ascii="Palatino Linotype" w:hAnsi="Palatino Linotype"/>
        </w:rPr>
      </w:pPr>
    </w:p>
    <w:p w14:paraId="737F2A77" w14:textId="77777777" w:rsidR="00947C3B" w:rsidRPr="00AE6C6A" w:rsidRDefault="00947C3B" w:rsidP="00AE6C6A">
      <w:pPr>
        <w:tabs>
          <w:tab w:val="left" w:pos="3374"/>
        </w:tabs>
        <w:spacing w:line="360" w:lineRule="auto"/>
        <w:rPr>
          <w:rFonts w:ascii="Palatino Linotype" w:hAnsi="Palatino Linotype"/>
        </w:rPr>
      </w:pPr>
    </w:p>
    <w:p w14:paraId="708D0154" w14:textId="77777777" w:rsidR="00947C3B" w:rsidRPr="00AE6C6A" w:rsidRDefault="00947C3B" w:rsidP="00AE6C6A">
      <w:pPr>
        <w:tabs>
          <w:tab w:val="left" w:pos="3374"/>
        </w:tabs>
        <w:spacing w:line="360" w:lineRule="auto"/>
        <w:rPr>
          <w:rFonts w:ascii="Palatino Linotype" w:hAnsi="Palatino Linotype"/>
        </w:rPr>
      </w:pPr>
    </w:p>
    <w:p w14:paraId="6C78D525" w14:textId="77777777" w:rsidR="00947C3B" w:rsidRPr="00AE6C6A" w:rsidRDefault="00947C3B" w:rsidP="00AE6C6A">
      <w:pPr>
        <w:tabs>
          <w:tab w:val="left" w:pos="3374"/>
        </w:tabs>
        <w:spacing w:line="360" w:lineRule="auto"/>
        <w:rPr>
          <w:rFonts w:ascii="Palatino Linotype" w:hAnsi="Palatino Linotype"/>
        </w:rPr>
      </w:pPr>
    </w:p>
    <w:p w14:paraId="7295E05A" w14:textId="77777777" w:rsidR="00947C3B" w:rsidRPr="00AE6C6A" w:rsidRDefault="00947C3B" w:rsidP="00AE6C6A">
      <w:pPr>
        <w:tabs>
          <w:tab w:val="left" w:pos="3374"/>
        </w:tabs>
        <w:spacing w:line="360" w:lineRule="auto"/>
        <w:rPr>
          <w:rFonts w:ascii="Palatino Linotype" w:hAnsi="Palatino Linotype"/>
        </w:rPr>
      </w:pPr>
    </w:p>
    <w:p w14:paraId="7ACCDCE5" w14:textId="77777777" w:rsidR="00947C3B" w:rsidRPr="00AE6C6A" w:rsidRDefault="00947C3B" w:rsidP="00AE6C6A">
      <w:pPr>
        <w:tabs>
          <w:tab w:val="left" w:pos="3374"/>
        </w:tabs>
        <w:spacing w:line="360" w:lineRule="auto"/>
        <w:rPr>
          <w:rFonts w:ascii="Palatino Linotype" w:hAnsi="Palatino Linotype"/>
        </w:rPr>
      </w:pPr>
    </w:p>
    <w:p w14:paraId="2043354E" w14:textId="77777777" w:rsidR="00947C3B" w:rsidRPr="00AE6C6A" w:rsidRDefault="00947C3B" w:rsidP="00AE6C6A">
      <w:pPr>
        <w:tabs>
          <w:tab w:val="left" w:pos="3374"/>
        </w:tabs>
        <w:spacing w:line="360" w:lineRule="auto"/>
        <w:rPr>
          <w:rFonts w:ascii="Palatino Linotype" w:hAnsi="Palatino Linotype"/>
        </w:rPr>
      </w:pPr>
    </w:p>
    <w:p w14:paraId="4D60AB68" w14:textId="77777777" w:rsidR="00947C3B" w:rsidRPr="00AE6C6A" w:rsidRDefault="00947C3B" w:rsidP="00AE6C6A">
      <w:pPr>
        <w:tabs>
          <w:tab w:val="left" w:pos="3374"/>
        </w:tabs>
        <w:spacing w:line="360" w:lineRule="auto"/>
        <w:rPr>
          <w:rFonts w:ascii="Palatino Linotype" w:hAnsi="Palatino Linotype"/>
        </w:rPr>
      </w:pPr>
    </w:p>
    <w:p w14:paraId="109C85DB" w14:textId="77777777" w:rsidR="00947C3B" w:rsidRPr="00AE6C6A" w:rsidRDefault="00947C3B" w:rsidP="00AE6C6A">
      <w:pPr>
        <w:spacing w:line="360" w:lineRule="auto"/>
        <w:rPr>
          <w:rFonts w:ascii="Palatino Linotype" w:hAnsi="Palatino Linotype"/>
        </w:rPr>
      </w:pPr>
    </w:p>
    <w:p w14:paraId="5FC7EA90" w14:textId="77777777" w:rsidR="00947C3B" w:rsidRPr="00AE6C6A" w:rsidRDefault="00947C3B" w:rsidP="00AE6C6A">
      <w:pPr>
        <w:spacing w:line="360" w:lineRule="auto"/>
        <w:rPr>
          <w:rFonts w:ascii="Palatino Linotype" w:hAnsi="Palatino Linotype"/>
        </w:rPr>
      </w:pPr>
    </w:p>
    <w:p w14:paraId="2F069714" w14:textId="77777777" w:rsidR="006603F1" w:rsidRPr="00AE6C6A" w:rsidRDefault="006603F1" w:rsidP="00AE6C6A">
      <w:pPr>
        <w:spacing w:line="360" w:lineRule="auto"/>
        <w:rPr>
          <w:rFonts w:ascii="Palatino Linotype" w:hAnsi="Palatino Linotype"/>
        </w:rPr>
      </w:pPr>
    </w:p>
    <w:sectPr w:rsidR="006603F1" w:rsidRPr="00AE6C6A" w:rsidSect="00AE6C6A">
      <w:headerReference w:type="even" r:id="rId8"/>
      <w:headerReference w:type="default" r:id="rId9"/>
      <w:footerReference w:type="default" r:id="rId10"/>
      <w:headerReference w:type="first" r:id="rId11"/>
      <w:footerReference w:type="first" r:id="rId12"/>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853E0" w14:textId="77777777" w:rsidR="00D440E2" w:rsidRDefault="00D440E2" w:rsidP="00947C3B">
      <w:r>
        <w:separator/>
      </w:r>
    </w:p>
  </w:endnote>
  <w:endnote w:type="continuationSeparator" w:id="0">
    <w:p w14:paraId="1DCFEE68" w14:textId="77777777" w:rsidR="00D440E2" w:rsidRDefault="00D440E2"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3D106E" w:rsidRPr="002D6DD8" w:rsidRDefault="003D106E"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13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4137">
              <w:rPr>
                <w:rFonts w:ascii="Palatino Linotype" w:hAnsi="Palatino Linotype"/>
                <w:bCs/>
                <w:noProof/>
                <w:sz w:val="20"/>
              </w:rPr>
              <w:t>27</w:t>
            </w:r>
            <w:r>
              <w:rPr>
                <w:rFonts w:ascii="Palatino Linotype" w:hAnsi="Palatino Linotype"/>
                <w:bCs/>
                <w:noProof/>
                <w:sz w:val="20"/>
              </w:rPr>
              <w:fldChar w:fldCharType="end"/>
            </w:r>
          </w:p>
        </w:sdtContent>
      </w:sdt>
    </w:sdtContent>
  </w:sdt>
  <w:p w14:paraId="3F2C2FE9" w14:textId="77777777" w:rsidR="003D106E" w:rsidRDefault="003D10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3D106E" w:rsidRPr="000B69FA" w:rsidRDefault="003D106E"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1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4137">
      <w:rPr>
        <w:rFonts w:ascii="Palatino Linotype" w:hAnsi="Palatino Linotype"/>
        <w:bCs/>
        <w:noProof/>
        <w:sz w:val="20"/>
      </w:rPr>
      <w:t>27</w:t>
    </w:r>
    <w:r>
      <w:rPr>
        <w:rFonts w:ascii="Palatino Linotype" w:hAnsi="Palatino Linotype"/>
        <w:bCs/>
        <w:noProof/>
        <w:sz w:val="20"/>
      </w:rPr>
      <w:fldChar w:fldCharType="end"/>
    </w:r>
  </w:p>
  <w:p w14:paraId="5CFAB42E" w14:textId="77777777" w:rsidR="003D106E" w:rsidRDefault="003D10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A4377" w14:textId="77777777" w:rsidR="00D440E2" w:rsidRDefault="00D440E2" w:rsidP="00947C3B">
      <w:r>
        <w:separator/>
      </w:r>
    </w:p>
  </w:footnote>
  <w:footnote w:type="continuationSeparator" w:id="0">
    <w:p w14:paraId="608ADDDA" w14:textId="77777777" w:rsidR="00D440E2" w:rsidRDefault="00D440E2"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3D106E" w:rsidRDefault="00D440E2">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CellMar>
        <w:left w:w="70" w:type="dxa"/>
        <w:right w:w="70" w:type="dxa"/>
      </w:tblCellMar>
      <w:tblLook w:val="04A0" w:firstRow="1" w:lastRow="0" w:firstColumn="1" w:lastColumn="0" w:noHBand="0" w:noVBand="1"/>
    </w:tblPr>
    <w:tblGrid>
      <w:gridCol w:w="2976"/>
      <w:gridCol w:w="4253"/>
    </w:tblGrid>
    <w:tr w:rsidR="003D106E" w:rsidRPr="00AE6C6A" w14:paraId="10AE6F9E" w14:textId="77777777" w:rsidTr="00AE6C6A">
      <w:trPr>
        <w:trHeight w:val="227"/>
      </w:trPr>
      <w:tc>
        <w:tcPr>
          <w:tcW w:w="2976" w:type="dxa"/>
          <w:vAlign w:val="center"/>
          <w:hideMark/>
        </w:tcPr>
        <w:p w14:paraId="046C485E" w14:textId="77777777" w:rsidR="003D106E" w:rsidRPr="00AE6C6A" w:rsidRDefault="003D106E" w:rsidP="007B20F5">
          <w:pPr>
            <w:ind w:right="34"/>
            <w:jc w:val="right"/>
            <w:rPr>
              <w:rFonts w:ascii="Palatino Linotype" w:hAnsi="Palatino Linotype"/>
              <w:b/>
            </w:rPr>
          </w:pPr>
          <w:r w:rsidRPr="00AE6C6A">
            <w:rPr>
              <w:rFonts w:ascii="Palatino Linotype" w:hAnsi="Palatino Linotype"/>
              <w:b/>
            </w:rPr>
            <w:t>Recurso de Revisión:</w:t>
          </w:r>
        </w:p>
      </w:tc>
      <w:tc>
        <w:tcPr>
          <w:tcW w:w="4253" w:type="dxa"/>
          <w:vAlign w:val="center"/>
          <w:hideMark/>
        </w:tcPr>
        <w:p w14:paraId="4920F6F2" w14:textId="367BAB4F" w:rsidR="003D106E" w:rsidRPr="00AE6C6A" w:rsidRDefault="006308BF" w:rsidP="00AE6C6A">
          <w:pPr>
            <w:pStyle w:val="Encabezado"/>
            <w:tabs>
              <w:tab w:val="clear" w:pos="4419"/>
            </w:tabs>
            <w:rPr>
              <w:rFonts w:ascii="Palatino Linotype" w:hAnsi="Palatino Linotype"/>
            </w:rPr>
          </w:pPr>
          <w:r w:rsidRPr="00AE6C6A">
            <w:rPr>
              <w:rFonts w:ascii="Palatino Linotype" w:hAnsi="Palatino Linotype" w:cs="Arial"/>
              <w:bCs/>
              <w:lang w:eastAsia="es-MX"/>
            </w:rPr>
            <w:t>00</w:t>
          </w:r>
          <w:r w:rsidR="003D106E" w:rsidRPr="00AE6C6A">
            <w:rPr>
              <w:rFonts w:ascii="Palatino Linotype" w:hAnsi="Palatino Linotype" w:cs="Arial"/>
              <w:bCs/>
              <w:lang w:eastAsia="es-MX"/>
            </w:rPr>
            <w:t>3</w:t>
          </w:r>
          <w:r w:rsidRPr="00AE6C6A">
            <w:rPr>
              <w:rFonts w:ascii="Palatino Linotype" w:hAnsi="Palatino Linotype" w:cs="Arial"/>
              <w:bCs/>
              <w:lang w:eastAsia="es-MX"/>
            </w:rPr>
            <w:t>78</w:t>
          </w:r>
          <w:r w:rsidR="003D106E" w:rsidRPr="00AE6C6A">
            <w:rPr>
              <w:rFonts w:ascii="Palatino Linotype" w:hAnsi="Palatino Linotype" w:cs="Arial"/>
              <w:bCs/>
              <w:lang w:eastAsia="es-MX"/>
            </w:rPr>
            <w:t>/INFOEM/IP/RR/2025</w:t>
          </w:r>
        </w:p>
      </w:tc>
    </w:tr>
    <w:tr w:rsidR="003D106E" w:rsidRPr="00AE6C6A" w14:paraId="700CAD85" w14:textId="77777777" w:rsidTr="00AE6C6A">
      <w:trPr>
        <w:trHeight w:val="242"/>
      </w:trPr>
      <w:tc>
        <w:tcPr>
          <w:tcW w:w="2976" w:type="dxa"/>
          <w:vAlign w:val="center"/>
          <w:hideMark/>
        </w:tcPr>
        <w:p w14:paraId="29679737" w14:textId="77777777" w:rsidR="003D106E" w:rsidRDefault="003D106E" w:rsidP="007B20F5">
          <w:pPr>
            <w:ind w:right="34"/>
            <w:jc w:val="right"/>
            <w:rPr>
              <w:rFonts w:ascii="Palatino Linotype" w:hAnsi="Palatino Linotype"/>
              <w:b/>
            </w:rPr>
          </w:pPr>
          <w:r w:rsidRPr="00AE6C6A">
            <w:rPr>
              <w:rFonts w:ascii="Palatino Linotype" w:hAnsi="Palatino Linotype"/>
              <w:b/>
            </w:rPr>
            <w:t>Sujeto Obligado:</w:t>
          </w:r>
        </w:p>
        <w:p w14:paraId="0EFCC1BD" w14:textId="77777777" w:rsidR="00AE6C6A" w:rsidRPr="00AE6C6A" w:rsidRDefault="00AE6C6A" w:rsidP="007B20F5">
          <w:pPr>
            <w:ind w:right="34"/>
            <w:jc w:val="right"/>
            <w:rPr>
              <w:rFonts w:ascii="Palatino Linotype" w:hAnsi="Palatino Linotype"/>
              <w:b/>
            </w:rPr>
          </w:pPr>
        </w:p>
      </w:tc>
      <w:tc>
        <w:tcPr>
          <w:tcW w:w="4253" w:type="dxa"/>
          <w:vAlign w:val="center"/>
          <w:hideMark/>
        </w:tcPr>
        <w:p w14:paraId="11A13220" w14:textId="79C29966" w:rsidR="003D106E" w:rsidRPr="00AE6C6A" w:rsidRDefault="003D106E" w:rsidP="00AE6C6A">
          <w:pPr>
            <w:pStyle w:val="Encabezado"/>
            <w:tabs>
              <w:tab w:val="clear" w:pos="4419"/>
            </w:tabs>
            <w:ind w:right="212"/>
            <w:jc w:val="both"/>
            <w:rPr>
              <w:rFonts w:ascii="Palatino Linotype" w:hAnsi="Palatino Linotype"/>
            </w:rPr>
          </w:pPr>
          <w:r w:rsidRPr="00AE6C6A">
            <w:rPr>
              <w:rFonts w:ascii="Palatino Linotype" w:hAnsi="Palatino Linotype"/>
              <w:bCs/>
              <w:color w:val="000000"/>
            </w:rPr>
            <w:t>Colegio de Bachilleres del Estado de México</w:t>
          </w:r>
        </w:p>
      </w:tc>
    </w:tr>
    <w:tr w:rsidR="003D106E" w:rsidRPr="00AE6C6A" w14:paraId="459034F1" w14:textId="77777777" w:rsidTr="00AE6C6A">
      <w:trPr>
        <w:trHeight w:val="342"/>
      </w:trPr>
      <w:tc>
        <w:tcPr>
          <w:tcW w:w="2976" w:type="dxa"/>
          <w:vAlign w:val="center"/>
          <w:hideMark/>
        </w:tcPr>
        <w:p w14:paraId="3169B47D" w14:textId="77777777" w:rsidR="003D106E" w:rsidRPr="00AE6C6A" w:rsidRDefault="003D106E" w:rsidP="007B20F5">
          <w:pPr>
            <w:ind w:right="34"/>
            <w:jc w:val="right"/>
            <w:rPr>
              <w:rFonts w:ascii="Palatino Linotype" w:hAnsi="Palatino Linotype"/>
              <w:b/>
            </w:rPr>
          </w:pPr>
          <w:r w:rsidRPr="00AE6C6A">
            <w:rPr>
              <w:rFonts w:ascii="Palatino Linotype" w:hAnsi="Palatino Linotype"/>
              <w:b/>
            </w:rPr>
            <w:t>Comisionada Ponente:</w:t>
          </w:r>
        </w:p>
      </w:tc>
      <w:tc>
        <w:tcPr>
          <w:tcW w:w="4253" w:type="dxa"/>
          <w:vAlign w:val="center"/>
          <w:hideMark/>
        </w:tcPr>
        <w:p w14:paraId="3F3DEBEA" w14:textId="77777777" w:rsidR="003D106E" w:rsidRPr="00AE6C6A" w:rsidRDefault="003D106E" w:rsidP="00AE6C6A">
          <w:pPr>
            <w:pStyle w:val="Encabezado"/>
            <w:tabs>
              <w:tab w:val="clear" w:pos="4419"/>
            </w:tabs>
            <w:rPr>
              <w:rFonts w:ascii="Palatino Linotype" w:hAnsi="Palatino Linotype"/>
            </w:rPr>
          </w:pPr>
          <w:r w:rsidRPr="00AE6C6A">
            <w:rPr>
              <w:rFonts w:ascii="Palatino Linotype" w:hAnsi="Palatino Linotype"/>
            </w:rPr>
            <w:t>María del Rosario Mejía Ayala</w:t>
          </w:r>
        </w:p>
      </w:tc>
    </w:tr>
  </w:tbl>
  <w:p w14:paraId="484BDF96" w14:textId="77777777" w:rsidR="003D106E" w:rsidRPr="00AE046A" w:rsidRDefault="00D440E2"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552" w:type="dxa"/>
      <w:tblCellMar>
        <w:left w:w="70" w:type="dxa"/>
        <w:right w:w="70" w:type="dxa"/>
      </w:tblCellMar>
      <w:tblLook w:val="04A0" w:firstRow="1" w:lastRow="0" w:firstColumn="1" w:lastColumn="0" w:noHBand="0" w:noVBand="1"/>
    </w:tblPr>
    <w:tblGrid>
      <w:gridCol w:w="2977"/>
      <w:gridCol w:w="4110"/>
    </w:tblGrid>
    <w:tr w:rsidR="003D106E" w:rsidRPr="00AE6C6A" w14:paraId="524ADC4D" w14:textId="77777777" w:rsidTr="00AE6C6A">
      <w:trPr>
        <w:trHeight w:val="227"/>
      </w:trPr>
      <w:tc>
        <w:tcPr>
          <w:tcW w:w="2977" w:type="dxa"/>
          <w:vAlign w:val="center"/>
          <w:hideMark/>
        </w:tcPr>
        <w:p w14:paraId="590A2358" w14:textId="77777777" w:rsidR="003D106E" w:rsidRPr="00AE6C6A" w:rsidRDefault="003D106E" w:rsidP="007B20F5">
          <w:pPr>
            <w:jc w:val="right"/>
            <w:rPr>
              <w:rFonts w:ascii="Palatino Linotype" w:hAnsi="Palatino Linotype"/>
              <w:b/>
            </w:rPr>
          </w:pPr>
          <w:r w:rsidRPr="00AE6C6A">
            <w:rPr>
              <w:rFonts w:ascii="Palatino Linotype" w:hAnsi="Palatino Linotype"/>
              <w:b/>
            </w:rPr>
            <w:t>Recurso de Revisión:</w:t>
          </w:r>
        </w:p>
      </w:tc>
      <w:tc>
        <w:tcPr>
          <w:tcW w:w="4110" w:type="dxa"/>
          <w:vAlign w:val="center"/>
          <w:hideMark/>
        </w:tcPr>
        <w:p w14:paraId="74FABDA8" w14:textId="6E15BE50" w:rsidR="003D106E" w:rsidRPr="00AE6C6A" w:rsidRDefault="003D106E" w:rsidP="00DE42B1">
          <w:pPr>
            <w:pStyle w:val="Encabezado"/>
            <w:rPr>
              <w:rFonts w:ascii="Palatino Linotype" w:hAnsi="Palatino Linotype"/>
            </w:rPr>
          </w:pPr>
          <w:r w:rsidRPr="00AE6C6A">
            <w:rPr>
              <w:rFonts w:ascii="Palatino Linotype" w:hAnsi="Palatino Linotype" w:cs="Arial"/>
              <w:bCs/>
              <w:lang w:eastAsia="es-MX"/>
            </w:rPr>
            <w:t>0</w:t>
          </w:r>
          <w:r w:rsidR="006308BF" w:rsidRPr="00AE6C6A">
            <w:rPr>
              <w:rFonts w:ascii="Palatino Linotype" w:hAnsi="Palatino Linotype" w:cs="Arial"/>
              <w:bCs/>
              <w:lang w:eastAsia="es-MX"/>
            </w:rPr>
            <w:t>0</w:t>
          </w:r>
          <w:r w:rsidRPr="00AE6C6A">
            <w:rPr>
              <w:rFonts w:ascii="Palatino Linotype" w:hAnsi="Palatino Linotype" w:cs="Arial"/>
              <w:bCs/>
              <w:lang w:eastAsia="es-MX"/>
            </w:rPr>
            <w:t>3</w:t>
          </w:r>
          <w:r w:rsidR="006308BF" w:rsidRPr="00AE6C6A">
            <w:rPr>
              <w:rFonts w:ascii="Palatino Linotype" w:hAnsi="Palatino Linotype" w:cs="Arial"/>
              <w:bCs/>
              <w:lang w:eastAsia="es-MX"/>
            </w:rPr>
            <w:t>78</w:t>
          </w:r>
          <w:r w:rsidRPr="00AE6C6A">
            <w:rPr>
              <w:rFonts w:ascii="Palatino Linotype" w:hAnsi="Palatino Linotype" w:cs="Arial"/>
              <w:bCs/>
              <w:lang w:eastAsia="es-MX"/>
            </w:rPr>
            <w:t>/INFOEM/IP/RR/2025</w:t>
          </w:r>
        </w:p>
      </w:tc>
    </w:tr>
    <w:tr w:rsidR="003D106E" w:rsidRPr="00AE6C6A" w14:paraId="579BAB32" w14:textId="77777777" w:rsidTr="00AE6C6A">
      <w:trPr>
        <w:trHeight w:val="242"/>
      </w:trPr>
      <w:tc>
        <w:tcPr>
          <w:tcW w:w="2977" w:type="dxa"/>
          <w:vAlign w:val="center"/>
          <w:hideMark/>
        </w:tcPr>
        <w:p w14:paraId="1CF262FF" w14:textId="77777777" w:rsidR="003D106E" w:rsidRPr="00AE6C6A" w:rsidRDefault="003D106E" w:rsidP="007B20F5">
          <w:pPr>
            <w:jc w:val="right"/>
            <w:rPr>
              <w:rFonts w:ascii="Palatino Linotype" w:hAnsi="Palatino Linotype"/>
              <w:b/>
            </w:rPr>
          </w:pPr>
          <w:r w:rsidRPr="00AE6C6A">
            <w:rPr>
              <w:rFonts w:ascii="Palatino Linotype" w:hAnsi="Palatino Linotype"/>
              <w:b/>
            </w:rPr>
            <w:t>Recurrente:</w:t>
          </w:r>
        </w:p>
      </w:tc>
      <w:tc>
        <w:tcPr>
          <w:tcW w:w="4110" w:type="dxa"/>
          <w:hideMark/>
        </w:tcPr>
        <w:p w14:paraId="19CC8F21" w14:textId="496D0A4D" w:rsidR="003D106E" w:rsidRPr="00AE6C6A" w:rsidRDefault="000D0911" w:rsidP="007B20F5">
          <w:pPr>
            <w:pStyle w:val="Encabezado"/>
            <w:tabs>
              <w:tab w:val="left" w:pos="521"/>
            </w:tabs>
            <w:rPr>
              <w:rFonts w:ascii="Palatino Linotype" w:hAnsi="Palatino Linotype"/>
            </w:rPr>
          </w:pPr>
          <w:r>
            <w:rPr>
              <w:rFonts w:ascii="Palatino Linotype" w:eastAsia="Palatino Linotype" w:hAnsi="Palatino Linotype" w:cs="Palatino Linotype"/>
            </w:rPr>
            <w:t>XXXX</w:t>
          </w:r>
        </w:p>
      </w:tc>
    </w:tr>
    <w:tr w:rsidR="003D106E" w:rsidRPr="00AE6C6A" w14:paraId="11EF809E" w14:textId="77777777" w:rsidTr="00AE6C6A">
      <w:trPr>
        <w:trHeight w:val="342"/>
      </w:trPr>
      <w:tc>
        <w:tcPr>
          <w:tcW w:w="2977" w:type="dxa"/>
          <w:vAlign w:val="center"/>
        </w:tcPr>
        <w:p w14:paraId="40461249" w14:textId="77777777" w:rsidR="003D106E" w:rsidRDefault="003D106E" w:rsidP="007B20F5">
          <w:pPr>
            <w:jc w:val="right"/>
            <w:rPr>
              <w:rFonts w:ascii="Palatino Linotype" w:hAnsi="Palatino Linotype"/>
              <w:b/>
            </w:rPr>
          </w:pPr>
          <w:r w:rsidRPr="00AE6C6A">
            <w:rPr>
              <w:rFonts w:ascii="Palatino Linotype" w:hAnsi="Palatino Linotype"/>
              <w:b/>
            </w:rPr>
            <w:t>Sujeto Obligado:</w:t>
          </w:r>
        </w:p>
        <w:p w14:paraId="0A037E93" w14:textId="77777777" w:rsidR="00AE6C6A" w:rsidRPr="00AE6C6A" w:rsidRDefault="00AE6C6A" w:rsidP="007B20F5">
          <w:pPr>
            <w:jc w:val="right"/>
            <w:rPr>
              <w:rFonts w:ascii="Palatino Linotype" w:hAnsi="Palatino Linotype"/>
              <w:b/>
            </w:rPr>
          </w:pPr>
        </w:p>
      </w:tc>
      <w:tc>
        <w:tcPr>
          <w:tcW w:w="4110" w:type="dxa"/>
          <w:vAlign w:val="center"/>
        </w:tcPr>
        <w:p w14:paraId="431B85F9" w14:textId="0BBD5531" w:rsidR="003D106E" w:rsidRPr="00AE6C6A" w:rsidRDefault="003D106E" w:rsidP="007B20F5">
          <w:pPr>
            <w:pStyle w:val="Encabezado"/>
            <w:jc w:val="both"/>
            <w:rPr>
              <w:rFonts w:ascii="Palatino Linotype" w:hAnsi="Palatino Linotype"/>
            </w:rPr>
          </w:pPr>
          <w:r w:rsidRPr="00AE6C6A">
            <w:rPr>
              <w:rFonts w:ascii="Palatino Linotype" w:hAnsi="Palatino Linotype"/>
              <w:bCs/>
              <w:color w:val="000000"/>
            </w:rPr>
            <w:t>Colegio de Bachilleres del Estado de México</w:t>
          </w:r>
        </w:p>
      </w:tc>
    </w:tr>
    <w:tr w:rsidR="003D106E" w:rsidRPr="00AE6C6A" w14:paraId="61FC427B" w14:textId="77777777" w:rsidTr="00AE6C6A">
      <w:trPr>
        <w:trHeight w:val="342"/>
      </w:trPr>
      <w:tc>
        <w:tcPr>
          <w:tcW w:w="2977" w:type="dxa"/>
          <w:vAlign w:val="center"/>
        </w:tcPr>
        <w:p w14:paraId="2C25FB1A" w14:textId="77777777" w:rsidR="003D106E" w:rsidRPr="00AE6C6A" w:rsidRDefault="003D106E" w:rsidP="007B20F5">
          <w:pPr>
            <w:jc w:val="right"/>
            <w:rPr>
              <w:rFonts w:ascii="Palatino Linotype" w:hAnsi="Palatino Linotype"/>
              <w:b/>
            </w:rPr>
          </w:pPr>
          <w:r w:rsidRPr="00AE6C6A">
            <w:rPr>
              <w:rFonts w:ascii="Palatino Linotype" w:hAnsi="Palatino Linotype"/>
              <w:b/>
            </w:rPr>
            <w:t>Comisionada Ponente:</w:t>
          </w:r>
        </w:p>
      </w:tc>
      <w:tc>
        <w:tcPr>
          <w:tcW w:w="4110" w:type="dxa"/>
          <w:vAlign w:val="center"/>
        </w:tcPr>
        <w:p w14:paraId="481ED5C8" w14:textId="77777777" w:rsidR="003D106E" w:rsidRPr="00AE6C6A" w:rsidRDefault="003D106E" w:rsidP="007B20F5">
          <w:pPr>
            <w:pStyle w:val="Encabezado"/>
            <w:rPr>
              <w:rFonts w:ascii="Palatino Linotype" w:hAnsi="Palatino Linotype"/>
            </w:rPr>
          </w:pPr>
          <w:r w:rsidRPr="00AE6C6A">
            <w:rPr>
              <w:rFonts w:ascii="Palatino Linotype" w:hAnsi="Palatino Linotype"/>
            </w:rPr>
            <w:t>María del Rosario Mejía Ayala</w:t>
          </w:r>
        </w:p>
      </w:tc>
    </w:tr>
  </w:tbl>
  <w:p w14:paraId="258F46F2" w14:textId="77777777" w:rsidR="003D106E" w:rsidRPr="00C222C0" w:rsidRDefault="00D440E2">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31D"/>
    <w:multiLevelType w:val="multilevel"/>
    <w:tmpl w:val="7C7045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A90"/>
    <w:multiLevelType w:val="multilevel"/>
    <w:tmpl w:val="D4AE9C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C204CC"/>
    <w:multiLevelType w:val="hybridMultilevel"/>
    <w:tmpl w:val="5F243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2B1E5A"/>
    <w:multiLevelType w:val="multilevel"/>
    <w:tmpl w:val="31ECAF4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4A5430A0"/>
    <w:multiLevelType w:val="multilevel"/>
    <w:tmpl w:val="5F78160A"/>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6B570B3"/>
    <w:multiLevelType w:val="hybridMultilevel"/>
    <w:tmpl w:val="C8446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4"/>
  </w:num>
  <w:num w:numId="6">
    <w:abstractNumId w:val="0"/>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16331"/>
    <w:rsid w:val="00023AFA"/>
    <w:rsid w:val="00024B16"/>
    <w:rsid w:val="00027E0A"/>
    <w:rsid w:val="00050602"/>
    <w:rsid w:val="00053504"/>
    <w:rsid w:val="000572A1"/>
    <w:rsid w:val="000651CC"/>
    <w:rsid w:val="000656BD"/>
    <w:rsid w:val="0006774A"/>
    <w:rsid w:val="00067EAC"/>
    <w:rsid w:val="00087920"/>
    <w:rsid w:val="00091C25"/>
    <w:rsid w:val="0009753E"/>
    <w:rsid w:val="000B4836"/>
    <w:rsid w:val="000C5E70"/>
    <w:rsid w:val="000D0911"/>
    <w:rsid w:val="000D581C"/>
    <w:rsid w:val="000D655F"/>
    <w:rsid w:val="000E4CEE"/>
    <w:rsid w:val="000E6238"/>
    <w:rsid w:val="000E62C2"/>
    <w:rsid w:val="000E6D71"/>
    <w:rsid w:val="000E7DB1"/>
    <w:rsid w:val="000F3501"/>
    <w:rsid w:val="000F3BFD"/>
    <w:rsid w:val="000F7E04"/>
    <w:rsid w:val="0010142B"/>
    <w:rsid w:val="00110A2B"/>
    <w:rsid w:val="00117ECD"/>
    <w:rsid w:val="0012267C"/>
    <w:rsid w:val="00145A9D"/>
    <w:rsid w:val="00153A86"/>
    <w:rsid w:val="00185604"/>
    <w:rsid w:val="00186EC3"/>
    <w:rsid w:val="00193D79"/>
    <w:rsid w:val="001A4926"/>
    <w:rsid w:val="001A720F"/>
    <w:rsid w:val="001A7D36"/>
    <w:rsid w:val="001B7993"/>
    <w:rsid w:val="001B7FBD"/>
    <w:rsid w:val="001F6A02"/>
    <w:rsid w:val="002022D8"/>
    <w:rsid w:val="002124C5"/>
    <w:rsid w:val="00220F11"/>
    <w:rsid w:val="0023187D"/>
    <w:rsid w:val="00231E77"/>
    <w:rsid w:val="00244077"/>
    <w:rsid w:val="0024462E"/>
    <w:rsid w:val="00253A31"/>
    <w:rsid w:val="00270528"/>
    <w:rsid w:val="002714A4"/>
    <w:rsid w:val="00295534"/>
    <w:rsid w:val="002A3EE3"/>
    <w:rsid w:val="002A7860"/>
    <w:rsid w:val="002B117D"/>
    <w:rsid w:val="002B4A5C"/>
    <w:rsid w:val="002C5E64"/>
    <w:rsid w:val="002E33DE"/>
    <w:rsid w:val="002E6B14"/>
    <w:rsid w:val="002F7F77"/>
    <w:rsid w:val="00300B38"/>
    <w:rsid w:val="003274B8"/>
    <w:rsid w:val="0033685C"/>
    <w:rsid w:val="00337296"/>
    <w:rsid w:val="00354C09"/>
    <w:rsid w:val="00362AAF"/>
    <w:rsid w:val="00373197"/>
    <w:rsid w:val="003812E3"/>
    <w:rsid w:val="00382484"/>
    <w:rsid w:val="003877A2"/>
    <w:rsid w:val="003B1A04"/>
    <w:rsid w:val="003B304A"/>
    <w:rsid w:val="003C4C55"/>
    <w:rsid w:val="003C7116"/>
    <w:rsid w:val="003D0759"/>
    <w:rsid w:val="003D106E"/>
    <w:rsid w:val="003E3CE0"/>
    <w:rsid w:val="003E5C79"/>
    <w:rsid w:val="004016F0"/>
    <w:rsid w:val="004027AF"/>
    <w:rsid w:val="00407F62"/>
    <w:rsid w:val="0041452A"/>
    <w:rsid w:val="00425E92"/>
    <w:rsid w:val="00436406"/>
    <w:rsid w:val="004378B2"/>
    <w:rsid w:val="004721F4"/>
    <w:rsid w:val="00487E84"/>
    <w:rsid w:val="004C3E30"/>
    <w:rsid w:val="004C674D"/>
    <w:rsid w:val="004D6240"/>
    <w:rsid w:val="004E7348"/>
    <w:rsid w:val="004F0723"/>
    <w:rsid w:val="004F19EA"/>
    <w:rsid w:val="0051018B"/>
    <w:rsid w:val="0051023C"/>
    <w:rsid w:val="00523F17"/>
    <w:rsid w:val="00525D73"/>
    <w:rsid w:val="005301E3"/>
    <w:rsid w:val="0053319D"/>
    <w:rsid w:val="00540467"/>
    <w:rsid w:val="00553F17"/>
    <w:rsid w:val="00555CCB"/>
    <w:rsid w:val="00575397"/>
    <w:rsid w:val="00582749"/>
    <w:rsid w:val="0058280F"/>
    <w:rsid w:val="005869D0"/>
    <w:rsid w:val="00591382"/>
    <w:rsid w:val="00593CF1"/>
    <w:rsid w:val="005A4A49"/>
    <w:rsid w:val="005C188C"/>
    <w:rsid w:val="005D1BF5"/>
    <w:rsid w:val="005E75E6"/>
    <w:rsid w:val="005E7AE5"/>
    <w:rsid w:val="005F346E"/>
    <w:rsid w:val="0061038F"/>
    <w:rsid w:val="00611EC6"/>
    <w:rsid w:val="0062217D"/>
    <w:rsid w:val="00622211"/>
    <w:rsid w:val="006308BF"/>
    <w:rsid w:val="006321FE"/>
    <w:rsid w:val="00643662"/>
    <w:rsid w:val="006472D6"/>
    <w:rsid w:val="0065108D"/>
    <w:rsid w:val="00660133"/>
    <w:rsid w:val="006603F1"/>
    <w:rsid w:val="00670DE3"/>
    <w:rsid w:val="006768B4"/>
    <w:rsid w:val="0068494D"/>
    <w:rsid w:val="006914CB"/>
    <w:rsid w:val="00697547"/>
    <w:rsid w:val="006A2326"/>
    <w:rsid w:val="006B5DD4"/>
    <w:rsid w:val="006C38AA"/>
    <w:rsid w:val="006E0C2E"/>
    <w:rsid w:val="006E0E31"/>
    <w:rsid w:val="006E3D04"/>
    <w:rsid w:val="006F623F"/>
    <w:rsid w:val="006F755A"/>
    <w:rsid w:val="007042FD"/>
    <w:rsid w:val="007459D8"/>
    <w:rsid w:val="00764AE2"/>
    <w:rsid w:val="00765947"/>
    <w:rsid w:val="00767EC8"/>
    <w:rsid w:val="00771683"/>
    <w:rsid w:val="00771DEC"/>
    <w:rsid w:val="0077616D"/>
    <w:rsid w:val="007768E0"/>
    <w:rsid w:val="0078385D"/>
    <w:rsid w:val="00783E03"/>
    <w:rsid w:val="00791CEC"/>
    <w:rsid w:val="00791F28"/>
    <w:rsid w:val="007931FD"/>
    <w:rsid w:val="007A175A"/>
    <w:rsid w:val="007A3AD3"/>
    <w:rsid w:val="007A629C"/>
    <w:rsid w:val="007B20F5"/>
    <w:rsid w:val="007B22F6"/>
    <w:rsid w:val="007B2537"/>
    <w:rsid w:val="007B7228"/>
    <w:rsid w:val="007C76F4"/>
    <w:rsid w:val="007E0D11"/>
    <w:rsid w:val="007F2CBF"/>
    <w:rsid w:val="008073DB"/>
    <w:rsid w:val="00813F39"/>
    <w:rsid w:val="00822FD3"/>
    <w:rsid w:val="00823289"/>
    <w:rsid w:val="00826670"/>
    <w:rsid w:val="00827A8B"/>
    <w:rsid w:val="00850DF2"/>
    <w:rsid w:val="008529B2"/>
    <w:rsid w:val="008571DF"/>
    <w:rsid w:val="00860785"/>
    <w:rsid w:val="008645A7"/>
    <w:rsid w:val="00872142"/>
    <w:rsid w:val="00872F05"/>
    <w:rsid w:val="00876AAB"/>
    <w:rsid w:val="008809BF"/>
    <w:rsid w:val="00887A07"/>
    <w:rsid w:val="008A09B0"/>
    <w:rsid w:val="008A1263"/>
    <w:rsid w:val="008A1551"/>
    <w:rsid w:val="008A7A76"/>
    <w:rsid w:val="008B24C3"/>
    <w:rsid w:val="008B4A85"/>
    <w:rsid w:val="008C687E"/>
    <w:rsid w:val="008C77DE"/>
    <w:rsid w:val="008D002B"/>
    <w:rsid w:val="008D17FB"/>
    <w:rsid w:val="008F1889"/>
    <w:rsid w:val="008F2CA7"/>
    <w:rsid w:val="00902F51"/>
    <w:rsid w:val="00904950"/>
    <w:rsid w:val="009054C3"/>
    <w:rsid w:val="00906F69"/>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95D77"/>
    <w:rsid w:val="009A6CD4"/>
    <w:rsid w:val="009B4B73"/>
    <w:rsid w:val="009D3983"/>
    <w:rsid w:val="009E43FB"/>
    <w:rsid w:val="009E4878"/>
    <w:rsid w:val="009E5AB2"/>
    <w:rsid w:val="009E7C0D"/>
    <w:rsid w:val="009F61C2"/>
    <w:rsid w:val="00A03B97"/>
    <w:rsid w:val="00A05153"/>
    <w:rsid w:val="00A102A9"/>
    <w:rsid w:val="00A14579"/>
    <w:rsid w:val="00A376F2"/>
    <w:rsid w:val="00A560AE"/>
    <w:rsid w:val="00A579E0"/>
    <w:rsid w:val="00A6642D"/>
    <w:rsid w:val="00A67E0B"/>
    <w:rsid w:val="00A7111D"/>
    <w:rsid w:val="00A72EED"/>
    <w:rsid w:val="00A81A96"/>
    <w:rsid w:val="00AA131A"/>
    <w:rsid w:val="00AA713C"/>
    <w:rsid w:val="00AD1E41"/>
    <w:rsid w:val="00AE0663"/>
    <w:rsid w:val="00AE6C6A"/>
    <w:rsid w:val="00AF07C8"/>
    <w:rsid w:val="00AF4CFE"/>
    <w:rsid w:val="00AF780B"/>
    <w:rsid w:val="00B03CB8"/>
    <w:rsid w:val="00B160EF"/>
    <w:rsid w:val="00B20FF8"/>
    <w:rsid w:val="00B21670"/>
    <w:rsid w:val="00B21AE5"/>
    <w:rsid w:val="00B321FE"/>
    <w:rsid w:val="00B57EEB"/>
    <w:rsid w:val="00B64346"/>
    <w:rsid w:val="00B72379"/>
    <w:rsid w:val="00B77121"/>
    <w:rsid w:val="00B83228"/>
    <w:rsid w:val="00B90932"/>
    <w:rsid w:val="00B951FB"/>
    <w:rsid w:val="00B97622"/>
    <w:rsid w:val="00BA2C7A"/>
    <w:rsid w:val="00BB74FD"/>
    <w:rsid w:val="00BB78C3"/>
    <w:rsid w:val="00BC1ECF"/>
    <w:rsid w:val="00BC2E4D"/>
    <w:rsid w:val="00BC5BE9"/>
    <w:rsid w:val="00BD0375"/>
    <w:rsid w:val="00BD550C"/>
    <w:rsid w:val="00BE7CD2"/>
    <w:rsid w:val="00BF4058"/>
    <w:rsid w:val="00C0300A"/>
    <w:rsid w:val="00C06049"/>
    <w:rsid w:val="00C07D34"/>
    <w:rsid w:val="00C11B27"/>
    <w:rsid w:val="00C21D25"/>
    <w:rsid w:val="00C26B63"/>
    <w:rsid w:val="00C306A5"/>
    <w:rsid w:val="00C32E84"/>
    <w:rsid w:val="00C34319"/>
    <w:rsid w:val="00C47088"/>
    <w:rsid w:val="00C47A4B"/>
    <w:rsid w:val="00C52A7D"/>
    <w:rsid w:val="00C8259C"/>
    <w:rsid w:val="00C862A5"/>
    <w:rsid w:val="00C8730C"/>
    <w:rsid w:val="00C926B3"/>
    <w:rsid w:val="00C95DEC"/>
    <w:rsid w:val="00CA0529"/>
    <w:rsid w:val="00CA1D2E"/>
    <w:rsid w:val="00CA2FE8"/>
    <w:rsid w:val="00CA3F0F"/>
    <w:rsid w:val="00CA3F55"/>
    <w:rsid w:val="00CB1F02"/>
    <w:rsid w:val="00CC0DEE"/>
    <w:rsid w:val="00CC2048"/>
    <w:rsid w:val="00CC2BA9"/>
    <w:rsid w:val="00CC34B3"/>
    <w:rsid w:val="00CD4875"/>
    <w:rsid w:val="00CD4A2C"/>
    <w:rsid w:val="00CD4A41"/>
    <w:rsid w:val="00CD6CD8"/>
    <w:rsid w:val="00CE08AC"/>
    <w:rsid w:val="00CE284B"/>
    <w:rsid w:val="00CE2AF9"/>
    <w:rsid w:val="00CF045D"/>
    <w:rsid w:val="00CF4C30"/>
    <w:rsid w:val="00D01E18"/>
    <w:rsid w:val="00D02201"/>
    <w:rsid w:val="00D0725E"/>
    <w:rsid w:val="00D177AD"/>
    <w:rsid w:val="00D224B4"/>
    <w:rsid w:val="00D27A84"/>
    <w:rsid w:val="00D440E2"/>
    <w:rsid w:val="00D51815"/>
    <w:rsid w:val="00D5494C"/>
    <w:rsid w:val="00D56BEC"/>
    <w:rsid w:val="00D92177"/>
    <w:rsid w:val="00DA13F3"/>
    <w:rsid w:val="00DA5EB8"/>
    <w:rsid w:val="00DB3F94"/>
    <w:rsid w:val="00DB41ED"/>
    <w:rsid w:val="00DD28F1"/>
    <w:rsid w:val="00DE42B1"/>
    <w:rsid w:val="00DF1A8C"/>
    <w:rsid w:val="00E0091E"/>
    <w:rsid w:val="00E00AEB"/>
    <w:rsid w:val="00E02630"/>
    <w:rsid w:val="00E10C49"/>
    <w:rsid w:val="00E31399"/>
    <w:rsid w:val="00E40B40"/>
    <w:rsid w:val="00E46171"/>
    <w:rsid w:val="00E47E94"/>
    <w:rsid w:val="00E50425"/>
    <w:rsid w:val="00E530B7"/>
    <w:rsid w:val="00E6230C"/>
    <w:rsid w:val="00E62545"/>
    <w:rsid w:val="00E7267D"/>
    <w:rsid w:val="00E82518"/>
    <w:rsid w:val="00E85A61"/>
    <w:rsid w:val="00E876A9"/>
    <w:rsid w:val="00E925BD"/>
    <w:rsid w:val="00EB5AC6"/>
    <w:rsid w:val="00EC3AAC"/>
    <w:rsid w:val="00EE6E9E"/>
    <w:rsid w:val="00EF530A"/>
    <w:rsid w:val="00EF6B3C"/>
    <w:rsid w:val="00F0241F"/>
    <w:rsid w:val="00F0290D"/>
    <w:rsid w:val="00F0638E"/>
    <w:rsid w:val="00F10B6D"/>
    <w:rsid w:val="00F164D1"/>
    <w:rsid w:val="00F33C74"/>
    <w:rsid w:val="00F37F8C"/>
    <w:rsid w:val="00F43A8B"/>
    <w:rsid w:val="00F443D1"/>
    <w:rsid w:val="00F46CF8"/>
    <w:rsid w:val="00F479F3"/>
    <w:rsid w:val="00F56023"/>
    <w:rsid w:val="00F644C2"/>
    <w:rsid w:val="00F65804"/>
    <w:rsid w:val="00F72B3D"/>
    <w:rsid w:val="00F77827"/>
    <w:rsid w:val="00F823B8"/>
    <w:rsid w:val="00F877D3"/>
    <w:rsid w:val="00F97B2C"/>
    <w:rsid w:val="00FA24B6"/>
    <w:rsid w:val="00FA3831"/>
    <w:rsid w:val="00FA6577"/>
    <w:rsid w:val="00FB2FBB"/>
    <w:rsid w:val="00FB4137"/>
    <w:rsid w:val="00FC4979"/>
    <w:rsid w:val="00FC62A5"/>
    <w:rsid w:val="00FC7A6E"/>
    <w:rsid w:val="00FD2048"/>
    <w:rsid w:val="00FE6719"/>
    <w:rsid w:val="00FE7AB1"/>
    <w:rsid w:val="00FF0FBC"/>
    <w:rsid w:val="00FF12FC"/>
    <w:rsid w:val="00FF4C8C"/>
    <w:rsid w:val="00FF5526"/>
    <w:rsid w:val="00FF5B24"/>
    <w:rsid w:val="00FF6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9373068-4D9A-4C3C-A35B-20C60A76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6478</Words>
  <Characters>35632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15</cp:revision>
  <cp:lastPrinted>2025-05-30T16:26:00Z</cp:lastPrinted>
  <dcterms:created xsi:type="dcterms:W3CDTF">2025-04-23T01:43:00Z</dcterms:created>
  <dcterms:modified xsi:type="dcterms:W3CDTF">2025-06-16T23:26:00Z</dcterms:modified>
</cp:coreProperties>
</file>