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216CF680" w14:textId="77777777" w:rsidR="00342378" w:rsidRPr="0005449A" w:rsidRDefault="00342378" w:rsidP="000B54EE">
          <w:pPr>
            <w:pStyle w:val="TtuloTDC"/>
            <w:spacing w:before="0" w:line="360" w:lineRule="auto"/>
            <w:rPr>
              <w:rFonts w:ascii="Palatino Linotype" w:hAnsi="Palatino Linotype"/>
              <w:color w:val="auto"/>
              <w:sz w:val="22"/>
              <w:szCs w:val="22"/>
            </w:rPr>
          </w:pPr>
          <w:r w:rsidRPr="0005449A">
            <w:rPr>
              <w:rFonts w:ascii="Palatino Linotype" w:hAnsi="Palatino Linotype"/>
              <w:color w:val="auto"/>
              <w:sz w:val="22"/>
              <w:szCs w:val="22"/>
              <w:lang w:val="es-ES"/>
            </w:rPr>
            <w:t>Contenido</w:t>
          </w:r>
        </w:p>
        <w:p w14:paraId="61F5ED16" w14:textId="77777777" w:rsidR="0005449A" w:rsidRPr="0005449A" w:rsidRDefault="00342378">
          <w:pPr>
            <w:pStyle w:val="TDC1"/>
            <w:tabs>
              <w:tab w:val="right" w:leader="dot" w:pos="9034"/>
            </w:tabs>
            <w:rPr>
              <w:rFonts w:asciiTheme="minorHAnsi" w:eastAsiaTheme="minorEastAsia" w:hAnsiTheme="minorHAnsi" w:cstheme="minorBidi"/>
              <w:noProof/>
              <w:sz w:val="22"/>
              <w:szCs w:val="22"/>
              <w:lang w:eastAsia="es-MX"/>
            </w:rPr>
          </w:pPr>
          <w:r w:rsidRPr="0005449A">
            <w:rPr>
              <w:rFonts w:ascii="Palatino Linotype" w:hAnsi="Palatino Linotype"/>
              <w:bCs/>
              <w:sz w:val="22"/>
              <w:szCs w:val="22"/>
              <w:lang w:val="es-ES"/>
            </w:rPr>
            <w:fldChar w:fldCharType="begin"/>
          </w:r>
          <w:r w:rsidRPr="0005449A">
            <w:rPr>
              <w:rFonts w:ascii="Palatino Linotype" w:hAnsi="Palatino Linotype"/>
              <w:bCs/>
              <w:sz w:val="22"/>
              <w:szCs w:val="22"/>
              <w:lang w:val="es-ES"/>
            </w:rPr>
            <w:instrText xml:space="preserve"> TOC \o "1-3" \h \z \u </w:instrText>
          </w:r>
          <w:r w:rsidRPr="0005449A">
            <w:rPr>
              <w:rFonts w:ascii="Palatino Linotype" w:hAnsi="Palatino Linotype"/>
              <w:bCs/>
              <w:sz w:val="22"/>
              <w:szCs w:val="22"/>
              <w:lang w:val="es-ES"/>
            </w:rPr>
            <w:fldChar w:fldCharType="separate"/>
          </w:r>
          <w:hyperlink w:anchor="_Toc210316850" w:history="1">
            <w:r w:rsidR="0005449A" w:rsidRPr="0005449A">
              <w:rPr>
                <w:rStyle w:val="Hipervnculo"/>
                <w:rFonts w:ascii="Palatino Linotype" w:hAnsi="Palatino Linotype"/>
                <w:noProof/>
                <w:sz w:val="22"/>
                <w:szCs w:val="22"/>
              </w:rPr>
              <w:t>A N T E C E D E N T E S</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_Toc210316850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2</w:t>
            </w:r>
            <w:r w:rsidR="0005449A" w:rsidRPr="0005449A">
              <w:rPr>
                <w:noProof/>
                <w:webHidden/>
                <w:sz w:val="22"/>
                <w:szCs w:val="22"/>
              </w:rPr>
              <w:fldChar w:fldCharType="end"/>
            </w:r>
          </w:hyperlink>
        </w:p>
        <w:p w14:paraId="32954C9F"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51" w:history="1">
            <w:r w:rsidR="0005449A" w:rsidRPr="0005449A">
              <w:rPr>
                <w:rStyle w:val="Hipervnculo"/>
                <w:rFonts w:ascii="Palatino Linotype" w:hAnsi="Palatino Linotype"/>
                <w:noProof/>
                <w:sz w:val="22"/>
                <w:szCs w:val="22"/>
              </w:rPr>
              <w:t>I. Presentación de la solicitud de información</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_Toc210316851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2</w:t>
            </w:r>
            <w:r w:rsidR="0005449A" w:rsidRPr="0005449A">
              <w:rPr>
                <w:noProof/>
                <w:webHidden/>
                <w:sz w:val="22"/>
                <w:szCs w:val="22"/>
              </w:rPr>
              <w:fldChar w:fldCharType="end"/>
            </w:r>
          </w:hyperlink>
        </w:p>
        <w:p w14:paraId="24A92B42"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52" w:history="1">
            <w:r w:rsidR="0005449A" w:rsidRPr="0005449A">
              <w:rPr>
                <w:rStyle w:val="Hipervnculo"/>
                <w:rFonts w:ascii="Palatino Linotype" w:hAnsi="Palatino Linotype" w:cs="Tahoma"/>
                <w:noProof/>
                <w:sz w:val="22"/>
                <w:szCs w:val="22"/>
              </w:rPr>
              <w:t>II. Respuesta del Sujeto Obligado</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_Toc210316852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2</w:t>
            </w:r>
            <w:r w:rsidR="0005449A" w:rsidRPr="0005449A">
              <w:rPr>
                <w:noProof/>
                <w:webHidden/>
                <w:sz w:val="22"/>
                <w:szCs w:val="22"/>
              </w:rPr>
              <w:fldChar w:fldCharType="end"/>
            </w:r>
          </w:hyperlink>
        </w:p>
        <w:p w14:paraId="08ED3EFF"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53" w:history="1">
            <w:r w:rsidR="0005449A" w:rsidRPr="0005449A">
              <w:rPr>
                <w:rStyle w:val="Hipervnculo"/>
                <w:rFonts w:ascii="Palatino Linotype" w:hAnsi="Palatino Linotype" w:cs="Tahoma"/>
                <w:noProof/>
                <w:sz w:val="22"/>
                <w:szCs w:val="22"/>
              </w:rPr>
              <w:t>III. Interposición del Recurso de Revisión</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_Toc210316853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3</w:t>
            </w:r>
            <w:r w:rsidR="0005449A" w:rsidRPr="0005449A">
              <w:rPr>
                <w:noProof/>
                <w:webHidden/>
                <w:sz w:val="22"/>
                <w:szCs w:val="22"/>
              </w:rPr>
              <w:fldChar w:fldCharType="end"/>
            </w:r>
          </w:hyperlink>
        </w:p>
        <w:p w14:paraId="10968313"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54" w:history="1">
            <w:r w:rsidR="0005449A" w:rsidRPr="0005449A">
              <w:rPr>
                <w:rStyle w:val="Hipervnculo"/>
                <w:rFonts w:ascii="Palatino Linotype" w:hAnsi="Palatino Linotype"/>
                <w:noProof/>
                <w:sz w:val="22"/>
                <w:szCs w:val="22"/>
              </w:rPr>
              <w:t>IV. Trámite del Recurso de Revisión ante el Instituto</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_Toc210316854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4</w:t>
            </w:r>
            <w:r w:rsidR="0005449A" w:rsidRPr="0005449A">
              <w:rPr>
                <w:noProof/>
                <w:webHidden/>
                <w:sz w:val="22"/>
                <w:szCs w:val="22"/>
              </w:rPr>
              <w:fldChar w:fldCharType="end"/>
            </w:r>
          </w:hyperlink>
        </w:p>
        <w:p w14:paraId="792F197C" w14:textId="77777777" w:rsidR="0005449A" w:rsidRPr="0005449A"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0316855" w:history="1">
            <w:r w:rsidR="0005449A" w:rsidRPr="0005449A">
              <w:rPr>
                <w:rStyle w:val="Hipervnculo"/>
                <w:rFonts w:ascii="Palatino Linotype" w:hAnsi="Palatino Linotype"/>
                <w:noProof/>
                <w:sz w:val="22"/>
                <w:szCs w:val="22"/>
              </w:rPr>
              <w:t>a) Turno del Recurso de Revisión.</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_Toc210316855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4</w:t>
            </w:r>
            <w:r w:rsidR="0005449A" w:rsidRPr="0005449A">
              <w:rPr>
                <w:noProof/>
                <w:webHidden/>
                <w:sz w:val="22"/>
                <w:szCs w:val="22"/>
              </w:rPr>
              <w:fldChar w:fldCharType="end"/>
            </w:r>
          </w:hyperlink>
        </w:p>
        <w:p w14:paraId="1EF1A2FC" w14:textId="77777777" w:rsidR="0005449A" w:rsidRPr="0005449A"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0316856" w:history="1">
            <w:r w:rsidR="0005449A" w:rsidRPr="0005449A">
              <w:rPr>
                <w:rStyle w:val="Hipervnculo"/>
                <w:rFonts w:ascii="Palatino Linotype" w:hAnsi="Palatino Linotype"/>
                <w:noProof/>
                <w:sz w:val="22"/>
                <w:szCs w:val="22"/>
              </w:rPr>
              <w:t>b) Admisión del Recurso de Revisión.</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_Toc210316856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4</w:t>
            </w:r>
            <w:r w:rsidR="0005449A" w:rsidRPr="0005449A">
              <w:rPr>
                <w:noProof/>
                <w:webHidden/>
                <w:sz w:val="22"/>
                <w:szCs w:val="22"/>
              </w:rPr>
              <w:fldChar w:fldCharType="end"/>
            </w:r>
          </w:hyperlink>
        </w:p>
        <w:p w14:paraId="3706579E" w14:textId="77777777" w:rsidR="0005449A" w:rsidRPr="0005449A"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0316857" w:history="1">
            <w:r w:rsidR="0005449A" w:rsidRPr="0005449A">
              <w:rPr>
                <w:rStyle w:val="Hipervnculo"/>
                <w:rFonts w:ascii="Palatino Linotype" w:hAnsi="Palatino Linotype"/>
                <w:noProof/>
                <w:sz w:val="22"/>
                <w:szCs w:val="22"/>
              </w:rPr>
              <w:t>e). Cierre de instrucción</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_Toc210316857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5</w:t>
            </w:r>
            <w:r w:rsidR="0005449A" w:rsidRPr="0005449A">
              <w:rPr>
                <w:noProof/>
                <w:webHidden/>
                <w:sz w:val="22"/>
                <w:szCs w:val="22"/>
              </w:rPr>
              <w:fldChar w:fldCharType="end"/>
            </w:r>
          </w:hyperlink>
        </w:p>
        <w:p w14:paraId="095C1979" w14:textId="77777777" w:rsidR="0005449A" w:rsidRPr="0005449A"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0316858" w:history="1">
            <w:r w:rsidR="0005449A" w:rsidRPr="0005449A">
              <w:rPr>
                <w:rStyle w:val="Hipervnculo"/>
                <w:rFonts w:ascii="Palatino Linotype" w:hAnsi="Palatino Linotype"/>
                <w:noProof/>
                <w:sz w:val="22"/>
                <w:szCs w:val="22"/>
              </w:rPr>
              <w:t>C O N S I D E R A N D O S</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_Toc210316858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5</w:t>
            </w:r>
            <w:r w:rsidR="0005449A" w:rsidRPr="0005449A">
              <w:rPr>
                <w:noProof/>
                <w:webHidden/>
                <w:sz w:val="22"/>
                <w:szCs w:val="22"/>
              </w:rPr>
              <w:fldChar w:fldCharType="end"/>
            </w:r>
          </w:hyperlink>
        </w:p>
        <w:p w14:paraId="2D49FEF7"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59" w:history="1">
            <w:r w:rsidR="0005449A" w:rsidRPr="0005449A">
              <w:rPr>
                <w:rStyle w:val="Hipervnculo"/>
                <w:rFonts w:ascii="Palatino Linotype" w:eastAsia="Calibri" w:hAnsi="Palatino Linotype"/>
                <w:noProof/>
                <w:sz w:val="22"/>
                <w:szCs w:val="22"/>
                <w:lang w:eastAsia="es-MX"/>
              </w:rPr>
              <w:t xml:space="preserve">PRIMERO. </w:t>
            </w:r>
            <w:r w:rsidR="0005449A" w:rsidRPr="0005449A">
              <w:rPr>
                <w:rStyle w:val="Hipervnculo"/>
                <w:rFonts w:ascii="Palatino Linotype" w:hAnsi="Palatino Linotype"/>
                <w:noProof/>
                <w:sz w:val="22"/>
                <w:szCs w:val="22"/>
              </w:rPr>
              <w:t>Competencia</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_Toc210316859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5</w:t>
            </w:r>
            <w:r w:rsidR="0005449A" w:rsidRPr="0005449A">
              <w:rPr>
                <w:noProof/>
                <w:webHidden/>
                <w:sz w:val="22"/>
                <w:szCs w:val="22"/>
              </w:rPr>
              <w:fldChar w:fldCharType="end"/>
            </w:r>
          </w:hyperlink>
        </w:p>
        <w:p w14:paraId="0AC71290"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60" w:history="1">
            <w:r w:rsidR="0005449A" w:rsidRPr="0005449A">
              <w:rPr>
                <w:rStyle w:val="Hipervnculo"/>
                <w:rFonts w:ascii="Palatino Linotype" w:eastAsia="Calibri" w:hAnsi="Palatino Linotype"/>
                <w:noProof/>
                <w:sz w:val="22"/>
                <w:szCs w:val="22"/>
                <w:lang w:eastAsia="es-MX"/>
              </w:rPr>
              <w:t>SEGUNDO. Causales de improcedencia y sobreseimiento</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_Toc210316860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6</w:t>
            </w:r>
            <w:r w:rsidR="0005449A" w:rsidRPr="0005449A">
              <w:rPr>
                <w:noProof/>
                <w:webHidden/>
                <w:sz w:val="22"/>
                <w:szCs w:val="22"/>
              </w:rPr>
              <w:fldChar w:fldCharType="end"/>
            </w:r>
          </w:hyperlink>
        </w:p>
        <w:p w14:paraId="121FE712" w14:textId="77777777" w:rsidR="0005449A" w:rsidRPr="0005449A"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0316861" w:history="1">
            <w:r w:rsidR="0005449A" w:rsidRPr="0005449A">
              <w:rPr>
                <w:rStyle w:val="Hipervnculo"/>
                <w:rFonts w:ascii="Palatino Linotype" w:eastAsia="Calibri" w:hAnsi="Palatino Linotype" w:cs="Arial"/>
                <w:noProof/>
                <w:sz w:val="22"/>
                <w:szCs w:val="22"/>
                <w:lang w:eastAsia="es-ES_tradnl"/>
              </w:rPr>
              <w:t>Causales de sobreseimiento</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_Toc210316861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7</w:t>
            </w:r>
            <w:r w:rsidR="0005449A" w:rsidRPr="0005449A">
              <w:rPr>
                <w:noProof/>
                <w:webHidden/>
                <w:sz w:val="22"/>
                <w:szCs w:val="22"/>
              </w:rPr>
              <w:fldChar w:fldCharType="end"/>
            </w:r>
          </w:hyperlink>
        </w:p>
        <w:p w14:paraId="6CF05F53"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62" w:history="1">
            <w:r w:rsidR="0005449A" w:rsidRPr="0005449A">
              <w:rPr>
                <w:rStyle w:val="Hipervnculo"/>
                <w:rFonts w:ascii="Palatino Linotype" w:eastAsia="Calibri" w:hAnsi="Palatino Linotype"/>
                <w:noProof/>
                <w:sz w:val="22"/>
                <w:szCs w:val="22"/>
                <w:lang w:eastAsia="es-ES_tradnl"/>
              </w:rPr>
              <w:t>TERCERO. Determinación de la Controversia</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_Toc210316862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7</w:t>
            </w:r>
            <w:r w:rsidR="0005449A" w:rsidRPr="0005449A">
              <w:rPr>
                <w:noProof/>
                <w:webHidden/>
                <w:sz w:val="22"/>
                <w:szCs w:val="22"/>
              </w:rPr>
              <w:fldChar w:fldCharType="end"/>
            </w:r>
          </w:hyperlink>
        </w:p>
        <w:p w14:paraId="5C85DF6C"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63" w:history="1">
            <w:r w:rsidR="0005449A" w:rsidRPr="0005449A">
              <w:rPr>
                <w:rStyle w:val="Hipervnculo"/>
                <w:rFonts w:ascii="Palatino Linotype" w:eastAsia="Calibri" w:hAnsi="Palatino Linotype" w:cs="Arial"/>
                <w:noProof/>
                <w:sz w:val="22"/>
                <w:szCs w:val="22"/>
                <w:lang w:eastAsia="es-ES_tradnl"/>
              </w:rPr>
              <w:t>CUARTO. Marco normativo aplicable en materia de transparencia y acceso a la información pública</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_Toc210316863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8</w:t>
            </w:r>
            <w:r w:rsidR="0005449A" w:rsidRPr="0005449A">
              <w:rPr>
                <w:noProof/>
                <w:webHidden/>
                <w:sz w:val="22"/>
                <w:szCs w:val="22"/>
              </w:rPr>
              <w:fldChar w:fldCharType="end"/>
            </w:r>
          </w:hyperlink>
        </w:p>
        <w:p w14:paraId="16D91E35"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64" w:history="1">
            <w:r w:rsidR="0005449A" w:rsidRPr="0005449A">
              <w:rPr>
                <w:rStyle w:val="Hipervnculo"/>
                <w:rFonts w:ascii="Palatino Linotype" w:eastAsia="Calibri" w:hAnsi="Palatino Linotype"/>
                <w:noProof/>
                <w:sz w:val="22"/>
                <w:szCs w:val="22"/>
                <w:lang w:eastAsia="es-ES_tradnl"/>
              </w:rPr>
              <w:t>QUINTO. Estudio de Fondo</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_Toc210316864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9</w:t>
            </w:r>
            <w:r w:rsidR="0005449A" w:rsidRPr="0005449A">
              <w:rPr>
                <w:noProof/>
                <w:webHidden/>
                <w:sz w:val="22"/>
                <w:szCs w:val="22"/>
              </w:rPr>
              <w:fldChar w:fldCharType="end"/>
            </w:r>
          </w:hyperlink>
        </w:p>
        <w:p w14:paraId="2268A748" w14:textId="77777777" w:rsidR="0005449A" w:rsidRPr="0005449A"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865" w:history="1">
            <w:r w:rsidR="0005449A" w:rsidRPr="0005449A">
              <w:rPr>
                <w:rStyle w:val="Hipervnculo"/>
                <w:rFonts w:ascii="Palatino Linotype" w:hAnsi="Palatino Linotype"/>
                <w:noProof/>
                <w:sz w:val="22"/>
                <w:szCs w:val="22"/>
              </w:rPr>
              <w:t>SEXTO. Decisión</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_Toc210316865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30</w:t>
            </w:r>
            <w:r w:rsidR="0005449A" w:rsidRPr="0005449A">
              <w:rPr>
                <w:noProof/>
                <w:webHidden/>
                <w:sz w:val="22"/>
                <w:szCs w:val="22"/>
              </w:rPr>
              <w:fldChar w:fldCharType="end"/>
            </w:r>
          </w:hyperlink>
        </w:p>
        <w:p w14:paraId="23E62856" w14:textId="77777777" w:rsidR="0005449A" w:rsidRPr="0005449A"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0316866" w:history="1">
            <w:r w:rsidR="0005449A" w:rsidRPr="0005449A">
              <w:rPr>
                <w:rStyle w:val="Hipervnculo"/>
                <w:rFonts w:ascii="Palatino Linotype" w:eastAsia="Calibri" w:hAnsi="Palatino Linotype"/>
                <w:noProof/>
                <w:sz w:val="22"/>
                <w:szCs w:val="22"/>
                <w:lang w:eastAsia="en-US"/>
              </w:rPr>
              <w:t>R E S U E L V E</w:t>
            </w:r>
            <w:r w:rsidR="0005449A" w:rsidRPr="0005449A">
              <w:rPr>
                <w:noProof/>
                <w:webHidden/>
                <w:sz w:val="22"/>
                <w:szCs w:val="22"/>
              </w:rPr>
              <w:tab/>
            </w:r>
            <w:r w:rsidR="0005449A" w:rsidRPr="0005449A">
              <w:rPr>
                <w:noProof/>
                <w:webHidden/>
                <w:sz w:val="22"/>
                <w:szCs w:val="22"/>
              </w:rPr>
              <w:fldChar w:fldCharType="begin"/>
            </w:r>
            <w:r w:rsidR="0005449A" w:rsidRPr="0005449A">
              <w:rPr>
                <w:noProof/>
                <w:webHidden/>
                <w:sz w:val="22"/>
                <w:szCs w:val="22"/>
              </w:rPr>
              <w:instrText xml:space="preserve"> PAGEREF _Toc210316866 \h </w:instrText>
            </w:r>
            <w:r w:rsidR="0005449A" w:rsidRPr="0005449A">
              <w:rPr>
                <w:noProof/>
                <w:webHidden/>
                <w:sz w:val="22"/>
                <w:szCs w:val="22"/>
              </w:rPr>
            </w:r>
            <w:r w:rsidR="0005449A" w:rsidRPr="0005449A">
              <w:rPr>
                <w:noProof/>
                <w:webHidden/>
                <w:sz w:val="22"/>
                <w:szCs w:val="22"/>
              </w:rPr>
              <w:fldChar w:fldCharType="separate"/>
            </w:r>
            <w:r w:rsidR="005B6417">
              <w:rPr>
                <w:noProof/>
                <w:webHidden/>
                <w:sz w:val="22"/>
                <w:szCs w:val="22"/>
              </w:rPr>
              <w:t>30</w:t>
            </w:r>
            <w:r w:rsidR="0005449A" w:rsidRPr="0005449A">
              <w:rPr>
                <w:noProof/>
                <w:webHidden/>
                <w:sz w:val="22"/>
                <w:szCs w:val="22"/>
              </w:rPr>
              <w:fldChar w:fldCharType="end"/>
            </w:r>
          </w:hyperlink>
        </w:p>
        <w:p w14:paraId="12588B93" w14:textId="77777777" w:rsidR="00342378" w:rsidRPr="00FB571A" w:rsidRDefault="00342378" w:rsidP="000B54EE">
          <w:pPr>
            <w:spacing w:line="360" w:lineRule="auto"/>
          </w:pPr>
          <w:r w:rsidRPr="0005449A">
            <w:rPr>
              <w:rFonts w:ascii="Palatino Linotype" w:hAnsi="Palatino Linotype"/>
              <w:bCs/>
              <w:sz w:val="22"/>
              <w:szCs w:val="22"/>
              <w:lang w:val="es-ES"/>
            </w:rPr>
            <w:fldChar w:fldCharType="end"/>
          </w:r>
        </w:p>
      </w:sdtContent>
    </w:sdt>
    <w:p w14:paraId="69EF3202" w14:textId="77777777" w:rsidR="00ED76AF" w:rsidRPr="00FB571A" w:rsidRDefault="00ED76AF" w:rsidP="000B54EE">
      <w:pPr>
        <w:tabs>
          <w:tab w:val="left" w:pos="3969"/>
        </w:tabs>
        <w:spacing w:line="360" w:lineRule="auto"/>
        <w:contextualSpacing/>
        <w:jc w:val="both"/>
        <w:rPr>
          <w:rFonts w:ascii="Palatino Linotype" w:hAnsi="Palatino Linotype" w:cs="Tahoma"/>
          <w:bCs/>
          <w:sz w:val="22"/>
          <w:szCs w:val="22"/>
        </w:rPr>
      </w:pPr>
    </w:p>
    <w:p w14:paraId="185E6BFE" w14:textId="77777777" w:rsidR="00501E1B" w:rsidRPr="00FB571A" w:rsidRDefault="00501E1B" w:rsidP="000B54EE">
      <w:pPr>
        <w:tabs>
          <w:tab w:val="left" w:pos="3969"/>
        </w:tabs>
        <w:spacing w:line="360" w:lineRule="auto"/>
        <w:contextualSpacing/>
        <w:jc w:val="both"/>
        <w:rPr>
          <w:rFonts w:ascii="Palatino Linotype" w:hAnsi="Palatino Linotype" w:cs="Tahoma"/>
          <w:bCs/>
          <w:sz w:val="22"/>
          <w:szCs w:val="22"/>
        </w:rPr>
      </w:pPr>
    </w:p>
    <w:p w14:paraId="7961AD03" w14:textId="77777777" w:rsidR="00342378" w:rsidRPr="00FB571A" w:rsidRDefault="00342378" w:rsidP="000B54EE">
      <w:pPr>
        <w:tabs>
          <w:tab w:val="left" w:pos="3969"/>
        </w:tabs>
        <w:spacing w:line="360" w:lineRule="auto"/>
        <w:contextualSpacing/>
        <w:jc w:val="both"/>
        <w:rPr>
          <w:rFonts w:ascii="Palatino Linotype" w:hAnsi="Palatino Linotype" w:cs="Tahoma"/>
          <w:bCs/>
          <w:sz w:val="22"/>
          <w:szCs w:val="22"/>
        </w:rPr>
      </w:pPr>
    </w:p>
    <w:p w14:paraId="33373FB5" w14:textId="77777777" w:rsidR="00342378" w:rsidRPr="00FB571A" w:rsidRDefault="00342378" w:rsidP="000B54EE">
      <w:pPr>
        <w:tabs>
          <w:tab w:val="left" w:pos="3969"/>
        </w:tabs>
        <w:spacing w:line="360" w:lineRule="auto"/>
        <w:contextualSpacing/>
        <w:jc w:val="both"/>
        <w:rPr>
          <w:rFonts w:ascii="Palatino Linotype" w:hAnsi="Palatino Linotype" w:cs="Tahoma"/>
          <w:bCs/>
          <w:sz w:val="22"/>
          <w:szCs w:val="22"/>
        </w:rPr>
      </w:pPr>
    </w:p>
    <w:p w14:paraId="6993C0B8" w14:textId="77777777" w:rsidR="00342378" w:rsidRDefault="00342378" w:rsidP="000B54EE">
      <w:pPr>
        <w:tabs>
          <w:tab w:val="left" w:pos="3969"/>
        </w:tabs>
        <w:spacing w:line="360" w:lineRule="auto"/>
        <w:contextualSpacing/>
        <w:jc w:val="both"/>
        <w:rPr>
          <w:rFonts w:ascii="Palatino Linotype" w:hAnsi="Palatino Linotype" w:cs="Tahoma"/>
          <w:bCs/>
          <w:sz w:val="22"/>
          <w:szCs w:val="22"/>
        </w:rPr>
      </w:pPr>
    </w:p>
    <w:p w14:paraId="645534FF" w14:textId="77777777" w:rsidR="00DB28B1" w:rsidRDefault="00DB28B1" w:rsidP="000B54EE">
      <w:pPr>
        <w:tabs>
          <w:tab w:val="left" w:pos="3969"/>
        </w:tabs>
        <w:spacing w:line="360" w:lineRule="auto"/>
        <w:contextualSpacing/>
        <w:jc w:val="both"/>
        <w:rPr>
          <w:rFonts w:ascii="Palatino Linotype" w:hAnsi="Palatino Linotype" w:cs="Tahoma"/>
          <w:bCs/>
          <w:sz w:val="22"/>
          <w:szCs w:val="22"/>
        </w:rPr>
      </w:pPr>
    </w:p>
    <w:p w14:paraId="33DF18E4" w14:textId="77777777" w:rsidR="00DB28B1" w:rsidRDefault="00DB28B1" w:rsidP="000B54EE">
      <w:pPr>
        <w:tabs>
          <w:tab w:val="left" w:pos="3969"/>
        </w:tabs>
        <w:spacing w:line="360" w:lineRule="auto"/>
        <w:contextualSpacing/>
        <w:jc w:val="both"/>
        <w:rPr>
          <w:rFonts w:ascii="Palatino Linotype" w:hAnsi="Palatino Linotype" w:cs="Tahoma"/>
          <w:bCs/>
          <w:sz w:val="22"/>
          <w:szCs w:val="22"/>
        </w:rPr>
      </w:pPr>
    </w:p>
    <w:p w14:paraId="4D139986" w14:textId="05D12BED"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253861">
        <w:rPr>
          <w:rFonts w:ascii="Palatino Linotype" w:hAnsi="Palatino Linotype" w:cs="Tahoma"/>
          <w:bCs/>
          <w:sz w:val="22"/>
          <w:szCs w:val="22"/>
        </w:rPr>
        <w:t>primero de octubre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03F59488" w14:textId="77777777" w:rsidR="00E35DF9" w:rsidRPr="00FB571A" w:rsidRDefault="00E35DF9" w:rsidP="000B54EE">
      <w:pPr>
        <w:spacing w:line="360" w:lineRule="auto"/>
        <w:contextualSpacing/>
        <w:jc w:val="both"/>
        <w:rPr>
          <w:rFonts w:ascii="Palatino Linotype" w:hAnsi="Palatino Linotype" w:cs="Tahoma"/>
          <w:bCs/>
          <w:sz w:val="22"/>
          <w:szCs w:val="22"/>
        </w:rPr>
      </w:pPr>
    </w:p>
    <w:p w14:paraId="7F4FD9A1" w14:textId="4246A793"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253861" w:rsidRPr="0066595D">
        <w:rPr>
          <w:rFonts w:ascii="Palatino Linotype" w:hAnsi="Palatino Linotype" w:cs="Tahoma"/>
          <w:b/>
          <w:color w:val="0D0D0D" w:themeColor="text1" w:themeTint="F2"/>
          <w:sz w:val="22"/>
          <w:szCs w:val="22"/>
        </w:rPr>
        <w:t>10171</w:t>
      </w:r>
      <w:r w:rsidR="0089175F" w:rsidRPr="0066595D">
        <w:rPr>
          <w:rFonts w:ascii="Palatino Linotype" w:hAnsi="Palatino Linotype" w:cs="Tahoma"/>
          <w:b/>
          <w:color w:val="0D0D0D" w:themeColor="text1" w:themeTint="F2"/>
          <w:sz w:val="22"/>
          <w:szCs w:val="22"/>
        </w:rPr>
        <w:t>/INFOEM/IP/RR/202</w:t>
      </w:r>
      <w:r w:rsidR="00CD10BF" w:rsidRPr="0066595D">
        <w:rPr>
          <w:rFonts w:ascii="Palatino Linotype" w:hAnsi="Palatino Linotype" w:cs="Tahoma"/>
          <w:b/>
          <w:color w:val="0D0D0D" w:themeColor="text1" w:themeTint="F2"/>
          <w:sz w:val="22"/>
          <w:szCs w:val="22"/>
        </w:rPr>
        <w:t>5</w:t>
      </w:r>
      <w:r w:rsidR="0089175F" w:rsidRPr="000B54EE">
        <w:rPr>
          <w:rFonts w:ascii="Palatino Linotype" w:hAnsi="Palatino Linotype" w:cs="Tahoma"/>
          <w:color w:val="0D0D0D" w:themeColor="text1" w:themeTint="F2"/>
          <w:sz w:val="22"/>
          <w:szCs w:val="22"/>
        </w:rPr>
        <w:t>,</w:t>
      </w:r>
      <w:r w:rsidRPr="000B54EE">
        <w:rPr>
          <w:rFonts w:ascii="Palatino Linotype" w:hAnsi="Palatino Linotype" w:cs="Tahoma"/>
          <w:color w:val="0D0D0D" w:themeColor="text1" w:themeTint="F2"/>
          <w:sz w:val="22"/>
          <w:szCs w:val="22"/>
        </w:rPr>
        <w:t xml:space="preserve"> interpuesto</w:t>
      </w:r>
      <w:r w:rsidR="00C74F5F" w:rsidRPr="000B54EE">
        <w:rPr>
          <w:rFonts w:ascii="Palatino Linotype" w:hAnsi="Palatino Linotype" w:cs="Tahoma"/>
          <w:color w:val="0D0D0D" w:themeColor="text1" w:themeTint="F2"/>
          <w:sz w:val="22"/>
          <w:szCs w:val="22"/>
        </w:rPr>
        <w:t xml:space="preserve"> </w:t>
      </w:r>
      <w:r w:rsidR="007E4927" w:rsidRPr="000B54EE">
        <w:rPr>
          <w:rFonts w:ascii="Palatino Linotype" w:hAnsi="Palatino Linotype" w:cs="Tahoma"/>
          <w:color w:val="0D0D0D" w:themeColor="text1" w:themeTint="F2"/>
          <w:sz w:val="22"/>
          <w:szCs w:val="22"/>
        </w:rPr>
        <w:t>por</w:t>
      </w:r>
      <w:r w:rsidR="00383BDB" w:rsidRPr="000B54EE">
        <w:rPr>
          <w:rFonts w:ascii="Palatino Linotype" w:hAnsi="Palatino Linotype" w:cs="Tahoma"/>
          <w:color w:val="0D0D0D" w:themeColor="text1" w:themeTint="F2"/>
          <w:sz w:val="22"/>
          <w:szCs w:val="22"/>
        </w:rPr>
        <w:t xml:space="preserve"> </w:t>
      </w:r>
      <w:r w:rsidR="000B54EE">
        <w:rPr>
          <w:rFonts w:ascii="Palatino Linotype" w:hAnsi="Palatino Linotype" w:cs="Tahoma"/>
          <w:color w:val="0D0D0D" w:themeColor="text1" w:themeTint="F2"/>
          <w:sz w:val="22"/>
          <w:szCs w:val="22"/>
        </w:rPr>
        <w:t>la persona</w:t>
      </w:r>
      <w:r w:rsidR="00F770EE" w:rsidRPr="000B54EE">
        <w:rPr>
          <w:rFonts w:ascii="Palatino Linotype" w:hAnsi="Palatino Linotype" w:cs="Tahoma"/>
          <w:color w:val="0D0D0D" w:themeColor="text1" w:themeTint="F2"/>
          <w:sz w:val="22"/>
          <w:szCs w:val="22"/>
        </w:rPr>
        <w:t xml:space="preserve"> </w:t>
      </w:r>
      <w:r w:rsidRPr="000B54EE">
        <w:rPr>
          <w:rFonts w:ascii="Palatino Linotype" w:hAnsi="Palatino Linotype" w:cs="Tahoma"/>
          <w:color w:val="0D0D0D" w:themeColor="text1" w:themeTint="F2"/>
          <w:sz w:val="22"/>
          <w:szCs w:val="22"/>
        </w:rPr>
        <w:t>Recurrente o Particular, en contra de la respuesta del Sujeto Obligado</w:t>
      </w:r>
      <w:r w:rsidRPr="000B54EE">
        <w:rPr>
          <w:rFonts w:ascii="Palatino Linotype" w:hAnsi="Palatino Linotype"/>
          <w:sz w:val="22"/>
          <w:szCs w:val="22"/>
        </w:rPr>
        <w:t xml:space="preserve"> </w:t>
      </w:r>
      <w:r w:rsidR="004B553D" w:rsidRPr="0066595D">
        <w:rPr>
          <w:rFonts w:ascii="Palatino Linotype" w:eastAsia="Calibri" w:hAnsi="Palatino Linotype" w:cs="Tahoma"/>
          <w:b/>
          <w:sz w:val="22"/>
          <w:szCs w:val="22"/>
          <w:lang w:eastAsia="en-US"/>
        </w:rPr>
        <w:t>Ayuntamiento de Toluca</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355CE67B" w14:textId="77777777" w:rsidR="00BB1F81" w:rsidRPr="00FB571A" w:rsidRDefault="00BB1F81" w:rsidP="000B54EE">
      <w:pPr>
        <w:spacing w:line="360" w:lineRule="auto"/>
        <w:contextualSpacing/>
        <w:jc w:val="both"/>
        <w:rPr>
          <w:rFonts w:ascii="Palatino Linotype" w:hAnsi="Palatino Linotype" w:cs="Tahoma"/>
          <w:b/>
          <w:color w:val="0D0D0D" w:themeColor="text1" w:themeTint="F2"/>
          <w:sz w:val="18"/>
          <w:szCs w:val="22"/>
        </w:rPr>
      </w:pPr>
    </w:p>
    <w:p w14:paraId="4802D33A" w14:textId="77777777" w:rsidR="00E35DF9" w:rsidRPr="00FB571A" w:rsidRDefault="00E35DF9" w:rsidP="000B54EE">
      <w:pPr>
        <w:pStyle w:val="Ttulo1"/>
        <w:spacing w:before="0" w:line="360" w:lineRule="auto"/>
        <w:jc w:val="center"/>
        <w:rPr>
          <w:rFonts w:ascii="Palatino Linotype" w:hAnsi="Palatino Linotype"/>
          <w:b/>
          <w:sz w:val="22"/>
          <w:szCs w:val="22"/>
        </w:rPr>
      </w:pPr>
      <w:bookmarkStart w:id="1" w:name="_Toc210316850"/>
      <w:r w:rsidRPr="00FB571A">
        <w:rPr>
          <w:rFonts w:ascii="Palatino Linotype" w:hAnsi="Palatino Linotype"/>
          <w:b/>
          <w:color w:val="auto"/>
          <w:sz w:val="22"/>
          <w:szCs w:val="22"/>
        </w:rPr>
        <w:t>A N T E C E D E N T E S</w:t>
      </w:r>
      <w:bookmarkEnd w:id="1"/>
    </w:p>
    <w:p w14:paraId="2F6E2A0B" w14:textId="77777777" w:rsidR="001E7B8B" w:rsidRPr="00FB571A" w:rsidRDefault="001E7B8B" w:rsidP="000B54EE">
      <w:pPr>
        <w:pStyle w:val="Prrafodelista"/>
        <w:tabs>
          <w:tab w:val="left" w:pos="567"/>
        </w:tabs>
        <w:spacing w:line="360" w:lineRule="auto"/>
        <w:ind w:left="0"/>
        <w:jc w:val="both"/>
        <w:rPr>
          <w:rFonts w:ascii="Palatino Linotype" w:hAnsi="Palatino Linotype" w:cs="Tahoma"/>
          <w:b/>
          <w:szCs w:val="22"/>
        </w:rPr>
      </w:pPr>
    </w:p>
    <w:p w14:paraId="304FB6E6" w14:textId="77777777" w:rsidR="00E35DF9" w:rsidRPr="00DB28B1" w:rsidRDefault="00E35DF9" w:rsidP="000B54EE">
      <w:pPr>
        <w:pStyle w:val="Ttulo2"/>
        <w:spacing w:before="0" w:line="360" w:lineRule="auto"/>
        <w:rPr>
          <w:rFonts w:ascii="Palatino Linotype" w:hAnsi="Palatino Linotype"/>
          <w:b/>
          <w:color w:val="auto"/>
          <w:sz w:val="22"/>
          <w:szCs w:val="22"/>
        </w:rPr>
      </w:pPr>
      <w:bookmarkStart w:id="2" w:name="_Toc210316851"/>
      <w:r w:rsidRPr="00DB28B1">
        <w:rPr>
          <w:rFonts w:ascii="Palatino Linotype" w:hAnsi="Palatino Linotype"/>
          <w:b/>
          <w:color w:val="auto"/>
          <w:sz w:val="22"/>
          <w:szCs w:val="22"/>
        </w:rPr>
        <w:t>I. Presentación de la solicitud de información</w:t>
      </w:r>
      <w:bookmarkEnd w:id="2"/>
    </w:p>
    <w:p w14:paraId="7D28534B" w14:textId="77777777" w:rsidR="00E35DF9" w:rsidRPr="00FB571A"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0F1057DD" w14:textId="7E3BDF50" w:rsidR="00E35DF9" w:rsidRPr="00FB571A" w:rsidRDefault="00BB1F81" w:rsidP="000B54EE">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253861">
        <w:rPr>
          <w:rFonts w:ascii="Palatino Linotype" w:hAnsi="Palatino Linotype" w:cs="Tahoma"/>
          <w:sz w:val="22"/>
          <w:szCs w:val="22"/>
        </w:rPr>
        <w:t>tres de julio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4B553D" w:rsidRPr="000B54EE">
        <w:rPr>
          <w:rFonts w:ascii="Palatino Linotype" w:hAnsi="Palatino Linotype" w:cs="Tahoma"/>
          <w:sz w:val="22"/>
          <w:szCs w:val="22"/>
        </w:rPr>
        <w:t>Ayuntamiento de Toluca</w:t>
      </w:r>
      <w:r w:rsidR="00E35DF9" w:rsidRPr="000B54EE">
        <w:rPr>
          <w:rFonts w:ascii="Palatino Linotype" w:hAnsi="Palatino Linotype" w:cs="Tahoma"/>
          <w:sz w:val="22"/>
          <w:szCs w:val="22"/>
        </w:rPr>
        <w:t xml:space="preserve">, </w:t>
      </w:r>
      <w:r w:rsidR="003A12F1" w:rsidRPr="000B54EE">
        <w:rPr>
          <w:rFonts w:ascii="Palatino Linotype" w:hAnsi="Palatino Linotype" w:cs="Tahoma"/>
          <w:sz w:val="22"/>
          <w:szCs w:val="22"/>
        </w:rPr>
        <w:t xml:space="preserve">misma que fue registrada con el número de folio </w:t>
      </w:r>
      <w:bookmarkStart w:id="3" w:name="_Hlk209628408"/>
      <w:r w:rsidR="00253861" w:rsidRPr="000B54EE">
        <w:rPr>
          <w:rFonts w:ascii="Palatino Linotype" w:hAnsi="Palatino Linotype" w:cs="Tahoma"/>
          <w:sz w:val="22"/>
          <w:szCs w:val="22"/>
        </w:rPr>
        <w:t>03807</w:t>
      </w:r>
      <w:bookmarkEnd w:id="3"/>
      <w:r w:rsidR="00CC13FB" w:rsidRPr="000B54EE">
        <w:rPr>
          <w:rFonts w:ascii="Palatino Linotype" w:hAnsi="Palatino Linotype" w:cs="Tahoma"/>
          <w:sz w:val="22"/>
          <w:szCs w:val="22"/>
        </w:rPr>
        <w:t>/TOLUCA/IP/2025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01077741" w14:textId="77777777" w:rsidR="00D807FB" w:rsidRPr="00FB571A" w:rsidRDefault="00D807FB" w:rsidP="000B54EE">
      <w:pPr>
        <w:tabs>
          <w:tab w:val="left" w:pos="567"/>
        </w:tabs>
        <w:spacing w:line="360" w:lineRule="auto"/>
        <w:contextualSpacing/>
        <w:jc w:val="both"/>
        <w:rPr>
          <w:rFonts w:ascii="Palatino Linotype" w:hAnsi="Palatino Linotype" w:cs="Tahoma"/>
          <w:sz w:val="22"/>
        </w:rPr>
      </w:pPr>
    </w:p>
    <w:p w14:paraId="1676B469" w14:textId="77777777" w:rsidR="00D807FB" w:rsidRPr="00FB571A"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62F3D1AC" w14:textId="58737963" w:rsidR="000F2B83" w:rsidRPr="00FB571A" w:rsidRDefault="004B553D" w:rsidP="000B54EE">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253861" w:rsidRPr="00253861">
        <w:t xml:space="preserve"> </w:t>
      </w:r>
      <w:r w:rsidR="00253861" w:rsidRPr="00253861">
        <w:rPr>
          <w:rFonts w:ascii="Palatino Linotype" w:hAnsi="Palatino Linotype"/>
          <w:i/>
          <w:iCs/>
          <w:color w:val="000000"/>
          <w:sz w:val="20"/>
          <w:szCs w:val="20"/>
        </w:rPr>
        <w:t xml:space="preserve">Todos los recibos de </w:t>
      </w:r>
      <w:proofErr w:type="spellStart"/>
      <w:r w:rsidR="00253861" w:rsidRPr="00253861">
        <w:rPr>
          <w:rFonts w:ascii="Palatino Linotype" w:hAnsi="Palatino Linotype"/>
          <w:i/>
          <w:iCs/>
          <w:color w:val="000000"/>
          <w:sz w:val="20"/>
          <w:szCs w:val="20"/>
        </w:rPr>
        <w:t>nomina</w:t>
      </w:r>
      <w:proofErr w:type="spellEnd"/>
      <w:r w:rsidR="00253861" w:rsidRPr="00253861">
        <w:rPr>
          <w:rFonts w:ascii="Palatino Linotype" w:hAnsi="Palatino Linotype"/>
          <w:i/>
          <w:iCs/>
          <w:color w:val="000000"/>
          <w:sz w:val="20"/>
          <w:szCs w:val="20"/>
        </w:rPr>
        <w:t xml:space="preserve"> del presidente municipal </w:t>
      </w:r>
      <w:proofErr w:type="spellStart"/>
      <w:r w:rsidR="00253861" w:rsidRPr="00253861">
        <w:rPr>
          <w:rFonts w:ascii="Palatino Linotype" w:hAnsi="Palatino Linotype"/>
          <w:i/>
          <w:iCs/>
          <w:color w:val="000000"/>
          <w:sz w:val="20"/>
          <w:szCs w:val="20"/>
        </w:rPr>
        <w:t>Ricado</w:t>
      </w:r>
      <w:proofErr w:type="spellEnd"/>
      <w:r w:rsidR="00253861" w:rsidRPr="00253861">
        <w:rPr>
          <w:rFonts w:ascii="Palatino Linotype" w:hAnsi="Palatino Linotype"/>
          <w:i/>
          <w:iCs/>
          <w:color w:val="000000"/>
          <w:sz w:val="20"/>
          <w:szCs w:val="20"/>
        </w:rPr>
        <w:t xml:space="preserve"> Moreno firmados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3EBF9B4C" w14:textId="77777777" w:rsidR="007E4927" w:rsidRPr="00FB571A"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57B592AB" w14:textId="77777777" w:rsidR="00E35DF9"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1AF9D2AE" w14:textId="77777777" w:rsidR="004D62C9" w:rsidRDefault="004D62C9" w:rsidP="000B54EE">
      <w:pPr>
        <w:pStyle w:val="Prrafodelista"/>
        <w:tabs>
          <w:tab w:val="left" w:pos="567"/>
        </w:tabs>
        <w:spacing w:line="360" w:lineRule="auto"/>
        <w:ind w:left="567" w:right="539"/>
        <w:jc w:val="both"/>
        <w:rPr>
          <w:rFonts w:ascii="Palatino Linotype" w:hAnsi="Palatino Linotype" w:cs="Tahoma"/>
          <w:i/>
          <w:sz w:val="20"/>
          <w:szCs w:val="22"/>
        </w:rPr>
      </w:pPr>
    </w:p>
    <w:p w14:paraId="7D141135" w14:textId="77777777" w:rsidR="00681D84" w:rsidRPr="00FB571A" w:rsidRDefault="00954EDD" w:rsidP="000B54EE">
      <w:pPr>
        <w:pStyle w:val="Ttulo2"/>
        <w:spacing w:before="0" w:line="360" w:lineRule="auto"/>
      </w:pPr>
      <w:bookmarkStart w:id="4" w:name="_Toc210316852"/>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05E520B5" w14:textId="77777777" w:rsidR="00E0128F" w:rsidRPr="00FB571A"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4B37568C" w14:textId="72C25D4F" w:rsidR="00253861" w:rsidRDefault="00BB1F81" w:rsidP="000B54EE">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El</w:t>
      </w:r>
      <w:r w:rsidR="00681D84" w:rsidRPr="00FB571A">
        <w:rPr>
          <w:rFonts w:ascii="Palatino Linotype" w:hAnsi="Palatino Linotype" w:cs="Tahoma"/>
          <w:sz w:val="22"/>
          <w:szCs w:val="22"/>
        </w:rPr>
        <w:t xml:space="preserve"> </w:t>
      </w:r>
      <w:r w:rsidR="00253861">
        <w:rPr>
          <w:rFonts w:ascii="Palatino Linotype" w:hAnsi="Palatino Linotype" w:cs="Tahoma"/>
          <w:sz w:val="22"/>
          <w:szCs w:val="22"/>
        </w:rPr>
        <w:t>siete 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253861">
        <w:rPr>
          <w:rFonts w:ascii="Palatino Linotype" w:hAnsi="Palatino Linotype" w:cs="Tahoma"/>
          <w:sz w:val="22"/>
          <w:szCs w:val="22"/>
        </w:rPr>
        <w:t>a que adjuntó un oficio suscrito por la Directora de Recursos Humanos en el que manifestó lo siguiente:</w:t>
      </w:r>
    </w:p>
    <w:p w14:paraId="0CC42055" w14:textId="77777777" w:rsidR="00F86BFB" w:rsidRPr="00FB571A" w:rsidRDefault="00F86BFB" w:rsidP="000B54EE">
      <w:pPr>
        <w:autoSpaceDE w:val="0"/>
        <w:autoSpaceDN w:val="0"/>
        <w:adjustRightInd w:val="0"/>
        <w:spacing w:line="360" w:lineRule="auto"/>
        <w:contextualSpacing/>
        <w:jc w:val="both"/>
        <w:rPr>
          <w:rFonts w:ascii="Palatino Linotype" w:hAnsi="Palatino Linotype" w:cs="Tahoma"/>
          <w:sz w:val="22"/>
          <w:szCs w:val="22"/>
        </w:rPr>
      </w:pPr>
    </w:p>
    <w:p w14:paraId="5B190BDC" w14:textId="77777777" w:rsidR="00996302" w:rsidRPr="00FB571A" w:rsidRDefault="00552F49"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782074D0" w14:textId="77777777" w:rsidR="00253861" w:rsidRDefault="00253861"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253861">
        <w:rPr>
          <w:rFonts w:ascii="Palatino Linotype" w:hAnsi="Palatino Linotype" w:cs="Tahoma"/>
          <w:i/>
          <w:szCs w:val="22"/>
        </w:rPr>
        <w:t xml:space="preserve">Para dar respuesta a la solicitud, y después de una búsqueda en los archivos que guarda el Departamento de Nominas, se hace de su conocimiento que la información la podrá consultar en la página de internet: </w:t>
      </w:r>
    </w:p>
    <w:p w14:paraId="59192228" w14:textId="4562C481" w:rsidR="00253861" w:rsidRDefault="00253861"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7B3A8931" w14:textId="102E3E4F" w:rsidR="00253861" w:rsidRDefault="00253861"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253861">
        <w:rPr>
          <w:rFonts w:ascii="Palatino Linotype" w:hAnsi="Palatino Linotype" w:cs="Tahoma"/>
          <w:i/>
          <w:szCs w:val="22"/>
        </w:rPr>
        <w:t>Lo anterior de conformidad con el artículo 12 párrafo segundo y 24, último párrafo de la ley de Transparencia y Acceso a la Información Pública del Estado de México y Municipios; en el que se establece que los sujetos obligados sólo proporcionarán la información pública que se les requiera y obre en sus archivos y en el estado en que se encuentre. La obligación de proporcionar la información no comprende el procesamiento de la misma, ni el presentarla conforme al interés del solicitante; no estarán obligados a generarla, resumirla, efectuar cálculos o practicar investigaciones.</w:t>
      </w:r>
    </w:p>
    <w:p w14:paraId="6AE8CC7D" w14:textId="791972CF" w:rsidR="007401D6" w:rsidRPr="00FB571A" w:rsidRDefault="00785311" w:rsidP="000B54E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41BBB297" w14:textId="77777777" w:rsidR="0095328A" w:rsidRDefault="0095328A" w:rsidP="000B54EE">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58BF2A63" w14:textId="77777777" w:rsidR="001A412B" w:rsidRPr="00FB571A" w:rsidRDefault="007812D1" w:rsidP="000B54EE">
      <w:pPr>
        <w:pStyle w:val="Ttulo2"/>
        <w:spacing w:before="0" w:line="360" w:lineRule="auto"/>
        <w:rPr>
          <w:rFonts w:ascii="Palatino Linotype" w:hAnsi="Palatino Linotype" w:cs="Tahoma"/>
          <w:b/>
          <w:color w:val="auto"/>
          <w:sz w:val="22"/>
          <w:szCs w:val="22"/>
        </w:rPr>
      </w:pPr>
      <w:bookmarkStart w:id="5" w:name="_Toc210316853"/>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5"/>
    </w:p>
    <w:p w14:paraId="38CA0882" w14:textId="77777777" w:rsidR="00F87649" w:rsidRPr="00FB571A"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39B53653" w14:textId="04DD6F59" w:rsidR="009A7587" w:rsidRPr="00FB571A" w:rsidRDefault="009A7587" w:rsidP="000B54EE">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253861">
        <w:rPr>
          <w:rFonts w:ascii="Palatino Linotype" w:hAnsi="Palatino Linotype" w:cs="Tahoma"/>
          <w:sz w:val="22"/>
          <w:szCs w:val="22"/>
        </w:rPr>
        <w:t>veintiocho de agosto</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77F1D27C" w14:textId="77777777" w:rsidR="00AB6595" w:rsidRPr="00FB571A" w:rsidRDefault="00AB6595" w:rsidP="000B54EE">
      <w:pPr>
        <w:tabs>
          <w:tab w:val="left" w:pos="4995"/>
        </w:tabs>
        <w:spacing w:line="360" w:lineRule="auto"/>
        <w:contextualSpacing/>
        <w:jc w:val="both"/>
        <w:rPr>
          <w:rFonts w:ascii="Palatino Linotype" w:hAnsi="Palatino Linotype" w:cs="Tahoma"/>
          <w:sz w:val="22"/>
          <w:szCs w:val="22"/>
        </w:rPr>
      </w:pPr>
    </w:p>
    <w:p w14:paraId="1324D211" w14:textId="77777777" w:rsidR="00D5699B" w:rsidRPr="00FB571A" w:rsidRDefault="00D5699B"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069B82C3" w14:textId="4C901253" w:rsidR="003D1770" w:rsidRPr="00FB571A" w:rsidRDefault="007E4927" w:rsidP="000B54EE">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253861" w:rsidRPr="00253861">
        <w:rPr>
          <w:rFonts w:ascii="Palatino Linotype" w:hAnsi="Palatino Linotype" w:cs="Tahoma"/>
          <w:bCs/>
          <w:i/>
          <w:szCs w:val="22"/>
        </w:rPr>
        <w:t xml:space="preserve">SON OPACOS Y NIEGAN LA INFORMACIÓN SOLICITADA SE SOLICITA SE ENTREGUELO QUE SE PIDE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16F4293E" w14:textId="77777777" w:rsidR="00CE2F19" w:rsidRDefault="00CE2F19" w:rsidP="000B54EE">
      <w:pPr>
        <w:spacing w:line="360" w:lineRule="auto"/>
        <w:ind w:left="567" w:right="539"/>
        <w:contextualSpacing/>
        <w:jc w:val="both"/>
        <w:rPr>
          <w:rFonts w:ascii="Palatino Linotype" w:hAnsi="Palatino Linotype" w:cs="Tahoma"/>
          <w:bCs/>
          <w:szCs w:val="22"/>
        </w:rPr>
      </w:pPr>
    </w:p>
    <w:p w14:paraId="721F8A2E" w14:textId="77777777" w:rsidR="000B54EE" w:rsidRPr="00FB571A" w:rsidRDefault="000B54EE" w:rsidP="000B54EE">
      <w:pPr>
        <w:spacing w:line="360" w:lineRule="auto"/>
        <w:ind w:left="567" w:right="539"/>
        <w:contextualSpacing/>
        <w:jc w:val="both"/>
        <w:rPr>
          <w:rFonts w:ascii="Palatino Linotype" w:hAnsi="Palatino Linotype" w:cs="Tahoma"/>
          <w:bCs/>
          <w:szCs w:val="22"/>
        </w:rPr>
      </w:pPr>
    </w:p>
    <w:p w14:paraId="2FDEDE0E" w14:textId="77777777" w:rsidR="00CE2F19" w:rsidRPr="00FB571A" w:rsidRDefault="00CE2F19"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lastRenderedPageBreak/>
        <w:t>RAZONES O MOTIVOS DE LA INCONFORMIDAD</w:t>
      </w:r>
    </w:p>
    <w:p w14:paraId="13F99136" w14:textId="312C04E1" w:rsidR="00CE2F19" w:rsidRPr="00FB571A" w:rsidRDefault="00CE2F19" w:rsidP="000B54EE">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6" w:name="_Hlk181699048"/>
      <w:r w:rsidR="00253861" w:rsidRPr="00253861">
        <w:rPr>
          <w:rFonts w:ascii="Palatino Linotype" w:hAnsi="Palatino Linotype" w:cs="Tahoma"/>
          <w:bCs/>
          <w:i/>
          <w:szCs w:val="24"/>
        </w:rPr>
        <w:t>SON OPACOS Y NIEGAN LA INFORMACIÓN SOLICITADA SE SOLICITA SE ENTREGUELO QUE SE PIDE</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68447B17" w14:textId="77777777" w:rsidR="00342378" w:rsidRPr="00FB571A" w:rsidRDefault="00342378" w:rsidP="000B54EE">
      <w:pPr>
        <w:spacing w:line="360" w:lineRule="auto"/>
        <w:ind w:right="539"/>
        <w:contextualSpacing/>
        <w:jc w:val="both"/>
        <w:rPr>
          <w:rFonts w:ascii="Palatino Linotype" w:hAnsi="Palatino Linotype" w:cs="Tahoma"/>
          <w:bCs/>
          <w:i/>
          <w:szCs w:val="24"/>
        </w:rPr>
      </w:pPr>
    </w:p>
    <w:p w14:paraId="2632FD38" w14:textId="77777777" w:rsidR="009A7587" w:rsidRPr="00FB571A" w:rsidRDefault="00BF4B55" w:rsidP="000B54EE">
      <w:pPr>
        <w:pStyle w:val="Ttulo2"/>
        <w:spacing w:before="0" w:line="360" w:lineRule="auto"/>
        <w:rPr>
          <w:rFonts w:ascii="Palatino Linotype" w:eastAsia="Batang" w:hAnsi="Palatino Linotype" w:cs="Tahoma"/>
          <w:b/>
          <w:bCs/>
          <w:color w:val="auto"/>
          <w:sz w:val="22"/>
          <w:szCs w:val="22"/>
        </w:rPr>
      </w:pPr>
      <w:bookmarkStart w:id="7" w:name="_Toc210316854"/>
      <w:bookmarkEnd w:id="6"/>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7"/>
    </w:p>
    <w:p w14:paraId="0D291B59" w14:textId="77777777" w:rsidR="007E4927" w:rsidRPr="00FB571A" w:rsidRDefault="007E4927" w:rsidP="000B54EE">
      <w:pPr>
        <w:spacing w:line="360" w:lineRule="auto"/>
        <w:contextualSpacing/>
        <w:jc w:val="both"/>
        <w:rPr>
          <w:rFonts w:ascii="Palatino Linotype" w:eastAsia="Batang" w:hAnsi="Palatino Linotype" w:cs="Tahoma"/>
          <w:b/>
          <w:bCs/>
          <w:sz w:val="22"/>
          <w:szCs w:val="22"/>
        </w:rPr>
      </w:pPr>
    </w:p>
    <w:p w14:paraId="7D0ADC2D" w14:textId="4D71AC01" w:rsidR="00C950E3" w:rsidRPr="00FB571A" w:rsidRDefault="009A7587" w:rsidP="000B54EE">
      <w:pPr>
        <w:spacing w:line="360" w:lineRule="auto"/>
        <w:contextualSpacing/>
        <w:jc w:val="both"/>
        <w:rPr>
          <w:rFonts w:ascii="Palatino Linotype" w:eastAsia="Batang" w:hAnsi="Palatino Linotype" w:cs="Tahoma"/>
          <w:bCs/>
          <w:sz w:val="22"/>
          <w:szCs w:val="22"/>
        </w:rPr>
      </w:pPr>
      <w:bookmarkStart w:id="8" w:name="_Toc210316855"/>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253861">
        <w:rPr>
          <w:rFonts w:ascii="Palatino Linotype" w:hAnsi="Palatino Linotype" w:cs="Tahoma"/>
          <w:sz w:val="22"/>
          <w:szCs w:val="22"/>
        </w:rPr>
        <w:t>veintiocho de agosto</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253861">
        <w:rPr>
          <w:rFonts w:ascii="Palatino Linotype" w:eastAsia="Batang" w:hAnsi="Palatino Linotype" w:cs="Tahoma"/>
          <w:b/>
          <w:bCs/>
          <w:sz w:val="22"/>
          <w:szCs w:val="22"/>
        </w:rPr>
        <w:t>10171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24ADA90E" w14:textId="77777777" w:rsidR="00D5699B" w:rsidRPr="00FB571A" w:rsidRDefault="00D5699B" w:rsidP="000B54EE">
      <w:pPr>
        <w:spacing w:line="360" w:lineRule="auto"/>
        <w:contextualSpacing/>
        <w:jc w:val="both"/>
        <w:rPr>
          <w:rFonts w:ascii="Palatino Linotype" w:eastAsia="Batang" w:hAnsi="Palatino Linotype" w:cs="Tahoma"/>
          <w:b/>
          <w:bCs/>
          <w:sz w:val="22"/>
          <w:szCs w:val="22"/>
        </w:rPr>
      </w:pPr>
    </w:p>
    <w:p w14:paraId="353B378F" w14:textId="1C58EA33" w:rsidR="00253937" w:rsidRPr="00FB571A" w:rsidRDefault="009A7587" w:rsidP="000B54EE">
      <w:pPr>
        <w:spacing w:line="360" w:lineRule="auto"/>
        <w:contextualSpacing/>
        <w:jc w:val="both"/>
        <w:rPr>
          <w:rFonts w:ascii="Palatino Linotype" w:hAnsi="Palatino Linotype" w:cs="Tahoma"/>
          <w:bCs/>
          <w:sz w:val="22"/>
          <w:szCs w:val="22"/>
          <w:lang w:val="es-ES_tradnl"/>
        </w:rPr>
      </w:pPr>
      <w:bookmarkStart w:id="9" w:name="_Toc210316856"/>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9"/>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253861">
        <w:rPr>
          <w:rFonts w:ascii="Palatino Linotype" w:hAnsi="Palatino Linotype" w:cs="Tahoma"/>
          <w:bCs/>
          <w:sz w:val="22"/>
          <w:szCs w:val="22"/>
        </w:rPr>
        <w:t>dos de septiembre</w:t>
      </w:r>
      <w:r w:rsidR="008E1D82">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BCF28A4" w14:textId="77777777" w:rsidR="00253937" w:rsidRPr="00FB571A" w:rsidRDefault="00253937" w:rsidP="000B54EE">
      <w:pPr>
        <w:spacing w:line="360" w:lineRule="auto"/>
        <w:contextualSpacing/>
        <w:jc w:val="both"/>
        <w:rPr>
          <w:rFonts w:ascii="Palatino Linotype" w:hAnsi="Palatino Linotype" w:cs="Tahoma"/>
          <w:bCs/>
          <w:sz w:val="22"/>
          <w:szCs w:val="22"/>
          <w:lang w:val="es-ES_tradnl"/>
        </w:rPr>
      </w:pPr>
    </w:p>
    <w:p w14:paraId="24307D6D" w14:textId="209511B0" w:rsidR="00253861" w:rsidRPr="009E56DD" w:rsidRDefault="00253861" w:rsidP="000B54EE">
      <w:pPr>
        <w:spacing w:line="360" w:lineRule="auto"/>
        <w:jc w:val="both"/>
        <w:rPr>
          <w:rFonts w:ascii="Palatino Linotype" w:eastAsia="Palatino Linotype" w:hAnsi="Palatino Linotype" w:cs="Palatino Linotype"/>
          <w:color w:val="000000"/>
          <w:sz w:val="22"/>
          <w:szCs w:val="22"/>
          <w:lang w:eastAsia="es-MX"/>
        </w:rPr>
      </w:pPr>
      <w:bookmarkStart w:id="10" w:name="_Toc190261913"/>
      <w:bookmarkStart w:id="11" w:name="_Toc196917717"/>
      <w:r w:rsidRPr="009E56DD">
        <w:rPr>
          <w:rFonts w:ascii="Palatino Linotype" w:eastAsia="Palatino Linotype" w:hAnsi="Palatino Linotype" w:cs="Palatino Linotype"/>
          <w:b/>
          <w:color w:val="000000"/>
          <w:sz w:val="22"/>
          <w:szCs w:val="22"/>
          <w:lang w:eastAsia="es-MX"/>
        </w:rPr>
        <w:t xml:space="preserve">c) Informe Justificado. </w:t>
      </w:r>
      <w:r>
        <w:rPr>
          <w:rFonts w:ascii="Palatino Linotype" w:eastAsia="Palatino Linotype" w:hAnsi="Palatino Linotype" w:cs="Palatino Linotype"/>
          <w:color w:val="000000"/>
          <w:sz w:val="22"/>
          <w:szCs w:val="22"/>
          <w:lang w:eastAsia="es-MX"/>
        </w:rPr>
        <w:t xml:space="preserve">El once y diecinueve de septiembre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suscrito por el Titular de la Unidad de Transparencia y dirigido al Comisionado Ponente, por medio del cual ratificó su respuesta.</w:t>
      </w:r>
    </w:p>
    <w:p w14:paraId="73487FDB" w14:textId="77777777" w:rsidR="00253861" w:rsidRPr="009E56DD" w:rsidRDefault="00253861" w:rsidP="000B54EE">
      <w:pPr>
        <w:spacing w:line="360" w:lineRule="auto"/>
        <w:jc w:val="both"/>
        <w:rPr>
          <w:rFonts w:ascii="Palatino Linotype" w:eastAsia="Palatino Linotype" w:hAnsi="Palatino Linotype" w:cs="Palatino Linotype"/>
          <w:color w:val="000000"/>
          <w:sz w:val="22"/>
          <w:szCs w:val="22"/>
          <w:lang w:eastAsia="es-MX"/>
        </w:rPr>
      </w:pPr>
    </w:p>
    <w:p w14:paraId="3F5DFCC7" w14:textId="4B17CD30" w:rsidR="00253861" w:rsidRPr="009E56DD" w:rsidRDefault="00253861" w:rsidP="000B54EE">
      <w:pPr>
        <w:spacing w:line="360" w:lineRule="auto"/>
        <w:jc w:val="both"/>
        <w:rPr>
          <w:rFonts w:ascii="Palatino Linotype" w:eastAsia="Palatino Linotype" w:hAnsi="Palatino Linotype" w:cs="Palatino Linotype"/>
          <w:b/>
          <w:color w:val="000000"/>
          <w:sz w:val="22"/>
          <w:szCs w:val="22"/>
          <w:lang w:eastAsia="es-MX"/>
        </w:rPr>
      </w:pPr>
      <w:r w:rsidRPr="009E56DD">
        <w:rPr>
          <w:rFonts w:ascii="Palatino Linotype" w:eastAsia="Palatino Linotype" w:hAnsi="Palatino Linotype" w:cs="Palatino Linotype"/>
          <w:b/>
          <w:color w:val="000000"/>
          <w:sz w:val="22"/>
          <w:szCs w:val="22"/>
          <w:lang w:eastAsia="es-MX"/>
        </w:rPr>
        <w:lastRenderedPageBreak/>
        <w:t xml:space="preserve">d) Vista del Informe Justificado. </w:t>
      </w:r>
      <w:r w:rsidRPr="009E56DD">
        <w:rPr>
          <w:rFonts w:ascii="Palatino Linotype" w:eastAsia="Palatino Linotype" w:hAnsi="Palatino Linotype" w:cs="Palatino Linotype"/>
          <w:color w:val="000000"/>
          <w:sz w:val="22"/>
          <w:szCs w:val="22"/>
          <w:lang w:eastAsia="es-MX"/>
        </w:rPr>
        <w:t xml:space="preserve">El </w:t>
      </w:r>
      <w:r>
        <w:rPr>
          <w:rFonts w:ascii="Palatino Linotype" w:eastAsia="Palatino Linotype" w:hAnsi="Palatino Linotype" w:cs="Palatino Linotype"/>
          <w:color w:val="000000"/>
          <w:sz w:val="22"/>
          <w:szCs w:val="22"/>
          <w:lang w:eastAsia="es-MX"/>
        </w:rPr>
        <w:t>veinticuatro de septiembre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49942900" w14:textId="77777777" w:rsidR="00253861" w:rsidRDefault="00253861" w:rsidP="000B54EE">
      <w:pPr>
        <w:spacing w:line="360" w:lineRule="auto"/>
        <w:jc w:val="both"/>
        <w:rPr>
          <w:rStyle w:val="Ttulo3Car"/>
          <w:rFonts w:ascii="Palatino Linotype" w:hAnsi="Palatino Linotype"/>
          <w:b/>
          <w:color w:val="auto"/>
          <w:sz w:val="22"/>
          <w:szCs w:val="22"/>
        </w:rPr>
      </w:pPr>
    </w:p>
    <w:p w14:paraId="5834D830" w14:textId="5F12FBD9" w:rsidR="00ED5DF5" w:rsidRPr="00FB571A" w:rsidRDefault="008E1D82" w:rsidP="000B54EE">
      <w:pPr>
        <w:spacing w:line="360" w:lineRule="auto"/>
        <w:jc w:val="both"/>
        <w:rPr>
          <w:rFonts w:ascii="Palatino Linotype" w:hAnsi="Palatino Linotype" w:cs="Tahoma"/>
          <w:sz w:val="22"/>
          <w:szCs w:val="22"/>
        </w:rPr>
      </w:pPr>
      <w:bookmarkStart w:id="12" w:name="_Toc210316857"/>
      <w:bookmarkEnd w:id="10"/>
      <w:bookmarkEnd w:id="11"/>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2"/>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253861">
        <w:rPr>
          <w:rFonts w:ascii="Palatino Linotype" w:hAnsi="Palatino Linotype" w:cs="Tahoma"/>
          <w:sz w:val="22"/>
          <w:szCs w:val="22"/>
        </w:rPr>
        <w:t xml:space="preserve">treinta de septiembre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7E56885E" w14:textId="77777777" w:rsidR="0079675C" w:rsidRPr="00FB571A" w:rsidRDefault="0079675C" w:rsidP="000B54EE">
      <w:pPr>
        <w:spacing w:line="360" w:lineRule="auto"/>
        <w:jc w:val="both"/>
        <w:rPr>
          <w:rFonts w:ascii="Palatino Linotype" w:hAnsi="Palatino Linotype" w:cs="Tahoma"/>
          <w:sz w:val="22"/>
          <w:szCs w:val="22"/>
        </w:rPr>
      </w:pPr>
    </w:p>
    <w:p w14:paraId="58BA83AB" w14:textId="77777777" w:rsidR="004F2D88" w:rsidRDefault="004F2D88" w:rsidP="000B54EE">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065A2B57" w14:textId="77777777" w:rsidR="001C0C73" w:rsidRPr="00FB571A" w:rsidRDefault="001C0C73" w:rsidP="000B54EE">
      <w:pPr>
        <w:spacing w:line="360" w:lineRule="auto"/>
        <w:contextualSpacing/>
        <w:jc w:val="both"/>
        <w:rPr>
          <w:rFonts w:ascii="Palatino Linotype" w:hAnsi="Palatino Linotype" w:cs="Tahoma"/>
          <w:color w:val="000000"/>
          <w:sz w:val="22"/>
          <w:szCs w:val="22"/>
        </w:rPr>
      </w:pPr>
    </w:p>
    <w:p w14:paraId="4C3D5184" w14:textId="77777777" w:rsidR="00EA4E4A" w:rsidRPr="00FB571A" w:rsidRDefault="00EA4E4A" w:rsidP="000B54EE">
      <w:pPr>
        <w:pStyle w:val="Ttulo1"/>
        <w:spacing w:before="0" w:line="360" w:lineRule="auto"/>
        <w:jc w:val="center"/>
        <w:rPr>
          <w:rFonts w:ascii="Palatino Linotype" w:hAnsi="Palatino Linotype"/>
          <w:b/>
          <w:color w:val="auto"/>
          <w:sz w:val="22"/>
          <w:szCs w:val="22"/>
        </w:rPr>
      </w:pPr>
      <w:bookmarkStart w:id="13" w:name="_Toc210316858"/>
      <w:r w:rsidRPr="00FB571A">
        <w:rPr>
          <w:rFonts w:ascii="Palatino Linotype" w:hAnsi="Palatino Linotype"/>
          <w:b/>
          <w:color w:val="auto"/>
          <w:sz w:val="22"/>
          <w:szCs w:val="22"/>
        </w:rPr>
        <w:t>C O N S I D E R A N D O S</w:t>
      </w:r>
      <w:bookmarkEnd w:id="13"/>
    </w:p>
    <w:p w14:paraId="676D1589" w14:textId="77777777" w:rsidR="00EA4E4A" w:rsidRPr="00FB571A" w:rsidRDefault="00EA4E4A" w:rsidP="000B54EE">
      <w:pPr>
        <w:spacing w:line="360" w:lineRule="auto"/>
        <w:contextualSpacing/>
        <w:jc w:val="both"/>
        <w:rPr>
          <w:rFonts w:ascii="Palatino Linotype" w:hAnsi="Palatino Linotype" w:cs="Tahoma"/>
          <w:b/>
          <w:sz w:val="22"/>
          <w:szCs w:val="22"/>
        </w:rPr>
      </w:pPr>
    </w:p>
    <w:p w14:paraId="5EE007C7" w14:textId="77777777" w:rsidR="00EA4E4A" w:rsidRPr="00FB571A" w:rsidRDefault="00EA4E4A" w:rsidP="000B54EE">
      <w:pPr>
        <w:pStyle w:val="Ttulo2"/>
        <w:spacing w:before="0" w:line="360" w:lineRule="auto"/>
        <w:rPr>
          <w:rFonts w:ascii="Palatino Linotype" w:hAnsi="Palatino Linotype"/>
          <w:b/>
          <w:sz w:val="22"/>
          <w:szCs w:val="22"/>
        </w:rPr>
      </w:pPr>
      <w:bookmarkStart w:id="14" w:name="_Toc210316859"/>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4"/>
    </w:p>
    <w:p w14:paraId="5397436B" w14:textId="77777777" w:rsidR="00EA4E4A" w:rsidRPr="00FB571A"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6D024FD0" w14:textId="77777777" w:rsidR="005C0E48" w:rsidRPr="005C0E48" w:rsidRDefault="005C0E48" w:rsidP="000B54EE">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5"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5"/>
      <w:r w:rsidRPr="005C0E48">
        <w:rPr>
          <w:rFonts w:ascii="Palatino Linotype" w:eastAsia="Calibri" w:hAnsi="Palatino Linotype" w:cs="Tahoma"/>
          <w:color w:val="000000"/>
          <w:sz w:val="22"/>
          <w:szCs w:val="22"/>
          <w:lang w:eastAsia="es-MX"/>
        </w:rPr>
        <w:t xml:space="preserve">, fracciones I, II, III, IV y V de la Constitución Política del Estado Libre y Soberano de México; </w:t>
      </w:r>
      <w:r w:rsidRPr="005C0E48">
        <w:rPr>
          <w:rFonts w:ascii="Palatino Linotype" w:eastAsia="Calibri" w:hAnsi="Palatino Linotype" w:cs="Tahoma"/>
          <w:color w:val="000000"/>
          <w:sz w:val="22"/>
          <w:szCs w:val="22"/>
          <w:lang w:eastAsia="es-MX"/>
        </w:rPr>
        <w:lastRenderedPageBreak/>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CBCC6A4" w14:textId="77777777" w:rsidR="00F66601" w:rsidRPr="00FB571A" w:rsidRDefault="00F66601" w:rsidP="000B54EE">
      <w:pPr>
        <w:spacing w:line="360" w:lineRule="auto"/>
        <w:jc w:val="both"/>
        <w:rPr>
          <w:rFonts w:ascii="Palatino Linotype" w:hAnsi="Palatino Linotype" w:cs="Tahoma"/>
          <w:sz w:val="22"/>
          <w:szCs w:val="22"/>
          <w:shd w:val="clear" w:color="auto" w:fill="FFFFFF"/>
        </w:rPr>
      </w:pPr>
    </w:p>
    <w:p w14:paraId="411D4098" w14:textId="77777777" w:rsidR="00CE0B4C" w:rsidRPr="00FB571A" w:rsidRDefault="00CE0B4C" w:rsidP="000B54EE">
      <w:pPr>
        <w:pStyle w:val="Ttulo2"/>
        <w:spacing w:before="0" w:line="360" w:lineRule="auto"/>
        <w:rPr>
          <w:rFonts w:ascii="Palatino Linotype" w:eastAsia="Calibri" w:hAnsi="Palatino Linotype"/>
          <w:b/>
          <w:color w:val="auto"/>
          <w:sz w:val="22"/>
          <w:szCs w:val="22"/>
          <w:lang w:eastAsia="es-MX"/>
        </w:rPr>
      </w:pPr>
      <w:bookmarkStart w:id="16" w:name="_Toc210316860"/>
      <w:r w:rsidRPr="00FB571A">
        <w:rPr>
          <w:rFonts w:ascii="Palatino Linotype" w:eastAsia="Calibri" w:hAnsi="Palatino Linotype"/>
          <w:b/>
          <w:color w:val="auto"/>
          <w:sz w:val="22"/>
          <w:szCs w:val="22"/>
          <w:lang w:eastAsia="es-MX"/>
        </w:rPr>
        <w:t>SEGUNDO. Causales de improcedencia y sobreseimiento</w:t>
      </w:r>
      <w:bookmarkEnd w:id="16"/>
    </w:p>
    <w:p w14:paraId="1A43D7D8" w14:textId="77777777" w:rsidR="00566562" w:rsidRPr="00FB571A"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7BC3E07"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BA47419"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F06CFF3"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3649A8F" w14:textId="77777777" w:rsidR="00BF4B55" w:rsidRPr="00FB571A"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58A2E67" w14:textId="77777777" w:rsidR="00CE0B4C" w:rsidRPr="00FB571A"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17" w:name="_Toc210316861"/>
      <w:r w:rsidRPr="00FB571A">
        <w:rPr>
          <w:rFonts w:ascii="Palatino Linotype" w:eastAsia="Calibri" w:hAnsi="Palatino Linotype" w:cs="Arial"/>
          <w:b/>
          <w:color w:val="auto"/>
          <w:sz w:val="22"/>
          <w:szCs w:val="22"/>
          <w:lang w:eastAsia="es-ES_tradnl"/>
        </w:rPr>
        <w:lastRenderedPageBreak/>
        <w:t>Causales de sobreseimiento</w:t>
      </w:r>
      <w:bookmarkEnd w:id="17"/>
    </w:p>
    <w:p w14:paraId="2122DFB7" w14:textId="77777777" w:rsidR="00CE0B4C" w:rsidRPr="00FB571A" w:rsidRDefault="00CE0B4C" w:rsidP="000B54EE">
      <w:pPr>
        <w:spacing w:line="360" w:lineRule="auto"/>
        <w:jc w:val="both"/>
        <w:rPr>
          <w:rFonts w:ascii="Palatino Linotype" w:eastAsia="Calibri" w:hAnsi="Palatino Linotype" w:cs="Tahoma"/>
          <w:sz w:val="22"/>
          <w:szCs w:val="22"/>
          <w:lang w:eastAsia="es-ES_tradnl"/>
        </w:rPr>
      </w:pPr>
    </w:p>
    <w:p w14:paraId="51ED2F18" w14:textId="77777777" w:rsidR="00CE0B4C" w:rsidRPr="00FB571A" w:rsidRDefault="00CE0B4C" w:rsidP="000B54EE">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13348DBA" w14:textId="77777777" w:rsidR="00472490" w:rsidRPr="00FB571A" w:rsidRDefault="00472490" w:rsidP="000B54EE">
      <w:pPr>
        <w:spacing w:line="360" w:lineRule="auto"/>
        <w:jc w:val="both"/>
        <w:rPr>
          <w:rFonts w:ascii="Palatino Linotype" w:eastAsia="Calibri" w:hAnsi="Palatino Linotype" w:cs="Tahoma"/>
          <w:sz w:val="22"/>
          <w:szCs w:val="22"/>
          <w:lang w:eastAsia="es-ES_tradnl"/>
        </w:rPr>
      </w:pPr>
    </w:p>
    <w:p w14:paraId="622DE286" w14:textId="77777777" w:rsidR="00CE0B4C" w:rsidRPr="00FB571A" w:rsidRDefault="00CE0B4C" w:rsidP="000B54EE">
      <w:pPr>
        <w:pStyle w:val="Ttulo2"/>
        <w:spacing w:before="0" w:line="360" w:lineRule="auto"/>
        <w:rPr>
          <w:rFonts w:ascii="Palatino Linotype" w:eastAsia="Calibri" w:hAnsi="Palatino Linotype"/>
          <w:b/>
          <w:color w:val="auto"/>
          <w:sz w:val="22"/>
          <w:lang w:val="es-ES" w:eastAsia="es-ES_tradnl"/>
        </w:rPr>
      </w:pPr>
      <w:bookmarkStart w:id="18" w:name="_Toc210316862"/>
      <w:r w:rsidRPr="00FB571A">
        <w:rPr>
          <w:rFonts w:ascii="Palatino Linotype" w:eastAsia="Calibri" w:hAnsi="Palatino Linotype"/>
          <w:b/>
          <w:color w:val="auto"/>
          <w:sz w:val="22"/>
          <w:lang w:eastAsia="es-ES_tradnl"/>
        </w:rPr>
        <w:t>TERCERO. Determinación de la Controversia</w:t>
      </w:r>
      <w:bookmarkEnd w:id="18"/>
    </w:p>
    <w:p w14:paraId="1558133D" w14:textId="77777777" w:rsidR="00CE0B4C" w:rsidRPr="00FB571A"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6EE6B57E" w14:textId="5520D79B" w:rsidR="00F25703" w:rsidRDefault="00CE0B4C" w:rsidP="000B54EE">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4B553D">
        <w:rPr>
          <w:rFonts w:ascii="Palatino Linotype" w:eastAsia="Calibri" w:hAnsi="Palatino Linotype" w:cs="Tahoma"/>
          <w:iCs/>
          <w:sz w:val="22"/>
          <w:szCs w:val="22"/>
          <w:lang w:val="es-ES" w:eastAsia="es-ES_tradnl"/>
        </w:rPr>
        <w:t>Ayuntamiento de Toluca</w:t>
      </w:r>
      <w:r w:rsidRPr="00FB571A">
        <w:rPr>
          <w:rFonts w:ascii="Palatino Linotype" w:eastAsia="Calibri" w:hAnsi="Palatino Linotype" w:cs="Tahoma"/>
          <w:iCs/>
          <w:sz w:val="22"/>
          <w:szCs w:val="22"/>
          <w:lang w:val="es-ES" w:eastAsia="es-ES_tradnl"/>
        </w:rPr>
        <w:t>,</w:t>
      </w:r>
      <w:r w:rsidR="00A6778F">
        <w:rPr>
          <w:rFonts w:ascii="Palatino Linotype" w:eastAsia="Calibri" w:hAnsi="Palatino Linotype" w:cs="Tahoma"/>
          <w:iCs/>
          <w:sz w:val="22"/>
          <w:szCs w:val="22"/>
          <w:lang w:val="es-ES" w:eastAsia="es-ES_tradnl"/>
        </w:rPr>
        <w:t xml:space="preserve"> los recibos de nómina del Presidente Municipal</w:t>
      </w:r>
      <w:r w:rsidR="00F25703">
        <w:rPr>
          <w:rFonts w:ascii="Palatino Linotype" w:eastAsia="Calibri" w:hAnsi="Palatino Linotype" w:cs="Tahoma"/>
          <w:iCs/>
          <w:sz w:val="22"/>
          <w:szCs w:val="22"/>
          <w:lang w:val="es-ES" w:eastAsia="es-ES_tradnl"/>
        </w:rPr>
        <w:t>.</w:t>
      </w:r>
    </w:p>
    <w:p w14:paraId="23CD94AB" w14:textId="77777777" w:rsidR="00F25703" w:rsidRDefault="00F25703" w:rsidP="000B54EE">
      <w:pPr>
        <w:tabs>
          <w:tab w:val="left" w:pos="4962"/>
        </w:tabs>
        <w:spacing w:line="360" w:lineRule="auto"/>
        <w:jc w:val="both"/>
        <w:rPr>
          <w:rFonts w:ascii="Palatino Linotype" w:eastAsia="Calibri" w:hAnsi="Palatino Linotype" w:cs="Tahoma"/>
          <w:iCs/>
          <w:sz w:val="22"/>
          <w:szCs w:val="22"/>
          <w:lang w:val="es-ES" w:eastAsia="es-ES_tradnl"/>
        </w:rPr>
      </w:pPr>
    </w:p>
    <w:p w14:paraId="20CD1B32" w14:textId="453692CD" w:rsidR="00A511BB" w:rsidRPr="00FB571A" w:rsidRDefault="00993BF4" w:rsidP="000B54EE">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F25703">
        <w:rPr>
          <w:rFonts w:ascii="Palatino Linotype" w:eastAsia="Calibri" w:hAnsi="Palatino Linotype" w:cs="Tahoma"/>
          <w:iCs/>
          <w:sz w:val="22"/>
          <w:szCs w:val="22"/>
          <w:lang w:val="es-ES" w:eastAsia="es-ES_tradnl"/>
        </w:rPr>
        <w:t>proporcionó una liga electrónica con el argumento de que contenía la información interés del Solicitante</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F25703">
        <w:rPr>
          <w:rFonts w:ascii="Palatino Linotype" w:eastAsia="Calibri" w:hAnsi="Palatino Linotype" w:cs="Tahoma"/>
          <w:iCs/>
          <w:sz w:val="22"/>
          <w:szCs w:val="22"/>
          <w:lang w:val="es-ES" w:eastAsia="es-ES_tradnl"/>
        </w:rPr>
        <w:t xml:space="preserve">este se </w:t>
      </w:r>
      <w:r w:rsidR="00556012">
        <w:rPr>
          <w:rFonts w:ascii="Palatino Linotype" w:eastAsia="Calibri" w:hAnsi="Palatino Linotype" w:cs="Tahoma"/>
          <w:iCs/>
          <w:sz w:val="22"/>
          <w:szCs w:val="22"/>
          <w:lang w:val="es-ES" w:eastAsia="es-ES_tradnl"/>
        </w:rPr>
        <w:t xml:space="preserve">inconformó </w:t>
      </w:r>
      <w:r w:rsidR="000B54EE">
        <w:rPr>
          <w:rFonts w:ascii="Palatino Linotype" w:eastAsia="Calibri" w:hAnsi="Palatino Linotype" w:cs="Tahoma"/>
          <w:iCs/>
          <w:sz w:val="22"/>
          <w:szCs w:val="22"/>
          <w:lang w:val="es-ES" w:eastAsia="es-ES_tradnl"/>
        </w:rPr>
        <w:t>con la entrega de información que no corresponde con lo solicitado</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0B54EE">
        <w:rPr>
          <w:rFonts w:ascii="Palatino Linotype" w:eastAsia="Calibri" w:hAnsi="Palatino Linotype" w:cs="Tahoma"/>
          <w:sz w:val="22"/>
          <w:szCs w:val="22"/>
        </w:rPr>
        <w:t>V</w:t>
      </w:r>
      <w:r w:rsidR="00F25703">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r w:rsidR="000B54EE">
        <w:rPr>
          <w:rFonts w:ascii="Palatino Linotype" w:eastAsia="Calibri" w:hAnsi="Palatino Linotype" w:cs="Tahoma"/>
          <w:bCs/>
          <w:sz w:val="22"/>
          <w:szCs w:val="22"/>
        </w:rPr>
        <w:t xml:space="preserve"> Así, las cosas una vez admitido y notificado a las partes, el Sujeto Obligado ratificó su respuesta primigenia.</w:t>
      </w:r>
    </w:p>
    <w:p w14:paraId="7799140B" w14:textId="77777777" w:rsidR="00CE0B4C" w:rsidRPr="00FB571A"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46A2E3C1" w14:textId="77777777" w:rsidR="00571944" w:rsidRPr="00FB571A" w:rsidRDefault="00CE0B4C" w:rsidP="000B54EE">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FB571A">
        <w:rPr>
          <w:rFonts w:ascii="Palatino Linotype" w:eastAsia="Calibri" w:hAnsi="Palatino Linotype" w:cs="Tahoma"/>
          <w:iCs/>
          <w:sz w:val="22"/>
          <w:szCs w:val="22"/>
          <w:lang w:eastAsia="es-ES_tradnl"/>
        </w:rPr>
        <w:lastRenderedPageBreak/>
        <w:t>Información Pública del Estado de México y Municipios y demás disposiciones legales aplicables a la materia que se resuelve.</w:t>
      </w:r>
    </w:p>
    <w:p w14:paraId="72084365" w14:textId="77777777" w:rsidR="00FF5303" w:rsidRPr="00FB571A" w:rsidRDefault="00FF5303" w:rsidP="000B54EE">
      <w:pPr>
        <w:tabs>
          <w:tab w:val="left" w:pos="4962"/>
        </w:tabs>
        <w:spacing w:line="360" w:lineRule="auto"/>
        <w:jc w:val="both"/>
        <w:rPr>
          <w:rFonts w:ascii="Palatino Linotype" w:eastAsia="Calibri" w:hAnsi="Palatino Linotype" w:cs="Tahoma"/>
          <w:iCs/>
          <w:sz w:val="22"/>
          <w:szCs w:val="22"/>
          <w:lang w:eastAsia="es-ES_tradnl"/>
        </w:rPr>
      </w:pPr>
    </w:p>
    <w:p w14:paraId="420E6331" w14:textId="77777777" w:rsidR="00CE0B4C" w:rsidRPr="00FB571A"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19" w:name="_Toc210316863"/>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9"/>
    </w:p>
    <w:p w14:paraId="3D001F0D" w14:textId="77777777" w:rsidR="00CE0B4C" w:rsidRPr="00FB571A" w:rsidRDefault="00CE0B4C" w:rsidP="000B54EE">
      <w:pPr>
        <w:spacing w:line="360" w:lineRule="auto"/>
        <w:contextualSpacing/>
        <w:jc w:val="both"/>
        <w:rPr>
          <w:rFonts w:ascii="Palatino Linotype" w:hAnsi="Palatino Linotype" w:cs="Tahoma"/>
          <w:sz w:val="22"/>
          <w:szCs w:val="22"/>
        </w:rPr>
      </w:pPr>
    </w:p>
    <w:p w14:paraId="48B3FDCE" w14:textId="77777777" w:rsidR="00CE0B4C" w:rsidRPr="00FB571A" w:rsidRDefault="00CE0B4C" w:rsidP="000B54EE">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3C1C97A3" w14:textId="77777777" w:rsidR="00CE0B4C" w:rsidRPr="00FB571A" w:rsidRDefault="00CE0B4C" w:rsidP="000B54EE">
      <w:pPr>
        <w:spacing w:line="360" w:lineRule="auto"/>
        <w:contextualSpacing/>
        <w:jc w:val="both"/>
        <w:rPr>
          <w:rFonts w:ascii="Palatino Linotype" w:hAnsi="Palatino Linotype" w:cs="Tahoma"/>
          <w:sz w:val="22"/>
          <w:szCs w:val="22"/>
        </w:rPr>
      </w:pPr>
    </w:p>
    <w:p w14:paraId="2FF20CDA"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3E3C95B" w14:textId="77777777" w:rsidR="00CE0B4C" w:rsidRPr="00FB571A" w:rsidRDefault="00CE0B4C" w:rsidP="000B54EE">
      <w:pPr>
        <w:spacing w:line="360" w:lineRule="auto"/>
        <w:jc w:val="both"/>
        <w:rPr>
          <w:rFonts w:ascii="Palatino Linotype" w:hAnsi="Palatino Linotype" w:cs="Tahoma"/>
          <w:sz w:val="22"/>
          <w:szCs w:val="22"/>
        </w:rPr>
      </w:pPr>
    </w:p>
    <w:p w14:paraId="04B090D0"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4B02CA5" w14:textId="77777777" w:rsidR="00CE0B4C" w:rsidRPr="00FB571A" w:rsidRDefault="00CE0B4C" w:rsidP="000B54EE">
      <w:pPr>
        <w:spacing w:line="360" w:lineRule="auto"/>
        <w:jc w:val="both"/>
        <w:rPr>
          <w:rFonts w:ascii="Palatino Linotype" w:hAnsi="Palatino Linotype" w:cs="Tahoma"/>
          <w:sz w:val="22"/>
          <w:szCs w:val="22"/>
        </w:rPr>
      </w:pPr>
    </w:p>
    <w:p w14:paraId="75AD6871"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188CA13A" w14:textId="77777777" w:rsidR="00EF5683" w:rsidRPr="00FB571A" w:rsidRDefault="00EF5683" w:rsidP="000B54EE">
      <w:pPr>
        <w:spacing w:line="360" w:lineRule="auto"/>
        <w:jc w:val="both"/>
        <w:rPr>
          <w:rFonts w:ascii="Palatino Linotype" w:hAnsi="Palatino Linotype" w:cs="Tahoma"/>
          <w:sz w:val="22"/>
          <w:szCs w:val="22"/>
        </w:rPr>
      </w:pPr>
    </w:p>
    <w:p w14:paraId="6611F061"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93FAFEC" w14:textId="77777777" w:rsidR="005C0E48" w:rsidRDefault="005C0E48" w:rsidP="000B54EE">
      <w:pPr>
        <w:spacing w:line="360" w:lineRule="auto"/>
        <w:jc w:val="both"/>
        <w:rPr>
          <w:rFonts w:ascii="Palatino Linotype" w:hAnsi="Palatino Linotype" w:cs="Tahoma"/>
          <w:sz w:val="22"/>
          <w:szCs w:val="22"/>
        </w:rPr>
      </w:pPr>
    </w:p>
    <w:p w14:paraId="7B4CE625"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0260B7B" w14:textId="77777777" w:rsidR="00EA1A4A" w:rsidRPr="00FB571A" w:rsidRDefault="00EA1A4A" w:rsidP="000B54EE">
      <w:pPr>
        <w:spacing w:line="360" w:lineRule="auto"/>
        <w:jc w:val="both"/>
        <w:rPr>
          <w:rFonts w:ascii="Palatino Linotype" w:hAnsi="Palatino Linotype" w:cs="Tahoma"/>
          <w:sz w:val="22"/>
          <w:szCs w:val="22"/>
        </w:rPr>
      </w:pPr>
    </w:p>
    <w:p w14:paraId="5E935934" w14:textId="77777777" w:rsidR="00CE0B4C" w:rsidRPr="00FB571A" w:rsidRDefault="00CE0B4C" w:rsidP="000B54EE">
      <w:pPr>
        <w:pStyle w:val="Ttulo2"/>
        <w:spacing w:before="0" w:line="360" w:lineRule="auto"/>
        <w:rPr>
          <w:rFonts w:ascii="Palatino Linotype" w:hAnsi="Palatino Linotype"/>
          <w:b/>
          <w:color w:val="auto"/>
          <w:sz w:val="22"/>
          <w:lang w:val="es-ES"/>
        </w:rPr>
      </w:pPr>
      <w:bookmarkStart w:id="20" w:name="_Toc210316864"/>
      <w:r w:rsidRPr="00FB571A">
        <w:rPr>
          <w:rFonts w:ascii="Palatino Linotype" w:eastAsia="Calibri" w:hAnsi="Palatino Linotype"/>
          <w:b/>
          <w:color w:val="auto"/>
          <w:sz w:val="22"/>
          <w:lang w:eastAsia="es-ES_tradnl"/>
        </w:rPr>
        <w:t>QUINTO. Estudio de Fondo</w:t>
      </w:r>
      <w:bookmarkEnd w:id="20"/>
    </w:p>
    <w:p w14:paraId="55D212D4" w14:textId="77777777" w:rsidR="00040101" w:rsidRPr="00FB571A" w:rsidRDefault="00040101" w:rsidP="000B54EE">
      <w:pPr>
        <w:spacing w:line="360" w:lineRule="auto"/>
        <w:ind w:right="-93"/>
        <w:jc w:val="both"/>
        <w:rPr>
          <w:rFonts w:ascii="Palatino Linotype" w:hAnsi="Palatino Linotype" w:cs="Tahoma"/>
          <w:b/>
          <w:sz w:val="22"/>
          <w:szCs w:val="22"/>
          <w:lang w:val="es-ES"/>
        </w:rPr>
      </w:pPr>
    </w:p>
    <w:p w14:paraId="77294147" w14:textId="77777777" w:rsidR="00612C39" w:rsidRDefault="00605837" w:rsidP="000B54EE">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04BA4113" w14:textId="77777777" w:rsidR="00F25703" w:rsidRDefault="00F25703" w:rsidP="000B54EE">
      <w:pPr>
        <w:spacing w:line="360" w:lineRule="auto"/>
        <w:jc w:val="both"/>
        <w:rPr>
          <w:rFonts w:ascii="Palatino Linotype" w:hAnsi="Palatino Linotype" w:cs="Tahoma"/>
          <w:sz w:val="22"/>
          <w:szCs w:val="22"/>
        </w:rPr>
      </w:pPr>
    </w:p>
    <w:p w14:paraId="46519B9E" w14:textId="77777777" w:rsidR="00A6778F" w:rsidRPr="005A66C6" w:rsidRDefault="00A6778F" w:rsidP="000B54E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eastAsia="es-ES_tradnl"/>
        </w:rPr>
        <w:t xml:space="preserve">En relación al presente punto, </w:t>
      </w:r>
      <w:r w:rsidRPr="005A66C6">
        <w:rPr>
          <w:rFonts w:ascii="Palatino Linotype" w:eastAsia="Calibri" w:hAnsi="Palatino Linotype" w:cs="Tahoma"/>
          <w:bCs/>
          <w:sz w:val="22"/>
          <w:szCs w:val="22"/>
          <w:lang w:eastAsia="en-US"/>
        </w:rPr>
        <w:t>conviene precisar en lo que consisten</w:t>
      </w:r>
      <w:r>
        <w:rPr>
          <w:rFonts w:ascii="Palatino Linotype" w:eastAsia="Calibri" w:hAnsi="Palatino Linotype" w:cs="Tahoma"/>
          <w:bCs/>
          <w:sz w:val="22"/>
          <w:szCs w:val="22"/>
          <w:lang w:eastAsia="en-US"/>
        </w:rPr>
        <w:t xml:space="preserve"> los comprobantes de pago o recibos de nómina</w:t>
      </w:r>
      <w:r w:rsidRPr="005A66C6">
        <w:rPr>
          <w:rFonts w:ascii="Palatino Linotype" w:eastAsia="Calibri" w:hAnsi="Palatino Linotype" w:cs="Tahoma"/>
          <w:bCs/>
          <w:sz w:val="22"/>
          <w:szCs w:val="22"/>
          <w:lang w:eastAsia="en-US"/>
        </w:rPr>
        <w:t>, al respecto, el Glosario localizado en la página de Transparencia Presupuestaria de la Secretaría de Hacienda y Crédito Público (</w:t>
      </w:r>
      <w:hyperlink r:id="rId8" w:history="1">
        <w:r w:rsidRPr="005A66C6">
          <w:rPr>
            <w:rStyle w:val="Hipervnculo"/>
            <w:rFonts w:ascii="Palatino Linotype" w:eastAsia="Calibri" w:hAnsi="Palatino Linotype" w:cs="Tahoma"/>
            <w:bCs/>
            <w:sz w:val="22"/>
            <w:szCs w:val="22"/>
            <w:lang w:eastAsia="en-US"/>
          </w:rPr>
          <w:t>http://www.transparenciapresupuestaria.gob.mx/es/PTP/Glosario</w:t>
        </w:r>
      </w:hyperlink>
      <w:r w:rsidRPr="005A66C6">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3CBD5A3" w14:textId="77777777" w:rsidR="00A6778F" w:rsidRPr="005A66C6" w:rsidRDefault="00A6778F" w:rsidP="000B54EE">
      <w:pPr>
        <w:spacing w:line="360" w:lineRule="auto"/>
        <w:ind w:right="-93"/>
        <w:jc w:val="both"/>
        <w:rPr>
          <w:rFonts w:ascii="Palatino Linotype" w:eastAsia="Calibri" w:hAnsi="Palatino Linotype" w:cs="Tahoma"/>
          <w:bCs/>
          <w:sz w:val="22"/>
          <w:szCs w:val="22"/>
          <w:lang w:eastAsia="en-US"/>
        </w:rPr>
      </w:pPr>
    </w:p>
    <w:p w14:paraId="7DCFB4DD" w14:textId="77777777" w:rsidR="00A6778F" w:rsidRDefault="00A6778F" w:rsidP="000B54EE">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w:t>
      </w:r>
      <w:r>
        <w:rPr>
          <w:rFonts w:ascii="Palatino Linotype" w:eastAsia="Calibri" w:hAnsi="Palatino Linotype" w:cs="Tahoma"/>
          <w:sz w:val="22"/>
          <w:szCs w:val="22"/>
          <w:lang w:eastAsia="es-ES_tradnl"/>
        </w:rPr>
        <w:t xml:space="preserve"> </w:t>
      </w:r>
      <w:r w:rsidRPr="005A66C6">
        <w:rPr>
          <w:rFonts w:ascii="Palatino Linotype" w:eastAsia="Calibri" w:hAnsi="Palatino Linotype" w:cs="Tahoma"/>
          <w:sz w:val="22"/>
          <w:szCs w:val="22"/>
          <w:lang w:eastAsia="es-ES_tradnl"/>
        </w:rPr>
        <w:t>En ese contexto y respecto de la solicitud del Particular se advierte que su pretensión es obtener el documento que contenga las percepciones que recib</w:t>
      </w:r>
      <w:r>
        <w:rPr>
          <w:rFonts w:ascii="Palatino Linotype" w:eastAsia="Calibri" w:hAnsi="Palatino Linotype" w:cs="Tahoma"/>
          <w:sz w:val="22"/>
          <w:szCs w:val="22"/>
          <w:lang w:eastAsia="es-ES_tradnl"/>
        </w:rPr>
        <w:t>ió la servidora pública mencionada en la solicitud.</w:t>
      </w:r>
    </w:p>
    <w:p w14:paraId="245A7CA5" w14:textId="77777777" w:rsidR="00A6778F" w:rsidRPr="005A66C6" w:rsidRDefault="00A6778F" w:rsidP="000B54EE">
      <w:pPr>
        <w:tabs>
          <w:tab w:val="left" w:pos="4962"/>
        </w:tabs>
        <w:spacing w:line="360" w:lineRule="auto"/>
        <w:jc w:val="both"/>
        <w:rPr>
          <w:rFonts w:ascii="Palatino Linotype" w:eastAsia="Calibri" w:hAnsi="Palatino Linotype" w:cs="Tahoma"/>
          <w:sz w:val="22"/>
          <w:szCs w:val="22"/>
          <w:lang w:eastAsia="es-ES_tradnl"/>
        </w:rPr>
      </w:pPr>
    </w:p>
    <w:p w14:paraId="3E6C913F" w14:textId="77777777" w:rsidR="00A6778F" w:rsidRPr="005A66C6" w:rsidRDefault="00A6778F" w:rsidP="000B54EE">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660CE66A" w14:textId="77777777" w:rsidR="00A6778F" w:rsidRPr="005A66C6" w:rsidRDefault="00A6778F" w:rsidP="000B54EE">
      <w:pPr>
        <w:tabs>
          <w:tab w:val="left" w:pos="4962"/>
        </w:tabs>
        <w:spacing w:line="360" w:lineRule="auto"/>
        <w:jc w:val="both"/>
        <w:rPr>
          <w:rFonts w:ascii="Palatino Linotype" w:eastAsia="Calibri" w:hAnsi="Palatino Linotype" w:cs="Tahoma"/>
          <w:sz w:val="22"/>
          <w:szCs w:val="22"/>
          <w:lang w:eastAsia="es-ES_tradnl"/>
        </w:rPr>
      </w:pPr>
    </w:p>
    <w:p w14:paraId="17F06A1F" w14:textId="77777777" w:rsidR="00A6778F" w:rsidRPr="005A66C6" w:rsidRDefault="00A6778F" w:rsidP="000B54EE">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D23D32B" w14:textId="77777777" w:rsidR="00A6778F" w:rsidRPr="005A66C6" w:rsidRDefault="00A6778F" w:rsidP="000B54EE">
      <w:pPr>
        <w:tabs>
          <w:tab w:val="left" w:pos="4962"/>
        </w:tabs>
        <w:spacing w:line="360" w:lineRule="auto"/>
        <w:jc w:val="both"/>
        <w:rPr>
          <w:rFonts w:ascii="Palatino Linotype" w:eastAsia="Calibri" w:hAnsi="Palatino Linotype" w:cs="Tahoma"/>
          <w:sz w:val="22"/>
          <w:szCs w:val="22"/>
          <w:lang w:eastAsia="es-ES_tradnl"/>
        </w:rPr>
      </w:pPr>
    </w:p>
    <w:p w14:paraId="62690364" w14:textId="77777777" w:rsidR="00A6778F" w:rsidRPr="005A66C6" w:rsidRDefault="00A6778F" w:rsidP="000B54EE">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71B40D62" w14:textId="77777777" w:rsidR="00A6778F" w:rsidRPr="005A66C6" w:rsidRDefault="00A6778F" w:rsidP="000B54EE">
      <w:pPr>
        <w:tabs>
          <w:tab w:val="left" w:pos="4962"/>
        </w:tabs>
        <w:spacing w:line="360" w:lineRule="auto"/>
        <w:ind w:left="567" w:right="539"/>
        <w:jc w:val="both"/>
        <w:rPr>
          <w:rFonts w:ascii="Palatino Linotype" w:hAnsi="Palatino Linotype" w:cs="Tahoma"/>
          <w:sz w:val="22"/>
          <w:szCs w:val="22"/>
        </w:rPr>
      </w:pPr>
    </w:p>
    <w:p w14:paraId="237264AF" w14:textId="77777777" w:rsidR="00A6778F" w:rsidRPr="005A66C6" w:rsidRDefault="00A6778F" w:rsidP="000B54EE">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ARTÍCULO 220 K.- La institución o dependencia pública tiene la obligación de conservar y exhibir en el proceso los documentos que a continuación se precisan:</w:t>
      </w:r>
    </w:p>
    <w:p w14:paraId="768D5F9E" w14:textId="77777777" w:rsidR="00A6778F" w:rsidRPr="005A66C6" w:rsidRDefault="00A6778F" w:rsidP="000B54EE">
      <w:pPr>
        <w:tabs>
          <w:tab w:val="left" w:pos="4962"/>
        </w:tabs>
        <w:spacing w:line="360" w:lineRule="auto"/>
        <w:ind w:left="567" w:right="567"/>
        <w:jc w:val="both"/>
        <w:rPr>
          <w:rFonts w:ascii="Palatino Linotype" w:hAnsi="Palatino Linotype" w:cs="Tahoma"/>
          <w:i/>
        </w:rPr>
      </w:pPr>
      <w:r>
        <w:rPr>
          <w:rFonts w:ascii="Palatino Linotype" w:hAnsi="Palatino Linotype" w:cs="Tahoma"/>
          <w:i/>
        </w:rPr>
        <w:t>I…</w:t>
      </w:r>
    </w:p>
    <w:p w14:paraId="289A2CA2" w14:textId="77777777" w:rsidR="00A6778F" w:rsidRPr="005A66C6" w:rsidRDefault="00A6778F" w:rsidP="000B54EE">
      <w:pPr>
        <w:tabs>
          <w:tab w:val="left" w:pos="4962"/>
        </w:tabs>
        <w:spacing w:line="360" w:lineRule="auto"/>
        <w:ind w:left="567" w:right="567"/>
        <w:jc w:val="both"/>
        <w:rPr>
          <w:rFonts w:ascii="Palatino Linotype" w:hAnsi="Palatino Linotype" w:cs="Tahoma"/>
          <w:b/>
          <w:i/>
          <w:u w:val="single"/>
        </w:rPr>
      </w:pPr>
      <w:r w:rsidRPr="005A66C6">
        <w:rPr>
          <w:rFonts w:ascii="Palatino Linotype" w:hAnsi="Palatino Linotype" w:cs="Tahoma"/>
          <w:b/>
          <w:i/>
          <w:u w:val="single"/>
        </w:rPr>
        <w:t>II. Recibos de pagos de salarios o las constancias documentales del pago de salario cuando sea por depósito o mediante información electrónica;</w:t>
      </w:r>
    </w:p>
    <w:p w14:paraId="3DAEFC9F" w14:textId="77777777" w:rsidR="00A6778F" w:rsidRPr="005A66C6" w:rsidRDefault="00A6778F" w:rsidP="000B54EE">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III.</w:t>
      </w:r>
      <w:r>
        <w:rPr>
          <w:rFonts w:ascii="Palatino Linotype" w:hAnsi="Palatino Linotype" w:cs="Tahoma"/>
          <w:i/>
        </w:rPr>
        <w:t>..</w:t>
      </w:r>
    </w:p>
    <w:p w14:paraId="7D1E3B52" w14:textId="77777777" w:rsidR="00A6778F" w:rsidRPr="005A66C6" w:rsidRDefault="00A6778F" w:rsidP="000B54EE">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5A66C6">
        <w:rPr>
          <w:rFonts w:ascii="Palatino Linotype" w:hAnsi="Palatino Linotype" w:cs="Tahoma"/>
          <w:i/>
        </w:rPr>
        <w:t xml:space="preserve"> y</w:t>
      </w:r>
    </w:p>
    <w:p w14:paraId="0BD6B7A5" w14:textId="77777777" w:rsidR="00A6778F" w:rsidRPr="005A66C6" w:rsidRDefault="00A6778F" w:rsidP="000B54EE">
      <w:pPr>
        <w:tabs>
          <w:tab w:val="left" w:pos="4962"/>
        </w:tabs>
        <w:spacing w:line="360" w:lineRule="auto"/>
        <w:ind w:left="567" w:right="567"/>
        <w:jc w:val="both"/>
        <w:rPr>
          <w:rFonts w:ascii="Palatino Linotype" w:hAnsi="Palatino Linotype" w:cs="Tahoma"/>
          <w:i/>
        </w:rPr>
      </w:pPr>
      <w:r>
        <w:rPr>
          <w:rFonts w:ascii="Palatino Linotype" w:hAnsi="Palatino Linotype" w:cs="Tahoma"/>
          <w:i/>
        </w:rPr>
        <w:t>V…</w:t>
      </w:r>
    </w:p>
    <w:p w14:paraId="474FFC59" w14:textId="77777777" w:rsidR="00A6778F" w:rsidRPr="005A66C6" w:rsidRDefault="00A6778F" w:rsidP="000B54EE">
      <w:pPr>
        <w:tabs>
          <w:tab w:val="left" w:pos="4962"/>
        </w:tabs>
        <w:spacing w:line="360" w:lineRule="auto"/>
        <w:ind w:left="567" w:right="567"/>
        <w:jc w:val="both"/>
        <w:rPr>
          <w:rFonts w:ascii="Palatino Linotype" w:hAnsi="Palatino Linotype" w:cs="Tahoma"/>
          <w:sz w:val="22"/>
          <w:szCs w:val="22"/>
        </w:rPr>
      </w:pPr>
    </w:p>
    <w:p w14:paraId="6290C024" w14:textId="77777777" w:rsidR="00A6778F" w:rsidRDefault="00A6778F" w:rsidP="000B54EE">
      <w:pPr>
        <w:spacing w:line="360" w:lineRule="auto"/>
        <w:jc w:val="both"/>
        <w:rPr>
          <w:rFonts w:ascii="Palatino Linotype" w:eastAsia="Calibri" w:hAnsi="Palatino Linotype" w:cs="Tahoma"/>
          <w:bCs/>
          <w:sz w:val="22"/>
          <w:szCs w:val="22"/>
          <w:lang w:eastAsia="en-US"/>
        </w:rPr>
      </w:pPr>
      <w:r w:rsidRPr="005A66C6">
        <w:rPr>
          <w:rFonts w:ascii="Palatino Linotype" w:eastAsia="Calibri" w:hAnsi="Palatino Linotype" w:cs="Tahoma"/>
          <w:bCs/>
          <w:sz w:val="22"/>
          <w:szCs w:val="22"/>
          <w:lang w:eastAsia="en-US"/>
        </w:rPr>
        <w:lastRenderedPageBreak/>
        <w:t>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w:t>
      </w:r>
      <w:r>
        <w:rPr>
          <w:rFonts w:ascii="Palatino Linotype" w:eastAsia="Calibri" w:hAnsi="Palatino Linotype" w:cs="Tahoma"/>
          <w:bCs/>
          <w:sz w:val="22"/>
          <w:szCs w:val="22"/>
          <w:lang w:eastAsia="en-US"/>
        </w:rPr>
        <w:t>rmación magnética o electrónica.</w:t>
      </w:r>
    </w:p>
    <w:p w14:paraId="66280ECD" w14:textId="77777777" w:rsidR="00A6778F" w:rsidRDefault="00A6778F" w:rsidP="000B54EE">
      <w:pPr>
        <w:spacing w:line="360" w:lineRule="auto"/>
        <w:jc w:val="both"/>
        <w:rPr>
          <w:rFonts w:ascii="Palatino Linotype" w:eastAsia="Calibri" w:hAnsi="Palatino Linotype" w:cs="Tahoma"/>
          <w:bCs/>
          <w:sz w:val="22"/>
          <w:szCs w:val="22"/>
          <w:lang w:eastAsia="en-US"/>
        </w:rPr>
      </w:pPr>
    </w:p>
    <w:p w14:paraId="52EA4806" w14:textId="77777777" w:rsidR="00BA1A0D" w:rsidRPr="00B65021" w:rsidRDefault="00BA1A0D" w:rsidP="000B54EE">
      <w:pPr>
        <w:spacing w:line="360" w:lineRule="auto"/>
        <w:contextualSpacing/>
        <w:jc w:val="both"/>
        <w:rPr>
          <w:rFonts w:ascii="Palatino Linotype" w:eastAsia="Calibri" w:hAnsi="Palatino Linotype"/>
          <w:bCs/>
          <w:sz w:val="22"/>
          <w:szCs w:val="22"/>
        </w:rPr>
      </w:pPr>
      <w:r w:rsidRPr="00B65021">
        <w:rPr>
          <w:rFonts w:ascii="Palatino Linotype" w:eastAsia="Calibri" w:hAnsi="Palatino Linotype"/>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00D9EEEB" w14:textId="77777777" w:rsidR="00BA1A0D" w:rsidRPr="00B65021" w:rsidRDefault="00BA1A0D" w:rsidP="000B54EE">
      <w:pPr>
        <w:spacing w:line="360" w:lineRule="auto"/>
        <w:contextualSpacing/>
        <w:jc w:val="both"/>
        <w:rPr>
          <w:rFonts w:ascii="Palatino Linotype" w:eastAsia="Calibri" w:hAnsi="Palatino Linotype"/>
          <w:bCs/>
          <w:sz w:val="22"/>
          <w:szCs w:val="22"/>
        </w:rPr>
      </w:pPr>
    </w:p>
    <w:p w14:paraId="43AF4D97" w14:textId="77777777" w:rsidR="00BA1A0D" w:rsidRPr="00B65021" w:rsidRDefault="00BA1A0D" w:rsidP="000B54EE">
      <w:pPr>
        <w:spacing w:line="360" w:lineRule="auto"/>
        <w:ind w:left="567" w:right="567"/>
        <w:contextualSpacing/>
        <w:jc w:val="both"/>
        <w:rPr>
          <w:rFonts w:ascii="Palatino Linotype" w:eastAsia="Calibri" w:hAnsi="Palatino Linotype"/>
          <w:bCs/>
          <w:i/>
          <w:iCs/>
          <w:lang w:val="es-ES"/>
        </w:rPr>
      </w:pPr>
      <w:r w:rsidRPr="00B65021">
        <w:rPr>
          <w:rFonts w:ascii="Palatino Linotype" w:eastAsia="Calibri" w:hAnsi="Palatino Linotype"/>
          <w:b/>
          <w:bCs/>
          <w:i/>
          <w:iCs/>
          <w:lang w:val="es-ES"/>
        </w:rPr>
        <w:t>“RECIBOS DE PAGO</w:t>
      </w:r>
      <w:r w:rsidRPr="00B65021">
        <w:rPr>
          <w:rFonts w:ascii="Palatino Linotype" w:eastAsia="Calibri" w:hAnsi="Palatino Linotype"/>
          <w:bCs/>
          <w:i/>
          <w:iCs/>
          <w:lang w:val="es-ES"/>
        </w:rPr>
        <w:t xml:space="preserve"> </w:t>
      </w:r>
      <w:r w:rsidRPr="00B65021">
        <w:rPr>
          <w:rFonts w:ascii="Palatino Linotype" w:eastAsia="Calibri" w:hAnsi="Palatino Linotype"/>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65021">
        <w:rPr>
          <w:rFonts w:ascii="Palatino Linotype" w:eastAsia="Calibri" w:hAnsi="Palatino Linotype"/>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374077BE" w14:textId="77777777" w:rsidR="00BA1A0D" w:rsidRPr="00B65021" w:rsidRDefault="00BA1A0D" w:rsidP="000B54EE">
      <w:pPr>
        <w:spacing w:line="360" w:lineRule="auto"/>
        <w:contextualSpacing/>
        <w:jc w:val="both"/>
        <w:rPr>
          <w:rFonts w:ascii="Palatino Linotype" w:eastAsia="Calibri" w:hAnsi="Palatino Linotype"/>
          <w:b/>
          <w:bCs/>
          <w:i/>
          <w:iCs/>
          <w:sz w:val="22"/>
          <w:szCs w:val="22"/>
          <w:lang w:val="es-ES"/>
        </w:rPr>
      </w:pPr>
    </w:p>
    <w:p w14:paraId="3F3E89D1" w14:textId="77777777" w:rsidR="00BA1A0D" w:rsidRDefault="00BA1A0D" w:rsidP="000B54EE">
      <w:pPr>
        <w:spacing w:line="360" w:lineRule="auto"/>
        <w:contextualSpacing/>
        <w:jc w:val="both"/>
        <w:rPr>
          <w:rFonts w:ascii="Palatino Linotype" w:eastAsia="Calibri" w:hAnsi="Palatino Linotype"/>
          <w:bCs/>
          <w:sz w:val="22"/>
          <w:szCs w:val="22"/>
          <w:lang w:val="es-ES"/>
        </w:rPr>
      </w:pPr>
      <w:r w:rsidRPr="00B65021">
        <w:rPr>
          <w:rFonts w:ascii="Palatino Linotype" w:eastAsia="Calibri" w:hAnsi="Palatino Linotype"/>
          <w:bCs/>
          <w:sz w:val="22"/>
          <w:szCs w:val="22"/>
          <w:lang w:val="es-ES"/>
        </w:rPr>
        <w:lastRenderedPageBreak/>
        <w:t xml:space="preserve">De la tesis transcrita, se desprende que </w:t>
      </w:r>
      <w:r w:rsidRPr="00B65021">
        <w:rPr>
          <w:rFonts w:ascii="Palatino Linotype" w:eastAsia="Calibri" w:hAnsi="Palatino Linotype"/>
          <w:b/>
          <w:bCs/>
          <w:sz w:val="22"/>
          <w:szCs w:val="22"/>
          <w:lang w:val="es-ES"/>
        </w:rPr>
        <w:t>en materia burocrática</w:t>
      </w:r>
      <w:r w:rsidRPr="00B65021">
        <w:rPr>
          <w:rFonts w:ascii="Palatino Linotype" w:eastAsia="Calibri" w:hAnsi="Palatino Linotype"/>
          <w:bCs/>
          <w:sz w:val="22"/>
          <w:szCs w:val="22"/>
          <w:lang w:val="es-ES"/>
        </w:rPr>
        <w:t xml:space="preserve"> </w:t>
      </w:r>
      <w:r w:rsidRPr="00B65021">
        <w:rPr>
          <w:rFonts w:ascii="Palatino Linotype" w:eastAsia="Calibri" w:hAnsi="Palatino Linotype"/>
          <w:b/>
          <w:bCs/>
          <w:sz w:val="22"/>
          <w:szCs w:val="22"/>
          <w:lang w:val="es-ES"/>
        </w:rPr>
        <w:t>los recibos de pago acreditan los conceptos y montos que en ellos se insertan</w:t>
      </w:r>
      <w:r w:rsidRPr="00B65021">
        <w:rPr>
          <w:rFonts w:ascii="Palatino Linotype" w:eastAsia="Calibri" w:hAnsi="Palatino Linotype"/>
          <w:bCs/>
          <w:sz w:val="22"/>
          <w:szCs w:val="22"/>
          <w:lang w:val="es-ES"/>
        </w:rPr>
        <w:t xml:space="preserve">, y constituyen prueba para demostrar las percepciones y montos que reciben los servidores públicos. </w:t>
      </w:r>
    </w:p>
    <w:p w14:paraId="4F46319E" w14:textId="77777777" w:rsidR="00BA1A0D" w:rsidRPr="00BA1A0D" w:rsidRDefault="00BA1A0D" w:rsidP="000B54EE">
      <w:pPr>
        <w:spacing w:line="360" w:lineRule="auto"/>
        <w:jc w:val="both"/>
        <w:rPr>
          <w:rFonts w:ascii="Palatino Linotype" w:eastAsia="Calibri" w:hAnsi="Palatino Linotype" w:cs="Tahoma"/>
          <w:bCs/>
          <w:sz w:val="22"/>
          <w:szCs w:val="22"/>
          <w:lang w:val="es-ES" w:eastAsia="en-US"/>
        </w:rPr>
      </w:pPr>
    </w:p>
    <w:p w14:paraId="71142818" w14:textId="2C0221C0" w:rsidR="00BA1A0D" w:rsidRPr="00B65021" w:rsidRDefault="00BA1A0D" w:rsidP="000B54EE">
      <w:pPr>
        <w:spacing w:line="360" w:lineRule="auto"/>
        <w:contextualSpacing/>
        <w:jc w:val="both"/>
        <w:rPr>
          <w:rFonts w:ascii="Palatino Linotype" w:eastAsia="Calibri" w:hAnsi="Palatino Linotype"/>
          <w:bCs/>
          <w:iCs/>
          <w:sz w:val="22"/>
          <w:szCs w:val="22"/>
          <w:lang w:val="es-ES"/>
        </w:rPr>
      </w:pPr>
      <w:r w:rsidRPr="00B65021">
        <w:rPr>
          <w:rFonts w:ascii="Palatino Linotype" w:eastAsia="Calibri" w:hAnsi="Palatino Linotype"/>
          <w:bCs/>
          <w:iCs/>
          <w:sz w:val="22"/>
          <w:szCs w:val="22"/>
          <w:lang w:val="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D53148F" w14:textId="77777777" w:rsidR="00BA1A0D" w:rsidRPr="00B65021" w:rsidRDefault="00BA1A0D" w:rsidP="000B54EE">
      <w:pPr>
        <w:spacing w:line="360" w:lineRule="auto"/>
        <w:contextualSpacing/>
        <w:jc w:val="both"/>
        <w:rPr>
          <w:rFonts w:ascii="Palatino Linotype" w:eastAsia="Calibri" w:hAnsi="Palatino Linotype"/>
          <w:bCs/>
          <w:sz w:val="22"/>
          <w:szCs w:val="22"/>
        </w:rPr>
      </w:pPr>
    </w:p>
    <w:p w14:paraId="659441FE" w14:textId="668E0D09" w:rsidR="00BA1A0D" w:rsidRDefault="00BA1A0D" w:rsidP="000B54EE">
      <w:pPr>
        <w:widowControl w:val="0"/>
        <w:spacing w:line="360" w:lineRule="auto"/>
        <w:contextualSpacing/>
        <w:jc w:val="both"/>
        <w:rPr>
          <w:rFonts w:ascii="Palatino Linotype" w:eastAsia="Palatino Linotype" w:hAnsi="Palatino Linotype" w:cs="Palatino Linotype"/>
          <w:sz w:val="22"/>
          <w:szCs w:val="22"/>
          <w:lang w:eastAsia="es-MX"/>
        </w:rPr>
      </w:pPr>
      <w:r w:rsidRPr="00D36A5B">
        <w:rPr>
          <w:rFonts w:ascii="Palatino Linotype" w:eastAsia="Palatino Linotype" w:hAnsi="Palatino Linotype" w:cs="Palatino Linotype"/>
          <w:sz w:val="22"/>
          <w:szCs w:val="22"/>
          <w:lang w:eastAsia="es-MX"/>
        </w:rP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w:t>
      </w:r>
      <w:r w:rsidR="00584C27">
        <w:rPr>
          <w:rFonts w:ascii="Palatino Linotype" w:eastAsia="Palatino Linotype" w:hAnsi="Palatino Linotype" w:cs="Palatino Linotype"/>
          <w:sz w:val="22"/>
          <w:szCs w:val="22"/>
          <w:lang w:eastAsia="es-MX"/>
        </w:rPr>
        <w:t>; además, conforme al Instructivo de Llenado, el Sujeto Obligado debe proporcionar los recibos firmados, tal como se muestra a continuación:</w:t>
      </w:r>
    </w:p>
    <w:p w14:paraId="2817045B" w14:textId="77777777" w:rsidR="00584C27" w:rsidRDefault="00584C27" w:rsidP="000B54EE">
      <w:pPr>
        <w:widowControl w:val="0"/>
        <w:spacing w:line="360" w:lineRule="auto"/>
        <w:contextualSpacing/>
        <w:jc w:val="both"/>
        <w:rPr>
          <w:rFonts w:ascii="Palatino Linotype" w:eastAsia="Palatino Linotype" w:hAnsi="Palatino Linotype" w:cs="Palatino Linotype"/>
          <w:sz w:val="22"/>
          <w:szCs w:val="22"/>
          <w:lang w:eastAsia="es-MX"/>
        </w:rPr>
      </w:pPr>
    </w:p>
    <w:p w14:paraId="53CF9529" w14:textId="7792C0F1" w:rsidR="00584C27" w:rsidRDefault="00584C27" w:rsidP="00584C27">
      <w:pPr>
        <w:widowControl w:val="0"/>
        <w:spacing w:line="360" w:lineRule="auto"/>
        <w:contextualSpacing/>
        <w:jc w:val="center"/>
        <w:rPr>
          <w:rFonts w:ascii="Palatino Linotype" w:eastAsia="Palatino Linotype" w:hAnsi="Palatino Linotype" w:cs="Palatino Linotype"/>
          <w:sz w:val="22"/>
          <w:szCs w:val="22"/>
          <w:lang w:eastAsia="es-MX"/>
        </w:rPr>
      </w:pPr>
      <w:r w:rsidRPr="00584C27">
        <w:rPr>
          <w:rFonts w:ascii="Palatino Linotype" w:eastAsia="Palatino Linotype" w:hAnsi="Palatino Linotype" w:cs="Palatino Linotype"/>
          <w:noProof/>
          <w:sz w:val="22"/>
          <w:szCs w:val="22"/>
          <w:lang w:eastAsia="es-MX"/>
        </w:rPr>
        <w:drawing>
          <wp:inline distT="0" distB="0" distL="0" distR="0" wp14:anchorId="5400D5A9" wp14:editId="3F1194D4">
            <wp:extent cx="5210902" cy="581106"/>
            <wp:effectExtent l="0" t="0" r="8890" b="9525"/>
            <wp:docPr id="679658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58959" name=""/>
                    <pic:cNvPicPr/>
                  </pic:nvPicPr>
                  <pic:blipFill>
                    <a:blip r:embed="rId9"/>
                    <a:stretch>
                      <a:fillRect/>
                    </a:stretch>
                  </pic:blipFill>
                  <pic:spPr>
                    <a:xfrm>
                      <a:off x="0" y="0"/>
                      <a:ext cx="5210902" cy="581106"/>
                    </a:xfrm>
                    <a:prstGeom prst="rect">
                      <a:avLst/>
                    </a:prstGeom>
                  </pic:spPr>
                </pic:pic>
              </a:graphicData>
            </a:graphic>
          </wp:inline>
        </w:drawing>
      </w:r>
    </w:p>
    <w:p w14:paraId="0397EC5E" w14:textId="66F21765" w:rsidR="00584C27" w:rsidRDefault="00584C27" w:rsidP="00584C27">
      <w:pPr>
        <w:widowControl w:val="0"/>
        <w:spacing w:line="360" w:lineRule="auto"/>
        <w:contextualSpacing/>
        <w:jc w:val="center"/>
        <w:rPr>
          <w:rFonts w:ascii="Palatino Linotype" w:eastAsia="Palatino Linotype" w:hAnsi="Palatino Linotype" w:cs="Palatino Linotype"/>
          <w:sz w:val="22"/>
          <w:szCs w:val="22"/>
          <w:lang w:eastAsia="es-MX"/>
        </w:rPr>
      </w:pPr>
      <w:r>
        <w:rPr>
          <w:rFonts w:ascii="Palatino Linotype" w:eastAsia="Palatino Linotype" w:hAnsi="Palatino Linotype" w:cs="Palatino Linotype"/>
          <w:sz w:val="22"/>
          <w:szCs w:val="22"/>
          <w:lang w:eastAsia="es-MX"/>
        </w:rPr>
        <w:t>…</w:t>
      </w:r>
    </w:p>
    <w:p w14:paraId="577A4345" w14:textId="69683888" w:rsidR="00584C27" w:rsidRDefault="00584C27" w:rsidP="00584C27">
      <w:pPr>
        <w:widowControl w:val="0"/>
        <w:spacing w:line="360" w:lineRule="auto"/>
        <w:contextualSpacing/>
        <w:jc w:val="center"/>
        <w:rPr>
          <w:rFonts w:ascii="Palatino Linotype" w:eastAsia="Palatino Linotype" w:hAnsi="Palatino Linotype" w:cs="Palatino Linotype"/>
          <w:sz w:val="22"/>
          <w:szCs w:val="22"/>
          <w:lang w:eastAsia="es-MX"/>
        </w:rPr>
      </w:pPr>
      <w:r w:rsidRPr="00584C27">
        <w:rPr>
          <w:rFonts w:ascii="Palatino Linotype" w:eastAsia="Palatino Linotype" w:hAnsi="Palatino Linotype" w:cs="Palatino Linotype"/>
          <w:noProof/>
          <w:sz w:val="22"/>
          <w:szCs w:val="22"/>
          <w:lang w:eastAsia="es-MX"/>
        </w:rPr>
        <w:drawing>
          <wp:inline distT="0" distB="0" distL="0" distR="0" wp14:anchorId="5E4DAAC5" wp14:editId="649D40F3">
            <wp:extent cx="5249008" cy="266737"/>
            <wp:effectExtent l="0" t="0" r="8890" b="0"/>
            <wp:docPr id="271934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34087" name=""/>
                    <pic:cNvPicPr/>
                  </pic:nvPicPr>
                  <pic:blipFill>
                    <a:blip r:embed="rId10"/>
                    <a:stretch>
                      <a:fillRect/>
                    </a:stretch>
                  </pic:blipFill>
                  <pic:spPr>
                    <a:xfrm>
                      <a:off x="0" y="0"/>
                      <a:ext cx="5249008" cy="266737"/>
                    </a:xfrm>
                    <a:prstGeom prst="rect">
                      <a:avLst/>
                    </a:prstGeom>
                  </pic:spPr>
                </pic:pic>
              </a:graphicData>
            </a:graphic>
          </wp:inline>
        </w:drawing>
      </w:r>
    </w:p>
    <w:p w14:paraId="73DAC348" w14:textId="77777777" w:rsidR="000B54EE" w:rsidRDefault="000B54EE" w:rsidP="000B54EE">
      <w:pPr>
        <w:widowControl w:val="0"/>
        <w:spacing w:line="360" w:lineRule="auto"/>
        <w:contextualSpacing/>
        <w:jc w:val="both"/>
        <w:rPr>
          <w:rFonts w:ascii="Palatino Linotype" w:eastAsia="Palatino Linotype" w:hAnsi="Palatino Linotype" w:cs="Palatino Linotype"/>
          <w:sz w:val="22"/>
          <w:szCs w:val="22"/>
          <w:lang w:eastAsia="es-MX"/>
        </w:rPr>
      </w:pPr>
    </w:p>
    <w:p w14:paraId="6E198A41" w14:textId="77777777" w:rsidR="000B54EE" w:rsidRDefault="000B54EE" w:rsidP="000B54EE">
      <w:pPr>
        <w:widowControl w:val="0"/>
        <w:spacing w:line="360" w:lineRule="auto"/>
        <w:contextualSpacing/>
        <w:jc w:val="both"/>
        <w:rPr>
          <w:rFonts w:ascii="Palatino Linotype" w:eastAsia="Palatino Linotype" w:hAnsi="Palatino Linotype" w:cs="Palatino Linotype"/>
          <w:sz w:val="22"/>
          <w:szCs w:val="22"/>
          <w:lang w:eastAsia="es-MX"/>
        </w:rPr>
      </w:pPr>
    </w:p>
    <w:p w14:paraId="03B49641" w14:textId="77777777" w:rsidR="00BA1A0D" w:rsidRDefault="00BA1A0D" w:rsidP="000B54EE">
      <w:pPr>
        <w:spacing w:line="360" w:lineRule="auto"/>
        <w:jc w:val="both"/>
        <w:rPr>
          <w:rFonts w:ascii="Palatino Linotype" w:hAnsi="Palatino Linotype" w:cs="Tahoma"/>
          <w:sz w:val="22"/>
          <w:szCs w:val="22"/>
        </w:rPr>
      </w:pPr>
    </w:p>
    <w:p w14:paraId="41F4DB15" w14:textId="2EC62911" w:rsidR="00BA1A0D" w:rsidRDefault="00BA1A0D" w:rsidP="000B54EE">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Conforme a lo anterior, se logra vislumbrar que la pretensión de la persona Recurrente es obtener los recibos de nómina del actual Presidente Municipal</w:t>
      </w:r>
      <w:r w:rsidR="00584C27">
        <w:rPr>
          <w:rFonts w:ascii="Palatino Linotype" w:hAnsi="Palatino Linotype" w:cs="Tahoma"/>
          <w:sz w:val="22"/>
          <w:szCs w:val="22"/>
        </w:rPr>
        <w:t xml:space="preserve"> firmados</w:t>
      </w:r>
      <w:r>
        <w:rPr>
          <w:rFonts w:ascii="Palatino Linotype" w:hAnsi="Palatino Linotype" w:cs="Tahoma"/>
          <w:sz w:val="22"/>
          <w:szCs w:val="22"/>
        </w:rPr>
        <w:t>, por lo que debemos tomar en cuenta que la presente administración inició el primero de enero del año en curso y ya que solicitó los recibos de nómina y las retribuciones se realizan de manera quincenal se delimitara a la segunda quince de junio, ya que la solicitud ingreso el tres de julio del presente año.</w:t>
      </w:r>
    </w:p>
    <w:p w14:paraId="6985998E" w14:textId="77777777" w:rsidR="00BA1A0D" w:rsidRDefault="00BA1A0D" w:rsidP="000B54EE">
      <w:pPr>
        <w:spacing w:line="360" w:lineRule="auto"/>
        <w:jc w:val="both"/>
        <w:rPr>
          <w:rFonts w:ascii="Palatino Linotype" w:hAnsi="Palatino Linotype" w:cs="Tahoma"/>
          <w:sz w:val="22"/>
          <w:szCs w:val="22"/>
        </w:rPr>
      </w:pPr>
    </w:p>
    <w:p w14:paraId="6DD5CB07" w14:textId="30B5A10B" w:rsidR="00BB30A3" w:rsidRDefault="00BB30A3" w:rsidP="000B54EE">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en respuesta a través de la </w:t>
      </w:r>
      <w:r w:rsidRPr="00BB30A3">
        <w:rPr>
          <w:rFonts w:ascii="Palatino Linotype" w:hAnsi="Palatino Linotype" w:cs="Tahoma"/>
          <w:sz w:val="22"/>
          <w:szCs w:val="22"/>
        </w:rPr>
        <w:t>Directora de Recursos Humanos</w:t>
      </w:r>
      <w:r>
        <w:rPr>
          <w:rFonts w:ascii="Palatino Linotype" w:hAnsi="Palatino Linotype" w:cs="Tahoma"/>
          <w:sz w:val="22"/>
          <w:szCs w:val="22"/>
        </w:rPr>
        <w:t>, señaló que proporcionaba la información solicitada, razón por la cual de acuerdo al Manual de Organización de la Dirección General de Administración, que tiene dentro de sus atribuciones la de c</w:t>
      </w:r>
      <w:r w:rsidRPr="00BB30A3">
        <w:rPr>
          <w:rFonts w:ascii="Palatino Linotype" w:hAnsi="Palatino Linotype" w:cs="Tahoma"/>
          <w:sz w:val="22"/>
          <w:szCs w:val="22"/>
        </w:rPr>
        <w:t>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r>
        <w:rPr>
          <w:rFonts w:ascii="Palatino Linotype" w:hAnsi="Palatino Linotype" w:cs="Tahoma"/>
          <w:sz w:val="22"/>
          <w:szCs w:val="22"/>
        </w:rPr>
        <w:t>; d</w:t>
      </w:r>
      <w:r w:rsidRPr="00BB30A3">
        <w:rPr>
          <w:rFonts w:ascii="Palatino Linotype" w:hAnsi="Palatino Linotype" w:cs="Tahoma"/>
          <w:sz w:val="22"/>
          <w:szCs w:val="22"/>
        </w:rPr>
        <w:t>e esta forma se advierte que el Sujeto Obligado cumplió con el procedimiento de búsqueda, pues turno la solicitud de información al área competente, que</w:t>
      </w:r>
      <w:r>
        <w:rPr>
          <w:rFonts w:ascii="Palatino Linotype" w:hAnsi="Palatino Linotype" w:cs="Tahoma"/>
          <w:sz w:val="22"/>
          <w:szCs w:val="22"/>
        </w:rPr>
        <w:t xml:space="preserve"> emite los recibos solicitados</w:t>
      </w:r>
      <w:r w:rsidRPr="00BB30A3">
        <w:rPr>
          <w:rFonts w:ascii="Palatino Linotype" w:hAnsi="Palatino Linotype" w:cs="Tahoma"/>
          <w:sz w:val="22"/>
          <w:szCs w:val="22"/>
        </w:rPr>
        <w:t>.</w:t>
      </w:r>
    </w:p>
    <w:p w14:paraId="0C2942C3" w14:textId="77777777" w:rsidR="00BB30A3" w:rsidRDefault="00BB30A3" w:rsidP="000B54EE">
      <w:pPr>
        <w:spacing w:line="360" w:lineRule="auto"/>
        <w:jc w:val="both"/>
        <w:rPr>
          <w:rFonts w:ascii="Palatino Linotype" w:hAnsi="Palatino Linotype" w:cs="Tahoma"/>
          <w:sz w:val="22"/>
          <w:szCs w:val="22"/>
        </w:rPr>
      </w:pPr>
    </w:p>
    <w:p w14:paraId="26583ED1" w14:textId="724F8BC4" w:rsidR="00584C27" w:rsidRPr="00584C27" w:rsidRDefault="00BB30A3" w:rsidP="00584C27">
      <w:pPr>
        <w:spacing w:line="360" w:lineRule="auto"/>
        <w:jc w:val="both"/>
        <w:rPr>
          <w:rFonts w:ascii="Palatino Linotype" w:eastAsia="Calibri" w:hAnsi="Palatino Linotype"/>
          <w:color w:val="000000"/>
          <w:sz w:val="22"/>
          <w:szCs w:val="22"/>
          <w:lang w:eastAsia="es-MX"/>
        </w:rPr>
      </w:pPr>
      <w:r>
        <w:rPr>
          <w:rFonts w:ascii="Palatino Linotype" w:eastAsia="Calibri" w:hAnsi="Palatino Linotype" w:cs="Tahoma"/>
          <w:bCs/>
          <w:sz w:val="22"/>
          <w:szCs w:val="22"/>
          <w:lang w:eastAsia="en-US"/>
        </w:rPr>
        <w:t xml:space="preserve">Establecido </w:t>
      </w:r>
      <w:r w:rsidR="00BA1A0D">
        <w:rPr>
          <w:rFonts w:ascii="Palatino Linotype" w:eastAsia="Calibri" w:hAnsi="Palatino Linotype" w:cs="Tahoma"/>
          <w:bCs/>
          <w:sz w:val="22"/>
          <w:szCs w:val="22"/>
          <w:lang w:eastAsia="en-US"/>
        </w:rPr>
        <w:t xml:space="preserve">lo anterior, </w:t>
      </w:r>
      <w:r>
        <w:rPr>
          <w:rFonts w:ascii="Palatino Linotype" w:eastAsia="Calibri" w:hAnsi="Palatino Linotype" w:cs="Tahoma"/>
          <w:bCs/>
          <w:sz w:val="22"/>
          <w:szCs w:val="22"/>
          <w:lang w:eastAsia="en-US"/>
        </w:rPr>
        <w:t>se procede a analizar la</w:t>
      </w:r>
      <w:r w:rsidR="00BA1A0D">
        <w:rPr>
          <w:rFonts w:ascii="Palatino Linotype" w:eastAsia="Calibri" w:hAnsi="Palatino Linotype" w:cs="Tahoma"/>
          <w:bCs/>
          <w:sz w:val="22"/>
          <w:szCs w:val="22"/>
          <w:lang w:eastAsia="en-US"/>
        </w:rPr>
        <w:t xml:space="preserve"> respuesta </w:t>
      </w:r>
      <w:r>
        <w:rPr>
          <w:rFonts w:ascii="Palatino Linotype" w:eastAsia="Calibri" w:hAnsi="Palatino Linotype" w:cs="Tahoma"/>
          <w:bCs/>
          <w:sz w:val="22"/>
          <w:szCs w:val="22"/>
          <w:lang w:eastAsia="en-US"/>
        </w:rPr>
        <w:t>d</w:t>
      </w:r>
      <w:r w:rsidR="00BA1A0D" w:rsidRPr="00400D1B">
        <w:rPr>
          <w:rFonts w:ascii="Palatino Linotype" w:hAnsi="Palatino Linotype" w:cs="Tahoma"/>
          <w:sz w:val="22"/>
          <w:szCs w:val="22"/>
        </w:rPr>
        <w:t xml:space="preserve">el Sujeto Obligado </w:t>
      </w:r>
      <w:r>
        <w:rPr>
          <w:rFonts w:ascii="Palatino Linotype" w:hAnsi="Palatino Linotype" w:cs="Tahoma"/>
          <w:sz w:val="22"/>
          <w:szCs w:val="22"/>
        </w:rPr>
        <w:t xml:space="preserve">en la que </w:t>
      </w:r>
      <w:r w:rsidR="00BA1A0D">
        <w:rPr>
          <w:rFonts w:ascii="Palatino Linotype" w:hAnsi="Palatino Linotype" w:cs="Tahoma"/>
          <w:sz w:val="22"/>
          <w:szCs w:val="22"/>
        </w:rPr>
        <w:t>proporcionó una liga electrónica</w:t>
      </w:r>
      <w:r w:rsidR="00BA1A0D">
        <w:rPr>
          <w:rFonts w:ascii="Palatino Linotype" w:eastAsia="Palatino Linotype" w:hAnsi="Palatino Linotype" w:cs="Palatino Linotype"/>
          <w:sz w:val="22"/>
          <w:szCs w:val="22"/>
        </w:rPr>
        <w:t xml:space="preserve">, </w:t>
      </w:r>
      <w:r w:rsidR="00584C27">
        <w:rPr>
          <w:rFonts w:ascii="Palatino Linotype" w:eastAsia="Calibri" w:hAnsi="Palatino Linotype"/>
          <w:color w:val="000000"/>
          <w:sz w:val="22"/>
          <w:szCs w:val="22"/>
          <w:lang w:eastAsia="es-MX"/>
        </w:rPr>
        <w:t xml:space="preserve">de cuya revisión </w:t>
      </w:r>
      <w:r w:rsidR="00584C27" w:rsidRPr="00584C27">
        <w:rPr>
          <w:rFonts w:ascii="Palatino Linotype" w:eastAsia="Calibri" w:hAnsi="Palatino Linotype"/>
          <w:color w:val="000000"/>
          <w:sz w:val="22"/>
          <w:szCs w:val="22"/>
          <w:lang w:eastAsia="es-MX"/>
        </w:rPr>
        <w:t>se logra vislumbrar que se encuentra en un formato cerrado, es decir, que no se puede copiar y pegar para tener acceso.</w:t>
      </w:r>
    </w:p>
    <w:p w14:paraId="226E9957"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p>
    <w:p w14:paraId="07FD680A"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7E95B253"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FE7096C"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p>
    <w:p w14:paraId="6D614408"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77BD1E7"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p>
    <w:p w14:paraId="74307371" w14:textId="77777777" w:rsidR="00584C27" w:rsidRPr="00584C27" w:rsidRDefault="00584C27" w:rsidP="00A65FFD">
      <w:pPr>
        <w:numPr>
          <w:ilvl w:val="0"/>
          <w:numId w:val="8"/>
        </w:numPr>
        <w:spacing w:line="360" w:lineRule="auto"/>
        <w:contextualSpacing/>
        <w:jc w:val="both"/>
        <w:rPr>
          <w:rFonts w:ascii="Palatino Linotype" w:eastAsia="Calibri" w:hAnsi="Palatino Linotype"/>
          <w:color w:val="000000"/>
          <w:sz w:val="22"/>
          <w:szCs w:val="24"/>
        </w:rPr>
      </w:pPr>
      <w:r w:rsidRPr="00584C27">
        <w:rPr>
          <w:rFonts w:ascii="Palatino Linotype" w:eastAsia="Calibri" w:hAnsi="Palatino Linotype"/>
          <w:b/>
          <w:bCs/>
          <w:color w:val="000000"/>
          <w:sz w:val="22"/>
          <w:szCs w:val="24"/>
        </w:rPr>
        <w:t>Dato abierto:</w:t>
      </w:r>
      <w:r w:rsidRPr="00584C27">
        <w:rPr>
          <w:rFonts w:ascii="Palatino Linotype" w:eastAsia="Calibri" w:hAnsi="Palatino Linotype"/>
          <w:color w:val="000000"/>
          <w:sz w:val="22"/>
          <w:szCs w:val="24"/>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1C99ECE" w14:textId="77777777" w:rsidR="00584C27" w:rsidRPr="00584C27" w:rsidRDefault="00584C27" w:rsidP="00584C27">
      <w:pPr>
        <w:spacing w:line="360" w:lineRule="auto"/>
        <w:jc w:val="both"/>
        <w:rPr>
          <w:rFonts w:ascii="Palatino Linotype" w:eastAsia="Palatino Linotype" w:hAnsi="Palatino Linotype" w:cs="Palatino Linotype"/>
          <w:sz w:val="22"/>
          <w:szCs w:val="22"/>
          <w:lang w:eastAsia="es-MX"/>
        </w:rPr>
      </w:pPr>
    </w:p>
    <w:p w14:paraId="2EDDF5EA" w14:textId="77777777" w:rsidR="00584C27" w:rsidRPr="00584C27" w:rsidRDefault="00584C27" w:rsidP="00A65FFD">
      <w:pPr>
        <w:numPr>
          <w:ilvl w:val="0"/>
          <w:numId w:val="8"/>
        </w:numPr>
        <w:spacing w:line="360" w:lineRule="auto"/>
        <w:contextualSpacing/>
        <w:jc w:val="both"/>
        <w:rPr>
          <w:rFonts w:ascii="Palatino Linotype" w:eastAsia="Calibri" w:hAnsi="Palatino Linotype"/>
          <w:color w:val="000000"/>
          <w:sz w:val="22"/>
          <w:szCs w:val="24"/>
        </w:rPr>
      </w:pPr>
      <w:r w:rsidRPr="00584C27">
        <w:rPr>
          <w:rFonts w:ascii="Palatino Linotype" w:eastAsia="Calibri" w:hAnsi="Palatino Linotype"/>
          <w:b/>
          <w:bCs/>
          <w:color w:val="000000"/>
          <w:sz w:val="22"/>
          <w:szCs w:val="24"/>
        </w:rPr>
        <w:t>Formato accesible:</w:t>
      </w:r>
      <w:r w:rsidRPr="00584C27">
        <w:rPr>
          <w:rFonts w:ascii="Palatino Linotype" w:eastAsia="Calibri" w:hAnsi="Palatino Linotype"/>
          <w:color w:val="000000"/>
          <w:sz w:val="22"/>
          <w:szCs w:val="24"/>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42FEAE1"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p>
    <w:p w14:paraId="0D526E31"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2E5A06F9"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p>
    <w:p w14:paraId="4ECA48A3"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lastRenderedPageBreak/>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41516850"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p>
    <w:p w14:paraId="282FB70E" w14:textId="7982204C" w:rsidR="00BA1A0D" w:rsidRDefault="00584C27" w:rsidP="00584C27">
      <w:pPr>
        <w:spacing w:line="360" w:lineRule="auto"/>
        <w:ind w:right="-93"/>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t>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w:t>
      </w:r>
      <w:r>
        <w:rPr>
          <w:rFonts w:ascii="Palatino Linotype" w:eastAsia="Calibri" w:hAnsi="Palatino Linotype"/>
          <w:color w:val="000000"/>
          <w:sz w:val="22"/>
          <w:szCs w:val="22"/>
          <w:lang w:eastAsia="es-MX"/>
        </w:rPr>
        <w:t xml:space="preserve">; </w:t>
      </w:r>
      <w:r w:rsidRPr="00584C27">
        <w:rPr>
          <w:rFonts w:ascii="Palatino Linotype" w:eastAsia="Calibri" w:hAnsi="Palatino Linotype"/>
          <w:color w:val="000000"/>
          <w:sz w:val="22"/>
          <w:szCs w:val="22"/>
          <w:lang w:eastAsia="es-MX"/>
        </w:rPr>
        <w:t xml:space="preserve">por lo que, se considera que incumplió con lo establecido en el artículo 161 de la Ley de Transparencia y Acceso a la Información Pública del Estado de México y Municipios. </w:t>
      </w:r>
    </w:p>
    <w:p w14:paraId="6E3A063B" w14:textId="77777777" w:rsidR="00584C27" w:rsidRPr="00127996" w:rsidRDefault="00584C27" w:rsidP="00584C27">
      <w:pPr>
        <w:spacing w:line="360" w:lineRule="auto"/>
        <w:ind w:right="-93"/>
        <w:jc w:val="both"/>
        <w:rPr>
          <w:rFonts w:ascii="Palatino Linotype" w:eastAsia="Calibri" w:hAnsi="Palatino Linotype" w:cs="Tahoma"/>
          <w:iCs/>
          <w:sz w:val="22"/>
          <w:szCs w:val="22"/>
          <w:lang w:eastAsia="es-ES_tradnl"/>
        </w:rPr>
      </w:pPr>
    </w:p>
    <w:p w14:paraId="535226BF" w14:textId="3E8C21DB" w:rsidR="00584C27" w:rsidRPr="00584C27" w:rsidRDefault="00BA1A0D" w:rsidP="000B54EE">
      <w:pPr>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No obstante, del texto de la liga se puede advertir que corresponde al IPOMEX del Sujeto Obligado en el apartado de remuneraciones, por lo que no es el documento solicitado por el Particular, ya que el de manera específica solicitó, los recibos de nómina firmados</w:t>
      </w:r>
      <w:r w:rsidR="00BB30A3">
        <w:rPr>
          <w:rFonts w:ascii="Palatino Linotype" w:eastAsia="Palatino Linotype" w:hAnsi="Palatino Linotype" w:cs="Palatino Linotype"/>
          <w:sz w:val="22"/>
          <w:szCs w:val="22"/>
        </w:rPr>
        <w:t>,</w:t>
      </w:r>
      <w:r w:rsidR="00584C27">
        <w:rPr>
          <w:rFonts w:ascii="Palatino Linotype" w:eastAsia="Palatino Linotype" w:hAnsi="Palatino Linotype" w:cs="Palatino Linotype"/>
          <w:sz w:val="22"/>
          <w:szCs w:val="22"/>
        </w:rPr>
        <w:t xml:space="preserve"> lo cual da como resultado que el agravio sea </w:t>
      </w:r>
      <w:r w:rsidR="00584C27">
        <w:rPr>
          <w:rFonts w:ascii="Palatino Linotype" w:eastAsia="Palatino Linotype" w:hAnsi="Palatino Linotype" w:cs="Palatino Linotype"/>
          <w:b/>
          <w:bCs/>
          <w:sz w:val="22"/>
          <w:szCs w:val="22"/>
        </w:rPr>
        <w:t>FUNDADO.</w:t>
      </w:r>
    </w:p>
    <w:p w14:paraId="0DE95F64" w14:textId="77777777" w:rsidR="00584C27" w:rsidRDefault="00584C27" w:rsidP="000B54EE">
      <w:pPr>
        <w:spacing w:line="360" w:lineRule="auto"/>
        <w:jc w:val="both"/>
        <w:rPr>
          <w:rFonts w:ascii="Palatino Linotype" w:eastAsia="Palatino Linotype" w:hAnsi="Palatino Linotype" w:cs="Palatino Linotype"/>
          <w:sz w:val="22"/>
          <w:szCs w:val="22"/>
        </w:rPr>
      </w:pPr>
    </w:p>
    <w:p w14:paraId="5F2D3601" w14:textId="4C26FFE6" w:rsidR="00584C27" w:rsidRDefault="00584C27" w:rsidP="00584C27">
      <w:pPr>
        <w:spacing w:line="360" w:lineRule="auto"/>
        <w:jc w:val="both"/>
        <w:rPr>
          <w:rFonts w:ascii="Palatino Linotype" w:eastAsia="Calibri" w:hAnsi="Palatino Linotype" w:cs="Tahoma"/>
          <w:iCs/>
          <w:sz w:val="22"/>
          <w:szCs w:val="22"/>
          <w:lang w:eastAsia="es-ES_tradnl"/>
        </w:rPr>
      </w:pPr>
      <w:r w:rsidRPr="00584C27">
        <w:rPr>
          <w:rFonts w:ascii="Palatino Linotype" w:eastAsia="Calibri" w:hAnsi="Palatino Linotype"/>
          <w:color w:val="000000"/>
          <w:sz w:val="22"/>
          <w:szCs w:val="22"/>
          <w:lang w:eastAsia="es-MX"/>
        </w:rPr>
        <w:t xml:space="preserve">Por lo que para atender el requerimiento el requerimiento de información, el Sujeto Obligado deberá realizar una búsqueda exhaustiva y razonable en los archivos de todas sus áreas competentes, a efecto que proporcione </w:t>
      </w:r>
      <w:r>
        <w:rPr>
          <w:rFonts w:ascii="Palatino Linotype" w:eastAsia="Calibri" w:hAnsi="Palatino Linotype"/>
          <w:color w:val="000000"/>
          <w:sz w:val="22"/>
          <w:szCs w:val="22"/>
          <w:lang w:eastAsia="es-MX"/>
        </w:rPr>
        <w:t xml:space="preserve">los recibos de nómina firmados, </w:t>
      </w:r>
      <w:r>
        <w:rPr>
          <w:rFonts w:ascii="Palatino Linotype" w:eastAsia="Calibri" w:hAnsi="Palatino Linotype" w:cs="Tahoma"/>
          <w:iCs/>
          <w:sz w:val="22"/>
          <w:szCs w:val="22"/>
          <w:lang w:eastAsia="es-ES_tradnl"/>
        </w:rPr>
        <w:t xml:space="preserve">ya que como se refirió en párrafos anteriores, </w:t>
      </w:r>
      <w:r w:rsidRPr="00BB30A3">
        <w:rPr>
          <w:rFonts w:ascii="Palatino Linotype" w:eastAsia="Calibri" w:hAnsi="Palatino Linotype" w:cs="Tahoma"/>
          <w:iCs/>
          <w:sz w:val="22"/>
          <w:szCs w:val="22"/>
          <w:lang w:eastAsia="es-ES_tradnl"/>
        </w:rPr>
        <w:t>el Sujeto Obligado deberá entregar al Órgano Superior de Fiscalización, los Comprobantes Fiscales Digitales por Internet por concepto de nómina firmados</w:t>
      </w:r>
      <w:r>
        <w:rPr>
          <w:rFonts w:ascii="Palatino Linotype" w:eastAsia="Calibri" w:hAnsi="Palatino Linotype" w:cs="Tahoma"/>
          <w:iCs/>
          <w:sz w:val="22"/>
          <w:szCs w:val="22"/>
          <w:lang w:eastAsia="es-ES_tradnl"/>
        </w:rPr>
        <w:t xml:space="preserve"> como se muestra con la siguiente imagen:</w:t>
      </w:r>
    </w:p>
    <w:p w14:paraId="647DAB03" w14:textId="77777777" w:rsidR="00584C27" w:rsidRDefault="00584C27" w:rsidP="00584C27">
      <w:pPr>
        <w:spacing w:line="360" w:lineRule="auto"/>
        <w:jc w:val="both"/>
        <w:rPr>
          <w:rFonts w:ascii="Palatino Linotype" w:eastAsia="Calibri" w:hAnsi="Palatino Linotype" w:cs="Tahoma"/>
          <w:iCs/>
          <w:sz w:val="22"/>
          <w:szCs w:val="22"/>
          <w:lang w:eastAsia="es-ES_tradnl"/>
        </w:rPr>
      </w:pPr>
    </w:p>
    <w:p w14:paraId="44168C73" w14:textId="77777777" w:rsidR="00584C27" w:rsidRDefault="00584C27" w:rsidP="00584C27">
      <w:pPr>
        <w:spacing w:line="360" w:lineRule="auto"/>
        <w:jc w:val="center"/>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w:lastRenderedPageBreak/>
        <mc:AlternateContent>
          <mc:Choice Requires="wps">
            <w:drawing>
              <wp:anchor distT="0" distB="0" distL="114300" distR="114300" simplePos="0" relativeHeight="251659264" behindDoc="0" locked="0" layoutInCell="1" allowOverlap="1" wp14:anchorId="3D7C4C4C" wp14:editId="6487D57A">
                <wp:simplePos x="0" y="0"/>
                <wp:positionH relativeFrom="column">
                  <wp:posOffset>172720</wp:posOffset>
                </wp:positionH>
                <wp:positionV relativeFrom="paragraph">
                  <wp:posOffset>1910080</wp:posOffset>
                </wp:positionV>
                <wp:extent cx="5467350" cy="361950"/>
                <wp:effectExtent l="19050" t="19050" r="19050" b="19050"/>
                <wp:wrapNone/>
                <wp:docPr id="1497430799" name="Rectángulo 1"/>
                <wp:cNvGraphicFramePr/>
                <a:graphic xmlns:a="http://schemas.openxmlformats.org/drawingml/2006/main">
                  <a:graphicData uri="http://schemas.microsoft.com/office/word/2010/wordprocessingShape">
                    <wps:wsp>
                      <wps:cNvSpPr/>
                      <wps:spPr>
                        <a:xfrm>
                          <a:off x="0" y="0"/>
                          <a:ext cx="5467350" cy="36195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49725" id="Rectángulo 1" o:spid="_x0000_s1026" style="position:absolute;margin-left:13.6pt;margin-top:150.4pt;width:430.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" filled="f" strokecolor="red" strokeweight="3pt"/>
            </w:pict>
          </mc:Fallback>
        </mc:AlternateContent>
      </w:r>
      <w:r w:rsidRPr="006E6B62">
        <w:rPr>
          <w:rFonts w:ascii="Palatino Linotype" w:eastAsia="Calibri" w:hAnsi="Palatino Linotype" w:cs="Tahoma"/>
          <w:iCs/>
          <w:noProof/>
          <w:sz w:val="22"/>
          <w:szCs w:val="22"/>
          <w:lang w:eastAsia="es-MX"/>
        </w:rPr>
        <w:drawing>
          <wp:inline distT="0" distB="0" distL="0" distR="0" wp14:anchorId="4A15894E" wp14:editId="148B5D59">
            <wp:extent cx="5431155" cy="2257425"/>
            <wp:effectExtent l="0" t="0" r="0" b="9525"/>
            <wp:docPr id="1886113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13442" name=""/>
                    <pic:cNvPicPr/>
                  </pic:nvPicPr>
                  <pic:blipFill rotWithShape="1">
                    <a:blip r:embed="rId11"/>
                    <a:srcRect b="47448"/>
                    <a:stretch/>
                  </pic:blipFill>
                  <pic:spPr bwMode="auto">
                    <a:xfrm>
                      <a:off x="0" y="0"/>
                      <a:ext cx="5434037" cy="2258623"/>
                    </a:xfrm>
                    <a:prstGeom prst="rect">
                      <a:avLst/>
                    </a:prstGeom>
                    <a:ln>
                      <a:noFill/>
                    </a:ln>
                    <a:extLst>
                      <a:ext uri="{53640926-AAD7-44D8-BBD7-CCE9431645EC}">
                        <a14:shadowObscured xmlns:a14="http://schemas.microsoft.com/office/drawing/2010/main"/>
                      </a:ext>
                    </a:extLst>
                  </pic:spPr>
                </pic:pic>
              </a:graphicData>
            </a:graphic>
          </wp:inline>
        </w:drawing>
      </w:r>
    </w:p>
    <w:p w14:paraId="3016E302" w14:textId="77777777" w:rsidR="00584C27" w:rsidRDefault="00584C27" w:rsidP="00584C27">
      <w:pPr>
        <w:spacing w:line="360" w:lineRule="auto"/>
        <w:jc w:val="center"/>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w:t>
      </w:r>
    </w:p>
    <w:p w14:paraId="790F8549" w14:textId="77777777" w:rsidR="00584C27" w:rsidRDefault="00584C27" w:rsidP="00584C27">
      <w:pPr>
        <w:spacing w:line="360" w:lineRule="auto"/>
        <w:jc w:val="center"/>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mc:AlternateContent>
          <mc:Choice Requires="wps">
            <w:drawing>
              <wp:anchor distT="0" distB="0" distL="114300" distR="114300" simplePos="0" relativeHeight="251660288" behindDoc="0" locked="0" layoutInCell="1" allowOverlap="1" wp14:anchorId="5DB2B819" wp14:editId="2C4D8407">
                <wp:simplePos x="0" y="0"/>
                <wp:positionH relativeFrom="margin">
                  <wp:align>right</wp:align>
                </wp:positionH>
                <wp:positionV relativeFrom="paragraph">
                  <wp:posOffset>36195</wp:posOffset>
                </wp:positionV>
                <wp:extent cx="5467350" cy="361950"/>
                <wp:effectExtent l="19050" t="19050" r="19050" b="19050"/>
                <wp:wrapNone/>
                <wp:docPr id="1586978811" name="Rectángulo 1"/>
                <wp:cNvGraphicFramePr/>
                <a:graphic xmlns:a="http://schemas.openxmlformats.org/drawingml/2006/main">
                  <a:graphicData uri="http://schemas.microsoft.com/office/word/2010/wordprocessingShape">
                    <wps:wsp>
                      <wps:cNvSpPr/>
                      <wps:spPr>
                        <a:xfrm>
                          <a:off x="0" y="0"/>
                          <a:ext cx="5467350" cy="36195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25ADE" id="Rectángulo 1" o:spid="_x0000_s1026" style="position:absolute;margin-left:379.3pt;margin-top:2.85pt;width:430.5pt;height:28.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" filled="f" strokecolor="red" strokeweight="3pt">
                <w10:wrap anchorx="margin"/>
              </v:rect>
            </w:pict>
          </mc:Fallback>
        </mc:AlternateContent>
      </w:r>
      <w:r w:rsidRPr="006E6B62">
        <w:rPr>
          <w:rFonts w:ascii="Palatino Linotype" w:eastAsia="Calibri" w:hAnsi="Palatino Linotype" w:cs="Tahoma"/>
          <w:iCs/>
          <w:noProof/>
          <w:sz w:val="22"/>
          <w:szCs w:val="22"/>
          <w:lang w:eastAsia="es-MX"/>
        </w:rPr>
        <w:drawing>
          <wp:inline distT="0" distB="0" distL="0" distR="0" wp14:anchorId="34CEDE6E" wp14:editId="7F37EC49">
            <wp:extent cx="5238115" cy="399056"/>
            <wp:effectExtent l="0" t="0" r="635" b="1270"/>
            <wp:docPr id="1538973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3440" name=""/>
                    <pic:cNvPicPr/>
                  </pic:nvPicPr>
                  <pic:blipFill>
                    <a:blip r:embed="rId12"/>
                    <a:stretch>
                      <a:fillRect/>
                    </a:stretch>
                  </pic:blipFill>
                  <pic:spPr>
                    <a:xfrm>
                      <a:off x="0" y="0"/>
                      <a:ext cx="5301441" cy="403880"/>
                    </a:xfrm>
                    <a:prstGeom prst="rect">
                      <a:avLst/>
                    </a:prstGeom>
                  </pic:spPr>
                </pic:pic>
              </a:graphicData>
            </a:graphic>
          </wp:inline>
        </w:drawing>
      </w:r>
    </w:p>
    <w:p w14:paraId="63793F3F" w14:textId="77777777" w:rsidR="00584C27" w:rsidRDefault="00584C27" w:rsidP="00584C27">
      <w:pPr>
        <w:spacing w:line="360" w:lineRule="auto"/>
        <w:jc w:val="both"/>
        <w:rPr>
          <w:rFonts w:ascii="Palatino Linotype" w:eastAsia="Calibri" w:hAnsi="Palatino Linotype" w:cs="Tahoma"/>
          <w:iCs/>
          <w:sz w:val="22"/>
          <w:szCs w:val="22"/>
          <w:lang w:eastAsia="es-ES_tradnl"/>
        </w:rPr>
      </w:pPr>
    </w:p>
    <w:p w14:paraId="0F33FA51" w14:textId="3C9EAC34" w:rsidR="00584C27" w:rsidRPr="00584C27" w:rsidRDefault="00584C27" w:rsidP="00584C27">
      <w:pPr>
        <w:spacing w:line="360" w:lineRule="auto"/>
        <w:jc w:val="both"/>
        <w:rPr>
          <w:rFonts w:ascii="Palatino Linotype" w:eastAsia="Calibri" w:hAnsi="Palatino Linotype"/>
          <w:color w:val="000000"/>
          <w:sz w:val="22"/>
          <w:szCs w:val="22"/>
          <w:lang w:eastAsia="es-MX"/>
        </w:rPr>
      </w:pPr>
      <w:r>
        <w:rPr>
          <w:rFonts w:ascii="Palatino Linotype" w:eastAsia="Calibri" w:hAnsi="Palatino Linotype"/>
          <w:color w:val="000000"/>
          <w:sz w:val="22"/>
          <w:szCs w:val="22"/>
          <w:lang w:eastAsia="es-MX"/>
        </w:rPr>
        <w:t>D</w:t>
      </w:r>
      <w:r w:rsidRPr="00584C27">
        <w:rPr>
          <w:rFonts w:ascii="Palatino Linotype" w:eastAsia="Calibri" w:hAnsi="Palatino Linotype"/>
          <w:color w:val="000000"/>
          <w:sz w:val="22"/>
          <w:szCs w:val="22"/>
          <w:lang w:eastAsia="es-MX"/>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816AE25"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p>
    <w:p w14:paraId="7923AE89"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584C27">
        <w:rPr>
          <w:rFonts w:ascii="Palatino Linotype" w:eastAsia="Calibri" w:hAnsi="Palatino Linotype"/>
          <w:i/>
          <w:iCs/>
          <w:color w:val="000000"/>
          <w:sz w:val="22"/>
          <w:szCs w:val="22"/>
          <w:lang w:eastAsia="es-MX"/>
        </w:rPr>
        <w:t>ad hoc;</w:t>
      </w:r>
      <w:r w:rsidRPr="00584C27">
        <w:rPr>
          <w:rFonts w:ascii="Palatino Linotype" w:eastAsia="Calibri" w:hAnsi="Palatino Linotype"/>
          <w:color w:val="000000"/>
          <w:sz w:val="22"/>
          <w:szCs w:val="22"/>
          <w:lang w:eastAsia="es-MX"/>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68EBA997" w14:textId="77777777" w:rsidR="00584C27" w:rsidRPr="00584C27" w:rsidRDefault="00584C27" w:rsidP="00584C27">
      <w:pPr>
        <w:spacing w:line="360" w:lineRule="auto"/>
        <w:jc w:val="both"/>
        <w:rPr>
          <w:rFonts w:ascii="Palatino Linotype" w:eastAsia="Calibri" w:hAnsi="Palatino Linotype"/>
          <w:color w:val="000000"/>
          <w:sz w:val="22"/>
          <w:szCs w:val="22"/>
          <w:lang w:eastAsia="es-MX"/>
        </w:rPr>
      </w:pPr>
    </w:p>
    <w:p w14:paraId="7027D1DB" w14:textId="2E4111D2" w:rsidR="00584C27" w:rsidRDefault="00584C27" w:rsidP="00584C27">
      <w:pPr>
        <w:spacing w:line="360" w:lineRule="auto"/>
        <w:jc w:val="both"/>
        <w:rPr>
          <w:rFonts w:ascii="Palatino Linotype" w:eastAsia="Palatino Linotype" w:hAnsi="Palatino Linotype" w:cs="Palatino Linotype"/>
          <w:sz w:val="22"/>
          <w:szCs w:val="22"/>
        </w:rPr>
      </w:pPr>
      <w:r w:rsidRPr="00584C27">
        <w:rPr>
          <w:rFonts w:ascii="Palatino Linotype" w:eastAsia="Calibri" w:hAnsi="Palatino Linotype"/>
          <w:color w:val="000000"/>
          <w:sz w:val="22"/>
          <w:szCs w:val="22"/>
          <w:lang w:eastAsia="es-MX"/>
        </w:rPr>
        <w:t xml:space="preserve">De tales circunstancias, se concluye que los sujetos obligados únicamente se encuentran constreñidos a proporcionar los documentos que den cuenta de la información solicitada, </w:t>
      </w:r>
      <w:r w:rsidRPr="00584C27">
        <w:rPr>
          <w:rFonts w:ascii="Palatino Linotype" w:eastAsia="Calibri" w:hAnsi="Palatino Linotype"/>
          <w:color w:val="000000"/>
          <w:sz w:val="22"/>
          <w:szCs w:val="22"/>
          <w:lang w:eastAsia="es-MX"/>
        </w:rPr>
        <w:lastRenderedPageBreak/>
        <w:t xml:space="preserve">como obren en sus archivos, sin tener que elaborarlos a las necesidades del Recurrente; por lo que, en el presente caso, deberá entregar </w:t>
      </w:r>
      <w:r>
        <w:rPr>
          <w:rFonts w:ascii="Palatino Linotype" w:eastAsia="Calibri" w:hAnsi="Palatino Linotype"/>
          <w:color w:val="000000"/>
          <w:sz w:val="22"/>
          <w:szCs w:val="22"/>
          <w:lang w:eastAsia="es-MX"/>
        </w:rPr>
        <w:t>los recibos de nómina firmados.</w:t>
      </w:r>
    </w:p>
    <w:p w14:paraId="28D88DDF" w14:textId="77777777" w:rsidR="00584C27" w:rsidRDefault="00584C27" w:rsidP="000B54EE">
      <w:pPr>
        <w:spacing w:line="360" w:lineRule="auto"/>
        <w:jc w:val="both"/>
        <w:rPr>
          <w:rFonts w:ascii="Palatino Linotype" w:eastAsia="Palatino Linotype" w:hAnsi="Palatino Linotype" w:cs="Palatino Linotype"/>
          <w:sz w:val="22"/>
          <w:szCs w:val="22"/>
        </w:rPr>
      </w:pPr>
    </w:p>
    <w:p w14:paraId="182C8DC4" w14:textId="3188BCBD" w:rsidR="006E6B62" w:rsidRDefault="006E6B62" w:rsidP="000B54EE">
      <w:pPr>
        <w:spacing w:line="360" w:lineRule="auto"/>
        <w:jc w:val="both"/>
        <w:rPr>
          <w:rFonts w:ascii="Palatino Linotype" w:eastAsia="Calibri" w:hAnsi="Palatino Linotype" w:cs="Tahoma"/>
          <w:b/>
          <w:bCs/>
          <w:iCs/>
          <w:sz w:val="22"/>
          <w:szCs w:val="22"/>
          <w:lang w:eastAsia="es-ES_tradnl"/>
        </w:rPr>
      </w:pPr>
      <w:r>
        <w:rPr>
          <w:rFonts w:ascii="Palatino Linotype" w:eastAsia="Calibri" w:hAnsi="Palatino Linotype" w:cs="Tahoma"/>
          <w:b/>
          <w:bCs/>
          <w:iCs/>
          <w:sz w:val="22"/>
          <w:szCs w:val="22"/>
          <w:lang w:eastAsia="es-ES_tradnl"/>
        </w:rPr>
        <w:t>Versión Pública</w:t>
      </w:r>
    </w:p>
    <w:p w14:paraId="2E8E51A7" w14:textId="77777777" w:rsidR="006E6B62" w:rsidRPr="006E6B62" w:rsidRDefault="006E6B62" w:rsidP="000B54EE">
      <w:pPr>
        <w:spacing w:line="360" w:lineRule="auto"/>
        <w:jc w:val="both"/>
        <w:rPr>
          <w:rFonts w:ascii="Palatino Linotype" w:eastAsia="Calibri" w:hAnsi="Palatino Linotype" w:cs="Tahoma"/>
          <w:b/>
          <w:bCs/>
          <w:iCs/>
          <w:sz w:val="22"/>
          <w:szCs w:val="22"/>
          <w:lang w:eastAsia="es-ES_tradnl"/>
        </w:rPr>
      </w:pPr>
    </w:p>
    <w:p w14:paraId="1941A900" w14:textId="77777777" w:rsidR="006E6B62" w:rsidRPr="004A2C87" w:rsidRDefault="006E6B62" w:rsidP="000B54EE">
      <w:pPr>
        <w:spacing w:line="360" w:lineRule="auto"/>
        <w:ind w:right="-30"/>
        <w:contextualSpacing/>
        <w:jc w:val="both"/>
        <w:textAlignment w:val="baseline"/>
        <w:rPr>
          <w:rFonts w:ascii="Palatino Linotype" w:hAnsi="Palatino Linotype" w:cs="Adelle Sans Devanagari"/>
          <w:sz w:val="24"/>
          <w:szCs w:val="24"/>
          <w:lang w:eastAsia="en-US"/>
        </w:rPr>
      </w:pPr>
      <w:r w:rsidRPr="004A2C87">
        <w:rPr>
          <w:rFonts w:ascii="Palatino Linotype" w:eastAsia="Calibri" w:hAnsi="Palatino Linotype" w:cs="Adelle Sans Devanagari"/>
          <w:color w:val="000000"/>
          <w:sz w:val="22"/>
          <w:szCs w:val="22"/>
          <w:lang w:val="es-ES" w:eastAsia="es-MX"/>
        </w:rPr>
        <w:t>Ahora bien, no pasa desapercibido que la información solicitada</w:t>
      </w:r>
      <w:r w:rsidRPr="004A2C87">
        <w:rPr>
          <w:rFonts w:ascii="Palatino Linotype" w:hAnsi="Palatino Linotype" w:cs="Adelle Sans Devanagari"/>
          <w:sz w:val="22"/>
          <w:szCs w:val="22"/>
          <w:lang w:eastAsia="en-US"/>
        </w:rPr>
        <w:t xml:space="preserve">, </w:t>
      </w:r>
      <w:r w:rsidRPr="004A2C87">
        <w:rPr>
          <w:rFonts w:ascii="Palatino Linotype" w:eastAsia="Calibri" w:hAnsi="Palatino Linotype" w:cs="Adelle Sans Devanagari"/>
          <w:bCs/>
          <w:iCs/>
          <w:color w:val="000000"/>
          <w:sz w:val="22"/>
          <w:szCs w:val="22"/>
          <w:lang w:val="es-ES_tradnl" w:eastAsia="en-US"/>
        </w:rPr>
        <w:t>pudieran contener datos o información clasificada</w:t>
      </w:r>
      <w:r w:rsidRPr="004A2C87">
        <w:rPr>
          <w:rFonts w:ascii="Palatino Linotype" w:hAnsi="Palatino Linotype" w:cs="Adelle Sans Devanagari"/>
          <w:bCs/>
          <w:iCs/>
          <w:sz w:val="22"/>
          <w:szCs w:val="22"/>
          <w:lang w:val="es-ES_tradnl" w:eastAsia="en-US"/>
        </w:rPr>
        <w:t xml:space="preserve"> </w:t>
      </w:r>
      <w:r w:rsidRPr="004A2C87">
        <w:rPr>
          <w:rFonts w:ascii="Palatino Linotype" w:hAnsi="Palatino Linotype" w:cs="Adelle Sans Devanagari"/>
          <w:bCs/>
          <w:iCs/>
          <w:sz w:val="22"/>
          <w:szCs w:val="22"/>
          <w:lang w:eastAsia="en-US"/>
        </w:rPr>
        <w:t>conforme a lo siguiente:</w:t>
      </w:r>
    </w:p>
    <w:p w14:paraId="06FD32C8" w14:textId="77777777" w:rsidR="006E6B62" w:rsidRPr="004A2C87" w:rsidRDefault="006E6B62" w:rsidP="000B54EE">
      <w:pPr>
        <w:widowControl w:val="0"/>
        <w:tabs>
          <w:tab w:val="center" w:pos="4522"/>
        </w:tabs>
        <w:spacing w:line="360" w:lineRule="auto"/>
        <w:contextualSpacing/>
        <w:jc w:val="both"/>
        <w:rPr>
          <w:rFonts w:ascii="Palatino Linotype" w:eastAsia="Calibri" w:hAnsi="Palatino Linotype" w:cs="Adelle Sans Devanagari"/>
          <w:bCs/>
          <w:iCs/>
          <w:color w:val="000000"/>
          <w:sz w:val="22"/>
          <w:szCs w:val="22"/>
          <w:lang w:eastAsia="en-US"/>
        </w:rPr>
      </w:pPr>
    </w:p>
    <w:p w14:paraId="3A91C499" w14:textId="77777777" w:rsidR="006E6B62" w:rsidRPr="004A2C87" w:rsidRDefault="006E6B62" w:rsidP="00A65FFD">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Clave Única de Registro de Población;</w:t>
      </w:r>
    </w:p>
    <w:p w14:paraId="0530064A" w14:textId="77777777" w:rsidR="006E6B62" w:rsidRPr="004A2C87" w:rsidRDefault="006E6B62" w:rsidP="00A65FFD">
      <w:pPr>
        <w:numPr>
          <w:ilvl w:val="0"/>
          <w:numId w:val="3"/>
        </w:numPr>
        <w:autoSpaceDE w:val="0"/>
        <w:autoSpaceDN w:val="0"/>
        <w:adjustRightInd w:val="0"/>
        <w:spacing w:line="360" w:lineRule="auto"/>
        <w:contextualSpacing/>
        <w:jc w:val="both"/>
        <w:rPr>
          <w:rFonts w:ascii="Palatino Linotype" w:hAnsi="Palatino Linotype" w:cs="Adelle Sans Devanagari"/>
          <w:bCs/>
          <w:iCs/>
          <w:color w:val="000000"/>
          <w:sz w:val="22"/>
          <w:szCs w:val="24"/>
        </w:rPr>
      </w:pPr>
      <w:r w:rsidRPr="004A2C87">
        <w:rPr>
          <w:rFonts w:ascii="Palatino Linotype" w:hAnsi="Palatino Linotype" w:cs="Adelle Sans Devanagari"/>
          <w:bCs/>
          <w:iCs/>
          <w:color w:val="000000"/>
          <w:sz w:val="22"/>
          <w:szCs w:val="24"/>
        </w:rPr>
        <w:t>Registro Federal de Contribuyentes;</w:t>
      </w:r>
    </w:p>
    <w:p w14:paraId="1E6DFD28" w14:textId="77777777" w:rsidR="006E6B62" w:rsidRPr="004A2C87" w:rsidRDefault="006E6B62" w:rsidP="00A65FFD">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Código bidimensional o QR;</w:t>
      </w:r>
    </w:p>
    <w:p w14:paraId="7C95AAD0" w14:textId="77777777" w:rsidR="006E6B62" w:rsidRPr="004A2C87" w:rsidRDefault="006E6B62" w:rsidP="00A65FFD">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Número de seguridad social del Instituto de Seguridad Social del Estado de México y Municipios;</w:t>
      </w:r>
    </w:p>
    <w:p w14:paraId="14C6F21D" w14:textId="77777777" w:rsidR="006E6B62" w:rsidRPr="006E6B62" w:rsidRDefault="006E6B62" w:rsidP="00A65FFD">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Deducciones personales;</w:t>
      </w:r>
    </w:p>
    <w:p w14:paraId="2F430273" w14:textId="77777777" w:rsidR="006E6B62" w:rsidRPr="006E6B62" w:rsidRDefault="006E6B62" w:rsidP="00A65FFD">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Sellos digitales del emisor y del Servicio de Administración Tributaria y cadena original del complemento de certificación digital del órgano previamente señalado;</w:t>
      </w:r>
    </w:p>
    <w:p w14:paraId="38C1CD4B" w14:textId="4CD39EE7" w:rsidR="006E6B62" w:rsidRPr="006E6B62" w:rsidRDefault="006E6B62" w:rsidP="00A65FFD">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Folio fiscal</w:t>
      </w:r>
      <w:r w:rsidR="00584C27">
        <w:rPr>
          <w:rFonts w:ascii="Palatino Linotype" w:hAnsi="Palatino Linotype" w:cs="Adelle Sans Devanagari"/>
          <w:bCs/>
          <w:color w:val="000000"/>
          <w:sz w:val="22"/>
          <w:szCs w:val="22"/>
          <w:lang w:val="es-ES" w:eastAsia="en-US"/>
        </w:rPr>
        <w:t>, y</w:t>
      </w:r>
    </w:p>
    <w:p w14:paraId="7DED9613" w14:textId="764C93BE" w:rsidR="006E6B62" w:rsidRPr="006E6B62" w:rsidRDefault="006E6B62" w:rsidP="00A65FFD">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Número de cuenta bancario</w:t>
      </w:r>
      <w:r w:rsidR="00584C27">
        <w:rPr>
          <w:rFonts w:ascii="Palatino Linotype" w:hAnsi="Palatino Linotype" w:cs="Adelle Sans Devanagari"/>
          <w:bCs/>
          <w:color w:val="000000"/>
          <w:sz w:val="22"/>
          <w:szCs w:val="22"/>
          <w:lang w:val="es-ES" w:eastAsia="en-US"/>
        </w:rPr>
        <w:t>.</w:t>
      </w:r>
    </w:p>
    <w:p w14:paraId="1EA36352" w14:textId="77777777" w:rsidR="006E6B62" w:rsidRPr="004A2C87" w:rsidRDefault="006E6B62" w:rsidP="000B54EE">
      <w:p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p>
    <w:p w14:paraId="7D26038C"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4A2C87">
        <w:rPr>
          <w:rFonts w:ascii="Palatino Linotype" w:hAnsi="Palatino Linotype" w:cs="Adelle Sans Devanagari"/>
          <w:bCs/>
          <w:iCs/>
          <w:color w:val="000000"/>
          <w:sz w:val="22"/>
          <w:szCs w:val="22"/>
          <w:lang w:eastAsia="es-MX"/>
        </w:rPr>
        <w:t>, el artículo 143, fracción I, de la Ley de la materia, establece que la información privada y los datos personales, concernientes a una persona física o jurídica colectiva identificada o identificable son confidenciales.</w:t>
      </w:r>
    </w:p>
    <w:p w14:paraId="36630BFE"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10CFEC1D"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Asimismo, el artículo 145 de la Ley de Transparencia y Acceso a la Información Pública del Estado de México y Municipios, prevé que para que los Sujetos Obligados puedan permitir el </w:t>
      </w:r>
      <w:r w:rsidRPr="004A2C87">
        <w:rPr>
          <w:rFonts w:ascii="Palatino Linotype" w:hAnsi="Palatino Linotype" w:cs="Adelle Sans Devanagari"/>
          <w:bCs/>
          <w:iCs/>
          <w:color w:val="000000"/>
          <w:sz w:val="22"/>
          <w:szCs w:val="22"/>
          <w:lang w:eastAsia="es-MX"/>
        </w:rPr>
        <w:lastRenderedPageBreak/>
        <w:t>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3A1CA09"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40D08945"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En términos de lo expuesto, la documentación y aquellos datos que se consideren confidenciales, serán una limitante del derecho de acceso a la información, siempre y cuando:</w:t>
      </w:r>
    </w:p>
    <w:p w14:paraId="1B2EF948"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741DF121" w14:textId="77777777" w:rsidR="006E6B62" w:rsidRPr="004A2C87" w:rsidRDefault="006E6B62" w:rsidP="00A65FFD">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3BB8851C" w14:textId="77777777" w:rsidR="006E6B62" w:rsidRPr="004A2C87" w:rsidRDefault="006E6B62" w:rsidP="000B54EE">
      <w:pPr>
        <w:spacing w:line="360" w:lineRule="auto"/>
        <w:ind w:left="720"/>
        <w:contextualSpacing/>
        <w:jc w:val="both"/>
        <w:rPr>
          <w:rFonts w:ascii="Palatino Linotype" w:hAnsi="Palatino Linotype" w:cs="Adelle Sans Devanagari"/>
          <w:bCs/>
          <w:iCs/>
          <w:color w:val="000000"/>
          <w:sz w:val="22"/>
          <w:szCs w:val="22"/>
          <w:lang w:eastAsia="es-MX"/>
        </w:rPr>
      </w:pPr>
    </w:p>
    <w:p w14:paraId="30D76268" w14:textId="77777777" w:rsidR="006E6B62" w:rsidRPr="004A2C87" w:rsidRDefault="006E6B62" w:rsidP="00A65FFD">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Para la difusión de los datos, se requiera el consentimiento del titular. </w:t>
      </w:r>
    </w:p>
    <w:p w14:paraId="51E70473"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26A2935C"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45FBF342"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6DB005B6" w14:textId="77777777" w:rsidR="006E6B62" w:rsidRPr="004A2C87" w:rsidRDefault="006E6B62" w:rsidP="00A65FFD">
      <w:pPr>
        <w:numPr>
          <w:ilvl w:val="0"/>
          <w:numId w:val="5"/>
        </w:numPr>
        <w:spacing w:line="360" w:lineRule="auto"/>
        <w:contextualSpacing/>
        <w:jc w:val="both"/>
        <w:rPr>
          <w:rFonts w:ascii="Palatino Linotype" w:hAnsi="Palatino Linotype" w:cs="Adelle Sans Devanagari"/>
          <w:b/>
          <w:color w:val="000000"/>
          <w:sz w:val="22"/>
          <w:szCs w:val="22"/>
          <w:lang w:val="es-ES" w:eastAsia="en-US"/>
        </w:rPr>
      </w:pPr>
      <w:r w:rsidRPr="004A2C87">
        <w:rPr>
          <w:rFonts w:ascii="Palatino Linotype" w:hAnsi="Palatino Linotype" w:cs="Adelle Sans Devanagari"/>
          <w:b/>
          <w:color w:val="000000"/>
          <w:sz w:val="22"/>
          <w:szCs w:val="22"/>
          <w:lang w:val="es-ES" w:eastAsia="en-US"/>
        </w:rPr>
        <w:t>Clave Única de Registro de Población (CURP)</w:t>
      </w:r>
    </w:p>
    <w:p w14:paraId="14D8160C"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40D298CF"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A3D1DDB"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45AF4089"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F4BA9C6"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1E5B284" w14:textId="6672E559"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 xml:space="preserve">En ese orden de ideas, la Secretaría de Gobernación en las direcciones https://consultas.curp.gob.mx/CurpSP/html/informacionecurpPS.html y </w:t>
      </w:r>
      <w:hyperlink r:id="rId13" w:history="1">
        <w:r w:rsidRPr="00EC5D43">
          <w:rPr>
            <w:rStyle w:val="Hipervnculo"/>
            <w:rFonts w:ascii="Palatino Linotype" w:hAnsi="Palatino Linotype" w:cs="Adelle Sans Devanagari"/>
            <w:bCs/>
            <w:sz w:val="22"/>
            <w:szCs w:val="22"/>
            <w:lang w:val="es-ES" w:eastAsia="en-US"/>
          </w:rPr>
          <w:t>https://www.gob.mx/segob/renapo/acciones-y-programas/clave-unica-de-registro-de-poblacion-curp-142226</w:t>
        </w:r>
      </w:hyperlink>
      <w:r w:rsidRPr="004A2C87">
        <w:rPr>
          <w:rFonts w:ascii="Palatino Linotype" w:hAnsi="Palatino Linotype" w:cs="Adelle Sans Devanagari"/>
          <w:bCs/>
          <w:color w:val="000000"/>
          <w:sz w:val="22"/>
          <w:szCs w:val="22"/>
          <w:lang w:val="es-ES"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A2C87">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4A2C87">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03FE49A0"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4D5B202B" w14:textId="77777777" w:rsidR="006E6B62" w:rsidRPr="004A2C87" w:rsidRDefault="006E6B62" w:rsidP="00A65FFD">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El primero y segundo apellidos, así como al nombre de pila;</w:t>
      </w:r>
    </w:p>
    <w:p w14:paraId="3BEDEF6F" w14:textId="77777777" w:rsidR="006E6B62" w:rsidRPr="004A2C87" w:rsidRDefault="006E6B62" w:rsidP="00A65FFD">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La fecha de nacimiento;</w:t>
      </w:r>
    </w:p>
    <w:p w14:paraId="320738B0" w14:textId="77777777" w:rsidR="006E6B62" w:rsidRPr="004A2C87" w:rsidRDefault="006E6B62" w:rsidP="00A65FFD">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El sexo, y</w:t>
      </w:r>
    </w:p>
    <w:p w14:paraId="5A1676BA" w14:textId="77777777" w:rsidR="006E6B62" w:rsidRPr="004A2C87" w:rsidRDefault="006E6B62" w:rsidP="00A65FFD">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lastRenderedPageBreak/>
        <w:t>La entidad federativa de nacimiento.</w:t>
      </w:r>
    </w:p>
    <w:p w14:paraId="2AD59FA7"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605A9A97"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0EE9734B"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CF8AEF5"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B5CB502"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E98FCEC"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Situación que se robustece, con el </w:t>
      </w:r>
      <w:r w:rsidRPr="004A2C87">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4A2C87">
        <w:rPr>
          <w:rFonts w:ascii="Palatino Linotype" w:eastAsia="Calibri" w:hAnsi="Palatino Linotype" w:cs="Adelle Sans Devanagari"/>
          <w:bCs/>
          <w:iCs/>
          <w:color w:val="000000"/>
          <w:sz w:val="22"/>
          <w:szCs w:val="22"/>
          <w:lang w:eastAsia="en-US"/>
        </w:rPr>
        <w:t>SO/018/2017</w:t>
      </w:r>
      <w:r w:rsidRPr="004A2C87">
        <w:rPr>
          <w:rFonts w:ascii="Palatino Linotype" w:hAnsi="Palatino Linotype" w:cs="Adelle Sans Devanagari"/>
          <w:bCs/>
          <w:iCs/>
          <w:color w:val="000000"/>
          <w:sz w:val="22"/>
          <w:szCs w:val="22"/>
          <w:lang w:eastAsia="es-MX"/>
        </w:rPr>
        <w:t>, emitido por el Instituto Nacional de Transparencia, Acceso a la Información y Protección de Datos Personales, que establece lo siguiente:</w:t>
      </w:r>
    </w:p>
    <w:p w14:paraId="1E2BB27E"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0D6B4D90" w14:textId="77777777" w:rsidR="006E6B62" w:rsidRPr="004A2C87" w:rsidRDefault="006E6B62" w:rsidP="000B54EE">
      <w:pPr>
        <w:spacing w:line="360" w:lineRule="auto"/>
        <w:ind w:left="567" w:right="567"/>
        <w:contextualSpacing/>
        <w:jc w:val="both"/>
        <w:rPr>
          <w:rFonts w:ascii="Palatino Linotype" w:hAnsi="Palatino Linotype" w:cs="Adelle Sans Devanagari"/>
          <w:bCs/>
          <w:i/>
          <w:iCs/>
          <w:color w:val="000000"/>
          <w:lang w:eastAsia="es-MX"/>
        </w:rPr>
      </w:pPr>
      <w:r w:rsidRPr="004A2C87">
        <w:rPr>
          <w:rFonts w:ascii="Palatino Linotype" w:hAnsi="Palatino Linotype" w:cs="Adelle Sans Devanagari"/>
          <w:b/>
          <w:bCs/>
          <w:i/>
          <w:iCs/>
          <w:color w:val="000000"/>
          <w:lang w:eastAsia="es-MX"/>
        </w:rPr>
        <w:t xml:space="preserve">“Clave Única de Registro de Población (CURP). </w:t>
      </w:r>
      <w:r w:rsidRPr="004A2C87">
        <w:rPr>
          <w:rFonts w:ascii="Palatino Linotype" w:hAnsi="Palatino Linotype" w:cs="Adelle Sans Devanagari"/>
          <w:bCs/>
          <w:i/>
          <w:iCs/>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88B5338" w14:textId="77777777" w:rsidR="006E6B62" w:rsidRPr="004A2C87" w:rsidRDefault="006E6B62" w:rsidP="000B54EE">
      <w:pPr>
        <w:spacing w:line="360" w:lineRule="auto"/>
        <w:contextualSpacing/>
        <w:jc w:val="both"/>
        <w:rPr>
          <w:rFonts w:ascii="Palatino Linotype" w:hAnsi="Palatino Linotype" w:cs="Adelle Sans Devanagari"/>
          <w:bCs/>
          <w:i/>
          <w:iCs/>
          <w:color w:val="000000"/>
          <w:sz w:val="22"/>
          <w:szCs w:val="22"/>
          <w:lang w:eastAsia="es-MX"/>
        </w:rPr>
      </w:pPr>
    </w:p>
    <w:p w14:paraId="4404773E"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De acuerdo con lo anterior, resulta procedente la clasificación de </w:t>
      </w:r>
      <w:r w:rsidRPr="004A2C87">
        <w:rPr>
          <w:rFonts w:ascii="Palatino Linotype" w:hAnsi="Palatino Linotype" w:cs="Adelle Sans Devanagari"/>
          <w:b/>
          <w:bCs/>
          <w:iCs/>
          <w:color w:val="000000"/>
          <w:sz w:val="22"/>
          <w:szCs w:val="22"/>
          <w:lang w:eastAsia="es-MX"/>
        </w:rPr>
        <w:t>la Clave Única de Registro de Población</w:t>
      </w:r>
      <w:r w:rsidRPr="004A2C87">
        <w:rPr>
          <w:rFonts w:ascii="Palatino Linotype" w:hAnsi="Palatino Linotype" w:cs="Adelle Sans Devanagari"/>
          <w:bCs/>
          <w:iCs/>
          <w:color w:val="000000"/>
          <w:sz w:val="22"/>
          <w:szCs w:val="22"/>
          <w:lang w:eastAsia="es-MX"/>
        </w:rPr>
        <w:t xml:space="preserve">, por tratarse de un dato personal confidencial, en términos del artículo 143, fracción I, de la Ley de Transparencia y Acceso a la Información Pública del Estado de México y Municipios. </w:t>
      </w:r>
    </w:p>
    <w:p w14:paraId="7A5F4E93" w14:textId="77777777" w:rsidR="006E6B62" w:rsidRPr="004A2C87" w:rsidRDefault="006E6B62" w:rsidP="000B54EE">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3556616D" w14:textId="77777777" w:rsidR="006E6B62" w:rsidRPr="004A2C87" w:rsidRDefault="006E6B62" w:rsidP="00A65FFD">
      <w:pPr>
        <w:numPr>
          <w:ilvl w:val="0"/>
          <w:numId w:val="5"/>
        </w:numPr>
        <w:spacing w:line="360" w:lineRule="auto"/>
        <w:contextualSpacing/>
        <w:jc w:val="both"/>
        <w:rPr>
          <w:rFonts w:ascii="Palatino Linotype" w:hAnsi="Palatino Linotype" w:cs="Adelle Sans Devanagari"/>
          <w:b/>
          <w:bCs/>
          <w:iCs/>
          <w:color w:val="000000"/>
          <w:sz w:val="22"/>
          <w:szCs w:val="22"/>
          <w:lang w:val="es-ES_tradnl" w:eastAsia="es-MX"/>
        </w:rPr>
      </w:pPr>
      <w:r w:rsidRPr="004A2C87">
        <w:rPr>
          <w:rFonts w:ascii="Palatino Linotype" w:hAnsi="Palatino Linotype" w:cs="Adelle Sans Devanagari"/>
          <w:b/>
          <w:bCs/>
          <w:iCs/>
          <w:color w:val="000000"/>
          <w:sz w:val="22"/>
          <w:szCs w:val="22"/>
          <w:lang w:val="es-ES_tradnl" w:eastAsia="es-MX"/>
        </w:rPr>
        <w:lastRenderedPageBreak/>
        <w:t>Registro Federal de Contribuyentes (RFC)</w:t>
      </w:r>
    </w:p>
    <w:p w14:paraId="4DE46E89"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4F7152BD"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97FF5C0"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4D039F77"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4A2C87">
        <w:rPr>
          <w:rFonts w:ascii="Palatino Linotype" w:hAnsi="Palatino Linotype" w:cs="Adelle Sans Devanagari"/>
          <w:bCs/>
          <w:iCs/>
          <w:color w:val="000000"/>
          <w:sz w:val="22"/>
          <w:szCs w:val="22"/>
          <w:lang w:eastAsia="es-MX"/>
        </w:rPr>
        <w:t>homoclave</w:t>
      </w:r>
      <w:proofErr w:type="spellEnd"/>
      <w:r w:rsidRPr="004A2C87">
        <w:rPr>
          <w:rFonts w:ascii="Palatino Linotype" w:hAnsi="Palatino Linotype" w:cs="Adelle Sans Devanagari"/>
          <w:bCs/>
          <w:iCs/>
          <w:color w:val="000000"/>
          <w:sz w:val="22"/>
          <w:szCs w:val="22"/>
          <w:lang w:eastAsia="es-MX"/>
        </w:rPr>
        <w:t xml:space="preserve"> que establece el sistema automático del Servicio de Administración Tributaria.</w:t>
      </w:r>
    </w:p>
    <w:p w14:paraId="1F097478"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48C5EA12"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BB1A381"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18DA8C71"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34A9934"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2FE424AD"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Lo anterior, resulta congruente con el </w:t>
      </w:r>
      <w:r w:rsidRPr="004A2C87">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4A2C87">
        <w:rPr>
          <w:rFonts w:ascii="Palatino Linotype" w:eastAsia="Calibri" w:hAnsi="Palatino Linotype" w:cs="Adelle Sans Devanagari"/>
          <w:bCs/>
          <w:iCs/>
          <w:color w:val="000000"/>
          <w:sz w:val="22"/>
          <w:szCs w:val="22"/>
          <w:lang w:eastAsia="en-US"/>
        </w:rPr>
        <w:t xml:space="preserve">SO/019/2017, </w:t>
      </w:r>
      <w:r w:rsidRPr="004A2C87">
        <w:rPr>
          <w:rFonts w:ascii="Palatino Linotype" w:hAnsi="Palatino Linotype" w:cs="Adelle Sans Devanagari"/>
          <w:bCs/>
          <w:iCs/>
          <w:color w:val="000000"/>
          <w:sz w:val="22"/>
          <w:szCs w:val="22"/>
          <w:lang w:eastAsia="es-MX"/>
        </w:rPr>
        <w:t>emitido por el Instituto Nacional de Transparencia, Acceso a la Información y Protección de Datos Personales, en el cual se señala lo siguiente:</w:t>
      </w:r>
    </w:p>
    <w:p w14:paraId="5E5FD0F2"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1CDFB46D" w14:textId="77777777" w:rsidR="006E6B62" w:rsidRPr="004A2C87" w:rsidRDefault="006E6B62" w:rsidP="000B54EE">
      <w:pPr>
        <w:spacing w:line="360" w:lineRule="auto"/>
        <w:ind w:left="567" w:right="567"/>
        <w:contextualSpacing/>
        <w:jc w:val="both"/>
        <w:rPr>
          <w:rFonts w:ascii="Palatino Linotype" w:hAnsi="Palatino Linotype" w:cs="Adelle Sans Devanagari"/>
          <w:bCs/>
          <w:i/>
          <w:iCs/>
          <w:color w:val="000000"/>
          <w:lang w:eastAsia="es-MX"/>
        </w:rPr>
      </w:pPr>
      <w:r w:rsidRPr="004A2C87">
        <w:rPr>
          <w:rFonts w:ascii="Palatino Linotype" w:hAnsi="Palatino Linotype" w:cs="Adelle Sans Devanagari"/>
          <w:b/>
          <w:bCs/>
          <w:i/>
          <w:iCs/>
          <w:color w:val="000000"/>
          <w:lang w:eastAsia="es-MX"/>
        </w:rPr>
        <w:t>“Registro Federal de Contribuyentes (RFC) de personas físicas.</w:t>
      </w:r>
      <w:r w:rsidRPr="004A2C87">
        <w:rPr>
          <w:rFonts w:ascii="Palatino Linotype" w:hAnsi="Palatino Linotype" w:cs="Adelle Sans Devanagari"/>
          <w:bCs/>
          <w:i/>
          <w:iCs/>
          <w:color w:val="000000"/>
          <w:lang w:eastAsia="es-MX"/>
        </w:rPr>
        <w:t xml:space="preserve"> El RFC es una clave de carácter fiscal, única e irrepetible, que permite identificar al titular, su edad y fecha de nacimiento, por lo que es un dato personal de carácter confidencial.”</w:t>
      </w:r>
    </w:p>
    <w:p w14:paraId="4D196B46"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633546AD"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4A2C87">
        <w:rPr>
          <w:rFonts w:ascii="Palatino Linotype" w:hAnsi="Palatino Linotype" w:cs="Adelle Sans Devanagari"/>
          <w:b/>
          <w:iCs/>
          <w:color w:val="000000"/>
          <w:sz w:val="22"/>
          <w:szCs w:val="22"/>
          <w:lang w:eastAsia="es-MX"/>
        </w:rPr>
        <w:t xml:space="preserve"> </w:t>
      </w:r>
    </w:p>
    <w:p w14:paraId="0DE54A6B"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3064B01B" w14:textId="77777777" w:rsidR="006E6B62" w:rsidRPr="004A2C87" w:rsidRDefault="006E6B62" w:rsidP="00A65FFD">
      <w:pPr>
        <w:numPr>
          <w:ilvl w:val="0"/>
          <w:numId w:val="2"/>
        </w:numPr>
        <w:spacing w:line="360" w:lineRule="auto"/>
        <w:contextualSpacing/>
        <w:jc w:val="both"/>
        <w:rPr>
          <w:rFonts w:ascii="Palatino Linotype" w:eastAsia="Calibri" w:hAnsi="Palatino Linotype" w:cs="Adelle Sans Devanagari"/>
          <w:b/>
          <w:bCs/>
          <w:iCs/>
          <w:color w:val="000000"/>
          <w:sz w:val="22"/>
          <w:szCs w:val="22"/>
          <w:lang w:eastAsia="en-US"/>
        </w:rPr>
      </w:pPr>
      <w:r w:rsidRPr="004A2C87">
        <w:rPr>
          <w:rFonts w:ascii="Palatino Linotype" w:eastAsia="Calibri" w:hAnsi="Palatino Linotype" w:cs="Adelle Sans Devanagari"/>
          <w:b/>
          <w:bCs/>
          <w:iCs/>
          <w:color w:val="000000"/>
          <w:sz w:val="22"/>
          <w:szCs w:val="22"/>
          <w:lang w:eastAsia="en-US"/>
        </w:rPr>
        <w:t xml:space="preserve">Código bidimensional o </w:t>
      </w:r>
      <w:proofErr w:type="spellStart"/>
      <w:r w:rsidRPr="004A2C87">
        <w:rPr>
          <w:rFonts w:ascii="Palatino Linotype" w:eastAsia="Calibri" w:hAnsi="Palatino Linotype" w:cs="Adelle Sans Devanagari"/>
          <w:b/>
          <w:bCs/>
          <w:iCs/>
          <w:color w:val="000000"/>
          <w:sz w:val="22"/>
          <w:szCs w:val="22"/>
          <w:lang w:eastAsia="en-US"/>
        </w:rPr>
        <w:t>Qr</w:t>
      </w:r>
      <w:proofErr w:type="spellEnd"/>
    </w:p>
    <w:p w14:paraId="21C4CF5B" w14:textId="77777777" w:rsidR="006E6B62" w:rsidRPr="004A2C87" w:rsidRDefault="006E6B62" w:rsidP="000B54EE">
      <w:pPr>
        <w:spacing w:line="360" w:lineRule="auto"/>
        <w:contextualSpacing/>
        <w:jc w:val="both"/>
        <w:rPr>
          <w:rFonts w:ascii="Palatino Linotype" w:eastAsia="Calibri" w:hAnsi="Palatino Linotype" w:cs="Adelle Sans Devanagari"/>
          <w:b/>
          <w:bCs/>
          <w:iCs/>
          <w:color w:val="000000"/>
          <w:sz w:val="22"/>
          <w:szCs w:val="22"/>
          <w:lang w:eastAsia="en-US"/>
        </w:rPr>
      </w:pPr>
    </w:p>
    <w:p w14:paraId="16539DD8" w14:textId="77777777" w:rsidR="006E6B62" w:rsidRPr="004A2C87" w:rsidRDefault="006E6B62" w:rsidP="000B54EE">
      <w:pPr>
        <w:spacing w:line="360" w:lineRule="auto"/>
        <w:contextualSpacing/>
        <w:jc w:val="both"/>
        <w:rPr>
          <w:rFonts w:ascii="Palatino Linotype" w:eastAsia="Calibri" w:hAnsi="Palatino Linotype" w:cs="Adelle Sans Devanagari"/>
          <w:bCs/>
          <w:color w:val="000000"/>
          <w:sz w:val="22"/>
          <w:szCs w:val="22"/>
          <w:lang w:eastAsia="en-US"/>
        </w:rPr>
      </w:pPr>
      <w:r w:rsidRPr="004A2C87">
        <w:rPr>
          <w:rFonts w:ascii="Palatino Linotype" w:eastAsia="Calibri" w:hAnsi="Palatino Linotype" w:cs="Adelle Sans Devanagari"/>
          <w:bCs/>
          <w:color w:val="000000"/>
          <w:sz w:val="22"/>
          <w:szCs w:val="22"/>
          <w:lang w:eastAsia="en-US"/>
        </w:rPr>
        <w:t xml:space="preserve">En principio, resulta necesario señalar que los comprobantes fiscales digitales por Internet, deben de incluir un código bidimensional conforme al formato </w:t>
      </w:r>
      <w:r w:rsidRPr="004A2C87">
        <w:rPr>
          <w:rFonts w:ascii="Palatino Linotype" w:eastAsia="Calibri" w:hAnsi="Palatino Linotype" w:cs="Adelle Sans Devanagari"/>
          <w:bCs/>
          <w:i/>
          <w:color w:val="000000"/>
          <w:sz w:val="22"/>
          <w:szCs w:val="22"/>
          <w:lang w:eastAsia="en-US"/>
        </w:rPr>
        <w:t xml:space="preserve">QR </w:t>
      </w:r>
      <w:proofErr w:type="spellStart"/>
      <w:r w:rsidRPr="004A2C87">
        <w:rPr>
          <w:rFonts w:ascii="Palatino Linotype" w:eastAsia="Calibri" w:hAnsi="Palatino Linotype" w:cs="Adelle Sans Devanagari"/>
          <w:bCs/>
          <w:i/>
          <w:color w:val="000000"/>
          <w:sz w:val="22"/>
          <w:szCs w:val="22"/>
          <w:lang w:eastAsia="en-US"/>
        </w:rPr>
        <w:t>Code</w:t>
      </w:r>
      <w:proofErr w:type="spellEnd"/>
      <w:r w:rsidRPr="004A2C87">
        <w:rPr>
          <w:rFonts w:ascii="Palatino Linotype" w:eastAsia="Calibri" w:hAnsi="Palatino Linotype" w:cs="Adelle Sans Devanagari"/>
          <w:bCs/>
          <w:i/>
          <w:color w:val="000000"/>
          <w:sz w:val="22"/>
          <w:szCs w:val="22"/>
          <w:lang w:eastAsia="en-US"/>
        </w:rPr>
        <w:t xml:space="preserve"> (Quick Response </w:t>
      </w:r>
      <w:proofErr w:type="spellStart"/>
      <w:r w:rsidRPr="004A2C87">
        <w:rPr>
          <w:rFonts w:ascii="Palatino Linotype" w:eastAsia="Calibri" w:hAnsi="Palatino Linotype" w:cs="Adelle Sans Devanagari"/>
          <w:bCs/>
          <w:i/>
          <w:color w:val="000000"/>
          <w:sz w:val="22"/>
          <w:szCs w:val="22"/>
          <w:lang w:eastAsia="en-US"/>
        </w:rPr>
        <w:t>Code</w:t>
      </w:r>
      <w:proofErr w:type="spellEnd"/>
      <w:r w:rsidRPr="004A2C87">
        <w:rPr>
          <w:rFonts w:ascii="Palatino Linotype" w:eastAsia="Calibri" w:hAnsi="Palatino Linotype" w:cs="Adelle Sans Devanagari"/>
          <w:bCs/>
          <w:i/>
          <w:color w:val="000000"/>
          <w:sz w:val="22"/>
          <w:szCs w:val="22"/>
          <w:lang w:eastAsia="en-US"/>
        </w:rPr>
        <w:t>)</w:t>
      </w:r>
      <w:r w:rsidRPr="004A2C87">
        <w:rPr>
          <w:rFonts w:ascii="Palatino Linotype" w:eastAsia="Calibri" w:hAnsi="Palatino Linotype" w:cs="Adelle Sans Devanagari"/>
          <w:bCs/>
          <w:color w:val="000000"/>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4A2C87">
          <w:rPr>
            <w:rFonts w:ascii="Palatino Linotype" w:eastAsia="Calibri" w:hAnsi="Palatino Linotype" w:cs="Adelle Sans Devanagari"/>
            <w:bCs/>
            <w:color w:val="0563C1"/>
            <w:sz w:val="22"/>
            <w:szCs w:val="22"/>
            <w:u w:val="single"/>
            <w:lang w:eastAsia="en-US"/>
          </w:rPr>
          <w:t>http://dof.gob.mx/nota_detalle.php?codigo=5492254&amp;fecha=28/07/2017</w:t>
        </w:r>
      </w:hyperlink>
      <w:r w:rsidRPr="004A2C87">
        <w:rPr>
          <w:rFonts w:ascii="Palatino Linotype" w:eastAsia="Calibri" w:hAnsi="Palatino Linotype" w:cs="Adelle Sans Devanagari"/>
          <w:bCs/>
          <w:color w:val="000000"/>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20DB1B65" w14:textId="77777777" w:rsidR="006E6B62" w:rsidRPr="004A2C87" w:rsidRDefault="006E6B62" w:rsidP="000B54EE">
      <w:pPr>
        <w:spacing w:line="360" w:lineRule="auto"/>
        <w:contextualSpacing/>
        <w:jc w:val="both"/>
        <w:rPr>
          <w:rFonts w:ascii="Palatino Linotype" w:eastAsia="Calibri" w:hAnsi="Palatino Linotype" w:cs="Adelle Sans Devanagari"/>
          <w:bCs/>
          <w:color w:val="000000"/>
          <w:sz w:val="22"/>
          <w:szCs w:val="22"/>
          <w:lang w:eastAsia="en-US"/>
        </w:rPr>
      </w:pPr>
    </w:p>
    <w:p w14:paraId="10B6C6D0" w14:textId="77777777" w:rsidR="006E6B62" w:rsidRPr="004A2C87" w:rsidRDefault="006E6B62" w:rsidP="000B54EE">
      <w:pPr>
        <w:spacing w:line="360" w:lineRule="auto"/>
        <w:contextualSpacing/>
        <w:jc w:val="both"/>
        <w:rPr>
          <w:rFonts w:ascii="Palatino Linotype" w:eastAsia="Calibri" w:hAnsi="Palatino Linotype" w:cs="Adelle Sans Devanagari"/>
          <w:bCs/>
          <w:color w:val="000000"/>
          <w:sz w:val="22"/>
          <w:szCs w:val="22"/>
          <w:lang w:eastAsia="en-US"/>
        </w:rPr>
      </w:pPr>
      <w:r w:rsidRPr="004A2C87">
        <w:rPr>
          <w:rFonts w:ascii="Palatino Linotype" w:eastAsia="Calibri" w:hAnsi="Palatino Linotype" w:cs="Adelle Sans Devanagari"/>
          <w:bCs/>
          <w:color w:val="000000"/>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EF5DA3A" w14:textId="77777777" w:rsidR="006E6B62" w:rsidRPr="004A2C87" w:rsidRDefault="006E6B62" w:rsidP="000B54EE">
      <w:pPr>
        <w:spacing w:line="360" w:lineRule="auto"/>
        <w:contextualSpacing/>
        <w:jc w:val="both"/>
        <w:rPr>
          <w:rFonts w:ascii="Palatino Linotype" w:eastAsia="Calibri" w:hAnsi="Palatino Linotype" w:cs="Adelle Sans Devanagari"/>
          <w:bCs/>
          <w:color w:val="000000"/>
          <w:sz w:val="22"/>
          <w:szCs w:val="22"/>
          <w:lang w:eastAsia="en-US"/>
        </w:rPr>
      </w:pPr>
    </w:p>
    <w:p w14:paraId="48C1B38B" w14:textId="77777777" w:rsidR="006E6B62" w:rsidRPr="004A2C87" w:rsidRDefault="006E6B62" w:rsidP="00A65FFD">
      <w:pPr>
        <w:numPr>
          <w:ilvl w:val="0"/>
          <w:numId w:val="2"/>
        </w:numPr>
        <w:spacing w:line="360" w:lineRule="auto"/>
        <w:contextualSpacing/>
        <w:jc w:val="both"/>
        <w:rPr>
          <w:rFonts w:ascii="Palatino Linotype" w:hAnsi="Palatino Linotype" w:cs="Adelle Sans Devanagari"/>
          <w:b/>
          <w:bCs/>
          <w:iCs/>
          <w:color w:val="000000"/>
          <w:sz w:val="22"/>
          <w:szCs w:val="22"/>
          <w:lang w:eastAsia="es-MX"/>
        </w:rPr>
      </w:pPr>
      <w:r w:rsidRPr="004A2C87">
        <w:rPr>
          <w:rFonts w:ascii="Palatino Linotype" w:hAnsi="Palatino Linotype" w:cs="Adelle Sans Devanagari"/>
          <w:b/>
          <w:bCs/>
          <w:iCs/>
          <w:color w:val="000000"/>
          <w:sz w:val="22"/>
          <w:szCs w:val="22"/>
          <w:lang w:eastAsia="es-MX"/>
        </w:rPr>
        <w:t>Número de seguridad social del Instituto de Seguridad Social del Estado de México y Municipios.</w:t>
      </w:r>
    </w:p>
    <w:p w14:paraId="4A11B87B" w14:textId="77777777" w:rsidR="006E6B62" w:rsidRPr="004A2C87" w:rsidRDefault="006E6B62" w:rsidP="000B54EE">
      <w:pPr>
        <w:spacing w:line="360" w:lineRule="auto"/>
        <w:contextualSpacing/>
        <w:jc w:val="both"/>
        <w:rPr>
          <w:rFonts w:ascii="Palatino Linotype" w:hAnsi="Palatino Linotype" w:cs="Adelle Sans Devanagari"/>
          <w:b/>
          <w:bCs/>
          <w:iCs/>
          <w:color w:val="000000"/>
          <w:sz w:val="22"/>
          <w:szCs w:val="22"/>
          <w:lang w:eastAsia="es-MX"/>
        </w:rPr>
      </w:pPr>
    </w:p>
    <w:p w14:paraId="24DF307C"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153CACF"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26981ECC"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4A2C87">
        <w:rPr>
          <w:rFonts w:ascii="Palatino Linotype" w:hAnsi="Palatino Linotype" w:cs="Adelle Sans Devanagari"/>
          <w:b/>
          <w:bCs/>
          <w:iCs/>
          <w:color w:val="000000"/>
          <w:sz w:val="22"/>
          <w:szCs w:val="22"/>
          <w:lang w:eastAsia="es-MX"/>
        </w:rPr>
        <w:t>y se le asigna una clave para hacer identificable al trabajador con el objetivo de poder proporcionar los servicios que brinda el Instituto de Seguridad Social del Estado de México y Municipios.</w:t>
      </w:r>
    </w:p>
    <w:p w14:paraId="34E24968"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6826F7B1"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9F92422" w14:textId="77777777" w:rsidR="006E6B62" w:rsidRPr="004A2C87" w:rsidRDefault="006E6B62" w:rsidP="000B54EE">
      <w:pPr>
        <w:spacing w:line="360" w:lineRule="auto"/>
        <w:contextualSpacing/>
        <w:jc w:val="both"/>
        <w:rPr>
          <w:rFonts w:ascii="Palatino Linotype" w:hAnsi="Palatino Linotype" w:cs="Adelle Sans Devanagari"/>
          <w:bCs/>
          <w:iCs/>
          <w:color w:val="000000"/>
          <w:sz w:val="22"/>
          <w:szCs w:val="22"/>
          <w:lang w:eastAsia="es-MX"/>
        </w:rPr>
      </w:pPr>
    </w:p>
    <w:p w14:paraId="25EBF63C" w14:textId="77777777" w:rsidR="006E6B62" w:rsidRPr="004A2C87" w:rsidRDefault="006E6B62" w:rsidP="000B54EE">
      <w:pPr>
        <w:spacing w:line="360" w:lineRule="auto"/>
        <w:contextualSpacing/>
        <w:jc w:val="both"/>
        <w:rPr>
          <w:rFonts w:ascii="Palatino Linotype" w:hAnsi="Palatino Linotype" w:cs="Adelle Sans Devanagari"/>
          <w:b/>
          <w:iCs/>
          <w:color w:val="000000"/>
          <w:sz w:val="22"/>
          <w:szCs w:val="22"/>
          <w:lang w:eastAsia="es-MX"/>
        </w:rPr>
      </w:pPr>
      <w:r w:rsidRPr="004A2C87">
        <w:rPr>
          <w:rFonts w:ascii="Palatino Linotype" w:hAnsi="Palatino Linotype" w:cs="Adelle Sans Devanagari"/>
          <w:bCs/>
          <w:iCs/>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8521304" w14:textId="77777777" w:rsidR="006E6B62" w:rsidRPr="004A2C87" w:rsidRDefault="006E6B62" w:rsidP="000B54EE">
      <w:pPr>
        <w:spacing w:line="360" w:lineRule="auto"/>
        <w:contextualSpacing/>
        <w:jc w:val="both"/>
        <w:rPr>
          <w:rFonts w:ascii="Palatino Linotype" w:eastAsia="Calibri" w:hAnsi="Palatino Linotype" w:cs="Adelle Sans Devanagari"/>
          <w:b/>
          <w:bCs/>
          <w:color w:val="000000"/>
          <w:sz w:val="22"/>
          <w:szCs w:val="22"/>
          <w:lang w:eastAsia="en-US"/>
        </w:rPr>
      </w:pPr>
    </w:p>
    <w:p w14:paraId="2FB07BA3" w14:textId="77777777" w:rsidR="006E6B62" w:rsidRPr="004A2C87" w:rsidRDefault="006E6B62" w:rsidP="00A65FFD">
      <w:pPr>
        <w:numPr>
          <w:ilvl w:val="0"/>
          <w:numId w:val="7"/>
        </w:numPr>
        <w:spacing w:line="360" w:lineRule="auto"/>
        <w:contextualSpacing/>
        <w:jc w:val="both"/>
        <w:rPr>
          <w:rFonts w:ascii="Palatino Linotype" w:eastAsia="Calibri" w:hAnsi="Palatino Linotype" w:cs="Adelle Sans Devanagari"/>
          <w:b/>
          <w:bCs/>
          <w:color w:val="000000"/>
          <w:sz w:val="22"/>
          <w:szCs w:val="22"/>
          <w:lang w:eastAsia="en-US"/>
        </w:rPr>
      </w:pPr>
      <w:r w:rsidRPr="004A2C87">
        <w:rPr>
          <w:rFonts w:ascii="Palatino Linotype" w:eastAsia="Calibri" w:hAnsi="Palatino Linotype" w:cs="Adelle Sans Devanagari"/>
          <w:b/>
          <w:bCs/>
          <w:color w:val="000000"/>
          <w:sz w:val="22"/>
          <w:szCs w:val="22"/>
          <w:lang w:eastAsia="en-US"/>
        </w:rPr>
        <w:t>Descuentos personales</w:t>
      </w:r>
    </w:p>
    <w:p w14:paraId="2083E75F" w14:textId="77777777" w:rsidR="006E6B62" w:rsidRPr="004A2C87" w:rsidRDefault="006E6B62" w:rsidP="000B54EE">
      <w:pPr>
        <w:spacing w:line="360" w:lineRule="auto"/>
        <w:contextualSpacing/>
        <w:jc w:val="both"/>
        <w:rPr>
          <w:rFonts w:ascii="Palatino Linotype" w:eastAsia="Calibri" w:hAnsi="Palatino Linotype" w:cs="Adelle Sans Devanagari"/>
          <w:b/>
          <w:bCs/>
          <w:color w:val="000000"/>
          <w:sz w:val="22"/>
          <w:szCs w:val="22"/>
          <w:lang w:eastAsia="en-US"/>
        </w:rPr>
      </w:pPr>
    </w:p>
    <w:p w14:paraId="7F4FE21A" w14:textId="77777777" w:rsidR="006E6B62" w:rsidRPr="004A2C87"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36A2014C" w14:textId="77777777" w:rsidR="006E6B62" w:rsidRPr="004A2C87"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p>
    <w:p w14:paraId="00189236" w14:textId="77777777" w:rsidR="006E6B62" w:rsidRPr="004A2C87"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Asimismo, hay otras que se generan con motivo de una sentencia judicial, como es la pensión alimenticia que periódicamente se retira de la cuenta de un empleado, a efecto de que sea entregado a un tercero.  </w:t>
      </w:r>
    </w:p>
    <w:p w14:paraId="49ADCDAD" w14:textId="77777777" w:rsidR="006E6B62" w:rsidRPr="004A2C87"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p>
    <w:p w14:paraId="2BB83832" w14:textId="77777777" w:rsidR="006E6B62" w:rsidRPr="004A2C87"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lastRenderedPageBreak/>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550AF2E" w14:textId="77777777" w:rsidR="006E6B62" w:rsidRPr="004A2C87" w:rsidRDefault="006E6B62" w:rsidP="000B54EE">
      <w:pPr>
        <w:spacing w:line="360" w:lineRule="auto"/>
        <w:contextualSpacing/>
        <w:jc w:val="both"/>
        <w:rPr>
          <w:rFonts w:ascii="Palatino Linotype" w:eastAsia="Calibri" w:hAnsi="Palatino Linotype" w:cs="Adelle Sans Devanagari"/>
          <w:color w:val="000000"/>
          <w:sz w:val="22"/>
          <w:szCs w:val="22"/>
          <w:lang w:eastAsia="en-US"/>
        </w:rPr>
      </w:pPr>
    </w:p>
    <w:p w14:paraId="135D4976" w14:textId="77777777" w:rsidR="006E6B62" w:rsidRPr="004A2C87" w:rsidRDefault="006E6B62" w:rsidP="000B54EE">
      <w:pPr>
        <w:spacing w:line="360" w:lineRule="auto"/>
        <w:contextualSpacing/>
        <w:jc w:val="both"/>
        <w:rPr>
          <w:rFonts w:ascii="Palatino Linotype" w:eastAsia="Calibri" w:hAnsi="Palatino Linotype" w:cs="Adelle Sans Devanagari"/>
          <w:b/>
          <w:bCs/>
          <w:color w:val="000000"/>
          <w:sz w:val="22"/>
          <w:szCs w:val="22"/>
          <w:lang w:eastAsia="en-US"/>
        </w:rPr>
      </w:pPr>
      <w:r w:rsidRPr="004A2C87">
        <w:rPr>
          <w:rFonts w:ascii="Palatino Linotype" w:eastAsia="Calibri" w:hAnsi="Palatino Linotype" w:cs="Adelle Sans Devanagari"/>
          <w:color w:val="000000"/>
          <w:sz w:val="22"/>
          <w:szCs w:val="22"/>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7CD7EDDC" w14:textId="77777777" w:rsidR="006E6B62" w:rsidRPr="004A2C87" w:rsidRDefault="006E6B62" w:rsidP="000B54EE">
      <w:pPr>
        <w:spacing w:line="360" w:lineRule="auto"/>
        <w:contextualSpacing/>
        <w:jc w:val="both"/>
        <w:rPr>
          <w:rFonts w:ascii="Palatino Linotype" w:eastAsia="Calibri" w:hAnsi="Palatino Linotype" w:cs="Adelle Sans Devanagari"/>
          <w:b/>
          <w:bCs/>
          <w:color w:val="000000"/>
          <w:sz w:val="22"/>
          <w:szCs w:val="22"/>
          <w:lang w:eastAsia="en-US"/>
        </w:rPr>
      </w:pPr>
    </w:p>
    <w:p w14:paraId="558EB8A4" w14:textId="77777777" w:rsidR="00BC0E4B" w:rsidRDefault="00BC0E4B" w:rsidP="00A65FFD">
      <w:pPr>
        <w:numPr>
          <w:ilvl w:val="0"/>
          <w:numId w:val="9"/>
        </w:numPr>
        <w:spacing w:after="160" w:line="360" w:lineRule="auto"/>
        <w:contextualSpacing/>
        <w:jc w:val="both"/>
        <w:rPr>
          <w:rFonts w:ascii="Palatino Linotype" w:hAnsi="Palatino Linotype" w:cs="Adelle Sans Devanagari"/>
          <w:bCs/>
          <w:color w:val="000000"/>
          <w:sz w:val="22"/>
          <w:szCs w:val="22"/>
        </w:rPr>
      </w:pPr>
      <w:r>
        <w:rPr>
          <w:rFonts w:ascii="Palatino Linotype" w:hAnsi="Palatino Linotype" w:cs="Adelle Sans Devanagari"/>
          <w:b/>
          <w:bCs/>
          <w:color w:val="000000"/>
          <w:sz w:val="22"/>
          <w:szCs w:val="24"/>
        </w:rPr>
        <w:t>Sellos digitales del emisor y del Servicio de Administración Tributaria y cadena original del complemento de certificación digital del órgano previamente señalado</w:t>
      </w:r>
    </w:p>
    <w:p w14:paraId="5F4E50CE" w14:textId="77777777" w:rsidR="00BC0E4B" w:rsidRDefault="00BC0E4B" w:rsidP="00BC0E4B">
      <w:pPr>
        <w:spacing w:line="360" w:lineRule="auto"/>
        <w:ind w:left="720"/>
        <w:contextualSpacing/>
        <w:jc w:val="both"/>
        <w:rPr>
          <w:rFonts w:ascii="Palatino Linotype" w:hAnsi="Palatino Linotype" w:cs="Adelle Sans Devanagari"/>
          <w:bCs/>
          <w:color w:val="000000"/>
          <w:sz w:val="22"/>
          <w:szCs w:val="22"/>
        </w:rPr>
      </w:pPr>
    </w:p>
    <w:p w14:paraId="5A7ED7E2" w14:textId="77777777" w:rsidR="00BC0E4B" w:rsidRDefault="00BC0E4B" w:rsidP="00BC0E4B">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w:t>
      </w:r>
      <w:r>
        <w:rPr>
          <w:rFonts w:ascii="Palatino Linotype" w:hAnsi="Palatino Linotype" w:cs="Adelle Sans Devanagari"/>
          <w:bCs/>
          <w:color w:val="000000"/>
          <w:sz w:val="22"/>
          <w:szCs w:val="22"/>
          <w:lang w:val="es-ES"/>
        </w:rPr>
        <w:lastRenderedPageBreak/>
        <w:t>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BB3FBBD" w14:textId="77777777" w:rsidR="00BC0E4B" w:rsidRDefault="00BC0E4B" w:rsidP="00BC0E4B">
      <w:pPr>
        <w:spacing w:line="360" w:lineRule="auto"/>
        <w:jc w:val="both"/>
        <w:rPr>
          <w:rFonts w:ascii="Palatino Linotype" w:hAnsi="Palatino Linotype" w:cs="Adelle Sans Devanagari"/>
          <w:bCs/>
          <w:color w:val="000000"/>
          <w:sz w:val="22"/>
          <w:szCs w:val="22"/>
          <w:lang w:val="es-ES"/>
        </w:rPr>
      </w:pPr>
    </w:p>
    <w:p w14:paraId="0970CD84" w14:textId="0487E46C" w:rsidR="00BC0E4B" w:rsidRDefault="00BC0E4B" w:rsidP="00BC0E4B">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 </w:t>
      </w:r>
      <w:r>
        <w:rPr>
          <w:rFonts w:ascii="Palatino Linotype" w:hAnsi="Palatino Linotype" w:cs="Adelle Sans Devanagari"/>
          <w:color w:val="000000"/>
          <w:sz w:val="22"/>
          <w:szCs w:val="22"/>
          <w:lang w:val="es-ES"/>
        </w:rPr>
        <w:t>Las cadenas originales y sellos que se agregan a las facturas</w:t>
      </w:r>
      <w:r>
        <w:rPr>
          <w:rFonts w:ascii="Palatino Linotype" w:hAnsi="Palatino Linotype" w:cs="Adelle Sans Devanagari"/>
          <w:b/>
          <w:bCs/>
          <w:color w:val="000000"/>
          <w:sz w:val="22"/>
          <w:szCs w:val="22"/>
          <w:lang w:val="es-ES"/>
        </w:rPr>
        <w:t>,</w:t>
      </w:r>
      <w:r>
        <w:rPr>
          <w:rFonts w:ascii="Palatino Linotype" w:hAnsi="Palatino Linotype" w:cs="Adelle Sans Devanagari"/>
          <w:bCs/>
          <w:color w:val="000000"/>
          <w:sz w:val="22"/>
          <w:szCs w:val="22"/>
          <w:lang w:val="es-ES"/>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14:paraId="4788E824"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p>
    <w:p w14:paraId="6A3E86D7"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Elementos utilizados en la generación de Sellos Digitales:</w:t>
      </w:r>
    </w:p>
    <w:p w14:paraId="7BC7D72B"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r>
        <w:rPr>
          <w:rFonts w:ascii="Palatino Linotype" w:eastAsia="Calibri" w:hAnsi="Palatino Linotype" w:cs="Adelle Sans Devanagari"/>
          <w:bCs/>
          <w:i/>
          <w:color w:val="000000"/>
          <w:lang w:val="es-ES" w:eastAsia="en-US"/>
        </w:rPr>
        <w:tab/>
        <w:t>Cadena Original, el elemento a sellar, en este caso de un comprobante fiscal digital a través de Internet.</w:t>
      </w:r>
    </w:p>
    <w:p w14:paraId="3C96907F"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r>
        <w:rPr>
          <w:rFonts w:ascii="Palatino Linotype" w:eastAsia="Calibri" w:hAnsi="Palatino Linotype" w:cs="Adelle Sans Devanagari"/>
          <w:bCs/>
          <w:i/>
          <w:color w:val="000000"/>
          <w:lang w:val="es-ES" w:eastAsia="en-US"/>
        </w:rPr>
        <w:tab/>
        <w:t>Certificado de Sello Digital y su correspondiente clave privada.</w:t>
      </w:r>
    </w:p>
    <w:p w14:paraId="773225FC"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r>
        <w:rPr>
          <w:rFonts w:ascii="Palatino Linotype" w:eastAsia="Calibri" w:hAnsi="Palatino Linotype" w:cs="Adelle Sans Devanagari"/>
          <w:bCs/>
          <w:i/>
          <w:color w:val="000000"/>
          <w:lang w:val="es-ES" w:eastAsia="en-US"/>
        </w:rPr>
        <w:tab/>
        <w:t>Algoritmos de criptografía de clave pública para firma electrónica avanzada.</w:t>
      </w:r>
    </w:p>
    <w:p w14:paraId="59E82A2F"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r>
        <w:rPr>
          <w:rFonts w:ascii="Palatino Linotype" w:eastAsia="Calibri" w:hAnsi="Palatino Linotype" w:cs="Adelle Sans Devanagari"/>
          <w:bCs/>
          <w:i/>
          <w:color w:val="000000"/>
          <w:lang w:val="es-ES" w:eastAsia="en-US"/>
        </w:rPr>
        <w:tab/>
        <w:t>Especificaciones de conversión de la firma electrónica avanzada a Base 64.</w:t>
      </w:r>
    </w:p>
    <w:p w14:paraId="3AA72DCF"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Para la generación de sellos digitales se utiliza criptografía de clave pública aplicada a una cadena original.</w:t>
      </w:r>
    </w:p>
    <w:p w14:paraId="3A9524C8"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Criptografía de la Clave Pública</w:t>
      </w:r>
    </w:p>
    <w:p w14:paraId="06B0EA8C"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 xml:space="preserve">La criptografía de Clave Pública se basa en la generación de una pareja de números muy grandes relacionados íntimamente entre sí, de tal manera que una operación de </w:t>
      </w:r>
      <w:proofErr w:type="spellStart"/>
      <w:r>
        <w:rPr>
          <w:rFonts w:ascii="Palatino Linotype" w:eastAsia="Calibri" w:hAnsi="Palatino Linotype" w:cs="Adelle Sans Devanagari"/>
          <w:bCs/>
          <w:i/>
          <w:color w:val="000000"/>
          <w:lang w:val="es-ES" w:eastAsia="en-US"/>
        </w:rPr>
        <w:t>encripción</w:t>
      </w:r>
      <w:proofErr w:type="spellEnd"/>
      <w:r>
        <w:rPr>
          <w:rFonts w:ascii="Palatino Linotype" w:eastAsia="Calibri" w:hAnsi="Palatino Linotype" w:cs="Adelle Sans Devanagari"/>
          <w:bCs/>
          <w:i/>
          <w:color w:val="000000"/>
          <w:lang w:val="es-ES" w:eastAsia="en-US"/>
        </w:rPr>
        <w:t xml:space="preserve"> sobre un mensaje tomando como clave de </w:t>
      </w:r>
      <w:proofErr w:type="spellStart"/>
      <w:r>
        <w:rPr>
          <w:rFonts w:ascii="Palatino Linotype" w:eastAsia="Calibri" w:hAnsi="Palatino Linotype" w:cs="Adelle Sans Devanagari"/>
          <w:bCs/>
          <w:i/>
          <w:color w:val="000000"/>
          <w:lang w:val="es-ES" w:eastAsia="en-US"/>
        </w:rPr>
        <w:t>encripción</w:t>
      </w:r>
      <w:proofErr w:type="spellEnd"/>
      <w:r>
        <w:rPr>
          <w:rFonts w:ascii="Palatino Linotype" w:eastAsia="Calibri" w:hAnsi="Palatino Linotype" w:cs="Adelle Sans Devanagari"/>
          <w:bCs/>
          <w:i/>
          <w:color w:val="000000"/>
          <w:lang w:val="es-ES" w:eastAsia="en-US"/>
        </w:rPr>
        <w:t xml:space="preserve"> a uno de los dos números, produce un mensaje alterado en su significado que solo puede ser devuelto a su estado original mediante la operación de </w:t>
      </w:r>
      <w:proofErr w:type="spellStart"/>
      <w:r>
        <w:rPr>
          <w:rFonts w:ascii="Palatino Linotype" w:eastAsia="Calibri" w:hAnsi="Palatino Linotype" w:cs="Adelle Sans Devanagari"/>
          <w:bCs/>
          <w:i/>
          <w:color w:val="000000"/>
          <w:lang w:val="es-ES" w:eastAsia="en-US"/>
        </w:rPr>
        <w:t>desencripción</w:t>
      </w:r>
      <w:proofErr w:type="spellEnd"/>
      <w:r>
        <w:rPr>
          <w:rFonts w:ascii="Palatino Linotype" w:eastAsia="Calibri" w:hAnsi="Palatino Linotype" w:cs="Adelle Sans Devanagari"/>
          <w:bCs/>
          <w:i/>
          <w:color w:val="000000"/>
          <w:lang w:val="es-ES" w:eastAsia="en-US"/>
        </w:rPr>
        <w:t xml:space="preserve"> correspondiente tomando como clave de </w:t>
      </w:r>
      <w:proofErr w:type="spellStart"/>
      <w:r>
        <w:rPr>
          <w:rFonts w:ascii="Palatino Linotype" w:eastAsia="Calibri" w:hAnsi="Palatino Linotype" w:cs="Adelle Sans Devanagari"/>
          <w:bCs/>
          <w:i/>
          <w:color w:val="000000"/>
          <w:lang w:val="es-ES" w:eastAsia="en-US"/>
        </w:rPr>
        <w:t>desencripción</w:t>
      </w:r>
      <w:proofErr w:type="spellEnd"/>
      <w:r>
        <w:rPr>
          <w:rFonts w:ascii="Palatino Linotype" w:eastAsia="Calibri" w:hAnsi="Palatino Linotype" w:cs="Adelle Sans Devanagari"/>
          <w:bCs/>
          <w:i/>
          <w:color w:val="000000"/>
          <w:lang w:val="es-ES" w:eastAsia="en-US"/>
        </w:rPr>
        <w:t xml:space="preserve"> al otro número de la pareja.</w:t>
      </w:r>
    </w:p>
    <w:p w14:paraId="4C22A0D3" w14:textId="77777777" w:rsidR="00BC0E4B" w:rsidRDefault="00BC0E4B" w:rsidP="00BC0E4B">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p>
    <w:p w14:paraId="67809FAF" w14:textId="77777777" w:rsidR="00BC0E4B" w:rsidRDefault="00BC0E4B" w:rsidP="00BC0E4B">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 </w:t>
      </w:r>
    </w:p>
    <w:p w14:paraId="4C7ADF08" w14:textId="77777777" w:rsidR="00BC0E4B" w:rsidRDefault="00BC0E4B" w:rsidP="00BC0E4B">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lastRenderedPageBreak/>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0CB034F" w14:textId="77777777" w:rsidR="00BC0E4B" w:rsidRDefault="00BC0E4B" w:rsidP="00BC0E4B">
      <w:pPr>
        <w:tabs>
          <w:tab w:val="left" w:pos="4962"/>
        </w:tabs>
        <w:spacing w:line="360" w:lineRule="auto"/>
        <w:jc w:val="both"/>
        <w:rPr>
          <w:rFonts w:ascii="Palatino Linotype" w:eastAsia="Calibri" w:hAnsi="Palatino Linotype" w:cs="Adelle Sans Devanagari"/>
          <w:bCs/>
          <w:iCs/>
          <w:color w:val="000000"/>
          <w:sz w:val="22"/>
          <w:szCs w:val="22"/>
          <w:lang w:eastAsia="en-US"/>
        </w:rPr>
      </w:pPr>
    </w:p>
    <w:p w14:paraId="274AB987" w14:textId="77777777" w:rsidR="00BC0E4B" w:rsidRDefault="00BC0E4B" w:rsidP="00BC0E4B">
      <w:pPr>
        <w:spacing w:line="360" w:lineRule="auto"/>
        <w:jc w:val="both"/>
        <w:rPr>
          <w:rFonts w:ascii="Palatino Linotype" w:hAnsi="Palatino Linotype" w:cs="Adelle Sans Devanagari"/>
          <w:color w:val="000000"/>
          <w:sz w:val="22"/>
          <w:szCs w:val="22"/>
          <w:lang w:val="es-ES"/>
        </w:rPr>
      </w:pPr>
      <w:r>
        <w:rPr>
          <w:rFonts w:ascii="Palatino Linotype" w:eastAsia="Calibri" w:hAnsi="Palatino Linotype" w:cs="Adelle Sans Devanagari"/>
          <w:bCs/>
          <w:iCs/>
          <w:color w:val="000000"/>
          <w:sz w:val="22"/>
          <w:szCs w:val="22"/>
          <w:lang w:eastAsia="en-US"/>
        </w:rPr>
        <w:t>Cabe señalar que, en algunos casos, las</w:t>
      </w:r>
      <w:r>
        <w:rPr>
          <w:rFonts w:ascii="Palatino Linotype" w:hAnsi="Palatino Linotype" w:cs="Adelle Sans Devanagari"/>
          <w:color w:val="000000"/>
          <w:sz w:val="22"/>
          <w:szCs w:val="22"/>
          <w:lang w:val="es-ES"/>
        </w:rPr>
        <w:t xml:space="preserve"> cadenas originales y sellos digitales</w:t>
      </w:r>
      <w:r>
        <w:rPr>
          <w:rFonts w:ascii="Palatino Linotype" w:hAnsi="Palatino Linotype" w:cs="Adelle Sans Devanagari"/>
          <w:bCs/>
          <w:color w:val="000000"/>
          <w:sz w:val="22"/>
          <w:szCs w:val="22"/>
          <w:lang w:val="es-ES"/>
        </w:rPr>
        <w:t xml:space="preserve">, se pueden conformar de datos confidenciales, tales como el Registro Federal de Contribuyentes o la Clave Única de Registro de Población; por lo que, en su caso actualizarían </w:t>
      </w:r>
      <w:r>
        <w:rPr>
          <w:rFonts w:ascii="Palatino Linotype" w:hAnsi="Palatino Linotype" w:cs="Adelle Sans Devanagari"/>
          <w:color w:val="000000"/>
          <w:sz w:val="22"/>
          <w:szCs w:val="22"/>
          <w:lang w:val="es-ES"/>
        </w:rPr>
        <w:t>actualiza la clasificación, en términos del artículo 143, fracción I, de la Ley de la materia.</w:t>
      </w:r>
    </w:p>
    <w:p w14:paraId="771F3D84" w14:textId="77777777" w:rsidR="00BC0E4B" w:rsidRDefault="00BC0E4B" w:rsidP="00BC0E4B">
      <w:pPr>
        <w:spacing w:line="360" w:lineRule="auto"/>
        <w:jc w:val="both"/>
        <w:rPr>
          <w:rFonts w:ascii="Palatino Linotype" w:hAnsi="Palatino Linotype" w:cs="Adelle Sans Devanagari"/>
          <w:color w:val="000000"/>
          <w:sz w:val="22"/>
          <w:szCs w:val="22"/>
          <w:lang w:val="es-ES"/>
        </w:rPr>
      </w:pPr>
    </w:p>
    <w:p w14:paraId="78BC42FC" w14:textId="77777777" w:rsidR="00BC0E4B" w:rsidRPr="00BC0E4B" w:rsidRDefault="00BC0E4B" w:rsidP="00A65FFD">
      <w:pPr>
        <w:pStyle w:val="Prrafodelista"/>
        <w:numPr>
          <w:ilvl w:val="0"/>
          <w:numId w:val="10"/>
        </w:numPr>
        <w:spacing w:line="360" w:lineRule="auto"/>
        <w:jc w:val="both"/>
        <w:rPr>
          <w:rFonts w:ascii="Palatino Linotype" w:hAnsi="Palatino Linotype" w:cs="Adelle Sans Devanagari"/>
          <w:b/>
          <w:color w:val="000000"/>
          <w:szCs w:val="22"/>
        </w:rPr>
      </w:pPr>
      <w:r w:rsidRPr="00BC0E4B">
        <w:rPr>
          <w:rFonts w:ascii="Palatino Linotype" w:hAnsi="Palatino Linotype" w:cs="Adelle Sans Devanagari"/>
          <w:b/>
          <w:color w:val="000000"/>
          <w:szCs w:val="22"/>
        </w:rPr>
        <w:t>Folio Fiscal</w:t>
      </w:r>
    </w:p>
    <w:p w14:paraId="6962C0AB" w14:textId="77777777" w:rsidR="00BC0E4B" w:rsidRPr="00BC0E4B" w:rsidRDefault="00BC0E4B" w:rsidP="00BC0E4B">
      <w:pPr>
        <w:spacing w:line="360" w:lineRule="auto"/>
        <w:ind w:left="360"/>
        <w:jc w:val="both"/>
        <w:rPr>
          <w:rFonts w:ascii="Palatino Linotype" w:hAnsi="Palatino Linotype" w:cs="Adelle Sans Devanagari"/>
          <w:b/>
          <w:color w:val="000000"/>
          <w:szCs w:val="22"/>
        </w:rPr>
      </w:pPr>
    </w:p>
    <w:p w14:paraId="0C865B88" w14:textId="77777777" w:rsidR="00BC0E4B" w:rsidRPr="00BC0E4B" w:rsidRDefault="00BC0E4B" w:rsidP="00BC0E4B">
      <w:pPr>
        <w:spacing w:line="360" w:lineRule="auto"/>
        <w:jc w:val="both"/>
        <w:rPr>
          <w:rFonts w:ascii="Palatino Linotype" w:hAnsi="Palatino Linotype" w:cs="Adelle Sans Devanagari"/>
          <w:bCs/>
          <w:color w:val="000000"/>
          <w:sz w:val="22"/>
          <w:szCs w:val="22"/>
        </w:rPr>
      </w:pPr>
      <w:r w:rsidRPr="00BC0E4B">
        <w:rPr>
          <w:rFonts w:ascii="Palatino Linotype" w:hAnsi="Palatino Linotype" w:cs="Adelle Sans Devanagari"/>
          <w:bCs/>
          <w:color w:val="000000"/>
          <w:sz w:val="22"/>
          <w:szCs w:val="22"/>
        </w:rPr>
        <w:t xml:space="preserve">Ahora bien, por lo que hace </w:t>
      </w:r>
      <w:r w:rsidRPr="00BC0E4B">
        <w:rPr>
          <w:rFonts w:ascii="Palatino Linotype" w:hAnsi="Palatino Linotype" w:cs="Adelle Sans Devanagari"/>
          <w:b/>
          <w:bCs/>
          <w:color w:val="000000"/>
          <w:sz w:val="22"/>
          <w:szCs w:val="22"/>
        </w:rPr>
        <w:t>Folio Fiscal,</w:t>
      </w:r>
      <w:r w:rsidRPr="00BC0E4B">
        <w:rPr>
          <w:rFonts w:ascii="Palatino Linotype" w:hAnsi="Palatino Linotype" w:cs="Adelle Sans Devanagari"/>
          <w:bCs/>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9722A1B" w14:textId="77777777" w:rsidR="00BC0E4B" w:rsidRPr="00BC0E4B" w:rsidRDefault="00BC0E4B" w:rsidP="00BC0E4B">
      <w:pPr>
        <w:spacing w:line="360" w:lineRule="auto"/>
        <w:jc w:val="both"/>
        <w:rPr>
          <w:rFonts w:ascii="Palatino Linotype" w:hAnsi="Palatino Linotype" w:cs="Adelle Sans Devanagari"/>
          <w:bCs/>
          <w:color w:val="000000"/>
          <w:sz w:val="22"/>
          <w:szCs w:val="22"/>
        </w:rPr>
      </w:pPr>
      <w:r w:rsidRPr="00BC0E4B">
        <w:rPr>
          <w:rFonts w:ascii="Palatino Linotype" w:hAnsi="Palatino Linotype" w:cs="Adelle Sans Devanagari"/>
          <w:bCs/>
          <w:color w:val="000000"/>
          <w:sz w:val="22"/>
          <w:szCs w:val="22"/>
        </w:rPr>
        <w:t xml:space="preserve"> </w:t>
      </w:r>
    </w:p>
    <w:p w14:paraId="4BC5FC0A" w14:textId="189BE3D1" w:rsidR="00BC0E4B" w:rsidRPr="00BC0E4B" w:rsidRDefault="00BC0E4B" w:rsidP="00BC0E4B">
      <w:pPr>
        <w:spacing w:line="360" w:lineRule="auto"/>
        <w:jc w:val="center"/>
        <w:rPr>
          <w:rFonts w:ascii="Palatino Linotype" w:hAnsi="Palatino Linotype" w:cs="Adelle Sans Devanagari"/>
          <w:bCs/>
          <w:color w:val="000000"/>
          <w:sz w:val="22"/>
          <w:szCs w:val="22"/>
        </w:rPr>
      </w:pPr>
      <w:r w:rsidRPr="00BC0E4B">
        <w:rPr>
          <w:rFonts w:ascii="Palatino Linotype" w:hAnsi="Palatino Linotype" w:cs="Adelle Sans Devanagari"/>
          <w:noProof/>
          <w:color w:val="000000"/>
          <w:sz w:val="22"/>
          <w:szCs w:val="22"/>
          <w:lang w:eastAsia="es-MX"/>
        </w:rPr>
        <w:drawing>
          <wp:inline distT="0" distB="0" distL="0" distR="0" wp14:anchorId="3E90D6D7" wp14:editId="45E26079">
            <wp:extent cx="4438650" cy="1028700"/>
            <wp:effectExtent l="0" t="0" r="0" b="0"/>
            <wp:docPr id="185016942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0562E840" w14:textId="77777777" w:rsidR="00BC0E4B" w:rsidRPr="00BC0E4B" w:rsidRDefault="00BC0E4B" w:rsidP="00BC0E4B">
      <w:pPr>
        <w:spacing w:line="360" w:lineRule="auto"/>
        <w:jc w:val="both"/>
        <w:rPr>
          <w:rFonts w:ascii="Palatino Linotype" w:hAnsi="Palatino Linotype" w:cs="Adelle Sans Devanagari"/>
          <w:bCs/>
          <w:color w:val="000000"/>
          <w:sz w:val="22"/>
          <w:szCs w:val="22"/>
        </w:rPr>
      </w:pPr>
    </w:p>
    <w:p w14:paraId="3E747FD8" w14:textId="77777777" w:rsidR="00BC0E4B" w:rsidRPr="00BC0E4B" w:rsidRDefault="00BC0E4B" w:rsidP="00BC0E4B">
      <w:pPr>
        <w:spacing w:line="360" w:lineRule="auto"/>
        <w:jc w:val="both"/>
        <w:rPr>
          <w:rFonts w:ascii="Palatino Linotype" w:hAnsi="Palatino Linotype" w:cs="Adelle Sans Devanagari"/>
          <w:bCs/>
          <w:color w:val="000000"/>
          <w:sz w:val="22"/>
          <w:szCs w:val="22"/>
        </w:rPr>
      </w:pPr>
      <w:r w:rsidRPr="00BC0E4B">
        <w:rPr>
          <w:rFonts w:ascii="Palatino Linotype" w:hAnsi="Palatino Linotype" w:cs="Adelle Sans Devanagari"/>
          <w:bCs/>
          <w:color w:val="000000"/>
          <w:sz w:val="22"/>
          <w:szCs w:val="22"/>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6595BD6" w14:textId="77777777" w:rsidR="00BC0E4B" w:rsidRPr="00BC0E4B" w:rsidRDefault="00BC0E4B" w:rsidP="00BC0E4B">
      <w:pPr>
        <w:spacing w:line="360" w:lineRule="auto"/>
        <w:jc w:val="both"/>
        <w:rPr>
          <w:rFonts w:ascii="Palatino Linotype" w:hAnsi="Palatino Linotype" w:cs="Adelle Sans Devanagari"/>
          <w:bCs/>
          <w:color w:val="000000"/>
          <w:sz w:val="22"/>
          <w:szCs w:val="22"/>
        </w:rPr>
      </w:pPr>
    </w:p>
    <w:p w14:paraId="7D24D676" w14:textId="77777777" w:rsidR="00BC0E4B" w:rsidRPr="00BC0E4B" w:rsidRDefault="00BC0E4B" w:rsidP="00A65FFD">
      <w:pPr>
        <w:pStyle w:val="Prrafodelista"/>
        <w:numPr>
          <w:ilvl w:val="0"/>
          <w:numId w:val="10"/>
        </w:numPr>
        <w:spacing w:line="360" w:lineRule="auto"/>
        <w:ind w:right="-93"/>
        <w:jc w:val="both"/>
        <w:rPr>
          <w:rFonts w:ascii="Palatino Linotype" w:hAnsi="Palatino Linotype" w:cs="Tahoma"/>
          <w:b/>
          <w:szCs w:val="22"/>
        </w:rPr>
      </w:pPr>
      <w:r w:rsidRPr="00BC0E4B">
        <w:rPr>
          <w:rFonts w:ascii="Palatino Linotype" w:hAnsi="Palatino Linotype" w:cs="Tahoma"/>
          <w:b/>
          <w:bCs/>
          <w:iCs/>
          <w:szCs w:val="22"/>
        </w:rPr>
        <w:t>Número de cuenta o CLABE interbancaria</w:t>
      </w:r>
    </w:p>
    <w:p w14:paraId="09447624" w14:textId="77777777" w:rsidR="00BC0E4B" w:rsidRPr="00BC0E4B" w:rsidRDefault="00BC0E4B" w:rsidP="00BC0E4B">
      <w:pPr>
        <w:spacing w:line="360" w:lineRule="auto"/>
        <w:ind w:right="-93"/>
        <w:jc w:val="both"/>
        <w:rPr>
          <w:rFonts w:ascii="Palatino Linotype" w:hAnsi="Palatino Linotype" w:cs="Tahoma"/>
          <w:sz w:val="22"/>
          <w:szCs w:val="22"/>
        </w:rPr>
      </w:pPr>
    </w:p>
    <w:p w14:paraId="2274ED91" w14:textId="77777777" w:rsidR="00BC0E4B" w:rsidRPr="00BC0E4B" w:rsidRDefault="00BC0E4B" w:rsidP="00BC0E4B">
      <w:pPr>
        <w:spacing w:line="360" w:lineRule="auto"/>
        <w:jc w:val="both"/>
        <w:rPr>
          <w:rFonts w:ascii="Palatino Linotype" w:eastAsia="Palatino Linotype" w:hAnsi="Palatino Linotype" w:cs="Palatino Linotype"/>
          <w:color w:val="000000"/>
          <w:sz w:val="22"/>
          <w:szCs w:val="22"/>
          <w:lang w:eastAsia="es-MX"/>
        </w:rPr>
      </w:pPr>
      <w:r w:rsidRPr="00BC0E4B">
        <w:rPr>
          <w:rFonts w:ascii="Palatino Linotype" w:eastAsia="Palatino Linotype" w:hAnsi="Palatino Linotype" w:cs="Palatino Linotype"/>
          <w:color w:val="000000"/>
          <w:sz w:val="22"/>
          <w:szCs w:val="22"/>
          <w:lang w:eastAsia="es-MX"/>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7ACA86C6" w14:textId="77777777" w:rsidR="00BC0E4B" w:rsidRPr="00BC0E4B" w:rsidRDefault="00BC0E4B" w:rsidP="00BC0E4B">
      <w:pPr>
        <w:spacing w:line="360" w:lineRule="auto"/>
        <w:jc w:val="both"/>
        <w:rPr>
          <w:rFonts w:ascii="Palatino Linotype" w:eastAsia="Palatino Linotype" w:hAnsi="Palatino Linotype" w:cs="Palatino Linotype"/>
          <w:color w:val="000000"/>
          <w:sz w:val="22"/>
          <w:szCs w:val="22"/>
          <w:lang w:eastAsia="es-MX"/>
        </w:rPr>
      </w:pPr>
      <w:r w:rsidRPr="00BC0E4B">
        <w:rPr>
          <w:rFonts w:ascii="Palatino Linotype" w:eastAsia="Palatino Linotype" w:hAnsi="Palatino Linotype" w:cs="Palatino Linotype"/>
          <w:color w:val="000000"/>
          <w:sz w:val="22"/>
          <w:szCs w:val="22"/>
          <w:lang w:eastAsia="es-MX"/>
        </w:rPr>
        <w:t> </w:t>
      </w:r>
    </w:p>
    <w:p w14:paraId="46A1557D" w14:textId="77777777" w:rsidR="00BC0E4B" w:rsidRPr="00BC0E4B" w:rsidRDefault="00BC0E4B" w:rsidP="00BC0E4B">
      <w:pPr>
        <w:spacing w:line="360" w:lineRule="auto"/>
        <w:jc w:val="both"/>
        <w:rPr>
          <w:rFonts w:ascii="Palatino Linotype" w:eastAsia="Palatino Linotype" w:hAnsi="Palatino Linotype" w:cs="Palatino Linotype"/>
          <w:color w:val="000000"/>
          <w:sz w:val="22"/>
          <w:szCs w:val="22"/>
          <w:lang w:eastAsia="es-MX"/>
        </w:rPr>
      </w:pPr>
      <w:r w:rsidRPr="00BC0E4B">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3659641E" w14:textId="77777777" w:rsidR="00BC0E4B" w:rsidRPr="00BC0E4B" w:rsidRDefault="00BC0E4B" w:rsidP="00BC0E4B">
      <w:pPr>
        <w:spacing w:line="360" w:lineRule="auto"/>
        <w:jc w:val="both"/>
        <w:rPr>
          <w:rFonts w:ascii="Palatino Linotype" w:eastAsia="Palatino Linotype" w:hAnsi="Palatino Linotype" w:cs="Palatino Linotype"/>
          <w:color w:val="000000"/>
          <w:sz w:val="22"/>
          <w:szCs w:val="22"/>
          <w:lang w:eastAsia="es-MX"/>
        </w:rPr>
      </w:pPr>
    </w:p>
    <w:p w14:paraId="1E62A639" w14:textId="77777777" w:rsidR="00BC0E4B" w:rsidRPr="00BC0E4B" w:rsidRDefault="00BC0E4B" w:rsidP="00BC0E4B">
      <w:pPr>
        <w:spacing w:line="360" w:lineRule="auto"/>
        <w:ind w:left="567" w:right="567"/>
        <w:jc w:val="both"/>
        <w:rPr>
          <w:rFonts w:ascii="Palatino Linotype" w:eastAsia="Palatino Linotype" w:hAnsi="Palatino Linotype" w:cs="Palatino Linotype"/>
          <w:i/>
          <w:color w:val="000000"/>
          <w:lang w:eastAsia="es-MX"/>
        </w:rPr>
      </w:pPr>
      <w:r w:rsidRPr="00BC0E4B">
        <w:rPr>
          <w:rFonts w:ascii="Palatino Linotype" w:eastAsia="Palatino Linotype" w:hAnsi="Palatino Linotype" w:cs="Palatino Linotype"/>
          <w:i/>
          <w:color w:val="000000"/>
          <w:lang w:eastAsia="es-MX"/>
        </w:rPr>
        <w:t>“</w:t>
      </w:r>
      <w:r w:rsidRPr="00BC0E4B">
        <w:rPr>
          <w:rFonts w:ascii="Palatino Linotype" w:eastAsia="Palatino Linotype" w:hAnsi="Palatino Linotype" w:cs="Palatino Linotype"/>
          <w:b/>
          <w:i/>
          <w:color w:val="000000"/>
          <w:lang w:eastAsia="es-MX"/>
        </w:rPr>
        <w:t>Cuentas bancarias y/o CLABE interbancaria de personas físicas y morales privadas.</w:t>
      </w:r>
      <w:r w:rsidRPr="00BC0E4B">
        <w:rPr>
          <w:rFonts w:ascii="Palatino Linotype" w:eastAsia="Palatino Linotype" w:hAnsi="Palatino Linotype" w:cs="Palatino Linotype"/>
          <w:i/>
          <w:color w:val="000000"/>
          <w:lang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w:t>
      </w:r>
      <w:r w:rsidRPr="00BC0E4B">
        <w:rPr>
          <w:rFonts w:ascii="Palatino Linotype" w:eastAsia="Palatino Linotype" w:hAnsi="Palatino Linotype" w:cs="Palatino Linotype"/>
          <w:i/>
          <w:color w:val="000000"/>
          <w:lang w:eastAsia="es-MX"/>
        </w:rPr>
        <w:lastRenderedPageBreak/>
        <w:t>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98F8B95" w14:textId="77777777" w:rsidR="00BC0E4B" w:rsidRPr="00BC0E4B" w:rsidRDefault="00BC0E4B" w:rsidP="00BC0E4B">
      <w:pPr>
        <w:spacing w:line="360" w:lineRule="auto"/>
        <w:jc w:val="both"/>
        <w:rPr>
          <w:rFonts w:ascii="Palatino Linotype" w:eastAsia="Palatino Linotype" w:hAnsi="Palatino Linotype" w:cs="Palatino Linotype"/>
          <w:color w:val="000000"/>
          <w:sz w:val="22"/>
          <w:szCs w:val="22"/>
          <w:lang w:eastAsia="es-MX"/>
        </w:rPr>
      </w:pPr>
    </w:p>
    <w:p w14:paraId="22EAB9C8" w14:textId="77777777" w:rsidR="00BC0E4B" w:rsidRDefault="00BC0E4B" w:rsidP="00BC0E4B">
      <w:pPr>
        <w:spacing w:line="360" w:lineRule="auto"/>
        <w:jc w:val="both"/>
        <w:rPr>
          <w:rFonts w:ascii="Palatino Linotype" w:eastAsia="Palatino Linotype" w:hAnsi="Palatino Linotype" w:cs="Palatino Linotype"/>
          <w:color w:val="000000"/>
          <w:sz w:val="22"/>
          <w:szCs w:val="22"/>
          <w:lang w:eastAsia="es-MX"/>
        </w:rPr>
      </w:pPr>
      <w:r w:rsidRPr="00BC0E4B">
        <w:rPr>
          <w:rFonts w:ascii="Palatino Linotype" w:eastAsia="Palatino Linotype" w:hAnsi="Palatino Linotype" w:cs="Palatino Linotype"/>
          <w:color w:val="000000"/>
          <w:sz w:val="22"/>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9B98C7A" w14:textId="77777777" w:rsidR="006E6B62" w:rsidRPr="001102E9" w:rsidRDefault="006E6B62" w:rsidP="000B54EE">
      <w:pPr>
        <w:spacing w:line="360" w:lineRule="auto"/>
        <w:contextualSpacing/>
        <w:jc w:val="both"/>
        <w:rPr>
          <w:rFonts w:ascii="Palatino Linotype" w:hAnsi="Palatino Linotype" w:cs="Adelle Sans Devanagari"/>
          <w:bCs/>
          <w:color w:val="000000"/>
          <w:sz w:val="22"/>
          <w:szCs w:val="22"/>
        </w:rPr>
      </w:pPr>
    </w:p>
    <w:p w14:paraId="7E4EE13C" w14:textId="77777777" w:rsidR="006E6B62" w:rsidRPr="004A2C87" w:rsidRDefault="006E6B62" w:rsidP="000B54EE">
      <w:pPr>
        <w:tabs>
          <w:tab w:val="left" w:pos="4962"/>
        </w:tabs>
        <w:spacing w:line="360" w:lineRule="auto"/>
        <w:contextualSpacing/>
        <w:jc w:val="both"/>
        <w:rPr>
          <w:rFonts w:ascii="Palatino Linotype" w:eastAsia="Calibri" w:hAnsi="Palatino Linotype" w:cs="Adelle Sans Devanagari"/>
          <w:bCs/>
          <w:iCs/>
          <w:color w:val="000000"/>
          <w:sz w:val="22"/>
          <w:szCs w:val="22"/>
          <w:lang w:val="es-ES" w:eastAsia="en-US"/>
        </w:rPr>
      </w:pPr>
      <w:r w:rsidRPr="004A2C87">
        <w:rPr>
          <w:rFonts w:ascii="Palatino Linotype" w:hAnsi="Palatino Linotype" w:cs="Adelle Sans Devanagari"/>
          <w:bCs/>
          <w:color w:val="000000"/>
          <w:sz w:val="22"/>
          <w:szCs w:val="22"/>
        </w:rPr>
        <w:t>Así, este Instituto considera que el Sujeto Obligado deberá proporcionar los documentos solicitados en versión pública; sobre dicha circunstancia, el a</w:t>
      </w:r>
      <w:proofErr w:type="spellStart"/>
      <w:r w:rsidRPr="004A2C87">
        <w:rPr>
          <w:rFonts w:ascii="Palatino Linotype" w:eastAsia="Calibri" w:hAnsi="Palatino Linotype" w:cs="Adelle Sans Devanagari"/>
          <w:bCs/>
          <w:iCs/>
          <w:color w:val="000000"/>
          <w:sz w:val="22"/>
          <w:szCs w:val="22"/>
          <w:lang w:val="es-ES" w:eastAsia="en-US"/>
        </w:rPr>
        <w:t>rtículo</w:t>
      </w:r>
      <w:proofErr w:type="spellEnd"/>
      <w:r w:rsidRPr="004A2C87">
        <w:rPr>
          <w:rFonts w:ascii="Palatino Linotype" w:eastAsia="Calibri" w:hAnsi="Palatino Linotype" w:cs="Adelle Sans Devanagari"/>
          <w:bCs/>
          <w:iCs/>
          <w:color w:val="000000"/>
          <w:sz w:val="22"/>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323AE7D" w14:textId="77777777" w:rsidR="006E6B62" w:rsidRPr="004A2C87" w:rsidRDefault="006E6B62" w:rsidP="000B54EE">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7AE9B644" w14:textId="77777777" w:rsidR="006E6B62" w:rsidRPr="004A2C87" w:rsidRDefault="006E6B62" w:rsidP="000B54EE">
      <w:pPr>
        <w:spacing w:line="360" w:lineRule="auto"/>
        <w:contextualSpacing/>
        <w:jc w:val="both"/>
        <w:rPr>
          <w:rFonts w:ascii="Palatino Linotype" w:eastAsia="Calibri" w:hAnsi="Palatino Linotype" w:cs="Adelle Sans Devanagari"/>
          <w:bCs/>
          <w:iCs/>
          <w:color w:val="000000"/>
          <w:sz w:val="22"/>
          <w:szCs w:val="22"/>
          <w:lang w:val="es-ES" w:eastAsia="en-US"/>
        </w:rPr>
      </w:pPr>
      <w:r w:rsidRPr="004A2C87">
        <w:rPr>
          <w:rFonts w:ascii="Palatino Linotype" w:eastAsia="Calibri" w:hAnsi="Palatino Linotype" w:cs="Adelle Sans Devanagari"/>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8E4B6B3" w14:textId="77777777" w:rsidR="006E6B62" w:rsidRPr="006E6B62" w:rsidRDefault="006E6B62" w:rsidP="000B54EE">
      <w:pPr>
        <w:spacing w:line="360" w:lineRule="auto"/>
        <w:jc w:val="both"/>
        <w:rPr>
          <w:rFonts w:ascii="Palatino Linotype" w:eastAsia="Calibri" w:hAnsi="Palatino Linotype" w:cs="Tahoma"/>
          <w:iCs/>
          <w:sz w:val="22"/>
          <w:szCs w:val="22"/>
          <w:lang w:val="es-ES" w:eastAsia="es-ES_tradnl"/>
        </w:rPr>
      </w:pPr>
    </w:p>
    <w:p w14:paraId="7876C7FC" w14:textId="77777777" w:rsidR="005D4660" w:rsidRPr="00FB571A" w:rsidRDefault="005D4660" w:rsidP="000B54EE">
      <w:pPr>
        <w:pStyle w:val="Ttulo2"/>
        <w:spacing w:before="0" w:line="360" w:lineRule="auto"/>
        <w:rPr>
          <w:rFonts w:ascii="Palatino Linotype" w:hAnsi="Palatino Linotype"/>
          <w:b/>
          <w:color w:val="auto"/>
          <w:sz w:val="22"/>
          <w:szCs w:val="22"/>
        </w:rPr>
      </w:pPr>
      <w:bookmarkStart w:id="21" w:name="_Toc190857068"/>
      <w:bookmarkStart w:id="22" w:name="_Toc210316865"/>
      <w:r w:rsidRPr="00FB571A">
        <w:rPr>
          <w:rFonts w:ascii="Palatino Linotype" w:hAnsi="Palatino Linotype"/>
          <w:b/>
          <w:color w:val="auto"/>
          <w:sz w:val="22"/>
          <w:szCs w:val="22"/>
        </w:rPr>
        <w:lastRenderedPageBreak/>
        <w:t>SEXTO. Decisión</w:t>
      </w:r>
      <w:bookmarkEnd w:id="21"/>
      <w:bookmarkEnd w:id="22"/>
    </w:p>
    <w:p w14:paraId="7FE3163D" w14:textId="77777777" w:rsidR="005D4660" w:rsidRPr="00FB571A" w:rsidRDefault="005D4660" w:rsidP="000B54EE">
      <w:pPr>
        <w:spacing w:line="360" w:lineRule="auto"/>
        <w:ind w:right="-93"/>
        <w:jc w:val="both"/>
        <w:rPr>
          <w:rFonts w:ascii="Palatino Linotype" w:hAnsi="Palatino Linotype" w:cs="Tahoma"/>
          <w:b/>
          <w:sz w:val="22"/>
          <w:szCs w:val="22"/>
        </w:rPr>
      </w:pPr>
    </w:p>
    <w:p w14:paraId="45D92090" w14:textId="76AEFD92" w:rsidR="005D4660" w:rsidRPr="00FB571A" w:rsidRDefault="005D4660" w:rsidP="000B54EE">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12A15">
        <w:rPr>
          <w:rFonts w:ascii="Palatino Linotype" w:hAnsi="Palatino Linotype" w:cs="Tahoma"/>
          <w:b/>
          <w:sz w:val="22"/>
          <w:szCs w:val="22"/>
        </w:rPr>
        <w:t>REVOCAR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6E6B62" w:rsidRPr="006E6B62">
        <w:rPr>
          <w:rFonts w:ascii="Palatino Linotype" w:hAnsi="Palatino Linotype" w:cs="Tahoma"/>
          <w:b/>
          <w:bCs/>
          <w:sz w:val="22"/>
          <w:szCs w:val="22"/>
        </w:rPr>
        <w:t>03807</w:t>
      </w:r>
      <w:r w:rsidR="00462AEC" w:rsidRPr="00462AEC">
        <w:rPr>
          <w:rFonts w:ascii="Palatino Linotype" w:hAnsi="Palatino Linotype" w:cs="Tahoma"/>
          <w:b/>
          <w:bCs/>
          <w:sz w:val="22"/>
          <w:szCs w:val="22"/>
        </w:rPr>
        <w:t>/TOLUCA/IP/2025</w:t>
      </w:r>
      <w:r w:rsidRPr="00FB571A">
        <w:rPr>
          <w:rFonts w:ascii="Palatino Linotype" w:hAnsi="Palatino Linotype" w:cs="Tahoma"/>
          <w:sz w:val="22"/>
          <w:szCs w:val="22"/>
        </w:rPr>
        <w:t xml:space="preserve">, por resultar </w:t>
      </w:r>
      <w:r w:rsidR="006E6B62">
        <w:rPr>
          <w:rFonts w:ascii="Palatino Linotype" w:hAnsi="Palatino Linotype" w:cs="Tahoma"/>
          <w:sz w:val="22"/>
          <w:szCs w:val="22"/>
        </w:rPr>
        <w:t xml:space="preserve">parcialmente </w:t>
      </w:r>
      <w:r w:rsidRPr="00FB571A">
        <w:rPr>
          <w:rFonts w:ascii="Palatino Linotype" w:hAnsi="Palatino Linotype" w:cs="Tahoma"/>
          <w:sz w:val="22"/>
          <w:szCs w:val="22"/>
        </w:rPr>
        <w:t xml:space="preserve">fundadas las razones o motivos de inconformidad hechos valer por el Recurrente, en el Recurso de Revisión </w:t>
      </w:r>
      <w:r w:rsidR="006E6B62">
        <w:rPr>
          <w:rFonts w:ascii="Palatino Linotype" w:hAnsi="Palatino Linotype" w:cs="Tahoma"/>
          <w:b/>
          <w:sz w:val="22"/>
          <w:szCs w:val="22"/>
        </w:rPr>
        <w:t>10171</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 la información solicitada.</w:t>
      </w:r>
    </w:p>
    <w:p w14:paraId="35C31EA3" w14:textId="77777777" w:rsidR="005D4660" w:rsidRPr="00FB571A" w:rsidRDefault="005D4660" w:rsidP="000B54EE">
      <w:pPr>
        <w:spacing w:line="360" w:lineRule="auto"/>
        <w:ind w:right="-93"/>
        <w:jc w:val="both"/>
        <w:rPr>
          <w:rFonts w:ascii="Palatino Linotype" w:eastAsia="Palatino Linotype" w:hAnsi="Palatino Linotype" w:cs="Palatino Linotype"/>
          <w:sz w:val="22"/>
          <w:szCs w:val="22"/>
        </w:rPr>
      </w:pPr>
    </w:p>
    <w:p w14:paraId="197B2364" w14:textId="77777777" w:rsidR="005D4660" w:rsidRPr="00FB571A" w:rsidRDefault="005D4660" w:rsidP="000B54EE">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24097471" w14:textId="77777777" w:rsidR="005D4660" w:rsidRPr="00FB571A" w:rsidRDefault="005D4660" w:rsidP="000B54EE">
      <w:pPr>
        <w:spacing w:line="360" w:lineRule="auto"/>
        <w:jc w:val="both"/>
        <w:rPr>
          <w:rFonts w:ascii="Palatino Linotype" w:eastAsia="Calibri" w:hAnsi="Palatino Linotype" w:cs="Tahoma"/>
          <w:iCs/>
          <w:sz w:val="22"/>
          <w:szCs w:val="22"/>
          <w:lang w:eastAsia="es-ES_tradnl"/>
        </w:rPr>
      </w:pPr>
    </w:p>
    <w:p w14:paraId="19C4E6F9" w14:textId="32FB845B" w:rsidR="005D4660" w:rsidRDefault="005D4660" w:rsidP="000B54EE">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312A15">
        <w:rPr>
          <w:rFonts w:ascii="Palatino Linotype" w:hAnsi="Palatino Linotype" w:cs="Tahoma"/>
          <w:bCs/>
          <w:sz w:val="22"/>
          <w:szCs w:val="22"/>
          <w:u w:val="single"/>
        </w:rPr>
        <w:t>revocar</w:t>
      </w:r>
      <w:r w:rsidRPr="00FB571A">
        <w:rPr>
          <w:rFonts w:ascii="Palatino Linotype" w:hAnsi="Palatino Linotype" w:cs="Tahoma"/>
          <w:bCs/>
          <w:sz w:val="22"/>
          <w:szCs w:val="22"/>
          <w:u w:val="single"/>
        </w:rPr>
        <w:t xml:space="preserve"> la respuesta que le entregó el Sujeto Obligado a su solicitud de acceso, toda vez que </w:t>
      </w:r>
      <w:r w:rsidR="0094768D">
        <w:rPr>
          <w:rFonts w:ascii="Palatino Linotype" w:hAnsi="Palatino Linotype" w:cs="Tahoma"/>
          <w:bCs/>
          <w:sz w:val="22"/>
          <w:szCs w:val="22"/>
          <w:u w:val="single"/>
        </w:rPr>
        <w:t>no entregó</w:t>
      </w:r>
      <w:r>
        <w:rPr>
          <w:rFonts w:ascii="Palatino Linotype" w:hAnsi="Palatino Linotype" w:cs="Tahoma"/>
          <w:bCs/>
          <w:sz w:val="22"/>
          <w:szCs w:val="22"/>
          <w:u w:val="single"/>
        </w:rPr>
        <w:t xml:space="preserve"> l</w:t>
      </w:r>
      <w:r w:rsidR="00057616">
        <w:rPr>
          <w:rFonts w:ascii="Palatino Linotype" w:hAnsi="Palatino Linotype" w:cs="Tahoma"/>
          <w:bCs/>
          <w:sz w:val="22"/>
          <w:szCs w:val="22"/>
          <w:u w:val="single"/>
        </w:rPr>
        <w:t>os documentos en lo que consta lo que es de su interés</w:t>
      </w:r>
      <w:r w:rsidR="00312A15">
        <w:rPr>
          <w:rFonts w:ascii="Palatino Linotype" w:hAnsi="Palatino Linotype" w:cs="Tahoma"/>
          <w:bCs/>
          <w:sz w:val="22"/>
          <w:szCs w:val="22"/>
          <w:u w:val="single"/>
        </w:rPr>
        <w:t xml:space="preserve"> y la liga electrónica proporcionada no contiene l</w:t>
      </w:r>
      <w:r w:rsidR="006E6B62">
        <w:rPr>
          <w:rFonts w:ascii="Palatino Linotype" w:hAnsi="Palatino Linotype" w:cs="Tahoma"/>
          <w:bCs/>
          <w:sz w:val="22"/>
          <w:szCs w:val="22"/>
          <w:u w:val="single"/>
        </w:rPr>
        <w:t>os documentos requeridos</w:t>
      </w:r>
      <w:r>
        <w:rPr>
          <w:rFonts w:ascii="Palatino Linotype" w:hAnsi="Palatino Linotype" w:cs="Tahoma"/>
          <w:bCs/>
          <w:sz w:val="22"/>
          <w:szCs w:val="22"/>
          <w:u w:val="single"/>
        </w:rPr>
        <w:t xml:space="preserve">. </w:t>
      </w:r>
    </w:p>
    <w:p w14:paraId="31DDA2B8" w14:textId="77777777" w:rsidR="005D4660" w:rsidRPr="00FB571A" w:rsidRDefault="005D4660" w:rsidP="000B54EE">
      <w:pPr>
        <w:spacing w:line="360" w:lineRule="auto"/>
        <w:jc w:val="both"/>
        <w:rPr>
          <w:rFonts w:ascii="Palatino Linotype" w:hAnsi="Palatino Linotype" w:cs="Tahoma"/>
          <w:bCs/>
          <w:sz w:val="22"/>
          <w:szCs w:val="22"/>
          <w:u w:val="single"/>
        </w:rPr>
      </w:pPr>
    </w:p>
    <w:p w14:paraId="1EB83288" w14:textId="77777777" w:rsidR="005D4660" w:rsidRDefault="005D4660" w:rsidP="000B54EE">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1B773C0A" w14:textId="77777777" w:rsidR="005D4660" w:rsidRPr="00FB571A" w:rsidRDefault="005D4660" w:rsidP="000B54EE">
      <w:pPr>
        <w:spacing w:line="360" w:lineRule="auto"/>
        <w:ind w:right="-93"/>
        <w:jc w:val="both"/>
        <w:rPr>
          <w:rFonts w:ascii="Palatino Linotype" w:hAnsi="Palatino Linotype" w:cs="Tahoma"/>
          <w:bCs/>
          <w:sz w:val="22"/>
          <w:szCs w:val="22"/>
          <w:u w:val="single"/>
        </w:rPr>
      </w:pPr>
    </w:p>
    <w:p w14:paraId="4846FAB0" w14:textId="77777777" w:rsidR="005D4660" w:rsidRPr="00FB571A"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3" w:name="_Toc190857069"/>
      <w:bookmarkStart w:id="24" w:name="_Toc210316866"/>
      <w:r w:rsidRPr="00FB571A">
        <w:rPr>
          <w:rFonts w:ascii="Palatino Linotype" w:eastAsia="Calibri" w:hAnsi="Palatino Linotype"/>
          <w:b/>
          <w:color w:val="auto"/>
          <w:sz w:val="22"/>
          <w:szCs w:val="22"/>
          <w:lang w:eastAsia="en-US"/>
        </w:rPr>
        <w:t>R E S U E L V E</w:t>
      </w:r>
      <w:bookmarkEnd w:id="23"/>
      <w:bookmarkEnd w:id="24"/>
    </w:p>
    <w:p w14:paraId="660C0E79" w14:textId="77777777" w:rsidR="005D4660" w:rsidRPr="00FB571A" w:rsidRDefault="005D4660" w:rsidP="000B54EE">
      <w:pPr>
        <w:spacing w:line="360" w:lineRule="auto"/>
        <w:jc w:val="both"/>
        <w:rPr>
          <w:rFonts w:ascii="Palatino Linotype" w:hAnsi="Palatino Linotype" w:cs="Tahoma"/>
          <w:b/>
          <w:bCs/>
          <w:sz w:val="22"/>
          <w:szCs w:val="22"/>
        </w:rPr>
      </w:pPr>
    </w:p>
    <w:p w14:paraId="77941E4E" w14:textId="2E5F71F4" w:rsidR="005D4660" w:rsidRPr="00FB571A"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312A15">
        <w:rPr>
          <w:rFonts w:ascii="Palatino Linotype" w:hAnsi="Palatino Linotype" w:cs="Tahoma"/>
          <w:b/>
          <w:bCs/>
          <w:sz w:val="22"/>
          <w:szCs w:val="22"/>
        </w:rPr>
        <w:t>REVOCA</w:t>
      </w:r>
      <w:r w:rsidRPr="00FB571A">
        <w:rPr>
          <w:rFonts w:ascii="Palatino Linotype" w:hAnsi="Palatino Linotype" w:cs="Tahoma"/>
          <w:bCs/>
          <w:sz w:val="22"/>
          <w:szCs w:val="22"/>
        </w:rPr>
        <w:t xml:space="preserve"> la respuesta entregada por el </w:t>
      </w:r>
      <w:r w:rsidRPr="00BC0E4B">
        <w:rPr>
          <w:rFonts w:ascii="Palatino Linotype" w:hAnsi="Palatino Linotype" w:cs="Tahoma"/>
          <w:sz w:val="22"/>
          <w:szCs w:val="22"/>
        </w:rPr>
        <w:t xml:space="preserve">Ayuntamiento de </w:t>
      </w:r>
      <w:r w:rsidR="00462AEC" w:rsidRPr="00BC0E4B">
        <w:rPr>
          <w:rFonts w:ascii="Palatino Linotype" w:hAnsi="Palatino Linotype" w:cs="Tahoma"/>
          <w:sz w:val="22"/>
          <w:szCs w:val="22"/>
        </w:rPr>
        <w:t>Toluca</w:t>
      </w:r>
      <w:r w:rsidRPr="00BC0E4B">
        <w:rPr>
          <w:rFonts w:ascii="Palatino Linotype" w:hAnsi="Palatino Linotype" w:cs="Tahoma"/>
          <w:sz w:val="22"/>
          <w:szCs w:val="22"/>
        </w:rPr>
        <w:t xml:space="preserve"> </w:t>
      </w:r>
      <w:r w:rsidRPr="00BC0E4B">
        <w:rPr>
          <w:rFonts w:ascii="Palatino Linotype" w:eastAsia="Calibri" w:hAnsi="Palatino Linotype" w:cs="Tahoma"/>
          <w:sz w:val="22"/>
          <w:szCs w:val="22"/>
          <w:lang w:eastAsia="en-US"/>
        </w:rPr>
        <w:t>a</w:t>
      </w:r>
      <w:r w:rsidRPr="00BC0E4B">
        <w:rPr>
          <w:rFonts w:ascii="Palatino Linotype" w:hAnsi="Palatino Linotype" w:cs="Tahoma"/>
          <w:sz w:val="22"/>
          <w:szCs w:val="22"/>
        </w:rPr>
        <w:t xml:space="preserve"> la solicitud de información </w:t>
      </w:r>
      <w:r w:rsidR="006E6B62" w:rsidRPr="00BC0E4B">
        <w:rPr>
          <w:rFonts w:ascii="Palatino Linotype" w:hAnsi="Palatino Linotype"/>
          <w:sz w:val="22"/>
          <w:szCs w:val="22"/>
        </w:rPr>
        <w:t>03807</w:t>
      </w:r>
      <w:r w:rsidR="00462AEC" w:rsidRPr="00BC0E4B">
        <w:rPr>
          <w:rFonts w:ascii="Palatino Linotype" w:hAnsi="Palatino Linotype"/>
          <w:sz w:val="22"/>
          <w:szCs w:val="22"/>
        </w:rPr>
        <w:t xml:space="preserve">/TOLUCA/IP/2025 </w:t>
      </w:r>
      <w:r w:rsidRPr="00BC0E4B">
        <w:rPr>
          <w:rFonts w:ascii="Palatino Linotype" w:hAnsi="Palatino Linotype"/>
          <w:sz w:val="22"/>
          <w:szCs w:val="22"/>
        </w:rPr>
        <w:t>p</w:t>
      </w:r>
      <w:r w:rsidRPr="00FB571A">
        <w:rPr>
          <w:rFonts w:ascii="Palatino Linotype" w:hAnsi="Palatino Linotype"/>
          <w:bCs/>
          <w:sz w:val="22"/>
          <w:szCs w:val="22"/>
        </w:rPr>
        <w:t>or resultar</w:t>
      </w:r>
      <w:r w:rsidR="006E6B62">
        <w:rPr>
          <w:rFonts w:ascii="Palatino Linotype" w:hAnsi="Palatino Linotype"/>
          <w:bCs/>
          <w:sz w:val="22"/>
          <w:szCs w:val="22"/>
        </w:rPr>
        <w:t xml:space="preserve"> parcialmente</w:t>
      </w:r>
      <w:r w:rsidRPr="00FB571A">
        <w:rPr>
          <w:rFonts w:ascii="Palatino Linotype" w:hAnsi="Palatino Linotype"/>
          <w:bCs/>
          <w:sz w:val="22"/>
          <w:szCs w:val="22"/>
        </w:rPr>
        <w:t xml:space="preserve"> </w:t>
      </w:r>
      <w:r w:rsidRPr="00FB571A">
        <w:rPr>
          <w:rFonts w:ascii="Palatino Linotype" w:hAnsi="Palatino Linotype"/>
          <w:sz w:val="22"/>
          <w:szCs w:val="22"/>
        </w:rPr>
        <w:t>fundadas</w:t>
      </w:r>
      <w:r w:rsidRPr="00FB571A">
        <w:rPr>
          <w:rFonts w:ascii="Palatino Linotype" w:hAnsi="Palatino Linotype" w:cs="Tahoma"/>
          <w:bCs/>
          <w:sz w:val="22"/>
          <w:szCs w:val="22"/>
        </w:rPr>
        <w:t xml:space="preserve"> </w:t>
      </w:r>
      <w:r w:rsidRPr="00FB571A">
        <w:rPr>
          <w:rFonts w:ascii="Palatino Linotype" w:eastAsia="Calibri" w:hAnsi="Palatino Linotype" w:cs="Tahoma"/>
          <w:bCs/>
          <w:sz w:val="22"/>
          <w:szCs w:val="22"/>
          <w:lang w:eastAsia="en-US"/>
        </w:rPr>
        <w:t xml:space="preserve">las razones o motivos de inconformidad hechos valer por el Recurrente en el Recurso de Revisión </w:t>
      </w:r>
      <w:r w:rsidR="006E6B62">
        <w:rPr>
          <w:rFonts w:ascii="Palatino Linotype" w:hAnsi="Palatino Linotype" w:cs="Tahoma"/>
          <w:b/>
          <w:bCs/>
          <w:color w:val="0D0D0D" w:themeColor="text1" w:themeTint="F2"/>
          <w:sz w:val="22"/>
          <w:szCs w:val="22"/>
        </w:rPr>
        <w:t>10171</w:t>
      </w:r>
      <w:r w:rsidRPr="00FB571A">
        <w:rPr>
          <w:rFonts w:ascii="Palatino Linotype" w:hAnsi="Palatino Linotype" w:cs="Tahoma"/>
          <w:b/>
          <w:bCs/>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712C3471" w14:textId="609AD577" w:rsidR="0094768D" w:rsidRPr="00312A15" w:rsidRDefault="005D4660" w:rsidP="000B54EE">
      <w:pPr>
        <w:spacing w:line="360" w:lineRule="auto"/>
        <w:ind w:right="-93"/>
        <w:jc w:val="both"/>
        <w:rPr>
          <w:rFonts w:ascii="Palatino Linotype" w:hAnsi="Palatino Linotype" w:cs="Arial"/>
          <w:szCs w:val="22"/>
          <w:lang w:val="es-ES"/>
        </w:rPr>
      </w:pPr>
      <w:r w:rsidRPr="00FB571A">
        <w:rPr>
          <w:rFonts w:ascii="Palatino Linotype" w:hAnsi="Palatino Linotype" w:cs="Tahoma"/>
          <w:b/>
          <w:bCs/>
          <w:sz w:val="22"/>
          <w:szCs w:val="22"/>
        </w:rPr>
        <w:lastRenderedPageBreak/>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Pr="00BC0E4B">
        <w:rPr>
          <w:rFonts w:ascii="Palatino Linotype" w:eastAsia="Calibri" w:hAnsi="Palatino Linotype" w:cs="Tahoma"/>
          <w:sz w:val="22"/>
          <w:szCs w:val="22"/>
          <w:lang w:eastAsia="en-US"/>
        </w:rPr>
        <w:t xml:space="preserve">Ayuntamiento de </w:t>
      </w:r>
      <w:r w:rsidR="00462AEC" w:rsidRPr="00BC0E4B">
        <w:rPr>
          <w:rFonts w:ascii="Palatino Linotype" w:eastAsia="Calibri" w:hAnsi="Palatino Linotype" w:cs="Tahoma"/>
          <w:sz w:val="22"/>
          <w:szCs w:val="22"/>
          <w:lang w:eastAsia="en-US"/>
        </w:rPr>
        <w:t>Toluca</w:t>
      </w:r>
      <w:r w:rsidRPr="00FB571A">
        <w:rPr>
          <w:rFonts w:ascii="Palatino Linotype" w:hAnsi="Palatino Linotype" w:cs="Tahoma"/>
          <w:sz w:val="22"/>
          <w:szCs w:val="22"/>
        </w:rPr>
        <w:t>, a efecto de que</w:t>
      </w:r>
      <w:r w:rsidR="00BC0E4B">
        <w:rPr>
          <w:rFonts w:ascii="Palatino Linotype" w:hAnsi="Palatino Linotype" w:cs="Tahoma"/>
          <w:sz w:val="22"/>
          <w:szCs w:val="22"/>
        </w:rPr>
        <w:t xml:space="preserve"> previa búsqueda exhaustiva y razonable en las unidades administrativas competentes</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Pr>
          <w:rFonts w:ascii="Palatino Linotype" w:hAnsi="Palatino Linotype" w:cs="Arial"/>
          <w:sz w:val="22"/>
          <w:szCs w:val="22"/>
          <w:lang w:val="es-ES"/>
        </w:rPr>
        <w:t xml:space="preserve">en versión pública, </w:t>
      </w:r>
      <w:r w:rsidR="0098221C">
        <w:rPr>
          <w:rFonts w:ascii="Palatino Linotype" w:hAnsi="Palatino Linotype" w:cs="Arial"/>
          <w:sz w:val="22"/>
          <w:szCs w:val="22"/>
          <w:lang w:val="es-ES"/>
        </w:rPr>
        <w:t>los</w:t>
      </w:r>
      <w:r w:rsidR="006E6B62">
        <w:rPr>
          <w:rFonts w:ascii="Palatino Linotype" w:hAnsi="Palatino Linotype" w:cs="Arial"/>
          <w:sz w:val="22"/>
          <w:szCs w:val="22"/>
          <w:lang w:val="es-ES"/>
        </w:rPr>
        <w:t xml:space="preserve"> recibos de nómina firmados del </w:t>
      </w:r>
      <w:r w:rsidR="006E6B62" w:rsidRPr="006E6B62">
        <w:rPr>
          <w:rFonts w:ascii="Palatino Linotype" w:hAnsi="Palatino Linotype" w:cs="Arial"/>
          <w:sz w:val="22"/>
          <w:szCs w:val="22"/>
          <w:lang w:val="es-ES"/>
        </w:rPr>
        <w:t>Presidente Municipal</w:t>
      </w:r>
      <w:r w:rsidR="006E6B62">
        <w:rPr>
          <w:rFonts w:ascii="Palatino Linotype" w:hAnsi="Palatino Linotype" w:cs="Arial"/>
          <w:sz w:val="22"/>
          <w:szCs w:val="22"/>
          <w:lang w:val="es-ES"/>
        </w:rPr>
        <w:t xml:space="preserve">, </w:t>
      </w:r>
      <w:r w:rsidR="00BC0E4B">
        <w:rPr>
          <w:rFonts w:ascii="Palatino Linotype" w:hAnsi="Palatino Linotype" w:cs="Arial"/>
          <w:sz w:val="22"/>
          <w:szCs w:val="22"/>
          <w:lang w:val="es-ES"/>
        </w:rPr>
        <w:t>de la primera quincena de enero a la segunda</w:t>
      </w:r>
      <w:r w:rsidR="006E6B62">
        <w:rPr>
          <w:rFonts w:ascii="Palatino Linotype" w:hAnsi="Palatino Linotype" w:cs="Arial"/>
          <w:sz w:val="22"/>
          <w:szCs w:val="22"/>
          <w:lang w:val="es-ES"/>
        </w:rPr>
        <w:t xml:space="preserve"> de junio de dos mil veinticinco. </w:t>
      </w:r>
    </w:p>
    <w:p w14:paraId="47E4B655" w14:textId="77777777" w:rsidR="00312A15" w:rsidRDefault="00312A15" w:rsidP="000B54EE">
      <w:pPr>
        <w:spacing w:line="360" w:lineRule="auto"/>
        <w:ind w:right="-93"/>
        <w:jc w:val="both"/>
        <w:rPr>
          <w:rFonts w:ascii="Palatino Linotype" w:hAnsi="Palatino Linotype" w:cs="Arial"/>
          <w:sz w:val="22"/>
          <w:szCs w:val="22"/>
          <w:lang w:val="es-ES"/>
        </w:rPr>
      </w:pPr>
    </w:p>
    <w:p w14:paraId="2C33A848" w14:textId="77777777" w:rsidR="005D4660" w:rsidRPr="005C0E48" w:rsidRDefault="008C2B4B" w:rsidP="000B54E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w:t>
      </w:r>
      <w:r w:rsidR="005D4660">
        <w:rPr>
          <w:rFonts w:ascii="Palatino Linotype" w:eastAsia="Calibri" w:hAnsi="Palatino Linotype" w:cs="Tahoma"/>
          <w:bCs/>
          <w:sz w:val="22"/>
          <w:szCs w:val="22"/>
          <w:lang w:eastAsia="en-US"/>
        </w:rPr>
        <w:t xml:space="preserve"> el supuesto</w:t>
      </w:r>
      <w:r w:rsidR="005D4660" w:rsidRPr="00B459FA">
        <w:rPr>
          <w:rFonts w:ascii="Palatino Linotype" w:eastAsia="Calibri" w:hAnsi="Palatino Linotype" w:cs="Tahoma"/>
          <w:bCs/>
          <w:sz w:val="22"/>
          <w:szCs w:val="22"/>
          <w:lang w:eastAsia="en-US"/>
        </w:rPr>
        <w:t xml:space="preserve">, se deberá </w:t>
      </w:r>
      <w:r w:rsidR="005D4660" w:rsidRPr="005C0E48">
        <w:rPr>
          <w:rFonts w:ascii="Palatino Linotype" w:eastAsia="Calibri" w:hAnsi="Palatino Linotype" w:cs="Tahoma"/>
          <w:bCs/>
          <w:sz w:val="22"/>
          <w:szCs w:val="22"/>
          <w:lang w:eastAsia="en-US"/>
        </w:rPr>
        <w:t>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088B818A" w14:textId="77777777" w:rsidR="00057616" w:rsidRPr="005C0E48" w:rsidRDefault="00057616" w:rsidP="000B54EE">
      <w:pPr>
        <w:spacing w:line="360" w:lineRule="auto"/>
        <w:ind w:right="-93"/>
        <w:jc w:val="both"/>
        <w:rPr>
          <w:rFonts w:ascii="Palatino Linotype" w:hAnsi="Palatino Linotype" w:cs="Arial"/>
          <w:sz w:val="22"/>
          <w:szCs w:val="22"/>
          <w:lang w:val="es-ES"/>
        </w:rPr>
      </w:pPr>
    </w:p>
    <w:p w14:paraId="6AF539A9" w14:textId="77777777" w:rsidR="005D4660" w:rsidRPr="00FB571A"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5CB200E1" w14:textId="77777777" w:rsidR="005D4660" w:rsidRPr="00FB571A" w:rsidRDefault="005D4660" w:rsidP="000B54EE">
      <w:pPr>
        <w:spacing w:line="360" w:lineRule="auto"/>
        <w:contextualSpacing/>
        <w:jc w:val="both"/>
        <w:rPr>
          <w:rFonts w:ascii="Palatino Linotype" w:hAnsi="Palatino Linotype" w:cs="Tahoma"/>
          <w:sz w:val="22"/>
          <w:szCs w:val="22"/>
        </w:rPr>
      </w:pPr>
    </w:p>
    <w:p w14:paraId="33D89493" w14:textId="77777777" w:rsidR="005D4660" w:rsidRPr="00FB571A" w:rsidRDefault="005D4660" w:rsidP="000B54EE">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C8A744" w14:textId="77777777" w:rsidR="005D4660" w:rsidRPr="00FB571A"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2AC5A9B5" w14:textId="77777777" w:rsidR="005D4660" w:rsidRPr="00FB571A" w:rsidRDefault="005D4660" w:rsidP="000B54EE">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lastRenderedPageBreak/>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7C0C3B99" w14:textId="77777777" w:rsidR="005D4660" w:rsidRPr="00FB571A" w:rsidRDefault="005D4660" w:rsidP="000B54EE">
      <w:pPr>
        <w:spacing w:line="360" w:lineRule="auto"/>
        <w:contextualSpacing/>
        <w:jc w:val="both"/>
        <w:rPr>
          <w:rFonts w:ascii="Palatino Linotype" w:hAnsi="Palatino Linotype" w:cs="Tahoma"/>
          <w:color w:val="000000" w:themeColor="text1"/>
          <w:sz w:val="22"/>
          <w:szCs w:val="22"/>
        </w:rPr>
      </w:pPr>
    </w:p>
    <w:p w14:paraId="7C575B48" w14:textId="2E5926BD" w:rsidR="00803E3D" w:rsidRDefault="00803E3D" w:rsidP="000B54EE">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6E6B62">
        <w:rPr>
          <w:rFonts w:ascii="Palatino Linotype" w:hAnsi="Palatino Linotype" w:cs="Tahoma"/>
          <w:sz w:val="22"/>
          <w:szCs w:val="22"/>
          <w:lang w:eastAsia="es-MX"/>
        </w:rPr>
        <w:t>TRI</w:t>
      </w:r>
      <w:r w:rsidR="00CC13FB">
        <w:rPr>
          <w:rFonts w:ascii="Palatino Linotype" w:hAnsi="Palatino Linotype" w:cs="Tahoma"/>
          <w:sz w:val="22"/>
          <w:szCs w:val="22"/>
          <w:lang w:eastAsia="es-MX"/>
        </w:rPr>
        <w:t>GÉSIMA</w:t>
      </w:r>
      <w:r w:rsidR="00462AEC">
        <w:rPr>
          <w:rFonts w:ascii="Palatino Linotype" w:hAnsi="Palatino Linotype" w:cs="Tahoma"/>
          <w:sz w:val="22"/>
          <w:szCs w:val="22"/>
          <w:lang w:eastAsia="es-MX"/>
        </w:rPr>
        <w:t xml:space="preserve"> </w:t>
      </w:r>
      <w:r w:rsidR="006E6B62">
        <w:rPr>
          <w:rFonts w:ascii="Palatino Linotype" w:hAnsi="Palatino Linotype" w:cs="Tahoma"/>
          <w:sz w:val="22"/>
          <w:szCs w:val="22"/>
          <w:lang w:eastAsia="es-MX"/>
        </w:rPr>
        <w:t xml:space="preserve">QUINTA </w:t>
      </w:r>
      <w:r w:rsidRPr="00FB571A">
        <w:rPr>
          <w:rFonts w:ascii="Palatino Linotype" w:hAnsi="Palatino Linotype" w:cs="Tahoma"/>
          <w:sz w:val="22"/>
          <w:szCs w:val="22"/>
          <w:lang w:eastAsia="es-MX"/>
        </w:rPr>
        <w:t xml:space="preserve">SESIÓN ORDINARIA, CELEBRADA EL </w:t>
      </w:r>
      <w:r w:rsidR="006E6B62">
        <w:rPr>
          <w:rFonts w:ascii="Palatino Linotype" w:hAnsi="Palatino Linotype" w:cs="Tahoma"/>
          <w:sz w:val="22"/>
          <w:szCs w:val="22"/>
          <w:lang w:eastAsia="es-MX"/>
        </w:rPr>
        <w:t xml:space="preserve">PRIMERO DE OCTUBRE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3E55DF5A" w14:textId="77777777" w:rsidR="00163BAA" w:rsidRDefault="00163BAA" w:rsidP="000B54EE">
      <w:pPr>
        <w:spacing w:line="360" w:lineRule="auto"/>
        <w:contextualSpacing/>
        <w:jc w:val="both"/>
        <w:rPr>
          <w:rFonts w:ascii="Palatino Linotype" w:hAnsi="Palatino Linotype" w:cs="Tahoma"/>
          <w:sz w:val="22"/>
          <w:szCs w:val="22"/>
        </w:rPr>
      </w:pPr>
    </w:p>
    <w:p w14:paraId="7F6665D2" w14:textId="77777777" w:rsidR="00163BAA" w:rsidRDefault="00163BAA" w:rsidP="000B54EE">
      <w:pPr>
        <w:spacing w:line="360" w:lineRule="auto"/>
        <w:contextualSpacing/>
        <w:jc w:val="both"/>
        <w:rPr>
          <w:rFonts w:ascii="Palatino Linotype" w:hAnsi="Palatino Linotype" w:cs="Tahoma"/>
          <w:sz w:val="22"/>
          <w:szCs w:val="22"/>
        </w:rPr>
      </w:pPr>
    </w:p>
    <w:p w14:paraId="165D193C" w14:textId="77777777" w:rsidR="0089175F" w:rsidRDefault="0089175F" w:rsidP="000B54EE">
      <w:pPr>
        <w:spacing w:line="360" w:lineRule="auto"/>
        <w:contextualSpacing/>
        <w:jc w:val="both"/>
        <w:rPr>
          <w:rFonts w:ascii="Palatino Linotype" w:hAnsi="Palatino Linotype" w:cs="Tahoma"/>
          <w:sz w:val="22"/>
          <w:szCs w:val="22"/>
        </w:rPr>
      </w:pPr>
    </w:p>
    <w:p w14:paraId="0C9DD4AA" w14:textId="77777777" w:rsidR="0089175F" w:rsidRDefault="0089175F" w:rsidP="000B54EE">
      <w:pPr>
        <w:spacing w:line="360" w:lineRule="auto"/>
        <w:contextualSpacing/>
        <w:jc w:val="both"/>
        <w:rPr>
          <w:rFonts w:ascii="Palatino Linotype" w:hAnsi="Palatino Linotype" w:cs="Tahoma"/>
          <w:sz w:val="22"/>
          <w:szCs w:val="22"/>
        </w:rPr>
      </w:pPr>
    </w:p>
    <w:p w14:paraId="1DF42446" w14:textId="77777777" w:rsidR="0089175F" w:rsidRDefault="0089175F" w:rsidP="000B54EE">
      <w:pPr>
        <w:spacing w:line="360" w:lineRule="auto"/>
        <w:contextualSpacing/>
        <w:jc w:val="both"/>
        <w:rPr>
          <w:rFonts w:ascii="Palatino Linotype" w:hAnsi="Palatino Linotype" w:cs="Tahoma"/>
          <w:sz w:val="22"/>
          <w:szCs w:val="22"/>
        </w:rPr>
      </w:pPr>
    </w:p>
    <w:p w14:paraId="3A2052D8" w14:textId="77777777" w:rsidR="0089175F" w:rsidRDefault="0089175F" w:rsidP="000B54EE">
      <w:pPr>
        <w:spacing w:line="360" w:lineRule="auto"/>
        <w:contextualSpacing/>
        <w:jc w:val="both"/>
        <w:rPr>
          <w:rFonts w:ascii="Palatino Linotype" w:hAnsi="Palatino Linotype" w:cs="Tahoma"/>
          <w:sz w:val="22"/>
          <w:szCs w:val="22"/>
        </w:rPr>
      </w:pPr>
    </w:p>
    <w:p w14:paraId="0516F1E7" w14:textId="77777777" w:rsidR="001F1A77" w:rsidRDefault="001F1A77" w:rsidP="000B54EE">
      <w:pPr>
        <w:spacing w:line="360" w:lineRule="auto"/>
        <w:contextualSpacing/>
        <w:jc w:val="both"/>
        <w:rPr>
          <w:rFonts w:ascii="Palatino Linotype" w:hAnsi="Palatino Linotype" w:cs="Tahoma"/>
          <w:sz w:val="22"/>
          <w:szCs w:val="22"/>
        </w:rPr>
      </w:pPr>
    </w:p>
    <w:p w14:paraId="5C4ADEB1" w14:textId="77777777" w:rsidR="001F1A77" w:rsidRDefault="001F1A77" w:rsidP="000B54EE">
      <w:pPr>
        <w:spacing w:line="360" w:lineRule="auto"/>
        <w:contextualSpacing/>
        <w:jc w:val="both"/>
        <w:rPr>
          <w:rFonts w:ascii="Palatino Linotype" w:hAnsi="Palatino Linotype" w:cs="Tahoma"/>
          <w:sz w:val="22"/>
          <w:szCs w:val="22"/>
        </w:rPr>
      </w:pPr>
    </w:p>
    <w:p w14:paraId="3F4E19D9" w14:textId="77777777" w:rsidR="000B1059" w:rsidRDefault="000B1059" w:rsidP="000B54EE">
      <w:pPr>
        <w:spacing w:line="360" w:lineRule="auto"/>
        <w:contextualSpacing/>
        <w:jc w:val="both"/>
        <w:rPr>
          <w:rFonts w:ascii="Palatino Linotype" w:hAnsi="Palatino Linotype" w:cs="Tahoma"/>
          <w:sz w:val="22"/>
          <w:szCs w:val="22"/>
        </w:rPr>
      </w:pPr>
    </w:p>
    <w:p w14:paraId="324262BD" w14:textId="77777777" w:rsidR="000B1059" w:rsidRDefault="000B1059" w:rsidP="000B54EE">
      <w:pPr>
        <w:spacing w:line="360" w:lineRule="auto"/>
        <w:contextualSpacing/>
        <w:jc w:val="both"/>
        <w:rPr>
          <w:rFonts w:ascii="Palatino Linotype" w:hAnsi="Palatino Linotype" w:cs="Tahoma"/>
          <w:sz w:val="22"/>
          <w:szCs w:val="22"/>
        </w:rPr>
      </w:pPr>
    </w:p>
    <w:p w14:paraId="37D2BC62" w14:textId="77777777" w:rsidR="000B1059" w:rsidRDefault="000B1059" w:rsidP="000B54EE">
      <w:pPr>
        <w:spacing w:line="360" w:lineRule="auto"/>
        <w:contextualSpacing/>
        <w:jc w:val="both"/>
        <w:rPr>
          <w:rFonts w:ascii="Palatino Linotype" w:hAnsi="Palatino Linotype" w:cs="Tahoma"/>
          <w:sz w:val="22"/>
          <w:szCs w:val="22"/>
        </w:rPr>
      </w:pPr>
    </w:p>
    <w:p w14:paraId="2A91DFA2" w14:textId="77777777" w:rsidR="001F1A77" w:rsidRDefault="001F1A77" w:rsidP="000B54EE">
      <w:pPr>
        <w:spacing w:line="360" w:lineRule="auto"/>
        <w:contextualSpacing/>
        <w:jc w:val="both"/>
        <w:rPr>
          <w:rFonts w:ascii="Palatino Linotype" w:hAnsi="Palatino Linotype" w:cs="Tahoma"/>
          <w:sz w:val="22"/>
          <w:szCs w:val="22"/>
        </w:rPr>
      </w:pPr>
    </w:p>
    <w:p w14:paraId="393D1023" w14:textId="77777777" w:rsidR="001F1A77" w:rsidRDefault="001F1A77" w:rsidP="000B54EE">
      <w:pPr>
        <w:spacing w:line="360" w:lineRule="auto"/>
        <w:contextualSpacing/>
        <w:jc w:val="both"/>
        <w:rPr>
          <w:rFonts w:ascii="Palatino Linotype" w:hAnsi="Palatino Linotype" w:cs="Tahoma"/>
          <w:sz w:val="22"/>
          <w:szCs w:val="22"/>
        </w:rPr>
      </w:pPr>
    </w:p>
    <w:p w14:paraId="76A0D0B9" w14:textId="77777777" w:rsidR="001F1A77" w:rsidRDefault="001F1A77" w:rsidP="000B54EE">
      <w:pPr>
        <w:spacing w:line="360" w:lineRule="auto"/>
        <w:contextualSpacing/>
        <w:jc w:val="both"/>
        <w:rPr>
          <w:rFonts w:ascii="Palatino Linotype" w:hAnsi="Palatino Linotype" w:cs="Tahoma"/>
          <w:sz w:val="22"/>
          <w:szCs w:val="22"/>
        </w:rPr>
      </w:pPr>
    </w:p>
    <w:p w14:paraId="12744A63" w14:textId="77777777" w:rsidR="001F1A77" w:rsidRDefault="001F1A77" w:rsidP="000B54EE">
      <w:pPr>
        <w:spacing w:line="360" w:lineRule="auto"/>
        <w:contextualSpacing/>
        <w:jc w:val="both"/>
        <w:rPr>
          <w:rFonts w:ascii="Palatino Linotype" w:hAnsi="Palatino Linotype" w:cs="Tahoma"/>
          <w:sz w:val="22"/>
          <w:szCs w:val="22"/>
        </w:rPr>
      </w:pPr>
    </w:p>
    <w:p w14:paraId="12567123" w14:textId="77777777" w:rsidR="001F1A77" w:rsidRDefault="001F1A77" w:rsidP="000B54EE">
      <w:pPr>
        <w:spacing w:line="360" w:lineRule="auto"/>
        <w:contextualSpacing/>
        <w:jc w:val="both"/>
        <w:rPr>
          <w:rFonts w:ascii="Palatino Linotype" w:hAnsi="Palatino Linotype" w:cs="Tahoma"/>
          <w:sz w:val="22"/>
          <w:szCs w:val="22"/>
        </w:rPr>
      </w:pPr>
    </w:p>
    <w:p w14:paraId="193F15E6" w14:textId="77777777" w:rsidR="001F1A77" w:rsidRDefault="001F1A77" w:rsidP="000B54EE">
      <w:pPr>
        <w:spacing w:line="360" w:lineRule="auto"/>
        <w:contextualSpacing/>
        <w:jc w:val="both"/>
        <w:rPr>
          <w:rFonts w:ascii="Palatino Linotype" w:hAnsi="Palatino Linotype" w:cs="Tahoma"/>
          <w:sz w:val="22"/>
          <w:szCs w:val="22"/>
        </w:rPr>
      </w:pPr>
    </w:p>
    <w:p w14:paraId="2437C54A" w14:textId="77777777" w:rsidR="001F1A77" w:rsidRDefault="001F1A77" w:rsidP="000B54EE">
      <w:pPr>
        <w:spacing w:line="360" w:lineRule="auto"/>
        <w:contextualSpacing/>
        <w:jc w:val="both"/>
        <w:rPr>
          <w:rFonts w:ascii="Palatino Linotype" w:hAnsi="Palatino Linotype" w:cs="Tahoma"/>
          <w:sz w:val="22"/>
          <w:szCs w:val="22"/>
        </w:rPr>
      </w:pPr>
    </w:p>
    <w:p w14:paraId="0A986C39" w14:textId="77777777" w:rsidR="001F1A77" w:rsidRPr="003A1DF0" w:rsidRDefault="001F1A77" w:rsidP="000B54EE">
      <w:pPr>
        <w:spacing w:line="360" w:lineRule="auto"/>
        <w:contextualSpacing/>
        <w:jc w:val="both"/>
        <w:rPr>
          <w:rFonts w:ascii="Palatino Linotype" w:hAnsi="Palatino Linotype" w:cs="Tahoma"/>
          <w:sz w:val="22"/>
          <w:szCs w:val="22"/>
        </w:rPr>
      </w:pPr>
    </w:p>
    <w:p w14:paraId="147C6D00"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E024E" w14:textId="77777777" w:rsidR="00E03444" w:rsidRDefault="00E03444" w:rsidP="00B31222">
      <w:r>
        <w:separator/>
      </w:r>
    </w:p>
  </w:endnote>
  <w:endnote w:type="continuationSeparator" w:id="0">
    <w:p w14:paraId="65663031" w14:textId="77777777" w:rsidR="00E03444" w:rsidRDefault="00E03444" w:rsidP="00B31222">
      <w:r>
        <w:continuationSeparator/>
      </w:r>
    </w:p>
  </w:endnote>
  <w:endnote w:type="continuationNotice" w:id="1">
    <w:p w14:paraId="50EB310D" w14:textId="77777777" w:rsidR="00E03444" w:rsidRDefault="00E03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F7A2BA1"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6417">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6417">
              <w:rPr>
                <w:b/>
                <w:bCs/>
                <w:noProof/>
              </w:rPr>
              <w:t>33</w:t>
            </w:r>
            <w:r>
              <w:rPr>
                <w:b/>
                <w:bCs/>
                <w:sz w:val="24"/>
                <w:szCs w:val="24"/>
              </w:rPr>
              <w:fldChar w:fldCharType="end"/>
            </w:r>
          </w:p>
        </w:sdtContent>
      </w:sdt>
    </w:sdtContent>
  </w:sdt>
  <w:p w14:paraId="3CE8AF48"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4266D28"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641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6417">
              <w:rPr>
                <w:b/>
                <w:bCs/>
                <w:noProof/>
              </w:rPr>
              <w:t>33</w:t>
            </w:r>
            <w:r>
              <w:rPr>
                <w:b/>
                <w:bCs/>
                <w:sz w:val="24"/>
                <w:szCs w:val="24"/>
              </w:rPr>
              <w:fldChar w:fldCharType="end"/>
            </w:r>
          </w:p>
        </w:sdtContent>
      </w:sdt>
    </w:sdtContent>
  </w:sdt>
  <w:p w14:paraId="01368F1F"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B8699" w14:textId="77777777" w:rsidR="00E03444" w:rsidRDefault="00E03444" w:rsidP="00B31222">
      <w:r>
        <w:separator/>
      </w:r>
    </w:p>
  </w:footnote>
  <w:footnote w:type="continuationSeparator" w:id="0">
    <w:p w14:paraId="65F3CD9A" w14:textId="77777777" w:rsidR="00E03444" w:rsidRDefault="00E03444" w:rsidP="00B31222">
      <w:r>
        <w:continuationSeparator/>
      </w:r>
    </w:p>
  </w:footnote>
  <w:footnote w:type="continuationNotice" w:id="1">
    <w:p w14:paraId="4AE0168B" w14:textId="77777777" w:rsidR="00E03444" w:rsidRDefault="00E03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853D5" w14:textId="77777777" w:rsidR="0094768D" w:rsidRDefault="00000000">
    <w:pPr>
      <w:pStyle w:val="Encabezado"/>
    </w:pPr>
    <w:r>
      <w:rPr>
        <w:noProof/>
        <w:lang w:eastAsia="es-MX"/>
      </w:rPr>
      <w:pict w14:anchorId="67751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2430CD88" w14:textId="77777777" w:rsidTr="00202DB8">
      <w:trPr>
        <w:trHeight w:val="1435"/>
      </w:trPr>
      <w:tc>
        <w:tcPr>
          <w:tcW w:w="2835" w:type="dxa"/>
          <w:shd w:val="clear" w:color="auto" w:fill="auto"/>
        </w:tcPr>
        <w:p w14:paraId="62DF6C44"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11EB5003" wp14:editId="0B693DD6">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3049651D"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70E9070B" w14:textId="77777777" w:rsidTr="000B54EE">
            <w:trPr>
              <w:trHeight w:val="144"/>
            </w:trPr>
            <w:tc>
              <w:tcPr>
                <w:tcW w:w="2589" w:type="dxa"/>
              </w:tcPr>
              <w:p w14:paraId="0CC3C156"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0AB8DF68" w14:textId="7FDE432B"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7BF8459"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715F5266" w14:textId="4CDCA555" w:rsidR="0094768D" w:rsidRPr="000B54EE" w:rsidRDefault="00253861" w:rsidP="004B553D">
                <w:pPr>
                  <w:tabs>
                    <w:tab w:val="right" w:pos="8838"/>
                  </w:tabs>
                  <w:ind w:left="-106" w:right="171"/>
                  <w:jc w:val="both"/>
                  <w:rPr>
                    <w:rFonts w:ascii="Palatino Linotype" w:eastAsia="Calibri" w:hAnsi="Palatino Linotype" w:cs="Tahoma"/>
                    <w:sz w:val="22"/>
                    <w:szCs w:val="22"/>
                    <w:lang w:eastAsia="en-US"/>
                  </w:rPr>
                </w:pPr>
                <w:r w:rsidRPr="000B54EE">
                  <w:rPr>
                    <w:rFonts w:ascii="Palatino Linotype" w:eastAsia="Calibri" w:hAnsi="Palatino Linotype" w:cs="Tahoma"/>
                    <w:sz w:val="22"/>
                    <w:szCs w:val="22"/>
                    <w:lang w:val="es-MX" w:eastAsia="en-US"/>
                  </w:rPr>
                  <w:t>10171</w:t>
                </w:r>
                <w:r w:rsidR="0094768D" w:rsidRPr="000B54EE">
                  <w:rPr>
                    <w:rFonts w:ascii="Palatino Linotype" w:eastAsia="Calibri" w:hAnsi="Palatino Linotype" w:cs="Tahoma"/>
                    <w:sz w:val="22"/>
                    <w:szCs w:val="22"/>
                    <w:lang w:val="es-MX" w:eastAsia="en-US"/>
                  </w:rPr>
                  <w:t>/INFOEM/IP/RR/2025</w:t>
                </w:r>
              </w:p>
            </w:tc>
          </w:tr>
          <w:tr w:rsidR="0094768D" w14:paraId="7F97FAB5" w14:textId="77777777" w:rsidTr="000B54EE">
            <w:trPr>
              <w:trHeight w:val="283"/>
            </w:trPr>
            <w:tc>
              <w:tcPr>
                <w:tcW w:w="2589" w:type="dxa"/>
              </w:tcPr>
              <w:p w14:paraId="36C011BB"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174F998" w14:textId="77777777" w:rsidR="0094768D" w:rsidRPr="005F13CF" w:rsidRDefault="0094768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94768D" w14:paraId="7F0D654F" w14:textId="77777777" w:rsidTr="000B54EE">
            <w:trPr>
              <w:trHeight w:val="283"/>
            </w:trPr>
            <w:tc>
              <w:tcPr>
                <w:tcW w:w="2589" w:type="dxa"/>
              </w:tcPr>
              <w:p w14:paraId="0479DE55"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253032C"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5AD93D6"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3FF48F78"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7F499333"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2CB48C12" w14:textId="77777777" w:rsidTr="003B165A">
      <w:trPr>
        <w:trHeight w:val="1435"/>
      </w:trPr>
      <w:tc>
        <w:tcPr>
          <w:tcW w:w="2835" w:type="dxa"/>
          <w:shd w:val="clear" w:color="auto" w:fill="auto"/>
        </w:tcPr>
        <w:p w14:paraId="21EB25CB"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F75FDCD" wp14:editId="4C96911E">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2386A7C0" w14:textId="77777777" w:rsidR="000B54EE" w:rsidRDefault="000B54EE"/>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796E2B5B" w14:textId="77777777" w:rsidTr="000B54EE">
            <w:trPr>
              <w:trHeight w:val="144"/>
            </w:trPr>
            <w:tc>
              <w:tcPr>
                <w:tcW w:w="2589" w:type="dxa"/>
              </w:tcPr>
              <w:p w14:paraId="5515A5A6"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A80C764" w14:textId="200AB147" w:rsidR="0094768D" w:rsidRPr="000B54EE" w:rsidRDefault="00253861" w:rsidP="004B553D">
                <w:pPr>
                  <w:tabs>
                    <w:tab w:val="right" w:pos="8838"/>
                  </w:tabs>
                  <w:ind w:left="-106" w:right="-105"/>
                  <w:jc w:val="both"/>
                  <w:rPr>
                    <w:rFonts w:ascii="Palatino Linotype" w:eastAsia="Calibri" w:hAnsi="Palatino Linotype" w:cs="Tahoma"/>
                    <w:sz w:val="22"/>
                    <w:szCs w:val="22"/>
                    <w:lang w:eastAsia="en-US"/>
                  </w:rPr>
                </w:pPr>
                <w:r w:rsidRPr="000B54EE">
                  <w:rPr>
                    <w:rFonts w:ascii="Palatino Linotype" w:eastAsia="Calibri" w:hAnsi="Palatino Linotype" w:cs="Tahoma"/>
                    <w:sz w:val="22"/>
                    <w:szCs w:val="22"/>
                    <w:lang w:val="es-MX" w:eastAsia="en-US"/>
                  </w:rPr>
                  <w:t>10171</w:t>
                </w:r>
                <w:r w:rsidR="0094768D" w:rsidRPr="000B54EE">
                  <w:rPr>
                    <w:rFonts w:ascii="Palatino Linotype" w:eastAsia="Calibri" w:hAnsi="Palatino Linotype" w:cs="Tahoma"/>
                    <w:sz w:val="22"/>
                    <w:szCs w:val="22"/>
                    <w:lang w:val="es-MX" w:eastAsia="en-US"/>
                  </w:rPr>
                  <w:t>/INFOEM/IP/RR/2025</w:t>
                </w:r>
              </w:p>
            </w:tc>
          </w:tr>
          <w:tr w:rsidR="0094768D" w:rsidRPr="00286D0C" w14:paraId="5A3ED4C2" w14:textId="77777777" w:rsidTr="000B54EE">
            <w:trPr>
              <w:trHeight w:val="144"/>
            </w:trPr>
            <w:tc>
              <w:tcPr>
                <w:tcW w:w="2589" w:type="dxa"/>
              </w:tcPr>
              <w:p w14:paraId="12822EB5"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74697EB"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7225F930" w14:textId="77777777" w:rsidTr="000B54EE">
            <w:trPr>
              <w:trHeight w:val="283"/>
            </w:trPr>
            <w:tc>
              <w:tcPr>
                <w:tcW w:w="2589" w:type="dxa"/>
              </w:tcPr>
              <w:p w14:paraId="3774EDC5"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BD2697F" w14:textId="77777777" w:rsidR="0094768D" w:rsidRPr="005F13CF" w:rsidRDefault="0094768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94768D" w:rsidRPr="00431A70" w14:paraId="5F98C8EA" w14:textId="77777777" w:rsidTr="000B54EE">
            <w:trPr>
              <w:trHeight w:val="283"/>
            </w:trPr>
            <w:tc>
              <w:tcPr>
                <w:tcW w:w="2589" w:type="dxa"/>
              </w:tcPr>
              <w:p w14:paraId="35D58E4A"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CC07D6E"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3609EB1"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256E68FB"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6"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7727741">
    <w:abstractNumId w:val="0"/>
  </w:num>
  <w:num w:numId="2" w16cid:durableId="1561551085">
    <w:abstractNumId w:val="1"/>
  </w:num>
  <w:num w:numId="3" w16cid:durableId="647897856">
    <w:abstractNumId w:val="5"/>
  </w:num>
  <w:num w:numId="4" w16cid:durableId="476605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5145300">
    <w:abstractNumId w:val="6"/>
  </w:num>
  <w:num w:numId="6" w16cid:durableId="1504855066">
    <w:abstractNumId w:val="3"/>
  </w:num>
  <w:num w:numId="7" w16cid:durableId="306059825">
    <w:abstractNumId w:val="7"/>
  </w:num>
  <w:num w:numId="8" w16cid:durableId="1154839204">
    <w:abstractNumId w:val="2"/>
  </w:num>
  <w:num w:numId="9" w16cid:durableId="1803690891">
    <w:abstractNumId w:val="1"/>
  </w:num>
  <w:num w:numId="10" w16cid:durableId="154975530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49A"/>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94F"/>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417"/>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595D"/>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77A28"/>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5FFD"/>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444"/>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FCCD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of.gob.mx/nota_detalle.php?codigo=5492254&amp;fecha=28/07/201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1790E-C83F-4335-A950-68748A5D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7922</Words>
  <Characters>43577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2025-10-03T16:33:00Z</cp:lastPrinted>
  <dcterms:created xsi:type="dcterms:W3CDTF">2025-10-31T17:45:00Z</dcterms:created>
  <dcterms:modified xsi:type="dcterms:W3CDTF">2025-10-31T17:45:00Z</dcterms:modified>
</cp:coreProperties>
</file>