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0E" w:rsidRPr="00BC66A9" w:rsidRDefault="00C04E0E" w:rsidP="00C04E0E">
      <w:pPr>
        <w:tabs>
          <w:tab w:val="left" w:pos="3465"/>
        </w:tabs>
        <w:spacing w:line="360" w:lineRule="auto"/>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diecinueve de febrero de dos mil veinticinco.</w:t>
      </w:r>
    </w:p>
    <w:p w:rsidR="00C04E0E" w:rsidRPr="00BC66A9" w:rsidRDefault="00C04E0E" w:rsidP="00C04E0E">
      <w:pPr>
        <w:tabs>
          <w:tab w:val="left" w:pos="3465"/>
        </w:tabs>
        <w:spacing w:line="360" w:lineRule="auto"/>
        <w:jc w:val="both"/>
        <w:rPr>
          <w:rFonts w:ascii="Palatino Linotype" w:eastAsia="Palatino Linotype" w:hAnsi="Palatino Linotype" w:cs="Palatino Linotype"/>
          <w:sz w:val="22"/>
          <w:szCs w:val="22"/>
        </w:rPr>
      </w:pPr>
    </w:p>
    <w:p w:rsidR="00C04E0E" w:rsidRPr="00BC66A9" w:rsidRDefault="00C04E0E" w:rsidP="00C04E0E">
      <w:pPr>
        <w:spacing w:line="360" w:lineRule="auto"/>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b/>
          <w:sz w:val="22"/>
          <w:szCs w:val="22"/>
        </w:rPr>
        <w:t>VISTO</w:t>
      </w:r>
      <w:r w:rsidRPr="00BC66A9">
        <w:rPr>
          <w:rFonts w:ascii="Palatino Linotype" w:eastAsia="Palatino Linotype" w:hAnsi="Palatino Linotype" w:cs="Palatino Linotype"/>
          <w:sz w:val="22"/>
          <w:szCs w:val="22"/>
        </w:rPr>
        <w:t xml:space="preserve"> el expediente electrónico formado con motivo del recurso de revisión </w:t>
      </w:r>
      <w:r w:rsidRPr="00BC66A9">
        <w:rPr>
          <w:rFonts w:ascii="Palatino Linotype" w:eastAsia="Palatino Linotype" w:hAnsi="Palatino Linotype" w:cs="Palatino Linotype"/>
          <w:b/>
          <w:sz w:val="22"/>
          <w:szCs w:val="22"/>
        </w:rPr>
        <w:t xml:space="preserve">06043/INFOEM/IP/RR/2024, </w:t>
      </w:r>
      <w:r w:rsidRPr="00BC66A9">
        <w:rPr>
          <w:rFonts w:ascii="Palatino Linotype" w:eastAsia="Palatino Linotype" w:hAnsi="Palatino Linotype" w:cs="Palatino Linotype"/>
          <w:sz w:val="22"/>
          <w:szCs w:val="22"/>
        </w:rPr>
        <w:t>promovido por</w:t>
      </w:r>
      <w:r w:rsidRPr="00BC66A9">
        <w:rPr>
          <w:rFonts w:ascii="Palatino Linotype" w:eastAsia="Palatino Linotype" w:hAnsi="Palatino Linotype" w:cs="Palatino Linotype"/>
          <w:b/>
          <w:sz w:val="22"/>
          <w:szCs w:val="22"/>
        </w:rPr>
        <w:t xml:space="preserve"> </w:t>
      </w:r>
      <w:r w:rsidR="00F04115">
        <w:rPr>
          <w:rFonts w:ascii="Palatino Linotype" w:eastAsia="Palatino Linotype" w:hAnsi="Palatino Linotype" w:cs="Palatino Linotype"/>
          <w:b/>
          <w:bCs/>
          <w:sz w:val="22"/>
          <w:szCs w:val="22"/>
        </w:rPr>
        <w:t>XXXXXXXXXXXXXX</w:t>
      </w:r>
      <w:r w:rsidRPr="00BC66A9">
        <w:rPr>
          <w:rFonts w:ascii="Palatino Linotype" w:eastAsia="Palatino Linotype" w:hAnsi="Palatino Linotype" w:cs="Palatino Linotype"/>
          <w:sz w:val="22"/>
          <w:szCs w:val="22"/>
        </w:rPr>
        <w:t xml:space="preserve">, a quien en lo sucesivo se le identificará como </w:t>
      </w:r>
      <w:r w:rsidRPr="00BC66A9">
        <w:rPr>
          <w:rFonts w:ascii="Palatino Linotype" w:eastAsia="Palatino Linotype" w:hAnsi="Palatino Linotype" w:cs="Palatino Linotype"/>
          <w:b/>
          <w:sz w:val="22"/>
          <w:szCs w:val="22"/>
        </w:rPr>
        <w:t>la  RECURRENTE</w:t>
      </w:r>
      <w:r w:rsidRPr="00BC66A9">
        <w:rPr>
          <w:rFonts w:ascii="Palatino Linotype" w:eastAsia="Palatino Linotype" w:hAnsi="Palatino Linotype" w:cs="Palatino Linotype"/>
          <w:sz w:val="22"/>
          <w:szCs w:val="22"/>
        </w:rPr>
        <w:t xml:space="preserve">, en contra de la respuesta </w:t>
      </w:r>
      <w:r w:rsidRPr="00BC66A9">
        <w:rPr>
          <w:rFonts w:ascii="Palatino Linotype" w:eastAsia="Palatino Linotype" w:hAnsi="Palatino Linotype" w:cs="Palatino Linotype"/>
          <w:b/>
          <w:sz w:val="22"/>
          <w:szCs w:val="22"/>
        </w:rPr>
        <w:t xml:space="preserve">de la Secretaría de Seguridad, </w:t>
      </w:r>
      <w:r w:rsidRPr="00BC66A9">
        <w:rPr>
          <w:rFonts w:ascii="Palatino Linotype" w:eastAsia="Palatino Linotype" w:hAnsi="Palatino Linotype" w:cs="Palatino Linotype"/>
          <w:sz w:val="22"/>
          <w:szCs w:val="22"/>
        </w:rPr>
        <w:t>en lo sucesivo el</w:t>
      </w:r>
      <w:r w:rsidRPr="00BC66A9">
        <w:rPr>
          <w:rFonts w:ascii="Palatino Linotype" w:eastAsia="Palatino Linotype" w:hAnsi="Palatino Linotype" w:cs="Palatino Linotype"/>
          <w:b/>
          <w:sz w:val="22"/>
          <w:szCs w:val="22"/>
        </w:rPr>
        <w:t xml:space="preserve"> SUJETO OBLIGADO</w:t>
      </w:r>
      <w:r w:rsidRPr="00BC66A9">
        <w:rPr>
          <w:rFonts w:ascii="Palatino Linotype" w:eastAsia="Palatino Linotype" w:hAnsi="Palatino Linotype" w:cs="Palatino Linotype"/>
          <w:sz w:val="22"/>
          <w:szCs w:val="22"/>
        </w:rPr>
        <w:t>, se procede a dictar la presente resolución, con base en los siguientes:</w:t>
      </w:r>
    </w:p>
    <w:p w:rsidR="00C04E0E" w:rsidRPr="00BC66A9" w:rsidRDefault="00C04E0E" w:rsidP="00C04E0E">
      <w:pPr>
        <w:spacing w:line="360" w:lineRule="auto"/>
        <w:jc w:val="both"/>
        <w:rPr>
          <w:rFonts w:ascii="Palatino Linotype" w:eastAsia="Palatino Linotype" w:hAnsi="Palatino Linotype" w:cs="Palatino Linotype"/>
          <w:b/>
          <w:sz w:val="22"/>
          <w:szCs w:val="22"/>
        </w:rPr>
      </w:pPr>
    </w:p>
    <w:p w:rsidR="00C04E0E" w:rsidRPr="00BC66A9" w:rsidRDefault="00C04E0E" w:rsidP="00C04E0E">
      <w:pPr>
        <w:pStyle w:val="Ttulo1"/>
        <w:spacing w:before="0" w:line="360" w:lineRule="auto"/>
        <w:jc w:val="center"/>
        <w:rPr>
          <w:rFonts w:ascii="Palatino Linotype" w:eastAsia="Palatino Linotype" w:hAnsi="Palatino Linotype" w:cs="Palatino Linotype"/>
          <w:b/>
          <w:color w:val="000000"/>
          <w:sz w:val="22"/>
          <w:szCs w:val="22"/>
        </w:rPr>
      </w:pPr>
      <w:r w:rsidRPr="00BC66A9">
        <w:rPr>
          <w:rFonts w:ascii="Palatino Linotype" w:eastAsia="Palatino Linotype" w:hAnsi="Palatino Linotype" w:cs="Palatino Linotype"/>
          <w:b/>
          <w:color w:val="000000"/>
          <w:sz w:val="22"/>
          <w:szCs w:val="22"/>
        </w:rPr>
        <w:t>ANTECEDENTES</w:t>
      </w:r>
    </w:p>
    <w:p w:rsidR="00C04E0E" w:rsidRPr="00BC66A9" w:rsidRDefault="00C04E0E" w:rsidP="00C04E0E">
      <w:pPr>
        <w:numPr>
          <w:ilvl w:val="0"/>
          <w:numId w:val="3"/>
        </w:numPr>
        <w:tabs>
          <w:tab w:val="left" w:pos="0"/>
        </w:tabs>
        <w:spacing w:line="360" w:lineRule="auto"/>
        <w:ind w:left="0" w:right="49"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El día</w:t>
      </w:r>
      <w:r w:rsidRPr="00BC66A9">
        <w:rPr>
          <w:rFonts w:ascii="Palatino Linotype" w:eastAsia="Palatino Linotype" w:hAnsi="Palatino Linotype" w:cs="Palatino Linotype"/>
          <w:b/>
          <w:sz w:val="22"/>
          <w:szCs w:val="22"/>
        </w:rPr>
        <w:t xml:space="preserve"> veintiocho de agosto de dos mil veinticuatro, </w:t>
      </w:r>
      <w:r w:rsidRPr="00BC66A9">
        <w:rPr>
          <w:rFonts w:ascii="Palatino Linotype" w:eastAsia="Palatino Linotype" w:hAnsi="Palatino Linotype" w:cs="Palatino Linotype"/>
          <w:sz w:val="22"/>
          <w:szCs w:val="22"/>
        </w:rPr>
        <w:t xml:space="preserve">se presentó ante 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vía Sistema de Acceso a la Información, la solicitud de información pública registrada con el número</w:t>
      </w:r>
      <w:r w:rsidRPr="00BC66A9">
        <w:rPr>
          <w:rFonts w:ascii="Palatino Linotype" w:eastAsia="Palatino Linotype" w:hAnsi="Palatino Linotype" w:cs="Palatino Linotype"/>
          <w:b/>
          <w:color w:val="000000"/>
          <w:sz w:val="22"/>
          <w:szCs w:val="22"/>
        </w:rPr>
        <w:t xml:space="preserve">  00438/SSEM/IP/2024; </w:t>
      </w:r>
      <w:r w:rsidRPr="00BC66A9">
        <w:rPr>
          <w:rFonts w:ascii="Palatino Linotype" w:eastAsia="Palatino Linotype" w:hAnsi="Palatino Linotype" w:cs="Palatino Linotype"/>
          <w:sz w:val="22"/>
          <w:szCs w:val="22"/>
        </w:rPr>
        <w:t>mediante la cual se solicitó la siguiente información:</w:t>
      </w:r>
    </w:p>
    <w:p w:rsidR="00C04E0E" w:rsidRPr="00BC66A9" w:rsidRDefault="00C04E0E" w:rsidP="00C04E0E">
      <w:pPr>
        <w:spacing w:line="360" w:lineRule="auto"/>
        <w:jc w:val="both"/>
        <w:rPr>
          <w:rFonts w:ascii="Palatino Linotype" w:eastAsia="Palatino Linotype" w:hAnsi="Palatino Linotype" w:cs="Palatino Linotype"/>
          <w:sz w:val="22"/>
          <w:szCs w:val="22"/>
        </w:rPr>
      </w:pPr>
    </w:p>
    <w:p w:rsidR="00C04E0E" w:rsidRPr="00BC66A9" w:rsidRDefault="00C04E0E" w:rsidP="00C04E0E">
      <w:pPr>
        <w:ind w:left="1134" w:right="90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i/>
          <w:sz w:val="22"/>
          <w:szCs w:val="22"/>
        </w:rPr>
        <w:t xml:space="preserve">“Solicito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relevo favor de especificar. Por otro lado y debido a que no soy experta en administración pública, me permito invocar el "principio pro persona", a fin de que cualquier defecto, falta o fallo detectado en esta redacción se supla o complemente de buena </w:t>
      </w:r>
      <w:proofErr w:type="spellStart"/>
      <w:r w:rsidRPr="00BC66A9">
        <w:rPr>
          <w:rFonts w:ascii="Palatino Linotype" w:eastAsia="Palatino Linotype" w:hAnsi="Palatino Linotype" w:cs="Palatino Linotype"/>
          <w:i/>
          <w:sz w:val="22"/>
          <w:szCs w:val="22"/>
        </w:rPr>
        <w:t>fé</w:t>
      </w:r>
      <w:proofErr w:type="spellEnd"/>
      <w:r w:rsidRPr="00BC66A9">
        <w:rPr>
          <w:rFonts w:ascii="Palatino Linotype" w:eastAsia="Palatino Linotype" w:hAnsi="Palatino Linotype" w:cs="Palatino Linotype"/>
          <w:i/>
          <w:sz w:val="22"/>
          <w:szCs w:val="22"/>
        </w:rPr>
        <w:t xml:space="preserve"> a </w:t>
      </w:r>
      <w:proofErr w:type="spellStart"/>
      <w:r w:rsidRPr="00BC66A9">
        <w:rPr>
          <w:rFonts w:ascii="Palatino Linotype" w:eastAsia="Palatino Linotype" w:hAnsi="Palatino Linotype" w:cs="Palatino Linotype"/>
          <w:i/>
          <w:sz w:val="22"/>
          <w:szCs w:val="22"/>
        </w:rPr>
        <w:t>fn</w:t>
      </w:r>
      <w:proofErr w:type="spellEnd"/>
      <w:r w:rsidRPr="00BC66A9">
        <w:rPr>
          <w:rFonts w:ascii="Palatino Linotype" w:eastAsia="Palatino Linotype" w:hAnsi="Palatino Linotype" w:cs="Palatino Linotype"/>
          <w:i/>
          <w:sz w:val="22"/>
          <w:szCs w:val="22"/>
        </w:rPr>
        <w:t xml:space="preserve"> de cumplir a plenitud con los principios de la transparencia y se atienda mi derecho de acceso a la información. Sin más, dejo un cordial saludo. Gracias</w:t>
      </w:r>
      <w:proofErr w:type="gramStart"/>
      <w:r w:rsidRPr="00BC66A9">
        <w:rPr>
          <w:rFonts w:ascii="Palatino Linotype" w:eastAsia="Palatino Linotype" w:hAnsi="Palatino Linotype" w:cs="Palatino Linotype"/>
          <w:i/>
          <w:sz w:val="22"/>
          <w:szCs w:val="22"/>
        </w:rPr>
        <w:t>..”</w:t>
      </w:r>
      <w:proofErr w:type="gramEnd"/>
    </w:p>
    <w:p w:rsidR="00C04E0E" w:rsidRPr="00BC66A9" w:rsidRDefault="00C04E0E" w:rsidP="00C04E0E">
      <w:pPr>
        <w:spacing w:line="360" w:lineRule="auto"/>
        <w:ind w:left="851" w:right="34"/>
        <w:jc w:val="both"/>
        <w:rPr>
          <w:rFonts w:ascii="Palatino Linotype" w:eastAsia="Palatino Linotype" w:hAnsi="Palatino Linotype" w:cs="Palatino Linotype"/>
          <w:sz w:val="22"/>
          <w:szCs w:val="22"/>
        </w:rPr>
      </w:pPr>
    </w:p>
    <w:p w:rsidR="00C04E0E" w:rsidRPr="00BC66A9" w:rsidRDefault="00C04E0E" w:rsidP="00C04E0E">
      <w:pPr>
        <w:numPr>
          <w:ilvl w:val="0"/>
          <w:numId w:val="4"/>
        </w:numPr>
        <w:spacing w:line="360" w:lineRule="auto"/>
        <w:ind w:left="851" w:right="474"/>
        <w:jc w:val="both"/>
        <w:rPr>
          <w:rFonts w:ascii="Palatino Linotype" w:eastAsia="Palatino Linotype" w:hAnsi="Palatino Linotype" w:cs="Palatino Linotype"/>
          <w:b/>
          <w:sz w:val="22"/>
          <w:szCs w:val="22"/>
        </w:rPr>
      </w:pPr>
      <w:r w:rsidRPr="00BC66A9">
        <w:rPr>
          <w:rFonts w:ascii="Palatino Linotype" w:eastAsia="Palatino Linotype" w:hAnsi="Palatino Linotype" w:cs="Palatino Linotype"/>
          <w:sz w:val="22"/>
          <w:szCs w:val="22"/>
        </w:rPr>
        <w:t xml:space="preserve">Se eligió como modalidad de entrega de la información: </w:t>
      </w:r>
      <w:r w:rsidRPr="00BC66A9">
        <w:rPr>
          <w:rFonts w:ascii="Palatino Linotype" w:eastAsia="Palatino Linotype" w:hAnsi="Palatino Linotype" w:cs="Palatino Linotype"/>
          <w:b/>
          <w:sz w:val="22"/>
          <w:szCs w:val="22"/>
        </w:rPr>
        <w:t xml:space="preserve">el Sistema de Acceso a la Información. </w:t>
      </w:r>
    </w:p>
    <w:p w:rsidR="00C04E0E" w:rsidRPr="00BC66A9" w:rsidRDefault="00C04E0E" w:rsidP="00C04E0E">
      <w:pPr>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BC66A9">
        <w:rPr>
          <w:rFonts w:ascii="Palatino Linotype" w:eastAsia="Palatino Linotype" w:hAnsi="Palatino Linotype" w:cs="Palatino Linotype"/>
          <w:color w:val="000000"/>
          <w:sz w:val="22"/>
          <w:szCs w:val="22"/>
        </w:rPr>
        <w:t>El</w:t>
      </w:r>
      <w:r w:rsidRPr="00BC66A9">
        <w:rPr>
          <w:rFonts w:ascii="Palatino Linotype" w:eastAsia="Palatino Linotype" w:hAnsi="Palatino Linotype" w:cs="Palatino Linotype"/>
          <w:b/>
          <w:color w:val="000000"/>
          <w:sz w:val="22"/>
          <w:szCs w:val="22"/>
        </w:rPr>
        <w:t xml:space="preserve"> diecinueve de septiembre de dos mil veinticuatro</w:t>
      </w:r>
      <w:r w:rsidRPr="00BC66A9">
        <w:rPr>
          <w:rFonts w:ascii="Palatino Linotype" w:eastAsia="Palatino Linotype" w:hAnsi="Palatino Linotype" w:cs="Palatino Linotype"/>
          <w:color w:val="000000"/>
          <w:sz w:val="22"/>
          <w:szCs w:val="22"/>
        </w:rPr>
        <w:t xml:space="preserve">, el </w:t>
      </w:r>
      <w:r w:rsidRPr="00BC66A9">
        <w:rPr>
          <w:rFonts w:ascii="Palatino Linotype" w:eastAsia="Palatino Linotype" w:hAnsi="Palatino Linotype" w:cs="Palatino Linotype"/>
          <w:b/>
          <w:color w:val="000000"/>
          <w:sz w:val="22"/>
          <w:szCs w:val="22"/>
        </w:rPr>
        <w:t xml:space="preserve">SUJETO OBLIGADO </w:t>
      </w:r>
      <w:r w:rsidRPr="00BC66A9">
        <w:rPr>
          <w:rFonts w:ascii="Palatino Linotype" w:eastAsia="Palatino Linotype" w:hAnsi="Palatino Linotype" w:cs="Palatino Linotype"/>
          <w:color w:val="000000"/>
          <w:sz w:val="22"/>
          <w:szCs w:val="22"/>
        </w:rPr>
        <w:t xml:space="preserve">entrego su respuesta por medio de cuatro archivos electrónicos en formato </w:t>
      </w:r>
      <w:proofErr w:type="spellStart"/>
      <w:r w:rsidRPr="00BC66A9">
        <w:rPr>
          <w:rFonts w:ascii="Palatino Linotype" w:eastAsia="Palatino Linotype" w:hAnsi="Palatino Linotype" w:cs="Palatino Linotype"/>
          <w:color w:val="000000"/>
          <w:sz w:val="22"/>
          <w:szCs w:val="22"/>
        </w:rPr>
        <w:t>pdf</w:t>
      </w:r>
      <w:proofErr w:type="spellEnd"/>
      <w:r w:rsidRPr="00BC66A9">
        <w:rPr>
          <w:rFonts w:ascii="Palatino Linotype" w:eastAsia="Palatino Linotype" w:hAnsi="Palatino Linotype" w:cs="Palatino Linotype"/>
          <w:color w:val="000000"/>
          <w:sz w:val="22"/>
          <w:szCs w:val="22"/>
        </w:rPr>
        <w:t xml:space="preserve">, cuyo contenido grosso modo es el siguiente: </w:t>
      </w:r>
      <w:r w:rsidRPr="00BC66A9">
        <w:rPr>
          <w:rFonts w:ascii="Palatino Linotype" w:eastAsia="Palatino Linotype" w:hAnsi="Palatino Linotype" w:cs="Palatino Linotype"/>
          <w:b/>
          <w:i/>
          <w:color w:val="000000"/>
          <w:sz w:val="22"/>
          <w:szCs w:val="22"/>
        </w:rPr>
        <w:t xml:space="preserve">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bookmarkStart w:id="0" w:name="_heading=h.30j0zll" w:colFirst="0" w:colLast="0"/>
      <w:bookmarkEnd w:id="0"/>
      <w:r w:rsidRPr="00BC66A9">
        <w:rPr>
          <w:rFonts w:ascii="Palatino Linotype" w:eastAsia="Palatino Linotype" w:hAnsi="Palatino Linotype" w:cs="Palatino Linotype"/>
          <w:b/>
          <w:i/>
          <w:color w:val="000000"/>
          <w:sz w:val="22"/>
          <w:szCs w:val="22"/>
        </w:rPr>
        <w:t>Cuadro de Clasificación 438.pdf:</w:t>
      </w:r>
      <w:r w:rsidRPr="00BC66A9">
        <w:rPr>
          <w:rFonts w:ascii="Palatino Linotype" w:eastAsia="Palatino Linotype" w:hAnsi="Palatino Linotype" w:cs="Palatino Linotype"/>
          <w:i/>
          <w:color w:val="000000"/>
          <w:sz w:val="22"/>
          <w:szCs w:val="22"/>
        </w:rPr>
        <w:t xml:space="preserve"> cuadro de clasificación de la información del Folio de la Credencial para Votar (INE) y el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Anexo 438.pdf: </w:t>
      </w:r>
      <w:r w:rsidRPr="00BC66A9">
        <w:rPr>
          <w:rFonts w:ascii="Palatino Linotype" w:eastAsia="Palatino Linotype" w:hAnsi="Palatino Linotype" w:cs="Palatino Linotype"/>
          <w:i/>
          <w:color w:val="000000"/>
          <w:sz w:val="22"/>
          <w:szCs w:val="22"/>
        </w:rPr>
        <w:t xml:space="preserve">Acta Entrega – Recepción del mes de septiembre de dos mil veintitrés, de la cual se observa que clasificación la información del folio del INE y un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Respuesta 438.pdf: </w:t>
      </w:r>
      <w:r w:rsidRPr="00BC66A9">
        <w:rPr>
          <w:rFonts w:ascii="Palatino Linotype" w:eastAsia="Palatino Linotype" w:hAnsi="Palatino Linotype" w:cs="Palatino Linotype"/>
          <w:i/>
          <w:color w:val="000000"/>
          <w:sz w:val="22"/>
          <w:szCs w:val="22"/>
        </w:rPr>
        <w:t xml:space="preserve">oficio del Encargado de la Unidad de Información, Planeación, Programación y Evaluación y dela Unidad de Transparencia, mediante el cual informa se hace entrega de un Acta de Entrega –Recepción del periodo de su interés, de la cual refiere que se clasifico la información del folio del INE y un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Acta 33.pdf: </w:t>
      </w:r>
      <w:r w:rsidRPr="00BC66A9">
        <w:rPr>
          <w:rFonts w:ascii="Palatino Linotype" w:eastAsia="Palatino Linotype" w:hAnsi="Palatino Linotype" w:cs="Palatino Linotype"/>
          <w:i/>
          <w:color w:val="000000"/>
          <w:sz w:val="22"/>
          <w:szCs w:val="22"/>
        </w:rPr>
        <w:t xml:space="preserve">Acta de la Trigésima Sesión Extraordinaria del Comité de Transparencia, mediante el cual en el punto tres se aprueba la clasificación como confidencial de los datos concernientes del folio del INE y de un código de verificación. </w:t>
      </w:r>
    </w:p>
    <w:p w:rsidR="00C04E0E" w:rsidRPr="00BC66A9" w:rsidRDefault="00C04E0E" w:rsidP="00C04E0E">
      <w:pPr>
        <w:ind w:right="900"/>
        <w:jc w:val="both"/>
        <w:rPr>
          <w:rFonts w:ascii="Palatino Linotype" w:hAnsi="Palatino Linotype"/>
          <w:i/>
          <w:sz w:val="22"/>
          <w:szCs w:val="22"/>
        </w:rPr>
      </w:pPr>
    </w:p>
    <w:p w:rsidR="00C04E0E" w:rsidRPr="00BC66A9" w:rsidRDefault="00C04E0E" w:rsidP="00C04E0E">
      <w:pPr>
        <w:numPr>
          <w:ilvl w:val="0"/>
          <w:numId w:val="3"/>
        </w:numP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color w:val="000000"/>
          <w:sz w:val="22"/>
          <w:szCs w:val="22"/>
        </w:rPr>
        <w:t xml:space="preserve">El </w:t>
      </w:r>
      <w:r w:rsidRPr="00BC66A9">
        <w:rPr>
          <w:rFonts w:ascii="Palatino Linotype" w:eastAsia="Palatino Linotype" w:hAnsi="Palatino Linotype" w:cs="Palatino Linotype"/>
          <w:b/>
          <w:color w:val="000000"/>
          <w:sz w:val="22"/>
          <w:szCs w:val="22"/>
        </w:rPr>
        <w:t xml:space="preserve">siete de octubre  de dos mil veinticuatro </w:t>
      </w:r>
      <w:r w:rsidRPr="00BC66A9">
        <w:rPr>
          <w:rFonts w:ascii="Palatino Linotype" w:eastAsia="Palatino Linotype" w:hAnsi="Palatino Linotype" w:cs="Palatino Linotype"/>
          <w:color w:val="000000"/>
          <w:sz w:val="22"/>
          <w:szCs w:val="22"/>
        </w:rPr>
        <w:t>el</w:t>
      </w:r>
      <w:r w:rsidRPr="00BC66A9">
        <w:rPr>
          <w:rFonts w:ascii="Palatino Linotype" w:eastAsia="Palatino Linotype" w:hAnsi="Palatino Linotype" w:cs="Palatino Linotype"/>
          <w:b/>
          <w:color w:val="000000"/>
          <w:sz w:val="22"/>
          <w:szCs w:val="22"/>
        </w:rPr>
        <w:t xml:space="preserve"> </w:t>
      </w:r>
      <w:r w:rsidRPr="00BC66A9">
        <w:rPr>
          <w:rFonts w:ascii="Palatino Linotype" w:eastAsia="Palatino Linotype" w:hAnsi="Palatino Linotype" w:cs="Palatino Linotype"/>
          <w:color w:val="000000"/>
          <w:sz w:val="22"/>
          <w:szCs w:val="22"/>
        </w:rPr>
        <w:t xml:space="preserve">entonces </w:t>
      </w:r>
      <w:r w:rsidRPr="00BC66A9">
        <w:rPr>
          <w:rFonts w:ascii="Palatino Linotype" w:eastAsia="Palatino Linotype" w:hAnsi="Palatino Linotype" w:cs="Palatino Linotype"/>
          <w:b/>
          <w:color w:val="000000"/>
          <w:sz w:val="22"/>
          <w:szCs w:val="22"/>
        </w:rPr>
        <w:t xml:space="preserve">SOLICITANTE </w:t>
      </w:r>
      <w:r w:rsidRPr="00BC66A9">
        <w:rPr>
          <w:rFonts w:ascii="Palatino Linotype" w:eastAsia="Palatino Linotype" w:hAnsi="Palatino Linotype" w:cs="Palatino Linotype"/>
          <w:color w:val="000000"/>
          <w:sz w:val="22"/>
          <w:szCs w:val="22"/>
        </w:rPr>
        <w:t xml:space="preserve">interpuso el recurso de revisión en contra de la respuesta del </w:t>
      </w:r>
      <w:r w:rsidRPr="00BC66A9">
        <w:rPr>
          <w:rFonts w:ascii="Palatino Linotype" w:eastAsia="Palatino Linotype" w:hAnsi="Palatino Linotype" w:cs="Palatino Linotype"/>
          <w:b/>
          <w:color w:val="000000"/>
          <w:sz w:val="22"/>
          <w:szCs w:val="22"/>
        </w:rPr>
        <w:t>SUJETO OBLIGADO</w:t>
      </w:r>
      <w:r w:rsidRPr="00BC66A9">
        <w:rPr>
          <w:rFonts w:ascii="Palatino Linotype" w:eastAsia="Palatino Linotype" w:hAnsi="Palatino Linotype" w:cs="Palatino Linotype"/>
          <w:color w:val="000000"/>
          <w:sz w:val="22"/>
          <w:szCs w:val="22"/>
        </w:rPr>
        <w:t>, manifestando las siguientes razones o motivos de inconformidad:</w:t>
      </w:r>
    </w:p>
    <w:p w:rsidR="00C04E0E" w:rsidRPr="00BC66A9" w:rsidRDefault="00C04E0E" w:rsidP="00C04E0E">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i/>
          <w:color w:val="000000"/>
          <w:sz w:val="22"/>
          <w:szCs w:val="22"/>
        </w:rPr>
        <w:tab/>
      </w:r>
    </w:p>
    <w:p w:rsidR="00C04E0E" w:rsidRPr="00BC66A9" w:rsidRDefault="00C04E0E" w:rsidP="00C04E0E">
      <w:pPr>
        <w:numPr>
          <w:ilvl w:val="0"/>
          <w:numId w:val="4"/>
        </w:numPr>
        <w:ind w:right="900"/>
        <w:jc w:val="both"/>
        <w:rPr>
          <w:rFonts w:ascii="Palatino Linotype" w:eastAsia="Palatino Linotype" w:hAnsi="Palatino Linotype" w:cs="Palatino Linotype"/>
          <w:i/>
          <w:color w:val="000000"/>
          <w:sz w:val="22"/>
          <w:szCs w:val="22"/>
        </w:rPr>
      </w:pPr>
      <w:bookmarkStart w:id="1" w:name="_heading=h.1fob9te" w:colFirst="0" w:colLast="0"/>
      <w:bookmarkEnd w:id="1"/>
      <w:r w:rsidRPr="00BC66A9">
        <w:rPr>
          <w:rFonts w:ascii="Palatino Linotype" w:eastAsia="Palatino Linotype" w:hAnsi="Palatino Linotype" w:cs="Palatino Linotype"/>
          <w:b/>
          <w:i/>
          <w:sz w:val="22"/>
          <w:szCs w:val="22"/>
        </w:rPr>
        <w:t>Acto impugnado</w:t>
      </w:r>
      <w:r w:rsidRPr="00BC66A9">
        <w:rPr>
          <w:rFonts w:ascii="Palatino Linotype" w:eastAsia="Palatino Linotype" w:hAnsi="Palatino Linotype" w:cs="Palatino Linotype"/>
          <w:b/>
          <w:i/>
          <w:color w:val="000000"/>
          <w:sz w:val="22"/>
          <w:szCs w:val="22"/>
        </w:rPr>
        <w:t xml:space="preserve">: </w:t>
      </w:r>
      <w:r w:rsidRPr="00BC66A9">
        <w:rPr>
          <w:rFonts w:ascii="Palatino Linotype" w:eastAsia="Palatino Linotype" w:hAnsi="Palatino Linotype" w:cs="Palatino Linotype"/>
          <w:i/>
          <w:color w:val="000000"/>
          <w:sz w:val="22"/>
          <w:szCs w:val="22"/>
        </w:rPr>
        <w:t xml:space="preserve">“Entrega de Información incompleta, clasificada previamente como "clasificada" </w:t>
      </w:r>
      <w:proofErr w:type="spellStart"/>
      <w:r w:rsidRPr="00BC66A9">
        <w:rPr>
          <w:rFonts w:ascii="Palatino Linotype" w:eastAsia="Palatino Linotype" w:hAnsi="Palatino Linotype" w:cs="Palatino Linotype"/>
          <w:i/>
          <w:color w:val="000000"/>
          <w:sz w:val="22"/>
          <w:szCs w:val="22"/>
        </w:rPr>
        <w:t>tecnicamente</w:t>
      </w:r>
      <w:proofErr w:type="spellEnd"/>
      <w:r w:rsidRPr="00BC66A9">
        <w:rPr>
          <w:rFonts w:ascii="Palatino Linotype" w:eastAsia="Palatino Linotype" w:hAnsi="Palatino Linotype" w:cs="Palatino Linotype"/>
          <w:i/>
          <w:color w:val="000000"/>
          <w:sz w:val="22"/>
          <w:szCs w:val="22"/>
        </w:rPr>
        <w:t xml:space="preserve"> "para siempre" y dar mayores argumentos. La secretaria de seguridad del estado de México entregó incompleta la información solicitada, al clasificar como "información confidencial con carácter permanente" la totalidad de los archivos o anexos que integran el acta relativa a la "entrega-recepción" de la secretaria, sin proporcionar una respuesta argumentada</w:t>
      </w:r>
      <w:proofErr w:type="gramStart"/>
      <w:r w:rsidRPr="00BC66A9">
        <w:rPr>
          <w:rFonts w:ascii="Palatino Linotype" w:eastAsia="Palatino Linotype" w:hAnsi="Palatino Linotype" w:cs="Palatino Linotype"/>
          <w:i/>
          <w:color w:val="000000"/>
          <w:sz w:val="22"/>
          <w:szCs w:val="22"/>
        </w:rPr>
        <w:t>..”</w:t>
      </w:r>
      <w:proofErr w:type="gramEnd"/>
    </w:p>
    <w:p w:rsidR="00C04E0E" w:rsidRPr="00BC66A9" w:rsidRDefault="00C04E0E" w:rsidP="00C04E0E">
      <w:pPr>
        <w:tabs>
          <w:tab w:val="left" w:pos="7020"/>
        </w:tabs>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i/>
          <w:color w:val="000000"/>
          <w:sz w:val="22"/>
          <w:szCs w:val="22"/>
        </w:rPr>
        <w:tab/>
      </w:r>
    </w:p>
    <w:p w:rsidR="00C04E0E" w:rsidRPr="00BC66A9" w:rsidRDefault="00C04E0E" w:rsidP="00C04E0E">
      <w:pPr>
        <w:tabs>
          <w:tab w:val="left" w:pos="7020"/>
        </w:tabs>
        <w:ind w:left="1134" w:right="900"/>
        <w:jc w:val="both"/>
        <w:rPr>
          <w:rFonts w:ascii="Palatino Linotype" w:eastAsia="Palatino Linotype" w:hAnsi="Palatino Linotype" w:cs="Palatino Linotype"/>
          <w:i/>
          <w:color w:val="000000"/>
          <w:sz w:val="22"/>
          <w:szCs w:val="22"/>
        </w:rPr>
      </w:pPr>
    </w:p>
    <w:p w:rsidR="00C04E0E" w:rsidRPr="00BC66A9" w:rsidRDefault="00C04E0E" w:rsidP="00C04E0E">
      <w:pPr>
        <w:numPr>
          <w:ilvl w:val="0"/>
          <w:numId w:val="4"/>
        </w:numPr>
        <w:ind w:right="900"/>
        <w:jc w:val="both"/>
        <w:rPr>
          <w:rFonts w:ascii="Palatino Linotype" w:eastAsia="Palatino Linotype" w:hAnsi="Palatino Linotype" w:cs="Palatino Linotype"/>
          <w:i/>
          <w:color w:val="000000"/>
          <w:sz w:val="22"/>
          <w:szCs w:val="22"/>
        </w:rPr>
      </w:pPr>
      <w:bookmarkStart w:id="2" w:name="_heading=h.3znysh7" w:colFirst="0" w:colLast="0"/>
      <w:bookmarkEnd w:id="2"/>
      <w:r w:rsidRPr="00BC66A9">
        <w:rPr>
          <w:rFonts w:ascii="Palatino Linotype" w:eastAsia="Palatino Linotype" w:hAnsi="Palatino Linotype" w:cs="Palatino Linotype"/>
          <w:b/>
          <w:i/>
          <w:color w:val="000000"/>
          <w:sz w:val="22"/>
          <w:szCs w:val="22"/>
        </w:rPr>
        <w:t xml:space="preserve">Razones o Motivos de inconformidad: </w:t>
      </w:r>
      <w:r w:rsidRPr="00BC66A9">
        <w:rPr>
          <w:rFonts w:ascii="Palatino Linotype" w:eastAsia="Palatino Linotype" w:hAnsi="Palatino Linotype" w:cs="Palatino Linotype"/>
          <w:i/>
          <w:color w:val="000000"/>
          <w:sz w:val="22"/>
          <w:szCs w:val="22"/>
        </w:rPr>
        <w:t xml:space="preserve">“La secretaria de seguridad del estado de México entregó incompleta la información solicitada, al clasificar como "información confidencial con carácter permanente" la </w:t>
      </w:r>
      <w:bookmarkStart w:id="3" w:name="_GoBack"/>
      <w:r w:rsidRPr="00BC66A9">
        <w:rPr>
          <w:rFonts w:ascii="Palatino Linotype" w:eastAsia="Palatino Linotype" w:hAnsi="Palatino Linotype" w:cs="Palatino Linotype"/>
          <w:i/>
          <w:color w:val="000000"/>
          <w:sz w:val="22"/>
          <w:szCs w:val="22"/>
        </w:rPr>
        <w:lastRenderedPageBreak/>
        <w:t xml:space="preserve">totalidad de los archivos y anexos que integran o forman parte del acta </w:t>
      </w:r>
      <w:proofErr w:type="spellStart"/>
      <w:r w:rsidRPr="00BC66A9">
        <w:rPr>
          <w:rFonts w:ascii="Palatino Linotype" w:eastAsia="Palatino Linotype" w:hAnsi="Palatino Linotype" w:cs="Palatino Linotype"/>
          <w:i/>
          <w:color w:val="000000"/>
          <w:sz w:val="22"/>
          <w:szCs w:val="22"/>
        </w:rPr>
        <w:t>dea</w:t>
      </w:r>
      <w:proofErr w:type="spellEnd"/>
      <w:r w:rsidRPr="00BC66A9">
        <w:rPr>
          <w:rFonts w:ascii="Palatino Linotype" w:eastAsia="Palatino Linotype" w:hAnsi="Palatino Linotype" w:cs="Palatino Linotype"/>
          <w:i/>
          <w:color w:val="000000"/>
          <w:sz w:val="22"/>
          <w:szCs w:val="22"/>
        </w:rPr>
        <w:t xml:space="preserve"> "entrega-recepción" de la secretaria y los cuales fueron solicitados con motivo del histórico cambio de gobierno del 2023, sin proporcionar una respuesta que fundamente su proceder. Si bien algunos de los archivos pudieran resultar confidenciales por la seguridad para el Estado en sí (por ejemplo lo relativo a armas, elementos, organización y fuerza disponible), otros de los archivos no, ya que implican el uso que se dio a los recursos financieros del Estado; o estado en que se deja la deuda, cierta obra pública; proyectos; situación en que se reciben los llamados </w:t>
      </w:r>
      <w:proofErr w:type="spellStart"/>
      <w:r w:rsidRPr="00BC66A9">
        <w:rPr>
          <w:rFonts w:ascii="Palatino Linotype" w:eastAsia="Palatino Linotype" w:hAnsi="Palatino Linotype" w:cs="Palatino Linotype"/>
          <w:i/>
          <w:color w:val="000000"/>
          <w:sz w:val="22"/>
          <w:szCs w:val="22"/>
        </w:rPr>
        <w:t>PPs</w:t>
      </w:r>
      <w:proofErr w:type="spellEnd"/>
      <w:r w:rsidRPr="00BC66A9">
        <w:rPr>
          <w:rFonts w:ascii="Palatino Linotype" w:eastAsia="Palatino Linotype" w:hAnsi="Palatino Linotype" w:cs="Palatino Linotype"/>
          <w:i/>
          <w:color w:val="000000"/>
          <w:sz w:val="22"/>
          <w:szCs w:val="22"/>
        </w:rPr>
        <w:t>; contratos en ejecución, etcétera. Por otra parte los sistemas de transparencia se hicieron para conocer en qué se gastan los recursos que son de todos. No obvio mencionar que la gobernadora Delfina Gómez ofreció un gobierno transparente para combatir la corrupción. Lo menos que esperamos los ciudadanos es congruencia. Cerrar con candado y para siempre la totalidad de los archivos, sin excepción, solo abona a más corrupción y no a la transparencia. Por ello solicito atentamente a los integrantes d</w:t>
      </w:r>
      <w:bookmarkEnd w:id="3"/>
      <w:r w:rsidRPr="00BC66A9">
        <w:rPr>
          <w:rFonts w:ascii="Palatino Linotype" w:eastAsia="Palatino Linotype" w:hAnsi="Palatino Linotype" w:cs="Palatino Linotype"/>
          <w:i/>
          <w:color w:val="000000"/>
          <w:sz w:val="22"/>
          <w:szCs w:val="22"/>
        </w:rPr>
        <w:t>e este organismo, revisar el acuerdo de clasificación que se me entregó. Incluyo un "anexo" que no es anexo. Gracias por leer.”</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p>
    <w:p w:rsidR="00C04E0E" w:rsidRPr="00BC66A9" w:rsidRDefault="00C04E0E" w:rsidP="00C04E0E">
      <w:pPr>
        <w:ind w:left="1134" w:right="900"/>
        <w:rPr>
          <w:rFonts w:ascii="Palatino Linotype" w:eastAsia="Palatino Linotype" w:hAnsi="Palatino Linotype" w:cs="Palatino Linotype"/>
          <w:i/>
          <w:color w:val="000000"/>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Al momento de interponer el recurso de revisión la entonces </w:t>
      </w:r>
      <w:r w:rsidRPr="00BC66A9">
        <w:rPr>
          <w:rFonts w:ascii="Palatino Linotype" w:eastAsia="Palatino Linotype" w:hAnsi="Palatino Linotype" w:cs="Palatino Linotype"/>
          <w:b/>
          <w:sz w:val="22"/>
          <w:szCs w:val="22"/>
        </w:rPr>
        <w:t xml:space="preserve">SOLICITANTE </w:t>
      </w:r>
      <w:r w:rsidRPr="00BC66A9">
        <w:rPr>
          <w:rFonts w:ascii="Palatino Linotype" w:eastAsia="Palatino Linotype" w:hAnsi="Palatino Linotype" w:cs="Palatino Linotype"/>
          <w:sz w:val="22"/>
          <w:szCs w:val="22"/>
        </w:rPr>
        <w:t xml:space="preserve">agregó dos anexos que consisten en el Acta de Entrega Recepción que remitió el </w:t>
      </w:r>
      <w:r w:rsidRPr="00BC66A9">
        <w:rPr>
          <w:rFonts w:ascii="Palatino Linotype" w:eastAsia="Palatino Linotype" w:hAnsi="Palatino Linotype" w:cs="Palatino Linotype"/>
          <w:b/>
          <w:sz w:val="22"/>
          <w:szCs w:val="22"/>
        </w:rPr>
        <w:t xml:space="preserve">SUJETO OBLIGADO </w:t>
      </w:r>
      <w:r w:rsidRPr="00BC66A9">
        <w:rPr>
          <w:rFonts w:ascii="Palatino Linotype" w:eastAsia="Palatino Linotype" w:hAnsi="Palatino Linotype" w:cs="Palatino Linotype"/>
          <w:sz w:val="22"/>
          <w:szCs w:val="22"/>
        </w:rPr>
        <w:t xml:space="preserve">en respuesta. </w:t>
      </w:r>
    </w:p>
    <w:p w:rsidR="00C04E0E" w:rsidRPr="00BC66A9" w:rsidRDefault="00C04E0E" w:rsidP="00C04E0E">
      <w:pPr>
        <w:spacing w:line="360" w:lineRule="auto"/>
        <w:jc w:val="both"/>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Pr="00BC66A9">
        <w:rPr>
          <w:rFonts w:ascii="Palatino Linotype" w:eastAsia="Palatino Linotype" w:hAnsi="Palatino Linotype" w:cs="Palatino Linotype"/>
          <w:b/>
          <w:sz w:val="22"/>
          <w:szCs w:val="22"/>
        </w:rPr>
        <w:t>catorce de octubre de dos mil veinticuatro</w:t>
      </w:r>
      <w:r w:rsidRPr="00BC66A9">
        <w:rPr>
          <w:rFonts w:ascii="Palatino Linotype" w:eastAsia="Palatino Linotype" w:hAnsi="Palatino Linotype" w:cs="Palatino Linotype"/>
          <w:sz w:val="22"/>
          <w:szCs w:val="22"/>
        </w:rPr>
        <w:t xml:space="preserve">, puso a disposición de las partes el expediente electrónico vía </w:t>
      </w:r>
      <w:r w:rsidRPr="00BC66A9">
        <w:rPr>
          <w:rFonts w:ascii="Palatino Linotype" w:eastAsia="Palatino Linotype" w:hAnsi="Palatino Linotype" w:cs="Palatino Linotype"/>
          <w:b/>
          <w:sz w:val="22"/>
          <w:szCs w:val="22"/>
        </w:rPr>
        <w:t xml:space="preserve">SAIMEX </w:t>
      </w:r>
      <w:r w:rsidRPr="00BC66A9">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presentará el Informe Justificado procedente.</w:t>
      </w:r>
    </w:p>
    <w:p w:rsidR="00C04E0E" w:rsidRPr="00BC66A9" w:rsidRDefault="00C04E0E" w:rsidP="00C04E0E">
      <w:pPr>
        <w:spacing w:line="360" w:lineRule="auto"/>
        <w:jc w:val="both"/>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color w:val="000000"/>
          <w:sz w:val="22"/>
          <w:szCs w:val="22"/>
        </w:rPr>
        <w:lastRenderedPageBreak/>
        <w:t xml:space="preserve">De lo anterior, tal y como se observa en el expediente electrónico el </w:t>
      </w:r>
      <w:r w:rsidRPr="00BC66A9">
        <w:rPr>
          <w:rFonts w:ascii="Palatino Linotype" w:eastAsia="Palatino Linotype" w:hAnsi="Palatino Linotype" w:cs="Palatino Linotype"/>
          <w:b/>
          <w:color w:val="000000"/>
          <w:sz w:val="22"/>
          <w:szCs w:val="22"/>
        </w:rPr>
        <w:t xml:space="preserve">SUJETO OBLIGADO </w:t>
      </w:r>
      <w:r w:rsidRPr="00BC66A9">
        <w:rPr>
          <w:rFonts w:ascii="Palatino Linotype" w:eastAsia="Palatino Linotype" w:hAnsi="Palatino Linotype" w:cs="Palatino Linotype"/>
          <w:color w:val="000000"/>
          <w:sz w:val="22"/>
          <w:szCs w:val="22"/>
        </w:rPr>
        <w:t xml:space="preserve">el </w:t>
      </w:r>
      <w:r w:rsidRPr="00BC66A9">
        <w:rPr>
          <w:rFonts w:ascii="Palatino Linotype" w:eastAsia="Palatino Linotype" w:hAnsi="Palatino Linotype" w:cs="Palatino Linotype"/>
          <w:b/>
          <w:color w:val="000000"/>
          <w:sz w:val="22"/>
          <w:szCs w:val="22"/>
        </w:rPr>
        <w:t xml:space="preserve">veintitrés de octubre de dos mil veinticuatro </w:t>
      </w:r>
      <w:r w:rsidRPr="00BC66A9">
        <w:rPr>
          <w:rFonts w:ascii="Palatino Linotype" w:eastAsia="Palatino Linotype" w:hAnsi="Palatino Linotype" w:cs="Palatino Linotype"/>
          <w:color w:val="000000"/>
          <w:sz w:val="22"/>
          <w:szCs w:val="22"/>
        </w:rPr>
        <w:t xml:space="preserve">entrego un archivo electrónico en la etapa de manifestaciones, cuyo contenido grosso modo es el siguiente. </w:t>
      </w:r>
    </w:p>
    <w:p w:rsidR="00C04E0E" w:rsidRPr="00BC66A9" w:rsidRDefault="00C04E0E" w:rsidP="00C04E0E">
      <w:pPr>
        <w:pStyle w:val="Prrafodelista"/>
        <w:rPr>
          <w:rFonts w:ascii="Palatino Linotype" w:eastAsia="Palatino Linotype" w:hAnsi="Palatino Linotype" w:cs="Palatino Linotype"/>
          <w:i/>
          <w:color w:val="000000"/>
          <w:sz w:val="22"/>
          <w:szCs w:val="22"/>
        </w:rPr>
      </w:pP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Informe Justificado 6043.pdf: </w:t>
      </w:r>
      <w:r w:rsidRPr="00BC66A9">
        <w:rPr>
          <w:rFonts w:ascii="Palatino Linotype" w:eastAsia="Palatino Linotype" w:hAnsi="Palatino Linotype" w:cs="Palatino Linotype"/>
          <w:i/>
          <w:color w:val="000000"/>
          <w:sz w:val="22"/>
          <w:szCs w:val="22"/>
        </w:rPr>
        <w:t xml:space="preserve">informe justificado mediante el cual </w:t>
      </w:r>
      <w:r w:rsidRPr="00BC66A9">
        <w:rPr>
          <w:rFonts w:ascii="Palatino Linotype" w:eastAsia="Palatino Linotype" w:hAnsi="Palatino Linotype" w:cs="Palatino Linotype"/>
          <w:b/>
          <w:i/>
          <w:color w:val="000000"/>
          <w:sz w:val="22"/>
          <w:szCs w:val="22"/>
        </w:rPr>
        <w:t xml:space="preserve">SUJETO OBLIGADO </w:t>
      </w:r>
      <w:r w:rsidRPr="00BC66A9">
        <w:rPr>
          <w:rFonts w:ascii="Palatino Linotype" w:eastAsia="Palatino Linotype" w:hAnsi="Palatino Linotype" w:cs="Palatino Linotype"/>
          <w:i/>
          <w:color w:val="000000"/>
          <w:sz w:val="22"/>
          <w:szCs w:val="22"/>
        </w:rPr>
        <w:t xml:space="preserve">ratifica su respuesta inicial, así como también señala que los anexos no fueron solicitados en la solicitud de información que se ingresó. </w:t>
      </w:r>
    </w:p>
    <w:p w:rsidR="00C04E0E" w:rsidRPr="00BC66A9" w:rsidRDefault="00C04E0E" w:rsidP="00C04E0E">
      <w:pPr>
        <w:pStyle w:val="Prrafodelista"/>
        <w:rPr>
          <w:rFonts w:ascii="Palatino Linotype" w:eastAsia="Palatino Linotype" w:hAnsi="Palatino Linotype" w:cs="Palatino Linotype"/>
          <w:b/>
          <w:color w:val="000000"/>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color w:val="000000"/>
          <w:sz w:val="22"/>
          <w:szCs w:val="22"/>
        </w:rPr>
        <w:t xml:space="preserve">Por su parte la  </w:t>
      </w:r>
      <w:r w:rsidRPr="00BC66A9">
        <w:rPr>
          <w:rFonts w:ascii="Palatino Linotype" w:eastAsia="Palatino Linotype" w:hAnsi="Palatino Linotype" w:cs="Palatino Linotype"/>
          <w:b/>
          <w:color w:val="000000"/>
          <w:sz w:val="22"/>
          <w:szCs w:val="22"/>
        </w:rPr>
        <w:t xml:space="preserve">RECURRENTE </w:t>
      </w:r>
      <w:r w:rsidRPr="00BC66A9">
        <w:rPr>
          <w:rFonts w:ascii="Palatino Linotype" w:eastAsia="Palatino Linotype" w:hAnsi="Palatino Linotype" w:cs="Palatino Linotype"/>
          <w:color w:val="000000"/>
          <w:sz w:val="22"/>
          <w:szCs w:val="22"/>
        </w:rPr>
        <w:t xml:space="preserve">dejo de realizar manifestaciones que a su derecho conviniera y asistiera. </w:t>
      </w:r>
    </w:p>
    <w:p w:rsidR="00C04E0E" w:rsidRPr="00BC66A9" w:rsidRDefault="00C04E0E" w:rsidP="00C04E0E">
      <w:pPr>
        <w:pStyle w:val="Prrafodelista"/>
        <w:rPr>
          <w:rFonts w:ascii="Palatino Linotype" w:eastAsia="Palatino Linotype" w:hAnsi="Palatino Linotype" w:cs="Palatino Linotype"/>
          <w:i/>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 xml:space="preserve">El </w:t>
      </w:r>
      <w:r w:rsidRPr="00BC66A9">
        <w:rPr>
          <w:rFonts w:ascii="Palatino Linotype" w:eastAsia="Palatino Linotype" w:hAnsi="Palatino Linotype" w:cs="Palatino Linotype"/>
          <w:b/>
          <w:color w:val="000000"/>
          <w:sz w:val="22"/>
          <w:szCs w:val="22"/>
        </w:rPr>
        <w:t>once de febrero de dos mil veinticinco</w:t>
      </w:r>
      <w:r w:rsidRPr="00BC66A9">
        <w:rPr>
          <w:rFonts w:ascii="Palatino Linotype" w:eastAsia="Palatino Linotype" w:hAnsi="Palatino Linotype" w:cs="Palatino Linotype"/>
          <w:color w:val="000000"/>
          <w:sz w:val="22"/>
          <w:szCs w:val="22"/>
        </w:rPr>
        <w:t>, la Comisionada Ponente notificó el acuerdo de ampliación para emitir resolución.</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04E0E" w:rsidRPr="00BC66A9" w:rsidRDefault="00C04E0E" w:rsidP="00C04E0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C04E0E" w:rsidRPr="00BC66A9" w:rsidRDefault="00C04E0E" w:rsidP="00C04E0E">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b)     Actividad Procesal del interesado: Acciones u omisiones del interesado.</w:t>
      </w:r>
    </w:p>
    <w:p w:rsidR="00C04E0E" w:rsidRPr="00BC66A9" w:rsidRDefault="00C04E0E" w:rsidP="00C04E0E">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C04E0E" w:rsidRPr="00BC66A9" w:rsidRDefault="00C04E0E" w:rsidP="00C04E0E">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BC66A9">
        <w:rPr>
          <w:rFonts w:ascii="Palatino Linotype" w:eastAsia="Palatino Linotype" w:hAnsi="Palatino Linotype" w:cs="Palatino Linotype"/>
          <w:color w:val="000000"/>
          <w:sz w:val="22"/>
          <w:szCs w:val="22"/>
        </w:rPr>
        <w:lastRenderedPageBreak/>
        <w:t>concluirse que es una excluyente de responsabilidad en relación con la actuación del funcionario, como ha acontecido en el caso que nos ocupa.</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Argumento que encuentra sustento en la jurisprudencia P</w:t>
      </w:r>
      <w:proofErr w:type="gramStart"/>
      <w:r w:rsidRPr="00BC66A9">
        <w:rPr>
          <w:rFonts w:ascii="Palatino Linotype" w:eastAsia="Palatino Linotype" w:hAnsi="Palatino Linotype" w:cs="Palatino Linotype"/>
          <w:color w:val="000000"/>
          <w:sz w:val="22"/>
          <w:szCs w:val="22"/>
        </w:rPr>
        <w:t>./</w:t>
      </w:r>
      <w:proofErr w:type="gramEnd"/>
      <w:r w:rsidRPr="00BC66A9">
        <w:rPr>
          <w:rFonts w:ascii="Palatino Linotype" w:eastAsia="Palatino Linotype" w:hAnsi="Palatino Linotype" w:cs="Palatino Linotype"/>
          <w:color w:val="000000"/>
          <w:sz w:val="22"/>
          <w:szCs w:val="22"/>
        </w:rPr>
        <w:t xml:space="preserve">J. 32/92 emitida por el Pleno de la Suprema Corte de Justicia de la Nación </w:t>
      </w:r>
      <w:r w:rsidRPr="00BC66A9">
        <w:rPr>
          <w:rFonts w:ascii="Palatino Linotype" w:eastAsia="Palatino Linotype" w:hAnsi="Palatino Linotype" w:cs="Palatino Linotype"/>
          <w:sz w:val="22"/>
          <w:szCs w:val="22"/>
        </w:rPr>
        <w:t>del rubro</w:t>
      </w:r>
      <w:r w:rsidRPr="00BC66A9">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BC66A9">
        <w:rPr>
          <w:rFonts w:ascii="Palatino Linotype" w:eastAsia="Palatino Linotype" w:hAnsi="Palatino Linotype" w:cs="Palatino Linotype"/>
          <w:sz w:val="22"/>
          <w:szCs w:val="22"/>
        </w:rPr>
        <w:t>Semanario</w:t>
      </w:r>
      <w:r w:rsidRPr="00BC66A9">
        <w:rPr>
          <w:rFonts w:ascii="Palatino Linotype" w:eastAsia="Palatino Linotype" w:hAnsi="Palatino Linotype" w:cs="Palatino Linotype"/>
          <w:color w:val="000000"/>
          <w:sz w:val="22"/>
          <w:szCs w:val="22"/>
        </w:rPr>
        <w:t xml:space="preserve"> Judicial de la Federación con el registro digital 205635.</w:t>
      </w:r>
    </w:p>
    <w:p w:rsidR="00C04E0E" w:rsidRPr="00BC66A9" w:rsidRDefault="00C04E0E" w:rsidP="00C04E0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04E0E" w:rsidRPr="00BC66A9" w:rsidRDefault="00C04E0E" w:rsidP="00C04E0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C04E0E" w:rsidRPr="00BC66A9" w:rsidRDefault="00C04E0E" w:rsidP="00C04E0E">
      <w:pPr>
        <w:pStyle w:val="Prrafodelista"/>
        <w:rPr>
          <w:rFonts w:ascii="Palatino Linotype" w:hAnsi="Palatino Linotype"/>
          <w:color w:val="000000"/>
          <w:sz w:val="22"/>
          <w:szCs w:val="22"/>
        </w:rPr>
      </w:pPr>
    </w:p>
    <w:p w:rsidR="00C04E0E" w:rsidRPr="00BC66A9" w:rsidRDefault="00C04E0E" w:rsidP="00C04E0E">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 xml:space="preserve">“PLAZO RAZONABLE PARA RESOLVER. DIMENSIÓN Y EFECTOS DE ESTE CONCEPTO CUANDO SE ADUCE EXCESIVA CARGA DE TRABAJO.” </w:t>
      </w:r>
      <w:r w:rsidRPr="00BC66A9">
        <w:rPr>
          <w:rFonts w:ascii="Palatino Linotype" w:eastAsia="Palatino Linotype" w:hAnsi="Palatino Linotype" w:cs="Palatino Linotype"/>
          <w:color w:val="000000"/>
          <w:sz w:val="22"/>
          <w:szCs w:val="22"/>
        </w:rPr>
        <w:lastRenderedPageBreak/>
        <w:t>consultable en el Seminario Judicial de la Federación y su gaceta, con el registro digital 2002351.</w:t>
      </w:r>
    </w:p>
    <w:p w:rsidR="00C04E0E" w:rsidRPr="00BC66A9" w:rsidRDefault="00C04E0E" w:rsidP="00C04E0E">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C04E0E" w:rsidRPr="00BC66A9" w:rsidRDefault="00C04E0E" w:rsidP="00C04E0E">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olor w:val="000000"/>
          <w:sz w:val="22"/>
          <w:szCs w:val="22"/>
        </w:rPr>
      </w:pPr>
      <w:r w:rsidRPr="00BC66A9">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C04E0E" w:rsidRPr="00BC66A9" w:rsidRDefault="00C04E0E" w:rsidP="00C04E0E">
      <w:pPr>
        <w:spacing w:line="360" w:lineRule="auto"/>
        <w:rPr>
          <w:rFonts w:ascii="Palatino Linotype" w:eastAsia="Palatino Linotype" w:hAnsi="Palatino Linotype" w:cs="Palatino Linotype"/>
          <w:sz w:val="22"/>
          <w:szCs w:val="22"/>
        </w:rPr>
      </w:pPr>
    </w:p>
    <w:p w:rsidR="00C04E0E" w:rsidRPr="00BC66A9" w:rsidRDefault="00C04E0E" w:rsidP="00C04E0E">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b/>
          <w:color w:val="000000"/>
          <w:sz w:val="22"/>
          <w:szCs w:val="22"/>
        </w:rPr>
      </w:pPr>
      <w:bookmarkStart w:id="4" w:name="_heading=h.2et92p0" w:colFirst="0" w:colLast="0"/>
      <w:bookmarkEnd w:id="4"/>
      <w:r w:rsidRPr="00BC66A9">
        <w:rPr>
          <w:rFonts w:ascii="Palatino Linotype" w:eastAsia="Palatino Linotype" w:hAnsi="Palatino Linotype" w:cs="Palatino Linotype"/>
          <w:sz w:val="22"/>
          <w:szCs w:val="22"/>
        </w:rPr>
        <w:t xml:space="preserve">Seguidamente, mediante </w:t>
      </w:r>
      <w:r w:rsidRPr="00BC66A9">
        <w:rPr>
          <w:rFonts w:ascii="Palatino Linotype" w:eastAsia="Palatino Linotype" w:hAnsi="Palatino Linotype" w:cs="Palatino Linotype"/>
          <w:color w:val="000000"/>
          <w:sz w:val="22"/>
          <w:szCs w:val="22"/>
        </w:rPr>
        <w:t>acuerdo</w:t>
      </w:r>
      <w:r w:rsidRPr="00BC66A9">
        <w:rPr>
          <w:rFonts w:ascii="Palatino Linotype" w:eastAsia="Palatino Linotype" w:hAnsi="Palatino Linotype" w:cs="Palatino Linotype"/>
          <w:sz w:val="22"/>
          <w:szCs w:val="22"/>
        </w:rPr>
        <w:t xml:space="preserve"> de fecha </w:t>
      </w:r>
      <w:r w:rsidRPr="00BC66A9">
        <w:rPr>
          <w:rFonts w:ascii="Palatino Linotype" w:eastAsia="Palatino Linotype" w:hAnsi="Palatino Linotype" w:cs="Palatino Linotype"/>
          <w:b/>
          <w:sz w:val="22"/>
          <w:szCs w:val="22"/>
        </w:rPr>
        <w:t xml:space="preserve">diecisiete de febrero de dos mil veinticinco, </w:t>
      </w:r>
      <w:r w:rsidRPr="00BC66A9">
        <w:rPr>
          <w:rFonts w:ascii="Palatino Linotype" w:eastAsia="Palatino Linotype" w:hAnsi="Palatino Linotype" w:cs="Palatino Linotype"/>
          <w:sz w:val="22"/>
          <w:szCs w:val="22"/>
        </w:rPr>
        <w:t>se decretó el cierre de instrucción, por lo que no habiendo más que hacer constar, y-----------------------------------------------------------------------------------------------------------</w:t>
      </w:r>
    </w:p>
    <w:p w:rsidR="00C04E0E" w:rsidRPr="00BC66A9" w:rsidRDefault="00C04E0E" w:rsidP="00C04E0E">
      <w:pPr>
        <w:spacing w:line="360" w:lineRule="auto"/>
        <w:rPr>
          <w:rFonts w:ascii="Palatino Linotype" w:eastAsia="Palatino Linotype" w:hAnsi="Palatino Linotype" w:cs="Palatino Linotype"/>
          <w:b/>
          <w:color w:val="000000"/>
          <w:sz w:val="22"/>
          <w:szCs w:val="22"/>
        </w:rPr>
      </w:pPr>
    </w:p>
    <w:p w:rsidR="00C04E0E" w:rsidRPr="00BC66A9" w:rsidRDefault="00C04E0E" w:rsidP="00C04E0E">
      <w:pPr>
        <w:spacing w:line="360" w:lineRule="auto"/>
        <w:jc w:val="center"/>
        <w:rPr>
          <w:rFonts w:ascii="Palatino Linotype" w:eastAsia="Palatino Linotype" w:hAnsi="Palatino Linotype" w:cs="Palatino Linotype"/>
          <w:b/>
          <w:color w:val="000000"/>
          <w:sz w:val="22"/>
          <w:szCs w:val="22"/>
        </w:rPr>
      </w:pPr>
      <w:r w:rsidRPr="00BC66A9">
        <w:rPr>
          <w:rFonts w:ascii="Palatino Linotype" w:eastAsia="Palatino Linotype" w:hAnsi="Palatino Linotype" w:cs="Palatino Linotype"/>
          <w:b/>
          <w:color w:val="000000"/>
          <w:sz w:val="22"/>
          <w:szCs w:val="22"/>
        </w:rPr>
        <w:t>CONSIDERANDO</w:t>
      </w:r>
    </w:p>
    <w:p w:rsidR="00C04E0E" w:rsidRPr="00BC66A9" w:rsidRDefault="00C04E0E" w:rsidP="00C04E0E">
      <w:pPr>
        <w:spacing w:line="360" w:lineRule="auto"/>
        <w:jc w:val="center"/>
        <w:rPr>
          <w:rFonts w:ascii="Palatino Linotype" w:eastAsia="Palatino Linotype" w:hAnsi="Palatino Linotype" w:cs="Palatino Linotype"/>
          <w:b/>
          <w:color w:val="000000"/>
          <w:sz w:val="22"/>
          <w:szCs w:val="22"/>
        </w:rPr>
      </w:pPr>
    </w:p>
    <w:p w:rsidR="00C04E0E" w:rsidRPr="00BC66A9" w:rsidRDefault="00C04E0E" w:rsidP="00C04E0E">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sidRPr="00BC66A9">
        <w:rPr>
          <w:rFonts w:ascii="Palatino Linotype" w:eastAsia="Palatino Linotype" w:hAnsi="Palatino Linotype" w:cs="Palatino Linotype"/>
          <w:b/>
          <w:sz w:val="22"/>
          <w:szCs w:val="22"/>
        </w:rPr>
        <w:t>PRIMERO. De la competencia</w:t>
      </w:r>
    </w:p>
    <w:p w:rsidR="00C04E0E" w:rsidRPr="00BC66A9" w:rsidRDefault="00C04E0E" w:rsidP="00C04E0E">
      <w:pPr>
        <w:spacing w:line="360" w:lineRule="auto"/>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w:t>
      </w:r>
      <w:r w:rsidRPr="00BC66A9">
        <w:rPr>
          <w:rFonts w:ascii="Palatino Linotype" w:eastAsia="Palatino Linotype" w:hAnsi="Palatino Linotype" w:cs="Palatino Linotype"/>
          <w:color w:val="000000"/>
          <w:sz w:val="22"/>
          <w:szCs w:val="22"/>
        </w:rPr>
        <w:lastRenderedPageBreak/>
        <w:t>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C04E0E" w:rsidRPr="00BC66A9" w:rsidRDefault="00C04E0E" w:rsidP="00C04E0E">
      <w:pPr>
        <w:spacing w:line="360" w:lineRule="auto"/>
        <w:jc w:val="both"/>
        <w:rPr>
          <w:rFonts w:ascii="Palatino Linotype" w:eastAsia="Palatino Linotype" w:hAnsi="Palatino Linotype" w:cs="Palatino Linotype"/>
          <w:b/>
          <w:sz w:val="22"/>
          <w:szCs w:val="22"/>
        </w:rPr>
      </w:pPr>
    </w:p>
    <w:p w:rsidR="00C04E0E" w:rsidRPr="00BC66A9" w:rsidRDefault="00C04E0E" w:rsidP="00C04E0E">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BC66A9">
        <w:rPr>
          <w:rFonts w:ascii="Palatino Linotype" w:eastAsia="Palatino Linotype" w:hAnsi="Palatino Linotype" w:cs="Palatino Linotype"/>
          <w:b/>
          <w:sz w:val="22"/>
          <w:szCs w:val="22"/>
        </w:rPr>
        <w:t>SEGUNDO. De la oportunidad y procedencia.</w:t>
      </w:r>
    </w:p>
    <w:p w:rsidR="00C04E0E" w:rsidRPr="00BC66A9" w:rsidRDefault="00C04E0E" w:rsidP="00C04E0E">
      <w:pPr>
        <w:spacing w:line="360" w:lineRule="auto"/>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El medio de impugnación fue presentado a través del </w:t>
      </w:r>
      <w:r w:rsidRPr="00BC66A9">
        <w:rPr>
          <w:rFonts w:ascii="Palatino Linotype" w:eastAsia="Palatino Linotype" w:hAnsi="Palatino Linotype" w:cs="Palatino Linotype"/>
          <w:b/>
          <w:sz w:val="22"/>
          <w:szCs w:val="22"/>
        </w:rPr>
        <w:t>SAIMEX,</w:t>
      </w:r>
      <w:r w:rsidRPr="00BC66A9">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entregó su respuesta el </w:t>
      </w:r>
      <w:r w:rsidRPr="00BC66A9">
        <w:rPr>
          <w:rFonts w:ascii="Palatino Linotype" w:eastAsia="Palatino Linotype" w:hAnsi="Palatino Linotype" w:cs="Palatino Linotype"/>
          <w:b/>
          <w:sz w:val="22"/>
          <w:szCs w:val="22"/>
        </w:rPr>
        <w:t>diecinueve de septiembre de dos mil veinticuatro</w:t>
      </w:r>
      <w:r w:rsidRPr="00BC66A9">
        <w:rPr>
          <w:rFonts w:ascii="Palatino Linotype" w:eastAsia="Palatino Linotype" w:hAnsi="Palatino Linotype" w:cs="Palatino Linotype"/>
          <w:sz w:val="22"/>
          <w:szCs w:val="22"/>
        </w:rPr>
        <w:t xml:space="preserve">, de tal forma que el plazo para interponer el recurso de revisión transcurrió del día </w:t>
      </w:r>
      <w:r w:rsidRPr="00BC66A9">
        <w:rPr>
          <w:rFonts w:ascii="Palatino Linotype" w:eastAsia="Palatino Linotype" w:hAnsi="Palatino Linotype" w:cs="Palatino Linotype"/>
          <w:b/>
          <w:sz w:val="22"/>
          <w:szCs w:val="22"/>
        </w:rPr>
        <w:t>veinte de septiembre al once de octubre de dos mil veinticuatro</w:t>
      </w:r>
      <w:r w:rsidRPr="00BC66A9">
        <w:rPr>
          <w:rFonts w:ascii="Palatino Linotype" w:eastAsia="Palatino Linotype" w:hAnsi="Palatino Linotype" w:cs="Palatino Linotype"/>
          <w:sz w:val="22"/>
          <w:szCs w:val="22"/>
        </w:rPr>
        <w:t xml:space="preserve">; lo anterior, toda vez que hubo suspensión de actividades, en consecuencia, el ahora </w:t>
      </w:r>
      <w:r w:rsidRPr="00BC66A9">
        <w:rPr>
          <w:rFonts w:ascii="Palatino Linotype" w:eastAsia="Palatino Linotype" w:hAnsi="Palatino Linotype" w:cs="Palatino Linotype"/>
          <w:b/>
          <w:sz w:val="22"/>
          <w:szCs w:val="22"/>
        </w:rPr>
        <w:t>RECURRENTE</w:t>
      </w:r>
      <w:r w:rsidRPr="00BC66A9">
        <w:rPr>
          <w:rFonts w:ascii="Palatino Linotype" w:eastAsia="Palatino Linotype" w:hAnsi="Palatino Linotype" w:cs="Palatino Linotype"/>
          <w:sz w:val="22"/>
          <w:szCs w:val="22"/>
        </w:rPr>
        <w:t xml:space="preserve"> presentó su inconformidad el día </w:t>
      </w:r>
      <w:r w:rsidRPr="00BC66A9">
        <w:rPr>
          <w:rFonts w:ascii="Palatino Linotype" w:eastAsia="Palatino Linotype" w:hAnsi="Palatino Linotype" w:cs="Palatino Linotype"/>
          <w:b/>
          <w:sz w:val="22"/>
          <w:szCs w:val="22"/>
        </w:rPr>
        <w:t>siete de octubre de dos mil veinticuatro</w:t>
      </w:r>
      <w:r w:rsidRPr="00BC66A9">
        <w:rPr>
          <w:rFonts w:ascii="Palatino Linotype" w:eastAsia="Palatino Linotype" w:hAnsi="Palatino Linotype" w:cs="Palatino Linotype"/>
          <w:sz w:val="22"/>
          <w:szCs w:val="22"/>
        </w:rPr>
        <w:t>; por lo que se estima que la inconformidad se presentó dentro del lapso legalmente establecido para tal efecto.</w:t>
      </w:r>
    </w:p>
    <w:p w:rsidR="00C04E0E" w:rsidRPr="00BC66A9" w:rsidRDefault="00C04E0E" w:rsidP="00C04E0E">
      <w:pPr>
        <w:spacing w:line="360" w:lineRule="auto"/>
        <w:jc w:val="both"/>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04E0E" w:rsidRPr="00BC66A9" w:rsidRDefault="00C04E0E" w:rsidP="00C04E0E">
      <w:pPr>
        <w:pStyle w:val="Prrafodelista"/>
        <w:spacing w:line="360" w:lineRule="auto"/>
        <w:ind w:left="0"/>
        <w:jc w:val="both"/>
        <w:rPr>
          <w:rFonts w:ascii="Palatino Linotype" w:hAnsi="Palatino Linotype"/>
          <w:color w:val="000000" w:themeColor="text1"/>
          <w:sz w:val="22"/>
          <w:szCs w:val="22"/>
        </w:rPr>
      </w:pPr>
    </w:p>
    <w:p w:rsidR="00C04E0E" w:rsidRPr="00BC66A9" w:rsidRDefault="00C04E0E" w:rsidP="00C04E0E">
      <w:pPr>
        <w:pStyle w:val="Ttulo1"/>
        <w:spacing w:before="0" w:line="360" w:lineRule="auto"/>
        <w:rPr>
          <w:rFonts w:ascii="Palatino Linotype" w:hAnsi="Palatino Linotype"/>
          <w:b/>
          <w:color w:val="000000" w:themeColor="text1"/>
          <w:sz w:val="22"/>
          <w:szCs w:val="22"/>
        </w:rPr>
      </w:pPr>
      <w:bookmarkStart w:id="7" w:name="_Toc34246179"/>
      <w:bookmarkStart w:id="8" w:name="_Toc50033991"/>
      <w:bookmarkStart w:id="9" w:name="_Toc51259588"/>
      <w:bookmarkStart w:id="10" w:name="_Toc83128581"/>
      <w:r w:rsidRPr="00BC66A9">
        <w:rPr>
          <w:rFonts w:ascii="Palatino Linotype" w:hAnsi="Palatino Linotype"/>
          <w:b/>
          <w:color w:val="000000" w:themeColor="text1"/>
          <w:sz w:val="22"/>
          <w:szCs w:val="22"/>
        </w:rPr>
        <w:t xml:space="preserve">TERCERO. </w:t>
      </w:r>
      <w:bookmarkStart w:id="11" w:name="_Toc501021589"/>
      <w:r w:rsidRPr="00BC66A9">
        <w:rPr>
          <w:rFonts w:ascii="Palatino Linotype" w:hAnsi="Palatino Linotype"/>
          <w:b/>
          <w:color w:val="000000" w:themeColor="text1"/>
          <w:sz w:val="22"/>
          <w:szCs w:val="22"/>
        </w:rPr>
        <w:t>De las causales de sobreseimiento.</w:t>
      </w:r>
      <w:bookmarkEnd w:id="7"/>
      <w:bookmarkEnd w:id="8"/>
      <w:bookmarkEnd w:id="9"/>
      <w:bookmarkEnd w:id="10"/>
      <w:bookmarkEnd w:id="11"/>
    </w:p>
    <w:p w:rsidR="00C04E0E" w:rsidRPr="00BC66A9" w:rsidRDefault="00C04E0E" w:rsidP="00C04E0E">
      <w:pPr>
        <w:rPr>
          <w:rFonts w:ascii="Palatino Linotype" w:hAnsi="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Times New Roman" w:hAnsi="Palatino Linotype" w:cs="Arial"/>
          <w:bCs/>
          <w:sz w:val="22"/>
          <w:szCs w:val="22"/>
        </w:rPr>
      </w:pPr>
      <w:r w:rsidRPr="00BC66A9">
        <w:rPr>
          <w:rFonts w:ascii="Palatino Linotype" w:eastAsia="Times New Roman" w:hAnsi="Palatino Linotype" w:cs="Tahoma"/>
          <w:sz w:val="22"/>
          <w:szCs w:val="22"/>
        </w:rPr>
        <w:t xml:space="preserve">El artículo 192 de la </w:t>
      </w:r>
      <w:r w:rsidRPr="00BC66A9">
        <w:rPr>
          <w:rFonts w:ascii="Palatino Linotype" w:eastAsia="Calibri" w:hAnsi="Palatino Linotype" w:cs="Tahoma"/>
          <w:bCs/>
          <w:color w:val="000000"/>
          <w:sz w:val="22"/>
          <w:szCs w:val="22"/>
          <w:lang w:eastAsia="es-ES_tradnl"/>
        </w:rPr>
        <w:t xml:space="preserve">Ley Transparencia y Acceso a la Información Pública del Estado de México y </w:t>
      </w:r>
      <w:r w:rsidRPr="00BC66A9">
        <w:rPr>
          <w:rFonts w:ascii="Palatino Linotype" w:eastAsia="Calibri" w:hAnsi="Palatino Linotype" w:cs="Arial"/>
          <w:sz w:val="22"/>
          <w:szCs w:val="22"/>
        </w:rPr>
        <w:t>Municipios</w:t>
      </w:r>
      <w:r w:rsidRPr="00BC66A9">
        <w:rPr>
          <w:rFonts w:ascii="Palatino Linotype" w:eastAsia="Calibri" w:hAnsi="Palatino Linotype" w:cs="Tahoma"/>
          <w:bCs/>
          <w:color w:val="000000"/>
          <w:sz w:val="22"/>
          <w:szCs w:val="22"/>
          <w:lang w:eastAsia="es-ES_tradnl"/>
        </w:rPr>
        <w:t xml:space="preserve">, señala las causales por las cuales se puede sobreseer en todo o </w:t>
      </w:r>
      <w:r w:rsidRPr="00BC66A9">
        <w:rPr>
          <w:rFonts w:ascii="Palatino Linotype" w:eastAsia="Calibri" w:hAnsi="Palatino Linotype" w:cs="Arial"/>
          <w:sz w:val="22"/>
          <w:szCs w:val="22"/>
        </w:rPr>
        <w:t>en</w:t>
      </w:r>
      <w:r w:rsidRPr="00BC66A9">
        <w:rPr>
          <w:rFonts w:ascii="Palatino Linotype" w:eastAsia="Calibri" w:hAnsi="Palatino Linotype" w:cs="Tahoma"/>
          <w:bCs/>
          <w:color w:val="000000"/>
          <w:sz w:val="22"/>
          <w:szCs w:val="22"/>
          <w:lang w:eastAsia="es-ES_tradnl"/>
        </w:rPr>
        <w:t xml:space="preserve"> </w:t>
      </w:r>
      <w:r w:rsidRPr="00BC66A9">
        <w:rPr>
          <w:rFonts w:ascii="Palatino Linotype" w:eastAsia="Calibri" w:hAnsi="Palatino Linotype" w:cs="Tahoma"/>
          <w:bCs/>
          <w:color w:val="000000"/>
          <w:sz w:val="22"/>
          <w:szCs w:val="22"/>
          <w:lang w:eastAsia="es-ES_tradnl"/>
        </w:rPr>
        <w:lastRenderedPageBreak/>
        <w:t>parte el Recurso de Revisión;</w:t>
      </w:r>
      <w:r w:rsidRPr="00BC66A9">
        <w:rPr>
          <w:rFonts w:ascii="Palatino Linotype" w:eastAsia="Calibri" w:hAnsi="Palatino Linotype" w:cs="Tahoma"/>
          <w:sz w:val="22"/>
          <w:szCs w:val="22"/>
          <w:lang w:eastAsia="es-ES_tradnl"/>
        </w:rPr>
        <w:t xml:space="preserve"> por lo que hace a la hipótesis prevista en </w:t>
      </w:r>
      <w:r w:rsidRPr="00BC66A9">
        <w:rPr>
          <w:rFonts w:ascii="Palatino Linotype" w:eastAsia="Calibri" w:hAnsi="Palatino Linotype" w:cs="Tahoma"/>
          <w:bCs/>
          <w:sz w:val="22"/>
          <w:szCs w:val="22"/>
          <w:lang w:eastAsia="es-ES_tradnl"/>
        </w:rPr>
        <w:t>la fracción IV,</w:t>
      </w:r>
      <w:r w:rsidRPr="00BC66A9">
        <w:rPr>
          <w:rFonts w:ascii="Palatino Linotype" w:eastAsia="Calibri" w:hAnsi="Palatino Linotype" w:cs="Tahoma"/>
          <w:sz w:val="22"/>
          <w:szCs w:val="22"/>
          <w:lang w:eastAsia="es-ES_tradnl"/>
        </w:rPr>
        <w:t xml:space="preserve"> señala que una vez admitido el Recurso de Revisión, aparezca alguna causal de improcedencia en términos de la presente Ley, </w:t>
      </w:r>
      <w:r w:rsidRPr="00BC66A9">
        <w:rPr>
          <w:rFonts w:ascii="Palatino Linotype" w:eastAsia="Calibri" w:hAnsi="Palatino Linotype" w:cs="Tahoma"/>
          <w:bCs/>
          <w:sz w:val="22"/>
          <w:szCs w:val="22"/>
          <w:lang w:eastAsia="es-ES_tradnl"/>
        </w:rPr>
        <w:t>resulta necesario traer a colación</w:t>
      </w:r>
      <w:r w:rsidRPr="00BC66A9">
        <w:rPr>
          <w:rFonts w:ascii="Palatino Linotype" w:eastAsia="Calibri" w:hAnsi="Palatino Linotype" w:cs="Tahoma"/>
          <w:bCs/>
          <w:sz w:val="22"/>
          <w:szCs w:val="22"/>
          <w:lang w:val="es-ES" w:eastAsia="es-ES_tradnl"/>
        </w:rPr>
        <w:t xml:space="preserve"> el artículo 191, fracción VII, de dicho ordenamiento jurídico, que establece que el Recurso de Revisión será desechado por improcedente, cuando dicho medio no actualice alguno de los supuestos previstos en el diverso 179 de la presente Ley. </w:t>
      </w:r>
      <w:r w:rsidRPr="00BC66A9">
        <w:rPr>
          <w:rFonts w:ascii="Palatino Linotype" w:eastAsia="Times New Roman" w:hAnsi="Palatino Linotype" w:cs="Arial"/>
          <w:bCs/>
          <w:sz w:val="22"/>
          <w:szCs w:val="22"/>
        </w:rPr>
        <w:t>En ese orden de ideas, dicho artículo prevé lo siguiente:</w:t>
      </w:r>
    </w:p>
    <w:p w:rsidR="00C04E0E" w:rsidRPr="00BC66A9" w:rsidRDefault="00C04E0E" w:rsidP="00C04E0E">
      <w:pPr>
        <w:spacing w:line="360" w:lineRule="auto"/>
        <w:jc w:val="both"/>
        <w:rPr>
          <w:rFonts w:ascii="Palatino Linotype" w:eastAsia="Times New Roman" w:hAnsi="Palatino Linotype" w:cs="Arial"/>
          <w:bCs/>
          <w:sz w:val="22"/>
          <w:szCs w:val="22"/>
        </w:rPr>
      </w:pP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
          <w:bCs/>
          <w:i/>
          <w:sz w:val="22"/>
          <w:szCs w:val="22"/>
        </w:rPr>
        <w:t xml:space="preserve">“Artículo 179. </w:t>
      </w:r>
      <w:r w:rsidRPr="00BC66A9">
        <w:rPr>
          <w:rFonts w:ascii="Palatino Linotype" w:hAnsi="Palatino Linotype" w:cs="Arial"/>
          <w:bCs/>
          <w:i/>
          <w:sz w:val="22"/>
          <w:szCs w:val="22"/>
        </w:rPr>
        <w:t xml:space="preserve">El recurso de revisión es un medio de protección que la Ley otorga a los particulares, para hacer valer su derecho de acceso a la información pública, y procederá en contra de las siguientes causas: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I. La negativa a la información solicitada;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II. La clasificación de la información;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III. La declaración de inexistencia de la información;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IV. La declaración de incompetencia por el sujeto obligado;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V. La entrega de información incompleta;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VI. La entrega de información que no corresponda con lo solicitado;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VII. La falta de respuesta a una solicitud de acceso a la información;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VIII. La notificación, entrega o puesta a disposición de información en una modalidad o formato distinto al solicitado;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IX. La entrega o puesta a disposición de información en un formato incomprensible y/o no accesible para el solicitante;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X. Los costos o tiempos de entrega de la información;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XI. La falta de trámite a una solicitud;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XII. La negativa a permitir la consulta directa de la información;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 xml:space="preserve">XIII. La falta, deficiencia o insuficiencia de la fundamentación y/o motivación en la respuesta; y </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XIV. La orientación a un trámite específico.</w:t>
      </w:r>
    </w:p>
    <w:p w:rsidR="00C04E0E" w:rsidRPr="00BC66A9" w:rsidRDefault="00C04E0E" w:rsidP="00C04E0E">
      <w:pPr>
        <w:ind w:left="1134" w:right="900"/>
        <w:jc w:val="both"/>
        <w:rPr>
          <w:rFonts w:ascii="Palatino Linotype" w:hAnsi="Palatino Linotype" w:cs="Arial"/>
          <w:bCs/>
          <w:i/>
          <w:sz w:val="22"/>
          <w:szCs w:val="22"/>
        </w:rPr>
      </w:pPr>
      <w:r w:rsidRPr="00BC66A9">
        <w:rPr>
          <w:rFonts w:ascii="Palatino Linotype" w:hAnsi="Palatino Linotype" w:cs="Arial"/>
          <w:bCs/>
          <w:i/>
          <w:sz w:val="22"/>
          <w:szCs w:val="22"/>
        </w:rPr>
        <w:t>...”</w:t>
      </w:r>
    </w:p>
    <w:p w:rsidR="00C04E0E" w:rsidRPr="00BC66A9" w:rsidRDefault="00C04E0E" w:rsidP="00C04E0E">
      <w:pPr>
        <w:ind w:left="1134" w:right="900"/>
        <w:jc w:val="both"/>
        <w:rPr>
          <w:rFonts w:ascii="Palatino Linotype" w:hAnsi="Palatino Linotype" w:cs="Arial"/>
          <w:bCs/>
          <w:i/>
          <w:sz w:val="22"/>
          <w:szCs w:val="22"/>
        </w:rPr>
      </w:pPr>
    </w:p>
    <w:p w:rsidR="00C04E0E" w:rsidRPr="00BC66A9" w:rsidRDefault="00C04E0E" w:rsidP="00C04E0E">
      <w:pPr>
        <w:numPr>
          <w:ilvl w:val="0"/>
          <w:numId w:val="3"/>
        </w:numPr>
        <w:spacing w:line="360" w:lineRule="auto"/>
        <w:ind w:left="0" w:firstLine="0"/>
        <w:jc w:val="both"/>
        <w:rPr>
          <w:rFonts w:ascii="Palatino Linotype" w:hAnsi="Palatino Linotype" w:cs="Tahoma"/>
          <w:sz w:val="22"/>
          <w:szCs w:val="22"/>
          <w:lang w:val="es-ES"/>
        </w:rPr>
      </w:pPr>
      <w:r w:rsidRPr="00BC66A9">
        <w:rPr>
          <w:rFonts w:ascii="Palatino Linotype" w:hAnsi="Palatino Linotype" w:cs="Tahoma"/>
          <w:sz w:val="22"/>
          <w:szCs w:val="22"/>
          <w:lang w:val="es-ES"/>
        </w:rPr>
        <w:t xml:space="preserve">Ahora bien, el artículo 176 de la Ley de Transparencia y Acceso a la Información Pública del Estado de México y Municipios, establece que el Recurso de Revisión, es la garantía secundaria mediante la cual se pretende reparar cualquier afectación al </w:t>
      </w:r>
      <w:r w:rsidRPr="00BC66A9">
        <w:rPr>
          <w:rFonts w:ascii="Palatino Linotype" w:eastAsia="Times New Roman" w:hAnsi="Palatino Linotype" w:cs="Tahoma"/>
          <w:sz w:val="22"/>
          <w:szCs w:val="22"/>
        </w:rPr>
        <w:t>derecho</w:t>
      </w:r>
      <w:r w:rsidRPr="00BC66A9">
        <w:rPr>
          <w:rFonts w:ascii="Palatino Linotype" w:hAnsi="Palatino Linotype" w:cs="Tahoma"/>
          <w:sz w:val="22"/>
          <w:szCs w:val="22"/>
          <w:lang w:val="es-ES"/>
        </w:rPr>
        <w:t xml:space="preserve"> de acceso a la información pública.</w:t>
      </w:r>
    </w:p>
    <w:p w:rsidR="00C04E0E" w:rsidRPr="00BC66A9" w:rsidRDefault="00C04E0E" w:rsidP="00C04E0E">
      <w:pPr>
        <w:tabs>
          <w:tab w:val="left" w:pos="4962"/>
        </w:tabs>
        <w:spacing w:line="360" w:lineRule="auto"/>
        <w:jc w:val="both"/>
        <w:rPr>
          <w:rFonts w:ascii="Palatino Linotype" w:hAnsi="Palatino Linotype" w:cs="Tahoma"/>
          <w:sz w:val="22"/>
          <w:szCs w:val="22"/>
          <w:lang w:val="es-ES"/>
        </w:rPr>
      </w:pPr>
    </w:p>
    <w:p w:rsidR="00C04E0E" w:rsidRPr="00BC66A9" w:rsidRDefault="00C04E0E" w:rsidP="00C04E0E">
      <w:pPr>
        <w:numPr>
          <w:ilvl w:val="0"/>
          <w:numId w:val="3"/>
        </w:numPr>
        <w:spacing w:line="360" w:lineRule="auto"/>
        <w:ind w:left="0" w:firstLine="0"/>
        <w:jc w:val="both"/>
        <w:rPr>
          <w:rFonts w:ascii="Palatino Linotype" w:hAnsi="Palatino Linotype" w:cs="Tahoma"/>
          <w:sz w:val="22"/>
          <w:szCs w:val="22"/>
          <w:lang w:val="es-ES"/>
        </w:rPr>
      </w:pPr>
      <w:r w:rsidRPr="00BC66A9">
        <w:rPr>
          <w:rFonts w:ascii="Palatino Linotype" w:hAnsi="Palatino Linotype" w:cs="Tahoma"/>
          <w:sz w:val="22"/>
          <w:szCs w:val="22"/>
          <w:lang w:val="es-ES"/>
        </w:rPr>
        <w:t>Además, conforme al Diccionario de Transparencia y Acceso a la Información Pública y la página oficial de este Instituto (</w:t>
      </w:r>
      <w:hyperlink r:id="rId7" w:anchor="queEsRRdeIP" w:history="1">
        <w:r w:rsidRPr="00BC66A9">
          <w:rPr>
            <w:rFonts w:ascii="Palatino Linotype" w:hAnsi="Palatino Linotype" w:cs="Tahoma"/>
            <w:sz w:val="22"/>
            <w:szCs w:val="22"/>
            <w:lang w:val="es-ES"/>
          </w:rPr>
          <w:t>https://www.infoem.org.mx/es/content/informacion-publica#queEsRRdeIP</w:t>
        </w:r>
      </w:hyperlink>
      <w:r w:rsidRPr="00BC66A9">
        <w:rPr>
          <w:rFonts w:ascii="Palatino Linotype" w:hAnsi="Palatino Linotype" w:cs="Tahoma"/>
          <w:sz w:val="22"/>
          <w:szCs w:val="22"/>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C04E0E" w:rsidRPr="00BC66A9" w:rsidRDefault="00C04E0E" w:rsidP="00C04E0E">
      <w:pPr>
        <w:spacing w:line="360" w:lineRule="auto"/>
        <w:ind w:right="49"/>
        <w:contextualSpacing/>
        <w:jc w:val="both"/>
        <w:rPr>
          <w:rFonts w:ascii="Palatino Linotype" w:hAnsi="Palatino Linotype" w:cs="Tahoma"/>
          <w:sz w:val="22"/>
          <w:szCs w:val="22"/>
          <w:lang w:val="es-ES"/>
        </w:rPr>
      </w:pPr>
    </w:p>
    <w:p w:rsidR="00C04E0E" w:rsidRPr="00BC66A9" w:rsidRDefault="00C04E0E" w:rsidP="00C04E0E">
      <w:pPr>
        <w:numPr>
          <w:ilvl w:val="0"/>
          <w:numId w:val="3"/>
        </w:numPr>
        <w:spacing w:line="360" w:lineRule="auto"/>
        <w:ind w:left="0" w:firstLine="0"/>
        <w:jc w:val="both"/>
        <w:rPr>
          <w:rFonts w:ascii="Palatino Linotype" w:hAnsi="Palatino Linotype" w:cs="Tahoma"/>
          <w:sz w:val="22"/>
          <w:szCs w:val="22"/>
          <w:lang w:val="es-ES"/>
        </w:rPr>
      </w:pPr>
      <w:r w:rsidRPr="00BC66A9">
        <w:rPr>
          <w:rFonts w:ascii="Palatino Linotype" w:hAnsi="Palatino Linotype" w:cs="Tahoma"/>
          <w:sz w:val="22"/>
          <w:szCs w:val="22"/>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w:t>
      </w:r>
      <w:r w:rsidRPr="00BC66A9">
        <w:rPr>
          <w:rFonts w:ascii="Palatino Linotype" w:hAnsi="Palatino Linotype" w:cs="Tahoma"/>
          <w:b/>
          <w:sz w:val="22"/>
          <w:szCs w:val="22"/>
          <w:u w:val="single"/>
          <w:lang w:val="es-ES"/>
        </w:rPr>
        <w:t>de la contestación realizada por los Sujetos Obligados</w:t>
      </w:r>
      <w:r w:rsidRPr="00BC66A9">
        <w:rPr>
          <w:rFonts w:ascii="Palatino Linotype" w:hAnsi="Palatino Linotype" w:cs="Tahoma"/>
          <w:sz w:val="22"/>
          <w:szCs w:val="22"/>
          <w:lang w:val="es-ES"/>
        </w:rPr>
        <w:t xml:space="preserve"> </w:t>
      </w:r>
      <w:r w:rsidRPr="00BC66A9">
        <w:rPr>
          <w:rFonts w:ascii="Palatino Linotype" w:hAnsi="Palatino Linotype" w:cs="Tahoma"/>
          <w:b/>
          <w:sz w:val="22"/>
          <w:szCs w:val="22"/>
          <w:u w:val="single"/>
          <w:lang w:val="es-ES"/>
        </w:rPr>
        <w:t>a una solicitud de información específica.</w:t>
      </w:r>
    </w:p>
    <w:p w:rsidR="00C04E0E" w:rsidRPr="00BC66A9" w:rsidRDefault="00C04E0E" w:rsidP="00C04E0E">
      <w:pPr>
        <w:pStyle w:val="Prrafodelista"/>
        <w:rPr>
          <w:rFonts w:ascii="Palatino Linotype" w:hAnsi="Palatino Linotype" w:cs="Tahoma"/>
          <w:sz w:val="22"/>
          <w:szCs w:val="22"/>
          <w:lang w:val="es-ES"/>
        </w:rPr>
      </w:pPr>
    </w:p>
    <w:p w:rsidR="00C04E0E" w:rsidRPr="00BC66A9" w:rsidRDefault="00C04E0E" w:rsidP="00C04E0E">
      <w:pPr>
        <w:numPr>
          <w:ilvl w:val="0"/>
          <w:numId w:val="3"/>
        </w:numPr>
        <w:spacing w:line="360" w:lineRule="auto"/>
        <w:ind w:left="0" w:firstLine="0"/>
        <w:jc w:val="both"/>
        <w:rPr>
          <w:rFonts w:ascii="Palatino Linotype" w:hAnsi="Palatino Linotype" w:cs="Tahoma"/>
          <w:sz w:val="22"/>
          <w:szCs w:val="22"/>
          <w:lang w:val="es-ES"/>
        </w:rPr>
      </w:pPr>
      <w:r w:rsidRPr="00BC66A9">
        <w:rPr>
          <w:rFonts w:ascii="Palatino Linotype" w:hAnsi="Palatino Linotype" w:cs="Tahoma"/>
          <w:sz w:val="22"/>
          <w:szCs w:val="22"/>
          <w:lang w:val="es-ES"/>
        </w:rPr>
        <w:t>De manera preliminar en el caso concreto conviene analizar si se actualiza alguna de las causales de sobreseimiento del recurso de revisión.</w:t>
      </w:r>
    </w:p>
    <w:p w:rsidR="00C04E0E" w:rsidRPr="00BC66A9" w:rsidRDefault="00C04E0E" w:rsidP="00C04E0E">
      <w:pPr>
        <w:pStyle w:val="Prrafodelista"/>
        <w:tabs>
          <w:tab w:val="left" w:pos="426"/>
        </w:tabs>
        <w:spacing w:line="360" w:lineRule="auto"/>
        <w:ind w:left="0"/>
        <w:jc w:val="both"/>
        <w:rPr>
          <w:rFonts w:ascii="Palatino Linotype" w:hAnsi="Palatino Linotype" w:cs="Tahoma"/>
          <w:sz w:val="22"/>
          <w:szCs w:val="22"/>
          <w:lang w:val="es-ES"/>
        </w:rPr>
      </w:pPr>
    </w:p>
    <w:p w:rsidR="00C04E0E" w:rsidRPr="00BC66A9" w:rsidRDefault="00C04E0E" w:rsidP="00C04E0E">
      <w:pPr>
        <w:numPr>
          <w:ilvl w:val="0"/>
          <w:numId w:val="3"/>
        </w:numPr>
        <w:spacing w:line="360" w:lineRule="auto"/>
        <w:ind w:left="0" w:firstLine="0"/>
        <w:jc w:val="both"/>
        <w:rPr>
          <w:rFonts w:ascii="Palatino Linotype" w:hAnsi="Palatino Linotype" w:cs="Tahoma"/>
          <w:sz w:val="22"/>
          <w:szCs w:val="22"/>
          <w:lang w:val="es-ES"/>
        </w:rPr>
      </w:pPr>
      <w:r w:rsidRPr="00BC66A9">
        <w:rPr>
          <w:rFonts w:ascii="Palatino Linotype" w:hAnsi="Palatino Linotype" w:cs="Tahoma"/>
          <w:sz w:val="22"/>
          <w:szCs w:val="22"/>
          <w:lang w:val="es-ES"/>
        </w:rPr>
        <w:t xml:space="preserve">Así, del análisis de la solicitud de información motivo del recurso de revisión que ahora se resuelve, se advierte que la parte solicitante requirió al </w:t>
      </w:r>
      <w:r w:rsidRPr="00BC66A9">
        <w:rPr>
          <w:rFonts w:ascii="Palatino Linotype" w:hAnsi="Palatino Linotype" w:cs="Tahoma"/>
          <w:b/>
          <w:sz w:val="22"/>
          <w:szCs w:val="22"/>
          <w:lang w:val="es-ES"/>
        </w:rPr>
        <w:t>Sujeto Obligado</w:t>
      </w:r>
      <w:r w:rsidRPr="00BC66A9">
        <w:rPr>
          <w:rFonts w:ascii="Palatino Linotype" w:hAnsi="Palatino Linotype" w:cs="Tahoma"/>
          <w:sz w:val="22"/>
          <w:szCs w:val="22"/>
          <w:lang w:val="es-ES"/>
        </w:rPr>
        <w:t xml:space="preserve"> le proporcione información consistente en lo siguiente:</w:t>
      </w:r>
    </w:p>
    <w:p w:rsidR="00C04E0E" w:rsidRPr="00BC66A9" w:rsidRDefault="00C04E0E" w:rsidP="00C04E0E">
      <w:pPr>
        <w:pStyle w:val="Prrafodelista"/>
        <w:spacing w:line="360" w:lineRule="auto"/>
        <w:ind w:left="360" w:right="51"/>
        <w:jc w:val="both"/>
        <w:rPr>
          <w:rFonts w:ascii="Palatino Linotype" w:eastAsia="Palatino Linotype" w:hAnsi="Palatino Linotype" w:cs="Palatino Linotype"/>
          <w:sz w:val="22"/>
          <w:szCs w:val="22"/>
        </w:rPr>
      </w:pPr>
    </w:p>
    <w:p w:rsidR="00C04E0E" w:rsidRPr="00BC66A9" w:rsidRDefault="00C04E0E" w:rsidP="00C04E0E">
      <w:pPr>
        <w:pStyle w:val="Prrafodelista"/>
        <w:spacing w:before="120" w:after="120"/>
        <w:ind w:left="360" w:right="900"/>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i/>
          <w:sz w:val="22"/>
          <w:szCs w:val="22"/>
        </w:rPr>
        <w:t xml:space="preserve"> “Solicito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relevo favor de especificar. Por otro lado y debido a que no soy experta en administración pública, me permito invocar el "principio pro persona", a fin de que cualquier defecto, falta o fallo detectado en esta redacción se supla o </w:t>
      </w:r>
      <w:r w:rsidRPr="00BC66A9">
        <w:rPr>
          <w:rFonts w:ascii="Palatino Linotype" w:eastAsia="Palatino Linotype" w:hAnsi="Palatino Linotype" w:cs="Palatino Linotype"/>
          <w:i/>
          <w:sz w:val="22"/>
          <w:szCs w:val="22"/>
        </w:rPr>
        <w:lastRenderedPageBreak/>
        <w:t xml:space="preserve">complemente de buena </w:t>
      </w:r>
      <w:proofErr w:type="spellStart"/>
      <w:r w:rsidRPr="00BC66A9">
        <w:rPr>
          <w:rFonts w:ascii="Palatino Linotype" w:eastAsia="Palatino Linotype" w:hAnsi="Palatino Linotype" w:cs="Palatino Linotype"/>
          <w:i/>
          <w:sz w:val="22"/>
          <w:szCs w:val="22"/>
        </w:rPr>
        <w:t>fé</w:t>
      </w:r>
      <w:proofErr w:type="spellEnd"/>
      <w:r w:rsidRPr="00BC66A9">
        <w:rPr>
          <w:rFonts w:ascii="Palatino Linotype" w:eastAsia="Palatino Linotype" w:hAnsi="Palatino Linotype" w:cs="Palatino Linotype"/>
          <w:i/>
          <w:sz w:val="22"/>
          <w:szCs w:val="22"/>
        </w:rPr>
        <w:t xml:space="preserve"> a </w:t>
      </w:r>
      <w:proofErr w:type="spellStart"/>
      <w:r w:rsidRPr="00BC66A9">
        <w:rPr>
          <w:rFonts w:ascii="Palatino Linotype" w:eastAsia="Palatino Linotype" w:hAnsi="Palatino Linotype" w:cs="Palatino Linotype"/>
          <w:i/>
          <w:sz w:val="22"/>
          <w:szCs w:val="22"/>
        </w:rPr>
        <w:t>fn</w:t>
      </w:r>
      <w:proofErr w:type="spellEnd"/>
      <w:r w:rsidRPr="00BC66A9">
        <w:rPr>
          <w:rFonts w:ascii="Palatino Linotype" w:eastAsia="Palatino Linotype" w:hAnsi="Palatino Linotype" w:cs="Palatino Linotype"/>
          <w:i/>
          <w:sz w:val="22"/>
          <w:szCs w:val="22"/>
        </w:rPr>
        <w:t xml:space="preserve"> de cumplir a plenitud con los principios de la transparencia y se atienda mi derecho de acceso a la información. Sin más, dejo un cordial saludo. Gracias</w:t>
      </w:r>
      <w:proofErr w:type="gramStart"/>
      <w:r w:rsidRPr="00BC66A9">
        <w:rPr>
          <w:rFonts w:ascii="Palatino Linotype" w:eastAsia="Palatino Linotype" w:hAnsi="Palatino Linotype" w:cs="Palatino Linotype"/>
          <w:i/>
          <w:sz w:val="22"/>
          <w:szCs w:val="22"/>
        </w:rPr>
        <w:t>..”</w:t>
      </w:r>
      <w:proofErr w:type="gramEnd"/>
      <w:r w:rsidRPr="00BC66A9">
        <w:rPr>
          <w:rFonts w:ascii="Palatino Linotype" w:eastAsia="Palatino Linotype" w:hAnsi="Palatino Linotype" w:cs="Palatino Linotype"/>
          <w:i/>
          <w:sz w:val="22"/>
          <w:szCs w:val="22"/>
        </w:rPr>
        <w:t xml:space="preserve"> (Sic)</w:t>
      </w:r>
    </w:p>
    <w:p w:rsidR="00C04E0E" w:rsidRPr="00BC66A9" w:rsidRDefault="00C04E0E" w:rsidP="00C04E0E">
      <w:pPr>
        <w:spacing w:before="120" w:after="120"/>
        <w:ind w:right="-234"/>
        <w:jc w:val="both"/>
        <w:rPr>
          <w:rFonts w:ascii="Palatino Linotype" w:hAnsi="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En respuesta, el </w:t>
      </w:r>
      <w:r w:rsidRPr="00BC66A9">
        <w:rPr>
          <w:rFonts w:ascii="Palatino Linotype" w:eastAsia="Palatino Linotype" w:hAnsi="Palatino Linotype" w:cs="Palatino Linotype"/>
          <w:b/>
          <w:sz w:val="22"/>
          <w:szCs w:val="22"/>
        </w:rPr>
        <w:t xml:space="preserve">Sujeto Obligado </w:t>
      </w:r>
      <w:r w:rsidRPr="00BC66A9">
        <w:rPr>
          <w:rFonts w:ascii="Palatino Linotype" w:eastAsia="Palatino Linotype" w:hAnsi="Palatino Linotype" w:cs="Palatino Linotype"/>
          <w:sz w:val="22"/>
          <w:szCs w:val="22"/>
        </w:rPr>
        <w:t>hizo del conocimiento de la persona solicitante lo siguiente:</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Cuadro de Clasificación 438.pdf:</w:t>
      </w:r>
      <w:r w:rsidRPr="00BC66A9">
        <w:rPr>
          <w:rFonts w:ascii="Palatino Linotype" w:eastAsia="Palatino Linotype" w:hAnsi="Palatino Linotype" w:cs="Palatino Linotype"/>
          <w:i/>
          <w:color w:val="000000"/>
          <w:sz w:val="22"/>
          <w:szCs w:val="22"/>
        </w:rPr>
        <w:t xml:space="preserve"> cuadro de clasificación de la información del Folio de la Credencial para Votar (INE) y el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Anexo 438.pdf: </w:t>
      </w:r>
      <w:r w:rsidRPr="00BC66A9">
        <w:rPr>
          <w:rFonts w:ascii="Palatino Linotype" w:eastAsia="Palatino Linotype" w:hAnsi="Palatino Linotype" w:cs="Palatino Linotype"/>
          <w:i/>
          <w:color w:val="000000"/>
          <w:sz w:val="22"/>
          <w:szCs w:val="22"/>
        </w:rPr>
        <w:t xml:space="preserve">Acta Entrega – Recepción del mes de septiembre de dos mil veintitrés, de la cual se observa que clasificación la información del folio del INE y un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Respuesta 438.pdf: </w:t>
      </w:r>
      <w:r w:rsidRPr="00BC66A9">
        <w:rPr>
          <w:rFonts w:ascii="Palatino Linotype" w:eastAsia="Palatino Linotype" w:hAnsi="Palatino Linotype" w:cs="Palatino Linotype"/>
          <w:i/>
          <w:color w:val="000000"/>
          <w:sz w:val="22"/>
          <w:szCs w:val="22"/>
        </w:rPr>
        <w:t xml:space="preserve">oficio del Encargado de la Unidad de Información, Planeación, Programación y Evaluación y dela Unidad de Transparencia, mediante el cual informa se hace entrega de un Acta de Entrega –Recepción del periodo de su interés, de la cual refiere que se clasifico la información del folio del INE y un código de verificación. </w:t>
      </w:r>
    </w:p>
    <w:p w:rsidR="00C04E0E" w:rsidRPr="00BC66A9" w:rsidRDefault="00C04E0E" w:rsidP="00C04E0E">
      <w:pPr>
        <w:ind w:left="1134" w:right="900"/>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b/>
          <w:i/>
          <w:color w:val="000000"/>
          <w:sz w:val="22"/>
          <w:szCs w:val="22"/>
        </w:rPr>
        <w:t xml:space="preserve">Acta 33.pdf: </w:t>
      </w:r>
      <w:r w:rsidRPr="00BC66A9">
        <w:rPr>
          <w:rFonts w:ascii="Palatino Linotype" w:eastAsia="Palatino Linotype" w:hAnsi="Palatino Linotype" w:cs="Palatino Linotype"/>
          <w:i/>
          <w:color w:val="000000"/>
          <w:sz w:val="22"/>
          <w:szCs w:val="22"/>
        </w:rPr>
        <w:t xml:space="preserve">Acta de la Trigésima Sesión Extraordinaria del Comité de Transparencia, mediante el cual en el punto tres se aprueba la clasificación como confidencial de los datos concernientes del folio del INE y de un código de verificación. </w:t>
      </w:r>
    </w:p>
    <w:p w:rsidR="00C04E0E" w:rsidRPr="00BC66A9" w:rsidRDefault="00C04E0E" w:rsidP="00C04E0E">
      <w:pPr>
        <w:pStyle w:val="Prrafodelista"/>
        <w:spacing w:after="160"/>
        <w:ind w:left="360" w:right="900"/>
        <w:jc w:val="both"/>
        <w:rPr>
          <w:rFonts w:ascii="Palatino Linotype" w:eastAsia="Palatino Linotype" w:hAnsi="Palatino Linotype" w:cs="Palatino Linotype"/>
          <w:i/>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Conocida la respuesta por la persona solicitante, al no estar conforme con los términos de la misma, interpuso el recurso de revisión que nos ocupa, mediante el cual señaló: </w:t>
      </w:r>
    </w:p>
    <w:p w:rsidR="00C04E0E" w:rsidRPr="00BC66A9" w:rsidRDefault="00C04E0E" w:rsidP="00C04E0E">
      <w:pPr>
        <w:pStyle w:val="Prrafodelista"/>
        <w:spacing w:after="160" w:line="360" w:lineRule="auto"/>
        <w:ind w:left="360"/>
        <w:jc w:val="both"/>
        <w:rPr>
          <w:rFonts w:ascii="Palatino Linotype" w:eastAsia="Palatino Linotype" w:hAnsi="Palatino Linotype" w:cs="Palatino Linotype"/>
          <w:sz w:val="22"/>
          <w:szCs w:val="22"/>
        </w:rPr>
      </w:pPr>
    </w:p>
    <w:p w:rsidR="00C04E0E" w:rsidRPr="00BC66A9" w:rsidRDefault="00C04E0E" w:rsidP="0007176D">
      <w:pPr>
        <w:pStyle w:val="Prrafodelista"/>
        <w:spacing w:after="160"/>
        <w:ind w:left="1134" w:right="90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b/>
          <w:sz w:val="22"/>
          <w:szCs w:val="22"/>
        </w:rPr>
        <w:t>Acto Impugnado</w:t>
      </w:r>
      <w:r w:rsidRPr="00BC66A9">
        <w:rPr>
          <w:rFonts w:ascii="Palatino Linotype" w:eastAsia="Palatino Linotype" w:hAnsi="Palatino Linotype" w:cs="Palatino Linotype"/>
          <w:sz w:val="22"/>
          <w:szCs w:val="22"/>
        </w:rPr>
        <w:t xml:space="preserve">: </w:t>
      </w:r>
      <w:r w:rsidRPr="00BC66A9">
        <w:rPr>
          <w:rFonts w:ascii="Palatino Linotype" w:eastAsia="Palatino Linotype" w:hAnsi="Palatino Linotype" w:cs="Palatino Linotype"/>
          <w:i/>
          <w:sz w:val="22"/>
          <w:szCs w:val="22"/>
        </w:rPr>
        <w:t>“</w:t>
      </w:r>
      <w:r w:rsidR="0007176D" w:rsidRPr="00BC66A9">
        <w:rPr>
          <w:rFonts w:ascii="Palatino Linotype" w:eastAsia="Palatino Linotype" w:hAnsi="Palatino Linotype" w:cs="Palatino Linotype"/>
          <w:i/>
          <w:sz w:val="22"/>
          <w:szCs w:val="22"/>
        </w:rPr>
        <w:t xml:space="preserve">Entrega de Información incompleta, clasificada previamente como "clasificada" </w:t>
      </w:r>
      <w:proofErr w:type="spellStart"/>
      <w:r w:rsidR="0007176D" w:rsidRPr="00BC66A9">
        <w:rPr>
          <w:rFonts w:ascii="Palatino Linotype" w:eastAsia="Palatino Linotype" w:hAnsi="Palatino Linotype" w:cs="Palatino Linotype"/>
          <w:i/>
          <w:sz w:val="22"/>
          <w:szCs w:val="22"/>
        </w:rPr>
        <w:t>tecnicamente</w:t>
      </w:r>
      <w:proofErr w:type="spellEnd"/>
      <w:r w:rsidR="0007176D" w:rsidRPr="00BC66A9">
        <w:rPr>
          <w:rFonts w:ascii="Palatino Linotype" w:eastAsia="Palatino Linotype" w:hAnsi="Palatino Linotype" w:cs="Palatino Linotype"/>
          <w:i/>
          <w:sz w:val="22"/>
          <w:szCs w:val="22"/>
        </w:rPr>
        <w:t xml:space="preserve"> "para siempre" y dar mayores argumentos. La secretaria de seguridad del estado de México entregó incompleta la información solicitada, al clasificar como "información confidencial con carácter permanente" la totalidad de los archivos o anexos que integran el acta relativa a la "entrega-recepción" de la secretaria, sin proporcionar una respuesta argumentada</w:t>
      </w:r>
      <w:proofErr w:type="gramStart"/>
      <w:r w:rsidR="0007176D" w:rsidRPr="00BC66A9">
        <w:rPr>
          <w:rFonts w:ascii="Palatino Linotype" w:eastAsia="Palatino Linotype" w:hAnsi="Palatino Linotype" w:cs="Palatino Linotype"/>
          <w:i/>
          <w:sz w:val="22"/>
          <w:szCs w:val="22"/>
        </w:rPr>
        <w:t>.</w:t>
      </w:r>
      <w:r w:rsidRPr="00BC66A9">
        <w:rPr>
          <w:rFonts w:ascii="Palatino Linotype" w:eastAsia="Palatino Linotype" w:hAnsi="Palatino Linotype" w:cs="Palatino Linotype"/>
          <w:b/>
          <w:i/>
          <w:sz w:val="22"/>
          <w:szCs w:val="22"/>
          <w:u w:val="single"/>
        </w:rPr>
        <w:t>.”</w:t>
      </w:r>
      <w:proofErr w:type="gramEnd"/>
    </w:p>
    <w:p w:rsidR="00C04E0E" w:rsidRPr="00BC66A9" w:rsidRDefault="00C04E0E" w:rsidP="0007176D">
      <w:pPr>
        <w:pStyle w:val="Prrafodelista"/>
        <w:spacing w:after="160"/>
        <w:ind w:left="1134" w:right="900"/>
        <w:jc w:val="both"/>
        <w:rPr>
          <w:rFonts w:ascii="Palatino Linotype" w:eastAsia="Palatino Linotype" w:hAnsi="Palatino Linotype" w:cs="Palatino Linotype"/>
          <w:sz w:val="22"/>
          <w:szCs w:val="22"/>
        </w:rPr>
      </w:pPr>
    </w:p>
    <w:p w:rsidR="00C04E0E" w:rsidRPr="00BC66A9" w:rsidRDefault="00C04E0E" w:rsidP="0007176D">
      <w:pPr>
        <w:pStyle w:val="Prrafodelista"/>
        <w:spacing w:after="160"/>
        <w:ind w:left="1134" w:right="900"/>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b/>
          <w:sz w:val="22"/>
          <w:szCs w:val="22"/>
        </w:rPr>
        <w:t>Razones o motivos de inconformidad</w:t>
      </w:r>
      <w:r w:rsidRPr="00BC66A9">
        <w:rPr>
          <w:rFonts w:ascii="Palatino Linotype" w:eastAsia="Palatino Linotype" w:hAnsi="Palatino Linotype" w:cs="Palatino Linotype"/>
          <w:sz w:val="22"/>
          <w:szCs w:val="22"/>
        </w:rPr>
        <w:t xml:space="preserve">: </w:t>
      </w:r>
      <w:r w:rsidRPr="00BC66A9">
        <w:rPr>
          <w:rFonts w:ascii="Palatino Linotype" w:eastAsia="Palatino Linotype" w:hAnsi="Palatino Linotype" w:cs="Palatino Linotype"/>
          <w:i/>
          <w:sz w:val="22"/>
          <w:szCs w:val="22"/>
        </w:rPr>
        <w:t>“</w:t>
      </w:r>
      <w:r w:rsidR="0007176D" w:rsidRPr="00BC66A9">
        <w:rPr>
          <w:rFonts w:ascii="Palatino Linotype" w:eastAsia="Palatino Linotype" w:hAnsi="Palatino Linotype" w:cs="Palatino Linotype"/>
          <w:i/>
          <w:sz w:val="22"/>
          <w:szCs w:val="22"/>
        </w:rPr>
        <w:t xml:space="preserve">La secretaria de seguridad del estado de México entregó incompleta la información solicitada, al clasificar </w:t>
      </w:r>
      <w:r w:rsidR="0007176D" w:rsidRPr="00BC66A9">
        <w:rPr>
          <w:rFonts w:ascii="Palatino Linotype" w:eastAsia="Palatino Linotype" w:hAnsi="Palatino Linotype" w:cs="Palatino Linotype"/>
          <w:i/>
          <w:sz w:val="22"/>
          <w:szCs w:val="22"/>
        </w:rPr>
        <w:lastRenderedPageBreak/>
        <w:t xml:space="preserve">como "información confidencial con carácter permanente" la totalidad de los archivos y anexos que integran o forman parte del acta </w:t>
      </w:r>
      <w:proofErr w:type="spellStart"/>
      <w:r w:rsidR="0007176D" w:rsidRPr="00BC66A9">
        <w:rPr>
          <w:rFonts w:ascii="Palatino Linotype" w:eastAsia="Palatino Linotype" w:hAnsi="Palatino Linotype" w:cs="Palatino Linotype"/>
          <w:i/>
          <w:sz w:val="22"/>
          <w:szCs w:val="22"/>
        </w:rPr>
        <w:t>dea</w:t>
      </w:r>
      <w:proofErr w:type="spellEnd"/>
      <w:r w:rsidR="0007176D" w:rsidRPr="00BC66A9">
        <w:rPr>
          <w:rFonts w:ascii="Palatino Linotype" w:eastAsia="Palatino Linotype" w:hAnsi="Palatino Linotype" w:cs="Palatino Linotype"/>
          <w:i/>
          <w:sz w:val="22"/>
          <w:szCs w:val="22"/>
        </w:rPr>
        <w:t xml:space="preserve"> "entrega-recepción" de la secretaria y los cuales fueron solicitados con motivo del histórico cambio de gobierno del 2023, sin proporcionar una respuesta que fundamente su proceder. Si bien algunos de los archivos pudieran resultar confidenciales por la seguridad para el Estado en sí (por ejemplo lo relativo a armas, elementos, organización y fuerza disponible), otros de los archivos no, ya que implican el uso que se dio a los recursos financieros del Estado; o estado en que se deja la deuda, cierta obra pública; proyectos; situación en que se reciben los llamados </w:t>
      </w:r>
      <w:proofErr w:type="spellStart"/>
      <w:r w:rsidR="0007176D" w:rsidRPr="00BC66A9">
        <w:rPr>
          <w:rFonts w:ascii="Palatino Linotype" w:eastAsia="Palatino Linotype" w:hAnsi="Palatino Linotype" w:cs="Palatino Linotype"/>
          <w:i/>
          <w:sz w:val="22"/>
          <w:szCs w:val="22"/>
        </w:rPr>
        <w:t>PPs</w:t>
      </w:r>
      <w:proofErr w:type="spellEnd"/>
      <w:r w:rsidR="0007176D" w:rsidRPr="00BC66A9">
        <w:rPr>
          <w:rFonts w:ascii="Palatino Linotype" w:eastAsia="Palatino Linotype" w:hAnsi="Palatino Linotype" w:cs="Palatino Linotype"/>
          <w:i/>
          <w:sz w:val="22"/>
          <w:szCs w:val="22"/>
        </w:rPr>
        <w:t>; contratos en ejecución, etcétera</w:t>
      </w:r>
      <w:r w:rsidR="0007176D" w:rsidRPr="00BC66A9">
        <w:rPr>
          <w:rFonts w:ascii="Palatino Linotype" w:eastAsia="Palatino Linotype" w:hAnsi="Palatino Linotype" w:cs="Palatino Linotype"/>
          <w:b/>
          <w:i/>
          <w:sz w:val="22"/>
          <w:szCs w:val="22"/>
        </w:rPr>
        <w:t xml:space="preserve">. </w:t>
      </w:r>
      <w:r w:rsidR="0007176D" w:rsidRPr="00BC66A9">
        <w:rPr>
          <w:rFonts w:ascii="Palatino Linotype" w:eastAsia="Palatino Linotype" w:hAnsi="Palatino Linotype" w:cs="Palatino Linotype"/>
          <w:i/>
          <w:sz w:val="22"/>
          <w:szCs w:val="22"/>
        </w:rPr>
        <w:t>Por otra parte los sistemas de transparencia se hicieron para conocer en qué se gastan los recursos que son de todos. No obvio mencionar que la gobernadora Delfina Gómez ofreció un gobierno transparente para combatir la corrupción. Lo menos que esperamos los ciudadanos es congruencia. Cerrar con candado y para siempre la totalidad de los archivos, sin excepción, solo abona a más corrupción y no a la transparencia. Por ello solicito atentamente a los integrantes de este organismo, revisar el acuerdo de clasificación que se me entregó. Incluyo un "anexo" que no es anexo. Gracias por leer.</w:t>
      </w:r>
      <w:r w:rsidRPr="00BC66A9">
        <w:rPr>
          <w:rFonts w:ascii="Palatino Linotype" w:eastAsia="Palatino Linotype" w:hAnsi="Palatino Linotype" w:cs="Palatino Linotype"/>
          <w:i/>
          <w:sz w:val="22"/>
          <w:szCs w:val="22"/>
        </w:rPr>
        <w:t>”</w:t>
      </w:r>
    </w:p>
    <w:p w:rsidR="0007176D" w:rsidRPr="00BC66A9" w:rsidRDefault="0007176D" w:rsidP="0007176D">
      <w:pPr>
        <w:pStyle w:val="Prrafodelista"/>
        <w:spacing w:after="160"/>
        <w:ind w:left="1134" w:right="900"/>
        <w:jc w:val="both"/>
        <w:rPr>
          <w:rFonts w:ascii="Palatino Linotype" w:eastAsia="Palatino Linotype" w:hAnsi="Palatino Linotype" w:cs="Palatino Linotype"/>
          <w:i/>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b/>
          <w:sz w:val="22"/>
          <w:szCs w:val="22"/>
        </w:rPr>
      </w:pPr>
      <w:r w:rsidRPr="00BC66A9">
        <w:rPr>
          <w:rFonts w:ascii="Palatino Linotype" w:eastAsia="Palatino Linotype" w:hAnsi="Palatino Linotype" w:cs="Palatino Linotype"/>
          <w:sz w:val="22"/>
          <w:szCs w:val="22"/>
        </w:rPr>
        <w:t xml:space="preserve">Ahora bien, atentos a la inconformidad planteada resulta necesario señalar que </w:t>
      </w:r>
      <w:r w:rsidR="0007176D" w:rsidRPr="00BC66A9">
        <w:rPr>
          <w:rFonts w:ascii="Palatino Linotype" w:eastAsia="Palatino Linotype" w:hAnsi="Palatino Linotype" w:cs="Palatino Linotype"/>
          <w:sz w:val="22"/>
          <w:szCs w:val="22"/>
        </w:rPr>
        <w:t xml:space="preserve">la </w:t>
      </w:r>
      <w:r w:rsidR="0007176D" w:rsidRPr="00BC66A9">
        <w:rPr>
          <w:rFonts w:ascii="Palatino Linotype" w:eastAsia="Palatino Linotype" w:hAnsi="Palatino Linotype" w:cs="Palatino Linotype"/>
          <w:b/>
          <w:sz w:val="22"/>
          <w:szCs w:val="22"/>
        </w:rPr>
        <w:t xml:space="preserve">RECURRENTE </w:t>
      </w:r>
      <w:r w:rsidR="0007176D" w:rsidRPr="00BC66A9">
        <w:rPr>
          <w:rFonts w:ascii="Palatino Linotype" w:eastAsia="Palatino Linotype" w:hAnsi="Palatino Linotype" w:cs="Palatino Linotype"/>
          <w:sz w:val="22"/>
          <w:szCs w:val="22"/>
        </w:rPr>
        <w:t xml:space="preserve">no se inconformo por el Acta de Entrega-Recepción que le fue proporcionada por el </w:t>
      </w:r>
      <w:r w:rsidR="0007176D" w:rsidRPr="00BC66A9">
        <w:rPr>
          <w:rFonts w:ascii="Palatino Linotype" w:eastAsia="Palatino Linotype" w:hAnsi="Palatino Linotype" w:cs="Palatino Linotype"/>
          <w:b/>
          <w:sz w:val="22"/>
          <w:szCs w:val="22"/>
        </w:rPr>
        <w:t xml:space="preserve">SUJETO OBLIGADO, si no por los anexos de la misma de los cuales no fueron solicitados de manera inicial. </w:t>
      </w:r>
    </w:p>
    <w:p w:rsidR="00C04E0E" w:rsidRPr="00BC66A9" w:rsidRDefault="00C04E0E" w:rsidP="00C04E0E">
      <w:pPr>
        <w:pStyle w:val="Prrafodelista"/>
        <w:spacing w:after="160" w:line="360" w:lineRule="auto"/>
        <w:ind w:left="360"/>
        <w:jc w:val="both"/>
        <w:rPr>
          <w:rFonts w:ascii="Palatino Linotype" w:eastAsia="Palatino Linotype" w:hAnsi="Palatino Linotype" w:cs="Palatino Linotype"/>
          <w:b/>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En esa virtud, si bien las razones o motivos de inconformidad se encuentran fundados para la procedencia de la interposición del recurso de revisión, al encuadrar en la hipótesis normativa de la fracción </w:t>
      </w:r>
      <w:proofErr w:type="spellStart"/>
      <w:r w:rsidRPr="00BC66A9">
        <w:rPr>
          <w:rFonts w:ascii="Palatino Linotype" w:eastAsia="Palatino Linotype" w:hAnsi="Palatino Linotype" w:cs="Palatino Linotype"/>
          <w:sz w:val="22"/>
          <w:szCs w:val="22"/>
        </w:rPr>
        <w:t>I</w:t>
      </w:r>
      <w:r w:rsidR="00D67AF6" w:rsidRPr="00BC66A9">
        <w:rPr>
          <w:rFonts w:ascii="Palatino Linotype" w:eastAsia="Palatino Linotype" w:hAnsi="Palatino Linotype" w:cs="Palatino Linotype"/>
          <w:sz w:val="22"/>
          <w:szCs w:val="22"/>
        </w:rPr>
        <w:t>II</w:t>
      </w:r>
      <w:r w:rsidRPr="00BC66A9">
        <w:rPr>
          <w:rFonts w:ascii="Palatino Linotype" w:eastAsia="Palatino Linotype" w:hAnsi="Palatino Linotype" w:cs="Palatino Linotype"/>
          <w:sz w:val="22"/>
          <w:szCs w:val="22"/>
        </w:rPr>
        <w:t>del</w:t>
      </w:r>
      <w:proofErr w:type="spellEnd"/>
      <w:r w:rsidRPr="00BC66A9">
        <w:rPr>
          <w:rFonts w:ascii="Palatino Linotype" w:eastAsia="Palatino Linotype" w:hAnsi="Palatino Linotype" w:cs="Palatino Linotype"/>
          <w:sz w:val="22"/>
          <w:szCs w:val="22"/>
        </w:rPr>
        <w:t xml:space="preserve"> artículo 179 de la Ley de Transparencia Local, toda vez que se impugna la </w:t>
      </w:r>
      <w:r w:rsidR="00D67AF6" w:rsidRPr="00BC66A9">
        <w:rPr>
          <w:rFonts w:ascii="Palatino Linotype" w:eastAsia="Palatino Linotype" w:hAnsi="Palatino Linotype" w:cs="Palatino Linotype"/>
          <w:sz w:val="22"/>
          <w:szCs w:val="22"/>
        </w:rPr>
        <w:t>clasificación de la información</w:t>
      </w:r>
      <w:r w:rsidRPr="00BC66A9">
        <w:rPr>
          <w:rFonts w:ascii="Palatino Linotype" w:eastAsia="Palatino Linotype" w:hAnsi="Palatino Linotype" w:cs="Palatino Linotype"/>
          <w:sz w:val="22"/>
          <w:szCs w:val="22"/>
        </w:rPr>
        <w:t xml:space="preserve">; también lo es que los mismos resultan inoperantes en el caso particular, toda vez que como quedó acreditado en párrafos anteriores, de la respuesta del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se advierte que el </w:t>
      </w:r>
      <w:r w:rsidRPr="00BC66A9">
        <w:rPr>
          <w:rFonts w:ascii="Palatino Linotype" w:eastAsia="Palatino Linotype" w:hAnsi="Palatino Linotype" w:cs="Palatino Linotype"/>
          <w:b/>
          <w:sz w:val="22"/>
          <w:szCs w:val="22"/>
        </w:rPr>
        <w:t>RECURRENTE</w:t>
      </w:r>
      <w:r w:rsidRPr="00BC66A9">
        <w:rPr>
          <w:rFonts w:ascii="Palatino Linotype" w:eastAsia="Palatino Linotype" w:hAnsi="Palatino Linotype" w:cs="Palatino Linotype"/>
          <w:sz w:val="22"/>
          <w:szCs w:val="22"/>
        </w:rPr>
        <w:t xml:space="preserve"> se inconforma de información que no había solicitado</w:t>
      </w:r>
      <w:r w:rsidR="00D67AF6" w:rsidRPr="00BC66A9">
        <w:rPr>
          <w:rFonts w:ascii="Palatino Linotype" w:eastAsia="Palatino Linotype" w:hAnsi="Palatino Linotype" w:cs="Palatino Linotype"/>
          <w:sz w:val="22"/>
          <w:szCs w:val="22"/>
        </w:rPr>
        <w:t xml:space="preserve"> de manera inicial</w:t>
      </w:r>
      <w:r w:rsidRPr="00BC66A9">
        <w:rPr>
          <w:rFonts w:ascii="Palatino Linotype" w:eastAsia="Palatino Linotype" w:hAnsi="Palatino Linotype" w:cs="Palatino Linotype"/>
          <w:sz w:val="22"/>
          <w:szCs w:val="22"/>
        </w:rPr>
        <w:t xml:space="preserve">, además es importante recalcar que el </w:t>
      </w:r>
      <w:r w:rsidRPr="00BC66A9">
        <w:rPr>
          <w:rFonts w:ascii="Palatino Linotype" w:eastAsia="Palatino Linotype" w:hAnsi="Palatino Linotype" w:cs="Palatino Linotype"/>
          <w:b/>
          <w:sz w:val="22"/>
          <w:szCs w:val="22"/>
        </w:rPr>
        <w:t xml:space="preserve">RECURRENTE </w:t>
      </w:r>
      <w:r w:rsidRPr="00BC66A9">
        <w:rPr>
          <w:rFonts w:ascii="Palatino Linotype" w:eastAsia="Palatino Linotype" w:hAnsi="Palatino Linotype" w:cs="Palatino Linotype"/>
          <w:sz w:val="22"/>
          <w:szCs w:val="22"/>
        </w:rPr>
        <w:t>amplía su solicitud al referirse a lo siguiente</w:t>
      </w:r>
      <w:r w:rsidRPr="00BC66A9">
        <w:rPr>
          <w:rFonts w:ascii="Palatino Linotype" w:eastAsia="Palatino Linotype" w:hAnsi="Palatino Linotype" w:cs="Palatino Linotype"/>
          <w:b/>
          <w:sz w:val="22"/>
          <w:szCs w:val="22"/>
        </w:rPr>
        <w:t xml:space="preserve"> </w:t>
      </w:r>
      <w:r w:rsidRPr="00BC66A9">
        <w:rPr>
          <w:rFonts w:ascii="Palatino Linotype" w:eastAsia="Palatino Linotype" w:hAnsi="Palatino Linotype" w:cs="Palatino Linotype"/>
          <w:i/>
          <w:sz w:val="22"/>
          <w:szCs w:val="22"/>
        </w:rPr>
        <w:t>“</w:t>
      </w:r>
      <w:r w:rsidR="00D67AF6" w:rsidRPr="00BC66A9">
        <w:rPr>
          <w:rFonts w:ascii="Palatino Linotype" w:eastAsia="Palatino Linotype" w:hAnsi="Palatino Linotype" w:cs="Palatino Linotype"/>
          <w:b/>
          <w:i/>
          <w:sz w:val="22"/>
          <w:szCs w:val="22"/>
        </w:rPr>
        <w:t xml:space="preserve">Entrega de </w:t>
      </w:r>
      <w:r w:rsidR="00D67AF6" w:rsidRPr="00BC66A9">
        <w:rPr>
          <w:rFonts w:ascii="Palatino Linotype" w:eastAsia="Palatino Linotype" w:hAnsi="Palatino Linotype" w:cs="Palatino Linotype"/>
          <w:b/>
          <w:i/>
          <w:sz w:val="22"/>
          <w:szCs w:val="22"/>
        </w:rPr>
        <w:lastRenderedPageBreak/>
        <w:t xml:space="preserve">Información incompleta, clasificada previamente como "clasificada" </w:t>
      </w:r>
      <w:proofErr w:type="spellStart"/>
      <w:r w:rsidR="00D67AF6" w:rsidRPr="00BC66A9">
        <w:rPr>
          <w:rFonts w:ascii="Palatino Linotype" w:eastAsia="Palatino Linotype" w:hAnsi="Palatino Linotype" w:cs="Palatino Linotype"/>
          <w:b/>
          <w:i/>
          <w:sz w:val="22"/>
          <w:szCs w:val="22"/>
        </w:rPr>
        <w:t>tecnicamente</w:t>
      </w:r>
      <w:proofErr w:type="spellEnd"/>
      <w:r w:rsidR="00D67AF6" w:rsidRPr="00BC66A9">
        <w:rPr>
          <w:rFonts w:ascii="Palatino Linotype" w:eastAsia="Palatino Linotype" w:hAnsi="Palatino Linotype" w:cs="Palatino Linotype"/>
          <w:b/>
          <w:i/>
          <w:sz w:val="22"/>
          <w:szCs w:val="22"/>
        </w:rPr>
        <w:t xml:space="preserve"> "para siempre" y dar mayores argumentos. La secretaria de seguridad del estado de México entregó incompleta la información solicitada, al clasificar como "información confidencial con carácter permanente" la totalidad de los archivos o anexos que integran el acta relativa a la "entrega-recepción" de la secretaria, sin proporcionar una respuesta argumentada.</w:t>
      </w:r>
      <w:r w:rsidRPr="00BC66A9">
        <w:rPr>
          <w:rFonts w:ascii="Palatino Linotype" w:eastAsia="Palatino Linotype" w:hAnsi="Palatino Linotype" w:cs="Palatino Linotype"/>
          <w:b/>
          <w:i/>
          <w:sz w:val="22"/>
          <w:szCs w:val="22"/>
        </w:rPr>
        <w:t>”</w:t>
      </w:r>
      <w:r w:rsidRPr="00BC66A9">
        <w:rPr>
          <w:rFonts w:ascii="Palatino Linotype" w:eastAsia="Palatino Linotype" w:hAnsi="Palatino Linotype" w:cs="Palatino Linotype"/>
          <w:b/>
          <w:sz w:val="22"/>
          <w:szCs w:val="22"/>
        </w:rPr>
        <w:t xml:space="preserve"> </w:t>
      </w:r>
      <w:r w:rsidRPr="00BC66A9">
        <w:rPr>
          <w:rFonts w:ascii="Palatino Linotype" w:eastAsia="Palatino Linotype" w:hAnsi="Palatino Linotype" w:cs="Palatino Linotype"/>
          <w:sz w:val="22"/>
          <w:szCs w:val="22"/>
        </w:rPr>
        <w:t xml:space="preserve">por lo que de esta manera se entiende y observa la ampliación de la solicitud inicial que consistía en </w:t>
      </w:r>
      <w:r w:rsidRPr="00BC66A9">
        <w:rPr>
          <w:rFonts w:ascii="Palatino Linotype" w:eastAsia="Palatino Linotype" w:hAnsi="Palatino Linotype" w:cs="Palatino Linotype"/>
          <w:b/>
          <w:i/>
          <w:sz w:val="22"/>
          <w:szCs w:val="22"/>
        </w:rPr>
        <w:t>“</w:t>
      </w:r>
      <w:r w:rsidR="001C499F" w:rsidRPr="00BC66A9">
        <w:rPr>
          <w:rFonts w:ascii="Palatino Linotype" w:eastAsia="Palatino Linotype" w:hAnsi="Palatino Linotype" w:cs="Palatino Linotype"/>
          <w:b/>
          <w:i/>
          <w:sz w:val="22"/>
          <w:szCs w:val="22"/>
        </w:rPr>
        <w:t xml:space="preserve">Solicito copia de las actas de "entrega-recepción" que se firmaron con el relevo o cambio en la administración pública en septiembre del 2023 y que tuvieron que signarse entre los nuevos titulares administrativos y los anteriores en esa oficina pública. De no haberse realizado un relevo favor de especificar. Por otro lado y debido a que no soy experta en administración pública, me permito invocar el "principio pro persona", a fin de que cualquier defecto, falta o fallo detectado en esta redacción se supla o complemente de buena </w:t>
      </w:r>
      <w:proofErr w:type="spellStart"/>
      <w:r w:rsidR="001C499F" w:rsidRPr="00BC66A9">
        <w:rPr>
          <w:rFonts w:ascii="Palatino Linotype" w:eastAsia="Palatino Linotype" w:hAnsi="Palatino Linotype" w:cs="Palatino Linotype"/>
          <w:b/>
          <w:i/>
          <w:sz w:val="22"/>
          <w:szCs w:val="22"/>
        </w:rPr>
        <w:t>fé</w:t>
      </w:r>
      <w:proofErr w:type="spellEnd"/>
      <w:r w:rsidR="001C499F" w:rsidRPr="00BC66A9">
        <w:rPr>
          <w:rFonts w:ascii="Palatino Linotype" w:eastAsia="Palatino Linotype" w:hAnsi="Palatino Linotype" w:cs="Palatino Linotype"/>
          <w:b/>
          <w:i/>
          <w:sz w:val="22"/>
          <w:szCs w:val="22"/>
        </w:rPr>
        <w:t xml:space="preserve"> a </w:t>
      </w:r>
      <w:proofErr w:type="spellStart"/>
      <w:r w:rsidR="001C499F" w:rsidRPr="00BC66A9">
        <w:rPr>
          <w:rFonts w:ascii="Palatino Linotype" w:eastAsia="Palatino Linotype" w:hAnsi="Palatino Linotype" w:cs="Palatino Linotype"/>
          <w:b/>
          <w:i/>
          <w:sz w:val="22"/>
          <w:szCs w:val="22"/>
        </w:rPr>
        <w:t>fn</w:t>
      </w:r>
      <w:proofErr w:type="spellEnd"/>
      <w:r w:rsidR="001C499F" w:rsidRPr="00BC66A9">
        <w:rPr>
          <w:rFonts w:ascii="Palatino Linotype" w:eastAsia="Palatino Linotype" w:hAnsi="Palatino Linotype" w:cs="Palatino Linotype"/>
          <w:b/>
          <w:i/>
          <w:sz w:val="22"/>
          <w:szCs w:val="22"/>
        </w:rPr>
        <w:t xml:space="preserve"> de cumplir a plenitud con los principios de la transparencia y se atienda mi derecho de acceso a la información. Sin más, dejo un cordial saludo. Gracias.</w:t>
      </w:r>
      <w:r w:rsidRPr="00BC66A9">
        <w:rPr>
          <w:rFonts w:ascii="Palatino Linotype" w:eastAsia="Palatino Linotype" w:hAnsi="Palatino Linotype" w:cs="Palatino Linotype"/>
          <w:b/>
          <w:i/>
          <w:sz w:val="22"/>
          <w:szCs w:val="22"/>
        </w:rPr>
        <w:t>”</w:t>
      </w:r>
    </w:p>
    <w:p w:rsidR="00C04E0E" w:rsidRPr="00BC66A9" w:rsidRDefault="00C04E0E" w:rsidP="00C04E0E">
      <w:pPr>
        <w:pStyle w:val="Prrafodelista"/>
        <w:rPr>
          <w:rFonts w:ascii="Palatino Linotype" w:eastAsia="Palatino Linotype" w:hAnsi="Palatino Linotype" w:cs="Palatino Linotype"/>
          <w:sz w:val="22"/>
          <w:szCs w:val="22"/>
        </w:rPr>
      </w:pPr>
    </w:p>
    <w:p w:rsidR="001C499F" w:rsidRPr="00BC66A9" w:rsidRDefault="00C04E0E" w:rsidP="001C499F">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En ese orden de ideas, podemos llegar a la conclusión de la inexistencia del acto reclamado, al acreditarse con las constancias que integran el expediente, que 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en ningún momento se refirió la respuesta del Servidor Público  Habilitado, además de que como ya quedó asentado en el párrafo anterior el hoy </w:t>
      </w:r>
      <w:r w:rsidRPr="00BC66A9">
        <w:rPr>
          <w:rFonts w:ascii="Palatino Linotype" w:eastAsia="Palatino Linotype" w:hAnsi="Palatino Linotype" w:cs="Palatino Linotype"/>
          <w:b/>
          <w:sz w:val="22"/>
          <w:szCs w:val="22"/>
        </w:rPr>
        <w:t xml:space="preserve">RECURRENTE </w:t>
      </w:r>
      <w:r w:rsidRPr="00BC66A9">
        <w:rPr>
          <w:rFonts w:ascii="Palatino Linotype" w:eastAsia="Palatino Linotype" w:hAnsi="Palatino Linotype" w:cs="Palatino Linotype"/>
          <w:sz w:val="22"/>
          <w:szCs w:val="22"/>
        </w:rPr>
        <w:t xml:space="preserve">amplio la solicitud de información al solicitar los </w:t>
      </w:r>
      <w:r w:rsidR="001C499F" w:rsidRPr="00BC66A9">
        <w:rPr>
          <w:rFonts w:ascii="Palatino Linotype" w:eastAsia="Palatino Linotype" w:hAnsi="Palatino Linotype" w:cs="Palatino Linotype"/>
          <w:sz w:val="22"/>
          <w:szCs w:val="22"/>
        </w:rPr>
        <w:t>anexos del Acta de entrega –recepción remitida en respuesta inicial</w:t>
      </w:r>
      <w:r w:rsidRPr="00BC66A9">
        <w:rPr>
          <w:rFonts w:ascii="Palatino Linotype" w:eastAsia="Palatino Linotype" w:hAnsi="Palatino Linotype" w:cs="Palatino Linotype"/>
          <w:sz w:val="22"/>
          <w:szCs w:val="22"/>
        </w:rPr>
        <w:t>.</w:t>
      </w:r>
    </w:p>
    <w:p w:rsidR="001C499F" w:rsidRPr="00BC66A9" w:rsidRDefault="001C499F" w:rsidP="001C499F">
      <w:pPr>
        <w:pStyle w:val="Prrafodelista"/>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Por consiguiente, en estricto derecho, la alegación de la parte </w:t>
      </w:r>
      <w:r w:rsidRPr="00BC66A9">
        <w:rPr>
          <w:rFonts w:ascii="Palatino Linotype" w:eastAsia="Palatino Linotype" w:hAnsi="Palatino Linotype" w:cs="Palatino Linotype"/>
          <w:b/>
          <w:sz w:val="22"/>
          <w:szCs w:val="22"/>
        </w:rPr>
        <w:t>Recurrente</w:t>
      </w:r>
      <w:r w:rsidRPr="00BC66A9">
        <w:rPr>
          <w:rFonts w:ascii="Palatino Linotype" w:eastAsia="Palatino Linotype" w:hAnsi="Palatino Linotype" w:cs="Palatino Linotype"/>
          <w:sz w:val="22"/>
          <w:szCs w:val="22"/>
        </w:rPr>
        <w:t xml:space="preserve"> se limita a realizar manifestaciones sin sustento, las cuales han quedado demostradas, por ello se califican de inoperantes; quedando sin materia el presente recurso de revisión, resultando necesario traer a colación la Tesis Aislada con número de registro 2017549, de rubro y texto siguiente:</w:t>
      </w:r>
    </w:p>
    <w:p w:rsidR="00C04E0E" w:rsidRPr="00BC66A9" w:rsidRDefault="00C04E0E" w:rsidP="00C04E0E">
      <w:pPr>
        <w:pStyle w:val="Prrafodelista"/>
        <w:spacing w:before="240" w:after="240" w:line="360" w:lineRule="auto"/>
        <w:ind w:left="360"/>
        <w:jc w:val="both"/>
        <w:rPr>
          <w:rFonts w:ascii="Palatino Linotype" w:eastAsia="Palatino Linotype" w:hAnsi="Palatino Linotype" w:cs="Palatino Linotype"/>
          <w:sz w:val="22"/>
          <w:szCs w:val="22"/>
        </w:rPr>
      </w:pPr>
    </w:p>
    <w:p w:rsidR="00C04E0E" w:rsidRPr="00BC66A9" w:rsidRDefault="00C04E0E" w:rsidP="001C499F">
      <w:pPr>
        <w:pStyle w:val="Prrafodelista"/>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r w:rsidRPr="00BC66A9">
        <w:rPr>
          <w:rFonts w:ascii="Palatino Linotype" w:eastAsia="Palatino Linotype" w:hAnsi="Palatino Linotype" w:cs="Palatino Linotype"/>
          <w:i/>
          <w:color w:val="000000"/>
          <w:sz w:val="22"/>
          <w:szCs w:val="22"/>
        </w:rPr>
        <w:t>“</w:t>
      </w:r>
      <w:r w:rsidRPr="00BC66A9">
        <w:rPr>
          <w:rFonts w:ascii="Palatino Linotype" w:eastAsia="Palatino Linotype" w:hAnsi="Palatino Linotype" w:cs="Palatino Linotype"/>
          <w:b/>
          <w:i/>
          <w:color w:val="000000"/>
          <w:sz w:val="22"/>
          <w:szCs w:val="22"/>
        </w:rPr>
        <w:t>INEXISTENCIA DE LOS ACTOS RECLAMADOS EN EL AMPARO. NO ES UN MOTIVO MANIFIESTO E INDUDABLE DE IMPROCEDENCIA QUE DÉ LUGAR AL DESECHAMIENTO DE LA DEMANDA, SINO QUE CONSTITUYE UNA CAUSAL DE SOBRESEIMIENTO EN EL JUICIO</w:t>
      </w:r>
      <w:r w:rsidRPr="00BC66A9">
        <w:rPr>
          <w:rFonts w:ascii="Palatino Linotype" w:eastAsia="Palatino Linotype" w:hAnsi="Palatino Linotype" w:cs="Palatino Linotype"/>
          <w:i/>
          <w:color w:val="000000"/>
          <w:sz w:val="22"/>
          <w:szCs w:val="22"/>
        </w:rPr>
        <w:t>. Conforme al artículo 63, fracción IV, de la Ley de Amparo, la inexistencia de los actos reclamados es una causal de sobreseimiento,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rsidR="00C04E0E" w:rsidRPr="00BC66A9" w:rsidRDefault="00C04E0E" w:rsidP="001C499F">
      <w:pPr>
        <w:pStyle w:val="Prrafodelista"/>
        <w:pBdr>
          <w:top w:val="nil"/>
          <w:left w:val="nil"/>
          <w:bottom w:val="nil"/>
          <w:right w:val="nil"/>
          <w:between w:val="nil"/>
        </w:pBdr>
        <w:spacing w:before="120" w:after="120"/>
        <w:ind w:left="1134" w:right="902"/>
        <w:jc w:val="both"/>
        <w:rPr>
          <w:rFonts w:ascii="Palatino Linotype" w:eastAsia="Palatino Linotype" w:hAnsi="Palatino Linotype" w:cs="Palatino Linotype"/>
          <w:i/>
          <w:color w:val="000000"/>
          <w:sz w:val="22"/>
          <w:szCs w:val="22"/>
        </w:rPr>
      </w:pPr>
    </w:p>
    <w:p w:rsidR="00C04E0E" w:rsidRPr="00BC66A9" w:rsidRDefault="00C04E0E" w:rsidP="001C499F">
      <w:pPr>
        <w:numPr>
          <w:ilvl w:val="0"/>
          <w:numId w:val="3"/>
        </w:numPr>
        <w:spacing w:line="360" w:lineRule="auto"/>
        <w:ind w:left="0" w:firstLine="0"/>
        <w:jc w:val="both"/>
        <w:rPr>
          <w:rFonts w:ascii="Palatino Linotype" w:eastAsia="Palatino Linotype" w:hAnsi="Palatino Linotype" w:cs="Palatino Linotype"/>
          <w:color w:val="000000"/>
          <w:sz w:val="22"/>
          <w:szCs w:val="22"/>
        </w:rPr>
      </w:pPr>
      <w:r w:rsidRPr="00BC66A9">
        <w:rPr>
          <w:rFonts w:ascii="Palatino Linotype" w:eastAsia="Palatino Linotype" w:hAnsi="Palatino Linotype" w:cs="Palatino Linotype"/>
          <w:sz w:val="22"/>
          <w:szCs w:val="22"/>
        </w:rPr>
        <w:t>La</w:t>
      </w:r>
      <w:r w:rsidRPr="00BC66A9">
        <w:rPr>
          <w:rFonts w:ascii="Palatino Linotype" w:eastAsia="Palatino Linotype" w:hAnsi="Palatino Linotype" w:cs="Palatino Linotype"/>
          <w:color w:val="000000"/>
          <w:sz w:val="22"/>
          <w:szCs w:val="22"/>
        </w:rPr>
        <w:t xml:space="preserve"> cual constituye un criterio orientador para este Organismo Garante, que pone en aptitudes de poder sobreseer el presente recurso de revisión, lo que en el caso particular, se tiene por acreditada la inexistencia del acto reclamado, quedando sin materia el presente asunto.</w:t>
      </w:r>
    </w:p>
    <w:p w:rsidR="001C499F" w:rsidRPr="00BC66A9" w:rsidRDefault="001C499F" w:rsidP="001C499F">
      <w:pPr>
        <w:spacing w:line="360" w:lineRule="auto"/>
        <w:jc w:val="both"/>
        <w:rPr>
          <w:rFonts w:ascii="Palatino Linotype" w:eastAsia="Palatino Linotype" w:hAnsi="Palatino Linotype" w:cs="Palatino Linotype"/>
          <w:color w:val="000000"/>
          <w:sz w:val="22"/>
          <w:szCs w:val="22"/>
        </w:rPr>
      </w:pPr>
    </w:p>
    <w:p w:rsidR="00C04E0E" w:rsidRPr="00BC66A9" w:rsidRDefault="00C04E0E" w:rsidP="001C499F">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Derivado</w:t>
      </w:r>
      <w:r w:rsidRPr="00BC66A9">
        <w:rPr>
          <w:rFonts w:ascii="Palatino Linotype" w:eastAsia="Palatino Linotype" w:hAnsi="Palatino Linotype" w:cs="Palatino Linotype"/>
          <w:color w:val="000000"/>
          <w:sz w:val="22"/>
          <w:szCs w:val="22"/>
        </w:rPr>
        <w:t xml:space="preserve"> de lo expuesto, es necesario hacer del conocimiento de la persona solicitante que, de la simple lectura a su Recurso de Revisión, </w:t>
      </w:r>
      <w:r w:rsidRPr="00BC66A9">
        <w:rPr>
          <w:rFonts w:ascii="Palatino Linotype" w:eastAsia="Palatino Linotype" w:hAnsi="Palatino Linotype" w:cs="Palatino Linotype"/>
          <w:sz w:val="22"/>
          <w:szCs w:val="22"/>
        </w:rPr>
        <w:t>se desprende que</w:t>
      </w:r>
      <w:r w:rsidRPr="00BC66A9">
        <w:rPr>
          <w:rFonts w:ascii="Palatino Linotype" w:eastAsia="Palatino Linotype" w:hAnsi="Palatino Linotype" w:cs="Palatino Linotype"/>
          <w:b/>
          <w:sz w:val="22"/>
          <w:szCs w:val="22"/>
          <w:u w:val="single"/>
        </w:rPr>
        <w:t xml:space="preserve"> las razones o motivos de inconformidad hechas valer, no corresponden con la respuesta del Sujeto Obligado para atender su requerimiento de información,</w:t>
      </w:r>
      <w:r w:rsidRPr="00BC66A9">
        <w:rPr>
          <w:rFonts w:ascii="Palatino Linotype" w:eastAsia="Palatino Linotype" w:hAnsi="Palatino Linotype" w:cs="Palatino Linotype"/>
          <w:sz w:val="22"/>
          <w:szCs w:val="22"/>
        </w:rPr>
        <w:t xml:space="preserve">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rsidR="001C499F" w:rsidRPr="00BC66A9" w:rsidRDefault="001C499F" w:rsidP="001C499F">
      <w:pPr>
        <w:pStyle w:val="Prrafodelista"/>
        <w:rPr>
          <w:rFonts w:ascii="Palatino Linotype" w:eastAsia="Palatino Linotype" w:hAnsi="Palatino Linotype" w:cs="Palatino Linotype"/>
          <w:sz w:val="22"/>
          <w:szCs w:val="22"/>
        </w:rPr>
      </w:pPr>
    </w:p>
    <w:p w:rsidR="001C499F" w:rsidRPr="00BC66A9" w:rsidRDefault="001C499F" w:rsidP="001C499F">
      <w:pPr>
        <w:spacing w:line="360" w:lineRule="auto"/>
        <w:jc w:val="both"/>
        <w:rPr>
          <w:rFonts w:ascii="Palatino Linotype" w:eastAsia="Palatino Linotype" w:hAnsi="Palatino Linotype" w:cs="Palatino Linotype"/>
          <w:sz w:val="22"/>
          <w:szCs w:val="22"/>
        </w:rPr>
      </w:pPr>
    </w:p>
    <w:p w:rsidR="001C499F" w:rsidRPr="00BC66A9" w:rsidRDefault="001C499F" w:rsidP="001C499F">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Por último, en los motivos de inconformidad la </w:t>
      </w:r>
      <w:r w:rsidRPr="00BC66A9">
        <w:rPr>
          <w:rFonts w:ascii="Palatino Linotype" w:eastAsia="Palatino Linotype" w:hAnsi="Palatino Linotype" w:cs="Palatino Linotype"/>
          <w:b/>
          <w:sz w:val="22"/>
          <w:szCs w:val="22"/>
        </w:rPr>
        <w:t xml:space="preserve">RECURRENTE </w:t>
      </w:r>
      <w:r w:rsidRPr="00BC66A9">
        <w:rPr>
          <w:rFonts w:ascii="Palatino Linotype" w:eastAsia="Palatino Linotype" w:hAnsi="Palatino Linotype" w:cs="Palatino Linotype"/>
          <w:sz w:val="22"/>
          <w:szCs w:val="22"/>
        </w:rPr>
        <w:t xml:space="preserve">refiere lo siguiente </w:t>
      </w:r>
      <w:proofErr w:type="gramStart"/>
      <w:r w:rsidRPr="00BC66A9">
        <w:rPr>
          <w:rFonts w:ascii="Palatino Linotype" w:eastAsia="Palatino Linotype" w:hAnsi="Palatino Linotype" w:cs="Palatino Linotype"/>
          <w:i/>
          <w:sz w:val="22"/>
          <w:szCs w:val="22"/>
        </w:rPr>
        <w:t>“ Por</w:t>
      </w:r>
      <w:proofErr w:type="gramEnd"/>
      <w:r w:rsidRPr="00BC66A9">
        <w:rPr>
          <w:rFonts w:ascii="Palatino Linotype" w:eastAsia="Palatino Linotype" w:hAnsi="Palatino Linotype" w:cs="Palatino Linotype"/>
          <w:i/>
          <w:sz w:val="22"/>
          <w:szCs w:val="22"/>
        </w:rPr>
        <w:t xml:space="preserve"> otra parte los sistemas de transparencia se hicieron para conocer en qué se gastan los recursos que son de todos. No obvio mencionar que la gobernadora Delfina Gómez ofreció un gobierno </w:t>
      </w:r>
      <w:r w:rsidRPr="00BC66A9">
        <w:rPr>
          <w:rFonts w:ascii="Palatino Linotype" w:eastAsia="Palatino Linotype" w:hAnsi="Palatino Linotype" w:cs="Palatino Linotype"/>
          <w:i/>
          <w:sz w:val="22"/>
          <w:szCs w:val="22"/>
        </w:rPr>
        <w:lastRenderedPageBreak/>
        <w:t xml:space="preserve">transparente para combatir la corrupción. Lo menos que esperamos los ciudadanos es congruencia. Cerrar con candado y para siempre la totalidad de los archivos, sin excepción, solo abona a más corrupción y no a la transparencia. Por ello solicito atentamente a los integrantes de este organismo, revisar el acuerdo de clasificación que se me entregó. Incluyo un "anexo" que no es anexo. Gracias por leer.”, </w:t>
      </w:r>
      <w:r w:rsidRPr="00BC66A9">
        <w:rPr>
          <w:rFonts w:ascii="Palatino Linotype" w:eastAsia="Palatino Linotype" w:hAnsi="Palatino Linotype" w:cs="Palatino Linotype"/>
          <w:sz w:val="22"/>
          <w:szCs w:val="22"/>
        </w:rPr>
        <w:t xml:space="preserve">situación de la cual se deben de tomar como  manifestaciones subjetivas, de acuerdo don lo siguiente. </w:t>
      </w:r>
    </w:p>
    <w:p w:rsidR="001C499F" w:rsidRPr="00BC66A9" w:rsidRDefault="001C499F" w:rsidP="001C499F">
      <w:pPr>
        <w:spacing w:line="360" w:lineRule="auto"/>
        <w:jc w:val="both"/>
        <w:rPr>
          <w:rFonts w:ascii="Palatino Linotype" w:eastAsia="Palatino Linotype" w:hAnsi="Palatino Linotype" w:cs="Palatino Linotype"/>
          <w:sz w:val="22"/>
          <w:szCs w:val="22"/>
        </w:rPr>
      </w:pPr>
    </w:p>
    <w:p w:rsidR="001C499F" w:rsidRPr="00BC66A9" w:rsidRDefault="001C499F" w:rsidP="001C499F">
      <w:pPr>
        <w:numPr>
          <w:ilvl w:val="0"/>
          <w:numId w:val="3"/>
        </w:numPr>
        <w:spacing w:line="360" w:lineRule="auto"/>
        <w:ind w:left="0" w:firstLine="0"/>
        <w:jc w:val="both"/>
        <w:rPr>
          <w:rFonts w:ascii="Palatino Linotype" w:eastAsia="MS Mincho" w:hAnsi="Palatino Linotype" w:cs="Times New Roman"/>
          <w:sz w:val="22"/>
          <w:szCs w:val="22"/>
        </w:rPr>
      </w:pPr>
      <w:r w:rsidRPr="00BC66A9">
        <w:rPr>
          <w:rFonts w:ascii="Palatino Linotype" w:eastAsia="MS Mincho" w:hAnsi="Palatino Linotype" w:cs="Times New Roman"/>
          <w:sz w:val="22"/>
          <w:szCs w:val="22"/>
        </w:rPr>
        <w:t>De lo anteriormente expuesto, se puede</w:t>
      </w:r>
      <w:r w:rsidR="002044DF" w:rsidRPr="00BC66A9">
        <w:rPr>
          <w:rFonts w:ascii="Palatino Linotype" w:eastAsia="MS Mincho" w:hAnsi="Palatino Linotype" w:cs="Times New Roman"/>
          <w:sz w:val="22"/>
          <w:szCs w:val="22"/>
        </w:rPr>
        <w:t xml:space="preserve"> apreciar a simple vista que la inconformidad efectivamente no constituye</w:t>
      </w:r>
      <w:r w:rsidRPr="00BC66A9">
        <w:rPr>
          <w:rFonts w:ascii="Palatino Linotype" w:eastAsia="MS Mincho" w:hAnsi="Palatino Linotype" w:cs="Times New Roman"/>
          <w:sz w:val="22"/>
          <w:szCs w:val="22"/>
        </w:rPr>
        <w:t xml:space="preserve"> un derecho de acceso a la información pública, porque se tratan de manifestac</w:t>
      </w:r>
      <w:r w:rsidR="002044DF" w:rsidRPr="00BC66A9">
        <w:rPr>
          <w:rFonts w:ascii="Palatino Linotype" w:eastAsia="MS Mincho" w:hAnsi="Palatino Linotype" w:cs="Times New Roman"/>
          <w:sz w:val="22"/>
          <w:szCs w:val="22"/>
        </w:rPr>
        <w:t>iones subjetivas vertidas por la</w:t>
      </w:r>
      <w:r w:rsidRPr="00BC66A9">
        <w:rPr>
          <w:rFonts w:ascii="Palatino Linotype" w:eastAsia="MS Mincho" w:hAnsi="Palatino Linotype" w:cs="Times New Roman"/>
          <w:sz w:val="22"/>
          <w:szCs w:val="22"/>
        </w:rPr>
        <w:t xml:space="preserve"> particular, interrogantes y declaraciones que no se colman con la entrega de documentos, situación que conlleva a afirmar que se está en presencia del ejercicio del derecho de petición.</w:t>
      </w:r>
    </w:p>
    <w:p w:rsidR="001C499F" w:rsidRPr="00BC66A9" w:rsidRDefault="001C499F" w:rsidP="001C499F">
      <w:pPr>
        <w:pStyle w:val="Prrafodelista"/>
        <w:rPr>
          <w:rFonts w:ascii="Palatino Linotype" w:eastAsia="MS Mincho" w:hAnsi="Palatino Linotype" w:cs="Times New Roman"/>
          <w:sz w:val="22"/>
          <w:szCs w:val="22"/>
        </w:rPr>
      </w:pPr>
    </w:p>
    <w:p w:rsidR="001C499F" w:rsidRPr="00BC66A9" w:rsidRDefault="001C499F" w:rsidP="001C499F">
      <w:pPr>
        <w:numPr>
          <w:ilvl w:val="0"/>
          <w:numId w:val="3"/>
        </w:numPr>
        <w:spacing w:line="360" w:lineRule="auto"/>
        <w:ind w:left="0" w:firstLine="0"/>
        <w:jc w:val="both"/>
        <w:rPr>
          <w:rFonts w:ascii="Palatino Linotype" w:eastAsia="MS Mincho" w:hAnsi="Palatino Linotype" w:cs="Times New Roman"/>
          <w:sz w:val="22"/>
          <w:szCs w:val="22"/>
        </w:rPr>
      </w:pPr>
      <w:r w:rsidRPr="00BC66A9">
        <w:rPr>
          <w:rFonts w:ascii="Palatino Linotype" w:eastAsia="MS Mincho" w:hAnsi="Palatino Linotype" w:cs="Times New Roman"/>
          <w:sz w:val="22"/>
          <w:szCs w:val="22"/>
        </w:rPr>
        <w:t xml:space="preserve">Por lo que la entrega de una razón o un razonamiento por parte del Sujeto </w:t>
      </w:r>
      <w:r w:rsidRPr="00BC66A9">
        <w:rPr>
          <w:rFonts w:ascii="Palatino Linotype" w:eastAsia="Palatino Linotype" w:hAnsi="Palatino Linotype" w:cs="Palatino Linotype"/>
          <w:sz w:val="22"/>
          <w:szCs w:val="22"/>
        </w:rPr>
        <w:t>Obligado</w:t>
      </w:r>
      <w:r w:rsidRPr="00BC66A9">
        <w:rPr>
          <w:rFonts w:ascii="Palatino Linotype" w:eastAsia="MS Mincho" w:hAnsi="Palatino Linotype" w:cs="Times New Roman"/>
          <w:sz w:val="22"/>
          <w:szCs w:val="22"/>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1C499F" w:rsidRPr="00BC66A9" w:rsidRDefault="001C499F" w:rsidP="001C499F">
      <w:pPr>
        <w:rPr>
          <w:rFonts w:ascii="Palatino Linotype" w:eastAsia="Palatino Linotype" w:hAnsi="Palatino Linotype" w:cs="Palatino Linotype"/>
          <w:sz w:val="22"/>
          <w:szCs w:val="22"/>
        </w:rPr>
      </w:pPr>
    </w:p>
    <w:p w:rsidR="00C04E0E" w:rsidRPr="00BC66A9" w:rsidRDefault="00C04E0E" w:rsidP="001C499F">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Por tales circunstancias, este Instituto se encuentra impedido a entrar al estudio de fondo, en virtud que la particular no manifestó razones o motivos de inconformidad, relacionados con la respuesta del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a fin de atender su solicitud de acceso.</w:t>
      </w:r>
    </w:p>
    <w:p w:rsidR="001C499F" w:rsidRPr="00BC66A9" w:rsidRDefault="001C499F" w:rsidP="001C499F">
      <w:pPr>
        <w:spacing w:line="360" w:lineRule="auto"/>
        <w:jc w:val="both"/>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Por lo tanto, en virtud de  los argumentos expuestos con anterioridad así como del análisis realizado a las constancias que obran en el expediente electrónico, toda vez que no se actualizó algún supuesto de procedencia, se determina </w:t>
      </w:r>
      <w:r w:rsidRPr="00BC66A9">
        <w:rPr>
          <w:rFonts w:ascii="Palatino Linotype" w:eastAsia="Palatino Linotype" w:hAnsi="Palatino Linotype" w:cs="Palatino Linotype"/>
          <w:b/>
          <w:i/>
          <w:sz w:val="22"/>
          <w:szCs w:val="22"/>
        </w:rPr>
        <w:t xml:space="preserve">sobreseer </w:t>
      </w:r>
      <w:r w:rsidRPr="00BC66A9">
        <w:rPr>
          <w:rFonts w:ascii="Palatino Linotype" w:eastAsia="Palatino Linotype" w:hAnsi="Palatino Linotype" w:cs="Palatino Linotype"/>
          <w:sz w:val="22"/>
          <w:szCs w:val="22"/>
        </w:rPr>
        <w:t xml:space="preserve">el presente recurso de revisión por actualizarse la causal de sobreseimiento prevista en la fracción IV del artículo 192 de la Ley de Transparencia y Acceso a la Información Pública del Estado de México y </w:t>
      </w:r>
      <w:r w:rsidRPr="00BC66A9">
        <w:rPr>
          <w:rFonts w:ascii="Palatino Linotype" w:eastAsia="Palatino Linotype" w:hAnsi="Palatino Linotype" w:cs="Palatino Linotype"/>
          <w:sz w:val="22"/>
          <w:szCs w:val="22"/>
        </w:rPr>
        <w:lastRenderedPageBreak/>
        <w:t xml:space="preserve">Municipios en su correlación con la causal de improcedencia contemplada en la </w:t>
      </w:r>
      <w:r w:rsidRPr="00BC66A9">
        <w:rPr>
          <w:rFonts w:ascii="Palatino Linotype" w:eastAsia="Palatino Linotype" w:hAnsi="Palatino Linotype" w:cs="Palatino Linotype"/>
          <w:sz w:val="22"/>
          <w:szCs w:val="22"/>
        </w:rPr>
        <w:fldChar w:fldCharType="begin"/>
      </w:r>
      <w:r w:rsidRPr="00BC66A9">
        <w:rPr>
          <w:rFonts w:ascii="Palatino Linotype" w:eastAsia="Palatino Linotype" w:hAnsi="Palatino Linotype" w:cs="Palatino Linotype"/>
          <w:sz w:val="22"/>
          <w:szCs w:val="22"/>
        </w:rPr>
        <w:instrText xml:space="preserve"> fracción VII del  </w:instrText>
      </w:r>
      <w:r w:rsidRPr="00BC66A9">
        <w:rPr>
          <w:rFonts w:ascii="Palatino Linotype" w:eastAsia="Palatino Linotype" w:hAnsi="Palatino Linotype" w:cs="Palatino Linotype"/>
          <w:sz w:val="22"/>
          <w:szCs w:val="22"/>
        </w:rPr>
        <w:fldChar w:fldCharType="separate"/>
      </w:r>
      <w:r w:rsidR="00BC66A9">
        <w:rPr>
          <w:rFonts w:ascii="Palatino Linotype" w:eastAsia="Palatino Linotype" w:hAnsi="Palatino Linotype" w:cs="Palatino Linotype"/>
          <w:b/>
          <w:bCs/>
          <w:sz w:val="22"/>
          <w:szCs w:val="22"/>
          <w:lang w:val="es-ES"/>
        </w:rPr>
        <w:t>¡Error! Marcador no definido.</w:t>
      </w:r>
      <w:r w:rsidRPr="00BC66A9">
        <w:rPr>
          <w:rFonts w:ascii="Palatino Linotype" w:eastAsia="Palatino Linotype" w:hAnsi="Palatino Linotype" w:cs="Palatino Linotype"/>
          <w:sz w:val="22"/>
          <w:szCs w:val="22"/>
        </w:rPr>
        <w:fldChar w:fldCharType="end"/>
      </w:r>
      <w:r w:rsidRPr="00BC66A9">
        <w:rPr>
          <w:rFonts w:ascii="Palatino Linotype" w:eastAsia="Palatino Linotype" w:hAnsi="Palatino Linotype" w:cs="Palatino Linotype"/>
          <w:sz w:val="22"/>
          <w:szCs w:val="22"/>
        </w:rPr>
        <w:t>artículo 191 del ordenamiento legal en cita, los que se transcriben a continuación, para un mejor entendimiento:</w:t>
      </w:r>
    </w:p>
    <w:p w:rsidR="00C04E0E" w:rsidRPr="00BC66A9" w:rsidRDefault="00C04E0E" w:rsidP="00C04E0E">
      <w:pPr>
        <w:pStyle w:val="Prrafodelista"/>
        <w:rPr>
          <w:rFonts w:ascii="Palatino Linotype" w:eastAsia="Palatino Linotype" w:hAnsi="Palatino Linotype" w:cs="Palatino Linotype"/>
          <w:sz w:val="22"/>
          <w:szCs w:val="22"/>
        </w:rPr>
      </w:pPr>
    </w:p>
    <w:p w:rsidR="00C04E0E" w:rsidRPr="00BC66A9" w:rsidRDefault="00C04E0E" w:rsidP="001C499F">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i/>
          <w:sz w:val="22"/>
          <w:szCs w:val="22"/>
        </w:rPr>
        <w:t>“</w:t>
      </w:r>
      <w:r w:rsidRPr="00BC66A9">
        <w:rPr>
          <w:rFonts w:ascii="Palatino Linotype" w:eastAsia="Palatino Linotype" w:hAnsi="Palatino Linotype" w:cs="Palatino Linotype"/>
          <w:b/>
          <w:i/>
          <w:sz w:val="22"/>
          <w:szCs w:val="22"/>
        </w:rPr>
        <w:t>Artículo 191</w:t>
      </w:r>
      <w:r w:rsidRPr="00BC66A9">
        <w:rPr>
          <w:rFonts w:ascii="Palatino Linotype" w:eastAsia="Palatino Linotype" w:hAnsi="Palatino Linotype" w:cs="Palatino Linotype"/>
          <w:i/>
          <w:sz w:val="22"/>
          <w:szCs w:val="22"/>
        </w:rPr>
        <w:t xml:space="preserve">. </w:t>
      </w:r>
      <w:r w:rsidRPr="00BC66A9">
        <w:rPr>
          <w:rFonts w:ascii="Palatino Linotype" w:eastAsia="Palatino Linotype" w:hAnsi="Palatino Linotype" w:cs="Palatino Linotype"/>
          <w:b/>
          <w:i/>
          <w:sz w:val="22"/>
          <w:szCs w:val="22"/>
        </w:rPr>
        <w:t>El recurso</w:t>
      </w:r>
      <w:r w:rsidRPr="00BC66A9">
        <w:rPr>
          <w:rFonts w:ascii="Palatino Linotype" w:eastAsia="Palatino Linotype" w:hAnsi="Palatino Linotype" w:cs="Palatino Linotype"/>
          <w:i/>
          <w:sz w:val="22"/>
          <w:szCs w:val="22"/>
        </w:rPr>
        <w:t xml:space="preserve"> </w:t>
      </w:r>
      <w:r w:rsidRPr="00BC66A9">
        <w:rPr>
          <w:rFonts w:ascii="Palatino Linotype" w:eastAsia="Palatino Linotype" w:hAnsi="Palatino Linotype" w:cs="Palatino Linotype"/>
          <w:b/>
          <w:i/>
          <w:sz w:val="22"/>
          <w:szCs w:val="22"/>
        </w:rPr>
        <w:t xml:space="preserve">será </w:t>
      </w:r>
      <w:r w:rsidRPr="00BC66A9">
        <w:rPr>
          <w:rFonts w:ascii="Palatino Linotype" w:eastAsia="Palatino Linotype" w:hAnsi="Palatino Linotype" w:cs="Palatino Linotype"/>
          <w:i/>
          <w:sz w:val="22"/>
          <w:szCs w:val="22"/>
        </w:rPr>
        <w:t xml:space="preserve">desechado por </w:t>
      </w:r>
      <w:r w:rsidRPr="00BC66A9">
        <w:rPr>
          <w:rFonts w:ascii="Palatino Linotype" w:eastAsia="Palatino Linotype" w:hAnsi="Palatino Linotype" w:cs="Palatino Linotype"/>
          <w:b/>
          <w:i/>
          <w:sz w:val="22"/>
          <w:szCs w:val="22"/>
        </w:rPr>
        <w:t>improcedente cuando</w:t>
      </w:r>
      <w:r w:rsidRPr="00BC66A9">
        <w:rPr>
          <w:rFonts w:ascii="Palatino Linotype" w:eastAsia="Palatino Linotype" w:hAnsi="Palatino Linotype" w:cs="Palatino Linotype"/>
          <w:i/>
          <w:sz w:val="22"/>
          <w:szCs w:val="22"/>
        </w:rPr>
        <w:t>:</w:t>
      </w:r>
    </w:p>
    <w:p w:rsidR="00C04E0E" w:rsidRPr="00BC66A9" w:rsidRDefault="00C04E0E" w:rsidP="001C499F">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p>
    <w:p w:rsidR="00C04E0E" w:rsidRPr="00BC66A9" w:rsidRDefault="00C04E0E" w:rsidP="001C499F">
      <w:pPr>
        <w:pStyle w:val="Prrafodelista"/>
        <w:tabs>
          <w:tab w:val="left" w:pos="7938"/>
        </w:tabs>
        <w:spacing w:before="120" w:after="120"/>
        <w:ind w:left="1134" w:right="902"/>
        <w:jc w:val="both"/>
        <w:rPr>
          <w:rFonts w:ascii="Palatino Linotype" w:eastAsia="Palatino Linotype" w:hAnsi="Palatino Linotype" w:cs="Palatino Linotype"/>
          <w:b/>
          <w:i/>
          <w:sz w:val="22"/>
          <w:szCs w:val="22"/>
        </w:rPr>
      </w:pPr>
      <w:r w:rsidRPr="00BC66A9">
        <w:rPr>
          <w:rFonts w:ascii="Palatino Linotype" w:eastAsia="Palatino Linotype" w:hAnsi="Palatino Linotype" w:cs="Palatino Linotype"/>
          <w:b/>
          <w:i/>
          <w:sz w:val="22"/>
          <w:szCs w:val="22"/>
        </w:rPr>
        <w:t xml:space="preserve">VII. </w:t>
      </w:r>
      <w:r w:rsidRPr="00BC66A9">
        <w:rPr>
          <w:rFonts w:ascii="Palatino Linotype" w:eastAsia="Palatino Linotype" w:hAnsi="Palatino Linotype" w:cs="Palatino Linotype"/>
          <w:i/>
          <w:sz w:val="22"/>
          <w:szCs w:val="22"/>
        </w:rPr>
        <w:t>El recurrente amplíe su solicitud en el recurso de revisión, únicamente respecto de los nuevos contenidos.</w:t>
      </w:r>
      <w:r w:rsidRPr="00BC66A9">
        <w:rPr>
          <w:rFonts w:ascii="Palatino Linotype" w:eastAsia="Palatino Linotype" w:hAnsi="Palatino Linotype" w:cs="Palatino Linotype"/>
          <w:b/>
          <w:i/>
          <w:sz w:val="22"/>
          <w:szCs w:val="22"/>
        </w:rPr>
        <w:t>;</w:t>
      </w:r>
    </w:p>
    <w:p w:rsidR="00C04E0E" w:rsidRPr="00BC66A9" w:rsidRDefault="00C04E0E" w:rsidP="001C499F">
      <w:pPr>
        <w:pStyle w:val="Prrafodelista"/>
        <w:tabs>
          <w:tab w:val="left" w:pos="7938"/>
        </w:tabs>
        <w:spacing w:before="120" w:after="120"/>
        <w:ind w:left="1134" w:right="902"/>
        <w:jc w:val="both"/>
        <w:rPr>
          <w:rFonts w:ascii="Palatino Linotype" w:eastAsia="Palatino Linotype" w:hAnsi="Palatino Linotype" w:cs="Palatino Linotype"/>
          <w:b/>
          <w:i/>
          <w:sz w:val="22"/>
          <w:szCs w:val="22"/>
        </w:rPr>
      </w:pPr>
    </w:p>
    <w:p w:rsidR="00C04E0E" w:rsidRPr="00BC66A9" w:rsidRDefault="00C04E0E" w:rsidP="001C499F">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b/>
          <w:i/>
          <w:sz w:val="22"/>
          <w:szCs w:val="22"/>
        </w:rPr>
        <w:t>Artículo 192.</w:t>
      </w:r>
      <w:r w:rsidRPr="00BC66A9">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rsidR="00C04E0E" w:rsidRPr="00BC66A9" w:rsidRDefault="00C04E0E" w:rsidP="001C499F">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p>
    <w:p w:rsidR="00C04E0E" w:rsidRPr="00BC66A9" w:rsidRDefault="00C04E0E" w:rsidP="001C499F">
      <w:pPr>
        <w:pStyle w:val="Prrafodelista"/>
        <w:pBdr>
          <w:top w:val="nil"/>
          <w:left w:val="nil"/>
          <w:bottom w:val="nil"/>
          <w:right w:val="nil"/>
          <w:between w:val="nil"/>
        </w:pBdr>
        <w:tabs>
          <w:tab w:val="left" w:pos="7938"/>
        </w:tabs>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b/>
          <w:i/>
          <w:sz w:val="22"/>
          <w:szCs w:val="22"/>
        </w:rPr>
        <w:t>IV</w:t>
      </w:r>
      <w:r w:rsidRPr="00BC66A9">
        <w:rPr>
          <w:rFonts w:ascii="Palatino Linotype" w:eastAsia="Palatino Linotype" w:hAnsi="Palatino Linotype" w:cs="Palatino Linotype"/>
          <w:i/>
          <w:sz w:val="22"/>
          <w:szCs w:val="22"/>
        </w:rPr>
        <w:t xml:space="preserve">. Admitido el recurso de revisión, </w:t>
      </w:r>
      <w:r w:rsidRPr="00BC66A9">
        <w:rPr>
          <w:rFonts w:ascii="Palatino Linotype" w:eastAsia="Palatino Linotype" w:hAnsi="Palatino Linotype" w:cs="Palatino Linotype"/>
          <w:b/>
          <w:i/>
          <w:sz w:val="22"/>
          <w:szCs w:val="22"/>
        </w:rPr>
        <w:t>aparezca alguna causal de improcedencia</w:t>
      </w:r>
      <w:r w:rsidRPr="00BC66A9">
        <w:rPr>
          <w:rFonts w:ascii="Palatino Linotype" w:eastAsia="Palatino Linotype" w:hAnsi="Palatino Linotype" w:cs="Palatino Linotype"/>
          <w:i/>
          <w:sz w:val="22"/>
          <w:szCs w:val="22"/>
        </w:rPr>
        <w:t xml:space="preserve"> en los términos de la presente Ley. “</w:t>
      </w:r>
    </w:p>
    <w:p w:rsidR="00C04E0E" w:rsidRPr="00BC66A9" w:rsidRDefault="00C04E0E" w:rsidP="00C04E0E">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sz w:val="22"/>
          <w:szCs w:val="22"/>
        </w:rPr>
      </w:pPr>
    </w:p>
    <w:p w:rsidR="00C04E0E" w:rsidRPr="00BC66A9" w:rsidRDefault="00C04E0E" w:rsidP="002044DF">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Siendo el </w:t>
      </w:r>
      <w:r w:rsidRPr="00BC66A9">
        <w:rPr>
          <w:rFonts w:ascii="Palatino Linotype" w:eastAsia="Palatino Linotype" w:hAnsi="Palatino Linotype" w:cs="Palatino Linotype"/>
          <w:i/>
          <w:sz w:val="22"/>
          <w:szCs w:val="22"/>
        </w:rPr>
        <w:t>sobreseimiento</w:t>
      </w:r>
      <w:r w:rsidRPr="00BC66A9">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2044DF" w:rsidRPr="00BC66A9" w:rsidRDefault="002044DF" w:rsidP="002044DF">
      <w:pPr>
        <w:spacing w:line="360" w:lineRule="auto"/>
        <w:jc w:val="both"/>
        <w:rPr>
          <w:rFonts w:ascii="Palatino Linotype" w:eastAsia="Palatino Linotype" w:hAnsi="Palatino Linotype" w:cs="Palatino Linotype"/>
          <w:sz w:val="22"/>
          <w:szCs w:val="22"/>
        </w:rPr>
      </w:pPr>
    </w:p>
    <w:p w:rsidR="00C04E0E" w:rsidRPr="00BC66A9" w:rsidRDefault="00C04E0E" w:rsidP="001C499F">
      <w:pPr>
        <w:pStyle w:val="Prrafodelista"/>
        <w:spacing w:after="120"/>
        <w:ind w:left="1134" w:right="902"/>
        <w:jc w:val="both"/>
        <w:rPr>
          <w:rFonts w:ascii="Palatino Linotype" w:eastAsia="Palatino Linotype" w:hAnsi="Palatino Linotype" w:cs="Palatino Linotype"/>
          <w:b/>
          <w:i/>
          <w:sz w:val="22"/>
          <w:szCs w:val="22"/>
        </w:rPr>
      </w:pPr>
      <w:r w:rsidRPr="00BC66A9">
        <w:rPr>
          <w:rFonts w:ascii="Palatino Linotype" w:eastAsia="Palatino Linotype" w:hAnsi="Palatino Linotype" w:cs="Palatino Linotype"/>
          <w:i/>
          <w:sz w:val="22"/>
          <w:szCs w:val="22"/>
        </w:rPr>
        <w:t>“</w:t>
      </w:r>
      <w:r w:rsidRPr="00BC66A9">
        <w:rPr>
          <w:rFonts w:ascii="Palatino Linotype" w:eastAsia="Palatino Linotype" w:hAnsi="Palatino Linotype" w:cs="Palatino Linotype"/>
          <w:b/>
          <w:i/>
          <w:sz w:val="22"/>
          <w:szCs w:val="22"/>
        </w:rPr>
        <w:t>SOBRESEIMIENTO, NO PERMITE ENTRAR AL ESTUDIO DE LAS CUESTIONES DE FONDO</w:t>
      </w:r>
    </w:p>
    <w:p w:rsidR="00C04E0E" w:rsidRPr="00BC66A9" w:rsidRDefault="00C04E0E" w:rsidP="001C499F">
      <w:pPr>
        <w:pStyle w:val="Prrafodelista"/>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rsidR="00C04E0E" w:rsidRPr="00BC66A9" w:rsidRDefault="00C04E0E" w:rsidP="001C499F">
      <w:pPr>
        <w:pStyle w:val="Prrafodelista"/>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C04E0E" w:rsidRPr="00BC66A9" w:rsidRDefault="00C04E0E" w:rsidP="00C04E0E">
      <w:pPr>
        <w:pStyle w:val="Prrafodelista"/>
        <w:spacing w:before="120" w:after="120"/>
        <w:ind w:left="360" w:right="902"/>
        <w:jc w:val="both"/>
        <w:rPr>
          <w:rFonts w:ascii="Palatino Linotype" w:eastAsia="Palatino Linotype" w:hAnsi="Palatino Linotype" w:cs="Palatino Linotype"/>
          <w:i/>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rsidR="00C04E0E" w:rsidRPr="00BC66A9" w:rsidRDefault="00C04E0E" w:rsidP="001C499F">
      <w:pPr>
        <w:pStyle w:val="Prrafodelista"/>
        <w:spacing w:before="120" w:after="120"/>
        <w:ind w:left="1134" w:right="902"/>
        <w:jc w:val="both"/>
        <w:rPr>
          <w:rFonts w:ascii="Palatino Linotype" w:eastAsia="Palatino Linotype" w:hAnsi="Palatino Linotype" w:cs="Palatino Linotype"/>
          <w:b/>
          <w:i/>
          <w:sz w:val="22"/>
          <w:szCs w:val="22"/>
        </w:rPr>
      </w:pPr>
      <w:r w:rsidRPr="00BC66A9">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rsidR="00C04E0E" w:rsidRPr="00BC66A9" w:rsidRDefault="00C04E0E" w:rsidP="001C499F">
      <w:pPr>
        <w:pStyle w:val="Prrafodelista"/>
        <w:spacing w:before="120" w:after="120"/>
        <w:ind w:left="1134" w:right="902"/>
        <w:jc w:val="both"/>
        <w:rPr>
          <w:rFonts w:ascii="Palatino Linotype" w:eastAsia="Palatino Linotype" w:hAnsi="Palatino Linotype" w:cs="Palatino Linotype"/>
          <w:i/>
          <w:sz w:val="22"/>
          <w:szCs w:val="22"/>
        </w:rPr>
      </w:pPr>
      <w:r w:rsidRPr="00BC66A9">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BC66A9">
        <w:rPr>
          <w:rFonts w:ascii="Palatino Linotype" w:eastAsia="Palatino Linotype" w:hAnsi="Palatino Linotype" w:cs="Palatino Linotype"/>
          <w:i/>
          <w:sz w:val="22"/>
          <w:szCs w:val="22"/>
        </w:rPr>
        <w:t>promovente</w:t>
      </w:r>
      <w:proofErr w:type="spellEnd"/>
      <w:r w:rsidRPr="00BC66A9">
        <w:rPr>
          <w:rFonts w:ascii="Palatino Linotype" w:eastAsia="Palatino Linotype" w:hAnsi="Palatino Linotype" w:cs="Palatino Linotype"/>
          <w:i/>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BC66A9">
        <w:rPr>
          <w:rFonts w:ascii="Palatino Linotype" w:eastAsia="Palatino Linotype" w:hAnsi="Palatino Linotype" w:cs="Palatino Linotype"/>
          <w:sz w:val="22"/>
          <w:szCs w:val="22"/>
        </w:rPr>
        <w:tab/>
      </w:r>
    </w:p>
    <w:p w:rsidR="00C04E0E" w:rsidRPr="00BC66A9" w:rsidRDefault="00C04E0E" w:rsidP="00C04E0E">
      <w:pPr>
        <w:pStyle w:val="Prrafodelista"/>
        <w:spacing w:before="120" w:after="120"/>
        <w:ind w:left="360" w:right="902"/>
        <w:jc w:val="both"/>
        <w:rPr>
          <w:rFonts w:ascii="Palatino Linotype" w:eastAsia="Palatino Linotype" w:hAnsi="Palatino Linotype" w:cs="Palatino Linotype"/>
          <w:i/>
          <w:sz w:val="22"/>
          <w:szCs w:val="22"/>
        </w:rPr>
      </w:pPr>
    </w:p>
    <w:p w:rsidR="00C04E0E" w:rsidRPr="00BC66A9" w:rsidRDefault="00C04E0E" w:rsidP="001C499F">
      <w:pPr>
        <w:numPr>
          <w:ilvl w:val="0"/>
          <w:numId w:val="3"/>
        </w:numPr>
        <w:spacing w:line="360" w:lineRule="auto"/>
        <w:ind w:left="0" w:firstLine="0"/>
        <w:jc w:val="both"/>
        <w:rPr>
          <w:rFonts w:ascii="Palatino Linotype" w:eastAsia="Palatino Linotype" w:hAnsi="Palatino Linotype" w:cs="Palatino Linotype"/>
          <w:sz w:val="22"/>
          <w:szCs w:val="22"/>
        </w:rPr>
      </w:pPr>
      <w:bookmarkStart w:id="12" w:name="_heading=h.gjdgxs" w:colFirst="0" w:colLast="0"/>
      <w:bookmarkEnd w:id="12"/>
      <w:r w:rsidRPr="00BC66A9">
        <w:rPr>
          <w:rFonts w:ascii="Palatino Linotype" w:eastAsia="Palatino Linotype" w:hAnsi="Palatino Linotype" w:cs="Palatino Linotype"/>
          <w:sz w:val="22"/>
          <w:szCs w:val="22"/>
        </w:rPr>
        <w:t xml:space="preserve">Finalmente, se dejan a salvo los derechos de la particular a fin de que de considerarlo pertinente, interponga una nueva solicitud de acceso ante 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a fin de solicitar la información de su interés. </w:t>
      </w:r>
    </w:p>
    <w:p w:rsidR="001C499F" w:rsidRPr="00BC66A9" w:rsidRDefault="001C499F" w:rsidP="001C499F">
      <w:pPr>
        <w:spacing w:line="360" w:lineRule="auto"/>
        <w:jc w:val="both"/>
        <w:rPr>
          <w:rFonts w:ascii="Palatino Linotype" w:eastAsia="Palatino Linotype" w:hAnsi="Palatino Linotype" w:cs="Palatino Linotype"/>
          <w:sz w:val="22"/>
          <w:szCs w:val="22"/>
        </w:rPr>
      </w:pPr>
    </w:p>
    <w:p w:rsidR="00C04E0E" w:rsidRPr="00BC66A9" w:rsidRDefault="00C04E0E" w:rsidP="00C04E0E">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w:t>
      </w:r>
      <w:r w:rsidRPr="00BC66A9">
        <w:rPr>
          <w:rFonts w:ascii="Palatino Linotype" w:eastAsia="Palatino Linotype" w:hAnsi="Palatino Linotype" w:cs="Palatino Linotype"/>
          <w:b/>
          <w:sz w:val="22"/>
          <w:szCs w:val="22"/>
        </w:rPr>
        <w:t xml:space="preserve">Sobresee </w:t>
      </w:r>
      <w:r w:rsidRPr="00BC66A9">
        <w:rPr>
          <w:rFonts w:ascii="Palatino Linotype" w:eastAsia="Palatino Linotype" w:hAnsi="Palatino Linotype" w:cs="Palatino Linotype"/>
          <w:sz w:val="22"/>
          <w:szCs w:val="22"/>
        </w:rPr>
        <w:t xml:space="preserve">el recurso de revisión </w:t>
      </w:r>
      <w:r w:rsidR="001A364B" w:rsidRPr="00BC66A9">
        <w:rPr>
          <w:rFonts w:ascii="Palatino Linotype" w:eastAsia="Palatino Linotype" w:hAnsi="Palatino Linotype" w:cs="Palatino Linotype"/>
          <w:b/>
          <w:sz w:val="22"/>
          <w:szCs w:val="22"/>
        </w:rPr>
        <w:t>06043/INFOEM/IP/RR/2024</w:t>
      </w:r>
      <w:r w:rsidRPr="00BC66A9">
        <w:rPr>
          <w:rFonts w:ascii="Palatino Linotype" w:eastAsia="Palatino Linotype" w:hAnsi="Palatino Linotype" w:cs="Palatino Linotype"/>
          <w:sz w:val="22"/>
          <w:szCs w:val="22"/>
        </w:rPr>
        <w:t>, que ha sido materia del presente fallo.</w:t>
      </w:r>
    </w:p>
    <w:p w:rsidR="00C04E0E" w:rsidRPr="00BC66A9" w:rsidRDefault="00C04E0E" w:rsidP="00C04E0E">
      <w:pPr>
        <w:pStyle w:val="Prrafodelista"/>
        <w:spacing w:before="240" w:after="240" w:line="360" w:lineRule="auto"/>
        <w:ind w:left="360"/>
        <w:jc w:val="both"/>
        <w:rPr>
          <w:rFonts w:ascii="Palatino Linotype" w:eastAsia="Palatino Linotype" w:hAnsi="Palatino Linotype" w:cs="Palatino Linotype"/>
          <w:sz w:val="22"/>
          <w:szCs w:val="22"/>
        </w:rPr>
      </w:pPr>
    </w:p>
    <w:p w:rsidR="00C04E0E" w:rsidRPr="00BC66A9" w:rsidRDefault="00C04E0E" w:rsidP="007361CB">
      <w:pPr>
        <w:numPr>
          <w:ilvl w:val="0"/>
          <w:numId w:val="3"/>
        </w:numPr>
        <w:spacing w:line="360" w:lineRule="auto"/>
        <w:ind w:left="0" w:firstLine="0"/>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sz w:val="22"/>
          <w:szCs w:val="22"/>
        </w:rPr>
        <w:lastRenderedPageBreak/>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C04E0E" w:rsidRPr="00BC66A9" w:rsidRDefault="00C04E0E" w:rsidP="007361CB">
      <w:pPr>
        <w:rPr>
          <w:rFonts w:ascii="Palatino Linotype" w:hAnsi="Palatino Linotype"/>
          <w:color w:val="000000" w:themeColor="text1"/>
          <w:sz w:val="22"/>
          <w:szCs w:val="22"/>
        </w:rPr>
      </w:pPr>
    </w:p>
    <w:p w:rsidR="00C04E0E" w:rsidRPr="00BC66A9" w:rsidRDefault="00C04E0E" w:rsidP="00C04E0E">
      <w:pPr>
        <w:pStyle w:val="Ttulo1"/>
        <w:spacing w:before="0" w:line="360" w:lineRule="auto"/>
        <w:jc w:val="center"/>
        <w:rPr>
          <w:rFonts w:ascii="Palatino Linotype" w:eastAsia="Calibri" w:hAnsi="Palatino Linotype"/>
          <w:b/>
          <w:color w:val="000000" w:themeColor="text1"/>
          <w:sz w:val="22"/>
          <w:szCs w:val="22"/>
          <w:lang w:val="es-ES"/>
        </w:rPr>
      </w:pPr>
      <w:bookmarkStart w:id="13" w:name="_Toc504500693"/>
      <w:bookmarkStart w:id="14" w:name="_Toc534742545"/>
      <w:bookmarkStart w:id="15" w:name="_Toc2248738"/>
      <w:bookmarkStart w:id="16" w:name="_Toc34819440"/>
      <w:bookmarkStart w:id="17" w:name="_Toc51259595"/>
      <w:bookmarkStart w:id="18" w:name="_Toc83128595"/>
      <w:r w:rsidRPr="00BC66A9">
        <w:rPr>
          <w:rFonts w:ascii="Palatino Linotype" w:eastAsia="Calibri" w:hAnsi="Palatino Linotype"/>
          <w:b/>
          <w:color w:val="000000" w:themeColor="text1"/>
          <w:sz w:val="22"/>
          <w:szCs w:val="22"/>
          <w:lang w:val="es-ES"/>
        </w:rPr>
        <w:t>R E S O L U T I V O S</w:t>
      </w:r>
      <w:bookmarkEnd w:id="13"/>
      <w:bookmarkEnd w:id="14"/>
      <w:bookmarkEnd w:id="15"/>
      <w:bookmarkEnd w:id="16"/>
      <w:bookmarkEnd w:id="17"/>
      <w:bookmarkEnd w:id="18"/>
    </w:p>
    <w:p w:rsidR="00C04E0E" w:rsidRPr="00BC66A9" w:rsidRDefault="00C04E0E" w:rsidP="00C04E0E">
      <w:pPr>
        <w:rPr>
          <w:rFonts w:ascii="Palatino Linotype" w:hAnsi="Palatino Linotype"/>
          <w:color w:val="000000" w:themeColor="text1"/>
          <w:sz w:val="22"/>
          <w:szCs w:val="22"/>
          <w:lang w:val="es-ES"/>
        </w:rPr>
      </w:pPr>
    </w:p>
    <w:p w:rsidR="00C04E0E" w:rsidRPr="00BC66A9" w:rsidRDefault="00C04E0E" w:rsidP="00C04E0E">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b/>
          <w:sz w:val="22"/>
          <w:szCs w:val="22"/>
        </w:rPr>
        <w:t xml:space="preserve">Primero. </w:t>
      </w:r>
      <w:r w:rsidRPr="00BC66A9">
        <w:rPr>
          <w:rFonts w:ascii="Palatino Linotype" w:eastAsia="Palatino Linotype" w:hAnsi="Palatino Linotype" w:cs="Palatino Linotype"/>
          <w:sz w:val="22"/>
          <w:szCs w:val="22"/>
        </w:rPr>
        <w:t>Se</w:t>
      </w:r>
      <w:r w:rsidRPr="00BC66A9">
        <w:rPr>
          <w:rFonts w:ascii="Palatino Linotype" w:eastAsia="Palatino Linotype" w:hAnsi="Palatino Linotype" w:cs="Palatino Linotype"/>
          <w:b/>
          <w:sz w:val="22"/>
          <w:szCs w:val="22"/>
        </w:rPr>
        <w:t xml:space="preserve"> Sobresee </w:t>
      </w:r>
      <w:r w:rsidRPr="00BC66A9">
        <w:rPr>
          <w:rFonts w:ascii="Palatino Linotype" w:eastAsia="Palatino Linotype" w:hAnsi="Palatino Linotype" w:cs="Palatino Linotype"/>
          <w:sz w:val="22"/>
          <w:szCs w:val="22"/>
        </w:rPr>
        <w:t xml:space="preserve">el recurso de revisión número </w:t>
      </w:r>
      <w:r w:rsidR="001A364B" w:rsidRPr="00BC66A9">
        <w:rPr>
          <w:rFonts w:ascii="Palatino Linotype" w:eastAsia="Palatino Linotype" w:hAnsi="Palatino Linotype" w:cs="Palatino Linotype"/>
          <w:b/>
          <w:sz w:val="22"/>
          <w:szCs w:val="22"/>
        </w:rPr>
        <w:t>06043</w:t>
      </w:r>
      <w:r w:rsidR="007361CB" w:rsidRPr="00BC66A9">
        <w:rPr>
          <w:rFonts w:ascii="Palatino Linotype" w:eastAsia="Palatino Linotype" w:hAnsi="Palatino Linotype" w:cs="Palatino Linotype"/>
          <w:b/>
          <w:sz w:val="22"/>
          <w:szCs w:val="22"/>
        </w:rPr>
        <w:t>/INFOEM/IP/RR/2024</w:t>
      </w:r>
      <w:r w:rsidRPr="00BC66A9">
        <w:rPr>
          <w:rFonts w:ascii="Palatino Linotype" w:eastAsia="Palatino Linotype" w:hAnsi="Palatino Linotype" w:cs="Palatino Linotype"/>
          <w:b/>
          <w:sz w:val="22"/>
          <w:szCs w:val="22"/>
        </w:rPr>
        <w:t xml:space="preserve">, </w:t>
      </w:r>
      <w:r w:rsidRPr="00BC66A9">
        <w:rPr>
          <w:rFonts w:ascii="Palatino Linotype" w:eastAsia="Palatino Linotype" w:hAnsi="Palatino Linotype" w:cs="Palatino Linotype"/>
          <w:sz w:val="22"/>
          <w:szCs w:val="22"/>
        </w:rPr>
        <w:t>porque una vez admitido se actualizó la causal de improcedencia prevista en artículo 192</w:t>
      </w:r>
      <w:r w:rsidR="007361CB" w:rsidRPr="00BC66A9">
        <w:rPr>
          <w:rFonts w:ascii="Palatino Linotype" w:eastAsia="Palatino Linotype" w:hAnsi="Palatino Linotype" w:cs="Palatino Linotype"/>
          <w:sz w:val="22"/>
          <w:szCs w:val="22"/>
        </w:rPr>
        <w:t>,</w:t>
      </w:r>
      <w:r w:rsidRPr="00BC66A9">
        <w:rPr>
          <w:rFonts w:ascii="Palatino Linotype" w:eastAsia="Palatino Linotype" w:hAnsi="Palatino Linotype" w:cs="Palatino Linotype"/>
          <w:sz w:val="22"/>
          <w:szCs w:val="22"/>
        </w:rPr>
        <w:t xml:space="preserve"> fracción IV, en relación con la fracción VII</w:t>
      </w:r>
      <w:r w:rsidR="007361CB" w:rsidRPr="00BC66A9">
        <w:rPr>
          <w:rFonts w:ascii="Palatino Linotype" w:eastAsia="Palatino Linotype" w:hAnsi="Palatino Linotype" w:cs="Palatino Linotype"/>
          <w:sz w:val="22"/>
          <w:szCs w:val="22"/>
        </w:rPr>
        <w:t>,</w:t>
      </w:r>
      <w:r w:rsidRPr="00BC66A9">
        <w:rPr>
          <w:rFonts w:ascii="Palatino Linotype" w:eastAsia="Palatino Linotype" w:hAnsi="Palatino Linotype" w:cs="Palatino Linotype"/>
          <w:sz w:val="22"/>
          <w:szCs w:val="22"/>
        </w:rPr>
        <w:t xml:space="preserve"> del artículo 191, de la Ley de Transparencia vigente en la entidad, que lo dejó sin materia en términos del Considerando</w:t>
      </w:r>
      <w:r w:rsidRPr="00BC66A9">
        <w:rPr>
          <w:rFonts w:ascii="Palatino Linotype" w:eastAsia="Palatino Linotype" w:hAnsi="Palatino Linotype" w:cs="Palatino Linotype"/>
          <w:b/>
          <w:sz w:val="22"/>
          <w:szCs w:val="22"/>
        </w:rPr>
        <w:t xml:space="preserve"> Tercero d</w:t>
      </w:r>
      <w:r w:rsidRPr="00BC66A9">
        <w:rPr>
          <w:rFonts w:ascii="Palatino Linotype" w:eastAsia="Palatino Linotype" w:hAnsi="Palatino Linotype" w:cs="Palatino Linotype"/>
          <w:sz w:val="22"/>
          <w:szCs w:val="22"/>
        </w:rPr>
        <w:t>e la presente resolución.</w:t>
      </w:r>
    </w:p>
    <w:p w:rsidR="00C04E0E" w:rsidRPr="00BC66A9" w:rsidRDefault="00C04E0E" w:rsidP="00C04E0E">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sz w:val="22"/>
          <w:szCs w:val="22"/>
        </w:rPr>
      </w:pPr>
      <w:r w:rsidRPr="00BC66A9">
        <w:rPr>
          <w:rFonts w:ascii="Palatino Linotype" w:eastAsia="Palatino Linotype" w:hAnsi="Palatino Linotype" w:cs="Palatino Linotype"/>
          <w:b/>
          <w:sz w:val="22"/>
          <w:szCs w:val="22"/>
        </w:rPr>
        <w:t xml:space="preserve">Segundo. Notifíquese, </w:t>
      </w:r>
      <w:r w:rsidRPr="00BC66A9">
        <w:rPr>
          <w:rFonts w:ascii="Palatino Linotype" w:eastAsia="Palatino Linotype" w:hAnsi="Palatino Linotype" w:cs="Palatino Linotype"/>
          <w:sz w:val="22"/>
          <w:szCs w:val="22"/>
        </w:rPr>
        <w:t>vía</w:t>
      </w:r>
      <w:r w:rsidRPr="00BC66A9">
        <w:rPr>
          <w:rFonts w:ascii="Palatino Linotype" w:eastAsia="Palatino Linotype" w:hAnsi="Palatino Linotype" w:cs="Palatino Linotype"/>
          <w:b/>
          <w:sz w:val="22"/>
          <w:szCs w:val="22"/>
        </w:rPr>
        <w:t xml:space="preserve"> SAIMEX,</w:t>
      </w:r>
      <w:r w:rsidRPr="00BC66A9">
        <w:rPr>
          <w:rFonts w:ascii="Palatino Linotype" w:eastAsia="Palatino Linotype" w:hAnsi="Palatino Linotype" w:cs="Palatino Linotype"/>
          <w:sz w:val="22"/>
          <w:szCs w:val="22"/>
        </w:rPr>
        <w:t xml:space="preserve"> al Responsable de la Unidad de Transparencia del </w:t>
      </w:r>
      <w:r w:rsidRPr="00BC66A9">
        <w:rPr>
          <w:rFonts w:ascii="Palatino Linotype" w:eastAsia="Palatino Linotype" w:hAnsi="Palatino Linotype" w:cs="Palatino Linotype"/>
          <w:b/>
          <w:sz w:val="22"/>
          <w:szCs w:val="22"/>
        </w:rPr>
        <w:t>Sujeto Obligado</w:t>
      </w:r>
      <w:r w:rsidRPr="00BC66A9">
        <w:rPr>
          <w:rFonts w:ascii="Palatino Linotype" w:eastAsia="Palatino Linotype" w:hAnsi="Palatino Linotype" w:cs="Palatino Linotype"/>
          <w:sz w:val="22"/>
          <w:szCs w:val="22"/>
        </w:rPr>
        <w:t xml:space="preserve"> la presente resolución, para su conocimiento.</w:t>
      </w:r>
    </w:p>
    <w:p w:rsidR="00C04E0E" w:rsidRPr="00BC66A9" w:rsidRDefault="00C04E0E" w:rsidP="00C04E0E">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 w:val="22"/>
          <w:szCs w:val="22"/>
          <w:lang w:eastAsia="es-ES_tradnl"/>
        </w:rPr>
      </w:pPr>
      <w:r w:rsidRPr="00BC66A9">
        <w:rPr>
          <w:rFonts w:ascii="Palatino Linotype" w:hAnsi="Palatino Linotype" w:cs="Arial"/>
          <w:b/>
          <w:sz w:val="22"/>
          <w:szCs w:val="22"/>
        </w:rPr>
        <w:t>TERCERO</w:t>
      </w:r>
      <w:r w:rsidRPr="00BC66A9">
        <w:rPr>
          <w:rFonts w:ascii="Palatino Linotype" w:hAnsi="Palatino Linotype"/>
          <w:b/>
          <w:color w:val="222222"/>
          <w:sz w:val="22"/>
          <w:szCs w:val="22"/>
          <w:lang w:eastAsia="es-ES_tradnl"/>
        </w:rPr>
        <w:t xml:space="preserve">. Notifíquese </w:t>
      </w:r>
      <w:r w:rsidRPr="00BC66A9">
        <w:rPr>
          <w:rFonts w:ascii="Palatino Linotype" w:hAnsi="Palatino Linotype"/>
          <w:color w:val="222222"/>
          <w:sz w:val="22"/>
          <w:szCs w:val="22"/>
          <w:lang w:eastAsia="es-ES_tradnl"/>
        </w:rPr>
        <w:t>a</w:t>
      </w:r>
      <w:r w:rsidRPr="00BC66A9">
        <w:rPr>
          <w:rFonts w:ascii="Palatino Linotype" w:hAnsi="Palatino Linotype"/>
          <w:b/>
          <w:color w:val="222222"/>
          <w:sz w:val="22"/>
          <w:szCs w:val="22"/>
          <w:lang w:eastAsia="es-ES_tradnl"/>
        </w:rPr>
        <w:t xml:space="preserve"> </w:t>
      </w:r>
      <w:r w:rsidRPr="00BC66A9">
        <w:rPr>
          <w:rFonts w:ascii="Palatino Linotype" w:hAnsi="Palatino Linotype"/>
          <w:b/>
          <w:sz w:val="22"/>
          <w:szCs w:val="22"/>
        </w:rPr>
        <w:t>EL RECURRENTE</w:t>
      </w:r>
      <w:r w:rsidRPr="00BC66A9">
        <w:rPr>
          <w:rFonts w:ascii="Palatino Linotype" w:hAnsi="Palatino Linotype"/>
          <w:color w:val="222222"/>
          <w:sz w:val="22"/>
          <w:szCs w:val="22"/>
          <w:lang w:eastAsia="es-ES_tradnl"/>
        </w:rPr>
        <w:t xml:space="preserve"> la presente resolución, vía </w:t>
      </w:r>
      <w:r w:rsidRPr="00BC66A9">
        <w:rPr>
          <w:rFonts w:ascii="Palatino Linotype" w:hAnsi="Palatino Linotype"/>
          <w:b/>
          <w:color w:val="222222"/>
          <w:sz w:val="22"/>
          <w:szCs w:val="22"/>
          <w:lang w:eastAsia="es-ES_tradnl"/>
        </w:rPr>
        <w:t>SAIMEX</w:t>
      </w:r>
      <w:r w:rsidRPr="00BC66A9">
        <w:rPr>
          <w:rFonts w:ascii="Palatino Linotype" w:hAnsi="Palatino Linotype"/>
          <w:color w:val="222222"/>
          <w:sz w:val="22"/>
          <w:szCs w:val="22"/>
          <w:lang w:eastAsia="es-ES_tradnl"/>
        </w:rPr>
        <w:t>.</w:t>
      </w:r>
    </w:p>
    <w:p w:rsidR="00C04E0E" w:rsidRPr="00BC66A9" w:rsidRDefault="00C04E0E" w:rsidP="00C04E0E">
      <w:pPr>
        <w:pStyle w:val="Prrafodelista"/>
        <w:widowControl w:val="0"/>
        <w:tabs>
          <w:tab w:val="left" w:pos="1701"/>
        </w:tabs>
        <w:autoSpaceDE w:val="0"/>
        <w:autoSpaceDN w:val="0"/>
        <w:adjustRightInd w:val="0"/>
        <w:spacing w:before="240" w:after="240" w:line="360" w:lineRule="auto"/>
        <w:ind w:left="0"/>
        <w:jc w:val="both"/>
        <w:rPr>
          <w:rFonts w:ascii="Palatino Linotype" w:hAnsi="Palatino Linotype"/>
          <w:color w:val="222222"/>
          <w:sz w:val="22"/>
          <w:szCs w:val="22"/>
          <w:lang w:eastAsia="es-ES_tradnl"/>
        </w:rPr>
      </w:pPr>
    </w:p>
    <w:p w:rsidR="00C04E0E" w:rsidRPr="00BC66A9" w:rsidRDefault="00C04E0E" w:rsidP="00C04E0E">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sz w:val="22"/>
          <w:szCs w:val="22"/>
        </w:rPr>
      </w:pPr>
      <w:r w:rsidRPr="00BC66A9">
        <w:rPr>
          <w:rFonts w:ascii="Palatino Linotype" w:hAnsi="Palatino Linotype"/>
          <w:b/>
          <w:color w:val="222222"/>
          <w:sz w:val="22"/>
          <w:szCs w:val="22"/>
          <w:lang w:eastAsia="es-ES_tradnl"/>
        </w:rPr>
        <w:t xml:space="preserve">CUARTO. </w:t>
      </w:r>
      <w:r w:rsidRPr="00BC66A9">
        <w:rPr>
          <w:rFonts w:ascii="Palatino Linotype" w:eastAsia="MS Mincho" w:hAnsi="Palatino Linotype"/>
          <w:sz w:val="22"/>
          <w:szCs w:val="22"/>
        </w:rPr>
        <w:t xml:space="preserve">Se hace del conocimiento de </w:t>
      </w:r>
      <w:r w:rsidRPr="00BC66A9">
        <w:rPr>
          <w:rFonts w:ascii="Palatino Linotype" w:eastAsia="MS Mincho" w:hAnsi="Palatino Linotype"/>
          <w:b/>
          <w:sz w:val="22"/>
          <w:szCs w:val="22"/>
        </w:rPr>
        <w:t>EL RECURRENTE</w:t>
      </w:r>
      <w:r w:rsidRPr="00BC66A9">
        <w:rPr>
          <w:rFonts w:ascii="Palatino Linotype" w:hAnsi="Palatino Linotype"/>
          <w:sz w:val="22"/>
          <w:szCs w:val="22"/>
        </w:rPr>
        <w:t xml:space="preserve"> </w:t>
      </w:r>
      <w:r w:rsidRPr="00BC66A9">
        <w:rPr>
          <w:rFonts w:ascii="Palatino Linotype" w:eastAsia="MS Mincho" w:hAnsi="Palatino Linotype"/>
          <w:sz w:val="22"/>
          <w:szCs w:val="22"/>
        </w:rPr>
        <w:t>que, de conformidad con lo establecido en el artículo 196 de la Ley de Transparencia y Acceso a la Información Pública del Estado de México y Municipios, en caso de que considere que la resolución le cause algún perjuicio podrá impugnarla </w:t>
      </w:r>
      <w:r w:rsidRPr="00BC66A9">
        <w:rPr>
          <w:rFonts w:ascii="Palatino Linotype" w:eastAsia="MS Mincho" w:hAnsi="Palatino Linotype"/>
          <w:bCs/>
          <w:sz w:val="22"/>
          <w:szCs w:val="22"/>
        </w:rPr>
        <w:t>vía juicio de amparo</w:t>
      </w:r>
      <w:r w:rsidRPr="00BC66A9">
        <w:rPr>
          <w:rFonts w:ascii="Palatino Linotype" w:eastAsia="MS Mincho" w:hAnsi="Palatino Linotype"/>
          <w:sz w:val="22"/>
          <w:szCs w:val="22"/>
        </w:rPr>
        <w:t> en los términos de las leyes aplicables.</w:t>
      </w:r>
    </w:p>
    <w:p w:rsidR="00C04E0E" w:rsidRPr="00BC66A9" w:rsidRDefault="00C04E0E" w:rsidP="00C04E0E">
      <w:pPr>
        <w:pStyle w:val="Prrafodelista"/>
        <w:widowControl w:val="0"/>
        <w:tabs>
          <w:tab w:val="left" w:pos="1701"/>
        </w:tabs>
        <w:autoSpaceDE w:val="0"/>
        <w:autoSpaceDN w:val="0"/>
        <w:adjustRightInd w:val="0"/>
        <w:spacing w:line="360" w:lineRule="auto"/>
        <w:ind w:left="0"/>
        <w:jc w:val="both"/>
        <w:rPr>
          <w:rFonts w:ascii="Palatino Linotype" w:hAnsi="Palatino Linotype"/>
          <w:color w:val="222222"/>
          <w:sz w:val="22"/>
          <w:szCs w:val="22"/>
          <w:lang w:eastAsia="es-ES_tradnl"/>
        </w:rPr>
      </w:pPr>
    </w:p>
    <w:p w:rsidR="007361CB" w:rsidRPr="007361CB" w:rsidRDefault="0028070E" w:rsidP="007361CB">
      <w:pPr>
        <w:spacing w:line="360" w:lineRule="auto"/>
        <w:ind w:right="-93" w:firstLine="1"/>
        <w:jc w:val="both"/>
        <w:rPr>
          <w:rFonts w:ascii="Palatino Linotype" w:hAnsi="Palatino Linotype"/>
          <w:sz w:val="22"/>
        </w:rPr>
      </w:pPr>
      <w:r w:rsidRPr="00BC66A9">
        <w:rPr>
          <w:rFonts w:ascii="Palatino Linotype" w:hAnsi="Palatino Linotype"/>
          <w:sz w:val="22"/>
        </w:rPr>
        <w:t>ASÍ LO RESUELVE, POR MAYORÍA</w:t>
      </w:r>
      <w:r w:rsidR="007361CB" w:rsidRPr="00BC66A9">
        <w:rPr>
          <w:rFonts w:ascii="Palatino Linotype" w:hAnsi="Palatino Linotype"/>
          <w:sz w:val="22"/>
        </w:rPr>
        <w:t xml:space="preserve"> DE VOTOS, EL PLENO DEL INSTITUTO DE TRANSPARENCIA, ACCESO A LA INFORMACIÓN PÚBLICA Y PROTECCIÓN DE </w:t>
      </w:r>
      <w:r w:rsidR="007361CB" w:rsidRPr="00BC66A9">
        <w:rPr>
          <w:rFonts w:ascii="Palatino Linotype" w:hAnsi="Palatino Linotype"/>
          <w:sz w:val="22"/>
        </w:rPr>
        <w:lastRenderedPageBreak/>
        <w:t>DATOS PERSONALES DEL ESTADO DE MÉXICO Y MUNICIPIOS, CONFORMADO POR LOS COMISIONADOS JOSÉ MARTÍNEZ VILCHIS; MARÍA DEL ROSARIO MEJÍA AYALA; SHARON CRISTINA MORALES MARTÍNEZ; LUIS GUSTAVO PARRA NORIEGA</w:t>
      </w:r>
      <w:r w:rsidRPr="00BC66A9">
        <w:rPr>
          <w:rFonts w:ascii="Palatino Linotype" w:hAnsi="Palatino Linotype"/>
          <w:sz w:val="22"/>
        </w:rPr>
        <w:t xml:space="preserve"> EMITIENDO VOTO DISIDENTE</w:t>
      </w:r>
      <w:r w:rsidR="007361CB" w:rsidRPr="00BC66A9">
        <w:rPr>
          <w:rFonts w:ascii="Palatino Linotype" w:hAnsi="Palatino Linotype"/>
          <w:sz w:val="20"/>
        </w:rPr>
        <w:t xml:space="preserve"> </w:t>
      </w:r>
      <w:r w:rsidR="007361CB" w:rsidRPr="00BC66A9">
        <w:rPr>
          <w:rFonts w:ascii="Palatino Linotype" w:hAnsi="Palatino Linotype"/>
          <w:sz w:val="22"/>
        </w:rPr>
        <w:t>Y GUADALUPE RAMÍREZ PEÑA; EN LA SEXTA SESIÓN ORDINARIA CELEBRADA EL DIECINUEVE (19) DE FEBRERO DE DOS MIL VEINTICINCO, ANTE EL SECRETARIO TÉCNICO DEL PLENO ALEXIS TAPIA RAMÍREZ.</w:t>
      </w:r>
      <w:r w:rsidR="007361CB" w:rsidRPr="007361CB">
        <w:rPr>
          <w:rFonts w:ascii="Palatino Linotype" w:hAnsi="Palatino Linotype"/>
          <w:sz w:val="22"/>
        </w:rPr>
        <w:t xml:space="preserve"> </w:t>
      </w:r>
    </w:p>
    <w:p w:rsidR="007361CB" w:rsidRPr="007361CB" w:rsidRDefault="007361CB" w:rsidP="007361CB">
      <w:pPr>
        <w:widowControl w:val="0"/>
        <w:autoSpaceDE w:val="0"/>
        <w:autoSpaceDN w:val="0"/>
        <w:adjustRightInd w:val="0"/>
        <w:spacing w:after="200" w:line="276" w:lineRule="auto"/>
        <w:ind w:right="-93"/>
        <w:rPr>
          <w:rFonts w:ascii="Calibri" w:hAnsi="Calibri" w:cs="Calibri"/>
          <w:sz w:val="22"/>
        </w:rPr>
      </w:pPr>
    </w:p>
    <w:p w:rsidR="007361CB" w:rsidRPr="007361CB" w:rsidRDefault="007361CB" w:rsidP="007361CB">
      <w:pPr>
        <w:spacing w:before="240" w:after="240" w:line="360" w:lineRule="auto"/>
        <w:ind w:right="-93" w:firstLine="1"/>
        <w:jc w:val="both"/>
        <w:rPr>
          <w:rFonts w:ascii="Palatino Linotype" w:hAnsi="Palatino Linotype"/>
          <w:sz w:val="22"/>
        </w:rPr>
      </w:pPr>
      <w:bookmarkStart w:id="19" w:name="_Hlk96506827"/>
    </w:p>
    <w:bookmarkEnd w:id="19"/>
    <w:p w:rsidR="00C04E0E" w:rsidRPr="00C04E0E" w:rsidRDefault="00C04E0E" w:rsidP="00C04E0E">
      <w:pPr>
        <w:spacing w:line="360" w:lineRule="auto"/>
        <w:jc w:val="both"/>
        <w:rPr>
          <w:rFonts w:ascii="Palatino Linotype" w:hAnsi="Palatino Linotype"/>
          <w:color w:val="000000" w:themeColor="text1"/>
          <w:sz w:val="22"/>
          <w:szCs w:val="22"/>
        </w:rPr>
      </w:pPr>
    </w:p>
    <w:p w:rsidR="00C04E0E" w:rsidRPr="00C04E0E" w:rsidRDefault="00C04E0E" w:rsidP="00C04E0E">
      <w:pPr>
        <w:spacing w:line="360" w:lineRule="auto"/>
        <w:jc w:val="both"/>
        <w:rPr>
          <w:rFonts w:ascii="Palatino Linotype" w:hAnsi="Palatino Linotype"/>
          <w:color w:val="000000" w:themeColor="text1"/>
          <w:sz w:val="22"/>
          <w:szCs w:val="22"/>
        </w:rPr>
      </w:pPr>
    </w:p>
    <w:p w:rsidR="00C04E0E" w:rsidRPr="00C04E0E" w:rsidRDefault="00C04E0E" w:rsidP="00C04E0E">
      <w:pPr>
        <w:spacing w:line="360" w:lineRule="auto"/>
        <w:jc w:val="both"/>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r w:rsidRPr="00C04E0E">
        <w:rPr>
          <w:rFonts w:ascii="Palatino Linotype" w:hAnsi="Palatino Linotype"/>
          <w:color w:val="000000" w:themeColor="text1"/>
          <w:sz w:val="22"/>
          <w:szCs w:val="22"/>
        </w:rPr>
        <w:tab/>
      </w: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tabs>
          <w:tab w:val="left" w:pos="3374"/>
        </w:tabs>
        <w:rPr>
          <w:rFonts w:ascii="Palatino Linotype" w:hAnsi="Palatino Linotype"/>
          <w:color w:val="000000" w:themeColor="text1"/>
          <w:sz w:val="22"/>
          <w:szCs w:val="22"/>
        </w:rPr>
      </w:pPr>
    </w:p>
    <w:p w:rsidR="00C04E0E" w:rsidRPr="00C04E0E" w:rsidRDefault="00C04E0E" w:rsidP="00C04E0E">
      <w:pPr>
        <w:rPr>
          <w:rFonts w:ascii="Palatino Linotype" w:hAnsi="Palatino Linotype"/>
          <w:sz w:val="22"/>
          <w:szCs w:val="22"/>
        </w:rPr>
      </w:pPr>
    </w:p>
    <w:p w:rsidR="001B03CD" w:rsidRPr="00C04E0E" w:rsidRDefault="001B03CD">
      <w:pPr>
        <w:rPr>
          <w:rFonts w:ascii="Palatino Linotype" w:hAnsi="Palatino Linotype"/>
          <w:sz w:val="22"/>
          <w:szCs w:val="22"/>
        </w:rPr>
      </w:pPr>
    </w:p>
    <w:sectPr w:rsidR="001B03CD" w:rsidRPr="00C04E0E" w:rsidSect="004D465B">
      <w:headerReference w:type="even" r:id="rId8"/>
      <w:headerReference w:type="default" r:id="rId9"/>
      <w:footerReference w:type="default" r:id="rId10"/>
      <w:headerReference w:type="first" r:id="rId11"/>
      <w:footerReference w:type="first" r:id="rId12"/>
      <w:pgSz w:w="12240" w:h="15840"/>
      <w:pgMar w:top="2268" w:right="1701" w:bottom="1843"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5D" w:rsidRDefault="007C145D" w:rsidP="00C04E0E">
      <w:r>
        <w:separator/>
      </w:r>
    </w:p>
  </w:endnote>
  <w:endnote w:type="continuationSeparator" w:id="0">
    <w:p w:rsidR="007C145D" w:rsidRDefault="007C145D" w:rsidP="00C0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D46375" w:rsidRPr="002D6DD8" w:rsidRDefault="00110433"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4115">
              <w:rPr>
                <w:rFonts w:ascii="Palatino Linotype" w:hAnsi="Palatino Linotype"/>
                <w:bCs/>
                <w:noProof/>
                <w:sz w:val="20"/>
              </w:rPr>
              <w:t>20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04115">
              <w:rPr>
                <w:rFonts w:ascii="Palatino Linotype" w:hAnsi="Palatino Linotype"/>
                <w:bCs/>
                <w:noProof/>
                <w:sz w:val="20"/>
              </w:rPr>
              <w:t>20</w:t>
            </w:r>
            <w:r>
              <w:rPr>
                <w:rFonts w:ascii="Palatino Linotype" w:hAnsi="Palatino Linotype"/>
                <w:bCs/>
                <w:noProof/>
                <w:sz w:val="20"/>
              </w:rPr>
              <w:fldChar w:fldCharType="end"/>
            </w:r>
          </w:p>
        </w:sdtContent>
      </w:sdt>
    </w:sdtContent>
  </w:sdt>
  <w:p w:rsidR="00D46375" w:rsidRDefault="007C14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375" w:rsidRPr="000B69FA" w:rsidRDefault="00110433" w:rsidP="003B7751">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411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04115">
      <w:rPr>
        <w:rFonts w:ascii="Palatino Linotype" w:hAnsi="Palatino Linotype"/>
        <w:bCs/>
        <w:noProof/>
        <w:sz w:val="20"/>
      </w:rPr>
      <w:t>20</w:t>
    </w:r>
    <w:r>
      <w:rPr>
        <w:rFonts w:ascii="Palatino Linotype" w:hAnsi="Palatino Linotype"/>
        <w:bCs/>
        <w:noProof/>
        <w:sz w:val="20"/>
      </w:rPr>
      <w:fldChar w:fldCharType="end"/>
    </w:r>
  </w:p>
  <w:p w:rsidR="00D46375" w:rsidRDefault="007C14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5D" w:rsidRDefault="007C145D" w:rsidP="00C04E0E">
      <w:r>
        <w:separator/>
      </w:r>
    </w:p>
  </w:footnote>
  <w:footnote w:type="continuationSeparator" w:id="0">
    <w:p w:rsidR="007C145D" w:rsidRDefault="007C145D" w:rsidP="00C0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375" w:rsidRDefault="007C145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Layout w:type="fixed"/>
      <w:tblLook w:val="0400" w:firstRow="0" w:lastRow="0" w:firstColumn="0" w:lastColumn="0" w:noHBand="0" w:noVBand="1"/>
    </w:tblPr>
    <w:tblGrid>
      <w:gridCol w:w="2976"/>
      <w:gridCol w:w="3543"/>
    </w:tblGrid>
    <w:tr w:rsidR="00C04E0E" w:rsidTr="00224F01">
      <w:trPr>
        <w:trHeight w:val="227"/>
      </w:trPr>
      <w:tc>
        <w:tcPr>
          <w:tcW w:w="2976" w:type="dxa"/>
          <w:vAlign w:val="center"/>
        </w:tcPr>
        <w:p w:rsidR="00C04E0E" w:rsidRDefault="00C04E0E" w:rsidP="00C04E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C04E0E" w:rsidRDefault="00C04E0E" w:rsidP="00C04E0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06043/INFOEM/IP/RR/2024</w:t>
          </w:r>
        </w:p>
      </w:tc>
    </w:tr>
    <w:tr w:rsidR="00C04E0E" w:rsidTr="00224F01">
      <w:trPr>
        <w:trHeight w:val="242"/>
      </w:trPr>
      <w:tc>
        <w:tcPr>
          <w:tcW w:w="2976" w:type="dxa"/>
          <w:vAlign w:val="center"/>
        </w:tcPr>
        <w:p w:rsidR="00C04E0E" w:rsidRDefault="00C04E0E" w:rsidP="00C04E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C04E0E" w:rsidRDefault="00C04E0E" w:rsidP="007361C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Secretaría de Seguridad</w:t>
          </w:r>
        </w:p>
      </w:tc>
    </w:tr>
    <w:tr w:rsidR="00C04E0E" w:rsidTr="00224F01">
      <w:trPr>
        <w:trHeight w:val="342"/>
      </w:trPr>
      <w:tc>
        <w:tcPr>
          <w:tcW w:w="2976" w:type="dxa"/>
          <w:vAlign w:val="center"/>
        </w:tcPr>
        <w:p w:rsidR="00C04E0E" w:rsidRDefault="00C04E0E" w:rsidP="00C04E0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C04E0E" w:rsidRDefault="00C04E0E" w:rsidP="00C04E0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6375" w:rsidRPr="00AE046A" w:rsidRDefault="007C145D" w:rsidP="003B7751">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75pt;margin-top:-113.2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0" w:type="dxa"/>
      <w:tblInd w:w="2552" w:type="dxa"/>
      <w:tblLayout w:type="fixed"/>
      <w:tblLook w:val="0400" w:firstRow="0" w:lastRow="0" w:firstColumn="0" w:lastColumn="0" w:noHBand="0" w:noVBand="1"/>
    </w:tblPr>
    <w:tblGrid>
      <w:gridCol w:w="2977"/>
      <w:gridCol w:w="3683"/>
    </w:tblGrid>
    <w:tr w:rsidR="00C04E0E" w:rsidTr="00224F01">
      <w:trPr>
        <w:trHeight w:val="227"/>
      </w:trPr>
      <w:tc>
        <w:tcPr>
          <w:tcW w:w="2977" w:type="dxa"/>
          <w:vAlign w:val="center"/>
        </w:tcPr>
        <w:p w:rsidR="00C04E0E" w:rsidRDefault="00C04E0E" w:rsidP="00C04E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C04E0E" w:rsidRDefault="00C04E0E" w:rsidP="00C04E0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06043/INFOEM/IP/RR/2024</w:t>
          </w:r>
        </w:p>
      </w:tc>
    </w:tr>
    <w:tr w:rsidR="00C04E0E" w:rsidTr="00224F01">
      <w:trPr>
        <w:trHeight w:val="242"/>
      </w:trPr>
      <w:tc>
        <w:tcPr>
          <w:tcW w:w="2977" w:type="dxa"/>
          <w:vAlign w:val="center"/>
        </w:tcPr>
        <w:p w:rsidR="00C04E0E" w:rsidRDefault="00C04E0E" w:rsidP="00C04E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C04E0E" w:rsidRDefault="00F04115" w:rsidP="00C04E0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bCs/>
              <w:sz w:val="22"/>
              <w:szCs w:val="22"/>
            </w:rPr>
            <w:t>XXXXXXXXXXXX</w:t>
          </w:r>
        </w:p>
      </w:tc>
    </w:tr>
    <w:tr w:rsidR="00C04E0E" w:rsidTr="00224F01">
      <w:trPr>
        <w:trHeight w:val="342"/>
      </w:trPr>
      <w:tc>
        <w:tcPr>
          <w:tcW w:w="2977" w:type="dxa"/>
          <w:vAlign w:val="center"/>
        </w:tcPr>
        <w:p w:rsidR="00C04E0E" w:rsidRDefault="00C04E0E" w:rsidP="00C04E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C04E0E" w:rsidRDefault="00C04E0E" w:rsidP="007361CB">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Secretaría de Seguridad </w:t>
          </w:r>
        </w:p>
      </w:tc>
    </w:tr>
    <w:tr w:rsidR="00C04E0E" w:rsidTr="00224F01">
      <w:trPr>
        <w:trHeight w:val="342"/>
      </w:trPr>
      <w:tc>
        <w:tcPr>
          <w:tcW w:w="2977" w:type="dxa"/>
          <w:vAlign w:val="center"/>
        </w:tcPr>
        <w:p w:rsidR="00C04E0E" w:rsidRDefault="00C04E0E" w:rsidP="00C04E0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C04E0E" w:rsidRDefault="00C04E0E" w:rsidP="00C04E0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6375" w:rsidRPr="00C222C0" w:rsidRDefault="007C145D">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1ABE"/>
    <w:multiLevelType w:val="multilevel"/>
    <w:tmpl w:val="514654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25902EAF"/>
    <w:multiLevelType w:val="hybridMultilevel"/>
    <w:tmpl w:val="798EAAE2"/>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2FB15050"/>
    <w:multiLevelType w:val="multilevel"/>
    <w:tmpl w:val="C9F2BE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0E"/>
    <w:rsid w:val="0007176D"/>
    <w:rsid w:val="00110433"/>
    <w:rsid w:val="001A364B"/>
    <w:rsid w:val="001B03CD"/>
    <w:rsid w:val="001C499F"/>
    <w:rsid w:val="001C66B8"/>
    <w:rsid w:val="002044DF"/>
    <w:rsid w:val="0028070E"/>
    <w:rsid w:val="006A0D3F"/>
    <w:rsid w:val="007361CB"/>
    <w:rsid w:val="007C145D"/>
    <w:rsid w:val="00BC66A9"/>
    <w:rsid w:val="00C04E0E"/>
    <w:rsid w:val="00D67AF6"/>
    <w:rsid w:val="00E528EC"/>
    <w:rsid w:val="00F04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093D899-77A4-435D-B9AA-47BFBA07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0E"/>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04E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4E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4E0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04E0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04E0E"/>
    <w:pPr>
      <w:tabs>
        <w:tab w:val="center" w:pos="4419"/>
        <w:tab w:val="right" w:pos="8838"/>
      </w:tabs>
    </w:pPr>
  </w:style>
  <w:style w:type="character" w:customStyle="1" w:styleId="EncabezadoCar">
    <w:name w:val="Encabezado Car"/>
    <w:basedOn w:val="Fuentedeprrafopredeter"/>
    <w:link w:val="Encabezado"/>
    <w:uiPriority w:val="99"/>
    <w:rsid w:val="00C04E0E"/>
    <w:rPr>
      <w:rFonts w:eastAsiaTheme="minorEastAsia"/>
      <w:sz w:val="24"/>
      <w:szCs w:val="24"/>
      <w:lang w:val="es-ES_tradnl" w:eastAsia="es-ES"/>
    </w:rPr>
  </w:style>
  <w:style w:type="paragraph" w:styleId="Piedepgina">
    <w:name w:val="footer"/>
    <w:basedOn w:val="Normal"/>
    <w:link w:val="PiedepginaCar"/>
    <w:uiPriority w:val="99"/>
    <w:unhideWhenUsed/>
    <w:rsid w:val="00C04E0E"/>
    <w:pPr>
      <w:tabs>
        <w:tab w:val="center" w:pos="4419"/>
        <w:tab w:val="right" w:pos="8838"/>
      </w:tabs>
    </w:pPr>
  </w:style>
  <w:style w:type="character" w:customStyle="1" w:styleId="PiedepginaCar">
    <w:name w:val="Pie de página Car"/>
    <w:basedOn w:val="Fuentedeprrafopredeter"/>
    <w:link w:val="Piedepgina"/>
    <w:uiPriority w:val="99"/>
    <w:rsid w:val="00C04E0E"/>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4E0E"/>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04E0E"/>
    <w:rPr>
      <w:rFonts w:eastAsiaTheme="minorEastAsia"/>
      <w:sz w:val="24"/>
      <w:szCs w:val="24"/>
      <w:lang w:val="es-ES_tradnl" w:eastAsia="es-ES"/>
    </w:rPr>
  </w:style>
  <w:style w:type="character" w:styleId="Hipervnculo">
    <w:name w:val="Hyperlink"/>
    <w:basedOn w:val="Fuentedeprrafopredeter"/>
    <w:uiPriority w:val="99"/>
    <w:unhideWhenUsed/>
    <w:rsid w:val="00C04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5111</Words>
  <Characters>28114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8</cp:revision>
  <cp:lastPrinted>2025-02-20T15:58:00Z</cp:lastPrinted>
  <dcterms:created xsi:type="dcterms:W3CDTF">2025-02-13T18:22:00Z</dcterms:created>
  <dcterms:modified xsi:type="dcterms:W3CDTF">2025-04-04T19:50:00Z</dcterms:modified>
</cp:coreProperties>
</file>