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A00E9" w14:textId="1A25CA83" w:rsidR="00B060F3" w:rsidRPr="003B516A" w:rsidRDefault="00F32370">
      <w:pPr>
        <w:tabs>
          <w:tab w:val="left" w:pos="0"/>
        </w:tabs>
        <w:spacing w:line="360" w:lineRule="auto"/>
        <w:jc w:val="both"/>
        <w:rPr>
          <w:rFonts w:ascii="Palatino Linotype" w:eastAsia="Palatino Linotype" w:hAnsi="Palatino Linotype" w:cs="Palatino Linotype"/>
        </w:rPr>
      </w:pPr>
      <w:bookmarkStart w:id="0" w:name="_GoBack"/>
      <w:bookmarkEnd w:id="0"/>
      <w:r w:rsidRPr="003B516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3B516A">
        <w:rPr>
          <w:rFonts w:ascii="Palatino Linotype" w:eastAsia="Palatino Linotype" w:hAnsi="Palatino Linotype" w:cs="Palatino Linotype"/>
        </w:rPr>
        <w:t xml:space="preserve">n Metepec, Estado de México; de fecha </w:t>
      </w:r>
      <w:r w:rsidR="00337BC7" w:rsidRPr="003B516A">
        <w:rPr>
          <w:rFonts w:ascii="Palatino Linotype" w:eastAsia="Palatino Linotype" w:hAnsi="Palatino Linotype" w:cs="Palatino Linotype"/>
          <w:b/>
        </w:rPr>
        <w:t>dieciséis</w:t>
      </w:r>
      <w:r w:rsidR="003B516A">
        <w:rPr>
          <w:rFonts w:ascii="Palatino Linotype" w:eastAsia="Palatino Linotype" w:hAnsi="Palatino Linotype" w:cs="Palatino Linotype"/>
          <w:b/>
        </w:rPr>
        <w:t xml:space="preserve"> (16)</w:t>
      </w:r>
      <w:r w:rsidRPr="003B516A">
        <w:rPr>
          <w:rFonts w:ascii="Palatino Linotype" w:eastAsia="Palatino Linotype" w:hAnsi="Palatino Linotype" w:cs="Palatino Linotype"/>
          <w:b/>
        </w:rPr>
        <w:t xml:space="preserve"> de julio de dos mil veinticinco.</w:t>
      </w:r>
      <w:r w:rsidRPr="003B516A">
        <w:rPr>
          <w:rFonts w:ascii="Palatino Linotype" w:eastAsia="Palatino Linotype" w:hAnsi="Palatino Linotype" w:cs="Palatino Linotype"/>
        </w:rPr>
        <w:t xml:space="preserve"> </w:t>
      </w:r>
    </w:p>
    <w:p w14:paraId="4741B619" w14:textId="77777777" w:rsidR="00B060F3" w:rsidRPr="003B516A" w:rsidRDefault="00B060F3">
      <w:pPr>
        <w:tabs>
          <w:tab w:val="left" w:pos="0"/>
        </w:tabs>
        <w:spacing w:line="360" w:lineRule="auto"/>
        <w:jc w:val="both"/>
        <w:rPr>
          <w:rFonts w:ascii="Palatino Linotype" w:eastAsia="Palatino Linotype" w:hAnsi="Palatino Linotype" w:cs="Palatino Linotype"/>
        </w:rPr>
      </w:pPr>
    </w:p>
    <w:p w14:paraId="3EF3B38D" w14:textId="77777777" w:rsidR="00B060F3" w:rsidRPr="003B516A" w:rsidRDefault="00F32370">
      <w:pPr>
        <w:spacing w:line="360" w:lineRule="auto"/>
        <w:jc w:val="both"/>
        <w:rPr>
          <w:rFonts w:ascii="Palatino Linotype" w:eastAsia="Palatino Linotype" w:hAnsi="Palatino Linotype" w:cs="Palatino Linotype"/>
        </w:rPr>
      </w:pPr>
      <w:r w:rsidRPr="003B516A">
        <w:rPr>
          <w:rFonts w:ascii="Palatino Linotype" w:eastAsia="Palatino Linotype" w:hAnsi="Palatino Linotype" w:cs="Palatino Linotype"/>
          <w:b/>
        </w:rPr>
        <w:t>VISTO</w:t>
      </w:r>
      <w:r w:rsidRPr="003B516A">
        <w:rPr>
          <w:rFonts w:ascii="Palatino Linotype" w:eastAsia="Palatino Linotype" w:hAnsi="Palatino Linotype" w:cs="Palatino Linotype"/>
        </w:rPr>
        <w:t xml:space="preserve"> el expediente electrónico formado con motivo del recurso de revisión </w:t>
      </w:r>
      <w:r w:rsidRPr="003B516A">
        <w:rPr>
          <w:rFonts w:ascii="Palatino Linotype" w:eastAsia="Palatino Linotype" w:hAnsi="Palatino Linotype" w:cs="Palatino Linotype"/>
          <w:b/>
        </w:rPr>
        <w:t xml:space="preserve">02133/INFOEM/IP/RR/2025, </w:t>
      </w:r>
      <w:r w:rsidRPr="003B516A">
        <w:rPr>
          <w:rFonts w:ascii="Palatino Linotype" w:eastAsia="Palatino Linotype" w:hAnsi="Palatino Linotype" w:cs="Palatino Linotype"/>
        </w:rPr>
        <w:t xml:space="preserve">promovido por </w:t>
      </w:r>
      <w:r w:rsidRPr="003B516A">
        <w:rPr>
          <w:rFonts w:ascii="Palatino Linotype" w:eastAsia="Palatino Linotype" w:hAnsi="Palatino Linotype" w:cs="Palatino Linotype"/>
          <w:b/>
        </w:rPr>
        <w:t>un usuario que no proporcionó nombre</w:t>
      </w:r>
      <w:r w:rsidRPr="003B516A">
        <w:rPr>
          <w:rFonts w:ascii="Palatino Linotype" w:eastAsia="Palatino Linotype" w:hAnsi="Palatino Linotype" w:cs="Palatino Linotype"/>
        </w:rPr>
        <w:t xml:space="preserve">, quien en lo sucesivo se le identificara como </w:t>
      </w:r>
      <w:r w:rsidRPr="003B516A">
        <w:rPr>
          <w:rFonts w:ascii="Palatino Linotype" w:eastAsia="Palatino Linotype" w:hAnsi="Palatino Linotype" w:cs="Palatino Linotype"/>
          <w:b/>
        </w:rPr>
        <w:t>RECURRENTE</w:t>
      </w:r>
      <w:r w:rsidRPr="003B516A">
        <w:rPr>
          <w:rFonts w:ascii="Palatino Linotype" w:eastAsia="Palatino Linotype" w:hAnsi="Palatino Linotype" w:cs="Palatino Linotype"/>
        </w:rPr>
        <w:t xml:space="preserve">, en contra de la respuesta del </w:t>
      </w:r>
      <w:r w:rsidRPr="003B516A">
        <w:rPr>
          <w:rFonts w:ascii="Palatino Linotype" w:eastAsia="Palatino Linotype" w:hAnsi="Palatino Linotype" w:cs="Palatino Linotype"/>
          <w:b/>
        </w:rPr>
        <w:t xml:space="preserve">Ayuntamiento de Toluca, </w:t>
      </w:r>
      <w:r w:rsidRPr="003B516A">
        <w:rPr>
          <w:rFonts w:ascii="Palatino Linotype" w:eastAsia="Palatino Linotype" w:hAnsi="Palatino Linotype" w:cs="Palatino Linotype"/>
        </w:rPr>
        <w:t>en lo sucesivo el</w:t>
      </w:r>
      <w:r w:rsidRPr="003B516A">
        <w:rPr>
          <w:rFonts w:ascii="Palatino Linotype" w:eastAsia="Palatino Linotype" w:hAnsi="Palatino Linotype" w:cs="Palatino Linotype"/>
          <w:b/>
        </w:rPr>
        <w:t xml:space="preserve"> SUJETO OBLIGADO, </w:t>
      </w:r>
      <w:r w:rsidRPr="003B516A">
        <w:rPr>
          <w:rFonts w:ascii="Palatino Linotype" w:eastAsia="Palatino Linotype" w:hAnsi="Palatino Linotype" w:cs="Palatino Linotype"/>
        </w:rPr>
        <w:t xml:space="preserve">se procede a dictar la presente resolución, con base en los siguientes: </w:t>
      </w:r>
    </w:p>
    <w:p w14:paraId="263BF33A" w14:textId="77777777" w:rsidR="00B060F3" w:rsidRPr="003B516A" w:rsidRDefault="00B060F3">
      <w:pPr>
        <w:spacing w:line="360" w:lineRule="auto"/>
        <w:jc w:val="both"/>
        <w:rPr>
          <w:rFonts w:ascii="Palatino Linotype" w:eastAsia="Palatino Linotype" w:hAnsi="Palatino Linotype" w:cs="Palatino Linotype"/>
        </w:rPr>
      </w:pPr>
    </w:p>
    <w:p w14:paraId="64EECB17" w14:textId="3EB2CF53" w:rsidR="00B060F3" w:rsidRPr="003B516A" w:rsidRDefault="00F32370">
      <w:pPr>
        <w:keepNext/>
        <w:keepLines/>
        <w:tabs>
          <w:tab w:val="left" w:pos="0"/>
        </w:tabs>
        <w:spacing w:line="360" w:lineRule="auto"/>
        <w:jc w:val="center"/>
        <w:rPr>
          <w:rFonts w:ascii="Palatino Linotype" w:eastAsia="Palatino Linotype" w:hAnsi="Palatino Linotype" w:cs="Palatino Linotype"/>
          <w:b/>
        </w:rPr>
      </w:pPr>
      <w:bookmarkStart w:id="1" w:name="_heading=h.6tve8bawzu4o" w:colFirst="0" w:colLast="0"/>
      <w:bookmarkEnd w:id="1"/>
      <w:r w:rsidRPr="003B516A">
        <w:rPr>
          <w:rFonts w:ascii="Palatino Linotype" w:eastAsia="Palatino Linotype" w:hAnsi="Palatino Linotype" w:cs="Palatino Linotype"/>
          <w:b/>
        </w:rPr>
        <w:t>A</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N</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T</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E</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C</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E</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D</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E</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N</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T</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E</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S</w:t>
      </w:r>
      <w:r w:rsidR="003B516A">
        <w:rPr>
          <w:rFonts w:ascii="Palatino Linotype" w:eastAsia="Palatino Linotype" w:hAnsi="Palatino Linotype" w:cs="Palatino Linotype"/>
          <w:b/>
        </w:rPr>
        <w:t xml:space="preserve"> </w:t>
      </w:r>
    </w:p>
    <w:p w14:paraId="37F21516" w14:textId="77777777" w:rsidR="00B060F3" w:rsidRPr="003B516A" w:rsidRDefault="00B060F3">
      <w:pPr>
        <w:keepNext/>
        <w:keepLines/>
        <w:tabs>
          <w:tab w:val="left" w:pos="0"/>
        </w:tabs>
        <w:spacing w:line="360" w:lineRule="auto"/>
        <w:jc w:val="center"/>
        <w:rPr>
          <w:rFonts w:ascii="Palatino Linotype" w:eastAsia="Palatino Linotype" w:hAnsi="Palatino Linotype" w:cs="Palatino Linotype"/>
          <w:b/>
        </w:rPr>
      </w:pPr>
    </w:p>
    <w:p w14:paraId="5D1FBDC3" w14:textId="77777777" w:rsidR="00B060F3" w:rsidRPr="003B516A" w:rsidRDefault="00F32370">
      <w:pPr>
        <w:numPr>
          <w:ilvl w:val="0"/>
          <w:numId w:val="1"/>
        </w:numPr>
        <w:tabs>
          <w:tab w:val="left" w:pos="0"/>
        </w:tabs>
        <w:spacing w:line="360" w:lineRule="auto"/>
        <w:ind w:left="0"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t xml:space="preserve">El </w:t>
      </w:r>
      <w:r w:rsidRPr="003B516A">
        <w:rPr>
          <w:rFonts w:ascii="Palatino Linotype" w:eastAsia="Palatino Linotype" w:hAnsi="Palatino Linotype" w:cs="Palatino Linotype"/>
          <w:b/>
        </w:rPr>
        <w:t>trece de enero de dos mil veinticinco</w:t>
      </w:r>
      <w:r w:rsidRPr="003B516A">
        <w:rPr>
          <w:rFonts w:ascii="Palatino Linotype" w:eastAsia="Palatino Linotype" w:hAnsi="Palatino Linotype" w:cs="Palatino Linotype"/>
        </w:rPr>
        <w:t>, el</w:t>
      </w:r>
      <w:r w:rsidRP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rPr>
        <w:t>solicitante</w:t>
      </w:r>
      <w:r w:rsidRP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rPr>
        <w:t>presentó</w:t>
      </w:r>
      <w:r w:rsidRP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rPr>
        <w:t xml:space="preserve">ante el </w:t>
      </w:r>
      <w:r w:rsidRPr="003B516A">
        <w:rPr>
          <w:rFonts w:ascii="Palatino Linotype" w:eastAsia="Palatino Linotype" w:hAnsi="Palatino Linotype" w:cs="Palatino Linotype"/>
          <w:b/>
        </w:rPr>
        <w:t>SUJETO OBLIGADO,</w:t>
      </w:r>
      <w:r w:rsidRPr="003B516A">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3B516A">
        <w:rPr>
          <w:rFonts w:ascii="Palatino Linotype" w:eastAsia="Palatino Linotype" w:hAnsi="Palatino Linotype" w:cs="Palatino Linotype"/>
          <w:b/>
        </w:rPr>
        <w:t> 00191/TOLUCA/IP/2025</w:t>
      </w:r>
      <w:r w:rsidRPr="003B516A">
        <w:rPr>
          <w:rFonts w:ascii="Palatino Linotype" w:eastAsia="Palatino Linotype" w:hAnsi="Palatino Linotype" w:cs="Palatino Linotype"/>
        </w:rPr>
        <w:t>, mediante la cual se solicitó:</w:t>
      </w:r>
    </w:p>
    <w:p w14:paraId="4C35DE57" w14:textId="77777777" w:rsidR="00B060F3" w:rsidRPr="003B516A" w:rsidRDefault="00F32370">
      <w:pPr>
        <w:tabs>
          <w:tab w:val="left" w:pos="0"/>
        </w:tabs>
        <w:spacing w:line="360" w:lineRule="auto"/>
        <w:ind w:left="567" w:right="822"/>
        <w:jc w:val="both"/>
        <w:rPr>
          <w:rFonts w:ascii="Palatino Linotype" w:eastAsia="Palatino Linotype" w:hAnsi="Palatino Linotype" w:cs="Palatino Linotype"/>
          <w:i/>
        </w:rPr>
      </w:pPr>
      <w:r w:rsidRPr="003B516A">
        <w:rPr>
          <w:rFonts w:ascii="Palatino Linotype" w:eastAsia="Palatino Linotype" w:hAnsi="Palatino Linotype" w:cs="Palatino Linotype"/>
          <w:i/>
        </w:rPr>
        <w:t>“</w:t>
      </w:r>
      <w:r w:rsidRPr="003B516A">
        <w:rPr>
          <w:rFonts w:ascii="Palatino Linotype" w:eastAsia="Palatino Linotype" w:hAnsi="Palatino Linotype" w:cs="Palatino Linotype"/>
          <w:i/>
          <w:color w:val="000000"/>
        </w:rPr>
        <w:t>Cuantas auditorías financieras se realizaron a la administración 2019 a 2021 los halalshos y los resultados por entes externos y la contraloría interna hubo sansiones a servidores públicos por el mal manejo de recursos</w:t>
      </w:r>
      <w:r w:rsidRPr="003B516A">
        <w:rPr>
          <w:rFonts w:ascii="Palatino Linotype" w:eastAsia="Palatino Linotype" w:hAnsi="Palatino Linotype" w:cs="Palatino Linotype"/>
          <w:i/>
        </w:rPr>
        <w:t>” (Sic)</w:t>
      </w:r>
    </w:p>
    <w:p w14:paraId="499F9D3A" w14:textId="77777777" w:rsidR="00B060F3" w:rsidRPr="003B516A" w:rsidRDefault="00B060F3">
      <w:pPr>
        <w:tabs>
          <w:tab w:val="left" w:pos="0"/>
        </w:tabs>
        <w:spacing w:line="360" w:lineRule="auto"/>
        <w:ind w:right="49"/>
        <w:jc w:val="both"/>
        <w:rPr>
          <w:rFonts w:ascii="Palatino Linotype" w:eastAsia="Palatino Linotype" w:hAnsi="Palatino Linotype" w:cs="Palatino Linotype"/>
        </w:rPr>
      </w:pPr>
    </w:p>
    <w:p w14:paraId="0B5F89F3"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color w:val="000000"/>
        </w:rPr>
        <w:t>Se hace constar que se señaló como modalidad de entrega de la información a través de SAIMEX.</w:t>
      </w:r>
    </w:p>
    <w:p w14:paraId="6B3BD484" w14:textId="77777777" w:rsidR="00B060F3" w:rsidRPr="003B516A" w:rsidRDefault="00B060F3">
      <w:pPr>
        <w:spacing w:line="360" w:lineRule="auto"/>
        <w:rPr>
          <w:rFonts w:ascii="Palatino Linotype" w:eastAsia="Palatino Linotype" w:hAnsi="Palatino Linotype" w:cs="Palatino Linotype"/>
        </w:rPr>
      </w:pPr>
    </w:p>
    <w:p w14:paraId="7154B05B" w14:textId="77777777" w:rsidR="00B060F3" w:rsidRPr="003B516A" w:rsidRDefault="00F32370">
      <w:pPr>
        <w:numPr>
          <w:ilvl w:val="0"/>
          <w:numId w:val="1"/>
        </w:numPr>
        <w:tabs>
          <w:tab w:val="left" w:pos="0"/>
        </w:tabs>
        <w:spacing w:line="360" w:lineRule="auto"/>
        <w:ind w:left="0" w:right="34"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t xml:space="preserve">El </w:t>
      </w:r>
      <w:r w:rsidRPr="003B516A">
        <w:rPr>
          <w:rFonts w:ascii="Palatino Linotype" w:eastAsia="Palatino Linotype" w:hAnsi="Palatino Linotype" w:cs="Palatino Linotype"/>
          <w:b/>
        </w:rPr>
        <w:t>catorce de enero de dos mil veinticinco,</w:t>
      </w:r>
      <w:r w:rsidRPr="003B516A">
        <w:rPr>
          <w:rFonts w:ascii="Palatino Linotype" w:eastAsia="Palatino Linotype" w:hAnsi="Palatino Linotype" w:cs="Palatino Linotype"/>
        </w:rPr>
        <w:t xml:space="preserve"> se realizó un requerimiento al servidor público habilitado. </w:t>
      </w:r>
    </w:p>
    <w:p w14:paraId="35EEEAEB" w14:textId="77777777" w:rsidR="00B060F3" w:rsidRPr="003B516A" w:rsidRDefault="00F32370">
      <w:pPr>
        <w:numPr>
          <w:ilvl w:val="0"/>
          <w:numId w:val="1"/>
        </w:numPr>
        <w:tabs>
          <w:tab w:val="left" w:pos="0"/>
        </w:tabs>
        <w:spacing w:line="360" w:lineRule="auto"/>
        <w:ind w:left="0" w:right="34"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lastRenderedPageBreak/>
        <w:t xml:space="preserve">El </w:t>
      </w:r>
      <w:r w:rsidRPr="003B516A">
        <w:rPr>
          <w:rFonts w:ascii="Palatino Linotype" w:eastAsia="Palatino Linotype" w:hAnsi="Palatino Linotype" w:cs="Palatino Linotype"/>
          <w:b/>
        </w:rPr>
        <w:t>cinco de febrero de dos mil veinticinco</w:t>
      </w:r>
      <w:r w:rsidRPr="003B516A">
        <w:rPr>
          <w:rFonts w:ascii="Palatino Linotype" w:eastAsia="Palatino Linotype" w:hAnsi="Palatino Linotype" w:cs="Palatino Linotype"/>
        </w:rPr>
        <w:t>, el Sujeto Obligado dio respuesta a la solicitud de información en el siguiente sentido:</w:t>
      </w:r>
    </w:p>
    <w:p w14:paraId="29B71D07" w14:textId="77777777" w:rsidR="00B060F3" w:rsidRPr="003B516A" w:rsidRDefault="00B060F3">
      <w:pPr>
        <w:tabs>
          <w:tab w:val="left" w:pos="0"/>
        </w:tabs>
        <w:spacing w:line="360" w:lineRule="auto"/>
        <w:ind w:right="34"/>
        <w:jc w:val="both"/>
        <w:rPr>
          <w:rFonts w:ascii="Palatino Linotype" w:eastAsia="Palatino Linotype" w:hAnsi="Palatino Linotype" w:cs="Palatino Linotype"/>
        </w:rPr>
      </w:pPr>
    </w:p>
    <w:tbl>
      <w:tblPr>
        <w:tblStyle w:val="a"/>
        <w:tblW w:w="7537" w:type="dxa"/>
        <w:jc w:val="center"/>
        <w:tblInd w:w="0" w:type="dxa"/>
        <w:tblLayout w:type="fixed"/>
        <w:tblLook w:val="0400" w:firstRow="0" w:lastRow="0" w:firstColumn="0" w:lastColumn="0" w:noHBand="0" w:noVBand="1"/>
      </w:tblPr>
      <w:tblGrid>
        <w:gridCol w:w="7537"/>
      </w:tblGrid>
      <w:tr w:rsidR="00B060F3" w:rsidRPr="003B516A" w14:paraId="1113AFF4" w14:textId="77777777">
        <w:trPr>
          <w:trHeight w:val="346"/>
          <w:jc w:val="center"/>
        </w:trPr>
        <w:tc>
          <w:tcPr>
            <w:tcW w:w="7537" w:type="dxa"/>
            <w:vAlign w:val="center"/>
          </w:tcPr>
          <w:p w14:paraId="70E15F58" w14:textId="77777777" w:rsidR="00B060F3" w:rsidRPr="003B516A" w:rsidRDefault="00F32370">
            <w:pPr>
              <w:jc w:val="right"/>
              <w:rPr>
                <w:rFonts w:ascii="Palatino Linotype" w:eastAsia="Palatino Linotype" w:hAnsi="Palatino Linotype" w:cs="Palatino Linotype"/>
                <w:i/>
              </w:rPr>
            </w:pPr>
            <w:r w:rsidRPr="003B516A">
              <w:rPr>
                <w:rFonts w:ascii="Palatino Linotype" w:eastAsia="Palatino Linotype" w:hAnsi="Palatino Linotype" w:cs="Palatino Linotype"/>
                <w:i/>
              </w:rPr>
              <w:t>“Toluca, México a 05 de Febrero de 2025</w:t>
            </w:r>
          </w:p>
        </w:tc>
      </w:tr>
      <w:tr w:rsidR="00B060F3" w:rsidRPr="003B516A" w14:paraId="4D93ED1F" w14:textId="77777777">
        <w:trPr>
          <w:trHeight w:val="346"/>
          <w:jc w:val="center"/>
        </w:trPr>
        <w:tc>
          <w:tcPr>
            <w:tcW w:w="7537" w:type="dxa"/>
            <w:vAlign w:val="center"/>
          </w:tcPr>
          <w:p w14:paraId="3B51D638" w14:textId="77777777" w:rsidR="00B060F3" w:rsidRPr="003B516A" w:rsidRDefault="00F32370">
            <w:pPr>
              <w:jc w:val="right"/>
              <w:rPr>
                <w:rFonts w:ascii="Palatino Linotype" w:eastAsia="Palatino Linotype" w:hAnsi="Palatino Linotype" w:cs="Palatino Linotype"/>
                <w:i/>
              </w:rPr>
            </w:pPr>
            <w:r w:rsidRPr="003B516A">
              <w:rPr>
                <w:rFonts w:ascii="Palatino Linotype" w:eastAsia="Palatino Linotype" w:hAnsi="Palatino Linotype" w:cs="Palatino Linotype"/>
                <w:i/>
              </w:rPr>
              <w:t>Nombre del solicitante: C. Solicitante</w:t>
            </w:r>
          </w:p>
        </w:tc>
      </w:tr>
      <w:tr w:rsidR="00B060F3" w:rsidRPr="003B516A" w14:paraId="7CFC1CC0" w14:textId="77777777">
        <w:trPr>
          <w:trHeight w:val="346"/>
          <w:jc w:val="center"/>
        </w:trPr>
        <w:tc>
          <w:tcPr>
            <w:tcW w:w="7537" w:type="dxa"/>
            <w:vAlign w:val="center"/>
          </w:tcPr>
          <w:p w14:paraId="3EFCA2BE" w14:textId="77777777" w:rsidR="00B060F3" w:rsidRPr="003B516A" w:rsidRDefault="00F32370">
            <w:pPr>
              <w:jc w:val="right"/>
              <w:rPr>
                <w:rFonts w:ascii="Palatino Linotype" w:eastAsia="Palatino Linotype" w:hAnsi="Palatino Linotype" w:cs="Palatino Linotype"/>
                <w:i/>
              </w:rPr>
            </w:pPr>
            <w:r w:rsidRPr="003B516A">
              <w:rPr>
                <w:rFonts w:ascii="Palatino Linotype" w:eastAsia="Palatino Linotype" w:hAnsi="Palatino Linotype" w:cs="Palatino Linotype"/>
                <w:i/>
              </w:rPr>
              <w:t>Folio de la solicitud: 00191/TOLUCA/IP/2025</w:t>
            </w:r>
          </w:p>
        </w:tc>
      </w:tr>
      <w:tr w:rsidR="00B060F3" w:rsidRPr="003B516A" w14:paraId="51B300FA" w14:textId="77777777">
        <w:trPr>
          <w:trHeight w:val="519"/>
          <w:jc w:val="center"/>
        </w:trPr>
        <w:tc>
          <w:tcPr>
            <w:tcW w:w="7537" w:type="dxa"/>
            <w:vAlign w:val="center"/>
          </w:tcPr>
          <w:p w14:paraId="6EE7E7C2" w14:textId="77777777" w:rsidR="00B060F3" w:rsidRPr="003B516A" w:rsidRDefault="00B060F3">
            <w:pPr>
              <w:jc w:val="right"/>
              <w:rPr>
                <w:rFonts w:ascii="Palatino Linotype" w:eastAsia="Palatino Linotype" w:hAnsi="Palatino Linotype" w:cs="Palatino Linotype"/>
                <w:i/>
              </w:rPr>
            </w:pPr>
          </w:p>
        </w:tc>
      </w:tr>
      <w:tr w:rsidR="00B060F3" w:rsidRPr="003B516A" w14:paraId="3F96438D" w14:textId="77777777">
        <w:trPr>
          <w:trHeight w:val="173"/>
          <w:jc w:val="center"/>
        </w:trPr>
        <w:tc>
          <w:tcPr>
            <w:tcW w:w="7537" w:type="dxa"/>
            <w:vAlign w:val="center"/>
          </w:tcPr>
          <w:p w14:paraId="5B394844" w14:textId="77777777" w:rsidR="00B060F3" w:rsidRPr="003B516A" w:rsidRDefault="00F32370">
            <w:pPr>
              <w:rPr>
                <w:rFonts w:ascii="Palatino Linotype" w:eastAsia="Palatino Linotype" w:hAnsi="Palatino Linotype" w:cs="Palatino Linotype"/>
                <w:i/>
              </w:rPr>
            </w:pPr>
            <w:r w:rsidRPr="003B516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060F3" w:rsidRPr="003B516A" w14:paraId="5B37C031" w14:textId="77777777">
        <w:trPr>
          <w:trHeight w:val="432"/>
          <w:jc w:val="center"/>
        </w:trPr>
        <w:tc>
          <w:tcPr>
            <w:tcW w:w="7537" w:type="dxa"/>
            <w:vAlign w:val="center"/>
          </w:tcPr>
          <w:p w14:paraId="02AA52D1" w14:textId="77777777" w:rsidR="00B060F3" w:rsidRPr="003B516A" w:rsidRDefault="00B060F3">
            <w:pPr>
              <w:rPr>
                <w:rFonts w:ascii="Palatino Linotype" w:eastAsia="Palatino Linotype" w:hAnsi="Palatino Linotype" w:cs="Palatino Linotype"/>
                <w:i/>
              </w:rPr>
            </w:pPr>
          </w:p>
        </w:tc>
      </w:tr>
      <w:tr w:rsidR="00B060F3" w:rsidRPr="003B516A" w14:paraId="77C88EF1" w14:textId="77777777">
        <w:trPr>
          <w:trHeight w:val="173"/>
          <w:jc w:val="center"/>
        </w:trPr>
        <w:tc>
          <w:tcPr>
            <w:tcW w:w="7537" w:type="dxa"/>
            <w:vAlign w:val="center"/>
          </w:tcPr>
          <w:p w14:paraId="04D4EE59" w14:textId="77777777" w:rsidR="00B060F3" w:rsidRPr="003B516A" w:rsidRDefault="00F32370">
            <w:pPr>
              <w:rPr>
                <w:rFonts w:ascii="Palatino Linotype" w:eastAsia="Palatino Linotype" w:hAnsi="Palatino Linotype" w:cs="Palatino Linotype"/>
                <w:i/>
              </w:rPr>
            </w:pPr>
            <w:r w:rsidRPr="003B516A">
              <w:rPr>
                <w:rFonts w:ascii="Palatino Linotype" w:eastAsia="Palatino Linotype" w:hAnsi="Palatino Linotype" w:cs="Palatino Linotype"/>
                <w:i/>
              </w:rPr>
              <w:t>En atención a la solicitud con folio 0191/TOLUCA/IP/2025, me permito adjuntar al presente la respuesta correspondiente. Sin más por el momento, reciba un saludo.</w:t>
            </w:r>
          </w:p>
        </w:tc>
      </w:tr>
      <w:tr w:rsidR="00B060F3" w:rsidRPr="003B516A" w14:paraId="529D4750" w14:textId="77777777">
        <w:trPr>
          <w:trHeight w:val="432"/>
          <w:jc w:val="center"/>
        </w:trPr>
        <w:tc>
          <w:tcPr>
            <w:tcW w:w="7537" w:type="dxa"/>
            <w:vAlign w:val="center"/>
          </w:tcPr>
          <w:p w14:paraId="64209FBF" w14:textId="77777777" w:rsidR="00B060F3" w:rsidRPr="003B516A" w:rsidRDefault="00B060F3">
            <w:pPr>
              <w:rPr>
                <w:rFonts w:ascii="Palatino Linotype" w:eastAsia="Palatino Linotype" w:hAnsi="Palatino Linotype" w:cs="Palatino Linotype"/>
                <w:i/>
              </w:rPr>
            </w:pPr>
          </w:p>
        </w:tc>
      </w:tr>
      <w:tr w:rsidR="00B060F3" w:rsidRPr="003B516A" w14:paraId="1ABAE03C" w14:textId="77777777">
        <w:trPr>
          <w:trHeight w:val="173"/>
          <w:jc w:val="center"/>
        </w:trPr>
        <w:tc>
          <w:tcPr>
            <w:tcW w:w="7537" w:type="dxa"/>
            <w:vAlign w:val="center"/>
          </w:tcPr>
          <w:p w14:paraId="76C5BB99" w14:textId="77777777" w:rsidR="00B060F3" w:rsidRPr="003B516A" w:rsidRDefault="00B060F3">
            <w:pPr>
              <w:jc w:val="center"/>
              <w:rPr>
                <w:rFonts w:ascii="Palatino Linotype" w:eastAsia="Palatino Linotype" w:hAnsi="Palatino Linotype" w:cs="Palatino Linotype"/>
                <w:i/>
              </w:rPr>
            </w:pPr>
          </w:p>
        </w:tc>
      </w:tr>
      <w:tr w:rsidR="00B060F3" w:rsidRPr="003B516A" w14:paraId="3F2D3288" w14:textId="77777777">
        <w:trPr>
          <w:trHeight w:val="173"/>
          <w:jc w:val="center"/>
        </w:trPr>
        <w:tc>
          <w:tcPr>
            <w:tcW w:w="7537" w:type="dxa"/>
            <w:vAlign w:val="center"/>
          </w:tcPr>
          <w:p w14:paraId="0E3916D2" w14:textId="77777777" w:rsidR="00B060F3" w:rsidRPr="003B516A" w:rsidRDefault="00B060F3">
            <w:pPr>
              <w:rPr>
                <w:rFonts w:ascii="Palatino Linotype" w:eastAsia="Palatino Linotype" w:hAnsi="Palatino Linotype" w:cs="Palatino Linotype"/>
                <w:i/>
              </w:rPr>
            </w:pPr>
          </w:p>
        </w:tc>
      </w:tr>
      <w:tr w:rsidR="00B060F3" w:rsidRPr="003B516A" w14:paraId="2B8A70F9" w14:textId="77777777">
        <w:trPr>
          <w:trHeight w:val="173"/>
          <w:jc w:val="center"/>
        </w:trPr>
        <w:tc>
          <w:tcPr>
            <w:tcW w:w="7537" w:type="dxa"/>
            <w:vAlign w:val="center"/>
          </w:tcPr>
          <w:p w14:paraId="43F866BE" w14:textId="77777777" w:rsidR="00B060F3" w:rsidRPr="003B516A" w:rsidRDefault="00F32370">
            <w:pPr>
              <w:rPr>
                <w:rFonts w:ascii="Palatino Linotype" w:eastAsia="Palatino Linotype" w:hAnsi="Palatino Linotype" w:cs="Palatino Linotype"/>
                <w:i/>
              </w:rPr>
            </w:pPr>
            <w:r w:rsidRPr="003B516A">
              <w:rPr>
                <w:rFonts w:ascii="Palatino Linotype" w:eastAsia="Palatino Linotype" w:hAnsi="Palatino Linotype" w:cs="Palatino Linotype"/>
                <w:i/>
              </w:rPr>
              <w:t>ATENTAMENTE</w:t>
            </w:r>
          </w:p>
        </w:tc>
      </w:tr>
      <w:tr w:rsidR="00B060F3" w:rsidRPr="003B516A" w14:paraId="6203B1E2" w14:textId="77777777">
        <w:trPr>
          <w:trHeight w:val="259"/>
          <w:jc w:val="center"/>
        </w:trPr>
        <w:tc>
          <w:tcPr>
            <w:tcW w:w="7537" w:type="dxa"/>
            <w:vAlign w:val="center"/>
          </w:tcPr>
          <w:p w14:paraId="791CD426" w14:textId="77777777" w:rsidR="00B060F3" w:rsidRPr="003B516A" w:rsidRDefault="00B060F3">
            <w:pPr>
              <w:rPr>
                <w:rFonts w:ascii="Palatino Linotype" w:eastAsia="Palatino Linotype" w:hAnsi="Palatino Linotype" w:cs="Palatino Linotype"/>
                <w:i/>
              </w:rPr>
            </w:pPr>
          </w:p>
        </w:tc>
      </w:tr>
      <w:tr w:rsidR="00B060F3" w:rsidRPr="003B516A" w14:paraId="2C7B2E76" w14:textId="77777777">
        <w:trPr>
          <w:trHeight w:val="173"/>
          <w:jc w:val="center"/>
        </w:trPr>
        <w:tc>
          <w:tcPr>
            <w:tcW w:w="7537" w:type="dxa"/>
            <w:vAlign w:val="center"/>
          </w:tcPr>
          <w:p w14:paraId="42CC2383" w14:textId="77777777" w:rsidR="00B060F3" w:rsidRPr="003B516A" w:rsidRDefault="00F32370">
            <w:pPr>
              <w:rPr>
                <w:rFonts w:ascii="Palatino Linotype" w:eastAsia="Palatino Linotype" w:hAnsi="Palatino Linotype" w:cs="Palatino Linotype"/>
                <w:i/>
              </w:rPr>
            </w:pPr>
            <w:r w:rsidRPr="003B516A">
              <w:rPr>
                <w:rFonts w:ascii="Palatino Linotype" w:eastAsia="Palatino Linotype" w:hAnsi="Palatino Linotype" w:cs="Palatino Linotype"/>
                <w:i/>
              </w:rPr>
              <w:t>Dr. Nahum Miguel Mendoza Morales”</w:t>
            </w:r>
          </w:p>
        </w:tc>
      </w:tr>
    </w:tbl>
    <w:p w14:paraId="0CB21E7E" w14:textId="77777777" w:rsidR="00B060F3" w:rsidRPr="003B516A" w:rsidRDefault="00B060F3">
      <w:pPr>
        <w:tabs>
          <w:tab w:val="left" w:pos="0"/>
        </w:tabs>
        <w:spacing w:line="360" w:lineRule="auto"/>
        <w:ind w:right="34"/>
        <w:jc w:val="both"/>
        <w:rPr>
          <w:rFonts w:ascii="Palatino Linotype" w:eastAsia="Palatino Linotype" w:hAnsi="Palatino Linotype" w:cs="Palatino Linotype"/>
        </w:rPr>
      </w:pPr>
    </w:p>
    <w:p w14:paraId="28486F0A" w14:textId="77777777" w:rsidR="00B060F3" w:rsidRPr="003B516A" w:rsidRDefault="00F32370">
      <w:pPr>
        <w:numPr>
          <w:ilvl w:val="0"/>
          <w:numId w:val="9"/>
        </w:numPr>
        <w:pBdr>
          <w:top w:val="nil"/>
          <w:left w:val="nil"/>
          <w:bottom w:val="nil"/>
          <w:right w:val="nil"/>
          <w:between w:val="nil"/>
        </w:pBdr>
        <w:tabs>
          <w:tab w:val="left" w:pos="0"/>
        </w:tabs>
        <w:spacing w:line="360" w:lineRule="auto"/>
        <w:ind w:right="34"/>
        <w:jc w:val="both"/>
        <w:rPr>
          <w:rFonts w:ascii="Palatino Linotype" w:eastAsia="Palatino Linotype" w:hAnsi="Palatino Linotype" w:cs="Palatino Linotype"/>
          <w:color w:val="000000"/>
        </w:rPr>
      </w:pPr>
      <w:bookmarkStart w:id="2" w:name="_heading=h.opz2rfn71gig" w:colFirst="0" w:colLast="0"/>
      <w:bookmarkEnd w:id="2"/>
      <w:r w:rsidRPr="003B516A">
        <w:rPr>
          <w:rFonts w:ascii="Palatino Linotype" w:eastAsia="Palatino Linotype" w:hAnsi="Palatino Linotype" w:cs="Palatino Linotype"/>
          <w:color w:val="000000"/>
        </w:rPr>
        <w:t>A la respuesta se adjuntaron los archivos que se describen enseguida:</w:t>
      </w:r>
    </w:p>
    <w:p w14:paraId="77A625F1" w14:textId="77777777" w:rsidR="00B060F3" w:rsidRPr="003B516A" w:rsidRDefault="002258F1">
      <w:pPr>
        <w:numPr>
          <w:ilvl w:val="0"/>
          <w:numId w:val="11"/>
        </w:numPr>
        <w:pBdr>
          <w:top w:val="nil"/>
          <w:left w:val="nil"/>
          <w:bottom w:val="nil"/>
          <w:right w:val="nil"/>
          <w:between w:val="nil"/>
        </w:pBdr>
        <w:tabs>
          <w:tab w:val="left" w:pos="0"/>
        </w:tabs>
        <w:spacing w:line="360" w:lineRule="auto"/>
        <w:ind w:right="34"/>
        <w:jc w:val="both"/>
        <w:rPr>
          <w:rFonts w:ascii="Palatino Linotype" w:eastAsia="Palatino Linotype" w:hAnsi="Palatino Linotype" w:cs="Palatino Linotype"/>
          <w:color w:val="000000"/>
        </w:rPr>
      </w:pPr>
      <w:hyperlink r:id="rId8">
        <w:r w:rsidR="00F32370" w:rsidRPr="003B516A">
          <w:rPr>
            <w:rFonts w:ascii="Palatino Linotype" w:eastAsia="Palatino Linotype" w:hAnsi="Palatino Linotype" w:cs="Palatino Linotype"/>
            <w:b/>
            <w:color w:val="000000"/>
            <w:u w:val="single"/>
          </w:rPr>
          <w:t>2019_0757_a.pdf</w:t>
        </w:r>
      </w:hyperlink>
      <w:r w:rsidR="00F32370" w:rsidRPr="003B516A">
        <w:rPr>
          <w:rFonts w:ascii="Palatino Linotype" w:eastAsia="Palatino Linotype" w:hAnsi="Palatino Linotype" w:cs="Palatino Linotype"/>
          <w:color w:val="000000"/>
        </w:rPr>
        <w:t>. archivo que consta del informe individual del resultado de la fiscalización superior de la cuenta pública 2019.</w:t>
      </w:r>
    </w:p>
    <w:p w14:paraId="3C0A92F3" w14:textId="77777777" w:rsidR="00B060F3" w:rsidRPr="003B516A" w:rsidRDefault="002258F1">
      <w:pPr>
        <w:numPr>
          <w:ilvl w:val="0"/>
          <w:numId w:val="11"/>
        </w:numPr>
        <w:pBdr>
          <w:top w:val="nil"/>
          <w:left w:val="nil"/>
          <w:bottom w:val="nil"/>
          <w:right w:val="nil"/>
          <w:between w:val="nil"/>
        </w:pBdr>
        <w:tabs>
          <w:tab w:val="left" w:pos="0"/>
        </w:tabs>
        <w:spacing w:line="360" w:lineRule="auto"/>
        <w:ind w:right="34"/>
        <w:jc w:val="both"/>
        <w:rPr>
          <w:rFonts w:ascii="Palatino Linotype" w:eastAsia="Palatino Linotype" w:hAnsi="Palatino Linotype" w:cs="Palatino Linotype"/>
          <w:color w:val="000000"/>
        </w:rPr>
      </w:pPr>
      <w:hyperlink r:id="rId9">
        <w:r w:rsidR="00F32370" w:rsidRPr="003B516A">
          <w:rPr>
            <w:rFonts w:ascii="Palatino Linotype" w:eastAsia="Palatino Linotype" w:hAnsi="Palatino Linotype" w:cs="Palatino Linotype"/>
            <w:b/>
            <w:color w:val="000000"/>
            <w:u w:val="single"/>
          </w:rPr>
          <w:t>2019 Libro21.pdf</w:t>
        </w:r>
      </w:hyperlink>
      <w:r w:rsidR="00F32370" w:rsidRPr="003B516A">
        <w:rPr>
          <w:rFonts w:ascii="Palatino Linotype" w:eastAsia="Palatino Linotype" w:hAnsi="Palatino Linotype" w:cs="Palatino Linotype"/>
          <w:color w:val="000000"/>
        </w:rPr>
        <w:t xml:space="preserve">: informe de resultados de la fiscalización del ejercicio 2019. </w:t>
      </w:r>
    </w:p>
    <w:p w14:paraId="7CB44C9D" w14:textId="77777777" w:rsidR="00B060F3" w:rsidRPr="003B516A" w:rsidRDefault="002258F1">
      <w:pPr>
        <w:numPr>
          <w:ilvl w:val="0"/>
          <w:numId w:val="11"/>
        </w:numPr>
        <w:pBdr>
          <w:top w:val="nil"/>
          <w:left w:val="nil"/>
          <w:bottom w:val="nil"/>
          <w:right w:val="nil"/>
          <w:between w:val="nil"/>
        </w:pBdr>
        <w:tabs>
          <w:tab w:val="left" w:pos="0"/>
        </w:tabs>
        <w:spacing w:line="360" w:lineRule="auto"/>
        <w:ind w:right="34"/>
        <w:jc w:val="both"/>
        <w:rPr>
          <w:rFonts w:ascii="Palatino Linotype" w:eastAsia="Palatino Linotype" w:hAnsi="Palatino Linotype" w:cs="Palatino Linotype"/>
          <w:color w:val="000000"/>
        </w:rPr>
      </w:pPr>
      <w:hyperlink r:id="rId10">
        <w:r w:rsidR="00F32370" w:rsidRPr="003B516A">
          <w:rPr>
            <w:rFonts w:ascii="Palatino Linotype" w:eastAsia="Palatino Linotype" w:hAnsi="Palatino Linotype" w:cs="Palatino Linotype"/>
            <w:b/>
            <w:color w:val="000000"/>
            <w:u w:val="single"/>
          </w:rPr>
          <w:t>2020_0812_a.pdf</w:t>
        </w:r>
      </w:hyperlink>
      <w:r w:rsidR="00F32370" w:rsidRPr="003B516A">
        <w:rPr>
          <w:rFonts w:ascii="Palatino Linotype" w:eastAsia="Palatino Linotype" w:hAnsi="Palatino Linotype" w:cs="Palatino Linotype"/>
          <w:color w:val="000000"/>
        </w:rPr>
        <w:t xml:space="preserve">: archivo que consta del informe individual del resultado de la fiscalización superior de la cuenta pública 2020. </w:t>
      </w:r>
    </w:p>
    <w:p w14:paraId="2BEC2929" w14:textId="77777777" w:rsidR="00B060F3" w:rsidRPr="003B516A" w:rsidRDefault="002258F1">
      <w:pPr>
        <w:numPr>
          <w:ilvl w:val="0"/>
          <w:numId w:val="11"/>
        </w:numPr>
        <w:pBdr>
          <w:top w:val="nil"/>
          <w:left w:val="nil"/>
          <w:bottom w:val="nil"/>
          <w:right w:val="nil"/>
          <w:between w:val="nil"/>
        </w:pBdr>
        <w:tabs>
          <w:tab w:val="left" w:pos="0"/>
        </w:tabs>
        <w:spacing w:line="360" w:lineRule="auto"/>
        <w:ind w:right="34"/>
        <w:jc w:val="both"/>
        <w:rPr>
          <w:rFonts w:ascii="Palatino Linotype" w:eastAsia="Palatino Linotype" w:hAnsi="Palatino Linotype" w:cs="Palatino Linotype"/>
          <w:color w:val="000000"/>
        </w:rPr>
      </w:pPr>
      <w:hyperlink r:id="rId11">
        <w:r w:rsidR="00F32370" w:rsidRPr="003B516A">
          <w:rPr>
            <w:rFonts w:ascii="Palatino Linotype" w:eastAsia="Palatino Linotype" w:hAnsi="Palatino Linotype" w:cs="Palatino Linotype"/>
            <w:b/>
            <w:color w:val="000000"/>
            <w:u w:val="single"/>
          </w:rPr>
          <w:t>2020 Libro20.pdf</w:t>
        </w:r>
      </w:hyperlink>
      <w:r w:rsidR="00F32370" w:rsidRPr="003B516A">
        <w:rPr>
          <w:rFonts w:ascii="Palatino Linotype" w:eastAsia="Palatino Linotype" w:hAnsi="Palatino Linotype" w:cs="Palatino Linotype"/>
          <w:color w:val="000000"/>
        </w:rPr>
        <w:t>: documento con el informe de resultados del ejercicio fiscal 2020.</w:t>
      </w:r>
    </w:p>
    <w:p w14:paraId="1DF3C2C4" w14:textId="77777777" w:rsidR="00B060F3" w:rsidRPr="003B516A" w:rsidRDefault="002258F1">
      <w:pPr>
        <w:numPr>
          <w:ilvl w:val="0"/>
          <w:numId w:val="11"/>
        </w:numPr>
        <w:pBdr>
          <w:top w:val="nil"/>
          <w:left w:val="nil"/>
          <w:bottom w:val="nil"/>
          <w:right w:val="nil"/>
          <w:between w:val="nil"/>
        </w:pBdr>
        <w:tabs>
          <w:tab w:val="left" w:pos="0"/>
        </w:tabs>
        <w:spacing w:line="360" w:lineRule="auto"/>
        <w:ind w:right="34"/>
        <w:jc w:val="both"/>
        <w:rPr>
          <w:rFonts w:ascii="Palatino Linotype" w:eastAsia="Palatino Linotype" w:hAnsi="Palatino Linotype" w:cs="Palatino Linotype"/>
          <w:color w:val="000000"/>
        </w:rPr>
      </w:pPr>
      <w:hyperlink r:id="rId12">
        <w:r w:rsidR="00F32370" w:rsidRPr="003B516A">
          <w:rPr>
            <w:rFonts w:ascii="Palatino Linotype" w:eastAsia="Palatino Linotype" w:hAnsi="Palatino Linotype" w:cs="Palatino Linotype"/>
            <w:b/>
            <w:color w:val="000000"/>
            <w:u w:val="single"/>
          </w:rPr>
          <w:t>2021_0881_a.pdf</w:t>
        </w:r>
      </w:hyperlink>
      <w:r w:rsidR="00F32370" w:rsidRPr="003B516A">
        <w:rPr>
          <w:rFonts w:ascii="Palatino Linotype" w:eastAsia="Palatino Linotype" w:hAnsi="Palatino Linotype" w:cs="Palatino Linotype"/>
          <w:color w:val="000000"/>
        </w:rPr>
        <w:t>: archivo que consta del informe individual del resultado de la fiscalización superior de la cuenta pública 2021.</w:t>
      </w:r>
    </w:p>
    <w:p w14:paraId="2B83ADE0" w14:textId="77777777" w:rsidR="00B060F3" w:rsidRPr="003B516A" w:rsidRDefault="002258F1">
      <w:pPr>
        <w:numPr>
          <w:ilvl w:val="0"/>
          <w:numId w:val="11"/>
        </w:numPr>
        <w:pBdr>
          <w:top w:val="nil"/>
          <w:left w:val="nil"/>
          <w:bottom w:val="nil"/>
          <w:right w:val="nil"/>
          <w:between w:val="nil"/>
        </w:pBdr>
        <w:tabs>
          <w:tab w:val="left" w:pos="0"/>
        </w:tabs>
        <w:spacing w:line="360" w:lineRule="auto"/>
        <w:ind w:right="34"/>
        <w:jc w:val="both"/>
        <w:rPr>
          <w:rFonts w:ascii="Palatino Linotype" w:eastAsia="Palatino Linotype" w:hAnsi="Palatino Linotype" w:cs="Palatino Linotype"/>
          <w:color w:val="000000"/>
        </w:rPr>
      </w:pPr>
      <w:hyperlink r:id="rId13">
        <w:r w:rsidR="00F32370" w:rsidRPr="003B516A">
          <w:rPr>
            <w:rFonts w:ascii="Palatino Linotype" w:eastAsia="Palatino Linotype" w:hAnsi="Palatino Linotype" w:cs="Palatino Linotype"/>
            <w:b/>
            <w:color w:val="000000"/>
            <w:u w:val="single"/>
          </w:rPr>
          <w:t>2021 Libro20 (1).pdf</w:t>
        </w:r>
      </w:hyperlink>
      <w:r w:rsidR="00F32370" w:rsidRPr="003B516A">
        <w:rPr>
          <w:rFonts w:ascii="Palatino Linotype" w:eastAsia="Palatino Linotype" w:hAnsi="Palatino Linotype" w:cs="Palatino Linotype"/>
          <w:color w:val="000000"/>
        </w:rPr>
        <w:t xml:space="preserve">: auditoría de cumplimiento financiero e inversión física del ejercicio fiscal 2021. </w:t>
      </w:r>
    </w:p>
    <w:p w14:paraId="75B22797" w14:textId="77777777" w:rsidR="00B060F3" w:rsidRPr="003B516A" w:rsidRDefault="002258F1">
      <w:pPr>
        <w:numPr>
          <w:ilvl w:val="0"/>
          <w:numId w:val="11"/>
        </w:numPr>
        <w:pBdr>
          <w:top w:val="nil"/>
          <w:left w:val="nil"/>
          <w:bottom w:val="nil"/>
          <w:right w:val="nil"/>
          <w:between w:val="nil"/>
        </w:pBdr>
        <w:tabs>
          <w:tab w:val="left" w:pos="0"/>
        </w:tabs>
        <w:spacing w:line="360" w:lineRule="auto"/>
        <w:ind w:right="34"/>
        <w:jc w:val="both"/>
        <w:rPr>
          <w:rFonts w:ascii="Palatino Linotype" w:eastAsia="Palatino Linotype" w:hAnsi="Palatino Linotype" w:cs="Palatino Linotype"/>
          <w:color w:val="000000"/>
        </w:rPr>
      </w:pPr>
      <w:hyperlink r:id="rId14">
        <w:r w:rsidR="00F32370" w:rsidRPr="003B516A">
          <w:rPr>
            <w:rFonts w:ascii="Palatino Linotype" w:eastAsia="Palatino Linotype" w:hAnsi="Palatino Linotype" w:cs="Palatino Linotype"/>
            <w:b/>
            <w:color w:val="000000"/>
            <w:u w:val="single"/>
          </w:rPr>
          <w:t>00191 Respuesta.docx</w:t>
        </w:r>
      </w:hyperlink>
      <w:r w:rsidR="00F32370" w:rsidRPr="003B516A">
        <w:rPr>
          <w:rFonts w:ascii="Palatino Linotype" w:eastAsia="Palatino Linotype" w:hAnsi="Palatino Linotype" w:cs="Palatino Linotype"/>
          <w:color w:val="000000"/>
        </w:rPr>
        <w:t xml:space="preserve">: oficio 202010000/0142/2025 de fecha veintinueve de enero de dos mil veinticinco, suscrito por el Tesorero Municipal, quien señaló que se adjuntan los informes de resultados correspondientes a los ejercicio fiscales 2019, 202 y 2021 emitidos por parte del Órgano Superior de Fiscalización del Estado de México (OSFEM) y la Auditoria Superior de la Federación (ASF). </w:t>
      </w:r>
    </w:p>
    <w:p w14:paraId="4EA5B50E" w14:textId="77777777" w:rsidR="00B060F3" w:rsidRPr="003B516A" w:rsidRDefault="002258F1">
      <w:pPr>
        <w:numPr>
          <w:ilvl w:val="0"/>
          <w:numId w:val="11"/>
        </w:numPr>
        <w:pBdr>
          <w:top w:val="nil"/>
          <w:left w:val="nil"/>
          <w:bottom w:val="nil"/>
          <w:right w:val="nil"/>
          <w:between w:val="nil"/>
        </w:pBdr>
        <w:tabs>
          <w:tab w:val="left" w:pos="0"/>
        </w:tabs>
        <w:spacing w:line="360" w:lineRule="auto"/>
        <w:ind w:right="34"/>
        <w:jc w:val="both"/>
        <w:rPr>
          <w:rFonts w:ascii="Palatino Linotype" w:eastAsia="Palatino Linotype" w:hAnsi="Palatino Linotype" w:cs="Palatino Linotype"/>
          <w:color w:val="000000"/>
        </w:rPr>
      </w:pPr>
      <w:hyperlink r:id="rId15">
        <w:r w:rsidR="00F32370" w:rsidRPr="003B516A">
          <w:rPr>
            <w:rFonts w:ascii="Palatino Linotype" w:eastAsia="Palatino Linotype" w:hAnsi="Palatino Linotype" w:cs="Palatino Linotype"/>
            <w:b/>
            <w:color w:val="000000"/>
            <w:u w:val="single"/>
          </w:rPr>
          <w:t>00191.pdf</w:t>
        </w:r>
      </w:hyperlink>
      <w:r w:rsidR="00F32370" w:rsidRPr="003B516A">
        <w:rPr>
          <w:rFonts w:ascii="Palatino Linotype" w:eastAsia="Palatino Linotype" w:hAnsi="Palatino Linotype" w:cs="Palatino Linotype"/>
          <w:color w:val="000000"/>
        </w:rPr>
        <w:t xml:space="preserve">: oficio 202010000/0142/2025, ya descrito en el párrafo anterior. </w:t>
      </w:r>
    </w:p>
    <w:p w14:paraId="461FB4D3" w14:textId="77777777" w:rsidR="00B060F3" w:rsidRPr="003B516A" w:rsidRDefault="002258F1">
      <w:pPr>
        <w:numPr>
          <w:ilvl w:val="0"/>
          <w:numId w:val="11"/>
        </w:numPr>
        <w:pBdr>
          <w:top w:val="nil"/>
          <w:left w:val="nil"/>
          <w:bottom w:val="nil"/>
          <w:right w:val="nil"/>
          <w:between w:val="nil"/>
        </w:pBdr>
        <w:tabs>
          <w:tab w:val="left" w:pos="0"/>
        </w:tabs>
        <w:spacing w:line="360" w:lineRule="auto"/>
        <w:ind w:right="34"/>
        <w:jc w:val="both"/>
        <w:rPr>
          <w:rFonts w:ascii="Palatino Linotype" w:eastAsia="Palatino Linotype" w:hAnsi="Palatino Linotype" w:cs="Palatino Linotype"/>
          <w:color w:val="000000"/>
        </w:rPr>
      </w:pPr>
      <w:hyperlink r:id="rId16">
        <w:r w:rsidR="00F32370" w:rsidRPr="003B516A">
          <w:rPr>
            <w:rFonts w:ascii="Palatino Linotype" w:eastAsia="Palatino Linotype" w:hAnsi="Palatino Linotype" w:cs="Palatino Linotype"/>
            <w:b/>
            <w:color w:val="000000"/>
            <w:u w:val="single"/>
          </w:rPr>
          <w:t>RESPUESTA 191. 2025.pdf</w:t>
        </w:r>
      </w:hyperlink>
      <w:r w:rsidR="00F32370" w:rsidRPr="003B516A">
        <w:rPr>
          <w:rFonts w:ascii="Palatino Linotype" w:eastAsia="Palatino Linotype" w:hAnsi="Palatino Linotype" w:cs="Palatino Linotype"/>
          <w:color w:val="000000"/>
        </w:rPr>
        <w:t xml:space="preserve">: oficio de respuesta suscrito por el Titular de la Unidad de Transparencia, en el que señaló que la Contraloría Municipal informó que la información solicitada ya se encuentra pública, y anexó una liga electrónica para visualizar la información, en cuanto a las sanciones señaló que se encuentran en el IPOMEX y anexó otra liga electrónica; asimismo, informó que la Tesorería Municipal entregó los informes de los resultados de los ejercicios fiscales 2019, 2020 y 2021. </w:t>
      </w:r>
    </w:p>
    <w:p w14:paraId="4968DB38" w14:textId="77777777" w:rsidR="00B060F3" w:rsidRPr="003B516A" w:rsidRDefault="00B060F3">
      <w:pPr>
        <w:pBdr>
          <w:top w:val="nil"/>
          <w:left w:val="nil"/>
          <w:bottom w:val="nil"/>
          <w:right w:val="nil"/>
          <w:between w:val="nil"/>
        </w:pBdr>
        <w:tabs>
          <w:tab w:val="left" w:pos="0"/>
        </w:tabs>
        <w:spacing w:line="360" w:lineRule="auto"/>
        <w:ind w:left="720" w:right="34"/>
        <w:jc w:val="both"/>
        <w:rPr>
          <w:rFonts w:ascii="Palatino Linotype" w:eastAsia="Palatino Linotype" w:hAnsi="Palatino Linotype" w:cs="Palatino Linotype"/>
          <w:color w:val="000000"/>
        </w:rPr>
      </w:pPr>
    </w:p>
    <w:p w14:paraId="56AEC1A5" w14:textId="77777777" w:rsidR="00B060F3" w:rsidRPr="003B516A" w:rsidRDefault="00F3237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3B516A">
        <w:rPr>
          <w:rFonts w:ascii="Palatino Linotype" w:eastAsia="Palatino Linotype" w:hAnsi="Palatino Linotype" w:cs="Palatino Linotype"/>
          <w:color w:val="000000"/>
        </w:rPr>
        <w:t xml:space="preserve">En lo sucesivo el </w:t>
      </w:r>
      <w:r w:rsidRPr="003B516A">
        <w:rPr>
          <w:rFonts w:ascii="Palatino Linotype" w:eastAsia="Palatino Linotype" w:hAnsi="Palatino Linotype" w:cs="Palatino Linotype"/>
          <w:b/>
          <w:color w:val="000000"/>
        </w:rPr>
        <w:t>veintiséis de febrero de dos mil veinticinco,</w:t>
      </w:r>
      <w:r w:rsidRPr="003B516A">
        <w:rPr>
          <w:rFonts w:ascii="Palatino Linotype" w:eastAsia="Palatino Linotype" w:hAnsi="Palatino Linotype" w:cs="Palatino Linotype"/>
          <w:color w:val="000000"/>
        </w:rPr>
        <w:t xml:space="preserve"> </w:t>
      </w:r>
      <w:r w:rsidRPr="003B516A">
        <w:rPr>
          <w:rFonts w:ascii="Palatino Linotype" w:eastAsia="Palatino Linotype" w:hAnsi="Palatino Linotype" w:cs="Palatino Linotype"/>
          <w:b/>
          <w:color w:val="000000"/>
        </w:rPr>
        <w:t xml:space="preserve"> </w:t>
      </w:r>
      <w:r w:rsidRPr="003B516A">
        <w:rPr>
          <w:rFonts w:ascii="Palatino Linotype" w:eastAsia="Palatino Linotype" w:hAnsi="Palatino Linotype" w:cs="Palatino Linotype"/>
          <w:color w:val="000000"/>
        </w:rPr>
        <w:t>el solicitante interpuso el recurso de revisión, señalando como:</w:t>
      </w:r>
    </w:p>
    <w:p w14:paraId="0947A9AA" w14:textId="77777777" w:rsidR="00B060F3" w:rsidRPr="003B516A" w:rsidRDefault="00B060F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14:paraId="1D44A69E" w14:textId="77777777" w:rsidR="00B060F3" w:rsidRPr="003B516A" w:rsidRDefault="00F32370" w:rsidP="003B516A">
      <w:pPr>
        <w:pStyle w:val="Prrafodelista"/>
        <w:numPr>
          <w:ilvl w:val="0"/>
          <w:numId w:val="13"/>
        </w:numPr>
        <w:tabs>
          <w:tab w:val="left" w:pos="851"/>
          <w:tab w:val="left" w:pos="8222"/>
        </w:tabs>
        <w:spacing w:line="360" w:lineRule="auto"/>
        <w:ind w:right="567"/>
        <w:jc w:val="both"/>
        <w:rPr>
          <w:rFonts w:ascii="Palatino Linotype" w:eastAsia="Palatino Linotype" w:hAnsi="Palatino Linotype" w:cs="Palatino Linotype"/>
          <w:i/>
          <w:sz w:val="24"/>
        </w:rPr>
      </w:pPr>
      <w:r w:rsidRPr="003B516A">
        <w:rPr>
          <w:rFonts w:ascii="Palatino Linotype" w:eastAsia="Palatino Linotype" w:hAnsi="Palatino Linotype" w:cs="Palatino Linotype"/>
          <w:b/>
          <w:sz w:val="24"/>
        </w:rPr>
        <w:t>Acto impugnado:</w:t>
      </w:r>
      <w:r w:rsidRPr="003B516A">
        <w:rPr>
          <w:rFonts w:ascii="Palatino Linotype" w:eastAsia="Palatino Linotype" w:hAnsi="Palatino Linotype" w:cs="Palatino Linotype"/>
          <w:i/>
          <w:sz w:val="24"/>
        </w:rPr>
        <w:t xml:space="preserve"> </w:t>
      </w:r>
      <w:r w:rsidRPr="003B516A">
        <w:rPr>
          <w:rFonts w:ascii="Palatino Linotype" w:eastAsia="Palatino Linotype" w:hAnsi="Palatino Linotype" w:cs="Palatino Linotype"/>
          <w:sz w:val="24"/>
        </w:rPr>
        <w:t>“</w:t>
      </w:r>
      <w:r w:rsidRPr="003B516A">
        <w:rPr>
          <w:rFonts w:ascii="Palatino Linotype" w:eastAsia="Palatino Linotype" w:hAnsi="Palatino Linotype" w:cs="Palatino Linotype"/>
          <w:i/>
          <w:color w:val="000000"/>
          <w:sz w:val="24"/>
        </w:rPr>
        <w:t>La respuesta”</w:t>
      </w:r>
      <w:r w:rsidRPr="003B516A">
        <w:rPr>
          <w:rFonts w:ascii="Palatino Linotype" w:eastAsia="Palatino Linotype" w:hAnsi="Palatino Linotype" w:cs="Palatino Linotype"/>
          <w:i/>
          <w:sz w:val="24"/>
        </w:rPr>
        <w:t xml:space="preserve"> (Sic) </w:t>
      </w:r>
    </w:p>
    <w:p w14:paraId="6DB8B64A" w14:textId="77777777" w:rsidR="00B060F3" w:rsidRPr="003B516A" w:rsidRDefault="00B060F3">
      <w:pPr>
        <w:tabs>
          <w:tab w:val="left" w:pos="0"/>
        </w:tabs>
        <w:spacing w:line="360" w:lineRule="auto"/>
        <w:ind w:left="567" w:hanging="141"/>
        <w:rPr>
          <w:rFonts w:ascii="Palatino Linotype" w:eastAsia="Palatino Linotype" w:hAnsi="Palatino Linotype" w:cs="Palatino Linotype"/>
          <w:i/>
        </w:rPr>
      </w:pPr>
    </w:p>
    <w:p w14:paraId="62362C3E" w14:textId="77777777" w:rsidR="00B060F3" w:rsidRPr="003B516A" w:rsidRDefault="00F32370" w:rsidP="003B516A">
      <w:pPr>
        <w:pStyle w:val="Prrafodelista"/>
        <w:numPr>
          <w:ilvl w:val="0"/>
          <w:numId w:val="13"/>
        </w:numPr>
        <w:tabs>
          <w:tab w:val="left" w:pos="851"/>
        </w:tabs>
        <w:spacing w:line="360" w:lineRule="auto"/>
        <w:ind w:right="567"/>
        <w:jc w:val="both"/>
        <w:rPr>
          <w:rFonts w:ascii="Palatino Linotype" w:eastAsia="Palatino Linotype" w:hAnsi="Palatino Linotype" w:cs="Palatino Linotype"/>
          <w:i/>
          <w:sz w:val="24"/>
        </w:rPr>
      </w:pPr>
      <w:r w:rsidRPr="003B516A">
        <w:rPr>
          <w:rFonts w:ascii="Palatino Linotype" w:eastAsia="Palatino Linotype" w:hAnsi="Palatino Linotype" w:cs="Palatino Linotype"/>
          <w:b/>
          <w:sz w:val="24"/>
        </w:rPr>
        <w:lastRenderedPageBreak/>
        <w:t>Razones o Motivos de inconformidad: “</w:t>
      </w:r>
      <w:r w:rsidRPr="003B516A">
        <w:rPr>
          <w:rFonts w:ascii="Palatino Linotype" w:eastAsia="Palatino Linotype" w:hAnsi="Palatino Linotype" w:cs="Palatino Linotype"/>
          <w:i/>
          <w:sz w:val="24"/>
        </w:rPr>
        <w:t>No están completas las auditorías y su link no abre” (sic)</w:t>
      </w:r>
    </w:p>
    <w:p w14:paraId="534C2E00" w14:textId="77777777" w:rsidR="00B060F3" w:rsidRPr="003B516A" w:rsidRDefault="00B060F3">
      <w:pPr>
        <w:tabs>
          <w:tab w:val="left" w:pos="851"/>
        </w:tabs>
        <w:spacing w:line="360" w:lineRule="auto"/>
        <w:ind w:right="567"/>
        <w:jc w:val="both"/>
        <w:rPr>
          <w:rFonts w:ascii="Palatino Linotype" w:eastAsia="Palatino Linotype" w:hAnsi="Palatino Linotype" w:cs="Palatino Linotype"/>
        </w:rPr>
      </w:pPr>
    </w:p>
    <w:p w14:paraId="2C8D89EC" w14:textId="032D6A11" w:rsidR="00B060F3" w:rsidRPr="003B516A" w:rsidRDefault="00F32370">
      <w:pPr>
        <w:numPr>
          <w:ilvl w:val="0"/>
          <w:numId w:val="1"/>
        </w:numPr>
        <w:spacing w:line="360" w:lineRule="auto"/>
        <w:ind w:left="0"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3B516A">
        <w:rPr>
          <w:rFonts w:ascii="Palatino Linotype" w:eastAsia="Palatino Linotype" w:hAnsi="Palatino Linotype" w:cs="Palatino Linotype"/>
          <w:b/>
        </w:rPr>
        <w:t>Comisionada María del Rosario Mejía Ayala</w:t>
      </w:r>
      <w:r w:rsidRPr="003B516A">
        <w:rPr>
          <w:rFonts w:ascii="Palatino Linotype" w:eastAsia="Palatino Linotype" w:hAnsi="Palatino Linotype" w:cs="Palatino Linotype"/>
        </w:rPr>
        <w:t xml:space="preserve"> </w:t>
      </w:r>
      <w:r w:rsidR="003B516A">
        <w:rPr>
          <w:rFonts w:ascii="Palatino Linotype" w:eastAsia="Palatino Linotype" w:hAnsi="Palatino Linotype" w:cs="Palatino Linotype"/>
        </w:rPr>
        <w:t>para</w:t>
      </w:r>
      <w:r w:rsidRPr="003B516A">
        <w:rPr>
          <w:rFonts w:ascii="Palatino Linotype" w:eastAsia="Palatino Linotype" w:hAnsi="Palatino Linotype" w:cs="Palatino Linotype"/>
        </w:rPr>
        <w:t xml:space="preserve"> su análisis.</w:t>
      </w:r>
    </w:p>
    <w:p w14:paraId="4CF0E6FE" w14:textId="77777777" w:rsidR="00B060F3" w:rsidRPr="003B516A" w:rsidRDefault="00B060F3">
      <w:pPr>
        <w:spacing w:line="360" w:lineRule="auto"/>
        <w:jc w:val="both"/>
        <w:rPr>
          <w:rFonts w:ascii="Palatino Linotype" w:eastAsia="Palatino Linotype" w:hAnsi="Palatino Linotype" w:cs="Palatino Linotype"/>
          <w:i/>
          <w:color w:val="000000"/>
        </w:rPr>
      </w:pPr>
    </w:p>
    <w:p w14:paraId="50DA8A52" w14:textId="77777777" w:rsidR="00B060F3" w:rsidRPr="003B516A" w:rsidRDefault="00F32370">
      <w:pPr>
        <w:numPr>
          <w:ilvl w:val="0"/>
          <w:numId w:val="1"/>
        </w:numPr>
        <w:spacing w:line="360" w:lineRule="auto"/>
        <w:ind w:left="0"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Pr="003B516A">
        <w:rPr>
          <w:rFonts w:ascii="Palatino Linotype" w:eastAsia="Palatino Linotype" w:hAnsi="Palatino Linotype" w:cs="Palatino Linotype"/>
          <w:b/>
        </w:rPr>
        <w:t>veintisiete de febrero de dos mil veinticinco</w:t>
      </w:r>
      <w:r w:rsidRPr="003B516A">
        <w:rPr>
          <w:rFonts w:ascii="Palatino Linotype" w:eastAsia="Palatino Linotype" w:hAnsi="Palatino Linotype" w:cs="Palatino Linotype"/>
        </w:rPr>
        <w:t xml:space="preserve">, puso a disposición de las partes el expediente electrónico vía Sistema de Acceso a la Información Mexiquense </w:t>
      </w:r>
      <w:r w:rsidRPr="003B516A">
        <w:rPr>
          <w:rFonts w:ascii="Palatino Linotype" w:eastAsia="Palatino Linotype" w:hAnsi="Palatino Linotype" w:cs="Palatino Linotype"/>
          <w:b/>
        </w:rPr>
        <w:t xml:space="preserve">(SAIMEX) </w:t>
      </w:r>
      <w:r w:rsidRPr="003B516A">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3B516A">
        <w:rPr>
          <w:rFonts w:ascii="Palatino Linotype" w:eastAsia="Palatino Linotype" w:hAnsi="Palatino Linotype" w:cs="Palatino Linotype"/>
          <w:b/>
        </w:rPr>
        <w:t>SUJETO OBLIGADO</w:t>
      </w:r>
      <w:r w:rsidRPr="003B516A">
        <w:rPr>
          <w:rFonts w:ascii="Palatino Linotype" w:eastAsia="Palatino Linotype" w:hAnsi="Palatino Linotype" w:cs="Palatino Linotype"/>
        </w:rPr>
        <w:t xml:space="preserve"> presentara el Informe Justificado procedente.  </w:t>
      </w:r>
    </w:p>
    <w:p w14:paraId="6AF942C7"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i/>
          <w:color w:val="000000"/>
        </w:rPr>
      </w:pPr>
    </w:p>
    <w:p w14:paraId="7783C812" w14:textId="77777777" w:rsidR="00B060F3" w:rsidRPr="003B516A" w:rsidRDefault="00B060F3">
      <w:pPr>
        <w:spacing w:line="360" w:lineRule="auto"/>
        <w:jc w:val="both"/>
        <w:rPr>
          <w:rFonts w:ascii="Palatino Linotype" w:eastAsia="Palatino Linotype" w:hAnsi="Palatino Linotype" w:cs="Palatino Linotype"/>
          <w:i/>
          <w:color w:val="000000"/>
        </w:rPr>
      </w:pPr>
    </w:p>
    <w:p w14:paraId="159F5D71" w14:textId="77777777" w:rsidR="00B060F3" w:rsidRPr="003B516A" w:rsidRDefault="00F32370">
      <w:pPr>
        <w:numPr>
          <w:ilvl w:val="0"/>
          <w:numId w:val="1"/>
        </w:numPr>
        <w:spacing w:line="360" w:lineRule="auto"/>
        <w:ind w:left="0" w:firstLine="0"/>
        <w:jc w:val="both"/>
        <w:rPr>
          <w:rFonts w:ascii="Palatino Linotype" w:eastAsia="Palatino Linotype" w:hAnsi="Palatino Linotype" w:cs="Palatino Linotype"/>
          <w:b/>
        </w:rPr>
      </w:pPr>
      <w:r w:rsidRPr="003B516A">
        <w:rPr>
          <w:rFonts w:ascii="Palatino Linotype" w:eastAsia="Palatino Linotype" w:hAnsi="Palatino Linotype" w:cs="Palatino Linotype"/>
        </w:rPr>
        <w:t xml:space="preserve">De las constancias que obran en el expediente electrónico SAIMEX, se advierte que el particular no realizó manifestaciones que a su derecho convinieran; por su parte, el Sujeto Obligado entregó informe justificado el </w:t>
      </w:r>
      <w:r w:rsidRPr="003B516A">
        <w:rPr>
          <w:rFonts w:ascii="Palatino Linotype" w:eastAsia="Palatino Linotype" w:hAnsi="Palatino Linotype" w:cs="Palatino Linotype"/>
          <w:b/>
        </w:rPr>
        <w:t>once de marzo de dos mil veinticinco</w:t>
      </w:r>
      <w:r w:rsidRPr="003B516A">
        <w:rPr>
          <w:rFonts w:ascii="Palatino Linotype" w:eastAsia="Palatino Linotype" w:hAnsi="Palatino Linotype" w:cs="Palatino Linotype"/>
        </w:rPr>
        <w:t xml:space="preserve">, mismo que se puso a la vista del particular el </w:t>
      </w:r>
      <w:r w:rsidRPr="003B516A">
        <w:rPr>
          <w:rFonts w:ascii="Palatino Linotype" w:eastAsia="Palatino Linotype" w:hAnsi="Palatino Linotype" w:cs="Palatino Linotype"/>
          <w:b/>
        </w:rPr>
        <w:t>tres de julio del mismo año</w:t>
      </w:r>
      <w:r w:rsidRPr="003B516A">
        <w:rPr>
          <w:rFonts w:ascii="Palatino Linotype" w:eastAsia="Palatino Linotype" w:hAnsi="Palatino Linotype" w:cs="Palatino Linotype"/>
        </w:rPr>
        <w:t xml:space="preserve">, y que consta del archivo denominado </w:t>
      </w:r>
      <w:hyperlink r:id="rId17">
        <w:r w:rsidRPr="003B516A">
          <w:rPr>
            <w:rFonts w:ascii="Palatino Linotype" w:eastAsia="Palatino Linotype" w:hAnsi="Palatino Linotype" w:cs="Palatino Linotype"/>
            <w:b/>
            <w:color w:val="0563C1"/>
            <w:u w:val="single"/>
          </w:rPr>
          <w:t>RR-2133-2025.pdf</w:t>
        </w:r>
      </w:hyperlink>
      <w:r w:rsidRPr="003B516A">
        <w:rPr>
          <w:rFonts w:ascii="Palatino Linotype" w:eastAsia="Palatino Linotype" w:hAnsi="Palatino Linotype" w:cs="Palatino Linotype"/>
        </w:rPr>
        <w:t xml:space="preserve">, en el que se ratificó su respuesta. </w:t>
      </w:r>
    </w:p>
    <w:p w14:paraId="1DD0781E" w14:textId="77777777" w:rsidR="00B060F3" w:rsidRPr="003B516A" w:rsidRDefault="00B060F3">
      <w:pPr>
        <w:pBdr>
          <w:top w:val="nil"/>
          <w:left w:val="nil"/>
          <w:bottom w:val="nil"/>
          <w:right w:val="nil"/>
          <w:between w:val="nil"/>
        </w:pBdr>
        <w:tabs>
          <w:tab w:val="left" w:pos="0"/>
        </w:tabs>
        <w:spacing w:line="360" w:lineRule="auto"/>
        <w:ind w:right="113"/>
        <w:jc w:val="both"/>
        <w:rPr>
          <w:color w:val="000000"/>
        </w:rPr>
      </w:pPr>
    </w:p>
    <w:p w14:paraId="619CD5FD" w14:textId="77777777" w:rsidR="00B060F3" w:rsidRPr="003B516A" w:rsidRDefault="00F32370">
      <w:pPr>
        <w:numPr>
          <w:ilvl w:val="0"/>
          <w:numId w:val="1"/>
        </w:numPr>
        <w:spacing w:line="360" w:lineRule="auto"/>
        <w:ind w:left="0"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color w:val="000000"/>
        </w:rPr>
        <w:t xml:space="preserve">El </w:t>
      </w:r>
      <w:r w:rsidRPr="003B516A">
        <w:rPr>
          <w:rFonts w:ascii="Palatino Linotype" w:eastAsia="Palatino Linotype" w:hAnsi="Palatino Linotype" w:cs="Palatino Linotype"/>
          <w:b/>
          <w:color w:val="000000"/>
        </w:rPr>
        <w:t>doce de junio de dos mil veinticinco,</w:t>
      </w:r>
      <w:r w:rsidRPr="003B516A">
        <w:rPr>
          <w:rFonts w:ascii="Palatino Linotype" w:eastAsia="Palatino Linotype" w:hAnsi="Palatino Linotype" w:cs="Palatino Linotype"/>
          <w:color w:val="000000"/>
        </w:rPr>
        <w:t xml:space="preserve"> se notificó el acuerdo mediante el cual se aprobó la ampliación de plazo para emitir resolución. </w:t>
      </w:r>
    </w:p>
    <w:p w14:paraId="5D9A6F4D" w14:textId="77777777" w:rsidR="00B060F3" w:rsidRPr="003B516A" w:rsidRDefault="00F32370">
      <w:pPr>
        <w:numPr>
          <w:ilvl w:val="0"/>
          <w:numId w:val="1"/>
        </w:numPr>
        <w:spacing w:line="360" w:lineRule="auto"/>
        <w:ind w:left="0"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color w:val="000000"/>
        </w:rPr>
        <w:lastRenderedPageBreak/>
        <w:t xml:space="preserve">El </w:t>
      </w:r>
      <w:r w:rsidRPr="003B516A">
        <w:rPr>
          <w:rFonts w:ascii="Palatino Linotype" w:eastAsia="Palatino Linotype" w:hAnsi="Palatino Linotype" w:cs="Palatino Linotype"/>
          <w:b/>
          <w:color w:val="000000"/>
        </w:rPr>
        <w:t>nueve de julio de dos mil veinticinco,</w:t>
      </w:r>
      <w:r w:rsidRPr="003B516A">
        <w:rPr>
          <w:rFonts w:ascii="Palatino Linotype" w:eastAsia="Palatino Linotype" w:hAnsi="Palatino Linotype" w:cs="Palatino Linotype"/>
          <w:color w:val="000000"/>
        </w:rPr>
        <w:t xml:space="preserve"> se notificó acuerdo mediante el cual se decretó el cierre de instrucción. </w:t>
      </w:r>
    </w:p>
    <w:p w14:paraId="08ACBEE8" w14:textId="77777777" w:rsidR="00B060F3" w:rsidRPr="003B516A" w:rsidRDefault="00B060F3">
      <w:pPr>
        <w:spacing w:line="360" w:lineRule="auto"/>
        <w:jc w:val="both"/>
        <w:rPr>
          <w:rFonts w:ascii="Palatino Linotype" w:eastAsia="Palatino Linotype" w:hAnsi="Palatino Linotype" w:cs="Palatino Linotype"/>
          <w:b/>
        </w:rPr>
      </w:pPr>
    </w:p>
    <w:p w14:paraId="66248D44" w14:textId="12D40840" w:rsidR="00B060F3" w:rsidRPr="003B516A" w:rsidRDefault="00F32370">
      <w:pPr>
        <w:keepNext/>
        <w:keepLines/>
        <w:spacing w:line="360" w:lineRule="auto"/>
        <w:jc w:val="center"/>
        <w:rPr>
          <w:rFonts w:ascii="Palatino Linotype" w:eastAsia="Palatino Linotype" w:hAnsi="Palatino Linotype" w:cs="Palatino Linotype"/>
          <w:b/>
        </w:rPr>
      </w:pPr>
      <w:bookmarkStart w:id="3" w:name="_heading=h.av684kgjvopp" w:colFirst="0" w:colLast="0"/>
      <w:bookmarkEnd w:id="3"/>
      <w:r w:rsidRPr="003B516A">
        <w:rPr>
          <w:rFonts w:ascii="Palatino Linotype" w:eastAsia="Palatino Linotype" w:hAnsi="Palatino Linotype" w:cs="Palatino Linotype"/>
          <w:b/>
        </w:rPr>
        <w:t>C</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O</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N</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S</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I</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D</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E</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R</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A</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N</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D</w:t>
      </w:r>
      <w:r w:rsid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b/>
        </w:rPr>
        <w:t>O</w:t>
      </w:r>
      <w:r w:rsidR="003B516A">
        <w:rPr>
          <w:rFonts w:ascii="Palatino Linotype" w:eastAsia="Palatino Linotype" w:hAnsi="Palatino Linotype" w:cs="Palatino Linotype"/>
          <w:b/>
        </w:rPr>
        <w:t xml:space="preserve"> </w:t>
      </w:r>
    </w:p>
    <w:p w14:paraId="234C5261" w14:textId="77777777" w:rsidR="00B060F3" w:rsidRPr="003B516A" w:rsidRDefault="00B060F3">
      <w:pPr>
        <w:keepNext/>
        <w:keepLines/>
        <w:spacing w:line="360" w:lineRule="auto"/>
        <w:jc w:val="center"/>
        <w:rPr>
          <w:rFonts w:ascii="Palatino Linotype" w:eastAsia="Palatino Linotype" w:hAnsi="Palatino Linotype" w:cs="Palatino Linotype"/>
          <w:b/>
        </w:rPr>
      </w:pPr>
    </w:p>
    <w:p w14:paraId="42012390" w14:textId="77777777" w:rsidR="00B060F3" w:rsidRPr="003B516A" w:rsidRDefault="00F32370">
      <w:pPr>
        <w:keepNext/>
        <w:keepLines/>
        <w:spacing w:line="360" w:lineRule="auto"/>
        <w:rPr>
          <w:rFonts w:ascii="Palatino Linotype" w:eastAsia="Palatino Linotype" w:hAnsi="Palatino Linotype" w:cs="Palatino Linotype"/>
          <w:b/>
        </w:rPr>
      </w:pPr>
      <w:bookmarkStart w:id="4" w:name="_heading=h.sct75nk1bjfe" w:colFirst="0" w:colLast="0"/>
      <w:bookmarkEnd w:id="4"/>
      <w:r w:rsidRPr="003B516A">
        <w:rPr>
          <w:rFonts w:ascii="Palatino Linotype" w:eastAsia="Palatino Linotype" w:hAnsi="Palatino Linotype" w:cs="Palatino Linotype"/>
          <w:b/>
        </w:rPr>
        <w:t>PRIMERO. De la competencia.</w:t>
      </w:r>
    </w:p>
    <w:p w14:paraId="58062D76" w14:textId="77777777" w:rsidR="00B060F3" w:rsidRPr="003B516A" w:rsidRDefault="00F32370">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B516A">
        <w:rPr>
          <w:rFonts w:ascii="Palatino Linotype" w:eastAsia="Palatino Linotype" w:hAnsi="Palatino Linotype" w:cs="Palatino Linotype"/>
          <w:b/>
          <w:color w:val="000000"/>
        </w:rPr>
        <w:t>Constitución Política de los Estados Unidos Mexicanos</w:t>
      </w:r>
      <w:r w:rsidRPr="003B516A">
        <w:rPr>
          <w:rFonts w:ascii="Palatino Linotype" w:eastAsia="Palatino Linotype" w:hAnsi="Palatino Linotype" w:cs="Palatino Linotype"/>
          <w:color w:val="000000"/>
        </w:rPr>
        <w:t xml:space="preserve">; 5, párrafos trigésimo séptimo, trigésimo octavo y trigésimo noveno, fracciones IV y V, de la </w:t>
      </w:r>
      <w:r w:rsidRPr="003B516A">
        <w:rPr>
          <w:rFonts w:ascii="Palatino Linotype" w:eastAsia="Palatino Linotype" w:hAnsi="Palatino Linotype" w:cs="Palatino Linotype"/>
          <w:b/>
          <w:color w:val="000000"/>
        </w:rPr>
        <w:t>Constitución Política del Estado Libre y Soberano de México</w:t>
      </w:r>
      <w:r w:rsidRPr="003B516A">
        <w:rPr>
          <w:rFonts w:ascii="Palatino Linotype" w:eastAsia="Palatino Linotype" w:hAnsi="Palatino Linotype" w:cs="Palatino Linotype"/>
          <w:color w:val="000000"/>
        </w:rPr>
        <w:t xml:space="preserve">; artículos 1, 2 fracción II, 13, 29, 36 fracciones I y II, 176, 178, 179, 181 párrafo tercero y 185 de la </w:t>
      </w:r>
      <w:r w:rsidRPr="003B516A">
        <w:rPr>
          <w:rFonts w:ascii="Palatino Linotype" w:eastAsia="Palatino Linotype" w:hAnsi="Palatino Linotype" w:cs="Palatino Linotype"/>
          <w:b/>
          <w:color w:val="000000"/>
        </w:rPr>
        <w:t>Ley de Transparencia y Acceso a la Información Pública del Estado de México y Municipios</w:t>
      </w:r>
      <w:r w:rsidRPr="003B516A">
        <w:rPr>
          <w:rFonts w:ascii="Palatino Linotype" w:eastAsia="Palatino Linotype" w:hAnsi="Palatino Linotype" w:cs="Palatino Linotype"/>
          <w:color w:val="000000"/>
        </w:rPr>
        <w:t xml:space="preserve">; y 7, 9 fracciones I y XXIII, y 11 del </w:t>
      </w:r>
      <w:r w:rsidRPr="003B516A">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p>
    <w:p w14:paraId="000AF33E" w14:textId="77777777" w:rsidR="00B060F3" w:rsidRPr="003B516A" w:rsidRDefault="00F32370">
      <w:pPr>
        <w:keepNext/>
        <w:keepLines/>
        <w:spacing w:line="360" w:lineRule="auto"/>
        <w:rPr>
          <w:rFonts w:ascii="Palatino Linotype" w:eastAsia="Palatino Linotype" w:hAnsi="Palatino Linotype" w:cs="Palatino Linotype"/>
          <w:b/>
        </w:rPr>
      </w:pPr>
      <w:bookmarkStart w:id="5" w:name="_heading=h.e0177mr9anbs" w:colFirst="0" w:colLast="0"/>
      <w:bookmarkEnd w:id="5"/>
      <w:r w:rsidRPr="003B516A">
        <w:rPr>
          <w:rFonts w:ascii="Palatino Linotype" w:eastAsia="Palatino Linotype" w:hAnsi="Palatino Linotype" w:cs="Palatino Linotype"/>
          <w:b/>
        </w:rPr>
        <w:t>SEGUNDO. De la oportunidad y procedencia.</w:t>
      </w:r>
    </w:p>
    <w:p w14:paraId="226A2F68" w14:textId="77777777" w:rsidR="00B060F3" w:rsidRDefault="00F32370">
      <w:pPr>
        <w:numPr>
          <w:ilvl w:val="0"/>
          <w:numId w:val="1"/>
        </w:numPr>
        <w:spacing w:line="360" w:lineRule="auto"/>
        <w:ind w:left="0" w:right="48"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t xml:space="preserve">El medio de impugnación fue presentado a través del </w:t>
      </w:r>
      <w:r w:rsidRPr="003B516A">
        <w:rPr>
          <w:rFonts w:ascii="Palatino Linotype" w:eastAsia="Palatino Linotype" w:hAnsi="Palatino Linotype" w:cs="Palatino Linotype"/>
          <w:b/>
        </w:rPr>
        <w:t>SAIMEX,</w:t>
      </w:r>
      <w:r w:rsidRPr="003B516A">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3B516A">
        <w:rPr>
          <w:rFonts w:ascii="Palatino Linotype" w:eastAsia="Palatino Linotype" w:hAnsi="Palatino Linotype" w:cs="Palatino Linotype"/>
          <w:b/>
        </w:rPr>
        <w:t>SUJETO OBLIGADO</w:t>
      </w:r>
      <w:r w:rsidRPr="003B516A">
        <w:rPr>
          <w:rFonts w:ascii="Palatino Linotype" w:eastAsia="Palatino Linotype" w:hAnsi="Palatino Linotype" w:cs="Palatino Linotype"/>
        </w:rPr>
        <w:t xml:space="preserve"> entregó respuesta el día </w:t>
      </w:r>
      <w:r w:rsidRPr="003B516A">
        <w:rPr>
          <w:rFonts w:ascii="Palatino Linotype" w:eastAsia="Palatino Linotype" w:hAnsi="Palatino Linotype" w:cs="Palatino Linotype"/>
          <w:b/>
        </w:rPr>
        <w:t>trece de marzo de dos mil veinticinco</w:t>
      </w:r>
      <w:r w:rsidRPr="003B516A">
        <w:rPr>
          <w:rFonts w:ascii="Palatino Linotype" w:eastAsia="Palatino Linotype" w:hAnsi="Palatino Linotype" w:cs="Palatino Linotype"/>
        </w:rPr>
        <w:t xml:space="preserve">, de tal forma que el plazo para interponer el recurso transcurrió del </w:t>
      </w:r>
      <w:r w:rsidRPr="003B516A">
        <w:rPr>
          <w:rFonts w:ascii="Palatino Linotype" w:eastAsia="Palatino Linotype" w:hAnsi="Palatino Linotype" w:cs="Palatino Linotype"/>
          <w:b/>
        </w:rPr>
        <w:t>catorce de marzo al  cuatro de abril de dos mil veinticinco</w:t>
      </w:r>
      <w:r w:rsidRPr="003B516A">
        <w:rPr>
          <w:rFonts w:ascii="Palatino Linotype" w:eastAsia="Palatino Linotype" w:hAnsi="Palatino Linotype" w:cs="Palatino Linotype"/>
        </w:rPr>
        <w:t xml:space="preserve">, de acuerdo al calendario oficial del Instituto de Transparencia del Estado de México y Municipios; en consecuencia, si el particular presentó su inconformidad el  </w:t>
      </w:r>
      <w:r w:rsidRPr="003B516A">
        <w:rPr>
          <w:rFonts w:ascii="Palatino Linotype" w:eastAsia="Palatino Linotype" w:hAnsi="Palatino Linotype" w:cs="Palatino Linotype"/>
          <w:b/>
        </w:rPr>
        <w:t xml:space="preserve">trece </w:t>
      </w:r>
      <w:r w:rsidRPr="003B516A">
        <w:rPr>
          <w:rFonts w:ascii="Palatino Linotype" w:eastAsia="Palatino Linotype" w:hAnsi="Palatino Linotype" w:cs="Palatino Linotype"/>
          <w:b/>
        </w:rPr>
        <w:lastRenderedPageBreak/>
        <w:t>de marzo de dos mil veinticinco</w:t>
      </w:r>
      <w:r w:rsidRPr="003B516A">
        <w:rPr>
          <w:rFonts w:ascii="Palatino Linotype" w:eastAsia="Palatino Linotype" w:hAnsi="Palatino Linotype" w:cs="Palatino Linotype"/>
        </w:rPr>
        <w:t xml:space="preserve">, se encuentra dentro de los márgenes temporales previstos en el artículo 178 de la </w:t>
      </w:r>
      <w:r w:rsidRPr="003B516A">
        <w:rPr>
          <w:rFonts w:ascii="Palatino Linotype" w:eastAsia="Palatino Linotype" w:hAnsi="Palatino Linotype" w:cs="Palatino Linotype"/>
          <w:b/>
        </w:rPr>
        <w:t xml:space="preserve">Ley de Transparencia y Acceso a la Información Pública del Estado de México y Municipios </w:t>
      </w:r>
      <w:r w:rsidRPr="003B516A">
        <w:rPr>
          <w:rFonts w:ascii="Palatino Linotype" w:eastAsia="Palatino Linotype" w:hAnsi="Palatino Linotype" w:cs="Palatino Linotype"/>
        </w:rPr>
        <w:t>vigente.</w:t>
      </w:r>
    </w:p>
    <w:p w14:paraId="6B4D43BB" w14:textId="77777777" w:rsidR="003B516A" w:rsidRPr="003B516A" w:rsidRDefault="003B516A" w:rsidP="003B516A">
      <w:pPr>
        <w:spacing w:line="360" w:lineRule="auto"/>
        <w:ind w:right="48"/>
        <w:jc w:val="both"/>
        <w:rPr>
          <w:rFonts w:ascii="Palatino Linotype" w:eastAsia="Palatino Linotype" w:hAnsi="Palatino Linotype" w:cs="Palatino Linotype"/>
        </w:rPr>
      </w:pPr>
    </w:p>
    <w:p w14:paraId="5EA96938" w14:textId="77777777" w:rsidR="00B060F3" w:rsidRPr="003B516A" w:rsidRDefault="00F32370">
      <w:pPr>
        <w:numPr>
          <w:ilvl w:val="0"/>
          <w:numId w:val="1"/>
        </w:numPr>
        <w:spacing w:line="360" w:lineRule="auto"/>
        <w:ind w:left="0" w:right="48"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t xml:space="preserve">Por otra parte, de la revisión al expediente electrónico del </w:t>
      </w:r>
      <w:r w:rsidRPr="003B516A">
        <w:rPr>
          <w:rFonts w:ascii="Palatino Linotype" w:eastAsia="Palatino Linotype" w:hAnsi="Palatino Linotype" w:cs="Palatino Linotype"/>
          <w:b/>
        </w:rPr>
        <w:t>SAIMEX</w:t>
      </w:r>
      <w:r w:rsidRPr="003B516A">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4366B47" w14:textId="77777777" w:rsidR="00B060F3" w:rsidRPr="003B516A" w:rsidRDefault="00B060F3">
      <w:pPr>
        <w:spacing w:line="360" w:lineRule="auto"/>
        <w:ind w:right="48"/>
        <w:jc w:val="both"/>
        <w:rPr>
          <w:rFonts w:ascii="Palatino Linotype" w:eastAsia="Palatino Linotype" w:hAnsi="Palatino Linotype" w:cs="Palatino Linotype"/>
        </w:rPr>
      </w:pPr>
    </w:p>
    <w:p w14:paraId="56BE45C7" w14:textId="325892E7" w:rsidR="00B060F3" w:rsidRPr="003B516A" w:rsidRDefault="00F32370">
      <w:pPr>
        <w:numPr>
          <w:ilvl w:val="0"/>
          <w:numId w:val="1"/>
        </w:numPr>
        <w:spacing w:line="360" w:lineRule="auto"/>
        <w:ind w:left="0" w:right="48"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t xml:space="preserve">Esto es así, ya que de conformidad con los artículos 6, Apartado A, fracciones III y IV de la Constitución Política de los Estados Unidos Mexicanos y 5, párrafos vigésimo, vigésimo primero y vigésimo </w:t>
      </w:r>
      <w:r w:rsidR="005B69A0" w:rsidRPr="003B516A">
        <w:rPr>
          <w:rFonts w:ascii="Palatino Linotype" w:eastAsia="Palatino Linotype" w:hAnsi="Palatino Linotype" w:cs="Palatino Linotype"/>
        </w:rPr>
        <w:t>segundo</w:t>
      </w:r>
      <w:r w:rsidRPr="003B516A">
        <w:rPr>
          <w:rFonts w:ascii="Palatino Linotype" w:eastAsia="Palatino Linotype" w:hAnsi="Palatino Linotype" w:cs="Palatino Linotype"/>
        </w:rPr>
        <w:t>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C87CBF7"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60A8B96A" w14:textId="77777777" w:rsidR="00B060F3" w:rsidRPr="003B516A" w:rsidRDefault="00F32370">
      <w:pPr>
        <w:numPr>
          <w:ilvl w:val="0"/>
          <w:numId w:val="1"/>
        </w:numPr>
        <w:spacing w:line="360" w:lineRule="auto"/>
        <w:ind w:left="0" w:right="48"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t xml:space="preserve">Por lo cual, de una interpretación sistemática, armónica y progresiva del derecho humano de acceso a la información pública se aprecia que toda persona, sin necesidad de </w:t>
      </w:r>
      <w:r w:rsidRPr="003B516A">
        <w:rPr>
          <w:rFonts w:ascii="Palatino Linotype" w:eastAsia="Palatino Linotype" w:hAnsi="Palatino Linotype" w:cs="Palatino Linotype"/>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3DE0CEC"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38A2856A" w14:textId="77777777" w:rsidR="00B060F3" w:rsidRPr="003B516A" w:rsidRDefault="00F32370">
      <w:pPr>
        <w:numPr>
          <w:ilvl w:val="0"/>
          <w:numId w:val="1"/>
        </w:numPr>
        <w:spacing w:line="360" w:lineRule="auto"/>
        <w:ind w:left="0" w:right="48"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DE4F884"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641EC4F4" w14:textId="77777777" w:rsidR="00B060F3" w:rsidRPr="003B516A" w:rsidRDefault="00F32370">
      <w:pPr>
        <w:numPr>
          <w:ilvl w:val="0"/>
          <w:numId w:val="1"/>
        </w:numPr>
        <w:spacing w:line="360" w:lineRule="auto"/>
        <w:ind w:left="0" w:right="48"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B76BF27"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658FEDF8" w14:textId="77777777" w:rsidR="00B060F3" w:rsidRPr="003B516A" w:rsidRDefault="00F32370">
      <w:pPr>
        <w:numPr>
          <w:ilvl w:val="0"/>
          <w:numId w:val="1"/>
        </w:numPr>
        <w:spacing w:line="360" w:lineRule="auto"/>
        <w:ind w:left="0" w:right="48"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DA922C7" w14:textId="77777777" w:rsidR="00B060F3" w:rsidRPr="003B516A" w:rsidRDefault="00B060F3">
      <w:pPr>
        <w:spacing w:line="360" w:lineRule="auto"/>
        <w:ind w:right="49"/>
        <w:jc w:val="both"/>
        <w:rPr>
          <w:rFonts w:ascii="Palatino Linotype" w:eastAsia="Palatino Linotype" w:hAnsi="Palatino Linotype" w:cs="Palatino Linotype"/>
          <w:b/>
        </w:rPr>
      </w:pPr>
    </w:p>
    <w:p w14:paraId="3CA80469" w14:textId="77777777" w:rsidR="00B060F3" w:rsidRPr="003B516A" w:rsidRDefault="00F32370">
      <w:pPr>
        <w:numPr>
          <w:ilvl w:val="0"/>
          <w:numId w:val="1"/>
        </w:numPr>
        <w:spacing w:line="360" w:lineRule="auto"/>
        <w:ind w:left="0" w:right="49" w:firstLine="0"/>
        <w:jc w:val="both"/>
        <w:rPr>
          <w:rFonts w:ascii="Palatino Linotype" w:eastAsia="Palatino Linotype" w:hAnsi="Palatino Linotype" w:cs="Palatino Linotype"/>
          <w:b/>
        </w:rPr>
      </w:pPr>
      <w:r w:rsidRPr="003B516A">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BDFB00" w14:textId="77777777" w:rsidR="00B060F3" w:rsidRPr="003B516A" w:rsidRDefault="00B060F3">
      <w:pPr>
        <w:spacing w:line="360" w:lineRule="auto"/>
        <w:ind w:right="49"/>
        <w:jc w:val="both"/>
        <w:rPr>
          <w:rFonts w:ascii="Palatino Linotype" w:eastAsia="Palatino Linotype" w:hAnsi="Palatino Linotype" w:cs="Palatino Linotype"/>
          <w:b/>
        </w:rPr>
      </w:pPr>
    </w:p>
    <w:p w14:paraId="5752F415" w14:textId="77777777" w:rsidR="00B060F3" w:rsidRPr="003B516A" w:rsidRDefault="00F32370">
      <w:pPr>
        <w:keepNext/>
        <w:keepLines/>
        <w:spacing w:line="360" w:lineRule="auto"/>
        <w:ind w:right="48"/>
        <w:rPr>
          <w:rFonts w:ascii="Palatino Linotype" w:eastAsia="Palatino Linotype" w:hAnsi="Palatino Linotype" w:cs="Palatino Linotype"/>
          <w:b/>
        </w:rPr>
      </w:pPr>
      <w:bookmarkStart w:id="6" w:name="_heading=h.g471ww93erk3" w:colFirst="0" w:colLast="0"/>
      <w:bookmarkEnd w:id="6"/>
      <w:r w:rsidRPr="003B516A">
        <w:rPr>
          <w:rFonts w:ascii="Palatino Linotype" w:eastAsia="Palatino Linotype" w:hAnsi="Palatino Linotype" w:cs="Palatino Linotype"/>
          <w:b/>
        </w:rPr>
        <w:lastRenderedPageBreak/>
        <w:t>TERCERO. Planteamiento de la Litis.</w:t>
      </w:r>
    </w:p>
    <w:p w14:paraId="2CC5A4F8" w14:textId="77777777" w:rsidR="00B060F3" w:rsidRPr="003B516A" w:rsidRDefault="00F32370">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color w:val="000000"/>
        </w:rPr>
        <w:t xml:space="preserve">El particular solicitó el número de auditorías, los resultados y hallazgos por entes externo e interno de la administración 2019-2021, así conocer si hubo sanciones a servidores públicos por el mal manejo de los recursos públicos. </w:t>
      </w:r>
    </w:p>
    <w:p w14:paraId="355697A2" w14:textId="77777777" w:rsidR="00B060F3" w:rsidRPr="003B516A" w:rsidRDefault="00B060F3">
      <w:p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p>
    <w:p w14:paraId="5603FE03" w14:textId="77777777" w:rsidR="00B060F3" w:rsidRPr="003B516A" w:rsidRDefault="00F32370">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color w:val="000000"/>
        </w:rPr>
        <w:t xml:space="preserve">En respuesta, el Sujeto Obligado entregó los resultados de las auditorías de 2019, 2020 y 2021, y adjuntó dos ligas electrónicas en las que señaló se localizaba la información solicitada. Posteriormente, el particular se inconformó por la entrega de información incompleta. </w:t>
      </w:r>
    </w:p>
    <w:p w14:paraId="7234A2F6" w14:textId="77777777" w:rsidR="00B060F3" w:rsidRPr="003B516A" w:rsidRDefault="00B060F3">
      <w:pPr>
        <w:tabs>
          <w:tab w:val="left" w:pos="0"/>
        </w:tabs>
        <w:spacing w:line="360" w:lineRule="auto"/>
        <w:ind w:right="34"/>
        <w:jc w:val="both"/>
        <w:rPr>
          <w:rFonts w:ascii="Palatino Linotype" w:eastAsia="Palatino Linotype" w:hAnsi="Palatino Linotype" w:cs="Palatino Linotype"/>
          <w:i/>
        </w:rPr>
      </w:pPr>
    </w:p>
    <w:p w14:paraId="685CAA74" w14:textId="77777777" w:rsidR="00B060F3" w:rsidRPr="003B516A" w:rsidRDefault="00F32370">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En consecuencia, la Litis a resolver en este recurso, se circunscribe a determinar si la respuesta colma con lo solicitado o si se actualiza la causal de procedencia prevista en el artículo 179, fracción V de la Ley de Transparencia y Acceso a la Información Pública del Estado de México y Municipios; que establece la entrega de información incompleta.  </w:t>
      </w:r>
    </w:p>
    <w:p w14:paraId="46042458" w14:textId="77777777" w:rsidR="00B060F3" w:rsidRPr="003B516A" w:rsidRDefault="00B060F3">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27F315A4" w14:textId="77777777" w:rsidR="00B060F3" w:rsidRPr="003B516A" w:rsidRDefault="00F32370">
      <w:pPr>
        <w:pStyle w:val="Ttulo1"/>
        <w:spacing w:before="0" w:line="360" w:lineRule="auto"/>
        <w:rPr>
          <w:rFonts w:ascii="Palatino Linotype" w:eastAsia="Palatino Linotype" w:hAnsi="Palatino Linotype" w:cs="Palatino Linotype"/>
          <w:b/>
          <w:color w:val="000000"/>
          <w:sz w:val="24"/>
          <w:szCs w:val="24"/>
        </w:rPr>
      </w:pPr>
      <w:bookmarkStart w:id="7" w:name="_heading=h.jlkffqk3fzfg" w:colFirst="0" w:colLast="0"/>
      <w:bookmarkEnd w:id="7"/>
      <w:r w:rsidRPr="003B516A">
        <w:rPr>
          <w:rFonts w:ascii="Palatino Linotype" w:eastAsia="Palatino Linotype" w:hAnsi="Palatino Linotype" w:cs="Palatino Linotype"/>
          <w:b/>
          <w:color w:val="000000"/>
          <w:sz w:val="24"/>
          <w:szCs w:val="24"/>
        </w:rPr>
        <w:t>CUARTO. Del estudio y resolución del recurso de revisión.</w:t>
      </w:r>
    </w:p>
    <w:p w14:paraId="052EB153"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6B55628A" w14:textId="77777777" w:rsidR="00B060F3" w:rsidRDefault="00B060F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2C5DE3" w14:textId="77777777" w:rsidR="003B516A" w:rsidRDefault="003B516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71A982B" w14:textId="77777777" w:rsidR="003B516A" w:rsidRPr="003B516A" w:rsidRDefault="003B516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5B23A79" w14:textId="77777777" w:rsidR="00B060F3" w:rsidRPr="003B516A" w:rsidRDefault="00F32370">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3B516A">
        <w:rPr>
          <w:rFonts w:ascii="Palatino Linotype" w:eastAsia="Palatino Linotype" w:hAnsi="Palatino Linotype" w:cs="Palatino Linotype"/>
          <w:b/>
          <w:color w:val="000000"/>
        </w:rPr>
        <w:lastRenderedPageBreak/>
        <w:t>De la naturaleza de la información solicitada.</w:t>
      </w:r>
    </w:p>
    <w:p w14:paraId="2384105E" w14:textId="77777777" w:rsidR="00B060F3" w:rsidRPr="003B516A" w:rsidRDefault="00F32370">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color w:val="000000"/>
        </w:rPr>
        <w:t>Primeramente, debemos recapitular que el particular solicitó</w:t>
      </w:r>
      <w:r w:rsidRPr="003B516A">
        <w:rPr>
          <w:rFonts w:ascii="Palatino Linotype" w:eastAsia="Palatino Linotype" w:hAnsi="Palatino Linotype" w:cs="Palatino Linotype"/>
          <w:i/>
          <w:color w:val="000000"/>
        </w:rPr>
        <w:t xml:space="preserve"> </w:t>
      </w:r>
      <w:r w:rsidRPr="003B516A">
        <w:rPr>
          <w:rFonts w:ascii="Palatino Linotype" w:eastAsia="Palatino Linotype" w:hAnsi="Palatino Linotype" w:cs="Palatino Linotype"/>
          <w:color w:val="000000"/>
        </w:rPr>
        <w:t xml:space="preserve">el número de auditorías, los resultados y hallazgos por entes externo e interno de la administración 2019-2021, así conocer si hubo sanciones a servidores públicos por el mal manejo de los recursos públicos. </w:t>
      </w:r>
    </w:p>
    <w:p w14:paraId="1C74B38D" w14:textId="77777777" w:rsidR="00B060F3" w:rsidRPr="003B516A" w:rsidRDefault="00B060F3">
      <w:pPr>
        <w:spacing w:line="360" w:lineRule="auto"/>
        <w:jc w:val="both"/>
        <w:rPr>
          <w:rFonts w:ascii="Palatino Linotype" w:eastAsia="Palatino Linotype" w:hAnsi="Palatino Linotype" w:cs="Palatino Linotype"/>
          <w:i/>
        </w:rPr>
      </w:pPr>
    </w:p>
    <w:p w14:paraId="4418F40D"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Información que tiene el carácter de pública de oficio, toda vez que el Ayuntamiento debe dar cumplimiento a lo establecido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deberán publicar la información correspondiente a los resultados de las auditorías internas y externas realizadas a su ejercicio presupuestal, así como los hallazgos, observaciones, conclusiones, recomendaciones, dictámenes o documentos correspondientes, entregados por la instancia que las haya realizado y, en su caso, el seguimiento a cada una de ellas.</w:t>
      </w:r>
    </w:p>
    <w:p w14:paraId="0C5769AC" w14:textId="77777777" w:rsidR="00B060F3" w:rsidRPr="003B516A" w:rsidRDefault="00B060F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07DA1E3" w14:textId="77777777" w:rsidR="00B060F3" w:rsidRPr="003B516A" w:rsidRDefault="00F32370">
      <w:pPr>
        <w:numPr>
          <w:ilvl w:val="0"/>
          <w:numId w:val="1"/>
        </w:numP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Asimismo, los Lineamientos señalan que las auditorías </w:t>
      </w:r>
      <w:r w:rsidRPr="003B516A">
        <w:rPr>
          <w:rFonts w:ascii="Palatino Linotype" w:eastAsia="Palatino Linotype" w:hAnsi="Palatino Linotype" w:cs="Palatino Linotype"/>
          <w:b/>
          <w:color w:val="000000"/>
        </w:rPr>
        <w:t>son verificaciones a fin de comprobar el cumplimiento de objetivos fiscales;</w:t>
      </w:r>
      <w:r w:rsidRPr="003B516A">
        <w:rPr>
          <w:rFonts w:ascii="Palatino Linotype" w:eastAsia="Palatino Linotype" w:hAnsi="Palatino Linotype" w:cs="Palatino Linotype"/>
          <w:color w:val="000000"/>
        </w:rPr>
        <w:t xml:space="preserve"> sirven para responsabilizar a los Sujetos Obligados y/o servidores públicos,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w:t>
      </w:r>
    </w:p>
    <w:p w14:paraId="3EB82FFF" w14:textId="77777777" w:rsidR="00B060F3" w:rsidRPr="003B516A" w:rsidRDefault="00B060F3">
      <w:pPr>
        <w:spacing w:line="360" w:lineRule="auto"/>
        <w:jc w:val="both"/>
        <w:rPr>
          <w:rFonts w:ascii="Palatino Linotype" w:eastAsia="Palatino Linotype" w:hAnsi="Palatino Linotype" w:cs="Palatino Linotype"/>
          <w:color w:val="000000"/>
        </w:rPr>
      </w:pPr>
    </w:p>
    <w:p w14:paraId="3B161BC2" w14:textId="77777777" w:rsidR="00B060F3" w:rsidRPr="003B516A" w:rsidRDefault="00F32370">
      <w:pPr>
        <w:numPr>
          <w:ilvl w:val="0"/>
          <w:numId w:val="1"/>
        </w:numP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lastRenderedPageBreak/>
        <w:t>Los resultados de estas verificaciones, mismos que emiten los órganos fiscalizadores, deben ser publicados por el Sujeto Obligado, así como las aclaraciones correspondientes aun cuando su seguimiento no esté concluido. El sujeto obligado deberá ordenar la información en dos rubros: Auditorías Internas y Auditorías Externas.</w:t>
      </w:r>
    </w:p>
    <w:p w14:paraId="5A33BE50" w14:textId="77777777" w:rsidR="00B060F3" w:rsidRPr="003B516A" w:rsidRDefault="00B060F3">
      <w:pPr>
        <w:spacing w:line="360" w:lineRule="auto"/>
        <w:jc w:val="both"/>
        <w:rPr>
          <w:rFonts w:ascii="Palatino Linotype" w:eastAsia="Palatino Linotype" w:hAnsi="Palatino Linotype" w:cs="Palatino Linotype"/>
          <w:color w:val="000000"/>
        </w:rPr>
      </w:pPr>
    </w:p>
    <w:p w14:paraId="0E18DEEE" w14:textId="77777777" w:rsidR="00B060F3" w:rsidRPr="003B516A" w:rsidRDefault="00F32370">
      <w:pPr>
        <w:numPr>
          <w:ilvl w:val="0"/>
          <w:numId w:val="1"/>
        </w:numP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Las </w:t>
      </w:r>
      <w:r w:rsidRPr="003B516A">
        <w:rPr>
          <w:rFonts w:ascii="Palatino Linotype" w:eastAsia="Palatino Linotype" w:hAnsi="Palatino Linotype" w:cs="Palatino Linotype"/>
          <w:i/>
          <w:color w:val="000000"/>
        </w:rPr>
        <w:t>auditorías internas</w:t>
      </w:r>
      <w:r w:rsidRPr="003B516A">
        <w:rPr>
          <w:rFonts w:ascii="Palatino Linotype" w:eastAsia="Palatino Linotype" w:hAnsi="Palatino Linotype" w:cs="Palatino Linotype"/>
          <w:color w:val="000000"/>
        </w:rPr>
        <w:t xml:space="preserve"> se refieren a las revisiones </w:t>
      </w:r>
      <w:r w:rsidRPr="003B516A">
        <w:rPr>
          <w:rFonts w:ascii="Palatino Linotype" w:eastAsia="Palatino Linotype" w:hAnsi="Palatino Linotype" w:cs="Palatino Linotype"/>
          <w:b/>
          <w:color w:val="000000"/>
        </w:rPr>
        <w:t>realizadas por los órganos internos de control, contralorías, comisiones u órganos de vigilancia</w:t>
      </w:r>
      <w:r w:rsidRPr="003B516A">
        <w:rPr>
          <w:rFonts w:ascii="Palatino Linotype" w:eastAsia="Palatino Linotype" w:hAnsi="Palatino Linotype" w:cs="Palatino Linotype"/>
          <w:color w:val="000000"/>
        </w:rPr>
        <w:t xml:space="preserve">, según corresponda, de cada Sujeto Obligado, los cuales actúan a lo largo de todo el año o durante la gestión del sujeto. Las </w:t>
      </w:r>
      <w:r w:rsidRPr="003B516A">
        <w:rPr>
          <w:rFonts w:ascii="Palatino Linotype" w:eastAsia="Palatino Linotype" w:hAnsi="Palatino Linotype" w:cs="Palatino Linotype"/>
          <w:i/>
          <w:color w:val="000000"/>
        </w:rPr>
        <w:t>auditorías externas</w:t>
      </w:r>
      <w:r w:rsidRPr="003B516A">
        <w:rPr>
          <w:rFonts w:ascii="Palatino Linotype" w:eastAsia="Palatino Linotype" w:hAnsi="Palatino Linotype" w:cs="Palatino Linotype"/>
          <w:color w:val="000000"/>
        </w:rPr>
        <w:t xml:space="preserve"> se refieren a las revisiones realizadas por el organismo fiscalizador encargado de la entidad que corresponda, así como por las organizaciones, instituciones, consultoras u homólogas externas que el sujeto obligado haya contratado para tal finalidad. Además, en el rubro correspondiente a esta fracción se publicarán los datos obtenidos de las revisiones hechas por la Auditoría Superior de la Federación (ASF), independientemente del ámbito del Sujeto Obligado.</w:t>
      </w:r>
    </w:p>
    <w:p w14:paraId="6B2CF818" w14:textId="77777777" w:rsidR="00B060F3" w:rsidRPr="003B516A" w:rsidRDefault="00B060F3">
      <w:pPr>
        <w:spacing w:line="360" w:lineRule="auto"/>
        <w:ind w:left="502"/>
        <w:jc w:val="both"/>
        <w:rPr>
          <w:rFonts w:ascii="Palatino Linotype" w:eastAsia="Palatino Linotype" w:hAnsi="Palatino Linotype" w:cs="Palatino Linotype"/>
        </w:rPr>
      </w:pPr>
    </w:p>
    <w:p w14:paraId="3736B44B" w14:textId="77777777" w:rsidR="00B060F3" w:rsidRPr="003B516A" w:rsidRDefault="00F32370">
      <w:pPr>
        <w:numPr>
          <w:ilvl w:val="0"/>
          <w:numId w:val="1"/>
        </w:numP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Además de ordenar la información por rubro (internas y externas), ésta deberá organizarse por tipo de auditoría; por ejemplo: de cumplimiento financiero, de inversión física, forense, de desempeño, de gasto federalizado, financiera de legalidad, programático presupuestal o la que corresponda; en su caso, por los informes entregados por la instancia que auditó al sujeto obligado, incluidos los informes individuales de auditoría, el Informe General Ejecutivo a la Cámara de Diputados que en su caso haya realizado la ASF y lo derivado de las investigaciones realizadas y las responsabilidades procedentes. </w:t>
      </w:r>
    </w:p>
    <w:p w14:paraId="48AF7996" w14:textId="77777777" w:rsidR="00B060F3" w:rsidRPr="003B516A" w:rsidRDefault="00B060F3">
      <w:pPr>
        <w:spacing w:line="360" w:lineRule="auto"/>
        <w:jc w:val="both"/>
        <w:rPr>
          <w:rFonts w:ascii="Palatino Linotype" w:eastAsia="Palatino Linotype" w:hAnsi="Palatino Linotype" w:cs="Palatino Linotype"/>
          <w:color w:val="000000"/>
        </w:rPr>
      </w:pPr>
    </w:p>
    <w:p w14:paraId="0ED84F41" w14:textId="77777777" w:rsidR="00B060F3" w:rsidRPr="003B516A" w:rsidRDefault="00F32370">
      <w:pPr>
        <w:numPr>
          <w:ilvl w:val="0"/>
          <w:numId w:val="1"/>
        </w:numP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Ya que los órganos fiscalizadores promueven acciones con el fin de que los Sujetos Obligados corrijan los errores, evalúen la posibilidad de generar cambios a su interior o </w:t>
      </w:r>
      <w:r w:rsidRPr="003B516A">
        <w:rPr>
          <w:rFonts w:ascii="Palatino Linotype" w:eastAsia="Palatino Linotype" w:hAnsi="Palatino Linotype" w:cs="Palatino Linotype"/>
          <w:color w:val="000000"/>
        </w:rPr>
        <w:lastRenderedPageBreak/>
        <w:t>realicen cualquier labor de mejora que derive de los resultados obtenidos de las revisiones, todos los Sujetos Obligados deberán publicar dichas acciones impuestas por estos órganos con base en lo establecido en la ley que corresponda.</w:t>
      </w:r>
    </w:p>
    <w:p w14:paraId="1B652956"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12EF8EFA" w14:textId="77777777" w:rsidR="00B060F3" w:rsidRPr="003B516A" w:rsidRDefault="00F32370">
      <w:pPr>
        <w:numPr>
          <w:ilvl w:val="0"/>
          <w:numId w:val="1"/>
        </w:numP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Aunado a la anteriormente señalado, el Sujeto Obligado no negó contar con la información solicitada, por el contrario, asumió contar con ella, tan es así que entregó los resultados de las auditorías de 2019, 2020 y 2021 y refirió que la información respecto a las sanciones se localizaba en la página de IPOMEX del Sujeto Obligado. </w:t>
      </w:r>
    </w:p>
    <w:p w14:paraId="0B4CD248" w14:textId="77777777" w:rsidR="00B060F3" w:rsidRPr="003B516A" w:rsidRDefault="00B060F3">
      <w:p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p>
    <w:p w14:paraId="1D2BD63F" w14:textId="77777777" w:rsidR="00B060F3" w:rsidRPr="003B516A" w:rsidRDefault="00F32370">
      <w:pPr>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3B516A">
        <w:rPr>
          <w:rFonts w:ascii="Palatino Linotype" w:eastAsia="Palatino Linotype" w:hAnsi="Palatino Linotype" w:cs="Palatino Linotype"/>
          <w:b/>
          <w:color w:val="000000"/>
        </w:rPr>
        <w:t>De la búsqueda exhaustiva</w:t>
      </w:r>
    </w:p>
    <w:p w14:paraId="2B178DC0"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3B516A">
        <w:rPr>
          <w:rFonts w:ascii="Palatino Linotype" w:eastAsia="Palatino Linotype" w:hAnsi="Palatino Linotype" w:cs="Palatino Linotype"/>
          <w:i/>
          <w:color w:val="000000"/>
        </w:rPr>
        <w:t xml:space="preserve">en el ámbito de sus atribuciones, de promover, respetar, proteger y </w:t>
      </w:r>
      <w:r w:rsidRPr="003B516A">
        <w:rPr>
          <w:rFonts w:ascii="Palatino Linotype" w:eastAsia="Palatino Linotype" w:hAnsi="Palatino Linotype" w:cs="Palatino Linotype"/>
          <w:b/>
          <w:i/>
          <w:color w:val="000000"/>
        </w:rPr>
        <w:t>garantizar</w:t>
      </w:r>
      <w:r w:rsidRPr="003B516A">
        <w:rPr>
          <w:rFonts w:ascii="Palatino Linotype" w:eastAsia="Palatino Linotype" w:hAnsi="Palatino Linotype" w:cs="Palatino Linotype"/>
          <w:i/>
          <w:color w:val="000000"/>
        </w:rPr>
        <w:t xml:space="preserve"> los derechos humanos. </w:t>
      </w:r>
      <w:r w:rsidRPr="003B516A">
        <w:rPr>
          <w:rFonts w:ascii="Palatino Linotype" w:eastAsia="Palatino Linotype" w:hAnsi="Palatino Linotype" w:cs="Palatino Linotype"/>
          <w:b/>
          <w:i/>
          <w:color w:val="000000"/>
        </w:rPr>
        <w:t>En cuanto al derecho de acceso a la información, la Ley de Transparencia y Acceso a la Información Pública del Estado de México y Municipios prevé establece que e</w:t>
      </w:r>
      <w:r w:rsidRPr="003B516A">
        <w:rPr>
          <w:rFonts w:ascii="Palatino Linotype" w:eastAsia="Palatino Linotype" w:hAnsi="Palatino Linotype" w:cs="Palatino Linotype"/>
          <w:i/>
          <w:color w:val="000000"/>
        </w:rPr>
        <w:t>l procedimiento de acceso a la información es la garantía primaria del derecho en cuestión y se rige por los principios de simplicidad, rapidez y gratuidad del procedimiento, auxilio y orientación a los particulares</w:t>
      </w:r>
      <w:r w:rsidRPr="003B516A">
        <w:rPr>
          <w:rFonts w:ascii="Century Gothic" w:eastAsia="Century Gothic" w:hAnsi="Century Gothic" w:cs="Century Gothic"/>
          <w:i/>
          <w:color w:val="000000"/>
          <w:vertAlign w:val="superscript"/>
        </w:rPr>
        <w:footnoteReference w:id="1"/>
      </w:r>
      <w:r w:rsidRPr="003B516A">
        <w:rPr>
          <w:rFonts w:ascii="Palatino Linotype" w:eastAsia="Palatino Linotype" w:hAnsi="Palatino Linotype" w:cs="Palatino Linotype"/>
          <w:i/>
          <w:color w:val="000000"/>
        </w:rPr>
        <w:t xml:space="preserve">, </w:t>
      </w:r>
      <w:r w:rsidRPr="003B516A">
        <w:rPr>
          <w:rFonts w:ascii="Palatino Linotype" w:eastAsia="Palatino Linotype" w:hAnsi="Palatino Linotype" w:cs="Palatino Linotype"/>
          <w:color w:val="000000"/>
        </w:rPr>
        <w:t>asimismo establece</w:t>
      </w:r>
      <w:r w:rsidRPr="003B516A">
        <w:rPr>
          <w:rFonts w:ascii="Palatino Linotype" w:eastAsia="Palatino Linotype" w:hAnsi="Palatino Linotype" w:cs="Palatino Linotype"/>
          <w:i/>
          <w:color w:val="000000"/>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1A5C94E"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102884EA"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D7FB4BC"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27458530"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Es así que, su obligación es </w:t>
      </w:r>
      <w:r w:rsidRPr="003B516A">
        <w:rPr>
          <w:rFonts w:ascii="Palatino Linotype" w:eastAsia="Palatino Linotype" w:hAnsi="Palatino Linotype" w:cs="Palatino Linotype"/>
          <w:i/>
          <w:color w:val="000000"/>
        </w:rPr>
        <w:t>realizar, con efectividad, los trámites internos necesarios para la atención de las solicitudes de información</w:t>
      </w:r>
      <w:r w:rsidRPr="003B516A">
        <w:rPr>
          <w:rFonts w:ascii="Century Gothic" w:eastAsia="Century Gothic" w:hAnsi="Century Gothic" w:cs="Century Gothic"/>
          <w:color w:val="000000"/>
          <w:vertAlign w:val="superscript"/>
        </w:rPr>
        <w:footnoteReference w:id="2"/>
      </w:r>
      <w:r w:rsidRPr="003B516A">
        <w:rPr>
          <w:rFonts w:ascii="Palatino Linotype" w:eastAsia="Palatino Linotype" w:hAnsi="Palatino Linotype" w:cs="Palatino Linotype"/>
          <w:color w:val="000000"/>
        </w:rPr>
        <w:t>, es decir, deben otorgar respuestas concisas, contundentes y sobre todo que den la certeza de los actos que realizan.</w:t>
      </w:r>
    </w:p>
    <w:p w14:paraId="311343B4"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4B190BE2"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14:paraId="1463BE7C"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b/>
          <w:i/>
        </w:rPr>
        <w:t xml:space="preserve">Artículo 50. </w:t>
      </w:r>
      <w:r w:rsidRPr="003B516A">
        <w:rPr>
          <w:rFonts w:ascii="Palatino Linotype" w:eastAsia="Palatino Linotype" w:hAnsi="Palatino Linotype" w:cs="Palatino Linotype"/>
          <w:i/>
        </w:rPr>
        <w:t>Los sujetos obligados contarán con un área responsable para la atención de las solicitudes de información, a la que se le denominará Unidad de Transparencia.</w:t>
      </w:r>
    </w:p>
    <w:p w14:paraId="518F44A2" w14:textId="77777777" w:rsidR="00B060F3" w:rsidRPr="003B516A" w:rsidRDefault="00B060F3">
      <w:pPr>
        <w:ind w:left="567" w:right="616"/>
        <w:jc w:val="both"/>
        <w:rPr>
          <w:rFonts w:ascii="Palatino Linotype" w:eastAsia="Palatino Linotype" w:hAnsi="Palatino Linotype" w:cs="Palatino Linotype"/>
          <w:i/>
        </w:rPr>
      </w:pPr>
    </w:p>
    <w:p w14:paraId="0048CD6D"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b/>
          <w:i/>
        </w:rPr>
        <w:t xml:space="preserve">Artículo 53. </w:t>
      </w:r>
      <w:r w:rsidRPr="003B516A">
        <w:rPr>
          <w:rFonts w:ascii="Palatino Linotype" w:eastAsia="Palatino Linotype" w:hAnsi="Palatino Linotype" w:cs="Palatino Linotype"/>
          <w:i/>
        </w:rPr>
        <w:t>Las Unidades de Transparencia tendrán las siguientes funciones:</w:t>
      </w:r>
    </w:p>
    <w:p w14:paraId="03FD8885"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i/>
        </w:rPr>
        <w:t>(…)</w:t>
      </w:r>
    </w:p>
    <w:p w14:paraId="306B1974"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b/>
          <w:i/>
        </w:rPr>
        <w:t>II.</w:t>
      </w:r>
      <w:r w:rsidRPr="003B516A">
        <w:rPr>
          <w:rFonts w:ascii="Palatino Linotype" w:eastAsia="Palatino Linotype" w:hAnsi="Palatino Linotype" w:cs="Palatino Linotype"/>
          <w:i/>
        </w:rPr>
        <w:t xml:space="preserve"> Recibir, tramitar y dar respuesta a las solicitudes de acceso a la información;</w:t>
      </w:r>
    </w:p>
    <w:p w14:paraId="17BC55C4"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i/>
        </w:rPr>
        <w:t>(…)</w:t>
      </w:r>
    </w:p>
    <w:p w14:paraId="2F32EC99"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b/>
          <w:i/>
        </w:rPr>
        <w:t>IV.</w:t>
      </w:r>
      <w:r w:rsidRPr="003B516A">
        <w:rPr>
          <w:rFonts w:ascii="Palatino Linotype" w:eastAsia="Palatino Linotype" w:hAnsi="Palatino Linotype" w:cs="Palatino Linotype"/>
          <w:i/>
        </w:rPr>
        <w:t xml:space="preserve"> Realizar, con efectividad, los trámites internos necesarios para la atención de las solicitudes de acceso a la información;</w:t>
      </w:r>
    </w:p>
    <w:p w14:paraId="4FAB881A"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b/>
          <w:i/>
        </w:rPr>
        <w:t>V.</w:t>
      </w:r>
      <w:r w:rsidRPr="003B516A">
        <w:rPr>
          <w:rFonts w:ascii="Palatino Linotype" w:eastAsia="Palatino Linotype" w:hAnsi="Palatino Linotype" w:cs="Palatino Linotype"/>
          <w:i/>
        </w:rPr>
        <w:t xml:space="preserve"> Entregar, en su caso, a los particulares la información solicitada;</w:t>
      </w:r>
    </w:p>
    <w:p w14:paraId="02913FD4"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i/>
        </w:rPr>
        <w:t>(…)</w:t>
      </w:r>
    </w:p>
    <w:p w14:paraId="194A52E1" w14:textId="77777777" w:rsidR="00B060F3" w:rsidRPr="003B516A" w:rsidRDefault="00B060F3">
      <w:pPr>
        <w:ind w:left="567" w:right="616"/>
        <w:jc w:val="both"/>
        <w:rPr>
          <w:rFonts w:ascii="Palatino Linotype" w:eastAsia="Palatino Linotype" w:hAnsi="Palatino Linotype" w:cs="Palatino Linotype"/>
          <w:i/>
        </w:rPr>
      </w:pPr>
    </w:p>
    <w:p w14:paraId="535A3152"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b/>
          <w:i/>
        </w:rPr>
        <w:lastRenderedPageBreak/>
        <w:t xml:space="preserve">Artículo 58. </w:t>
      </w:r>
      <w:r w:rsidRPr="003B516A">
        <w:rPr>
          <w:rFonts w:ascii="Palatino Linotype" w:eastAsia="Palatino Linotype" w:hAnsi="Palatino Linotype" w:cs="Palatino Linotype"/>
          <w:i/>
        </w:rPr>
        <w:t>Los servidores públicos habilitados serán designados por el titular del sujeto obligado a propuesta del responsable de la Unidad de Transparencia.</w:t>
      </w:r>
    </w:p>
    <w:p w14:paraId="4622EE61" w14:textId="77777777" w:rsidR="00B060F3" w:rsidRPr="003B516A" w:rsidRDefault="00B060F3">
      <w:pPr>
        <w:ind w:left="567" w:right="616"/>
        <w:jc w:val="both"/>
        <w:rPr>
          <w:rFonts w:ascii="Palatino Linotype" w:eastAsia="Palatino Linotype" w:hAnsi="Palatino Linotype" w:cs="Palatino Linotype"/>
          <w:i/>
        </w:rPr>
      </w:pPr>
    </w:p>
    <w:p w14:paraId="451FE60A"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b/>
          <w:i/>
        </w:rPr>
        <w:t xml:space="preserve">Artículo 59. </w:t>
      </w:r>
      <w:r w:rsidRPr="003B516A">
        <w:rPr>
          <w:rFonts w:ascii="Palatino Linotype" w:eastAsia="Palatino Linotype" w:hAnsi="Palatino Linotype" w:cs="Palatino Linotype"/>
          <w:i/>
        </w:rPr>
        <w:t>Los servidores públicos habilitados tendrán las funciones siguientes:</w:t>
      </w:r>
    </w:p>
    <w:p w14:paraId="73C8EF90" w14:textId="77777777" w:rsidR="00B060F3" w:rsidRPr="003B516A" w:rsidRDefault="00B060F3">
      <w:pPr>
        <w:ind w:left="567" w:right="616"/>
        <w:jc w:val="both"/>
        <w:rPr>
          <w:rFonts w:ascii="Palatino Linotype" w:eastAsia="Palatino Linotype" w:hAnsi="Palatino Linotype" w:cs="Palatino Linotype"/>
          <w:i/>
        </w:rPr>
      </w:pPr>
    </w:p>
    <w:p w14:paraId="7E9B50A8"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b/>
          <w:i/>
        </w:rPr>
        <w:t>I.</w:t>
      </w:r>
      <w:r w:rsidRPr="003B516A">
        <w:rPr>
          <w:rFonts w:ascii="Palatino Linotype" w:eastAsia="Palatino Linotype" w:hAnsi="Palatino Linotype" w:cs="Palatino Linotype"/>
          <w:i/>
        </w:rPr>
        <w:t xml:space="preserve"> Localizar la información que le solicite la Unidad de Transparencia;</w:t>
      </w:r>
    </w:p>
    <w:p w14:paraId="27724C39"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b/>
          <w:i/>
        </w:rPr>
        <w:t>II.</w:t>
      </w:r>
      <w:r w:rsidRPr="003B516A">
        <w:rPr>
          <w:rFonts w:ascii="Palatino Linotype" w:eastAsia="Palatino Linotype" w:hAnsi="Palatino Linotype" w:cs="Palatino Linotype"/>
          <w:i/>
        </w:rPr>
        <w:t xml:space="preserve"> Proporcionar la información que obre en los archivos y que le sea solicitada por la Unidad de Transparencia;</w:t>
      </w:r>
    </w:p>
    <w:p w14:paraId="66E2DEAD"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i/>
        </w:rPr>
        <w:t>(...)</w:t>
      </w:r>
    </w:p>
    <w:p w14:paraId="288586FD" w14:textId="77777777" w:rsidR="00B060F3" w:rsidRPr="003B516A" w:rsidRDefault="00B060F3">
      <w:pPr>
        <w:ind w:left="567" w:right="616"/>
        <w:jc w:val="both"/>
        <w:rPr>
          <w:rFonts w:ascii="Palatino Linotype" w:eastAsia="Palatino Linotype" w:hAnsi="Palatino Linotype" w:cs="Palatino Linotype"/>
          <w:i/>
        </w:rPr>
      </w:pPr>
    </w:p>
    <w:p w14:paraId="25986038" w14:textId="77777777" w:rsidR="00B060F3" w:rsidRPr="003B516A" w:rsidRDefault="00F32370">
      <w:pPr>
        <w:ind w:left="567" w:right="616"/>
        <w:jc w:val="both"/>
        <w:rPr>
          <w:rFonts w:ascii="Palatino Linotype" w:eastAsia="Palatino Linotype" w:hAnsi="Palatino Linotype" w:cs="Palatino Linotype"/>
          <w:i/>
        </w:rPr>
      </w:pPr>
      <w:r w:rsidRPr="003B516A">
        <w:rPr>
          <w:rFonts w:ascii="Palatino Linotype" w:eastAsia="Palatino Linotype" w:hAnsi="Palatino Linotype" w:cs="Palatino Linotype"/>
          <w:b/>
          <w:i/>
        </w:rPr>
        <w:t xml:space="preserve">Artículo 162. </w:t>
      </w:r>
      <w:r w:rsidRPr="003B516A">
        <w:rPr>
          <w:rFonts w:ascii="Palatino Linotype" w:eastAsia="Palatino Linotype" w:hAnsi="Palatino Linotype" w:cs="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1B002AF" w14:textId="77777777" w:rsidR="00B060F3" w:rsidRPr="003B516A" w:rsidRDefault="00B060F3">
      <w:pPr>
        <w:spacing w:line="360" w:lineRule="auto"/>
        <w:jc w:val="both"/>
        <w:rPr>
          <w:rFonts w:ascii="Palatino Linotype" w:eastAsia="Palatino Linotype" w:hAnsi="Palatino Linotype" w:cs="Palatino Linotype"/>
        </w:rPr>
      </w:pPr>
    </w:p>
    <w:p w14:paraId="3863D236"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14:paraId="688424E7" w14:textId="77777777" w:rsidR="00B060F3" w:rsidRPr="003B516A" w:rsidRDefault="00B060F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088901B"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Así, se debe entender que el trámite interno que se realice a las solicitudes de acceso a la información, es con el propósito de que se realice una búsqueda exhaustiva y razonable de </w:t>
      </w:r>
      <w:r w:rsidRPr="003B516A">
        <w:rPr>
          <w:rFonts w:ascii="Palatino Linotype" w:eastAsia="Palatino Linotype" w:hAnsi="Palatino Linotype" w:cs="Palatino Linotype"/>
          <w:color w:val="000000"/>
        </w:rPr>
        <w:lastRenderedPageBreak/>
        <w:t>la información entre sus archivos y, en su caso, se entregue la información de interés para el particular.</w:t>
      </w:r>
    </w:p>
    <w:p w14:paraId="020D1BA7"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4BEA7FDA"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En el caso que se resuelve, la respuesta fue emitida por Tesorería Municipal y Contraloría Municipal, quien de acuerdo al artículo 92, fracción II y III del Bando Municipal de Toluca, tienen las siguientes funciones:</w:t>
      </w:r>
    </w:p>
    <w:p w14:paraId="39BA587C" w14:textId="77777777" w:rsidR="00B060F3" w:rsidRPr="003B516A" w:rsidRDefault="00F32370">
      <w:pPr>
        <w:spacing w:line="360" w:lineRule="auto"/>
        <w:ind w:left="851" w:right="822"/>
        <w:jc w:val="both"/>
        <w:rPr>
          <w:rFonts w:ascii="Palatino Linotype" w:eastAsia="Palatino Linotype" w:hAnsi="Palatino Linotype" w:cs="Palatino Linotype"/>
          <w:i/>
        </w:rPr>
      </w:pPr>
      <w:r w:rsidRPr="003B516A">
        <w:rPr>
          <w:rFonts w:ascii="Palatino Linotype" w:eastAsia="Palatino Linotype" w:hAnsi="Palatino Linotype" w:cs="Palatino Linotype"/>
          <w:i/>
        </w:rPr>
        <w:t>“</w:t>
      </w:r>
      <w:r w:rsidRPr="003B516A">
        <w:rPr>
          <w:rFonts w:ascii="Palatino Linotype" w:eastAsia="Palatino Linotype" w:hAnsi="Palatino Linotype" w:cs="Palatino Linotype"/>
          <w:b/>
          <w:i/>
        </w:rPr>
        <w:t>II.</w:t>
      </w:r>
      <w:r w:rsidRPr="003B516A">
        <w:rPr>
          <w:rFonts w:ascii="Palatino Linotype" w:eastAsia="Palatino Linotype" w:hAnsi="Palatino Linotype" w:cs="Palatino Linotype"/>
          <w:i/>
        </w:rPr>
        <w:t xml:space="preserve"> La persona titular de la Tesorería Municipal es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 </w:t>
      </w:r>
    </w:p>
    <w:p w14:paraId="3CE1707A" w14:textId="77777777" w:rsidR="00B060F3" w:rsidRPr="003B516A" w:rsidRDefault="00B060F3">
      <w:pPr>
        <w:spacing w:line="360" w:lineRule="auto"/>
        <w:ind w:left="851" w:right="822"/>
        <w:jc w:val="both"/>
        <w:rPr>
          <w:rFonts w:ascii="Palatino Linotype" w:eastAsia="Palatino Linotype" w:hAnsi="Palatino Linotype" w:cs="Palatino Linotype"/>
          <w:i/>
        </w:rPr>
      </w:pPr>
    </w:p>
    <w:p w14:paraId="2FA4D396" w14:textId="77777777" w:rsidR="00B060F3" w:rsidRPr="003B516A" w:rsidRDefault="00F32370">
      <w:pPr>
        <w:spacing w:line="360" w:lineRule="auto"/>
        <w:ind w:left="851" w:right="822"/>
        <w:jc w:val="both"/>
        <w:rPr>
          <w:rFonts w:ascii="Palatino Linotype" w:eastAsia="Palatino Linotype" w:hAnsi="Palatino Linotype" w:cs="Palatino Linotype"/>
          <w:i/>
        </w:rPr>
      </w:pPr>
      <w:r w:rsidRPr="003B516A">
        <w:rPr>
          <w:rFonts w:ascii="Palatino Linotype" w:eastAsia="Palatino Linotype" w:hAnsi="Palatino Linotype" w:cs="Palatino Linotype"/>
          <w:b/>
          <w:i/>
        </w:rPr>
        <w:t>III.</w:t>
      </w:r>
      <w:r w:rsidRPr="003B516A">
        <w:rPr>
          <w:rFonts w:ascii="Palatino Linotype" w:eastAsia="Palatino Linotype" w:hAnsi="Palatino Linotype" w:cs="Palatino Linotype"/>
          <w:i/>
        </w:rPr>
        <w:t xml:space="preserve"> La persona titular del Órgano Interno de Control Municipal tendrá como principales funciones el control y la fiscalización municipal; la aplicación de normas, evaluación de ingresos y egresos, la planeación del control interno, asesoría en responsabilidades administrativas y supervisión del cumplimiento normativo. Para ello, podrá llevar a 50 cabo auditorías, revisiones financieras, supervisión de contrataciones y gestión patrimonial. Además, podrá investigar posibles faltas administrativas y colaborar con instancias estatales y federales. Recibirá y canalizará denuncias, fomentará la participación ciudadana en materia de fiscalización y garantizará mecanismos para prevenir actos de corrupción, fortaleciendo la rendición de cuentas y el cumplimiento de la normatividad aplicable.”</w:t>
      </w:r>
    </w:p>
    <w:p w14:paraId="3636AFFD" w14:textId="77777777" w:rsidR="00B060F3" w:rsidRPr="003B516A" w:rsidRDefault="00F32370">
      <w:pPr>
        <w:numPr>
          <w:ilvl w:val="0"/>
          <w:numId w:val="1"/>
        </w:numPr>
        <w:spacing w:line="360" w:lineRule="auto"/>
        <w:ind w:left="0" w:right="49"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lastRenderedPageBreak/>
        <w:t xml:space="preserve">Ante tal contexto, se concluye que la información fue entregada por las áreas que de acuerdo a sus facultades genera posee y administra la información solicitada, es decir, que el Sujeto Obligado dio cumplimiento al proceso de búsqueda que establece la Ley de Transparencia y Acceso a la Información Pública del Estado de México y Municipios. </w:t>
      </w:r>
    </w:p>
    <w:p w14:paraId="6B0A5240" w14:textId="77777777" w:rsidR="00B060F3" w:rsidRPr="003B516A" w:rsidRDefault="00B060F3">
      <w:pPr>
        <w:spacing w:line="360" w:lineRule="auto"/>
        <w:ind w:right="49"/>
        <w:jc w:val="both"/>
        <w:rPr>
          <w:rFonts w:ascii="Palatino Linotype" w:eastAsia="Palatino Linotype" w:hAnsi="Palatino Linotype" w:cs="Palatino Linotype"/>
        </w:rPr>
      </w:pPr>
    </w:p>
    <w:p w14:paraId="06025D2F" w14:textId="3529B2FC" w:rsidR="00B060F3" w:rsidRPr="003B516A" w:rsidRDefault="00F32370">
      <w:pPr>
        <w:numPr>
          <w:ilvl w:val="0"/>
          <w:numId w:val="1"/>
        </w:numPr>
        <w:spacing w:line="360" w:lineRule="auto"/>
        <w:ind w:left="0" w:right="49" w:firstLine="0"/>
        <w:jc w:val="both"/>
        <w:rPr>
          <w:rFonts w:ascii="Palatino Linotype" w:eastAsia="Palatino Linotype" w:hAnsi="Palatino Linotype" w:cs="Palatino Linotype"/>
        </w:rPr>
      </w:pPr>
      <w:r w:rsidRPr="003B516A">
        <w:rPr>
          <w:rFonts w:ascii="Palatino Linotype" w:eastAsia="Palatino Linotype" w:hAnsi="Palatino Linotype" w:cs="Palatino Linotype"/>
        </w:rPr>
        <w:t>Ahora ben, recordemos que se entregaron los resultados</w:t>
      </w:r>
      <w:r w:rsidR="00BD4C52" w:rsidRPr="003B516A">
        <w:rPr>
          <w:rFonts w:ascii="Palatino Linotype" w:eastAsia="Palatino Linotype" w:hAnsi="Palatino Linotype" w:cs="Palatino Linotype"/>
        </w:rPr>
        <w:t xml:space="preserve"> y hallazgos</w:t>
      </w:r>
      <w:r w:rsidRPr="003B516A">
        <w:rPr>
          <w:rFonts w:ascii="Palatino Linotype" w:eastAsia="Palatino Linotype" w:hAnsi="Palatino Linotype" w:cs="Palatino Linotype"/>
        </w:rPr>
        <w:t xml:space="preserve"> de tres auditorías, de 2019, 2020 y 2021, en ese sentido, este órgano Garante no está facultado para pronunciarse respecto a la veracidad de la información entregada en respuesta, es decir, que con esa información que entregó el Sujeto Obligado se tiene por colmada la parte de la solicitud </w:t>
      </w:r>
      <w:r w:rsidR="00BD4C52" w:rsidRPr="003B516A">
        <w:rPr>
          <w:rFonts w:ascii="Palatino Linotype" w:eastAsia="Palatino Linotype" w:hAnsi="Palatino Linotype" w:cs="Palatino Linotype"/>
        </w:rPr>
        <w:t xml:space="preserve">sobre el número de auditorías, los hallazgos y </w:t>
      </w:r>
      <w:r w:rsidRPr="003B516A">
        <w:rPr>
          <w:rFonts w:ascii="Palatino Linotype" w:eastAsia="Palatino Linotype" w:hAnsi="Palatino Linotype" w:cs="Palatino Linotype"/>
        </w:rPr>
        <w:t>los resultados.</w:t>
      </w:r>
    </w:p>
    <w:p w14:paraId="23BD9856" w14:textId="77777777" w:rsidR="00B060F3" w:rsidRPr="003B516A" w:rsidRDefault="00B060F3">
      <w:pPr>
        <w:spacing w:line="360" w:lineRule="auto"/>
        <w:ind w:right="49"/>
        <w:jc w:val="both"/>
        <w:rPr>
          <w:rFonts w:ascii="Palatino Linotype" w:eastAsia="Palatino Linotype" w:hAnsi="Palatino Linotype" w:cs="Palatino Linotype"/>
        </w:rPr>
      </w:pPr>
    </w:p>
    <w:p w14:paraId="3B89E0ED" w14:textId="77777777" w:rsidR="00B060F3" w:rsidRPr="003B516A" w:rsidRDefault="00F32370">
      <w:pPr>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3B516A">
        <w:rPr>
          <w:rFonts w:ascii="Palatino Linotype" w:eastAsia="Palatino Linotype" w:hAnsi="Palatino Linotype" w:cs="Palatino Linotype"/>
          <w:b/>
          <w:color w:val="000000"/>
        </w:rPr>
        <w:t xml:space="preserve">De la información contenida en ligas electrónicas.  </w:t>
      </w:r>
    </w:p>
    <w:p w14:paraId="52C436C6"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3B516A">
        <w:rPr>
          <w:rFonts w:ascii="Palatino Linotype" w:eastAsia="Palatino Linotype" w:hAnsi="Palatino Linotype" w:cs="Palatino Linotype"/>
          <w:color w:val="000000"/>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3B516A">
        <w:rPr>
          <w:rFonts w:ascii="Palatino Linotype" w:eastAsia="Palatino Linotype" w:hAnsi="Palatino Linotype" w:cs="Palatino Linotype"/>
          <w:b/>
          <w:color w:val="000000"/>
        </w:rPr>
        <w:t>sencilla</w:t>
      </w:r>
      <w:r w:rsidRPr="003B516A">
        <w:rPr>
          <w:rFonts w:ascii="Palatino Linotype" w:eastAsia="Palatino Linotype" w:hAnsi="Palatino Linotype" w:cs="Palatino Linotype"/>
          <w:color w:val="000000"/>
        </w:rPr>
        <w:t xml:space="preserve">, expeditos, </w:t>
      </w:r>
      <w:r w:rsidRPr="003B516A">
        <w:rPr>
          <w:rFonts w:ascii="Palatino Linotype" w:eastAsia="Palatino Linotype" w:hAnsi="Palatino Linotype" w:cs="Palatino Linotype"/>
          <w:b/>
          <w:color w:val="000000"/>
        </w:rPr>
        <w:t>oportunos</w:t>
      </w:r>
      <w:r w:rsidRPr="003B516A">
        <w:rPr>
          <w:rFonts w:ascii="Palatino Linotype" w:eastAsia="Palatino Linotype" w:hAnsi="Palatino Linotype" w:cs="Palatino Linotype"/>
          <w:color w:val="000000"/>
        </w:rPr>
        <w:t xml:space="preserve"> y gratuitos, y con ello contribuir a la mejora de procedimientos y mecanismos que permitan </w:t>
      </w:r>
      <w:r w:rsidRPr="003B516A">
        <w:rPr>
          <w:rFonts w:ascii="Palatino Linotype" w:eastAsia="Palatino Linotype" w:hAnsi="Palatino Linotype" w:cs="Palatino Linotype"/>
        </w:rPr>
        <w:t>transparentar</w:t>
      </w:r>
      <w:r w:rsidRPr="003B516A">
        <w:rPr>
          <w:rFonts w:ascii="Palatino Linotype" w:eastAsia="Palatino Linotype" w:hAnsi="Palatino Linotype" w:cs="Palatino Linotype"/>
          <w:color w:val="000000"/>
        </w:rPr>
        <w:t xml:space="preserve"> la gestión pública y mejora la toma decisiones, a través de la difusión de la información que obra en poder de los sujeto obligados.</w:t>
      </w:r>
    </w:p>
    <w:p w14:paraId="4C762677" w14:textId="77777777" w:rsidR="00B060F3" w:rsidRPr="003B516A" w:rsidRDefault="00B060F3">
      <w:pPr>
        <w:spacing w:line="360" w:lineRule="auto"/>
        <w:ind w:right="49"/>
        <w:jc w:val="both"/>
        <w:rPr>
          <w:rFonts w:ascii="Palatino Linotype" w:eastAsia="Palatino Linotype" w:hAnsi="Palatino Linotype" w:cs="Palatino Linotype"/>
        </w:rPr>
      </w:pPr>
    </w:p>
    <w:p w14:paraId="6BAE8995"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w:t>
      </w:r>
      <w:r w:rsidRPr="003B516A">
        <w:rPr>
          <w:rFonts w:ascii="Palatino Linotype" w:eastAsia="Palatino Linotype" w:hAnsi="Palatino Linotype" w:cs="Palatino Linotype"/>
        </w:rPr>
        <w:t>que los</w:t>
      </w:r>
      <w:r w:rsidRPr="003B516A">
        <w:rPr>
          <w:rFonts w:ascii="Palatino Linotype" w:eastAsia="Palatino Linotype" w:hAnsi="Palatino Linotype" w:cs="Palatino Linotype"/>
          <w:color w:val="000000"/>
        </w:rPr>
        <w:t xml:space="preserve"> Sujetos Obligados proporcionen la información por el medio solicitado; no obstante, la Ley de Transparencia y Acceso</w:t>
      </w:r>
      <w:r w:rsidRPr="003B516A">
        <w:rPr>
          <w:rFonts w:ascii="Palatino Linotype" w:eastAsia="Palatino Linotype" w:hAnsi="Palatino Linotype" w:cs="Palatino Linotype"/>
          <w:b/>
          <w:color w:val="000000"/>
        </w:rPr>
        <w:t xml:space="preserve"> </w:t>
      </w:r>
      <w:r w:rsidRPr="003B516A">
        <w:rPr>
          <w:rFonts w:ascii="Palatino Linotype" w:eastAsia="Palatino Linotype" w:hAnsi="Palatino Linotype" w:cs="Palatino Linotype"/>
          <w:color w:val="000000"/>
        </w:rPr>
        <w:t xml:space="preserve">a la Información Pública del </w:t>
      </w:r>
      <w:r w:rsidRPr="003B516A">
        <w:rPr>
          <w:rFonts w:ascii="Palatino Linotype" w:eastAsia="Palatino Linotype" w:hAnsi="Palatino Linotype" w:cs="Palatino Linotype"/>
          <w:color w:val="000000"/>
        </w:rPr>
        <w:lastRenderedPageBreak/>
        <w:t>Estado de México y Municipios establece dos puntos importantes que impactan sobre la modalidad de entrega de la información.</w:t>
      </w:r>
    </w:p>
    <w:p w14:paraId="21E0F79E" w14:textId="77777777" w:rsidR="00B060F3" w:rsidRPr="003B516A" w:rsidRDefault="00B060F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4E881DD2" w14:textId="77777777" w:rsidR="00B060F3" w:rsidRPr="003B516A" w:rsidRDefault="00F32370">
      <w:pPr>
        <w:numPr>
          <w:ilvl w:val="0"/>
          <w:numId w:val="1"/>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El primer punto a analizar es que la ley en materia contempla </w:t>
      </w:r>
      <w:r w:rsidRPr="003B516A">
        <w:rPr>
          <w:rFonts w:ascii="Palatino Linotype" w:eastAsia="Palatino Linotype" w:hAnsi="Palatino Linotype" w:cs="Palatino Linotype"/>
          <w:b/>
          <w:color w:val="000000"/>
        </w:rPr>
        <w:t>información pública de oficio</w:t>
      </w:r>
      <w:r w:rsidRPr="003B516A">
        <w:rPr>
          <w:rFonts w:ascii="Palatino Linotype" w:eastAsia="Palatino Linotype" w:hAnsi="Palatino Linotype" w:cs="Palatino Linotype"/>
          <w:color w:val="000000"/>
        </w:rPr>
        <w:t xml:space="preserve"> que los Sujetos Obligados deben poner a disposición del público de manera permanente y actualizada de forma sencilla, precisa y entendible, en los respectivos medios electrónicos la información pública que generen, administren o posean.</w:t>
      </w:r>
    </w:p>
    <w:p w14:paraId="56ECEEAF" w14:textId="77777777" w:rsidR="00B060F3" w:rsidRPr="003B516A" w:rsidRDefault="00B060F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5A8D90E8" w14:textId="77777777" w:rsidR="00B060F3" w:rsidRPr="003B516A" w:rsidRDefault="00F32370">
      <w:pPr>
        <w:numPr>
          <w:ilvl w:val="0"/>
          <w:numId w:val="1"/>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El segundo punto a analizar y que guarda estricta relación con el punto anterior, se encuentra en el artículo 161 de la citada Ley de Transparencia Local:</w:t>
      </w:r>
    </w:p>
    <w:p w14:paraId="1900102B" w14:textId="77777777" w:rsidR="00B060F3" w:rsidRPr="003B516A" w:rsidRDefault="00F32370">
      <w:pPr>
        <w:spacing w:line="360" w:lineRule="auto"/>
        <w:ind w:left="567" w:right="567"/>
        <w:jc w:val="both"/>
        <w:rPr>
          <w:rFonts w:ascii="Palatino Linotype" w:eastAsia="Palatino Linotype" w:hAnsi="Palatino Linotype" w:cs="Palatino Linotype"/>
          <w:i/>
        </w:rPr>
      </w:pPr>
      <w:r w:rsidRPr="003B516A">
        <w:rPr>
          <w:rFonts w:ascii="Palatino Linotype" w:eastAsia="Palatino Linotype" w:hAnsi="Palatino Linotype" w:cs="Palatino Linotype"/>
          <w:b/>
          <w:i/>
        </w:rPr>
        <w:t>Artículo 161. Cuando la información requerida por el solicitante ya esté disponible</w:t>
      </w:r>
      <w:r w:rsidRPr="003B516A">
        <w:rPr>
          <w:rFonts w:ascii="Palatino Linotype" w:eastAsia="Palatino Linotype" w:hAnsi="Palatino Linotype" w:cs="Palatino Linotype"/>
          <w:i/>
        </w:rPr>
        <w:t xml:space="preserve"> al público en medios impresos, tales como libros, compendios, trípticos, registros públicos, </w:t>
      </w:r>
      <w:r w:rsidRPr="003B516A">
        <w:rPr>
          <w:rFonts w:ascii="Palatino Linotype" w:eastAsia="Palatino Linotype" w:hAnsi="Palatino Linotype" w:cs="Palatino Linotype"/>
          <w:b/>
          <w:i/>
        </w:rPr>
        <w:t xml:space="preserve">en formatos electrónicos disponibles en Internet </w:t>
      </w:r>
      <w:r w:rsidRPr="003B516A">
        <w:rPr>
          <w:rFonts w:ascii="Palatino Linotype" w:eastAsia="Palatino Linotype" w:hAnsi="Palatino Linotype" w:cs="Palatino Linotype"/>
          <w:i/>
        </w:rPr>
        <w:t xml:space="preserve">o en cualquier otro medio, se le hará saber por el medio requerido por el solicitante la fuente, el lugar y la forma en que puede consultar, reproducir o adquirir dicha información </w:t>
      </w:r>
      <w:r w:rsidRPr="003B516A">
        <w:rPr>
          <w:rFonts w:ascii="Palatino Linotype" w:eastAsia="Palatino Linotype" w:hAnsi="Palatino Linotype" w:cs="Palatino Linotype"/>
          <w:b/>
          <w:i/>
        </w:rPr>
        <w:t>en un plazo no mayor a cinco días hábiles</w:t>
      </w:r>
      <w:r w:rsidRPr="003B516A">
        <w:rPr>
          <w:rFonts w:ascii="Palatino Linotype" w:eastAsia="Palatino Linotype" w:hAnsi="Palatino Linotype" w:cs="Palatino Linotype"/>
          <w:i/>
        </w:rPr>
        <w:t xml:space="preserve">. </w:t>
      </w:r>
      <w:r w:rsidRPr="003B516A">
        <w:rPr>
          <w:rFonts w:ascii="Palatino Linotype" w:eastAsia="Palatino Linotype" w:hAnsi="Palatino Linotype" w:cs="Palatino Linotype"/>
          <w:b/>
          <w:i/>
        </w:rPr>
        <w:t>La fuente deberá ser precisa y concreta y no debe implicar que el solicitante realice una búsqueda en toda la información que se encuentre disponible</w:t>
      </w:r>
      <w:r w:rsidRPr="003B516A">
        <w:rPr>
          <w:rFonts w:ascii="Palatino Linotype" w:eastAsia="Palatino Linotype" w:hAnsi="Palatino Linotype" w:cs="Palatino Linotype"/>
          <w:i/>
        </w:rPr>
        <w:t>.</w:t>
      </w:r>
    </w:p>
    <w:p w14:paraId="32790EF3" w14:textId="77777777" w:rsidR="00B060F3" w:rsidRPr="003B516A" w:rsidRDefault="00F32370">
      <w:pPr>
        <w:numPr>
          <w:ilvl w:val="0"/>
          <w:numId w:val="1"/>
        </w:numPr>
        <w:pBdr>
          <w:top w:val="nil"/>
          <w:left w:val="nil"/>
          <w:bottom w:val="nil"/>
          <w:right w:val="nil"/>
          <w:between w:val="nil"/>
        </w:pBdr>
        <w:tabs>
          <w:tab w:val="left" w:pos="851"/>
        </w:tabs>
        <w:spacing w:before="240" w:line="360" w:lineRule="auto"/>
        <w:ind w:left="0" w:right="49"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color w:val="000000"/>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w:t>
      </w:r>
      <w:r w:rsidRPr="003B516A">
        <w:rPr>
          <w:rFonts w:ascii="Palatino Linotype" w:eastAsia="Palatino Linotype" w:hAnsi="Palatino Linotype" w:cs="Palatino Linotype"/>
          <w:color w:val="000000"/>
        </w:rPr>
        <w:lastRenderedPageBreak/>
        <w:t>debe ir acompañada del procedimiento a seguir, en caso de que la información se encuentre en distintos puntos del sitio electrónico referido.</w:t>
      </w:r>
    </w:p>
    <w:p w14:paraId="693F4522" w14:textId="77777777" w:rsidR="00B060F3" w:rsidRPr="003B516A" w:rsidRDefault="00B060F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i/>
          <w:color w:val="000000"/>
        </w:rPr>
      </w:pPr>
    </w:p>
    <w:p w14:paraId="3B4C26C8" w14:textId="77777777" w:rsidR="00B060F3" w:rsidRPr="003B516A" w:rsidRDefault="00F32370">
      <w:pPr>
        <w:numPr>
          <w:ilvl w:val="0"/>
          <w:numId w:val="1"/>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b/>
          <w:color w:val="000000"/>
        </w:rPr>
        <w:t>La orientación</w:t>
      </w:r>
      <w:r w:rsidRPr="003B516A">
        <w:rPr>
          <w:rFonts w:ascii="Palatino Linotype" w:eastAsia="Palatino Linotype" w:hAnsi="Palatino Linotype" w:cs="Palatino Linotype"/>
          <w:color w:val="000000"/>
        </w:rPr>
        <w:t xml:space="preserve"> que realicen los Sujetos Obligados a los sitios electrónicos para la consulta de la información </w:t>
      </w:r>
      <w:r w:rsidRPr="003B516A">
        <w:rPr>
          <w:rFonts w:ascii="Palatino Linotype" w:eastAsia="Palatino Linotype" w:hAnsi="Palatino Linotype" w:cs="Palatino Linotype"/>
          <w:b/>
          <w:color w:val="000000"/>
        </w:rPr>
        <w:t>debe cumplir con las características de tiempo y forma.</w:t>
      </w:r>
    </w:p>
    <w:p w14:paraId="7378A30A"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7613B569" w14:textId="77777777" w:rsidR="00B060F3" w:rsidRPr="003B516A" w:rsidRDefault="00F32370">
      <w:pPr>
        <w:numPr>
          <w:ilvl w:val="0"/>
          <w:numId w:val="1"/>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color w:val="000000"/>
        </w:rPr>
        <w:t xml:space="preserve">Para que la orientación se encuentre en tiempo, debe realizarse en un plazo no mayor a cinco días hábiles. En este caso, el Recurrente presentó su solicitud en fecha veintidós (22) de noviembre de dos mil veintidós, por lo que, el plazo de cinco días para señalar los sitios electrónicos en donde obra la información transcurrió del veintitrés (23) al veintinueve (29) de noviembre de dos mil veintidós; el Sujeto Obligado dio respuesta el nueve (09) de diciembre de dos mil veintidós, por lo que evidentemente se encuentra fuera del plazo que señala la normatividad en materia, lo que trae como consecuencia que </w:t>
      </w:r>
      <w:r w:rsidRPr="003B516A">
        <w:rPr>
          <w:rFonts w:ascii="Palatino Linotype" w:eastAsia="Palatino Linotype" w:hAnsi="Palatino Linotype" w:cs="Palatino Linotype"/>
          <w:b/>
          <w:color w:val="000000"/>
        </w:rPr>
        <w:t>la orientación no se encuentre en tiempo</w:t>
      </w:r>
      <w:r w:rsidRPr="003B516A">
        <w:rPr>
          <w:rFonts w:ascii="Palatino Linotype" w:eastAsia="Palatino Linotype" w:hAnsi="Palatino Linotype" w:cs="Palatino Linotype"/>
          <w:color w:val="000000"/>
        </w:rPr>
        <w:t>.</w:t>
      </w:r>
    </w:p>
    <w:p w14:paraId="6D2363DE"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01BB3D0E" w14:textId="77777777" w:rsidR="00B060F3" w:rsidRPr="003B516A" w:rsidRDefault="00F32370">
      <w:pPr>
        <w:numPr>
          <w:ilvl w:val="0"/>
          <w:numId w:val="1"/>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color w:val="000000"/>
        </w:rPr>
        <w:t xml:space="preserve">Ahora bien, en el presente caso, el Sujeto Obligado entregó dos ligas electrónicas en las que señaló que se localizaba la información solicitada, sin embargo, estas no se encuentran en datos abiertos, es decir, que no se puede acceder a la información de forma directa a través de la liga, razón por la cual, el Recurrente tendría que transcribirla, lo que implica que al momento de hacerlo pueda cometer algún error y no pueda acceder a la información, situación que puedo ocurrir en el presente caso, ya que el Recurrente manifestó en sus motivos de inconformidad que el link no abre.   </w:t>
      </w:r>
    </w:p>
    <w:p w14:paraId="0721E9E0"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222222"/>
        </w:rPr>
      </w:pPr>
    </w:p>
    <w:p w14:paraId="3B15FB2A" w14:textId="77777777" w:rsidR="00B060F3" w:rsidRPr="003B516A" w:rsidRDefault="00F32370">
      <w:pPr>
        <w:numPr>
          <w:ilvl w:val="0"/>
          <w:numId w:val="1"/>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i/>
          <w:color w:val="000000"/>
        </w:rPr>
      </w:pPr>
      <w:r w:rsidRPr="003B516A">
        <w:rPr>
          <w:rFonts w:ascii="Palatino Linotype" w:eastAsia="Palatino Linotype" w:hAnsi="Palatino Linotype" w:cs="Palatino Linotype"/>
          <w:color w:val="222222"/>
        </w:rPr>
        <w:t xml:space="preserve">En ese sentido, es oportuno mencionar lo que debemos entender por datos abiertos, siendo estos los datos digitales de carácter público que pueden ser usados, reutilizados y redistribuidos por cualquier interesado y que tienen como característica ser accesibles, </w:t>
      </w:r>
      <w:r w:rsidRPr="003B516A">
        <w:rPr>
          <w:rFonts w:ascii="Palatino Linotype" w:eastAsia="Palatino Linotype" w:hAnsi="Palatino Linotype" w:cs="Palatino Linotype"/>
          <w:color w:val="222222"/>
        </w:rPr>
        <w:lastRenderedPageBreak/>
        <w:t>integrales, gratuitos, no discriminatorios, oportunos, permanentes, primarios, legibles por las máquinas, en formatos abiertos y de libre uso.  En este mismo sentido, nuestra Ley de Transparencia y Acceso a la Información Pública del Estado de México y Municipios, expresa en su artículo 3, de manera textual lo siguiente:</w:t>
      </w:r>
    </w:p>
    <w:p w14:paraId="2850C411"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b/>
          <w:i/>
          <w:color w:val="222222"/>
        </w:rPr>
        <w:t>“VIII. Datos abiertos: Los datos digitales de carácter público que son accesibles en línea que pueden ser usados, reutilizados y redistribuidos por cualquier interesado y que tienen las siguientes características:</w:t>
      </w:r>
    </w:p>
    <w:p w14:paraId="3D7E96F1"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i/>
          <w:color w:val="222222"/>
        </w:rPr>
        <w:t>a) Accesibles: Los datos están disponibles para la gama más amplia de usuarios, para cualquier propósito;</w:t>
      </w:r>
    </w:p>
    <w:p w14:paraId="3C71826E"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i/>
          <w:color w:val="222222"/>
        </w:rPr>
        <w:t>b) Integrales: Contienen el tema que describen a detalle y con los metadatos necesarios;</w:t>
      </w:r>
    </w:p>
    <w:p w14:paraId="69A5787F"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i/>
          <w:color w:val="222222"/>
        </w:rPr>
        <w:t>c) Gratuitos: Se obtienen sin entregar a cambio contraprestación alguna;</w:t>
      </w:r>
    </w:p>
    <w:p w14:paraId="0C0C855E"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i/>
          <w:color w:val="222222"/>
        </w:rPr>
        <w:t>d) No discriminatorios: Los datos están disponibles para cualquier persona, sin necesidad de registro;</w:t>
      </w:r>
    </w:p>
    <w:p w14:paraId="576529D5"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i/>
          <w:color w:val="222222"/>
        </w:rPr>
        <w:t>e) Oportunos: Son actualizados, periódicamente, conforme se generen;</w:t>
      </w:r>
    </w:p>
    <w:p w14:paraId="5F02C38B"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i/>
          <w:color w:val="222222"/>
        </w:rPr>
        <w:t>f) Permanentes: Se conservan en el tiempo, para lo cual, las versiones históricas relevantes para uso público se mantendrán disponibles con identificadores adecuados al efecto;</w:t>
      </w:r>
    </w:p>
    <w:p w14:paraId="08148C4F"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i/>
          <w:color w:val="222222"/>
        </w:rPr>
        <w:t>g) Primarios: Provienen de la fuente de origen con el máximo nivel de desagregación posible;</w:t>
      </w:r>
    </w:p>
    <w:p w14:paraId="175759E4"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i/>
          <w:color w:val="222222"/>
        </w:rPr>
        <w:t>h) Legibles por máquinas: Deberán estar estructurados, total o parcialmente, para ser procesados e interpretados por equipos electrónicos de manera automática;</w:t>
      </w:r>
    </w:p>
    <w:p w14:paraId="0D20333B"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b/>
          <w:i/>
          <w:color w:val="222222"/>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3B516A">
        <w:rPr>
          <w:rFonts w:ascii="Palatino Linotype" w:eastAsia="Palatino Linotype" w:hAnsi="Palatino Linotype" w:cs="Palatino Linotype"/>
          <w:i/>
          <w:color w:val="222222"/>
        </w:rPr>
        <w:t>; y</w:t>
      </w:r>
    </w:p>
    <w:p w14:paraId="275A2924"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i/>
          <w:color w:val="222222"/>
        </w:rPr>
        <w:t>j) De libre uso: Citan la fuente de origen como único requerimiento para ser utilizados libremente.</w:t>
      </w:r>
    </w:p>
    <w:p w14:paraId="48E9013A" w14:textId="77777777" w:rsidR="00B060F3" w:rsidRPr="003B516A" w:rsidRDefault="00F32370">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i/>
          <w:color w:val="222222"/>
        </w:rPr>
      </w:pPr>
      <w:r w:rsidRPr="003B516A">
        <w:rPr>
          <w:rFonts w:ascii="Palatino Linotype" w:eastAsia="Palatino Linotype" w:hAnsi="Palatino Linotype" w:cs="Palatino Linotype"/>
          <w:i/>
          <w:color w:val="222222"/>
        </w:rPr>
        <w:t>(Énfasis añadido)</w:t>
      </w:r>
    </w:p>
    <w:p w14:paraId="0E767950" w14:textId="77777777" w:rsidR="00B060F3" w:rsidRPr="003B516A" w:rsidRDefault="00F32370">
      <w:pPr>
        <w:numPr>
          <w:ilvl w:val="0"/>
          <w:numId w:val="1"/>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color w:val="222222"/>
        </w:rPr>
        <w:lastRenderedPageBreak/>
        <w:t>El dispositivo legal estatal aplicable a la materia, establece en su artículo 41 que el Instituto promoverá la publicación de la información en datos abiertos y accesibles, de tal manera que este Órgano Garante se encuentra en posibilidades de ordenar al </w:t>
      </w:r>
      <w:r w:rsidRPr="003B516A">
        <w:rPr>
          <w:rFonts w:ascii="Palatino Linotype" w:eastAsia="Palatino Linotype" w:hAnsi="Palatino Linotype" w:cs="Palatino Linotype"/>
          <w:b/>
          <w:color w:val="222222"/>
        </w:rPr>
        <w:t>Sujeto Obligado, en caso de tener la información en formatos abiertos </w:t>
      </w:r>
      <w:r w:rsidRPr="003B516A">
        <w:rPr>
          <w:rFonts w:ascii="Palatino Linotype" w:eastAsia="Palatino Linotype" w:hAnsi="Palatino Linotype" w:cs="Palatino Linotype"/>
          <w:color w:val="222222"/>
        </w:rPr>
        <w:t xml:space="preserve">entregar la misma en el formato solicitado. </w:t>
      </w:r>
      <w:r w:rsidRPr="003B516A">
        <w:rPr>
          <w:rFonts w:ascii="Palatino Linotype" w:eastAsia="Palatino Linotype" w:hAnsi="Palatino Linotype" w:cs="Palatino Linotype"/>
          <w:color w:val="000000"/>
        </w:rPr>
        <w:t>En ese contexto, con las ligas electrónicas que el Sujeto Obligado entregó en respuesta, no se puede tener por colmado el derecho de acceso a la información pública del Recurrente.</w:t>
      </w:r>
    </w:p>
    <w:p w14:paraId="7218AAB5" w14:textId="77777777" w:rsidR="00B060F3" w:rsidRPr="003B516A" w:rsidRDefault="00B060F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3759C7E2" w14:textId="77777777" w:rsidR="00B060F3" w:rsidRPr="003B516A" w:rsidRDefault="00F32370">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3B516A">
        <w:rPr>
          <w:rFonts w:ascii="Palatino Linotype" w:eastAsia="Palatino Linotype" w:hAnsi="Palatino Linotype" w:cs="Palatino Linotype"/>
          <w:b/>
          <w:color w:val="000000"/>
        </w:rPr>
        <w:t>De las sanciones.</w:t>
      </w:r>
    </w:p>
    <w:p w14:paraId="1E4EC529" w14:textId="77777777" w:rsidR="00B060F3" w:rsidRPr="003B516A" w:rsidRDefault="00F32370">
      <w:pPr>
        <w:numPr>
          <w:ilvl w:val="0"/>
          <w:numId w:val="1"/>
        </w:numP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Ahora bien, respecto a las sanciones, si bien, el Recurrente solo quiere conocer si hubo o no sanciones por malos manejos de recursos, es necesario resaltar que para dar respuesta, el Sujeto Obligado puede entregar los documentos que obren en sus archivos, en los que se puede localizar información susceptible de clasificarse, por ello, debe atender a las siguientes consideraciones: </w:t>
      </w:r>
    </w:p>
    <w:p w14:paraId="2C66E683" w14:textId="0210040D" w:rsidR="00B060F3" w:rsidRPr="003B516A" w:rsidRDefault="00F32370">
      <w:pPr>
        <w:numPr>
          <w:ilvl w:val="0"/>
          <w:numId w:val="4"/>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b/>
        </w:rPr>
      </w:pPr>
      <w:r w:rsidRPr="003B516A">
        <w:rPr>
          <w:rFonts w:ascii="Palatino Linotype" w:eastAsia="Palatino Linotype" w:hAnsi="Palatino Linotype" w:cs="Palatino Linotype"/>
          <w:b/>
        </w:rPr>
        <w:t>De los procedimientos administrativos de responsabilidades por faltas no graves concluidos condenatorio</w:t>
      </w:r>
      <w:r w:rsidR="00337BC7" w:rsidRPr="003B516A">
        <w:rPr>
          <w:rFonts w:ascii="Palatino Linotype" w:eastAsia="Palatino Linotype" w:hAnsi="Palatino Linotype" w:cs="Palatino Linotype"/>
          <w:b/>
        </w:rPr>
        <w:t>s</w:t>
      </w:r>
      <w:r w:rsidRPr="003B516A">
        <w:rPr>
          <w:rFonts w:ascii="Palatino Linotype" w:eastAsia="Palatino Linotype" w:hAnsi="Palatino Linotype" w:cs="Palatino Linotype"/>
          <w:b/>
        </w:rPr>
        <w:t xml:space="preserve">. </w:t>
      </w:r>
    </w:p>
    <w:p w14:paraId="02A5F4C1" w14:textId="77777777" w:rsidR="00B060F3" w:rsidRPr="003B516A" w:rsidRDefault="00F32370">
      <w:pPr>
        <w:numPr>
          <w:ilvl w:val="0"/>
          <w:numId w:val="1"/>
        </w:numPr>
        <w:pBdr>
          <w:top w:val="nil"/>
          <w:left w:val="nil"/>
          <w:bottom w:val="nil"/>
          <w:right w:val="nil"/>
          <w:between w:val="nil"/>
        </w:pBdr>
        <w:spacing w:before="240" w:after="240" w:line="360" w:lineRule="auto"/>
        <w:ind w:left="0" w:right="4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En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que señala:</w:t>
      </w:r>
    </w:p>
    <w:p w14:paraId="33AB3654" w14:textId="77777777" w:rsidR="00B060F3" w:rsidRPr="003B516A" w:rsidRDefault="00F32370">
      <w:pPr>
        <w:spacing w:before="240" w:after="240" w:line="276" w:lineRule="auto"/>
        <w:ind w:left="860" w:right="820"/>
        <w:jc w:val="both"/>
        <w:rPr>
          <w:rFonts w:ascii="Palatino Linotype" w:eastAsia="Palatino Linotype" w:hAnsi="Palatino Linotype" w:cs="Palatino Linotype"/>
          <w:i/>
        </w:rPr>
      </w:pPr>
      <w:r w:rsidRPr="003B516A">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3B516A">
        <w:rPr>
          <w:rFonts w:ascii="Palatino Linotype" w:eastAsia="Palatino Linotype" w:hAnsi="Palatino Linotype" w:cs="Palatino Linotype"/>
          <w:i/>
        </w:rPr>
        <w:lastRenderedPageBreak/>
        <w:t>social, según corresponda, la información, por lo menos, de los temas, documentos y políticas que a continuación se señalan:</w:t>
      </w:r>
    </w:p>
    <w:p w14:paraId="4A50006C" w14:textId="77777777" w:rsidR="00B060F3" w:rsidRPr="003B516A" w:rsidRDefault="00F32370">
      <w:pPr>
        <w:spacing w:before="240" w:after="240" w:line="276" w:lineRule="auto"/>
        <w:ind w:left="860" w:right="820"/>
        <w:jc w:val="both"/>
        <w:rPr>
          <w:rFonts w:ascii="Palatino Linotype" w:eastAsia="Palatino Linotype" w:hAnsi="Palatino Linotype" w:cs="Palatino Linotype"/>
          <w:i/>
        </w:rPr>
      </w:pPr>
      <w:r w:rsidRPr="003B516A">
        <w:rPr>
          <w:rFonts w:ascii="Palatino Linotype" w:eastAsia="Palatino Linotype" w:hAnsi="Palatino Linotype" w:cs="Palatino Linotype"/>
          <w:i/>
        </w:rPr>
        <w:t>...</w:t>
      </w:r>
    </w:p>
    <w:p w14:paraId="7A2CF9C9" w14:textId="77777777" w:rsidR="00B060F3" w:rsidRDefault="00F32370">
      <w:pPr>
        <w:spacing w:before="240" w:after="240" w:line="276" w:lineRule="auto"/>
        <w:ind w:left="860" w:right="820"/>
        <w:jc w:val="both"/>
        <w:rPr>
          <w:rFonts w:ascii="Palatino Linotype" w:eastAsia="Palatino Linotype" w:hAnsi="Palatino Linotype" w:cs="Palatino Linotype"/>
          <w:b/>
          <w:i/>
        </w:rPr>
      </w:pPr>
      <w:r w:rsidRPr="003B516A">
        <w:rPr>
          <w:rFonts w:ascii="Palatino Linotype" w:eastAsia="Palatino Linotype" w:hAnsi="Palatino Linotype" w:cs="Palatino Linotype"/>
          <w:i/>
        </w:rPr>
        <w:t xml:space="preserve">XXII. </w:t>
      </w:r>
      <w:r w:rsidRPr="003B516A">
        <w:rPr>
          <w:rFonts w:ascii="Palatino Linotype" w:eastAsia="Palatino Linotype" w:hAnsi="Palatino Linotype" w:cs="Palatino Linotype"/>
          <w:b/>
          <w:i/>
        </w:rPr>
        <w:t>El listado de Servidores Públicos con sanciones administrativas definitivas, especificando la causa de sanción y la disposición;" (Sic) (Énfasis añadido)</w:t>
      </w:r>
    </w:p>
    <w:p w14:paraId="7839551D" w14:textId="77777777" w:rsidR="003B516A" w:rsidRPr="003B516A" w:rsidRDefault="003B516A">
      <w:pPr>
        <w:spacing w:before="240" w:after="240" w:line="276" w:lineRule="auto"/>
        <w:ind w:left="860" w:right="820"/>
        <w:jc w:val="both"/>
        <w:rPr>
          <w:rFonts w:ascii="Palatino Linotype" w:eastAsia="Palatino Linotype" w:hAnsi="Palatino Linotype" w:cs="Palatino Linotype"/>
          <w:b/>
          <w:i/>
        </w:rPr>
      </w:pPr>
    </w:p>
    <w:p w14:paraId="2A7789F5" w14:textId="77777777" w:rsidR="00B060F3" w:rsidRPr="003B516A" w:rsidRDefault="00F32370">
      <w:pPr>
        <w:numPr>
          <w:ilvl w:val="0"/>
          <w:numId w:val="1"/>
        </w:numPr>
        <w:pBdr>
          <w:top w:val="nil"/>
          <w:left w:val="nil"/>
          <w:bottom w:val="nil"/>
          <w:right w:val="nil"/>
          <w:between w:val="nil"/>
        </w:pBdr>
        <w:spacing w:before="240" w:after="240" w:line="360" w:lineRule="auto"/>
        <w:ind w:left="0" w:right="4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No obstante, </w:t>
      </w:r>
      <w:r w:rsidRPr="003B516A">
        <w:rPr>
          <w:rFonts w:ascii="Palatino Linotype" w:eastAsia="Palatino Linotype" w:hAnsi="Palatino Linotype" w:cs="Palatino Linotype"/>
          <w:b/>
          <w:color w:val="000000"/>
          <w:u w:val="single"/>
        </w:rPr>
        <w:t>sólo pueden ser dadas a conocer las responsabilidades administrativas</w:t>
      </w:r>
      <w:r w:rsidRPr="003B516A">
        <w:rPr>
          <w:rFonts w:ascii="Palatino Linotype" w:eastAsia="Palatino Linotype" w:hAnsi="Palatino Linotype" w:cs="Palatino Linotype"/>
          <w:color w:val="000000"/>
        </w:rPr>
        <w:t xml:space="preserve"> </w:t>
      </w:r>
      <w:r w:rsidRPr="003B516A">
        <w:rPr>
          <w:rFonts w:ascii="Palatino Linotype" w:eastAsia="Palatino Linotype" w:hAnsi="Palatino Linotype" w:cs="Palatino Linotype"/>
          <w:b/>
          <w:color w:val="000000"/>
          <w:u w:val="single"/>
        </w:rPr>
        <w:t>por faltas graves</w:t>
      </w:r>
      <w:r w:rsidRPr="003B516A">
        <w:rPr>
          <w:rFonts w:ascii="Palatino Linotype" w:eastAsia="Palatino Linotype" w:hAnsi="Palatino Linotype" w:cs="Palatino Linotype"/>
          <w:color w:val="000000"/>
        </w:rPr>
        <w:t xml:space="preserve">. Lo anterior, con motivo de la entrada en vigor de la Ley del Sistema Anticorrupción del Estado de México y Municipios publicada en el periódico oficial "Gaceta del Gobierno" el treinta de mayo de 2017, que establece que </w:t>
      </w:r>
      <w:r w:rsidRPr="003B516A">
        <w:rPr>
          <w:rFonts w:ascii="Palatino Linotype" w:eastAsia="Palatino Linotype" w:hAnsi="Palatino Linotype" w:cs="Palatino Linotype"/>
          <w:b/>
          <w:color w:val="000000"/>
          <w:u w:val="single"/>
        </w:rPr>
        <w:t>las sanciones no graves no serán públicas</w:t>
      </w:r>
      <w:r w:rsidRPr="003B516A">
        <w:rPr>
          <w:rFonts w:ascii="Palatino Linotype" w:eastAsia="Palatino Linotype" w:hAnsi="Palatino Linotype" w:cs="Palatino Linotype"/>
          <w:color w:val="000000"/>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y que son de la literalidad siguiente:</w:t>
      </w:r>
    </w:p>
    <w:p w14:paraId="46F4523F" w14:textId="77777777" w:rsidR="00B060F3" w:rsidRPr="003B516A" w:rsidRDefault="00F32370">
      <w:pPr>
        <w:spacing w:before="240" w:after="240" w:line="276" w:lineRule="auto"/>
        <w:ind w:left="860" w:right="820"/>
        <w:jc w:val="both"/>
        <w:rPr>
          <w:rFonts w:ascii="Palatino Linotype" w:eastAsia="Palatino Linotype" w:hAnsi="Palatino Linotype" w:cs="Palatino Linotype"/>
          <w:b/>
          <w:i/>
        </w:rPr>
      </w:pPr>
      <w:r w:rsidRPr="003B516A">
        <w:rPr>
          <w:rFonts w:ascii="Palatino Linotype" w:eastAsia="Palatino Linotype" w:hAnsi="Palatino Linotype" w:cs="Palatino Linotype"/>
          <w:b/>
          <w:i/>
        </w:rPr>
        <w:t xml:space="preserve">“Artículo 53. Las sanciones impuestas por faltas administrativas graves serán del conocimiento público </w:t>
      </w:r>
      <w:r w:rsidRPr="003B516A">
        <w:rPr>
          <w:rFonts w:ascii="Palatino Linotype" w:eastAsia="Palatino Linotype" w:hAnsi="Palatino Linotype" w:cs="Palatino Linotype"/>
          <w:b/>
          <w:i/>
          <w:u w:val="single"/>
        </w:rPr>
        <w:t>cuando éstas contengan impedimentos o inhabilitaciones</w:t>
      </w:r>
      <w:r w:rsidRPr="003B516A">
        <w:rPr>
          <w:rFonts w:ascii="Palatino Linotype" w:eastAsia="Palatino Linotype" w:hAnsi="Palatino Linotype" w:cs="Palatino Linotype"/>
          <w:b/>
          <w:i/>
        </w:rPr>
        <w:t xml:space="preserve"> para ser contratados como servidores públicos o como prestadores de servicios o contratistas del sector público, en términos de la Ley de Responsabilidades Administrativas del Estado de México y Municipios.</w:t>
      </w:r>
    </w:p>
    <w:p w14:paraId="2604175A" w14:textId="77777777" w:rsidR="00B060F3" w:rsidRDefault="00F32370">
      <w:pPr>
        <w:spacing w:before="240" w:after="240" w:line="276" w:lineRule="auto"/>
        <w:ind w:left="860" w:right="820"/>
        <w:jc w:val="both"/>
        <w:rPr>
          <w:rFonts w:ascii="Palatino Linotype" w:eastAsia="Palatino Linotype" w:hAnsi="Palatino Linotype" w:cs="Palatino Linotype"/>
          <w:i/>
        </w:rPr>
      </w:pPr>
      <w:r w:rsidRPr="003B516A">
        <w:rPr>
          <w:rFonts w:ascii="Palatino Linotype" w:eastAsia="Palatino Linotype" w:hAnsi="Palatino Linotype" w:cs="Palatino Linotype"/>
          <w:i/>
        </w:rPr>
        <w:lastRenderedPageBreak/>
        <w:t xml:space="preserve"> Los registros de </w:t>
      </w:r>
      <w:r w:rsidRPr="003B516A">
        <w:rPr>
          <w:rFonts w:ascii="Palatino Linotype" w:eastAsia="Palatino Linotype" w:hAnsi="Palatino Linotype" w:cs="Palatino Linotype"/>
          <w:b/>
          <w:i/>
          <w:u w:val="single"/>
        </w:rPr>
        <w:t>las sanciones relativas a responsabilidades administrativas no graves, quedarán registradas para efectos de eventual reincidencia, pero no serán públicas.</w:t>
      </w:r>
      <w:r w:rsidRPr="003B516A">
        <w:rPr>
          <w:rFonts w:ascii="Palatino Linotype" w:eastAsia="Palatino Linotype" w:hAnsi="Palatino Linotype" w:cs="Palatino Linotype"/>
          <w:i/>
        </w:rPr>
        <w:t>” (Sic) (Énfasis añadido)</w:t>
      </w:r>
    </w:p>
    <w:p w14:paraId="4A831FA9" w14:textId="77777777" w:rsidR="003B516A" w:rsidRPr="003B516A" w:rsidRDefault="003B516A">
      <w:pPr>
        <w:spacing w:before="240" w:after="240" w:line="276" w:lineRule="auto"/>
        <w:ind w:left="860" w:right="820"/>
        <w:jc w:val="both"/>
        <w:rPr>
          <w:rFonts w:ascii="Palatino Linotype" w:eastAsia="Palatino Linotype" w:hAnsi="Palatino Linotype" w:cs="Palatino Linotype"/>
          <w:i/>
        </w:rPr>
      </w:pPr>
    </w:p>
    <w:p w14:paraId="060090B8" w14:textId="77777777" w:rsidR="00B060F3" w:rsidRPr="003B516A" w:rsidRDefault="00F32370">
      <w:pPr>
        <w:numPr>
          <w:ilvl w:val="0"/>
          <w:numId w:val="1"/>
        </w:numPr>
        <w:pBdr>
          <w:top w:val="nil"/>
          <w:left w:val="nil"/>
          <w:bottom w:val="nil"/>
          <w:right w:val="nil"/>
          <w:between w:val="nil"/>
        </w:pBdr>
        <w:spacing w:before="240" w:line="360" w:lineRule="auto"/>
        <w:ind w:left="0" w:right="4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En ese sentido es importante, referir que la Ley de Responsabilidades Administrativas del Estado de México y Municipios, señala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5EBC9F16" w14:textId="77777777" w:rsidR="00B060F3" w:rsidRPr="003B516A" w:rsidRDefault="00B060F3">
      <w:pPr>
        <w:pBdr>
          <w:top w:val="nil"/>
          <w:left w:val="nil"/>
          <w:bottom w:val="nil"/>
          <w:right w:val="nil"/>
          <w:between w:val="nil"/>
        </w:pBdr>
        <w:spacing w:line="360" w:lineRule="auto"/>
        <w:ind w:right="40"/>
        <w:jc w:val="both"/>
        <w:rPr>
          <w:rFonts w:ascii="Palatino Linotype" w:eastAsia="Palatino Linotype" w:hAnsi="Palatino Linotype" w:cs="Palatino Linotype"/>
          <w:color w:val="000000"/>
        </w:rPr>
      </w:pPr>
    </w:p>
    <w:p w14:paraId="052FEA55" w14:textId="77777777" w:rsidR="00B060F3" w:rsidRPr="003B516A" w:rsidRDefault="00F32370">
      <w:pPr>
        <w:numPr>
          <w:ilvl w:val="0"/>
          <w:numId w:val="1"/>
        </w:numPr>
        <w:pBdr>
          <w:top w:val="nil"/>
          <w:left w:val="nil"/>
          <w:bottom w:val="nil"/>
          <w:right w:val="nil"/>
          <w:between w:val="nil"/>
        </w:pBdr>
        <w:spacing w:line="360" w:lineRule="auto"/>
        <w:ind w:left="0" w:right="4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3B516A">
        <w:rPr>
          <w:rFonts w:ascii="Palatino Linotype" w:eastAsia="Palatino Linotype" w:hAnsi="Palatino Linotype" w:cs="Palatino Linotype"/>
          <w:i/>
          <w:color w:val="000000"/>
        </w:rPr>
        <w:t>personas físicas, morales, instituciones públicas u otros trabajadores</w:t>
      </w:r>
      <w:r w:rsidRPr="003B516A">
        <w:rPr>
          <w:rFonts w:ascii="Palatino Linotype" w:eastAsia="Palatino Linotype" w:hAnsi="Palatino Linotype" w:cs="Palatino Linotype"/>
          <w:color w:val="000000"/>
        </w:rPr>
        <w:t xml:space="preserve">), ni haber un detrimento en el erario. </w:t>
      </w:r>
      <w:r w:rsidRPr="003B516A">
        <w:rPr>
          <w:rFonts w:ascii="Palatino Linotype" w:eastAsia="Palatino Linotype" w:hAnsi="Palatino Linotype" w:cs="Palatino Linotype"/>
          <w:b/>
          <w:color w:val="000000"/>
        </w:rPr>
        <w:t xml:space="preserve">Así, se puede advertir que dichas faltas, no tienen una trascendencia social, </w:t>
      </w:r>
      <w:r w:rsidRPr="003B516A">
        <w:rPr>
          <w:rFonts w:ascii="Palatino Linotype" w:eastAsia="Palatino Linotype" w:hAnsi="Palatino Linotype" w:cs="Palatino Linotype"/>
          <w:color w:val="000000"/>
        </w:rPr>
        <w:t>pues no existe un daño externo, sino que únicamente le atañe al servidor público en cuestión.</w:t>
      </w:r>
    </w:p>
    <w:p w14:paraId="1A3D8278"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44C2E2ED" w14:textId="77777777" w:rsidR="00B060F3" w:rsidRPr="003B516A" w:rsidRDefault="00F32370">
      <w:pPr>
        <w:numPr>
          <w:ilvl w:val="0"/>
          <w:numId w:val="1"/>
        </w:numPr>
        <w:pBdr>
          <w:top w:val="nil"/>
          <w:left w:val="nil"/>
          <w:bottom w:val="nil"/>
          <w:right w:val="nil"/>
          <w:between w:val="nil"/>
        </w:pBdr>
        <w:spacing w:line="360" w:lineRule="auto"/>
        <w:ind w:left="0" w:right="4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3B516A">
        <w:rPr>
          <w:rFonts w:ascii="Palatino Linotype" w:eastAsia="Palatino Linotype" w:hAnsi="Palatino Linotype" w:cs="Palatino Linotype"/>
          <w:b/>
          <w:color w:val="000000"/>
        </w:rPr>
        <w:t>honor, intimidad y buena imagen</w:t>
      </w:r>
      <w:r w:rsidRPr="003B516A">
        <w:rPr>
          <w:rFonts w:ascii="Palatino Linotype" w:eastAsia="Palatino Linotype" w:hAnsi="Palatino Linotype" w:cs="Palatino Linotype"/>
          <w:color w:val="000000"/>
        </w:rPr>
        <w:t>, pues como se precisó la afectación es para el propio servidor público, situación que no afecta a terceros.</w:t>
      </w:r>
    </w:p>
    <w:p w14:paraId="24CFEAF9" w14:textId="77777777" w:rsidR="00B060F3" w:rsidRPr="003B516A" w:rsidRDefault="00F32370">
      <w:pPr>
        <w:numPr>
          <w:ilvl w:val="0"/>
          <w:numId w:val="1"/>
        </w:numPr>
        <w:pBdr>
          <w:top w:val="nil"/>
          <w:left w:val="nil"/>
          <w:bottom w:val="nil"/>
          <w:right w:val="nil"/>
          <w:between w:val="nil"/>
        </w:pBdr>
        <w:spacing w:line="360" w:lineRule="auto"/>
        <w:ind w:left="0" w:right="4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lastRenderedPageBreak/>
        <w:t xml:space="preserve">Por lo cual,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sidRPr="003B516A">
        <w:rPr>
          <w:rFonts w:ascii="Palatino Linotype" w:eastAsia="Palatino Linotype" w:hAnsi="Palatino Linotype" w:cs="Palatino Linotype"/>
          <w:i/>
          <w:color w:val="000000"/>
        </w:rPr>
        <w:t>a priori</w:t>
      </w:r>
      <w:r w:rsidRPr="003B516A">
        <w:rPr>
          <w:rFonts w:ascii="Palatino Linotype" w:eastAsia="Palatino Linotype" w:hAnsi="Palatino Linotype" w:cs="Palatino Linotype"/>
          <w:color w:val="000000"/>
        </w:rPr>
        <w:t xml:space="preserve"> por parte de la sociedad, afectando su prestigio y su buen nombre, pues esto podría causar una mala percepción del servidor público frente a la sociedad, </w:t>
      </w:r>
      <w:r w:rsidRPr="003B516A">
        <w:rPr>
          <w:rFonts w:ascii="Palatino Linotype" w:eastAsia="Palatino Linotype" w:hAnsi="Palatino Linotype" w:cs="Palatino Linotype"/>
          <w:b/>
          <w:color w:val="000000"/>
        </w:rPr>
        <w:t>lo cual daña su vida privada y profesional,</w:t>
      </w:r>
      <w:r w:rsidRPr="003B516A">
        <w:rPr>
          <w:rFonts w:ascii="Palatino Linotype" w:eastAsia="Palatino Linotype" w:hAnsi="Palatino Linotype" w:cs="Palatino Linotype"/>
          <w:color w:val="000000"/>
        </w:rPr>
        <w:t xml:space="preserve"> mismas que forman parte de su intimidad; por lo que se concluye que dicha información, en caso de que existiera, tiene el carácter de confidencial.</w:t>
      </w:r>
    </w:p>
    <w:p w14:paraId="57762853"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6AF5D822" w14:textId="77777777" w:rsidR="00B060F3" w:rsidRPr="003B516A" w:rsidRDefault="00F32370">
      <w:pPr>
        <w:numPr>
          <w:ilvl w:val="0"/>
          <w:numId w:val="1"/>
        </w:numPr>
        <w:pBdr>
          <w:top w:val="nil"/>
          <w:left w:val="nil"/>
          <w:bottom w:val="nil"/>
          <w:right w:val="nil"/>
          <w:between w:val="nil"/>
        </w:pBdr>
        <w:spacing w:line="360" w:lineRule="auto"/>
        <w:ind w:left="0" w:right="4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Por lo cual, se considera procedente la clasificación, en términos del artículo 143, fracción I, de la Ley de Transparencia y Acceso a la Información Pública del Estado de México y Municipios, </w:t>
      </w:r>
      <w:r w:rsidRPr="003B516A">
        <w:rPr>
          <w:rFonts w:ascii="Palatino Linotype" w:eastAsia="Palatino Linotype" w:hAnsi="Palatino Linotype" w:cs="Palatino Linotype"/>
          <w:b/>
          <w:color w:val="000000"/>
        </w:rPr>
        <w:t>del nombre de los servidores públicos que hayan recibido alguna sanción por falta administrativa no grave</w:t>
      </w:r>
      <w:r w:rsidRPr="003B516A">
        <w:rPr>
          <w:rFonts w:ascii="Palatino Linotype" w:eastAsia="Palatino Linotype" w:hAnsi="Palatino Linotype" w:cs="Palatino Linotype"/>
          <w:color w:val="000000"/>
        </w:rPr>
        <w:t>.</w:t>
      </w:r>
    </w:p>
    <w:p w14:paraId="74718456"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41EEDE57" w14:textId="3B7821B1" w:rsidR="00B060F3" w:rsidRPr="003B516A" w:rsidRDefault="00F32370">
      <w:pPr>
        <w:numPr>
          <w:ilvl w:val="0"/>
          <w:numId w:val="1"/>
        </w:numPr>
        <w:pBdr>
          <w:top w:val="nil"/>
          <w:left w:val="nil"/>
          <w:bottom w:val="nil"/>
          <w:right w:val="nil"/>
          <w:between w:val="nil"/>
        </w:pBdr>
        <w:spacing w:line="360" w:lineRule="auto"/>
        <w:ind w:left="0" w:right="4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Luego entonces, conforme a los preceptos legales antes citados </w:t>
      </w:r>
      <w:r w:rsidRPr="003B516A">
        <w:rPr>
          <w:rFonts w:ascii="Palatino Linotype" w:eastAsia="Palatino Linotype" w:hAnsi="Palatino Linotype" w:cs="Palatino Linotype"/>
          <w:b/>
          <w:color w:val="000000"/>
        </w:rPr>
        <w:t>la resoluciones a los procedimientos que derivaron en sanciones administrativas no graves concluidos de manera condenatoria, serán de acceso público en versión pública</w:t>
      </w:r>
      <w:r w:rsidRPr="003B516A">
        <w:rPr>
          <w:rFonts w:ascii="Palatino Linotype" w:eastAsia="Palatino Linotype" w:hAnsi="Palatino Linotype" w:cs="Palatino Linotype"/>
          <w:color w:val="000000"/>
        </w:rPr>
        <w:t>, clasificando como información confidencial el nombre, cargo, y en su caso la sanción que se hubiese impuesto, para lo cual deberá ser emitido por el Comité de Transparencia del Sujeto Obligado, conforme a lo establecido en el considerando quinto.</w:t>
      </w:r>
    </w:p>
    <w:p w14:paraId="03D47644" w14:textId="77777777" w:rsidR="00B060F3" w:rsidRDefault="00B060F3">
      <w:pPr>
        <w:spacing w:line="360" w:lineRule="auto"/>
        <w:jc w:val="both"/>
        <w:rPr>
          <w:rFonts w:ascii="Palatino Linotype" w:eastAsia="Palatino Linotype" w:hAnsi="Palatino Linotype" w:cs="Palatino Linotype"/>
        </w:rPr>
      </w:pPr>
    </w:p>
    <w:p w14:paraId="2362866A" w14:textId="77777777" w:rsidR="003B516A" w:rsidRDefault="003B516A">
      <w:pPr>
        <w:spacing w:line="360" w:lineRule="auto"/>
        <w:jc w:val="both"/>
        <w:rPr>
          <w:rFonts w:ascii="Palatino Linotype" w:eastAsia="Palatino Linotype" w:hAnsi="Palatino Linotype" w:cs="Palatino Linotype"/>
        </w:rPr>
      </w:pPr>
    </w:p>
    <w:p w14:paraId="15CB5931" w14:textId="77777777" w:rsidR="003B516A" w:rsidRDefault="003B516A">
      <w:pPr>
        <w:spacing w:line="360" w:lineRule="auto"/>
        <w:jc w:val="both"/>
        <w:rPr>
          <w:rFonts w:ascii="Palatino Linotype" w:eastAsia="Palatino Linotype" w:hAnsi="Palatino Linotype" w:cs="Palatino Linotype"/>
        </w:rPr>
      </w:pPr>
    </w:p>
    <w:p w14:paraId="3529679F" w14:textId="77777777" w:rsidR="003B516A" w:rsidRPr="003B516A" w:rsidRDefault="003B516A">
      <w:pPr>
        <w:spacing w:line="360" w:lineRule="auto"/>
        <w:jc w:val="both"/>
        <w:rPr>
          <w:rFonts w:ascii="Palatino Linotype" w:eastAsia="Palatino Linotype" w:hAnsi="Palatino Linotype" w:cs="Palatino Linotype"/>
        </w:rPr>
      </w:pPr>
    </w:p>
    <w:p w14:paraId="08C9CD32" w14:textId="77777777" w:rsidR="00B060F3" w:rsidRPr="003B516A" w:rsidRDefault="00F32370">
      <w:pPr>
        <w:numPr>
          <w:ilvl w:val="0"/>
          <w:numId w:val="3"/>
        </w:numPr>
        <w:pBdr>
          <w:top w:val="nil"/>
          <w:left w:val="nil"/>
          <w:bottom w:val="nil"/>
          <w:right w:val="nil"/>
          <w:between w:val="nil"/>
        </w:pBdr>
        <w:spacing w:line="360" w:lineRule="auto"/>
        <w:ind w:left="0" w:right="49" w:hanging="284"/>
        <w:jc w:val="both"/>
        <w:rPr>
          <w:rFonts w:ascii="Palatino Linotype" w:eastAsia="Palatino Linotype" w:hAnsi="Palatino Linotype" w:cs="Palatino Linotype"/>
          <w:b/>
        </w:rPr>
      </w:pPr>
      <w:r w:rsidRPr="003B516A">
        <w:rPr>
          <w:rFonts w:ascii="Palatino Linotype" w:eastAsia="Palatino Linotype" w:hAnsi="Palatino Linotype" w:cs="Palatino Linotype"/>
          <w:b/>
        </w:rPr>
        <w:lastRenderedPageBreak/>
        <w:t xml:space="preserve">De las resoluciones a los procedimientos sobre faltas administrativas graves concluidos con sanción condenatoria. </w:t>
      </w:r>
    </w:p>
    <w:p w14:paraId="495AC6EB" w14:textId="77777777" w:rsidR="00B060F3" w:rsidRPr="003B516A" w:rsidRDefault="00F32370">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Si las resoluciones de los expedientes requeridos por el particular, ya han causado estado, es decir, que ya no acepta recurso o medio de defensa alguno, es procedente entregar la información al recurrente pero en versión pública, dejando visible el nombre, cargo y sanción impuesta al Servidor Público condenado, no así todos los datos personales que en este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7548037E" w14:textId="77777777" w:rsidR="00B060F3" w:rsidRPr="003B516A" w:rsidRDefault="00F32370">
      <w:pPr>
        <w:spacing w:line="360" w:lineRule="auto"/>
        <w:ind w:left="851" w:right="822"/>
        <w:jc w:val="both"/>
        <w:rPr>
          <w:rFonts w:ascii="Palatino Linotype" w:eastAsia="Palatino Linotype" w:hAnsi="Palatino Linotype" w:cs="Palatino Linotype"/>
          <w:b/>
          <w:i/>
        </w:rPr>
      </w:pPr>
      <w:r w:rsidRPr="003B516A">
        <w:rPr>
          <w:rFonts w:ascii="Palatino Linotype" w:eastAsia="Palatino Linotype" w:hAnsi="Palatino Linotype" w:cs="Palatino Linotype"/>
          <w:b/>
          <w:i/>
        </w:rPr>
        <w:t>“Artículo 3. Para los efectos de la presente Ley se entenderá por:</w:t>
      </w:r>
    </w:p>
    <w:p w14:paraId="66BAECD6" w14:textId="77777777" w:rsidR="00B060F3" w:rsidRPr="003B516A" w:rsidRDefault="00F32370">
      <w:pPr>
        <w:spacing w:line="276" w:lineRule="auto"/>
        <w:ind w:left="851" w:right="822"/>
        <w:jc w:val="both"/>
        <w:rPr>
          <w:rFonts w:ascii="Palatino Linotype" w:eastAsia="Palatino Linotype" w:hAnsi="Palatino Linotype" w:cs="Palatino Linotype"/>
          <w:b/>
          <w:i/>
        </w:rPr>
      </w:pPr>
      <w:r w:rsidRPr="003B516A">
        <w:rPr>
          <w:rFonts w:ascii="Palatino Linotype" w:eastAsia="Palatino Linotype" w:hAnsi="Palatino Linotype" w:cs="Palatino Linotype"/>
          <w:b/>
          <w:i/>
        </w:rPr>
        <w:t>[…]</w:t>
      </w:r>
    </w:p>
    <w:p w14:paraId="2C1CB585" w14:textId="77777777" w:rsidR="00B060F3" w:rsidRPr="003B516A" w:rsidRDefault="00F32370">
      <w:pPr>
        <w:spacing w:line="276" w:lineRule="auto"/>
        <w:ind w:left="851" w:right="822"/>
        <w:jc w:val="both"/>
        <w:rPr>
          <w:rFonts w:ascii="Palatino Linotype" w:eastAsia="Palatino Linotype" w:hAnsi="Palatino Linotype" w:cs="Palatino Linotype"/>
          <w:b/>
          <w:i/>
        </w:rPr>
      </w:pPr>
      <w:r w:rsidRPr="003B516A">
        <w:rPr>
          <w:rFonts w:ascii="Palatino Linotype" w:eastAsia="Palatino Linotype" w:hAnsi="Palatino Linotype" w:cs="Palatino Linotype"/>
          <w:b/>
          <w:i/>
        </w:rPr>
        <w:t>IX. Datos personales: La información concerniente a una persona, identificada o identificable según lo dispuesto por la Ley de Protección de Datos Personales del Estado de México;</w:t>
      </w:r>
    </w:p>
    <w:p w14:paraId="646C78BF" w14:textId="77777777" w:rsidR="00B060F3" w:rsidRPr="003B516A" w:rsidRDefault="00F32370">
      <w:pPr>
        <w:spacing w:line="276" w:lineRule="auto"/>
        <w:ind w:left="851" w:right="822"/>
        <w:jc w:val="both"/>
        <w:rPr>
          <w:rFonts w:ascii="Palatino Linotype" w:eastAsia="Palatino Linotype" w:hAnsi="Palatino Linotype" w:cs="Palatino Linotype"/>
          <w:b/>
          <w:i/>
        </w:rPr>
      </w:pPr>
      <w:r w:rsidRPr="003B516A">
        <w:rPr>
          <w:rFonts w:ascii="Palatino Linotype" w:eastAsia="Palatino Linotype" w:hAnsi="Palatino Linotype" w:cs="Palatino Linotype"/>
          <w:b/>
          <w:i/>
        </w:rPr>
        <w:t>[…]</w:t>
      </w:r>
    </w:p>
    <w:p w14:paraId="30611187" w14:textId="77777777" w:rsidR="00B060F3" w:rsidRPr="003B516A" w:rsidRDefault="00F32370">
      <w:pPr>
        <w:ind w:left="851" w:right="822"/>
        <w:jc w:val="both"/>
        <w:rPr>
          <w:rFonts w:ascii="Palatino Linotype" w:eastAsia="Palatino Linotype" w:hAnsi="Palatino Linotype" w:cs="Palatino Linotype"/>
          <w:b/>
          <w:i/>
        </w:rPr>
      </w:pPr>
      <w:r w:rsidRPr="003B516A">
        <w:rPr>
          <w:rFonts w:ascii="Palatino Linotype" w:eastAsia="Palatino Linotype" w:hAnsi="Palatino Linotype" w:cs="Palatino Linotype"/>
          <w:b/>
          <w:i/>
        </w:rPr>
        <w:t>XLV. Versión pública: Documento en el que se elimine, suprime o borra la información clasificada como reservada o confidencial para permitir su acceso.</w:t>
      </w:r>
    </w:p>
    <w:p w14:paraId="16EA2F3A" w14:textId="77777777" w:rsidR="00B060F3" w:rsidRPr="003B516A" w:rsidRDefault="00F32370">
      <w:pPr>
        <w:ind w:left="851" w:right="822"/>
        <w:jc w:val="both"/>
        <w:rPr>
          <w:rFonts w:ascii="Palatino Linotype" w:eastAsia="Palatino Linotype" w:hAnsi="Palatino Linotype" w:cs="Palatino Linotype"/>
          <w:i/>
        </w:rPr>
      </w:pPr>
      <w:r w:rsidRPr="003B516A">
        <w:rPr>
          <w:rFonts w:ascii="Palatino Linotype" w:eastAsia="Palatino Linotype" w:hAnsi="Palatino Linotype" w:cs="Palatino Linotype"/>
          <w:i/>
        </w:rPr>
        <w:t>Artículo 122. La clasificación es el proceso mediante el cual el Sujeto Obligado determina que la información en su poder actualiza alguno de los supuestos de reserva o confidencialidad, de conformidad con lo dispuesto en el presente título.</w:t>
      </w:r>
    </w:p>
    <w:p w14:paraId="31228CFA" w14:textId="77777777" w:rsidR="00B060F3" w:rsidRPr="003B516A" w:rsidRDefault="00F32370">
      <w:pPr>
        <w:ind w:left="851" w:right="822"/>
        <w:jc w:val="both"/>
        <w:rPr>
          <w:rFonts w:ascii="Palatino Linotype" w:eastAsia="Palatino Linotype" w:hAnsi="Palatino Linotype" w:cs="Palatino Linotype"/>
          <w:i/>
        </w:rPr>
      </w:pPr>
      <w:r w:rsidRPr="003B516A">
        <w:rPr>
          <w:rFonts w:ascii="Palatino Linotype" w:eastAsia="Palatino Linotype" w:hAnsi="Palatino Linotype" w:cs="Palatino Linotype"/>
          <w:i/>
        </w:rPr>
        <w:t>[…]</w:t>
      </w:r>
    </w:p>
    <w:p w14:paraId="1587228C" w14:textId="77777777" w:rsidR="00B060F3" w:rsidRPr="003B516A" w:rsidRDefault="00F32370">
      <w:pPr>
        <w:ind w:left="851" w:right="822"/>
        <w:jc w:val="both"/>
        <w:rPr>
          <w:rFonts w:ascii="Palatino Linotype" w:eastAsia="Palatino Linotype" w:hAnsi="Palatino Linotype" w:cs="Palatino Linotype"/>
          <w:i/>
        </w:rPr>
      </w:pPr>
      <w:r w:rsidRPr="003B516A">
        <w:rPr>
          <w:rFonts w:ascii="Palatino Linotype" w:eastAsia="Palatino Linotype" w:hAnsi="Palatino Linotype" w:cs="Palatino Linotype"/>
          <w:i/>
        </w:rPr>
        <w:t>Artículo 132. La clasificación de la información se llevará a cabo en el momento en que:</w:t>
      </w:r>
    </w:p>
    <w:p w14:paraId="7C451286" w14:textId="77777777" w:rsidR="00B060F3" w:rsidRPr="003B516A" w:rsidRDefault="00F32370">
      <w:pPr>
        <w:ind w:left="851" w:right="822"/>
        <w:jc w:val="both"/>
        <w:rPr>
          <w:rFonts w:ascii="Palatino Linotype" w:eastAsia="Palatino Linotype" w:hAnsi="Palatino Linotype" w:cs="Palatino Linotype"/>
          <w:i/>
        </w:rPr>
      </w:pPr>
      <w:r w:rsidRPr="003B516A">
        <w:rPr>
          <w:rFonts w:ascii="Palatino Linotype" w:eastAsia="Palatino Linotype" w:hAnsi="Palatino Linotype" w:cs="Palatino Linotype"/>
          <w:i/>
        </w:rPr>
        <w:t>[…]</w:t>
      </w:r>
    </w:p>
    <w:p w14:paraId="00E48B54" w14:textId="77777777" w:rsidR="00B060F3" w:rsidRPr="003B516A" w:rsidRDefault="00F32370">
      <w:pPr>
        <w:ind w:left="851" w:right="822"/>
        <w:jc w:val="both"/>
        <w:rPr>
          <w:rFonts w:ascii="Palatino Linotype" w:eastAsia="Palatino Linotype" w:hAnsi="Palatino Linotype" w:cs="Palatino Linotype"/>
          <w:b/>
          <w:i/>
        </w:rPr>
      </w:pPr>
      <w:r w:rsidRPr="003B516A">
        <w:rPr>
          <w:rFonts w:ascii="Palatino Linotype" w:eastAsia="Palatino Linotype" w:hAnsi="Palatino Linotype" w:cs="Palatino Linotype"/>
          <w:b/>
          <w:i/>
        </w:rPr>
        <w:t>III. Se generen versiones públicas para dar cumplimiento a las obligaciones de transparencia previstas en esta Ley.</w:t>
      </w:r>
    </w:p>
    <w:p w14:paraId="5AC1D7AD" w14:textId="77777777" w:rsidR="00B060F3" w:rsidRPr="003B516A" w:rsidRDefault="00F32370">
      <w:pPr>
        <w:ind w:left="851" w:right="822"/>
        <w:jc w:val="both"/>
        <w:rPr>
          <w:rFonts w:ascii="Palatino Linotype" w:eastAsia="Palatino Linotype" w:hAnsi="Palatino Linotype" w:cs="Palatino Linotype"/>
          <w:b/>
          <w:i/>
          <w:u w:val="single"/>
        </w:rPr>
      </w:pPr>
      <w:r w:rsidRPr="003B516A">
        <w:rPr>
          <w:rFonts w:ascii="Palatino Linotype" w:eastAsia="Palatino Linotype" w:hAnsi="Palatino Linotype" w:cs="Palatino Linotype"/>
          <w:b/>
          <w:i/>
        </w:rPr>
        <w:lastRenderedPageBreak/>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B516A">
        <w:rPr>
          <w:rFonts w:ascii="Palatino Linotype" w:eastAsia="Palatino Linotype" w:hAnsi="Palatino Linotype" w:cs="Palatino Linotype"/>
          <w:b/>
          <w:i/>
          <w:u w:val="single"/>
        </w:rPr>
        <w:t>de manera genérica y fundando y motivando su clasificación.” (Sic)</w:t>
      </w:r>
    </w:p>
    <w:p w14:paraId="597BF099" w14:textId="77777777" w:rsidR="00B060F3" w:rsidRPr="003B516A" w:rsidRDefault="00B060F3">
      <w:pPr>
        <w:spacing w:line="360" w:lineRule="auto"/>
        <w:ind w:right="49"/>
        <w:jc w:val="both"/>
        <w:rPr>
          <w:rFonts w:ascii="Palatino Linotype" w:eastAsia="Palatino Linotype" w:hAnsi="Palatino Linotype" w:cs="Palatino Linotype"/>
          <w:b/>
          <w:i/>
          <w:u w:val="single"/>
        </w:rPr>
      </w:pPr>
    </w:p>
    <w:p w14:paraId="02CA0057"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1A7BCC85" w14:textId="77777777" w:rsidR="00B060F3" w:rsidRPr="003B516A" w:rsidRDefault="00B060F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A61C5AA"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3E8CFD8"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057A5715"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Así, los LINEAMIENTOS GENERALES EN MATERIA DE CLASIFICACIÓN Y DESCLASIFICACIÓN DE LA INFORMACIÓN, ASÍ COMO PARA LA ELABORACIÓN DE VERSIONES PÚBLICAS, emitidos por Consejo Nacional del Sistema Nacional de </w:t>
      </w:r>
      <w:r w:rsidRPr="003B516A">
        <w:rPr>
          <w:rFonts w:ascii="Palatino Linotype" w:eastAsia="Palatino Linotype" w:hAnsi="Palatino Linotype" w:cs="Palatino Linotype"/>
          <w:color w:val="000000"/>
        </w:rPr>
        <w:lastRenderedPageBreak/>
        <w:t xml:space="preserve">Transparencia, señalan con claridad cuáles son aquellos datos personales que deben ser clasificados al momento de la elaboración de las versiones públicas. </w:t>
      </w:r>
    </w:p>
    <w:p w14:paraId="416B6A4A"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50D9726C"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Efectivamente, cuando se clasifica información como confidencial o reservada </w:t>
      </w:r>
      <w:r w:rsidRPr="003B516A">
        <w:rPr>
          <w:rFonts w:ascii="Palatino Linotype" w:eastAsia="Palatino Linotype" w:hAnsi="Palatino Linotype" w:cs="Palatino Linotype"/>
          <w:b/>
          <w:color w:val="000000"/>
        </w:rPr>
        <w:t>es deber someterlo al Comité de Transparencia</w:t>
      </w:r>
      <w:r w:rsidRPr="003B516A">
        <w:rPr>
          <w:rFonts w:ascii="Palatino Linotype" w:eastAsia="Palatino Linotype" w:hAnsi="Palatino Linotype" w:cs="Palatino Linotype"/>
          <w:color w:val="000000"/>
        </w:rPr>
        <w:t>,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1077565"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562F8D90"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7956C066"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10200943"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58126B90"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lastRenderedPageBreak/>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55B563C7"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2AC1BBC9"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654DD679"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7629D298"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3D810DFA"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1B01F3EF"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 </w:t>
      </w:r>
    </w:p>
    <w:p w14:paraId="34F7CF92"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21E2F346"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lastRenderedPageBreak/>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1A9B991A"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5E4D37A9"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35D3798"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3A2A9CF5"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0FD43B93" w14:textId="77777777" w:rsidR="00B060F3" w:rsidRPr="003B516A" w:rsidRDefault="00B060F3">
      <w:pPr>
        <w:spacing w:line="360" w:lineRule="auto"/>
        <w:jc w:val="both"/>
        <w:rPr>
          <w:rFonts w:ascii="Palatino Linotype" w:eastAsia="Palatino Linotype" w:hAnsi="Palatino Linotype" w:cs="Palatino Linotype"/>
        </w:rPr>
      </w:pPr>
    </w:p>
    <w:p w14:paraId="5BFE1E56" w14:textId="77777777" w:rsidR="00B060F3" w:rsidRPr="003B516A" w:rsidRDefault="00F32370">
      <w:pPr>
        <w:numPr>
          <w:ilvl w:val="0"/>
          <w:numId w:val="2"/>
        </w:numPr>
        <w:spacing w:line="360" w:lineRule="auto"/>
        <w:ind w:left="851" w:hanging="426"/>
        <w:jc w:val="both"/>
        <w:rPr>
          <w:rFonts w:ascii="Palatino Linotype" w:eastAsia="Palatino Linotype" w:hAnsi="Palatino Linotype" w:cs="Palatino Linotype"/>
        </w:rPr>
      </w:pPr>
      <w:r w:rsidRPr="003B516A">
        <w:rPr>
          <w:rFonts w:ascii="Palatino Linotype" w:eastAsia="Palatino Linotype" w:hAnsi="Palatino Linotype" w:cs="Palatino Linotype"/>
          <w:b/>
        </w:rPr>
        <w:lastRenderedPageBreak/>
        <w:t>Idoneidad:</w:t>
      </w:r>
      <w:r w:rsidRPr="003B516A">
        <w:rPr>
          <w:rFonts w:ascii="Palatino Linotype" w:eastAsia="Palatino Linotype" w:hAnsi="Palatino Linotype" w:cs="Palatino Linotype"/>
        </w:rPr>
        <w:t xml:space="preserve"> La legitimidad del derecho adoptado como preferente, que sea el adecuado para el logro de un fin constitucionalmente válido o apto para conseguir el fin pretendido;</w:t>
      </w:r>
    </w:p>
    <w:p w14:paraId="3EDEC254" w14:textId="77777777" w:rsidR="00B060F3" w:rsidRPr="003B516A" w:rsidRDefault="00F32370">
      <w:pPr>
        <w:numPr>
          <w:ilvl w:val="0"/>
          <w:numId w:val="2"/>
        </w:numPr>
        <w:spacing w:line="360" w:lineRule="auto"/>
        <w:ind w:left="851" w:hanging="426"/>
        <w:jc w:val="both"/>
        <w:rPr>
          <w:rFonts w:ascii="Palatino Linotype" w:eastAsia="Palatino Linotype" w:hAnsi="Palatino Linotype" w:cs="Palatino Linotype"/>
        </w:rPr>
      </w:pPr>
      <w:r w:rsidRPr="003B516A">
        <w:rPr>
          <w:rFonts w:ascii="Palatino Linotype" w:eastAsia="Palatino Linotype" w:hAnsi="Palatino Linotype" w:cs="Palatino Linotype"/>
          <w:b/>
        </w:rPr>
        <w:t>Necesidad:</w:t>
      </w:r>
      <w:r w:rsidRPr="003B516A">
        <w:rPr>
          <w:rFonts w:ascii="Palatino Linotype" w:eastAsia="Palatino Linotype" w:hAnsi="Palatino Linotype" w:cs="Palatino Linotype"/>
        </w:rPr>
        <w:t xml:space="preserve"> La falta de un medio alternativo menos lesivo a la apertura de la información, para satisfacer el interés público, y</w:t>
      </w:r>
    </w:p>
    <w:p w14:paraId="02D1D860" w14:textId="77777777" w:rsidR="00B060F3" w:rsidRPr="003B516A" w:rsidRDefault="00F32370">
      <w:pPr>
        <w:numPr>
          <w:ilvl w:val="0"/>
          <w:numId w:val="2"/>
        </w:numPr>
        <w:spacing w:line="360" w:lineRule="auto"/>
        <w:ind w:left="851" w:hanging="426"/>
        <w:jc w:val="both"/>
        <w:rPr>
          <w:rFonts w:ascii="Palatino Linotype" w:eastAsia="Palatino Linotype" w:hAnsi="Palatino Linotype" w:cs="Palatino Linotype"/>
        </w:rPr>
      </w:pPr>
      <w:r w:rsidRPr="003B516A">
        <w:rPr>
          <w:rFonts w:ascii="Palatino Linotype" w:eastAsia="Palatino Linotype" w:hAnsi="Palatino Linotype" w:cs="Palatino Linotype"/>
          <w:b/>
        </w:rPr>
        <w:t>Proporcionalidad:</w:t>
      </w:r>
      <w:r w:rsidRPr="003B516A">
        <w:rPr>
          <w:rFonts w:ascii="Palatino Linotype" w:eastAsia="Palatino Linotype" w:hAnsi="Palatino Linotype" w:cs="Palatino Linotype"/>
        </w:rPr>
        <w:t xml:space="preserve"> El equilibrio entre perjuicio y beneficio a favor del interés público, a fin de que la decisión tomada represente un beneficio mayor al perjuicio que podría causar a la población.</w:t>
      </w:r>
    </w:p>
    <w:p w14:paraId="476695C5" w14:textId="77777777" w:rsidR="00B060F3" w:rsidRPr="003B516A" w:rsidRDefault="00B060F3">
      <w:pPr>
        <w:spacing w:line="360" w:lineRule="auto"/>
        <w:jc w:val="both"/>
        <w:rPr>
          <w:rFonts w:ascii="Palatino Linotype" w:eastAsia="Palatino Linotype" w:hAnsi="Palatino Linotype" w:cs="Palatino Linotype"/>
        </w:rPr>
      </w:pPr>
    </w:p>
    <w:p w14:paraId="458C7791"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En ese orden de ideas, resulta procedente analizar cada uno de los elementos referidos, partiendo de que, en el caso concreto, se estima como preferente el derecho de acceso a la información, bajo las consideraciones que se verterán a continuación.</w:t>
      </w:r>
    </w:p>
    <w:p w14:paraId="3087CFBB" w14:textId="77777777" w:rsidR="00B060F3" w:rsidRPr="003B516A" w:rsidRDefault="00F32370">
      <w:pPr>
        <w:spacing w:line="360" w:lineRule="auto"/>
        <w:jc w:val="both"/>
        <w:rPr>
          <w:rFonts w:ascii="Palatino Linotype" w:eastAsia="Palatino Linotype" w:hAnsi="Palatino Linotype" w:cs="Palatino Linotype"/>
        </w:rPr>
      </w:pPr>
      <w:r w:rsidRPr="003B516A">
        <w:rPr>
          <w:rFonts w:ascii="Palatino Linotype" w:eastAsia="Palatino Linotype" w:hAnsi="Palatino Linotype" w:cs="Palatino Linotype"/>
          <w:b/>
        </w:rPr>
        <w:t>a) Idoneidad</w:t>
      </w:r>
      <w:r w:rsidRPr="003B516A">
        <w:rPr>
          <w:rFonts w:ascii="Palatino Linotype" w:eastAsia="Palatino Linotype" w:hAnsi="Palatino Linotype" w:cs="Palatino Linotype"/>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65390223" w14:textId="77777777" w:rsidR="00B060F3" w:rsidRPr="003B516A" w:rsidRDefault="00B060F3">
      <w:pPr>
        <w:spacing w:line="360" w:lineRule="auto"/>
        <w:jc w:val="both"/>
        <w:rPr>
          <w:rFonts w:ascii="Palatino Linotype" w:eastAsia="Palatino Linotype" w:hAnsi="Palatino Linotype" w:cs="Palatino Linotype"/>
          <w:b/>
        </w:rPr>
      </w:pPr>
    </w:p>
    <w:p w14:paraId="5713E450"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14:paraId="312AA49C" w14:textId="77777777" w:rsidR="00B060F3" w:rsidRPr="003B516A" w:rsidRDefault="00B060F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BF9BC74"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lastRenderedPageBreak/>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46BF886E"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3CE1B914"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3A861B4B"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45D1DCB8"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1F0D5BD5"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5E88BDD0"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En ese contexto, dado que la información se relaciona con el actuar de los servidores públicos,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 </w:t>
      </w:r>
    </w:p>
    <w:p w14:paraId="357AD789"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lastRenderedPageBreak/>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44AB7411"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00908D17"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Además, que, con dicha información, se estaría revelando que el desempeño de los servidores públicos sancionados, no fue conforme a derecho, asimismo, de dar a conocer que los referidos acreditaron que había cometido alguna responsabilidad grave.</w:t>
      </w:r>
    </w:p>
    <w:p w14:paraId="448167D3"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3378D389"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3D57F175" w14:textId="77777777" w:rsidR="00B060F3" w:rsidRPr="003B516A" w:rsidRDefault="00B060F3">
      <w:pPr>
        <w:spacing w:line="360" w:lineRule="auto"/>
        <w:jc w:val="both"/>
        <w:rPr>
          <w:rFonts w:ascii="Palatino Linotype" w:eastAsia="Palatino Linotype" w:hAnsi="Palatino Linotype" w:cs="Palatino Linotype"/>
        </w:rPr>
      </w:pPr>
    </w:p>
    <w:p w14:paraId="71D6E24D" w14:textId="77777777" w:rsidR="00B060F3" w:rsidRPr="003B516A" w:rsidRDefault="00F32370">
      <w:pPr>
        <w:spacing w:line="360" w:lineRule="auto"/>
        <w:jc w:val="both"/>
        <w:rPr>
          <w:rFonts w:ascii="Palatino Linotype" w:eastAsia="Palatino Linotype" w:hAnsi="Palatino Linotype" w:cs="Palatino Linotype"/>
        </w:rPr>
      </w:pPr>
      <w:bookmarkStart w:id="8" w:name="_heading=h.tyjcwt" w:colFirst="0" w:colLast="0"/>
      <w:bookmarkEnd w:id="8"/>
      <w:r w:rsidRPr="003B516A">
        <w:rPr>
          <w:rFonts w:ascii="Palatino Linotype" w:eastAsia="Palatino Linotype" w:hAnsi="Palatino Linotype" w:cs="Palatino Linotype"/>
          <w:b/>
        </w:rPr>
        <w:t xml:space="preserve">b) Necesidad: </w:t>
      </w:r>
      <w:r w:rsidRPr="003B516A">
        <w:rPr>
          <w:rFonts w:ascii="Palatino Linotype" w:eastAsia="Palatino Linotype" w:hAnsi="Palatino Linotype" w:cs="Palatino Linotype"/>
        </w:rPr>
        <w:t xml:space="preserve">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w:t>
      </w:r>
      <w:r w:rsidRPr="003B516A">
        <w:rPr>
          <w:rFonts w:ascii="Palatino Linotype" w:eastAsia="Palatino Linotype" w:hAnsi="Palatino Linotype" w:cs="Palatino Linotype"/>
        </w:rPr>
        <w:lastRenderedPageBreak/>
        <w:t>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5BB4AB24" w14:textId="77777777" w:rsidR="00B060F3" w:rsidRPr="003B516A" w:rsidRDefault="00B060F3">
      <w:pPr>
        <w:spacing w:line="360" w:lineRule="auto"/>
        <w:jc w:val="both"/>
        <w:rPr>
          <w:rFonts w:ascii="Palatino Linotype" w:eastAsia="Palatino Linotype" w:hAnsi="Palatino Linotype" w:cs="Palatino Linotype"/>
        </w:rPr>
      </w:pPr>
    </w:p>
    <w:p w14:paraId="3D1677FE"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Además, ello permite evaluar la actuación del </w:t>
      </w:r>
      <w:r w:rsidRPr="003B516A">
        <w:rPr>
          <w:rFonts w:ascii="Palatino Linotype" w:eastAsia="Palatino Linotype" w:hAnsi="Palatino Linotype" w:cs="Palatino Linotype"/>
          <w:b/>
          <w:color w:val="000000"/>
        </w:rPr>
        <w:t>Sujeto Obligado</w:t>
      </w:r>
      <w:r w:rsidRPr="003B516A">
        <w:rPr>
          <w:rFonts w:ascii="Palatino Linotype" w:eastAsia="Palatino Linotype" w:hAnsi="Palatino Linotype" w:cs="Palatino Linotype"/>
          <w:color w:val="000000"/>
        </w:rPr>
        <w:t>, pues se podrá advertir la forma en la que ejercieron las funciones que legalmente tienen conferidas.</w:t>
      </w:r>
    </w:p>
    <w:p w14:paraId="2206250A" w14:textId="77777777" w:rsidR="00B060F3" w:rsidRPr="003B516A" w:rsidRDefault="00B060F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C7BB56"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Lo anterior, considerando que sólo por esta vía se podría lograr el acceso a la información correspondiente a los documentos del interés de la Particular, para garantizar la rendición de cuentas sobre su actuación, así como, la de los servidores públicos sancionados.</w:t>
      </w:r>
    </w:p>
    <w:p w14:paraId="696AAFC0"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3CE54CF7"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En tal virtud, por la trascendencia social de la materia del requerimiento, el derecho de acceso a la información deberá prevalecer sobre el derecho a la privacidad.</w:t>
      </w:r>
    </w:p>
    <w:p w14:paraId="43C66F01" w14:textId="77777777" w:rsidR="00B060F3" w:rsidRPr="003B516A" w:rsidRDefault="00B060F3">
      <w:pPr>
        <w:spacing w:line="360" w:lineRule="auto"/>
        <w:jc w:val="both"/>
        <w:rPr>
          <w:rFonts w:ascii="Palatino Linotype" w:eastAsia="Palatino Linotype" w:hAnsi="Palatino Linotype" w:cs="Palatino Linotype"/>
        </w:rPr>
      </w:pPr>
    </w:p>
    <w:p w14:paraId="2E9D59F2" w14:textId="77777777" w:rsidR="00B060F3" w:rsidRPr="003B516A" w:rsidRDefault="00F32370">
      <w:pPr>
        <w:spacing w:line="360" w:lineRule="auto"/>
        <w:jc w:val="both"/>
        <w:rPr>
          <w:rFonts w:ascii="Palatino Linotype" w:eastAsia="Palatino Linotype" w:hAnsi="Palatino Linotype" w:cs="Palatino Linotype"/>
        </w:rPr>
      </w:pPr>
      <w:r w:rsidRPr="003B516A">
        <w:rPr>
          <w:rFonts w:ascii="Palatino Linotype" w:eastAsia="Palatino Linotype" w:hAnsi="Palatino Linotype" w:cs="Palatino Linotype"/>
          <w:b/>
        </w:rPr>
        <w:t>c) Proporcionalidad en sentido estricto:</w:t>
      </w:r>
      <w:r w:rsidRPr="003B516A">
        <w:rPr>
          <w:rFonts w:ascii="Palatino Linotype" w:eastAsia="Palatino Linotype" w:hAnsi="Palatino Linotype" w:cs="Palatino Linotype"/>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659077EC" w14:textId="77777777" w:rsidR="00B060F3" w:rsidRPr="003B516A" w:rsidRDefault="00B060F3">
      <w:pPr>
        <w:spacing w:line="360" w:lineRule="auto"/>
        <w:jc w:val="both"/>
        <w:rPr>
          <w:rFonts w:ascii="Palatino Linotype" w:eastAsia="Palatino Linotype" w:hAnsi="Palatino Linotype" w:cs="Palatino Linotype"/>
        </w:rPr>
      </w:pPr>
    </w:p>
    <w:p w14:paraId="72557EDC"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lastRenderedPageBreak/>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54F0ADDD" w14:textId="77777777" w:rsidR="00B060F3" w:rsidRPr="003B516A" w:rsidRDefault="00B060F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04ADF83"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436D7177"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58A6CA01"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11A07829"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542E70AB"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Por tanto, se concluye que, al tenor de la ponderación realizada, se cumple con los tres elementos para darle preminencia, en el caso concreto, al derecho de acceso a la información.</w:t>
      </w:r>
    </w:p>
    <w:p w14:paraId="14A53DAB"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223B9207"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 xml:space="preserve">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w:t>
      </w:r>
      <w:r w:rsidRPr="003B516A">
        <w:rPr>
          <w:rFonts w:ascii="Palatino Linotype" w:eastAsia="Palatino Linotype" w:hAnsi="Palatino Linotype" w:cs="Palatino Linotype"/>
          <w:color w:val="000000"/>
        </w:rPr>
        <w:lastRenderedPageBreak/>
        <w:t>supeditadas al interés mayor de conocer tales eventualidades y por lo tanto no precede su clasificación en términos del artículo 143, fracción I de la Ley de la materia.</w:t>
      </w:r>
    </w:p>
    <w:p w14:paraId="625DE644" w14:textId="77777777" w:rsidR="00B060F3" w:rsidRPr="003B516A" w:rsidRDefault="00B060F3">
      <w:pPr>
        <w:pBdr>
          <w:top w:val="nil"/>
          <w:left w:val="nil"/>
          <w:bottom w:val="nil"/>
          <w:right w:val="nil"/>
          <w:between w:val="nil"/>
        </w:pBdr>
        <w:ind w:left="720"/>
        <w:rPr>
          <w:rFonts w:ascii="Palatino Linotype" w:eastAsia="Palatino Linotype" w:hAnsi="Palatino Linotype" w:cs="Palatino Linotype"/>
          <w:color w:val="000000"/>
        </w:rPr>
      </w:pPr>
    </w:p>
    <w:p w14:paraId="4757A2BB"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Conforme a lo anterior, se concluye que el sujeto obligado únicamente se encuentra constreñido, a proporcionar los procedimientos que ya hayan causado estado, sin testar el nombre de servidores públicos que fueron sancionados por responsabilidades graves.</w:t>
      </w:r>
    </w:p>
    <w:p w14:paraId="080ACC95" w14:textId="77777777" w:rsidR="00B060F3" w:rsidRPr="003B516A" w:rsidRDefault="00B060F3">
      <w:pPr>
        <w:spacing w:line="360" w:lineRule="auto"/>
        <w:jc w:val="both"/>
        <w:rPr>
          <w:rFonts w:ascii="Palatino Linotype" w:eastAsia="Palatino Linotype" w:hAnsi="Palatino Linotype" w:cs="Palatino Linotype"/>
        </w:rPr>
      </w:pPr>
    </w:p>
    <w:p w14:paraId="27204ED1" w14:textId="77777777" w:rsidR="00B060F3" w:rsidRPr="003B516A" w:rsidRDefault="00F323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3B516A">
        <w:rPr>
          <w:rFonts w:ascii="Palatino Linotype" w:eastAsia="Palatino Linotype" w:hAnsi="Palatino Linotype" w:cs="Palatino Linotype"/>
          <w:color w:val="000000"/>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3B516A">
        <w:rPr>
          <w:rFonts w:ascii="Palatino Linotype" w:eastAsia="Palatino Linotype" w:hAnsi="Palatino Linotype" w:cs="Palatino Linotype"/>
          <w:b/>
          <w:color w:val="000000"/>
        </w:rPr>
        <w:t xml:space="preserve">MODIFICAR </w:t>
      </w:r>
      <w:r w:rsidRPr="003B516A">
        <w:rPr>
          <w:rFonts w:ascii="Palatino Linotype" w:eastAsia="Palatino Linotype" w:hAnsi="Palatino Linotype" w:cs="Palatino Linotype"/>
          <w:color w:val="000000"/>
        </w:rPr>
        <w:t xml:space="preserve">la respuesta otorgada por el Sujeto Obligado, y determina que es dable </w:t>
      </w:r>
      <w:r w:rsidRPr="003B516A">
        <w:rPr>
          <w:rFonts w:ascii="Palatino Linotype" w:eastAsia="Palatino Linotype" w:hAnsi="Palatino Linotype" w:cs="Palatino Linotype"/>
          <w:b/>
          <w:color w:val="000000"/>
        </w:rPr>
        <w:t>ORDENAR</w:t>
      </w:r>
      <w:r w:rsidRPr="003B516A">
        <w:rPr>
          <w:rFonts w:ascii="Palatino Linotype" w:eastAsia="Palatino Linotype" w:hAnsi="Palatino Linotype" w:cs="Palatino Linotype"/>
          <w:color w:val="000000"/>
        </w:rPr>
        <w:t>, la siguiente información:</w:t>
      </w:r>
      <w:r w:rsidRPr="003B516A">
        <w:rPr>
          <w:rFonts w:ascii="Palatino Linotype" w:eastAsia="Palatino Linotype" w:hAnsi="Palatino Linotype" w:cs="Palatino Linotype"/>
          <w:b/>
          <w:color w:val="000000"/>
        </w:rPr>
        <w:t xml:space="preserve"> </w:t>
      </w:r>
    </w:p>
    <w:p w14:paraId="408A73C8" w14:textId="77777777" w:rsidR="00B060F3" w:rsidRPr="003B516A" w:rsidRDefault="00F32370">
      <w:pPr>
        <w:numPr>
          <w:ilvl w:val="0"/>
          <w:numId w:val="7"/>
        </w:num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rPr>
      </w:pPr>
      <w:r w:rsidRPr="003B516A">
        <w:rPr>
          <w:rFonts w:ascii="Palatino Linotype" w:eastAsia="Palatino Linotype" w:hAnsi="Palatino Linotype" w:cs="Palatino Linotype"/>
          <w:b/>
          <w:color w:val="000000"/>
        </w:rPr>
        <w:t xml:space="preserve">Soporte documental donde conste las sanciones a servidores públicos, del ejercicio fiscal 2019-2021, derivadas de procedimientos que hayan causado estado: </w:t>
      </w:r>
    </w:p>
    <w:p w14:paraId="1A88A94F" w14:textId="77777777" w:rsidR="00B060F3" w:rsidRPr="003B516A" w:rsidRDefault="00B060F3">
      <w:pPr>
        <w:spacing w:line="360" w:lineRule="auto"/>
        <w:ind w:right="822"/>
        <w:jc w:val="both"/>
        <w:rPr>
          <w:rFonts w:ascii="Palatino Linotype" w:eastAsia="Palatino Linotype" w:hAnsi="Palatino Linotype" w:cs="Palatino Linotype"/>
          <w:b/>
        </w:rPr>
      </w:pPr>
    </w:p>
    <w:p w14:paraId="07D3F386" w14:textId="77777777" w:rsidR="00B060F3" w:rsidRPr="003B516A" w:rsidRDefault="00F32370">
      <w:pPr>
        <w:numPr>
          <w:ilvl w:val="0"/>
          <w:numId w:val="6"/>
        </w:numPr>
        <w:pBdr>
          <w:top w:val="nil"/>
          <w:left w:val="nil"/>
          <w:bottom w:val="nil"/>
          <w:right w:val="nil"/>
          <w:between w:val="nil"/>
        </w:pBdr>
        <w:spacing w:line="360" w:lineRule="auto"/>
        <w:ind w:left="851" w:right="900" w:firstLine="0"/>
        <w:jc w:val="both"/>
        <w:rPr>
          <w:rFonts w:ascii="Palatino Linotype" w:eastAsia="Palatino Linotype" w:hAnsi="Palatino Linotype" w:cs="Palatino Linotype"/>
          <w:b/>
        </w:rPr>
      </w:pPr>
      <w:r w:rsidRPr="003B516A">
        <w:rPr>
          <w:rFonts w:ascii="Palatino Linotype" w:eastAsia="Palatino Linotype" w:hAnsi="Palatino Linotype" w:cs="Palatino Linotype"/>
          <w:b/>
        </w:rPr>
        <w:t xml:space="preserve">Para el caso de las sanciones derivadas de faltas administrativas graves, deberá entregar la información en versión pública.  </w:t>
      </w:r>
    </w:p>
    <w:p w14:paraId="69321B84" w14:textId="77777777" w:rsidR="00B060F3" w:rsidRPr="003B516A" w:rsidRDefault="00B060F3">
      <w:pPr>
        <w:pBdr>
          <w:top w:val="nil"/>
          <w:left w:val="nil"/>
          <w:bottom w:val="nil"/>
          <w:right w:val="nil"/>
          <w:between w:val="nil"/>
        </w:pBdr>
        <w:spacing w:line="360" w:lineRule="auto"/>
        <w:ind w:left="851" w:right="900"/>
        <w:jc w:val="both"/>
        <w:rPr>
          <w:rFonts w:ascii="Palatino Linotype" w:eastAsia="Palatino Linotype" w:hAnsi="Palatino Linotype" w:cs="Palatino Linotype"/>
          <w:b/>
        </w:rPr>
      </w:pPr>
    </w:p>
    <w:p w14:paraId="42568DDD" w14:textId="77777777" w:rsidR="00B060F3" w:rsidRPr="003B516A" w:rsidRDefault="00F32370">
      <w:pPr>
        <w:numPr>
          <w:ilvl w:val="0"/>
          <w:numId w:val="6"/>
        </w:numPr>
        <w:pBdr>
          <w:top w:val="nil"/>
          <w:left w:val="nil"/>
          <w:bottom w:val="nil"/>
          <w:right w:val="nil"/>
          <w:between w:val="nil"/>
        </w:pBdr>
        <w:spacing w:line="360" w:lineRule="auto"/>
        <w:ind w:left="851" w:right="900" w:firstLine="0"/>
        <w:jc w:val="both"/>
        <w:rPr>
          <w:rFonts w:ascii="Palatino Linotype" w:eastAsia="Palatino Linotype" w:hAnsi="Palatino Linotype" w:cs="Palatino Linotype"/>
          <w:b/>
        </w:rPr>
      </w:pPr>
      <w:r w:rsidRPr="003B516A">
        <w:rPr>
          <w:rFonts w:ascii="Palatino Linotype" w:eastAsia="Palatino Linotype" w:hAnsi="Palatino Linotype" w:cs="Palatino Linotype"/>
          <w:b/>
        </w:rPr>
        <w:t xml:space="preserve">Acuerdo mediante el cual se clasifiquen como reservados las sanciones que deriven de procedimientos administrativos que no han causado estado, siempre y </w:t>
      </w:r>
      <w:r w:rsidRPr="003B516A">
        <w:rPr>
          <w:rFonts w:ascii="Palatino Linotype" w:eastAsia="Palatino Linotype" w:hAnsi="Palatino Linotype" w:cs="Palatino Linotype"/>
          <w:b/>
          <w:i/>
        </w:rPr>
        <w:t xml:space="preserve">cuando no se configure alguno de los supuestos contemplados en el artículo 142 de la Ley de la materia, </w:t>
      </w:r>
      <w:r w:rsidRPr="003B516A">
        <w:rPr>
          <w:rFonts w:ascii="Palatino Linotype" w:eastAsia="Palatino Linotype" w:hAnsi="Palatino Linotype" w:cs="Palatino Linotype"/>
          <w:b/>
        </w:rPr>
        <w:t>en caso contrario deberá hacer entrega de las mismas en versión pública, conforme a lo establecido en considerando quinto de la presente resolución.</w:t>
      </w:r>
      <w:r w:rsidRPr="003B516A">
        <w:rPr>
          <w:rFonts w:ascii="Palatino Linotype" w:eastAsia="Palatino Linotype" w:hAnsi="Palatino Linotype" w:cs="Palatino Linotype"/>
          <w:b/>
          <w:i/>
        </w:rPr>
        <w:t xml:space="preserve"> </w:t>
      </w:r>
    </w:p>
    <w:p w14:paraId="24F6963E" w14:textId="77777777" w:rsidR="00B060F3" w:rsidRPr="003B516A" w:rsidRDefault="00F32370">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bookmarkStart w:id="9" w:name="_heading=h.1s91z585a55" w:colFirst="0" w:colLast="0"/>
      <w:bookmarkEnd w:id="9"/>
      <w:r w:rsidRPr="003B516A">
        <w:rPr>
          <w:rFonts w:ascii="Palatino Linotype" w:eastAsia="Palatino Linotype" w:hAnsi="Palatino Linotype" w:cs="Palatino Linotype"/>
          <w:b/>
          <w:color w:val="000000"/>
        </w:rPr>
        <w:lastRenderedPageBreak/>
        <w:t>QUINTO. De la versión pública.</w:t>
      </w:r>
    </w:p>
    <w:p w14:paraId="322EDCA3" w14:textId="77777777" w:rsidR="00B060F3" w:rsidRPr="003B516A" w:rsidRDefault="00F32370">
      <w:pPr>
        <w:numPr>
          <w:ilvl w:val="0"/>
          <w:numId w:val="1"/>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Debe destacarse que, debido a la naturaleza de la información solicitada</w:t>
      </w:r>
      <w:r w:rsidRPr="003B516A">
        <w:rPr>
          <w:rFonts w:ascii="Palatino Linotype" w:eastAsia="Palatino Linotype" w:hAnsi="Palatino Linotype" w:cs="Palatino Linotype"/>
          <w:b/>
          <w:color w:val="000000"/>
        </w:rPr>
        <w:t xml:space="preserve"> </w:t>
      </w:r>
      <w:r w:rsidRPr="003B516A">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AD33800" w14:textId="77777777" w:rsidR="00B060F3" w:rsidRPr="003B516A" w:rsidRDefault="00B060F3">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24182939" w14:textId="77777777" w:rsidR="00B060F3" w:rsidRPr="003B516A" w:rsidRDefault="00F32370">
      <w:pPr>
        <w:numPr>
          <w:ilvl w:val="0"/>
          <w:numId w:val="1"/>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color w:val="000000"/>
        </w:rPr>
      </w:pPr>
      <w:r w:rsidRPr="003B516A">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14:paraId="4DF245A6" w14:textId="77777777" w:rsidR="00B060F3" w:rsidRPr="003B516A" w:rsidRDefault="00B060F3">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tbl>
      <w:tblPr>
        <w:tblStyle w:val="a0"/>
        <w:tblW w:w="977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38"/>
        <w:gridCol w:w="7938"/>
      </w:tblGrid>
      <w:tr w:rsidR="00B060F3" w:rsidRPr="003B516A" w14:paraId="69C2EF09" w14:textId="77777777" w:rsidTr="003B5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266D841" w14:textId="77777777" w:rsidR="00B060F3" w:rsidRPr="003B516A" w:rsidRDefault="00F32370">
            <w:pPr>
              <w:spacing w:line="360" w:lineRule="auto"/>
              <w:rPr>
                <w:rFonts w:ascii="Palatino Linotype" w:eastAsia="Palatino Linotype" w:hAnsi="Palatino Linotype" w:cs="Palatino Linotype"/>
              </w:rPr>
            </w:pPr>
            <w:r w:rsidRPr="003B516A">
              <w:rPr>
                <w:rFonts w:ascii="Palatino Linotype" w:eastAsia="Palatino Linotype" w:hAnsi="Palatino Linotype" w:cs="Palatino Linotype"/>
                <w:b w:val="0"/>
              </w:rPr>
              <w:t>a) Requisitos previos.</w:t>
            </w:r>
          </w:p>
        </w:tc>
        <w:tc>
          <w:tcPr>
            <w:tcW w:w="7938" w:type="dxa"/>
          </w:tcPr>
          <w:p w14:paraId="1E83257C" w14:textId="77777777" w:rsidR="00B060F3" w:rsidRPr="003B516A" w:rsidRDefault="00F32370">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 xml:space="preserve">Los artículos 100 y 122 de la Ley Estatal y de la Ley General, respectivamente, señalan que si los </w:t>
            </w:r>
            <w:r w:rsidRPr="003B516A">
              <w:rPr>
                <w:rFonts w:ascii="Palatino Linotype" w:eastAsia="Palatino Linotype" w:hAnsi="Palatino Linotype" w:cs="Palatino Linotype"/>
                <w:b w:val="0"/>
              </w:rPr>
              <w:t>Sujetos Obligados</w:t>
            </w:r>
            <w:r w:rsidRPr="003B516A">
              <w:rPr>
                <w:rFonts w:ascii="Palatino Linotype" w:eastAsia="Palatino Linotype" w:hAnsi="Palatino Linotype" w:cs="Palatino Linotype"/>
              </w:rPr>
              <w:t xml:space="preserve"> determinan que la información actualiza alguno de los supuestos de clasificación, es deber de los titulares de las áreas proponer su clasificación y no del Comité de Transparencia. </w:t>
            </w:r>
          </w:p>
          <w:p w14:paraId="2841C0CB" w14:textId="77777777" w:rsidR="00B060F3" w:rsidRPr="003B516A" w:rsidRDefault="00F32370">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Al hacerlo tienen que precisar de qué información se trata, señalando el supuesto de clasificación (confidencialidad o reserva).</w:t>
            </w:r>
          </w:p>
          <w:p w14:paraId="7D8DEECE" w14:textId="77777777" w:rsidR="00B060F3" w:rsidRPr="003B516A" w:rsidRDefault="00F32370">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Además, se debe señalar el procedimiento, de los tres que establecen los artículos 132 y 106 de la Ley Estatal y General, respectivamente.</w:t>
            </w:r>
          </w:p>
          <w:p w14:paraId="490F447B" w14:textId="77777777" w:rsidR="00B060F3" w:rsidRPr="003B516A" w:rsidRDefault="00F3237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3B516A">
              <w:rPr>
                <w:rFonts w:ascii="Palatino Linotype" w:eastAsia="Palatino Linotype" w:hAnsi="Palatino Linotype" w:cs="Palatino Linotype"/>
                <w:b w:val="0"/>
                <w:u w:val="single"/>
              </w:rPr>
              <w:t xml:space="preserve">no se puede hacer un acuerdo para clasificar de manera general todos los documentos </w:t>
            </w:r>
            <w:r w:rsidRPr="003B516A">
              <w:rPr>
                <w:rFonts w:ascii="Palatino Linotype" w:eastAsia="Palatino Linotype" w:hAnsi="Palatino Linotype" w:cs="Palatino Linotype"/>
                <w:b w:val="0"/>
                <w:u w:val="single"/>
              </w:rPr>
              <w:lastRenderedPageBreak/>
              <w:t xml:space="preserve">de un expediente o área,  </w:t>
            </w:r>
            <w:r w:rsidRPr="003B516A">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B060F3" w:rsidRPr="003B516A" w14:paraId="27C583CB" w14:textId="77777777" w:rsidTr="003B5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5909A1" w14:textId="77777777" w:rsidR="00B060F3" w:rsidRPr="003B516A" w:rsidRDefault="00F32370">
            <w:pPr>
              <w:spacing w:line="360" w:lineRule="auto"/>
              <w:rPr>
                <w:rFonts w:ascii="Palatino Linotype" w:eastAsia="Palatino Linotype" w:hAnsi="Palatino Linotype" w:cs="Palatino Linotype"/>
              </w:rPr>
            </w:pPr>
            <w:r w:rsidRPr="003B516A">
              <w:rPr>
                <w:rFonts w:ascii="Palatino Linotype" w:eastAsia="Palatino Linotype" w:hAnsi="Palatino Linotype" w:cs="Palatino Linotype"/>
                <w:b w:val="0"/>
              </w:rPr>
              <w:lastRenderedPageBreak/>
              <w:t>b) Supuestos de clasificación.</w:t>
            </w:r>
          </w:p>
        </w:tc>
        <w:tc>
          <w:tcPr>
            <w:tcW w:w="7938" w:type="dxa"/>
          </w:tcPr>
          <w:p w14:paraId="50D34BC4" w14:textId="77777777" w:rsidR="00B060F3" w:rsidRPr="003B516A" w:rsidRDefault="00F32370">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550E75CB" w14:textId="77777777" w:rsidR="00B060F3" w:rsidRPr="003B516A" w:rsidRDefault="00F32370">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6C9D38D" w14:textId="77777777" w:rsidR="00B060F3" w:rsidRPr="003B516A" w:rsidRDefault="00F3237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 xml:space="preserve">El </w:t>
            </w:r>
            <w:r w:rsidRPr="003B516A">
              <w:rPr>
                <w:rFonts w:ascii="Palatino Linotype" w:eastAsia="Palatino Linotype" w:hAnsi="Palatino Linotype" w:cs="Palatino Linotype"/>
                <w:b/>
              </w:rPr>
              <w:t>SUJETO OBLIGADO</w:t>
            </w:r>
            <w:r w:rsidRPr="003B516A">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060F3" w:rsidRPr="003B516A" w14:paraId="47D5279D" w14:textId="77777777" w:rsidTr="003B516A">
        <w:tc>
          <w:tcPr>
            <w:cnfStyle w:val="001000000000" w:firstRow="0" w:lastRow="0" w:firstColumn="1" w:lastColumn="0" w:oddVBand="0" w:evenVBand="0" w:oddHBand="0" w:evenHBand="0" w:firstRowFirstColumn="0" w:firstRowLastColumn="0" w:lastRowFirstColumn="0" w:lastRowLastColumn="0"/>
            <w:tcW w:w="1838" w:type="dxa"/>
          </w:tcPr>
          <w:p w14:paraId="5F5DC5BB" w14:textId="77777777" w:rsidR="00B060F3" w:rsidRPr="003B516A" w:rsidRDefault="00F32370">
            <w:pPr>
              <w:spacing w:line="360" w:lineRule="auto"/>
              <w:rPr>
                <w:rFonts w:ascii="Palatino Linotype" w:eastAsia="Palatino Linotype" w:hAnsi="Palatino Linotype" w:cs="Palatino Linotype"/>
              </w:rPr>
            </w:pPr>
            <w:r w:rsidRPr="003B516A">
              <w:rPr>
                <w:rFonts w:ascii="Palatino Linotype" w:eastAsia="Palatino Linotype" w:hAnsi="Palatino Linotype" w:cs="Palatino Linotype"/>
                <w:b w:val="0"/>
              </w:rPr>
              <w:t xml:space="preserve">c) Formalidades para emitir el </w:t>
            </w:r>
            <w:r w:rsidRPr="003B516A">
              <w:rPr>
                <w:rFonts w:ascii="Palatino Linotype" w:eastAsia="Palatino Linotype" w:hAnsi="Palatino Linotype" w:cs="Palatino Linotype"/>
                <w:b w:val="0"/>
              </w:rPr>
              <w:lastRenderedPageBreak/>
              <w:t>acuerdo de clasificación.</w:t>
            </w:r>
          </w:p>
        </w:tc>
        <w:tc>
          <w:tcPr>
            <w:tcW w:w="7938" w:type="dxa"/>
          </w:tcPr>
          <w:p w14:paraId="2B777F9C" w14:textId="77777777" w:rsidR="00B060F3" w:rsidRPr="003B516A" w:rsidRDefault="00F32370">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lastRenderedPageBreak/>
              <w:t xml:space="preserve">El Comité de Transparencia, según lo dispuesto en los artículos cuenta con las facultades para aprobar, modificar o revocar la clasificación de la información que haya propuesto. </w:t>
            </w:r>
          </w:p>
          <w:p w14:paraId="226753FF" w14:textId="77777777" w:rsidR="00B060F3" w:rsidRPr="003B516A" w:rsidRDefault="00F32370">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lastRenderedPageBreak/>
              <w:t xml:space="preserve">Es necesario que </w:t>
            </w:r>
            <w:r w:rsidRPr="003B516A">
              <w:rPr>
                <w:rFonts w:ascii="Palatino Linotype" w:eastAsia="Palatino Linotype" w:hAnsi="Palatino Linotype" w:cs="Palatino Linotype"/>
                <w:b/>
                <w:u w:val="single"/>
              </w:rPr>
              <w:t>el acto reúna con los requisitos elementales</w:t>
            </w:r>
            <w:r w:rsidRPr="003B516A">
              <w:rPr>
                <w:rFonts w:ascii="Palatino Linotype" w:eastAsia="Palatino Linotype" w:hAnsi="Palatino Linotype" w:cs="Palatino Linotype"/>
              </w:rPr>
              <w:t>, entre ellos, que la autoridad que va a emitir el acto de autoridad sea la legalmente facultada para ello.</w:t>
            </w:r>
          </w:p>
          <w:p w14:paraId="710E2CAF" w14:textId="77777777" w:rsidR="00B060F3" w:rsidRPr="003B516A" w:rsidRDefault="00F3237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060F3" w:rsidRPr="003B516A" w14:paraId="53809A86" w14:textId="77777777" w:rsidTr="003B5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75D9D8E" w14:textId="77777777" w:rsidR="00B060F3" w:rsidRPr="003B516A" w:rsidRDefault="00B060F3">
            <w:pPr>
              <w:spacing w:line="360" w:lineRule="auto"/>
              <w:rPr>
                <w:rFonts w:ascii="Palatino Linotype" w:eastAsia="Palatino Linotype" w:hAnsi="Palatino Linotype" w:cs="Palatino Linotype"/>
              </w:rPr>
            </w:pPr>
          </w:p>
          <w:p w14:paraId="3D724387" w14:textId="77777777" w:rsidR="00B060F3" w:rsidRPr="003B516A" w:rsidRDefault="00F32370">
            <w:pPr>
              <w:spacing w:line="360" w:lineRule="auto"/>
              <w:jc w:val="both"/>
              <w:rPr>
                <w:rFonts w:ascii="Palatino Linotype" w:eastAsia="Palatino Linotype" w:hAnsi="Palatino Linotype" w:cs="Palatino Linotype"/>
              </w:rPr>
            </w:pPr>
            <w:r w:rsidRPr="003B516A">
              <w:rPr>
                <w:rFonts w:ascii="Palatino Linotype" w:eastAsia="Palatino Linotype" w:hAnsi="Palatino Linotype" w:cs="Palatino Linotype"/>
                <w:b w:val="0"/>
              </w:rPr>
              <w:t xml:space="preserve">d) Requisitos de fondo del acuerdo de clasificación. </w:t>
            </w:r>
          </w:p>
        </w:tc>
        <w:tc>
          <w:tcPr>
            <w:tcW w:w="7938" w:type="dxa"/>
          </w:tcPr>
          <w:p w14:paraId="63955DF2" w14:textId="77777777" w:rsidR="00B060F3" w:rsidRPr="003B516A" w:rsidRDefault="00F32370">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B516A">
              <w:rPr>
                <w:rFonts w:ascii="Palatino Linotype" w:eastAsia="Palatino Linotype" w:hAnsi="Palatino Linotype" w:cs="Palatino Linotype"/>
                <w:b/>
              </w:rPr>
              <w:t>Sujetos Obligados</w:t>
            </w:r>
            <w:r w:rsidRPr="003B516A">
              <w:rPr>
                <w:rFonts w:ascii="Palatino Linotype" w:eastAsia="Palatino Linotype" w:hAnsi="Palatino Linotype" w:cs="Palatino Linotype"/>
              </w:rPr>
              <w:t xml:space="preserve">, por lo que deberán fundar y motivar debidamente la clasificación. </w:t>
            </w:r>
          </w:p>
          <w:p w14:paraId="7441E6D3" w14:textId="77777777" w:rsidR="00B060F3" w:rsidRPr="003B516A" w:rsidRDefault="00F32370">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 xml:space="preserve">De lo anterior, se desprende que para una correcta </w:t>
            </w:r>
            <w:r w:rsidRPr="003B516A">
              <w:rPr>
                <w:rFonts w:ascii="Palatino Linotype" w:eastAsia="Palatino Linotype" w:hAnsi="Palatino Linotype" w:cs="Palatino Linotype"/>
                <w:b/>
              </w:rPr>
              <w:t>clasificación total o parcial</w:t>
            </w:r>
            <w:r w:rsidRPr="003B516A">
              <w:rPr>
                <w:rFonts w:ascii="Palatino Linotype" w:eastAsia="Palatino Linotype" w:hAnsi="Palatino Linotype" w:cs="Palatino Linotype"/>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3B516A">
              <w:rPr>
                <w:rFonts w:ascii="Palatino Linotype" w:eastAsia="Palatino Linotype" w:hAnsi="Palatino Linotype" w:cs="Palatino Linotype"/>
              </w:rPr>
              <w:lastRenderedPageBreak/>
              <w:t>que le dieron origen y las razones por las que se deben aplicar al caso concreto.</w:t>
            </w:r>
          </w:p>
          <w:p w14:paraId="1F412BA8" w14:textId="77777777" w:rsidR="00B060F3" w:rsidRPr="003B516A" w:rsidRDefault="00F32370">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234A160" w14:textId="77777777" w:rsidR="00B060F3" w:rsidRPr="003B516A" w:rsidRDefault="00F32370">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581FB571" w14:textId="77777777" w:rsidR="00B060F3" w:rsidRPr="003B516A" w:rsidRDefault="00F32370">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 xml:space="preserve">Ahora bien, </w:t>
            </w:r>
            <w:r w:rsidRPr="003B516A">
              <w:rPr>
                <w:rFonts w:ascii="Palatino Linotype" w:eastAsia="Palatino Linotype" w:hAnsi="Palatino Linotype" w:cs="Palatino Linotype"/>
                <w:b/>
                <w:u w:val="single"/>
              </w:rPr>
              <w:t>para cada caso además de fundar y motivar</w:t>
            </w:r>
            <w:r w:rsidRPr="003B516A">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060F3" w:rsidRPr="003B516A" w14:paraId="52DC61CD" w14:textId="77777777" w:rsidTr="003B516A">
        <w:tc>
          <w:tcPr>
            <w:cnfStyle w:val="001000000000" w:firstRow="0" w:lastRow="0" w:firstColumn="1" w:lastColumn="0" w:oddVBand="0" w:evenVBand="0" w:oddHBand="0" w:evenHBand="0" w:firstRowFirstColumn="0" w:firstRowLastColumn="0" w:lastRowFirstColumn="0" w:lastRowLastColumn="0"/>
            <w:tcW w:w="1838" w:type="dxa"/>
          </w:tcPr>
          <w:p w14:paraId="07B4E4CB" w14:textId="77777777" w:rsidR="00B060F3" w:rsidRPr="003B516A" w:rsidRDefault="00F32370">
            <w:pPr>
              <w:spacing w:line="360" w:lineRule="auto"/>
              <w:ind w:right="49"/>
              <w:jc w:val="both"/>
              <w:rPr>
                <w:rFonts w:ascii="Palatino Linotype" w:eastAsia="Palatino Linotype" w:hAnsi="Palatino Linotype" w:cs="Palatino Linotype"/>
              </w:rPr>
            </w:pPr>
            <w:r w:rsidRPr="003B516A">
              <w:rPr>
                <w:rFonts w:ascii="Palatino Linotype" w:eastAsia="Palatino Linotype" w:hAnsi="Palatino Linotype" w:cs="Palatino Linotype"/>
                <w:b w:val="0"/>
              </w:rPr>
              <w:lastRenderedPageBreak/>
              <w:t xml:space="preserve">e) Condiciones especiales de la clasificación de la información </w:t>
            </w:r>
            <w:r w:rsidRPr="003B516A">
              <w:rPr>
                <w:rFonts w:ascii="Palatino Linotype" w:eastAsia="Palatino Linotype" w:hAnsi="Palatino Linotype" w:cs="Palatino Linotype"/>
                <w:b w:val="0"/>
              </w:rPr>
              <w:lastRenderedPageBreak/>
              <w:t xml:space="preserve">como confidencial. </w:t>
            </w:r>
          </w:p>
          <w:p w14:paraId="41B9F89E" w14:textId="77777777" w:rsidR="00B060F3" w:rsidRPr="003B516A" w:rsidRDefault="00B060F3">
            <w:pPr>
              <w:spacing w:line="360" w:lineRule="auto"/>
              <w:rPr>
                <w:rFonts w:ascii="Palatino Linotype" w:eastAsia="Palatino Linotype" w:hAnsi="Palatino Linotype" w:cs="Palatino Linotype"/>
              </w:rPr>
            </w:pPr>
          </w:p>
        </w:tc>
        <w:tc>
          <w:tcPr>
            <w:tcW w:w="7938" w:type="dxa"/>
          </w:tcPr>
          <w:p w14:paraId="16839A12" w14:textId="77777777" w:rsidR="00B060F3" w:rsidRPr="003B516A" w:rsidRDefault="00F32370">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lastRenderedPageBreak/>
              <w:t xml:space="preserve">Los artículos 148 y 120 de la Ley Estatal y de la Ley General, respectivamente, establecen que aun tratándose de datos personales, se podrán proporcionar, incluso sin solicitar el consentimiento de su titular. </w:t>
            </w:r>
          </w:p>
          <w:p w14:paraId="51BA61C1" w14:textId="77777777" w:rsidR="00B060F3" w:rsidRPr="003B516A" w:rsidRDefault="00F32370">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w:t>
            </w:r>
            <w:r w:rsidRPr="003B516A">
              <w:rPr>
                <w:rFonts w:ascii="Palatino Linotype" w:eastAsia="Palatino Linotype" w:hAnsi="Palatino Linotype" w:cs="Palatino Linotype"/>
              </w:rPr>
              <w:lastRenderedPageBreak/>
              <w:t xml:space="preserve">servidores públicos nos encontramos sujetos a un régimen menor de protección. </w:t>
            </w:r>
          </w:p>
          <w:p w14:paraId="7645124F" w14:textId="77777777" w:rsidR="00B060F3" w:rsidRPr="003B516A" w:rsidRDefault="00F3237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3B516A">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BA0CE1C" w14:textId="77777777" w:rsidR="00B060F3" w:rsidRPr="003B516A" w:rsidRDefault="00B060F3">
      <w:pPr>
        <w:rPr>
          <w:rFonts w:ascii="Palatino Linotype" w:eastAsia="Palatino Linotype" w:hAnsi="Palatino Linotype" w:cs="Palatino Linotype"/>
        </w:rPr>
      </w:pPr>
    </w:p>
    <w:p w14:paraId="131003CE" w14:textId="77777777" w:rsidR="00B060F3" w:rsidRPr="003B516A" w:rsidRDefault="00F32370">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rPr>
        <w:t xml:space="preserve">Por lo anteriormente expuesto y fundado, este </w:t>
      </w:r>
      <w:r w:rsidRPr="003B516A">
        <w:rPr>
          <w:rFonts w:ascii="Palatino Linotype" w:eastAsia="Palatino Linotype" w:hAnsi="Palatino Linotype" w:cs="Palatino Linotype"/>
          <w:b/>
        </w:rPr>
        <w:t>ÓRGANO GARANTE</w:t>
      </w:r>
      <w:r w:rsidRPr="003B516A">
        <w:rPr>
          <w:rFonts w:ascii="Palatino Linotype" w:eastAsia="Palatino Linotype" w:hAnsi="Palatino Linotype" w:cs="Palatino Linotype"/>
        </w:rPr>
        <w:t xml:space="preserve"> emite los siguientes:</w:t>
      </w:r>
    </w:p>
    <w:p w14:paraId="686EC495" w14:textId="77777777" w:rsidR="00B060F3" w:rsidRPr="003B516A" w:rsidRDefault="00F32370">
      <w:pPr>
        <w:keepNext/>
        <w:keepLines/>
        <w:spacing w:line="360" w:lineRule="auto"/>
        <w:jc w:val="center"/>
        <w:rPr>
          <w:rFonts w:ascii="Palatino Linotype" w:eastAsia="Palatino Linotype" w:hAnsi="Palatino Linotype" w:cs="Palatino Linotype"/>
          <w:b/>
          <w:color w:val="000000"/>
        </w:rPr>
      </w:pPr>
      <w:bookmarkStart w:id="10" w:name="_heading=h.670hm3qrb0v" w:colFirst="0" w:colLast="0"/>
      <w:bookmarkEnd w:id="10"/>
      <w:r w:rsidRPr="003B516A">
        <w:rPr>
          <w:rFonts w:ascii="Palatino Linotype" w:eastAsia="Palatino Linotype" w:hAnsi="Palatino Linotype" w:cs="Palatino Linotype"/>
          <w:b/>
          <w:color w:val="000000"/>
        </w:rPr>
        <w:t>R E S O L U T I V O S</w:t>
      </w:r>
    </w:p>
    <w:p w14:paraId="7C7884A8" w14:textId="77777777" w:rsidR="00B060F3" w:rsidRPr="003B516A" w:rsidRDefault="00B060F3">
      <w:pPr>
        <w:keepNext/>
        <w:keepLines/>
        <w:spacing w:line="360" w:lineRule="auto"/>
        <w:jc w:val="center"/>
        <w:rPr>
          <w:rFonts w:ascii="Palatino Linotype" w:eastAsia="Palatino Linotype" w:hAnsi="Palatino Linotype" w:cs="Palatino Linotype"/>
          <w:b/>
          <w:color w:val="000000"/>
        </w:rPr>
      </w:pPr>
    </w:p>
    <w:p w14:paraId="36861CE3" w14:textId="77777777" w:rsidR="00B060F3" w:rsidRPr="003B516A" w:rsidRDefault="00F32370">
      <w:pPr>
        <w:spacing w:line="360" w:lineRule="auto"/>
        <w:ind w:right="48"/>
        <w:jc w:val="both"/>
        <w:rPr>
          <w:rFonts w:ascii="Palatino Linotype" w:eastAsia="Palatino Linotype" w:hAnsi="Palatino Linotype" w:cs="Palatino Linotype"/>
        </w:rPr>
      </w:pPr>
      <w:r w:rsidRPr="003B516A">
        <w:rPr>
          <w:rFonts w:ascii="Palatino Linotype" w:eastAsia="Palatino Linotype" w:hAnsi="Palatino Linotype" w:cs="Palatino Linotype"/>
          <w:b/>
        </w:rPr>
        <w:t xml:space="preserve">PRIMERO. </w:t>
      </w:r>
      <w:r w:rsidRPr="003B516A">
        <w:rPr>
          <w:rFonts w:ascii="Palatino Linotype" w:eastAsia="Palatino Linotype" w:hAnsi="Palatino Linotype" w:cs="Palatino Linotype"/>
        </w:rPr>
        <w:t>Resultan parcialmente fundadas las</w:t>
      </w:r>
      <w:r w:rsidRPr="003B516A">
        <w:rPr>
          <w:rFonts w:ascii="Palatino Linotype" w:eastAsia="Palatino Linotype" w:hAnsi="Palatino Linotype" w:cs="Palatino Linotype"/>
          <w:b/>
        </w:rPr>
        <w:t xml:space="preserve"> </w:t>
      </w:r>
      <w:r w:rsidRPr="003B516A">
        <w:rPr>
          <w:rFonts w:ascii="Palatino Linotype" w:eastAsia="Palatino Linotype" w:hAnsi="Palatino Linotype" w:cs="Palatino Linotype"/>
        </w:rPr>
        <w:t xml:space="preserve">razones o motivos de inconformidad hechos valer en el recurso de revisión </w:t>
      </w:r>
      <w:r w:rsidRPr="003B516A">
        <w:rPr>
          <w:rFonts w:ascii="Palatino Linotype" w:eastAsia="Palatino Linotype" w:hAnsi="Palatino Linotype" w:cs="Palatino Linotype"/>
          <w:b/>
        </w:rPr>
        <w:t xml:space="preserve">02133/INFOEM/IP/RR/2025, </w:t>
      </w:r>
      <w:r w:rsidRPr="003B516A">
        <w:rPr>
          <w:rFonts w:ascii="Palatino Linotype" w:eastAsia="Palatino Linotype" w:hAnsi="Palatino Linotype" w:cs="Palatino Linotype"/>
        </w:rPr>
        <w:t xml:space="preserve">en términos del </w:t>
      </w:r>
      <w:r w:rsidRPr="003B516A">
        <w:rPr>
          <w:rFonts w:ascii="Palatino Linotype" w:eastAsia="Palatino Linotype" w:hAnsi="Palatino Linotype" w:cs="Palatino Linotype"/>
          <w:b/>
        </w:rPr>
        <w:t>Considerando</w:t>
      </w:r>
      <w:r w:rsidRPr="003B516A">
        <w:rPr>
          <w:rFonts w:ascii="Palatino Linotype" w:eastAsia="Palatino Linotype" w:hAnsi="Palatino Linotype" w:cs="Palatino Linotype"/>
        </w:rPr>
        <w:t xml:space="preserve"> </w:t>
      </w:r>
      <w:r w:rsidRPr="003B516A">
        <w:rPr>
          <w:rFonts w:ascii="Palatino Linotype" w:eastAsia="Palatino Linotype" w:hAnsi="Palatino Linotype" w:cs="Palatino Linotype"/>
          <w:b/>
        </w:rPr>
        <w:t xml:space="preserve">CUARTO </w:t>
      </w:r>
      <w:r w:rsidRPr="003B516A">
        <w:rPr>
          <w:rFonts w:ascii="Palatino Linotype" w:eastAsia="Palatino Linotype" w:hAnsi="Palatino Linotype" w:cs="Palatino Linotype"/>
        </w:rPr>
        <w:t xml:space="preserve">y </w:t>
      </w:r>
      <w:r w:rsidRPr="003B516A">
        <w:rPr>
          <w:rFonts w:ascii="Palatino Linotype" w:eastAsia="Palatino Linotype" w:hAnsi="Palatino Linotype" w:cs="Palatino Linotype"/>
          <w:b/>
        </w:rPr>
        <w:t xml:space="preserve">QUINTO </w:t>
      </w:r>
      <w:r w:rsidRPr="003B516A">
        <w:rPr>
          <w:rFonts w:ascii="Palatino Linotype" w:eastAsia="Palatino Linotype" w:hAnsi="Palatino Linotype" w:cs="Palatino Linotype"/>
        </w:rPr>
        <w:t>de la presente resolución.</w:t>
      </w:r>
    </w:p>
    <w:p w14:paraId="520F140B" w14:textId="77777777" w:rsidR="00B060F3" w:rsidRPr="003B516A" w:rsidRDefault="00B060F3">
      <w:pPr>
        <w:spacing w:line="360" w:lineRule="auto"/>
        <w:ind w:right="48"/>
        <w:jc w:val="both"/>
        <w:rPr>
          <w:rFonts w:ascii="Palatino Linotype" w:eastAsia="Palatino Linotype" w:hAnsi="Palatino Linotype" w:cs="Palatino Linotype"/>
        </w:rPr>
      </w:pPr>
    </w:p>
    <w:p w14:paraId="2780D332" w14:textId="77777777" w:rsidR="00B060F3" w:rsidRPr="003B516A" w:rsidRDefault="00F32370">
      <w:pPr>
        <w:spacing w:line="360" w:lineRule="auto"/>
        <w:ind w:right="48"/>
        <w:jc w:val="both"/>
        <w:rPr>
          <w:rFonts w:ascii="Palatino Linotype" w:eastAsia="Palatino Linotype" w:hAnsi="Palatino Linotype" w:cs="Palatino Linotype"/>
          <w:b/>
        </w:rPr>
      </w:pPr>
      <w:bookmarkStart w:id="11" w:name="_heading=h.873887fap8zv" w:colFirst="0" w:colLast="0"/>
      <w:bookmarkEnd w:id="11"/>
      <w:r w:rsidRPr="003B516A">
        <w:rPr>
          <w:rFonts w:ascii="Palatino Linotype" w:eastAsia="Palatino Linotype" w:hAnsi="Palatino Linotype" w:cs="Palatino Linotype"/>
          <w:b/>
        </w:rPr>
        <w:t>SEGUNDO.</w:t>
      </w:r>
      <w:r w:rsidRPr="003B516A">
        <w:rPr>
          <w:rFonts w:ascii="Palatino Linotype" w:eastAsia="Palatino Linotype" w:hAnsi="Palatino Linotype" w:cs="Palatino Linotype"/>
          <w:color w:val="2F5496"/>
        </w:rPr>
        <w:t xml:space="preserve"> </w:t>
      </w:r>
      <w:r w:rsidRPr="003B516A">
        <w:rPr>
          <w:rFonts w:ascii="Palatino Linotype" w:eastAsia="Palatino Linotype" w:hAnsi="Palatino Linotype" w:cs="Palatino Linotype"/>
        </w:rPr>
        <w:t>Se</w:t>
      </w:r>
      <w:r w:rsidRPr="003B516A">
        <w:rPr>
          <w:rFonts w:ascii="Palatino Linotype" w:eastAsia="Palatino Linotype" w:hAnsi="Palatino Linotype" w:cs="Palatino Linotype"/>
          <w:b/>
        </w:rPr>
        <w:t xml:space="preserve"> MODIFICA </w:t>
      </w:r>
      <w:r w:rsidRPr="003B516A">
        <w:rPr>
          <w:rFonts w:ascii="Palatino Linotype" w:eastAsia="Palatino Linotype" w:hAnsi="Palatino Linotype" w:cs="Palatino Linotype"/>
        </w:rPr>
        <w:t xml:space="preserve">la respuesta emitida por el </w:t>
      </w:r>
      <w:r w:rsidRPr="003B516A">
        <w:rPr>
          <w:rFonts w:ascii="Palatino Linotype" w:eastAsia="Palatino Linotype" w:hAnsi="Palatino Linotype" w:cs="Palatino Linotype"/>
          <w:b/>
        </w:rPr>
        <w:t xml:space="preserve">Ayuntamiento de Toluca </w:t>
      </w:r>
      <w:r w:rsidRPr="003B516A">
        <w:rPr>
          <w:rFonts w:ascii="Palatino Linotype" w:eastAsia="Palatino Linotype" w:hAnsi="Palatino Linotype" w:cs="Palatino Linotype"/>
        </w:rPr>
        <w:t>y se</w:t>
      </w:r>
      <w:r w:rsidRPr="003B516A">
        <w:rPr>
          <w:rFonts w:ascii="Palatino Linotype" w:eastAsia="Palatino Linotype" w:hAnsi="Palatino Linotype" w:cs="Palatino Linotype"/>
          <w:b/>
        </w:rPr>
        <w:t xml:space="preserve"> ORDENA </w:t>
      </w:r>
      <w:r w:rsidRPr="003B516A">
        <w:rPr>
          <w:rFonts w:ascii="Palatino Linotype" w:eastAsia="Palatino Linotype" w:hAnsi="Palatino Linotype" w:cs="Palatino Linotype"/>
        </w:rPr>
        <w:t>entregar vía Sistema de Accesos a la Información Mexiquense (SAIMEX), de ser procedente en versión pública, la siguiente información:</w:t>
      </w:r>
    </w:p>
    <w:p w14:paraId="494A9C88" w14:textId="4DD7F9A8" w:rsidR="00F97368" w:rsidRPr="003B516A" w:rsidRDefault="00F97368" w:rsidP="00BD4C52">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rPr>
      </w:pPr>
    </w:p>
    <w:p w14:paraId="73CBC10D" w14:textId="77777777" w:rsidR="00B060F3" w:rsidRPr="003B516A" w:rsidRDefault="00F32370">
      <w:pPr>
        <w:numPr>
          <w:ilvl w:val="0"/>
          <w:numId w:val="8"/>
        </w:num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rPr>
      </w:pPr>
      <w:r w:rsidRPr="003B516A">
        <w:rPr>
          <w:rFonts w:ascii="Palatino Linotype" w:eastAsia="Palatino Linotype" w:hAnsi="Palatino Linotype" w:cs="Palatino Linotype"/>
          <w:b/>
          <w:color w:val="000000"/>
        </w:rPr>
        <w:t xml:space="preserve">Soporte documental donde conste las sanciones a servidores públicos, del ejercicio fiscal 2019-2021, derivadas de procedimientos que hayan causado estado: </w:t>
      </w:r>
    </w:p>
    <w:p w14:paraId="6AB9FDF1" w14:textId="77777777" w:rsidR="00B060F3" w:rsidRPr="003B516A" w:rsidRDefault="00B060F3">
      <w:pPr>
        <w:spacing w:line="360" w:lineRule="auto"/>
        <w:ind w:right="822"/>
        <w:jc w:val="both"/>
        <w:rPr>
          <w:rFonts w:ascii="Palatino Linotype" w:eastAsia="Palatino Linotype" w:hAnsi="Palatino Linotype" w:cs="Palatino Linotype"/>
          <w:b/>
        </w:rPr>
      </w:pPr>
    </w:p>
    <w:p w14:paraId="7C4FE7E1" w14:textId="77777777" w:rsidR="00B060F3" w:rsidRPr="003B516A" w:rsidRDefault="00F32370">
      <w:pPr>
        <w:numPr>
          <w:ilvl w:val="0"/>
          <w:numId w:val="10"/>
        </w:numPr>
        <w:pBdr>
          <w:top w:val="nil"/>
          <w:left w:val="nil"/>
          <w:bottom w:val="nil"/>
          <w:right w:val="nil"/>
          <w:between w:val="nil"/>
        </w:pBdr>
        <w:spacing w:line="360" w:lineRule="auto"/>
        <w:ind w:left="851" w:right="900" w:firstLine="0"/>
        <w:jc w:val="both"/>
        <w:rPr>
          <w:rFonts w:ascii="Palatino Linotype" w:eastAsia="Palatino Linotype" w:hAnsi="Palatino Linotype" w:cs="Palatino Linotype"/>
          <w:b/>
        </w:rPr>
      </w:pPr>
      <w:r w:rsidRPr="003B516A">
        <w:rPr>
          <w:rFonts w:ascii="Palatino Linotype" w:eastAsia="Palatino Linotype" w:hAnsi="Palatino Linotype" w:cs="Palatino Linotype"/>
          <w:b/>
        </w:rPr>
        <w:lastRenderedPageBreak/>
        <w:t xml:space="preserve">Para el caso de las sanciones derivadas de faltas administrativas graves, deberá entregar la información en versión pública.  </w:t>
      </w:r>
    </w:p>
    <w:p w14:paraId="207FA112" w14:textId="77777777" w:rsidR="00B060F3" w:rsidRPr="003B516A" w:rsidRDefault="00B060F3">
      <w:pPr>
        <w:pBdr>
          <w:top w:val="nil"/>
          <w:left w:val="nil"/>
          <w:bottom w:val="nil"/>
          <w:right w:val="nil"/>
          <w:between w:val="nil"/>
        </w:pBdr>
        <w:spacing w:line="360" w:lineRule="auto"/>
        <w:ind w:left="851" w:right="900"/>
        <w:jc w:val="both"/>
        <w:rPr>
          <w:rFonts w:ascii="Palatino Linotype" w:eastAsia="Palatino Linotype" w:hAnsi="Palatino Linotype" w:cs="Palatino Linotype"/>
          <w:b/>
        </w:rPr>
      </w:pPr>
    </w:p>
    <w:p w14:paraId="5B52EC9B" w14:textId="79D4EC1B" w:rsidR="00B060F3" w:rsidRPr="003B516A" w:rsidRDefault="00F32370">
      <w:pPr>
        <w:numPr>
          <w:ilvl w:val="0"/>
          <w:numId w:val="10"/>
        </w:numPr>
        <w:pBdr>
          <w:top w:val="nil"/>
          <w:left w:val="nil"/>
          <w:bottom w:val="nil"/>
          <w:right w:val="nil"/>
          <w:between w:val="nil"/>
        </w:pBdr>
        <w:spacing w:line="360" w:lineRule="auto"/>
        <w:ind w:left="851" w:right="900" w:firstLine="0"/>
        <w:jc w:val="both"/>
        <w:rPr>
          <w:rFonts w:ascii="Palatino Linotype" w:eastAsia="Palatino Linotype" w:hAnsi="Palatino Linotype" w:cs="Palatino Linotype"/>
          <w:b/>
        </w:rPr>
      </w:pPr>
      <w:bookmarkStart w:id="12" w:name="_heading=h.vdrv54q7n6qc" w:colFirst="0" w:colLast="0"/>
      <w:bookmarkEnd w:id="12"/>
      <w:r w:rsidRPr="003B516A">
        <w:rPr>
          <w:rFonts w:ascii="Palatino Linotype" w:eastAsia="Palatino Linotype" w:hAnsi="Palatino Linotype" w:cs="Palatino Linotype"/>
          <w:b/>
        </w:rPr>
        <w:t>Acuerdo mediante el cual se clasifiquen como reservados las sanciones que deriven de procedimientos administrativos que no han causado estado</w:t>
      </w:r>
      <w:r w:rsidR="00370E5D" w:rsidRPr="003B516A">
        <w:rPr>
          <w:rFonts w:ascii="Palatino Linotype" w:eastAsia="Palatino Linotype" w:hAnsi="Palatino Linotype" w:cs="Palatino Linotype"/>
          <w:b/>
        </w:rPr>
        <w:t xml:space="preserve"> y </w:t>
      </w:r>
      <w:r w:rsidR="00C666ED" w:rsidRPr="003B516A">
        <w:rPr>
          <w:rFonts w:ascii="Palatino Linotype" w:eastAsia="Palatino Linotype" w:hAnsi="Palatino Linotype" w:cs="Palatino Linotype"/>
          <w:b/>
        </w:rPr>
        <w:t>que deriven de procedimientos por faltas no graves</w:t>
      </w:r>
      <w:r w:rsidRPr="003B516A">
        <w:rPr>
          <w:rFonts w:ascii="Palatino Linotype" w:eastAsia="Palatino Linotype" w:hAnsi="Palatino Linotype" w:cs="Palatino Linotype"/>
          <w:b/>
        </w:rPr>
        <w:t xml:space="preserve">, siempre y </w:t>
      </w:r>
      <w:r w:rsidRPr="003B516A">
        <w:rPr>
          <w:rFonts w:ascii="Palatino Linotype" w:eastAsia="Palatino Linotype" w:hAnsi="Palatino Linotype" w:cs="Palatino Linotype"/>
          <w:b/>
          <w:i/>
        </w:rPr>
        <w:t xml:space="preserve">cuando no se configure alguno de los supuestos contemplados en el artículo 142 de la Ley de la materia, </w:t>
      </w:r>
      <w:r w:rsidRPr="003B516A">
        <w:rPr>
          <w:rFonts w:ascii="Palatino Linotype" w:eastAsia="Palatino Linotype" w:hAnsi="Palatino Linotype" w:cs="Palatino Linotype"/>
          <w:b/>
        </w:rPr>
        <w:t>en caso contrario deberá hacer entrega de las mismas en versión pública, conforme a lo establecido en considerando quinto de la presente resolución.</w:t>
      </w:r>
      <w:r w:rsidRPr="003B516A">
        <w:rPr>
          <w:rFonts w:ascii="Palatino Linotype" w:eastAsia="Palatino Linotype" w:hAnsi="Palatino Linotype" w:cs="Palatino Linotype"/>
          <w:b/>
          <w:i/>
        </w:rPr>
        <w:t xml:space="preserve"> </w:t>
      </w:r>
    </w:p>
    <w:p w14:paraId="174BD193" w14:textId="77777777" w:rsidR="00B060F3" w:rsidRPr="003B516A" w:rsidRDefault="00B060F3">
      <w:pPr>
        <w:spacing w:line="360" w:lineRule="auto"/>
        <w:ind w:left="851" w:right="822"/>
        <w:jc w:val="both"/>
        <w:rPr>
          <w:rFonts w:ascii="Palatino Linotype" w:eastAsia="Palatino Linotype" w:hAnsi="Palatino Linotype" w:cs="Palatino Linotype"/>
          <w:b/>
        </w:rPr>
      </w:pPr>
    </w:p>
    <w:p w14:paraId="52B3B105" w14:textId="77777777" w:rsidR="00B060F3" w:rsidRPr="003B516A" w:rsidRDefault="00F32370">
      <w:pPr>
        <w:spacing w:line="360" w:lineRule="auto"/>
        <w:jc w:val="both"/>
        <w:rPr>
          <w:rFonts w:ascii="Palatino Linotype" w:eastAsia="Palatino Linotype" w:hAnsi="Palatino Linotype" w:cs="Palatino Linotype"/>
        </w:rPr>
      </w:pPr>
      <w:r w:rsidRPr="003B516A">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29AE4A2" w14:textId="77777777" w:rsidR="00B060F3" w:rsidRPr="003B516A" w:rsidRDefault="00B060F3">
      <w:pPr>
        <w:tabs>
          <w:tab w:val="left" w:pos="8080"/>
        </w:tabs>
        <w:spacing w:line="360" w:lineRule="auto"/>
        <w:ind w:right="48"/>
        <w:jc w:val="both"/>
        <w:rPr>
          <w:rFonts w:ascii="Palatino Linotype" w:eastAsia="Palatino Linotype" w:hAnsi="Palatino Linotype" w:cs="Palatino Linotype"/>
          <w:b/>
        </w:rPr>
      </w:pPr>
    </w:p>
    <w:p w14:paraId="1B41F033" w14:textId="77777777" w:rsidR="00B060F3" w:rsidRPr="003B516A" w:rsidRDefault="00F32370">
      <w:pPr>
        <w:tabs>
          <w:tab w:val="left" w:pos="8080"/>
        </w:tabs>
        <w:spacing w:line="360" w:lineRule="auto"/>
        <w:ind w:right="48"/>
        <w:jc w:val="both"/>
        <w:rPr>
          <w:rFonts w:ascii="Palatino Linotype" w:eastAsia="Palatino Linotype" w:hAnsi="Palatino Linotype" w:cs="Palatino Linotype"/>
          <w:color w:val="222222"/>
        </w:rPr>
      </w:pPr>
      <w:r w:rsidRPr="003B516A">
        <w:rPr>
          <w:rFonts w:ascii="Palatino Linotype" w:eastAsia="Palatino Linotype" w:hAnsi="Palatino Linotype" w:cs="Palatino Linotype"/>
          <w:b/>
        </w:rPr>
        <w:t xml:space="preserve">TERCERO. Notifíquese </w:t>
      </w:r>
      <w:r w:rsidRPr="003B516A">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B516A">
        <w:rPr>
          <w:rFonts w:ascii="Palatino Linotype" w:eastAsia="Palatino Linotype" w:hAnsi="Palatino Linotype" w:cs="Palatino Linotype"/>
          <w:b/>
        </w:rPr>
        <w:t>dé cumplimiento a lo ordenado dentro del plazo de diez días hábiles,</w:t>
      </w:r>
      <w:r w:rsidRPr="003B516A">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3B516A">
        <w:rPr>
          <w:rFonts w:ascii="Palatino Linotype" w:eastAsia="Palatino Linotype" w:hAnsi="Palatino Linotype" w:cs="Palatino Linotype"/>
        </w:rPr>
        <w:lastRenderedPageBreak/>
        <w:t>conformidad con lo previsto en los artículos 198, 200, fracción III; 214, 215 y 216 de la Ley de Transparencia y Acceso a la Información Pública del Estado de México y Municipios.</w:t>
      </w:r>
    </w:p>
    <w:p w14:paraId="4BA883BB" w14:textId="77777777" w:rsidR="00B060F3" w:rsidRPr="003B516A" w:rsidRDefault="00B060F3">
      <w:pPr>
        <w:tabs>
          <w:tab w:val="left" w:pos="8080"/>
        </w:tabs>
        <w:spacing w:line="360" w:lineRule="auto"/>
        <w:ind w:right="48"/>
        <w:jc w:val="both"/>
        <w:rPr>
          <w:rFonts w:ascii="Palatino Linotype" w:eastAsia="Palatino Linotype" w:hAnsi="Palatino Linotype" w:cs="Palatino Linotype"/>
          <w:color w:val="222222"/>
        </w:rPr>
      </w:pPr>
    </w:p>
    <w:p w14:paraId="1AD28769" w14:textId="77777777" w:rsidR="00B060F3" w:rsidRPr="003B516A" w:rsidRDefault="00F32370">
      <w:pPr>
        <w:shd w:val="clear" w:color="auto" w:fill="FFFFFF"/>
        <w:spacing w:line="360" w:lineRule="auto"/>
        <w:ind w:right="48"/>
        <w:jc w:val="both"/>
        <w:rPr>
          <w:rFonts w:ascii="Palatino Linotype" w:eastAsia="Palatino Linotype" w:hAnsi="Palatino Linotype" w:cs="Palatino Linotype"/>
        </w:rPr>
      </w:pPr>
      <w:r w:rsidRPr="003B516A">
        <w:rPr>
          <w:rFonts w:ascii="Palatino Linotype" w:eastAsia="Palatino Linotype" w:hAnsi="Palatino Linotype" w:cs="Palatino Linotype"/>
          <w:b/>
        </w:rPr>
        <w:t>CUARTO. Notifíquese al RECURRENTE</w:t>
      </w:r>
      <w:r w:rsidRPr="003B516A">
        <w:rPr>
          <w:rFonts w:ascii="Palatino Linotype" w:eastAsia="Palatino Linotype" w:hAnsi="Palatino Linotype" w:cs="Palatino Linotype"/>
        </w:rPr>
        <w:t xml:space="preserve"> la presente resolución vía SAIMEX.</w:t>
      </w:r>
    </w:p>
    <w:p w14:paraId="19A17EE5" w14:textId="77777777" w:rsidR="00B060F3" w:rsidRPr="003B516A" w:rsidRDefault="00B060F3">
      <w:pPr>
        <w:shd w:val="clear" w:color="auto" w:fill="FFFFFF"/>
        <w:spacing w:line="360" w:lineRule="auto"/>
        <w:ind w:right="48"/>
        <w:jc w:val="both"/>
        <w:rPr>
          <w:rFonts w:ascii="Palatino Linotype" w:eastAsia="Palatino Linotype" w:hAnsi="Palatino Linotype" w:cs="Palatino Linotype"/>
          <w:b/>
          <w:color w:val="FF0000"/>
        </w:rPr>
      </w:pPr>
    </w:p>
    <w:p w14:paraId="638DD00F" w14:textId="77777777" w:rsidR="00B060F3" w:rsidRPr="003B516A" w:rsidRDefault="00F32370">
      <w:pPr>
        <w:spacing w:line="360" w:lineRule="auto"/>
        <w:ind w:right="48"/>
        <w:jc w:val="both"/>
        <w:rPr>
          <w:rFonts w:ascii="Palatino Linotype" w:eastAsia="Palatino Linotype" w:hAnsi="Palatino Linotype" w:cs="Palatino Linotype"/>
        </w:rPr>
      </w:pPr>
      <w:r w:rsidRPr="003B516A">
        <w:rPr>
          <w:rFonts w:ascii="Palatino Linotype" w:eastAsia="Palatino Linotype" w:hAnsi="Palatino Linotype" w:cs="Palatino Linotype"/>
          <w:b/>
        </w:rPr>
        <w:t>QUINTO.</w:t>
      </w:r>
      <w:r w:rsidRPr="003B516A">
        <w:rPr>
          <w:rFonts w:ascii="Palatino Linotype" w:eastAsia="Palatino Linotype" w:hAnsi="Palatino Linotype" w:cs="Palatino Linotype"/>
        </w:rPr>
        <w:t xml:space="preserve"> Se hace del conocimiento del </w:t>
      </w:r>
      <w:r w:rsidRPr="003B516A">
        <w:rPr>
          <w:rFonts w:ascii="Palatino Linotype" w:eastAsia="Palatino Linotype" w:hAnsi="Palatino Linotype" w:cs="Palatino Linotype"/>
          <w:b/>
        </w:rPr>
        <w:t>RECURRENTE</w:t>
      </w:r>
      <w:r w:rsidRPr="003B516A">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273CA7B" w14:textId="77777777" w:rsidR="00B060F3" w:rsidRPr="003B516A" w:rsidRDefault="00B060F3">
      <w:pPr>
        <w:spacing w:line="360" w:lineRule="auto"/>
        <w:ind w:right="48"/>
        <w:jc w:val="both"/>
        <w:rPr>
          <w:rFonts w:ascii="Palatino Linotype" w:eastAsia="Palatino Linotype" w:hAnsi="Palatino Linotype" w:cs="Palatino Linotype"/>
          <w:color w:val="000000"/>
        </w:rPr>
      </w:pPr>
    </w:p>
    <w:p w14:paraId="3F2BB443" w14:textId="77777777" w:rsidR="00B060F3" w:rsidRPr="003B516A" w:rsidRDefault="00F32370">
      <w:pPr>
        <w:spacing w:line="360" w:lineRule="auto"/>
        <w:ind w:right="48"/>
        <w:jc w:val="both"/>
        <w:rPr>
          <w:rFonts w:ascii="Palatino Linotype" w:eastAsia="Palatino Linotype" w:hAnsi="Palatino Linotype" w:cs="Palatino Linotype"/>
        </w:rPr>
      </w:pPr>
      <w:r w:rsidRPr="003B516A">
        <w:rPr>
          <w:rFonts w:ascii="Palatino Linotype" w:eastAsia="Palatino Linotype" w:hAnsi="Palatino Linotype" w:cs="Palatino Linotype"/>
          <w:b/>
          <w:color w:val="000000"/>
        </w:rPr>
        <w:t xml:space="preserve">SEXTO. </w:t>
      </w:r>
      <w:r w:rsidRPr="003B516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AF578B" w14:textId="77777777" w:rsidR="00B060F3" w:rsidRPr="003B516A" w:rsidRDefault="00B060F3">
      <w:pPr>
        <w:shd w:val="clear" w:color="auto" w:fill="FFFFFF"/>
        <w:spacing w:line="360" w:lineRule="auto"/>
        <w:jc w:val="both"/>
        <w:rPr>
          <w:rFonts w:ascii="Palatino Linotype" w:eastAsia="Palatino Linotype" w:hAnsi="Palatino Linotype" w:cs="Palatino Linotype"/>
        </w:rPr>
      </w:pPr>
    </w:p>
    <w:p w14:paraId="0740BE96" w14:textId="34DB9D9B" w:rsidR="00761B1C" w:rsidRPr="003B516A" w:rsidRDefault="00761B1C" w:rsidP="00761B1C">
      <w:pPr>
        <w:spacing w:before="240" w:after="240" w:line="360" w:lineRule="auto"/>
        <w:ind w:firstLine="1"/>
        <w:jc w:val="both"/>
        <w:rPr>
          <w:rFonts w:ascii="Palatino Linotype" w:hAnsi="Palatino Linotype"/>
        </w:rPr>
      </w:pPr>
      <w:bookmarkStart w:id="13" w:name="_Hlk99014733"/>
      <w:r w:rsidRPr="003B516A">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6341F" w:rsidRPr="003B516A">
        <w:rPr>
          <w:rFonts w:ascii="Palatino Linotype" w:hAnsi="Palatino Linotype" w:cs="Palatino Linotype"/>
        </w:rPr>
        <w:t xml:space="preserve"> EMITIENDO VOTO PARTICULAR</w:t>
      </w:r>
      <w:r w:rsidRPr="003B516A">
        <w:rPr>
          <w:rFonts w:ascii="Palatino Linotype" w:hAnsi="Palatino Linotype" w:cs="Palatino Linotype"/>
        </w:rPr>
        <w:t>, SHARON CRISTINA MORALES MARTÍNEZ, LUIS GUSTAVO PARRA NORIEGA</w:t>
      </w:r>
      <w:r w:rsidR="00B6341F" w:rsidRPr="003B516A">
        <w:rPr>
          <w:rFonts w:ascii="Palatino Linotype" w:hAnsi="Palatino Linotype" w:cs="Palatino Linotype"/>
        </w:rPr>
        <w:t xml:space="preserve"> EMITIENDO VOTO PARTICULAR</w:t>
      </w:r>
      <w:r w:rsidRPr="003B516A">
        <w:rPr>
          <w:rFonts w:ascii="Palatino Linotype" w:hAnsi="Palatino Linotype" w:cs="Palatino Linotype"/>
        </w:rPr>
        <w:t xml:space="preserve"> Y GUADALUPE RAMÍREZ PEÑA; EN LA VIGÉSIMA SEXTA SESIÓN ORDINARIA, CELEBRADA EL DIECISÉIS (16) DE JULIO DE DOS MIL VEINTICINCO, ANTE EL SECRETARIO TÉCNICO DEL PLENO </w:t>
      </w:r>
      <w:r w:rsidRPr="003B516A">
        <w:rPr>
          <w:rFonts w:ascii="Palatino Linotype" w:hAnsi="Palatino Linotype" w:cs="Palatino Linotype"/>
          <w:color w:val="000000" w:themeColor="text1"/>
        </w:rPr>
        <w:t>ALEXIS TAPIA RAMÍREZ.</w:t>
      </w:r>
    </w:p>
    <w:p w14:paraId="59DC31B8" w14:textId="77777777" w:rsidR="00761B1C" w:rsidRPr="003B516A" w:rsidRDefault="00761B1C" w:rsidP="00761B1C">
      <w:pPr>
        <w:spacing w:before="240" w:after="240" w:line="360" w:lineRule="auto"/>
        <w:ind w:firstLine="1"/>
        <w:jc w:val="both"/>
        <w:rPr>
          <w:rFonts w:ascii="Palatino Linotype" w:hAnsi="Palatino Linotype"/>
        </w:rPr>
      </w:pPr>
    </w:p>
    <w:bookmarkEnd w:id="13"/>
    <w:p w14:paraId="378FFDE9" w14:textId="77777777" w:rsidR="00B060F3" w:rsidRPr="003B516A" w:rsidRDefault="00B060F3">
      <w:pPr>
        <w:spacing w:line="360" w:lineRule="auto"/>
        <w:rPr>
          <w:rFonts w:ascii="Palatino Linotype" w:eastAsia="Palatino Linotype" w:hAnsi="Palatino Linotype" w:cs="Palatino Linotype"/>
        </w:rPr>
      </w:pPr>
    </w:p>
    <w:p w14:paraId="2A0CA099" w14:textId="77777777" w:rsidR="00B060F3" w:rsidRPr="003B516A" w:rsidRDefault="00B060F3">
      <w:pPr>
        <w:spacing w:line="360" w:lineRule="auto"/>
      </w:pPr>
    </w:p>
    <w:p w14:paraId="4179D5F7" w14:textId="77777777" w:rsidR="00B060F3" w:rsidRPr="003B516A" w:rsidRDefault="00B060F3">
      <w:pPr>
        <w:spacing w:line="360" w:lineRule="auto"/>
      </w:pPr>
    </w:p>
    <w:p w14:paraId="7A122A09" w14:textId="77777777" w:rsidR="00B060F3" w:rsidRPr="003B516A" w:rsidRDefault="00B060F3">
      <w:pPr>
        <w:spacing w:line="360" w:lineRule="auto"/>
      </w:pPr>
    </w:p>
    <w:p w14:paraId="25E39C26" w14:textId="77777777" w:rsidR="00B060F3" w:rsidRPr="003B516A" w:rsidRDefault="00B060F3">
      <w:pPr>
        <w:spacing w:line="360" w:lineRule="auto"/>
      </w:pPr>
    </w:p>
    <w:p w14:paraId="27EA2177" w14:textId="77777777" w:rsidR="00B060F3" w:rsidRPr="003B516A" w:rsidRDefault="00B060F3">
      <w:pPr>
        <w:spacing w:line="360" w:lineRule="auto"/>
      </w:pPr>
    </w:p>
    <w:p w14:paraId="5C12ACE4" w14:textId="77777777" w:rsidR="00B060F3" w:rsidRPr="003B516A" w:rsidRDefault="00B060F3">
      <w:pPr>
        <w:spacing w:line="360" w:lineRule="auto"/>
      </w:pPr>
    </w:p>
    <w:p w14:paraId="537F9ECA" w14:textId="77777777" w:rsidR="00B060F3" w:rsidRPr="003B516A" w:rsidRDefault="00B060F3">
      <w:pPr>
        <w:spacing w:line="360" w:lineRule="auto"/>
      </w:pPr>
    </w:p>
    <w:p w14:paraId="61FB7DCD" w14:textId="77777777" w:rsidR="00B060F3" w:rsidRPr="003B516A" w:rsidRDefault="00B060F3">
      <w:pPr>
        <w:spacing w:line="360" w:lineRule="auto"/>
      </w:pPr>
    </w:p>
    <w:p w14:paraId="08161A30" w14:textId="77777777" w:rsidR="00B060F3" w:rsidRPr="003B516A" w:rsidRDefault="00B060F3">
      <w:pPr>
        <w:spacing w:line="360" w:lineRule="auto"/>
      </w:pPr>
    </w:p>
    <w:p w14:paraId="52F74874" w14:textId="77777777" w:rsidR="00B060F3" w:rsidRPr="003B516A" w:rsidRDefault="00B060F3"/>
    <w:p w14:paraId="73A359A3" w14:textId="77777777" w:rsidR="00B060F3" w:rsidRPr="003B516A" w:rsidRDefault="00B060F3"/>
    <w:p w14:paraId="5CB2B7B3" w14:textId="77777777" w:rsidR="00B060F3" w:rsidRPr="003B516A" w:rsidRDefault="00B060F3"/>
    <w:p w14:paraId="4F3E4709" w14:textId="77777777" w:rsidR="00B060F3" w:rsidRPr="003B516A" w:rsidRDefault="00B060F3"/>
    <w:sectPr w:rsidR="00B060F3" w:rsidRPr="003B516A" w:rsidSect="003B516A">
      <w:headerReference w:type="even" r:id="rId18"/>
      <w:headerReference w:type="default" r:id="rId19"/>
      <w:footerReference w:type="default" r:id="rId20"/>
      <w:headerReference w:type="first" r:id="rId21"/>
      <w:footerReference w:type="first" r:id="rId22"/>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6F01F" w14:textId="77777777" w:rsidR="002258F1" w:rsidRDefault="002258F1">
      <w:r>
        <w:separator/>
      </w:r>
    </w:p>
  </w:endnote>
  <w:endnote w:type="continuationSeparator" w:id="0">
    <w:p w14:paraId="7E43B2E4" w14:textId="77777777" w:rsidR="002258F1" w:rsidRDefault="0022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A8170" w14:textId="77777777" w:rsidR="00B060F3" w:rsidRDefault="00F3237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B516A">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B516A">
      <w:rPr>
        <w:b/>
        <w:noProof/>
        <w:color w:val="000000"/>
      </w:rPr>
      <w:t>41</w:t>
    </w:r>
    <w:r>
      <w:rPr>
        <w:b/>
        <w:color w:val="000000"/>
      </w:rPr>
      <w:fldChar w:fldCharType="end"/>
    </w:r>
  </w:p>
  <w:p w14:paraId="55F45843" w14:textId="77777777" w:rsidR="00B060F3" w:rsidRDefault="00B060F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AC762" w14:textId="77777777" w:rsidR="00B060F3" w:rsidRDefault="00F3237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B516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B516A">
      <w:rPr>
        <w:b/>
        <w:noProof/>
        <w:color w:val="000000"/>
      </w:rPr>
      <w:t>41</w:t>
    </w:r>
    <w:r>
      <w:rPr>
        <w:b/>
        <w:color w:val="000000"/>
      </w:rPr>
      <w:fldChar w:fldCharType="end"/>
    </w:r>
  </w:p>
  <w:p w14:paraId="118FBEDD" w14:textId="77777777" w:rsidR="00B060F3" w:rsidRDefault="00B060F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E08B8" w14:textId="77777777" w:rsidR="002258F1" w:rsidRDefault="002258F1">
      <w:r>
        <w:separator/>
      </w:r>
    </w:p>
  </w:footnote>
  <w:footnote w:type="continuationSeparator" w:id="0">
    <w:p w14:paraId="5B989794" w14:textId="77777777" w:rsidR="002258F1" w:rsidRDefault="002258F1">
      <w:r>
        <w:continuationSeparator/>
      </w:r>
    </w:p>
  </w:footnote>
  <w:footnote w:id="1">
    <w:p w14:paraId="32D76ACC" w14:textId="77777777" w:rsidR="00B060F3" w:rsidRDefault="00F3237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0D28EFD3" w14:textId="77777777" w:rsidR="00B060F3" w:rsidRDefault="00F3237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14:paraId="768531B7" w14:textId="77777777" w:rsidR="00B060F3" w:rsidRDefault="00F3237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651A5" w14:textId="77777777" w:rsidR="00B060F3" w:rsidRDefault="002258F1">
    <w:pPr>
      <w:pBdr>
        <w:top w:val="nil"/>
        <w:left w:val="nil"/>
        <w:bottom w:val="nil"/>
        <w:right w:val="nil"/>
        <w:between w:val="nil"/>
      </w:pBdr>
      <w:tabs>
        <w:tab w:val="center" w:pos="4419"/>
        <w:tab w:val="right" w:pos="8838"/>
      </w:tabs>
      <w:rPr>
        <w:color w:val="000000"/>
      </w:rPr>
    </w:pPr>
    <w:r>
      <w:rPr>
        <w:color w:val="000000"/>
      </w:rPr>
      <w:pict w14:anchorId="3B3D6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065" w:type="dxa"/>
      <w:tblInd w:w="0" w:type="dxa"/>
      <w:tblLayout w:type="fixed"/>
      <w:tblLook w:val="0400" w:firstRow="0" w:lastRow="0" w:firstColumn="0" w:lastColumn="0" w:noHBand="0" w:noVBand="1"/>
    </w:tblPr>
    <w:tblGrid>
      <w:gridCol w:w="2268"/>
      <w:gridCol w:w="7797"/>
    </w:tblGrid>
    <w:tr w:rsidR="00B060F3" w14:paraId="4C539B37" w14:textId="77777777" w:rsidTr="003B516A">
      <w:trPr>
        <w:trHeight w:val="1435"/>
      </w:trPr>
      <w:tc>
        <w:tcPr>
          <w:tcW w:w="2268" w:type="dxa"/>
          <w:shd w:val="clear" w:color="auto" w:fill="auto"/>
        </w:tcPr>
        <w:p w14:paraId="3A741F04" w14:textId="586E1A8D" w:rsidR="00B060F3" w:rsidRDefault="00B060F3">
          <w:pPr>
            <w:tabs>
              <w:tab w:val="right" w:pos="4273"/>
            </w:tabs>
            <w:rPr>
              <w:rFonts w:ascii="Garamond" w:eastAsia="Garamond" w:hAnsi="Garamond" w:cs="Garamond"/>
              <w:sz w:val="16"/>
              <w:szCs w:val="16"/>
            </w:rPr>
          </w:pPr>
        </w:p>
      </w:tc>
      <w:tc>
        <w:tcPr>
          <w:tcW w:w="7797" w:type="dxa"/>
          <w:shd w:val="clear" w:color="auto" w:fill="auto"/>
        </w:tcPr>
        <w:tbl>
          <w:tblPr>
            <w:tblStyle w:val="a2"/>
            <w:tblW w:w="6933" w:type="dxa"/>
            <w:tblInd w:w="1161" w:type="dxa"/>
            <w:tblLayout w:type="fixed"/>
            <w:tblLook w:val="0400" w:firstRow="0" w:lastRow="0" w:firstColumn="0" w:lastColumn="0" w:noHBand="0" w:noVBand="1"/>
          </w:tblPr>
          <w:tblGrid>
            <w:gridCol w:w="2822"/>
            <w:gridCol w:w="4111"/>
          </w:tblGrid>
          <w:tr w:rsidR="00B060F3" w14:paraId="0569B758" w14:textId="77777777" w:rsidTr="003B516A">
            <w:trPr>
              <w:trHeight w:val="150"/>
            </w:trPr>
            <w:tc>
              <w:tcPr>
                <w:tcW w:w="2822" w:type="dxa"/>
                <w:shd w:val="clear" w:color="auto" w:fill="auto"/>
              </w:tcPr>
              <w:p w14:paraId="303B9FFD" w14:textId="77777777" w:rsidR="00B060F3" w:rsidRPr="003B516A" w:rsidRDefault="00F32370">
                <w:pPr>
                  <w:tabs>
                    <w:tab w:val="right" w:pos="8838"/>
                  </w:tabs>
                  <w:ind w:right="-105"/>
                  <w:rPr>
                    <w:rFonts w:ascii="Palatino Linotype" w:eastAsia="Palatino Linotype" w:hAnsi="Palatino Linotype" w:cs="Palatino Linotype"/>
                    <w:b/>
                    <w:szCs w:val="22"/>
                  </w:rPr>
                </w:pPr>
                <w:r w:rsidRPr="003B516A">
                  <w:rPr>
                    <w:rFonts w:ascii="Palatino Linotype" w:eastAsia="Palatino Linotype" w:hAnsi="Palatino Linotype" w:cs="Palatino Linotype"/>
                    <w:b/>
                    <w:szCs w:val="22"/>
                  </w:rPr>
                  <w:t>Recurso de Revisión:</w:t>
                </w:r>
              </w:p>
            </w:tc>
            <w:tc>
              <w:tcPr>
                <w:tcW w:w="4111" w:type="dxa"/>
                <w:shd w:val="clear" w:color="auto" w:fill="auto"/>
              </w:tcPr>
              <w:p w14:paraId="7A7569D3" w14:textId="77777777" w:rsidR="00B060F3" w:rsidRPr="003B516A" w:rsidRDefault="00F32370">
                <w:pPr>
                  <w:tabs>
                    <w:tab w:val="right" w:pos="8838"/>
                  </w:tabs>
                  <w:ind w:left="-108" w:right="-102"/>
                  <w:jc w:val="both"/>
                  <w:rPr>
                    <w:rFonts w:ascii="Palatino Linotype" w:eastAsia="Palatino Linotype" w:hAnsi="Palatino Linotype" w:cs="Palatino Linotype"/>
                    <w:szCs w:val="22"/>
                  </w:rPr>
                </w:pPr>
                <w:r w:rsidRPr="003B516A">
                  <w:rPr>
                    <w:rFonts w:ascii="Palatino Linotype" w:eastAsia="Palatino Linotype" w:hAnsi="Palatino Linotype" w:cs="Palatino Linotype"/>
                    <w:szCs w:val="22"/>
                  </w:rPr>
                  <w:t>02133/INFOEM/IP/RR/2025</w:t>
                </w:r>
              </w:p>
            </w:tc>
          </w:tr>
          <w:tr w:rsidR="00B060F3" w14:paraId="1CF9D505" w14:textId="77777777" w:rsidTr="003B516A">
            <w:trPr>
              <w:trHeight w:val="295"/>
            </w:trPr>
            <w:tc>
              <w:tcPr>
                <w:tcW w:w="2822" w:type="dxa"/>
                <w:shd w:val="clear" w:color="auto" w:fill="auto"/>
              </w:tcPr>
              <w:p w14:paraId="43AB6FD4" w14:textId="77777777" w:rsidR="00B060F3" w:rsidRPr="003B516A" w:rsidRDefault="00F32370">
                <w:pPr>
                  <w:tabs>
                    <w:tab w:val="right" w:pos="8838"/>
                  </w:tabs>
                  <w:ind w:right="-105"/>
                  <w:rPr>
                    <w:rFonts w:ascii="Palatino Linotype" w:eastAsia="Palatino Linotype" w:hAnsi="Palatino Linotype" w:cs="Palatino Linotype"/>
                    <w:b/>
                    <w:szCs w:val="22"/>
                  </w:rPr>
                </w:pPr>
                <w:r w:rsidRPr="003B516A">
                  <w:rPr>
                    <w:rFonts w:ascii="Palatino Linotype" w:eastAsia="Palatino Linotype" w:hAnsi="Palatino Linotype" w:cs="Palatino Linotype"/>
                    <w:b/>
                    <w:szCs w:val="22"/>
                  </w:rPr>
                  <w:t>Sujeto Obligado:</w:t>
                </w:r>
              </w:p>
            </w:tc>
            <w:tc>
              <w:tcPr>
                <w:tcW w:w="4111" w:type="dxa"/>
                <w:shd w:val="clear" w:color="auto" w:fill="auto"/>
              </w:tcPr>
              <w:p w14:paraId="22EDEF16" w14:textId="77777777" w:rsidR="00B060F3" w:rsidRPr="003B516A" w:rsidRDefault="00F32370">
                <w:pPr>
                  <w:tabs>
                    <w:tab w:val="left" w:pos="2834"/>
                    <w:tab w:val="right" w:pos="8838"/>
                  </w:tabs>
                  <w:ind w:left="-108" w:right="-102"/>
                  <w:jc w:val="both"/>
                  <w:rPr>
                    <w:rFonts w:ascii="Palatino Linotype" w:eastAsia="Palatino Linotype" w:hAnsi="Palatino Linotype" w:cs="Palatino Linotype"/>
                    <w:szCs w:val="22"/>
                  </w:rPr>
                </w:pPr>
                <w:r w:rsidRPr="003B516A">
                  <w:rPr>
                    <w:rFonts w:ascii="Palatino Linotype" w:eastAsia="Palatino Linotype" w:hAnsi="Palatino Linotype" w:cs="Palatino Linotype"/>
                    <w:szCs w:val="22"/>
                  </w:rPr>
                  <w:t>Ayuntamiento de Toluca</w:t>
                </w:r>
              </w:p>
            </w:tc>
          </w:tr>
          <w:tr w:rsidR="00B060F3" w14:paraId="78540536" w14:textId="77777777" w:rsidTr="003B516A">
            <w:trPr>
              <w:trHeight w:val="295"/>
            </w:trPr>
            <w:tc>
              <w:tcPr>
                <w:tcW w:w="2822" w:type="dxa"/>
                <w:shd w:val="clear" w:color="auto" w:fill="auto"/>
              </w:tcPr>
              <w:p w14:paraId="376DD2DF" w14:textId="77777777" w:rsidR="00B060F3" w:rsidRPr="003B516A" w:rsidRDefault="00F32370">
                <w:pPr>
                  <w:tabs>
                    <w:tab w:val="right" w:pos="8838"/>
                  </w:tabs>
                  <w:ind w:right="-105"/>
                  <w:rPr>
                    <w:rFonts w:ascii="Palatino Linotype" w:eastAsia="Palatino Linotype" w:hAnsi="Palatino Linotype" w:cs="Palatino Linotype"/>
                    <w:b/>
                    <w:szCs w:val="22"/>
                  </w:rPr>
                </w:pPr>
                <w:r w:rsidRPr="003B516A">
                  <w:rPr>
                    <w:rFonts w:ascii="Palatino Linotype" w:eastAsia="Palatino Linotype" w:hAnsi="Palatino Linotype" w:cs="Palatino Linotype"/>
                    <w:b/>
                    <w:szCs w:val="22"/>
                  </w:rPr>
                  <w:t>Comisionada ponente:</w:t>
                </w:r>
              </w:p>
            </w:tc>
            <w:tc>
              <w:tcPr>
                <w:tcW w:w="4111" w:type="dxa"/>
                <w:shd w:val="clear" w:color="auto" w:fill="auto"/>
              </w:tcPr>
              <w:p w14:paraId="0B3F7561" w14:textId="77777777" w:rsidR="00B060F3" w:rsidRPr="003B516A" w:rsidRDefault="00F32370">
                <w:pPr>
                  <w:tabs>
                    <w:tab w:val="right" w:pos="8838"/>
                  </w:tabs>
                  <w:ind w:left="-108" w:right="171"/>
                  <w:jc w:val="both"/>
                  <w:rPr>
                    <w:rFonts w:ascii="Palatino Linotype" w:eastAsia="Palatino Linotype" w:hAnsi="Palatino Linotype" w:cs="Palatino Linotype"/>
                    <w:szCs w:val="22"/>
                  </w:rPr>
                </w:pPr>
                <w:r w:rsidRPr="003B516A">
                  <w:rPr>
                    <w:rFonts w:ascii="Palatino Linotype" w:eastAsia="Palatino Linotype" w:hAnsi="Palatino Linotype" w:cs="Palatino Linotype"/>
                    <w:szCs w:val="22"/>
                  </w:rPr>
                  <w:t>María del Rosario Mejía Ayala</w:t>
                </w:r>
              </w:p>
              <w:p w14:paraId="1C86BED7" w14:textId="77777777" w:rsidR="00B060F3" w:rsidRPr="003B516A" w:rsidRDefault="00B060F3">
                <w:pPr>
                  <w:tabs>
                    <w:tab w:val="right" w:pos="8838"/>
                  </w:tabs>
                  <w:ind w:left="-108" w:right="171"/>
                  <w:jc w:val="both"/>
                  <w:rPr>
                    <w:rFonts w:ascii="Palatino Linotype" w:eastAsia="Palatino Linotype" w:hAnsi="Palatino Linotype" w:cs="Palatino Linotype"/>
                    <w:szCs w:val="22"/>
                  </w:rPr>
                </w:pPr>
              </w:p>
            </w:tc>
          </w:tr>
        </w:tbl>
        <w:p w14:paraId="4A58D0EB" w14:textId="77777777" w:rsidR="00B060F3" w:rsidRDefault="00B060F3">
          <w:pPr>
            <w:tabs>
              <w:tab w:val="right" w:pos="8838"/>
            </w:tabs>
            <w:ind w:left="-28"/>
            <w:jc w:val="both"/>
            <w:rPr>
              <w:rFonts w:ascii="Arial" w:eastAsia="Arial" w:hAnsi="Arial" w:cs="Arial"/>
              <w:b/>
              <w:sz w:val="22"/>
              <w:szCs w:val="22"/>
            </w:rPr>
          </w:pPr>
        </w:p>
      </w:tc>
    </w:tr>
  </w:tbl>
  <w:p w14:paraId="3E7670A3" w14:textId="12FD85DE" w:rsidR="00B060F3" w:rsidRDefault="003B516A">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3EE7E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56.9pt;margin-top:-125.6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349" w:type="dxa"/>
      <w:tblInd w:w="0" w:type="dxa"/>
      <w:tblLayout w:type="fixed"/>
      <w:tblLook w:val="0400" w:firstRow="0" w:lastRow="0" w:firstColumn="0" w:lastColumn="0" w:noHBand="0" w:noVBand="1"/>
    </w:tblPr>
    <w:tblGrid>
      <w:gridCol w:w="2552"/>
      <w:gridCol w:w="7797"/>
    </w:tblGrid>
    <w:tr w:rsidR="00B060F3" w14:paraId="5B3136B7" w14:textId="77777777" w:rsidTr="003B516A">
      <w:trPr>
        <w:trHeight w:val="1435"/>
      </w:trPr>
      <w:tc>
        <w:tcPr>
          <w:tcW w:w="2552" w:type="dxa"/>
          <w:shd w:val="clear" w:color="auto" w:fill="auto"/>
        </w:tcPr>
        <w:p w14:paraId="37A606FD" w14:textId="77777777" w:rsidR="00B060F3" w:rsidRDefault="00B060F3">
          <w:pPr>
            <w:tabs>
              <w:tab w:val="right" w:pos="4273"/>
            </w:tabs>
            <w:rPr>
              <w:rFonts w:ascii="Garamond" w:eastAsia="Garamond" w:hAnsi="Garamond" w:cs="Garamond"/>
              <w:sz w:val="22"/>
              <w:szCs w:val="22"/>
            </w:rPr>
          </w:pPr>
        </w:p>
      </w:tc>
      <w:tc>
        <w:tcPr>
          <w:tcW w:w="7797" w:type="dxa"/>
          <w:shd w:val="clear" w:color="auto" w:fill="auto"/>
        </w:tcPr>
        <w:tbl>
          <w:tblPr>
            <w:tblStyle w:val="a4"/>
            <w:tblW w:w="7040" w:type="dxa"/>
            <w:tblInd w:w="1019" w:type="dxa"/>
            <w:tblLayout w:type="fixed"/>
            <w:tblLook w:val="0400" w:firstRow="0" w:lastRow="0" w:firstColumn="0" w:lastColumn="0" w:noHBand="0" w:noVBand="1"/>
          </w:tblPr>
          <w:tblGrid>
            <w:gridCol w:w="2822"/>
            <w:gridCol w:w="4218"/>
          </w:tblGrid>
          <w:tr w:rsidR="00B060F3" w14:paraId="18C91885" w14:textId="77777777" w:rsidTr="003B516A">
            <w:trPr>
              <w:trHeight w:val="144"/>
            </w:trPr>
            <w:tc>
              <w:tcPr>
                <w:tcW w:w="2822" w:type="dxa"/>
                <w:shd w:val="clear" w:color="auto" w:fill="auto"/>
              </w:tcPr>
              <w:p w14:paraId="41CE3603" w14:textId="77777777" w:rsidR="00B060F3" w:rsidRPr="003B516A" w:rsidRDefault="00F32370">
                <w:pPr>
                  <w:tabs>
                    <w:tab w:val="right" w:pos="8838"/>
                  </w:tabs>
                  <w:ind w:left="-264" w:right="-105" w:firstLine="195"/>
                  <w:rPr>
                    <w:rFonts w:ascii="Palatino Linotype" w:eastAsia="Palatino Linotype" w:hAnsi="Palatino Linotype" w:cs="Palatino Linotype"/>
                    <w:b/>
                    <w:szCs w:val="22"/>
                  </w:rPr>
                </w:pPr>
                <w:r w:rsidRPr="003B516A">
                  <w:rPr>
                    <w:rFonts w:ascii="Palatino Linotype" w:eastAsia="Palatino Linotype" w:hAnsi="Palatino Linotype" w:cs="Palatino Linotype"/>
                    <w:b/>
                    <w:szCs w:val="22"/>
                  </w:rPr>
                  <w:t>Recurso de Revisión:</w:t>
                </w:r>
              </w:p>
            </w:tc>
            <w:tc>
              <w:tcPr>
                <w:tcW w:w="4218" w:type="dxa"/>
                <w:shd w:val="clear" w:color="auto" w:fill="auto"/>
              </w:tcPr>
              <w:p w14:paraId="1EFADBA5" w14:textId="77777777" w:rsidR="00B060F3" w:rsidRPr="003B516A" w:rsidRDefault="00F32370">
                <w:pPr>
                  <w:tabs>
                    <w:tab w:val="right" w:pos="8838"/>
                  </w:tabs>
                  <w:ind w:left="-74" w:right="-105"/>
                  <w:jc w:val="both"/>
                  <w:rPr>
                    <w:rFonts w:ascii="Palatino Linotype" w:eastAsia="Palatino Linotype" w:hAnsi="Palatino Linotype" w:cs="Palatino Linotype"/>
                    <w:szCs w:val="22"/>
                  </w:rPr>
                </w:pPr>
                <w:r w:rsidRPr="003B516A">
                  <w:rPr>
                    <w:rFonts w:ascii="Palatino Linotype" w:eastAsia="Palatino Linotype" w:hAnsi="Palatino Linotype" w:cs="Palatino Linotype"/>
                    <w:szCs w:val="22"/>
                  </w:rPr>
                  <w:t>02133/INFOEM/IP/RR/2025</w:t>
                </w:r>
              </w:p>
            </w:tc>
          </w:tr>
          <w:tr w:rsidR="00B060F3" w14:paraId="3C483DBA" w14:textId="77777777" w:rsidTr="003B516A">
            <w:trPr>
              <w:trHeight w:val="144"/>
            </w:trPr>
            <w:tc>
              <w:tcPr>
                <w:tcW w:w="2822" w:type="dxa"/>
                <w:shd w:val="clear" w:color="auto" w:fill="auto"/>
              </w:tcPr>
              <w:p w14:paraId="75BE560B" w14:textId="77777777" w:rsidR="00B060F3" w:rsidRPr="003B516A" w:rsidRDefault="00F32370">
                <w:pPr>
                  <w:tabs>
                    <w:tab w:val="right" w:pos="8838"/>
                  </w:tabs>
                  <w:ind w:left="-74" w:right="-105"/>
                  <w:rPr>
                    <w:rFonts w:ascii="Palatino Linotype" w:eastAsia="Palatino Linotype" w:hAnsi="Palatino Linotype" w:cs="Palatino Linotype"/>
                    <w:b/>
                    <w:szCs w:val="22"/>
                  </w:rPr>
                </w:pPr>
                <w:r w:rsidRPr="003B516A">
                  <w:rPr>
                    <w:rFonts w:ascii="Palatino Linotype" w:eastAsia="Palatino Linotype" w:hAnsi="Palatino Linotype" w:cs="Palatino Linotype"/>
                    <w:b/>
                    <w:szCs w:val="22"/>
                  </w:rPr>
                  <w:t>Recurrente:</w:t>
                </w:r>
              </w:p>
            </w:tc>
            <w:tc>
              <w:tcPr>
                <w:tcW w:w="4218" w:type="dxa"/>
                <w:shd w:val="clear" w:color="auto" w:fill="auto"/>
              </w:tcPr>
              <w:p w14:paraId="21F7D8E3" w14:textId="77777777" w:rsidR="00B060F3" w:rsidRPr="003B516A" w:rsidRDefault="00B060F3">
                <w:pPr>
                  <w:tabs>
                    <w:tab w:val="left" w:pos="3122"/>
                    <w:tab w:val="right" w:pos="8838"/>
                  </w:tabs>
                  <w:ind w:left="-74" w:right="-105"/>
                  <w:jc w:val="both"/>
                  <w:rPr>
                    <w:rFonts w:ascii="Palatino Linotype" w:eastAsia="Palatino Linotype" w:hAnsi="Palatino Linotype" w:cs="Palatino Linotype"/>
                    <w:szCs w:val="22"/>
                  </w:rPr>
                </w:pPr>
              </w:p>
            </w:tc>
          </w:tr>
          <w:tr w:rsidR="00B060F3" w14:paraId="1787189E" w14:textId="77777777" w:rsidTr="003B516A">
            <w:trPr>
              <w:trHeight w:val="283"/>
            </w:trPr>
            <w:tc>
              <w:tcPr>
                <w:tcW w:w="2822" w:type="dxa"/>
                <w:shd w:val="clear" w:color="auto" w:fill="auto"/>
              </w:tcPr>
              <w:p w14:paraId="3A74EA6D" w14:textId="77777777" w:rsidR="00B060F3" w:rsidRPr="003B516A" w:rsidRDefault="00F32370">
                <w:pPr>
                  <w:tabs>
                    <w:tab w:val="right" w:pos="8838"/>
                  </w:tabs>
                  <w:ind w:left="-74" w:right="-105"/>
                  <w:rPr>
                    <w:rFonts w:ascii="Palatino Linotype" w:eastAsia="Palatino Linotype" w:hAnsi="Palatino Linotype" w:cs="Palatino Linotype"/>
                    <w:b/>
                    <w:szCs w:val="22"/>
                  </w:rPr>
                </w:pPr>
                <w:r w:rsidRPr="003B516A">
                  <w:rPr>
                    <w:rFonts w:ascii="Palatino Linotype" w:eastAsia="Palatino Linotype" w:hAnsi="Palatino Linotype" w:cs="Palatino Linotype"/>
                    <w:b/>
                    <w:szCs w:val="22"/>
                  </w:rPr>
                  <w:t>Sujeto Obligado:</w:t>
                </w:r>
              </w:p>
            </w:tc>
            <w:tc>
              <w:tcPr>
                <w:tcW w:w="4218" w:type="dxa"/>
                <w:shd w:val="clear" w:color="auto" w:fill="auto"/>
              </w:tcPr>
              <w:p w14:paraId="325239FB" w14:textId="77777777" w:rsidR="00B060F3" w:rsidRPr="003B516A" w:rsidRDefault="00F32370">
                <w:pPr>
                  <w:tabs>
                    <w:tab w:val="left" w:pos="2834"/>
                    <w:tab w:val="right" w:pos="8838"/>
                  </w:tabs>
                  <w:ind w:left="-74" w:right="-105"/>
                  <w:jc w:val="both"/>
                  <w:rPr>
                    <w:rFonts w:ascii="Palatino Linotype" w:eastAsia="Palatino Linotype" w:hAnsi="Palatino Linotype" w:cs="Palatino Linotype"/>
                    <w:szCs w:val="22"/>
                  </w:rPr>
                </w:pPr>
                <w:r w:rsidRPr="003B516A">
                  <w:rPr>
                    <w:rFonts w:ascii="Palatino Linotype" w:eastAsia="Palatino Linotype" w:hAnsi="Palatino Linotype" w:cs="Palatino Linotype"/>
                    <w:szCs w:val="22"/>
                  </w:rPr>
                  <w:t>Ayuntamiento de Toluca</w:t>
                </w:r>
              </w:p>
            </w:tc>
          </w:tr>
          <w:tr w:rsidR="00B060F3" w14:paraId="176BC51B" w14:textId="77777777" w:rsidTr="003B516A">
            <w:trPr>
              <w:trHeight w:val="283"/>
            </w:trPr>
            <w:tc>
              <w:tcPr>
                <w:tcW w:w="2822" w:type="dxa"/>
                <w:shd w:val="clear" w:color="auto" w:fill="auto"/>
              </w:tcPr>
              <w:p w14:paraId="34C83559" w14:textId="77777777" w:rsidR="00B060F3" w:rsidRPr="003B516A" w:rsidRDefault="00F32370">
                <w:pPr>
                  <w:tabs>
                    <w:tab w:val="right" w:pos="8838"/>
                  </w:tabs>
                  <w:ind w:left="-74" w:right="-105"/>
                  <w:rPr>
                    <w:rFonts w:ascii="Palatino Linotype" w:eastAsia="Palatino Linotype" w:hAnsi="Palatino Linotype" w:cs="Palatino Linotype"/>
                    <w:b/>
                    <w:szCs w:val="22"/>
                  </w:rPr>
                </w:pPr>
                <w:r w:rsidRPr="003B516A">
                  <w:rPr>
                    <w:rFonts w:ascii="Palatino Linotype" w:eastAsia="Palatino Linotype" w:hAnsi="Palatino Linotype" w:cs="Palatino Linotype"/>
                    <w:b/>
                    <w:szCs w:val="22"/>
                  </w:rPr>
                  <w:t>Comisionada ponente:</w:t>
                </w:r>
              </w:p>
            </w:tc>
            <w:tc>
              <w:tcPr>
                <w:tcW w:w="4218" w:type="dxa"/>
                <w:shd w:val="clear" w:color="auto" w:fill="auto"/>
              </w:tcPr>
              <w:p w14:paraId="7FB369E6" w14:textId="77777777" w:rsidR="00B060F3" w:rsidRPr="003B516A" w:rsidRDefault="00F32370">
                <w:pPr>
                  <w:tabs>
                    <w:tab w:val="right" w:pos="8838"/>
                  </w:tabs>
                  <w:ind w:left="-74" w:right="-105"/>
                  <w:jc w:val="both"/>
                  <w:rPr>
                    <w:rFonts w:ascii="Palatino Linotype" w:eastAsia="Palatino Linotype" w:hAnsi="Palatino Linotype" w:cs="Palatino Linotype"/>
                    <w:szCs w:val="22"/>
                  </w:rPr>
                </w:pPr>
                <w:r w:rsidRPr="003B516A">
                  <w:rPr>
                    <w:rFonts w:ascii="Palatino Linotype" w:eastAsia="Palatino Linotype" w:hAnsi="Palatino Linotype" w:cs="Palatino Linotype"/>
                    <w:szCs w:val="22"/>
                  </w:rPr>
                  <w:t>María del Rosario Mejía Ayala</w:t>
                </w:r>
              </w:p>
              <w:p w14:paraId="20F2A334" w14:textId="77777777" w:rsidR="00B060F3" w:rsidRPr="003B516A" w:rsidRDefault="00B060F3">
                <w:pPr>
                  <w:tabs>
                    <w:tab w:val="right" w:pos="8838"/>
                  </w:tabs>
                  <w:ind w:left="-74" w:right="-105"/>
                  <w:jc w:val="both"/>
                  <w:rPr>
                    <w:rFonts w:ascii="Palatino Linotype" w:eastAsia="Palatino Linotype" w:hAnsi="Palatino Linotype" w:cs="Palatino Linotype"/>
                    <w:szCs w:val="22"/>
                  </w:rPr>
                </w:pPr>
              </w:p>
            </w:tc>
          </w:tr>
        </w:tbl>
        <w:p w14:paraId="1C754DAA" w14:textId="77777777" w:rsidR="00B060F3" w:rsidRDefault="00B060F3">
          <w:pPr>
            <w:tabs>
              <w:tab w:val="right" w:pos="8838"/>
            </w:tabs>
            <w:ind w:left="-28"/>
            <w:jc w:val="both"/>
            <w:rPr>
              <w:rFonts w:ascii="Arial" w:eastAsia="Arial" w:hAnsi="Arial" w:cs="Arial"/>
              <w:b/>
              <w:sz w:val="22"/>
              <w:szCs w:val="22"/>
            </w:rPr>
          </w:pPr>
        </w:p>
      </w:tc>
    </w:tr>
  </w:tbl>
  <w:p w14:paraId="0A0D0105" w14:textId="77777777" w:rsidR="00B060F3" w:rsidRDefault="002258F1">
    <w:pPr>
      <w:pBdr>
        <w:top w:val="nil"/>
        <w:left w:val="nil"/>
        <w:bottom w:val="nil"/>
        <w:right w:val="nil"/>
        <w:between w:val="nil"/>
      </w:pBdr>
      <w:tabs>
        <w:tab w:val="center" w:pos="4419"/>
        <w:tab w:val="right" w:pos="8838"/>
      </w:tabs>
      <w:rPr>
        <w:color w:val="000000"/>
        <w:sz w:val="2"/>
        <w:szCs w:val="2"/>
      </w:rPr>
    </w:pPr>
    <w:r>
      <w:rPr>
        <w:color w:val="000000"/>
        <w:sz w:val="2"/>
        <w:szCs w:val="2"/>
      </w:rPr>
      <w:pict w14:anchorId="62495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7E6"/>
    <w:multiLevelType w:val="multilevel"/>
    <w:tmpl w:val="FDB218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BE3DB7"/>
    <w:multiLevelType w:val="multilevel"/>
    <w:tmpl w:val="D14E3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EF26FD"/>
    <w:multiLevelType w:val="multilevel"/>
    <w:tmpl w:val="C24421C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1536D7"/>
    <w:multiLevelType w:val="multilevel"/>
    <w:tmpl w:val="2302729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4" w15:restartNumberingAfterBreak="0">
    <w:nsid w:val="3D860007"/>
    <w:multiLevelType w:val="multilevel"/>
    <w:tmpl w:val="7C0E921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43DB7172"/>
    <w:multiLevelType w:val="multilevel"/>
    <w:tmpl w:val="FBDA5DA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44177085"/>
    <w:multiLevelType w:val="multilevel"/>
    <w:tmpl w:val="F7EA666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752E34"/>
    <w:multiLevelType w:val="multilevel"/>
    <w:tmpl w:val="7FC05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A12536"/>
    <w:multiLevelType w:val="multilevel"/>
    <w:tmpl w:val="AA5290CE"/>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0839B5"/>
    <w:multiLevelType w:val="multilevel"/>
    <w:tmpl w:val="0F96321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6CC75F39"/>
    <w:multiLevelType w:val="hybridMultilevel"/>
    <w:tmpl w:val="E4288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652E3E"/>
    <w:multiLevelType w:val="multilevel"/>
    <w:tmpl w:val="891A3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CF055B"/>
    <w:multiLevelType w:val="multilevel"/>
    <w:tmpl w:val="33C8C84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8"/>
  </w:num>
  <w:num w:numId="2">
    <w:abstractNumId w:val="2"/>
  </w:num>
  <w:num w:numId="3">
    <w:abstractNumId w:val="7"/>
  </w:num>
  <w:num w:numId="4">
    <w:abstractNumId w:val="6"/>
  </w:num>
  <w:num w:numId="5">
    <w:abstractNumId w:val="1"/>
  </w:num>
  <w:num w:numId="6">
    <w:abstractNumId w:val="5"/>
  </w:num>
  <w:num w:numId="7">
    <w:abstractNumId w:val="9"/>
  </w:num>
  <w:num w:numId="8">
    <w:abstractNumId w:val="12"/>
  </w:num>
  <w:num w:numId="9">
    <w:abstractNumId w:val="11"/>
  </w:num>
  <w:num w:numId="10">
    <w:abstractNumId w:val="4"/>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F3"/>
    <w:rsid w:val="00163457"/>
    <w:rsid w:val="002258F1"/>
    <w:rsid w:val="002571EC"/>
    <w:rsid w:val="00337BC7"/>
    <w:rsid w:val="003524F8"/>
    <w:rsid w:val="00370E5D"/>
    <w:rsid w:val="003B516A"/>
    <w:rsid w:val="005B69A0"/>
    <w:rsid w:val="005C20EB"/>
    <w:rsid w:val="00740C60"/>
    <w:rsid w:val="00761B1C"/>
    <w:rsid w:val="00884C22"/>
    <w:rsid w:val="00985D4A"/>
    <w:rsid w:val="00AC4C65"/>
    <w:rsid w:val="00B060F3"/>
    <w:rsid w:val="00B6341F"/>
    <w:rsid w:val="00BD4C52"/>
    <w:rsid w:val="00C666ED"/>
    <w:rsid w:val="00CB71A7"/>
    <w:rsid w:val="00D005EE"/>
    <w:rsid w:val="00E778A9"/>
    <w:rsid w:val="00F32370"/>
    <w:rsid w:val="00F97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161F1F"/>
  <w15:docId w15:val="{25549754-E563-4D36-8ECC-417A31F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uiPriority w:val="9"/>
    <w:rsid w:val="00C81EB4"/>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C81EB4"/>
    <w:pPr>
      <w:tabs>
        <w:tab w:val="center" w:pos="4419"/>
        <w:tab w:val="right" w:pos="8838"/>
      </w:tabs>
    </w:pPr>
  </w:style>
  <w:style w:type="character" w:customStyle="1" w:styleId="EncabezadoCar">
    <w:name w:val="Encabezado Car"/>
    <w:basedOn w:val="Fuentedeprrafopredeter"/>
    <w:link w:val="Encabezado"/>
    <w:uiPriority w:val="99"/>
    <w:rsid w:val="00C81EB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81EB4"/>
    <w:pPr>
      <w:tabs>
        <w:tab w:val="center" w:pos="4419"/>
        <w:tab w:val="right" w:pos="8838"/>
      </w:tabs>
    </w:pPr>
  </w:style>
  <w:style w:type="character" w:customStyle="1" w:styleId="PiedepginaCar">
    <w:name w:val="Pie de página Car"/>
    <w:basedOn w:val="Fuentedeprrafopredeter"/>
    <w:link w:val="Piedepgina"/>
    <w:uiPriority w:val="99"/>
    <w:rsid w:val="00C81EB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81EB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81EB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81EB4"/>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C81EB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C81EB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81EB4"/>
    <w:rPr>
      <w:vertAlign w:val="superscript"/>
    </w:rPr>
  </w:style>
  <w:style w:type="paragraph" w:styleId="Sangradetextonormal">
    <w:name w:val="Body Text Indent"/>
    <w:basedOn w:val="Normal"/>
    <w:link w:val="SangradetextonormalCar"/>
    <w:unhideWhenUsed/>
    <w:rsid w:val="00B16EC4"/>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B16EC4"/>
    <w:rPr>
      <w:rFonts w:ascii="Calibri" w:eastAsia="Calibri" w:hAnsi="Calibri" w:cs="Times New Roman"/>
      <w:lang w:val="x-none"/>
    </w:rPr>
  </w:style>
  <w:style w:type="table" w:styleId="Tabladecuadrcula6concolores">
    <w:name w:val="Grid Table 6 Colorful"/>
    <w:basedOn w:val="Tablanormal"/>
    <w:uiPriority w:val="51"/>
    <w:rsid w:val="00450A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6972.page" TargetMode="External"/><Relationship Id="rId13" Type="http://schemas.openxmlformats.org/officeDocument/2006/relationships/hyperlink" Target="https://saimex.org.mx/saimex/solicitud/downloadAttach/2336977.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aimex.org.mx/saimex/solicitud/downloadAttach/2336976.page" TargetMode="External"/><Relationship Id="rId17" Type="http://schemas.openxmlformats.org/officeDocument/2006/relationships/hyperlink" Target="https://saimex.org.mx/saimex/solicitud/downloadAttach/2377714.page" TargetMode="External"/><Relationship Id="rId2" Type="http://schemas.openxmlformats.org/officeDocument/2006/relationships/numbering" Target="numbering.xml"/><Relationship Id="rId16" Type="http://schemas.openxmlformats.org/officeDocument/2006/relationships/hyperlink" Target="https://saimex.org.mx/saimex/solicitud/downloadAttach/2342235.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36975.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2336980.page" TargetMode="External"/><Relationship Id="rId23" Type="http://schemas.openxmlformats.org/officeDocument/2006/relationships/fontTable" Target="fontTable.xml"/><Relationship Id="rId10" Type="http://schemas.openxmlformats.org/officeDocument/2006/relationships/hyperlink" Target="https://saimex.org.mx/saimex/solicitud/downloadAttach/2336974.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2336973.page" TargetMode="External"/><Relationship Id="rId14" Type="http://schemas.openxmlformats.org/officeDocument/2006/relationships/hyperlink" Target="https://saimex.org.mx/saimex/solicitud/downloadAttach/2336978.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Yr46NdlZ2NhYjIOeW4RHMvmCzw==">CgMxLjAyDmguNnR2ZThiYXd6dTRvMg5oLm9wejJyZm43MWdpZzIOaC5hdjY4NGtnanZvcHAyDmguc2N0NzVuazFiamZlMg5oLmUwMTc3bXI5YW5iczIOaC5nNDcxd3c5M2VyazMyDmguamxrZmZxazNmemZnMghoLnR5amN3dDINaC4xczkxejU4NWE1NTINaC42NzBobTNxcmIwdjIOaC44NzM4ODdmYXA4enYyDmgudmRydjU0cTduNnFjOAByITFuTDBqOGliV0xoTzBnaXIwWHlwX1VTbzZYQjFwajNu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10332</Words>
  <Characters>56831</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9</cp:revision>
  <cp:lastPrinted>2025-07-17T17:26:00Z</cp:lastPrinted>
  <dcterms:created xsi:type="dcterms:W3CDTF">2025-07-14T20:56:00Z</dcterms:created>
  <dcterms:modified xsi:type="dcterms:W3CDTF">2025-08-07T18:10:00Z</dcterms:modified>
</cp:coreProperties>
</file>