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950AD">
      <w:pPr>
        <w:pStyle w:val="NormalINFOEM"/>
      </w:pPr>
    </w:p>
    <w:p w14:paraId="49AF2C0C" w14:textId="5AED56CF"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7F0FDE">
        <w:t>once de junio</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00A9686F"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1728EC">
        <w:rPr>
          <w:rFonts w:eastAsia="Palatino Linotype" w:cs="Palatino Linotype"/>
          <w:b/>
          <w:bCs/>
          <w:color w:val="000000" w:themeColor="text1"/>
          <w:lang w:val="es-ES"/>
        </w:rPr>
        <w:t>03665/INFOEM/IP/RR/2025</w:t>
      </w:r>
      <w:bookmarkEnd w:id="0"/>
      <w:r w:rsidRPr="70652167">
        <w:rPr>
          <w:rFonts w:eastAsia="Palatino Linotype" w:cs="Palatino Linotype"/>
          <w:color w:val="000000" w:themeColor="text1"/>
          <w:lang w:val="es-ES"/>
        </w:rPr>
        <w:t>, interpuesto por</w:t>
      </w:r>
      <w:r w:rsidR="001919F7">
        <w:rPr>
          <w:rFonts w:eastAsia="Palatino Linotype" w:cs="Palatino Linotype"/>
          <w:color w:val="000000" w:themeColor="text1"/>
          <w:lang w:val="es-ES"/>
        </w:rPr>
        <w:t xml:space="preserve"> </w:t>
      </w:r>
      <w:r w:rsidR="00373C5A">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1728EC">
        <w:rPr>
          <w:rFonts w:eastAsia="Palatino Linotype" w:cs="Palatino Linotype"/>
          <w:b/>
          <w:bCs/>
          <w:color w:val="000000" w:themeColor="text1"/>
          <w:lang w:val="es-ES"/>
        </w:rPr>
        <w:t>Organismo Público Descentralizado para la Prestación de los Servicios de Agua Potable, Alcantarillado y Saneamiento de Nicolás Romero</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008F1BF3"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1728EC">
        <w:rPr>
          <w:rFonts w:eastAsia="Palatino Linotype" w:cs="Palatino Linotype"/>
          <w:color w:val="000000"/>
          <w:szCs w:val="24"/>
        </w:rPr>
        <w:t>diecinueve</w:t>
      </w:r>
      <w:r w:rsidR="00C9074F">
        <w:rPr>
          <w:rFonts w:eastAsia="Palatino Linotype" w:cs="Palatino Linotype"/>
          <w:color w:val="000000"/>
          <w:szCs w:val="24"/>
        </w:rPr>
        <w:t xml:space="preserve"> de febrero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 xml:space="preserve">el Sistema de Acceso a la Información Mexiquense (SAIMEX) con el </w:t>
      </w:r>
      <w:r w:rsidR="00A970D5" w:rsidRPr="00373C5A">
        <w:rPr>
          <w:rFonts w:eastAsia="Palatino Linotype" w:cs="Palatino Linotype"/>
          <w:color w:val="000000"/>
          <w:szCs w:val="24"/>
        </w:rPr>
        <w:t>número</w:t>
      </w:r>
      <w:r w:rsidR="00642669" w:rsidRPr="00373C5A">
        <w:rPr>
          <w:rFonts w:eastAsia="Palatino Linotype" w:cs="Palatino Linotype"/>
          <w:color w:val="000000"/>
          <w:szCs w:val="24"/>
        </w:rPr>
        <w:t xml:space="preserve"> </w:t>
      </w:r>
      <w:r w:rsidR="00373C5A" w:rsidRPr="00373C5A">
        <w:rPr>
          <w:rFonts w:eastAsia="Palatino Linotype" w:cs="Palatino Linotype"/>
          <w:color w:val="000000"/>
          <w:szCs w:val="24"/>
        </w:rPr>
        <w:t>de expediente</w:t>
      </w:r>
      <w:r w:rsidR="00373C5A">
        <w:rPr>
          <w:rFonts w:eastAsia="Palatino Linotype" w:cs="Palatino Linotype"/>
          <w:b/>
          <w:bCs/>
          <w:color w:val="000000"/>
          <w:szCs w:val="24"/>
        </w:rPr>
        <w:t xml:space="preserve"> </w:t>
      </w:r>
      <w:r w:rsidR="001728EC">
        <w:rPr>
          <w:rFonts w:eastAsia="Palatino Linotype" w:cs="Palatino Linotype"/>
          <w:b/>
          <w:bCs/>
          <w:color w:val="000000"/>
          <w:szCs w:val="24"/>
        </w:rPr>
        <w:t>00014/OASNICOROM/IP/2025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048098C" w:rsidR="00A970D5" w:rsidRPr="006922F5" w:rsidRDefault="70652167" w:rsidP="009950AD">
      <w:pPr>
        <w:pStyle w:val="Fundamentos"/>
      </w:pPr>
      <w:r w:rsidRPr="70652167">
        <w:rPr>
          <w:lang w:val="es-ES"/>
        </w:rPr>
        <w:t>«</w:t>
      </w:r>
      <w:proofErr w:type="gramStart"/>
      <w:r w:rsidR="001728EC" w:rsidRPr="001728EC">
        <w:rPr>
          <w:lang w:val="es-ES"/>
        </w:rPr>
        <w:t>el</w:t>
      </w:r>
      <w:proofErr w:type="gramEnd"/>
      <w:r w:rsidR="001728EC" w:rsidRPr="001728EC">
        <w:rPr>
          <w:lang w:val="es-ES"/>
        </w:rPr>
        <w:t xml:space="preserve"> directorio actualizado de todo el personal, su sueldo y sus cv, hasta la fecha de hoy</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65C1944A" w14:textId="6654E33F" w:rsidR="001728EC" w:rsidRPr="006922F5" w:rsidRDefault="001728EC" w:rsidP="001728EC">
      <w:pPr>
        <w:pStyle w:val="Ttulo2"/>
        <w:rPr>
          <w:rFonts w:eastAsia="Palatino Linotype"/>
        </w:rPr>
      </w:pPr>
      <w:r>
        <w:rPr>
          <w:rFonts w:eastAsia="Palatino Linotype"/>
        </w:rPr>
        <w:t>SEGUNDO. De la prórroga para atender la solicitud</w:t>
      </w:r>
      <w:r w:rsidRPr="006922F5">
        <w:rPr>
          <w:rFonts w:eastAsia="Palatino Linotype"/>
        </w:rPr>
        <w:t>.</w:t>
      </w:r>
    </w:p>
    <w:p w14:paraId="4E62CD39" w14:textId="38231FD2" w:rsidR="001728EC" w:rsidRPr="006922F5" w:rsidRDefault="001728EC" w:rsidP="001728E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día doce de marzo de dos mil veinticinco</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w:t>
      </w:r>
      <w:r>
        <w:rPr>
          <w:rFonts w:eastAsia="Palatino Linotype" w:cs="Palatino Linotype"/>
          <w:color w:val="000000"/>
          <w:szCs w:val="24"/>
        </w:rPr>
        <w:t xml:space="preserve">Sujeto Obligado hizo del conocimiento del </w:t>
      </w:r>
      <w:r w:rsidRPr="006922F5">
        <w:rPr>
          <w:rFonts w:eastAsia="Palatino Linotype" w:cs="Palatino Linotype"/>
          <w:color w:val="000000"/>
          <w:szCs w:val="24"/>
        </w:rPr>
        <w:t xml:space="preserve">Recurrente </w:t>
      </w:r>
      <w:r>
        <w:rPr>
          <w:rFonts w:eastAsia="Palatino Linotype" w:cs="Palatino Linotype"/>
          <w:color w:val="000000"/>
          <w:szCs w:val="24"/>
        </w:rPr>
        <w:t xml:space="preserve">que el plazo para da atención a la solicitud se prorrogó por un término de siete días, lo cual fue aprobado mediante el acuerdo </w:t>
      </w:r>
      <w:r w:rsidRPr="001728EC">
        <w:rPr>
          <w:rFonts w:eastAsia="Palatino Linotype" w:cs="Palatino Linotype"/>
          <w:color w:val="000000"/>
          <w:szCs w:val="24"/>
        </w:rPr>
        <w:t>OPDSAPASNIR/CT/EXT04/AC-03/2025</w:t>
      </w:r>
      <w:r>
        <w:rPr>
          <w:rFonts w:eastAsia="Palatino Linotype" w:cs="Palatino Linotype"/>
          <w:color w:val="000000"/>
          <w:szCs w:val="24"/>
        </w:rPr>
        <w:t xml:space="preserve">, emitido en la </w:t>
      </w:r>
      <w:r w:rsidRPr="001728EC">
        <w:rPr>
          <w:rFonts w:eastAsia="Palatino Linotype" w:cs="Palatino Linotype"/>
          <w:color w:val="000000"/>
          <w:szCs w:val="24"/>
        </w:rPr>
        <w:t>Cuarta Sesión Extraordinaria del Comité de Transparencia celebrada</w:t>
      </w:r>
      <w:r>
        <w:rPr>
          <w:rFonts w:eastAsia="Palatino Linotype" w:cs="Palatino Linotype"/>
          <w:color w:val="000000"/>
          <w:szCs w:val="24"/>
        </w:rPr>
        <w:t xml:space="preserve"> el doce de marzo de dos mil veinticinco, sin que esto se haya acompañado de acuerdo referido como se establece en el artículo 163 de la Ley de Transparencia estatal.</w:t>
      </w:r>
    </w:p>
    <w:p w14:paraId="4F337036" w14:textId="77777777" w:rsidR="001728EC" w:rsidRDefault="001728EC" w:rsidP="006922F5">
      <w:pPr>
        <w:pBdr>
          <w:top w:val="nil"/>
          <w:left w:val="nil"/>
          <w:bottom w:val="nil"/>
          <w:right w:val="nil"/>
          <w:between w:val="nil"/>
        </w:pBdr>
        <w:contextualSpacing/>
        <w:rPr>
          <w:rFonts w:eastAsia="Palatino Linotype" w:cs="Palatino Linotype"/>
          <w:color w:val="000000"/>
          <w:szCs w:val="24"/>
        </w:rPr>
      </w:pPr>
    </w:p>
    <w:p w14:paraId="1AEDC68E" w14:textId="43629199" w:rsidR="00A970D5" w:rsidRPr="006922F5" w:rsidRDefault="001728EC"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689928A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1728EC">
        <w:rPr>
          <w:rFonts w:eastAsia="Palatino Linotype" w:cs="Palatino Linotype"/>
          <w:color w:val="000000"/>
          <w:szCs w:val="24"/>
        </w:rPr>
        <w:t>veinticinco</w:t>
      </w:r>
      <w:r w:rsidR="00C9074F">
        <w:rPr>
          <w:rFonts w:eastAsia="Palatino Linotype" w:cs="Palatino Linotype"/>
          <w:color w:val="000000"/>
          <w:szCs w:val="24"/>
        </w:rPr>
        <w:t xml:space="preserv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2BB94ECE" w14:textId="77777777" w:rsidR="001728EC" w:rsidRDefault="00BE24AA" w:rsidP="001728EC">
      <w:pPr>
        <w:pStyle w:val="Fundamentos"/>
      </w:pPr>
      <w:r w:rsidRPr="23740614">
        <w:rPr>
          <w:lang w:val="es-ES"/>
        </w:rPr>
        <w:t>«</w:t>
      </w:r>
      <w:r w:rsidR="001728EC">
        <w:t>En respuesta a la solicitud recibida, nos permitimos hacer de su conocimiento que con fundamento en el artículo 53, Fracciones: II, V y VI de la Ley de Transparencia y Acceso a la Información Pública del Estado de México y Municipios, le contestamos que:</w:t>
      </w:r>
    </w:p>
    <w:p w14:paraId="56E494AF" w14:textId="77777777" w:rsidR="001728EC" w:rsidRDefault="001728EC" w:rsidP="001728EC">
      <w:pPr>
        <w:pStyle w:val="Fundamentos"/>
      </w:pPr>
    </w:p>
    <w:p w14:paraId="7F111185" w14:textId="77777777" w:rsidR="001728EC" w:rsidRDefault="001728EC" w:rsidP="001728EC">
      <w:pPr>
        <w:pStyle w:val="Fundamentos"/>
      </w:pPr>
      <w:r>
        <w:t>Por este medio se informa que se ha iniciado el proceso de carga de la información que da respuesta a su solicitud.</w:t>
      </w:r>
    </w:p>
    <w:p w14:paraId="1A28DCF6" w14:textId="77777777" w:rsidR="001728EC" w:rsidRDefault="001728EC" w:rsidP="001728EC">
      <w:pPr>
        <w:pStyle w:val="Fundamentos"/>
      </w:pPr>
    </w:p>
    <w:p w14:paraId="4CDA0F9B" w14:textId="77777777" w:rsidR="001728EC" w:rsidRDefault="001728EC" w:rsidP="001728EC">
      <w:pPr>
        <w:pStyle w:val="Fundamentos"/>
      </w:pPr>
      <w:r>
        <w:t>ATENTAMENTE</w:t>
      </w:r>
    </w:p>
    <w:p w14:paraId="3FE4A9EF" w14:textId="6495838D" w:rsidR="00A970D5" w:rsidRPr="00404754" w:rsidRDefault="001728EC" w:rsidP="001728EC">
      <w:pPr>
        <w:pStyle w:val="Fundamentos"/>
        <w:rPr>
          <w:lang w:val="es-MX"/>
        </w:rPr>
      </w:pPr>
      <w:r>
        <w:t>LIC CÉSAR AUGUSTO SEGUNDO ESCALANTE</w:t>
      </w:r>
      <w:r w:rsidR="00BE24AA" w:rsidRPr="00BE24AA">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56BA8323" w14:textId="7B00258E" w:rsidR="001728EC" w:rsidRDefault="001728E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el documento denominado </w:t>
      </w:r>
      <w:r w:rsidRPr="001728EC">
        <w:rPr>
          <w:rFonts w:eastAsia="Palatino Linotype" w:cs="Palatino Linotype"/>
          <w:b/>
          <w:color w:val="000000"/>
          <w:szCs w:val="24"/>
          <w:lang w:val="es-MX"/>
        </w:rPr>
        <w:t>«SAP-ADFIN-RH-116-2025 R0014.pdf»</w:t>
      </w:r>
      <w:r>
        <w:rPr>
          <w:rFonts w:eastAsia="Palatino Linotype" w:cs="Palatino Linotype"/>
          <w:color w:val="000000"/>
          <w:szCs w:val="24"/>
          <w:lang w:val="es-MX"/>
        </w:rPr>
        <w:t>, cuyo contenido no se reproduce por ser del conocimiento de las partes; no obstante, será motivo de análisis en el estudio correspondiente.</w:t>
      </w:r>
    </w:p>
    <w:p w14:paraId="58FA11DD" w14:textId="7DCCB1AE" w:rsidR="00A970D5" w:rsidRPr="006922F5" w:rsidRDefault="001728EC" w:rsidP="006922F5">
      <w:pPr>
        <w:pStyle w:val="Ttulo2"/>
        <w:rPr>
          <w:rFonts w:eastAsia="Palatino Linotype"/>
        </w:rPr>
      </w:pPr>
      <w:r>
        <w:rPr>
          <w:rFonts w:eastAsia="Palatino Linotype"/>
        </w:rPr>
        <w:lastRenderedPageBreak/>
        <w:t>CUARTO</w:t>
      </w:r>
      <w:r w:rsidR="00A970D5" w:rsidRPr="006922F5">
        <w:rPr>
          <w:rFonts w:eastAsia="Palatino Linotype"/>
        </w:rPr>
        <w:t>. Del recurso de revisión.</w:t>
      </w:r>
    </w:p>
    <w:p w14:paraId="0C8C3A2F" w14:textId="7B8395AB"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w:t>
      </w:r>
      <w:r w:rsidR="004F6A15">
        <w:rPr>
          <w:rFonts w:eastAsia="Palatino Linotype" w:cs="Palatino Linotype"/>
          <w:color w:val="000000"/>
          <w:szCs w:val="24"/>
        </w:rPr>
        <w:t xml:space="preserve"> </w:t>
      </w:r>
      <w:r w:rsidR="00BA5C31">
        <w:rPr>
          <w:rFonts w:eastAsia="Palatino Linotype" w:cs="Palatino Linotype"/>
          <w:color w:val="000000"/>
          <w:szCs w:val="24"/>
        </w:rPr>
        <w:t>veintiocho</w:t>
      </w:r>
      <w:r w:rsidR="00876852">
        <w:rPr>
          <w:rFonts w:eastAsia="Palatino Linotype" w:cs="Palatino Linotype"/>
          <w:color w:val="000000"/>
          <w:szCs w:val="24"/>
        </w:rPr>
        <w:t xml:space="preserve"> de marzo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1728EC">
        <w:rPr>
          <w:rFonts w:eastAsia="Palatino Linotype" w:cs="Palatino Linotype"/>
          <w:b/>
          <w:color w:val="000000"/>
          <w:szCs w:val="24"/>
        </w:rPr>
        <w:t>03665/INFOEM/IP/RR/2025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33F998CA" w:rsidR="00A970D5" w:rsidRPr="006922F5" w:rsidRDefault="5C35490E" w:rsidP="5C35490E">
      <w:pPr>
        <w:pStyle w:val="Fundamentos"/>
        <w:rPr>
          <w:b/>
          <w:bCs/>
          <w:lang w:val="es-ES"/>
        </w:rPr>
      </w:pPr>
      <w:r w:rsidRPr="5C35490E">
        <w:rPr>
          <w:lang w:val="es-ES"/>
        </w:rPr>
        <w:t>«</w:t>
      </w:r>
      <w:r w:rsidR="00BA5C31" w:rsidRPr="00BA5C31">
        <w:rPr>
          <w:lang w:val="es-ES"/>
        </w:rPr>
        <w:t>NEGATIVA DE INFORMACIÓN</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2AF7B265" w:rsidR="00300EA0" w:rsidRPr="006922F5" w:rsidRDefault="00300EA0" w:rsidP="00300EA0">
      <w:pPr>
        <w:pStyle w:val="Fundamentos"/>
        <w:rPr>
          <w:b/>
          <w:bCs/>
          <w:lang w:val="es-ES"/>
        </w:rPr>
      </w:pPr>
      <w:r w:rsidRPr="5C35490E">
        <w:rPr>
          <w:lang w:val="es-ES"/>
        </w:rPr>
        <w:t>«</w:t>
      </w:r>
      <w:r w:rsidR="00BA5C31" w:rsidRPr="00BA5C31">
        <w:t>NEGATIVA DE INFORMACIÓN</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0AAC3926" w:rsidR="00A970D5" w:rsidRPr="006922F5" w:rsidRDefault="001728EC" w:rsidP="006922F5">
      <w:pPr>
        <w:pStyle w:val="Ttulo2"/>
        <w:rPr>
          <w:rFonts w:eastAsia="Palatino Linotype"/>
        </w:rPr>
      </w:pPr>
      <w:r>
        <w:rPr>
          <w:rFonts w:eastAsia="Palatino Linotype"/>
        </w:rPr>
        <w:t>QUINTO</w:t>
      </w:r>
      <w:r w:rsidR="00A970D5" w:rsidRPr="006922F5">
        <w:rPr>
          <w:rFonts w:eastAsia="Palatino Linotype"/>
        </w:rPr>
        <w:t>. Del turno y admisión del recurso de revisión.</w:t>
      </w:r>
    </w:p>
    <w:p w14:paraId="2459DEBA" w14:textId="2B4B88E7"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BA5C31">
        <w:rPr>
          <w:rFonts w:eastAsia="Palatino Linotype" w:cs="Palatino Linotype"/>
          <w:color w:val="000000" w:themeColor="text1"/>
          <w:lang w:val="es-ES"/>
        </w:rPr>
        <w:t>primero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4C234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C3FF32F" w:rsidR="00A970D5" w:rsidRPr="004941FA" w:rsidRDefault="001728EC" w:rsidP="006922F5">
      <w:pPr>
        <w:pStyle w:val="Ttulo2"/>
        <w:rPr>
          <w:rFonts w:eastAsia="Palatino Linotype"/>
        </w:rPr>
      </w:pPr>
      <w:r>
        <w:rPr>
          <w:rFonts w:eastAsia="Palatino Linotype"/>
        </w:rPr>
        <w:t>SEXTO</w:t>
      </w:r>
      <w:r w:rsidR="00A970D5" w:rsidRPr="004941FA">
        <w:rPr>
          <w:rFonts w:eastAsia="Palatino Linotype"/>
        </w:rPr>
        <w:t>. De la etapa de instrucción.</w:t>
      </w:r>
    </w:p>
    <w:p w14:paraId="4F2B73AD" w14:textId="1808DDDC" w:rsidR="00BA5C31" w:rsidRPr="009D62BC" w:rsidRDefault="00BA5C31" w:rsidP="00BA5C31">
      <w:pPr>
        <w:pBdr>
          <w:top w:val="nil"/>
          <w:left w:val="nil"/>
          <w:bottom w:val="nil"/>
          <w:right w:val="nil"/>
          <w:between w:val="nil"/>
        </w:pBdr>
        <w:contextualSpacing/>
        <w:rPr>
          <w:rFonts w:eastAsia="Palatino Linotype" w:cs="Palatino Linotype"/>
          <w:color w:val="000000"/>
          <w:lang w:val="es-ES"/>
        </w:rPr>
      </w:pPr>
      <w:r w:rsidRPr="1064B07E">
        <w:rPr>
          <w:rFonts w:eastAsia="Palatino Linotype" w:cs="Palatino Linotype"/>
          <w:color w:val="000000" w:themeColor="text1"/>
          <w:lang w:val="es-ES"/>
        </w:rPr>
        <w:t>Durante la etapa de inst</w:t>
      </w:r>
      <w:r>
        <w:rPr>
          <w:rFonts w:eastAsia="Palatino Linotype" w:cs="Palatino Linotype"/>
          <w:color w:val="000000" w:themeColor="text1"/>
          <w:lang w:val="es-ES"/>
        </w:rPr>
        <w:t>rucción, se observa que el nueve de abril de dos mil veinticinco</w:t>
      </w:r>
      <w:r w:rsidRPr="1064B07E">
        <w:rPr>
          <w:rFonts w:eastAsia="Palatino Linotype" w:cs="Palatino Linotype"/>
          <w:color w:val="000000" w:themeColor="text1"/>
          <w:lang w:val="es-ES"/>
        </w:rPr>
        <w:t xml:space="preserve">, el Sujeto Obligado rindió su Informe Justificado, consistente en los documentos denominados </w:t>
      </w:r>
      <w:r>
        <w:rPr>
          <w:rFonts w:eastAsia="Palatino Linotype" w:cs="Palatino Linotype"/>
          <w:b/>
          <w:bCs/>
          <w:color w:val="000000" w:themeColor="text1"/>
          <w:lang w:val="es-ES"/>
        </w:rPr>
        <w:t>«</w:t>
      </w:r>
      <w:r w:rsidRPr="00BA5C31">
        <w:rPr>
          <w:rFonts w:eastAsia="Palatino Linotype" w:cs="Palatino Linotype"/>
          <w:b/>
          <w:bCs/>
          <w:color w:val="000000" w:themeColor="text1"/>
          <w:lang w:val="es-ES"/>
        </w:rPr>
        <w:t>SAPASNIR-UPMRyT-110-2025 Inf.pdf</w:t>
      </w:r>
      <w:r w:rsidRPr="1064B07E">
        <w:rPr>
          <w:rFonts w:eastAsia="Palatino Linotype" w:cs="Palatino Linotype"/>
          <w:b/>
          <w:bCs/>
          <w:color w:val="000000" w:themeColor="text1"/>
          <w:lang w:val="es-ES"/>
        </w:rPr>
        <w:t>»</w:t>
      </w:r>
      <w:r>
        <w:rPr>
          <w:rFonts w:eastAsia="Palatino Linotype" w:cs="Palatino Linotype"/>
          <w:b/>
          <w:bCs/>
          <w:color w:val="000000" w:themeColor="text1"/>
          <w:lang w:val="es-ES"/>
        </w:rPr>
        <w:t xml:space="preserve"> </w:t>
      </w:r>
      <w:r w:rsidRPr="1064B07E">
        <w:rPr>
          <w:rFonts w:eastAsia="Palatino Linotype" w:cs="Palatino Linotype"/>
          <w:color w:val="000000" w:themeColor="text1"/>
          <w:lang w:val="es-ES"/>
        </w:rPr>
        <w:t xml:space="preserve"> y </w:t>
      </w:r>
      <w:r>
        <w:rPr>
          <w:rFonts w:eastAsia="Palatino Linotype" w:cs="Palatino Linotype"/>
          <w:b/>
          <w:bCs/>
          <w:color w:val="000000" w:themeColor="text1"/>
          <w:lang w:val="es-ES"/>
        </w:rPr>
        <w:t>«</w:t>
      </w:r>
      <w:r w:rsidRPr="00BA5C31">
        <w:rPr>
          <w:rFonts w:eastAsia="Palatino Linotype" w:cs="Palatino Linotype"/>
          <w:b/>
          <w:bCs/>
          <w:color w:val="000000" w:themeColor="text1"/>
          <w:lang w:val="es-ES"/>
        </w:rPr>
        <w:t>SAP-ADFIN-RH-116-2025 R0014 RR.pdf</w:t>
      </w:r>
      <w:r w:rsidRPr="1064B07E">
        <w:rPr>
          <w:rFonts w:eastAsia="Palatino Linotype" w:cs="Palatino Linotype"/>
          <w:b/>
          <w:bCs/>
          <w:color w:val="000000" w:themeColor="text1"/>
          <w:lang w:val="es-ES"/>
        </w:rPr>
        <w:t>»</w:t>
      </w:r>
      <w:r w:rsidRPr="1064B07E">
        <w:rPr>
          <w:rFonts w:eastAsia="Palatino Linotype" w:cs="Palatino Linotype"/>
          <w:color w:val="000000" w:themeColor="text1"/>
          <w:lang w:val="es-ES"/>
        </w:rPr>
        <w:t xml:space="preserve">, los cuales </w:t>
      </w:r>
      <w:r>
        <w:rPr>
          <w:rFonts w:eastAsia="Palatino Linotype" w:cs="Palatino Linotype"/>
          <w:color w:val="000000" w:themeColor="text1"/>
          <w:lang w:val="es-ES"/>
        </w:rPr>
        <w:t xml:space="preserve">fueron puestos a la vista del Recurrente </w:t>
      </w:r>
      <w:r w:rsidRPr="1064B07E">
        <w:rPr>
          <w:rFonts w:eastAsia="Palatino Linotype" w:cs="Palatino Linotype"/>
          <w:color w:val="000000" w:themeColor="text1"/>
          <w:lang w:val="es-ES"/>
        </w:rPr>
        <w:t>mediante acuerdo</w:t>
      </w:r>
      <w:r>
        <w:rPr>
          <w:rFonts w:eastAsia="Palatino Linotype" w:cs="Palatino Linotype"/>
          <w:color w:val="000000" w:themeColor="text1"/>
          <w:lang w:val="es-ES"/>
        </w:rPr>
        <w:t xml:space="preserve">s de </w:t>
      </w:r>
      <w:r>
        <w:rPr>
          <w:rFonts w:eastAsia="Palatino Linotype" w:cs="Palatino Linotype"/>
          <w:color w:val="000000" w:themeColor="text1"/>
          <w:lang w:val="es-ES"/>
        </w:rPr>
        <w:lastRenderedPageBreak/>
        <w:t>fecha diez de abril</w:t>
      </w:r>
      <w:r w:rsidRPr="1064B07E">
        <w:rPr>
          <w:rFonts w:eastAsia="Palatino Linotype" w:cs="Palatino Linotype"/>
          <w:color w:val="000000" w:themeColor="text1"/>
          <w:lang w:val="es-ES"/>
        </w:rPr>
        <w:t xml:space="preserve"> del año en curso, en términos de la fracción III del artículo 185 de la Ley de Transparencia y Acceso a la Información Pública del Estado de México y Municipios; y se otorgó al particular un término de tres días para manifestar lo que a su derecho conviniera. Por otra parte, se observa que el Recurrente no emitió manifestaciones vertió alegatos o presentó pruebas que a su derecho conviniera, del mismo modo, tampoco realizó pronunciamiento alguno respecto del Informe Justificado del Sujeto Obligado. El contenido de los documentos referidos será motivo de análisis durante el estudio respectivo.</w:t>
      </w:r>
    </w:p>
    <w:p w14:paraId="5B536618" w14:textId="7ED50870" w:rsidR="00C02596" w:rsidRPr="004C234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BD7D6E8" w:rsidR="00A970D5" w:rsidRPr="006922F5" w:rsidRDefault="001728EC" w:rsidP="006922F5">
      <w:pPr>
        <w:pStyle w:val="Ttulo2"/>
        <w:rPr>
          <w:rFonts w:eastAsia="Palatino Linotype"/>
        </w:rPr>
      </w:pPr>
      <w:r>
        <w:rPr>
          <w:rFonts w:eastAsia="Palatino Linotype"/>
        </w:rPr>
        <w:t>SÉPTIMO</w:t>
      </w:r>
      <w:r w:rsidR="00A970D5" w:rsidRPr="006922F5">
        <w:rPr>
          <w:rFonts w:eastAsia="Palatino Linotype"/>
        </w:rPr>
        <w:t>. Del cierre de instrucción.</w:t>
      </w:r>
    </w:p>
    <w:p w14:paraId="2456F4BD" w14:textId="1B15B13F"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BA5C31">
        <w:rPr>
          <w:rFonts w:eastAsia="Palatino Linotype" w:cs="Palatino Linotype"/>
          <w:color w:val="000000"/>
          <w:szCs w:val="24"/>
        </w:rPr>
        <w:t>veintitrés de abril</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Default="00FB234A" w:rsidP="006922F5">
      <w:pPr>
        <w:pBdr>
          <w:top w:val="nil"/>
          <w:left w:val="nil"/>
          <w:bottom w:val="nil"/>
          <w:right w:val="nil"/>
          <w:between w:val="nil"/>
        </w:pBdr>
        <w:contextualSpacing/>
        <w:rPr>
          <w:rFonts w:eastAsia="Palatino Linotype" w:cs="Palatino Linotype"/>
          <w:color w:val="000000"/>
          <w:szCs w:val="24"/>
        </w:rPr>
      </w:pPr>
    </w:p>
    <w:p w14:paraId="1AF1C885" w14:textId="08642A61" w:rsidR="00FB234A" w:rsidRPr="006054AA" w:rsidRDefault="001728EC" w:rsidP="00FB234A">
      <w:pPr>
        <w:pStyle w:val="Ttulo2"/>
        <w:rPr>
          <w:rFonts w:eastAsiaTheme="minorHAnsi"/>
          <w:lang w:eastAsia="en-US"/>
        </w:rPr>
      </w:pPr>
      <w:r>
        <w:rPr>
          <w:rFonts w:eastAsiaTheme="minorHAnsi"/>
          <w:lang w:eastAsia="en-US"/>
        </w:rPr>
        <w:t>OCTAVO</w:t>
      </w:r>
      <w:r w:rsidR="00FB234A" w:rsidRPr="006054AA">
        <w:rPr>
          <w:rFonts w:eastAsiaTheme="minorHAnsi"/>
          <w:lang w:eastAsia="en-US"/>
        </w:rPr>
        <w:t>. De la ampliación del término para resolver.</w:t>
      </w:r>
    </w:p>
    <w:p w14:paraId="48A643A6" w14:textId="59A42911" w:rsidR="00FB234A" w:rsidRPr="00546575" w:rsidRDefault="00FB234A" w:rsidP="00FB234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BA5C31">
        <w:rPr>
          <w:rFonts w:eastAsiaTheme="minorHAnsi" w:cstheme="minorBidi"/>
          <w:szCs w:val="24"/>
          <w:lang w:eastAsia="en-US"/>
        </w:rPr>
        <w:t>veintiséis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333CAFE0" w:rsidR="00A970D5" w:rsidRPr="006922F5" w:rsidRDefault="00FB234A" w:rsidP="006922F5">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séptimo, trigésimo octavo y trigésimo noveno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lastRenderedPageBreak/>
        <w:t xml:space="preserve">TERCERO. Cuestiones de previo y especial pronunciamiento. </w:t>
      </w:r>
    </w:p>
    <w:p w14:paraId="3832AAD4" w14:textId="77777777" w:rsidR="00C6060E" w:rsidRPr="00F34F85" w:rsidRDefault="00C6060E" w:rsidP="00C6060E">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0AD056F8" w14:textId="77777777" w:rsidR="00C6060E" w:rsidRPr="00F34F85" w:rsidRDefault="00C6060E" w:rsidP="00C6060E">
      <w:pPr>
        <w:rPr>
          <w:rFonts w:eastAsia="Palatino Linotype" w:cs="Palatino Linotype"/>
        </w:rPr>
      </w:pPr>
    </w:p>
    <w:p w14:paraId="75A5144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5908AE41"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3D11DD3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715F51A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70CC5DF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B3EA98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5DFA41D6"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64BC859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2F5D92F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3DC3F3D" w14:textId="77777777" w:rsidR="00C6060E" w:rsidRPr="00F34F85" w:rsidRDefault="00C6060E" w:rsidP="00C6060E">
      <w:pPr>
        <w:spacing w:line="240" w:lineRule="auto"/>
        <w:ind w:left="567" w:right="567"/>
        <w:rPr>
          <w:rFonts w:eastAsia="Palatino Linotype" w:cs="Palatino Linotype"/>
          <w:i/>
          <w:sz w:val="22"/>
        </w:rPr>
      </w:pPr>
    </w:p>
    <w:p w14:paraId="2372C66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05321C96" w14:textId="77777777" w:rsidR="00C6060E" w:rsidRPr="00F34F85" w:rsidRDefault="00C6060E" w:rsidP="00C6060E">
      <w:pPr>
        <w:spacing w:line="240" w:lineRule="auto"/>
        <w:ind w:left="567" w:right="567"/>
        <w:rPr>
          <w:rFonts w:eastAsia="Palatino Linotype" w:cs="Palatino Linotype"/>
          <w:i/>
          <w:sz w:val="22"/>
        </w:rPr>
      </w:pPr>
    </w:p>
    <w:p w14:paraId="6E7F5EB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2760689F" w14:textId="77777777" w:rsidR="00C6060E" w:rsidRPr="00F34F85" w:rsidRDefault="00C6060E" w:rsidP="00C6060E">
      <w:pPr>
        <w:spacing w:line="240" w:lineRule="auto"/>
        <w:ind w:left="567" w:right="567"/>
        <w:rPr>
          <w:rFonts w:eastAsia="Palatino Linotype" w:cs="Palatino Linotype"/>
          <w:i/>
          <w:sz w:val="22"/>
        </w:rPr>
      </w:pPr>
    </w:p>
    <w:p w14:paraId="389A57C8" w14:textId="77777777" w:rsidR="00C6060E" w:rsidRPr="00F34F85" w:rsidRDefault="00C6060E" w:rsidP="00C6060E">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14265A18" w14:textId="77777777" w:rsidR="00C6060E" w:rsidRPr="00F34F85" w:rsidRDefault="00C6060E" w:rsidP="00C6060E">
      <w:pPr>
        <w:rPr>
          <w:rFonts w:eastAsia="Palatino Linotype" w:cs="Palatino Linotype"/>
          <w:b/>
          <w:i/>
        </w:rPr>
      </w:pPr>
    </w:p>
    <w:p w14:paraId="1E5AF44E" w14:textId="7C0B8847" w:rsidR="00C6060E" w:rsidRPr="00F34F85" w:rsidRDefault="00C6060E" w:rsidP="00C6060E">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25B26E9" w14:textId="77777777" w:rsidR="00C6060E" w:rsidRPr="00F34F85" w:rsidRDefault="00C6060E" w:rsidP="00C6060E">
      <w:pPr>
        <w:rPr>
          <w:rFonts w:eastAsia="Palatino Linotype" w:cs="Palatino Linotype"/>
        </w:rPr>
      </w:pPr>
    </w:p>
    <w:p w14:paraId="1DF07291"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2C67E7D0" w14:textId="77777777" w:rsidR="00C6060E" w:rsidRPr="00F34F85" w:rsidRDefault="00C6060E" w:rsidP="00C6060E">
      <w:pPr>
        <w:spacing w:line="240" w:lineRule="auto"/>
        <w:ind w:left="567" w:right="567"/>
        <w:rPr>
          <w:rFonts w:eastAsia="Palatino Linotype" w:cs="Palatino Linotype"/>
          <w:i/>
          <w:sz w:val="22"/>
        </w:rPr>
      </w:pPr>
    </w:p>
    <w:p w14:paraId="2934E6D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D8781A4"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028566BE" w14:textId="77777777" w:rsidR="00C6060E" w:rsidRPr="00F34F85" w:rsidRDefault="00C6060E" w:rsidP="00C6060E">
      <w:pPr>
        <w:rPr>
          <w:rFonts w:eastAsia="Palatino Linotype" w:cs="Palatino Linotype"/>
        </w:rPr>
      </w:pPr>
    </w:p>
    <w:p w14:paraId="52C34BBB" w14:textId="36007D64" w:rsidR="00C6060E" w:rsidRPr="00F34F85" w:rsidRDefault="00C6060E" w:rsidP="00C6060E">
      <w:pPr>
        <w:rPr>
          <w:rFonts w:eastAsia="Palatino Linotype" w:cs="Palatino Linotype"/>
        </w:rPr>
      </w:pPr>
      <w:r w:rsidRPr="00F34F85">
        <w:rPr>
          <w:rFonts w:eastAsia="Palatino Linotype" w:cs="Palatino Linotype"/>
        </w:rPr>
        <w:t xml:space="preserve">Robusteciendo lo anterior se encuentra lo dispuesto en </w:t>
      </w:r>
      <w:r w:rsidR="004C2341">
        <w:rPr>
          <w:rFonts w:eastAsia="Palatino Linotype" w:cs="Palatino Linotype"/>
        </w:rPr>
        <w:t>el artículo 5 párrafos trigésimo primero</w:t>
      </w:r>
      <w:r w:rsidRPr="00F34F85">
        <w:rPr>
          <w:rFonts w:eastAsia="Palatino Linotype" w:cs="Palatino Linotype"/>
        </w:rPr>
        <w:t xml:space="preserve">, </w:t>
      </w:r>
      <w:r w:rsidR="004C2341">
        <w:rPr>
          <w:rFonts w:eastAsia="Palatino Linotype" w:cs="Palatino Linotype"/>
        </w:rPr>
        <w:t>trigésimo octavo</w:t>
      </w:r>
      <w:r w:rsidRPr="00F34F85">
        <w:rPr>
          <w:rFonts w:eastAsia="Palatino Linotype" w:cs="Palatino Linotype"/>
        </w:rPr>
        <w:t xml:space="preserve"> y </w:t>
      </w:r>
      <w:r w:rsidR="004C2341">
        <w:rPr>
          <w:rFonts w:eastAsia="Palatino Linotype" w:cs="Palatino Linotype"/>
        </w:rPr>
        <w:t>trigésimo noveno</w:t>
      </w:r>
      <w:r w:rsidRPr="00F34F85">
        <w:rPr>
          <w:rFonts w:eastAsia="Palatino Linotype" w:cs="Palatino Linotype"/>
        </w:rPr>
        <w:t xml:space="preserve"> de la Constitución Política del Estado Libre y Soberano de México, se establece lo siguiente:</w:t>
      </w:r>
    </w:p>
    <w:p w14:paraId="293D346E" w14:textId="77777777" w:rsidR="00C6060E" w:rsidRPr="00F34F85" w:rsidRDefault="00C6060E" w:rsidP="00C6060E">
      <w:pPr>
        <w:rPr>
          <w:rFonts w:eastAsia="Palatino Linotype" w:cs="Palatino Linotype"/>
        </w:rPr>
      </w:pPr>
    </w:p>
    <w:p w14:paraId="3BAEEB5E"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884DC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481D13A7" w14:textId="77777777" w:rsidR="00C6060E" w:rsidRPr="00F34F85" w:rsidRDefault="00C6060E" w:rsidP="4EE559BE">
      <w:pPr>
        <w:spacing w:line="240" w:lineRule="auto"/>
        <w:ind w:left="567" w:right="567"/>
        <w:rPr>
          <w:rFonts w:eastAsia="Palatino Linotype" w:cs="Palatino Linotype"/>
          <w:i/>
          <w:iCs/>
          <w:sz w:val="22"/>
          <w:lang w:val="es-ES"/>
        </w:rPr>
      </w:pPr>
      <w:r w:rsidRPr="4EE559BE">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E87BC4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584E6B4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3772058" w14:textId="77777777" w:rsidR="00C6060E" w:rsidRPr="00F34F85" w:rsidRDefault="00C6060E" w:rsidP="00C6060E">
      <w:pPr>
        <w:spacing w:line="240" w:lineRule="auto"/>
        <w:ind w:left="567" w:right="567"/>
        <w:rPr>
          <w:rFonts w:eastAsia="Palatino Linotype" w:cs="Palatino Linotype"/>
          <w:i/>
          <w:sz w:val="22"/>
        </w:rPr>
      </w:pPr>
    </w:p>
    <w:p w14:paraId="1C20B2BA" w14:textId="77777777" w:rsidR="00C6060E" w:rsidRPr="00F34F85" w:rsidRDefault="00C6060E" w:rsidP="00C6060E">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754C7C" w14:textId="77777777" w:rsidR="00C6060E" w:rsidRPr="00F34F85" w:rsidRDefault="00C6060E" w:rsidP="00C6060E">
      <w:pPr>
        <w:spacing w:line="240" w:lineRule="auto"/>
        <w:ind w:left="567" w:right="567"/>
        <w:rPr>
          <w:rFonts w:eastAsia="Palatino Linotype" w:cs="Palatino Linotype"/>
          <w:i/>
          <w:sz w:val="22"/>
        </w:rPr>
      </w:pPr>
    </w:p>
    <w:p w14:paraId="0803EC6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19908CC6"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5975569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lastRenderedPageBreak/>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884783"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82C1FD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2FCE5E3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02098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38353353" w14:textId="77777777" w:rsidR="00C6060E" w:rsidRPr="00F34F85" w:rsidRDefault="00C6060E" w:rsidP="00C6060E">
      <w:pPr>
        <w:ind w:left="567" w:right="567"/>
        <w:rPr>
          <w:rFonts w:eastAsia="Palatino Linotype" w:cs="Palatino Linotype"/>
        </w:rPr>
      </w:pPr>
    </w:p>
    <w:p w14:paraId="6BFECD78" w14:textId="77777777" w:rsidR="00C6060E" w:rsidRPr="00F34F85" w:rsidRDefault="00C6060E" w:rsidP="00C6060E">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291D5806" w14:textId="77777777" w:rsidR="00C6060E" w:rsidRPr="00F34F85" w:rsidRDefault="00C6060E" w:rsidP="00C6060E">
      <w:pPr>
        <w:spacing w:line="240" w:lineRule="auto"/>
        <w:ind w:left="567" w:right="567"/>
        <w:rPr>
          <w:rFonts w:eastAsia="Palatino Linotype" w:cs="Palatino Linotype"/>
        </w:rPr>
      </w:pPr>
    </w:p>
    <w:p w14:paraId="65C6B984"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C7E6E8" w14:textId="77777777" w:rsidR="00C6060E" w:rsidRPr="00F34F85" w:rsidRDefault="00C6060E" w:rsidP="00C6060E">
      <w:pPr>
        <w:spacing w:line="240" w:lineRule="auto"/>
        <w:ind w:left="567" w:right="567"/>
        <w:rPr>
          <w:rFonts w:eastAsia="Palatino Linotype" w:cs="Palatino Linotype"/>
          <w:i/>
          <w:sz w:val="22"/>
        </w:rPr>
      </w:pPr>
    </w:p>
    <w:p w14:paraId="76F1FF9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CE7FFC1" w14:textId="77777777" w:rsidR="00C6060E" w:rsidRPr="00F34F85" w:rsidRDefault="00C6060E" w:rsidP="00C6060E">
      <w:pPr>
        <w:spacing w:line="240" w:lineRule="auto"/>
        <w:ind w:left="567" w:right="567"/>
        <w:rPr>
          <w:rFonts w:eastAsia="Palatino Linotype" w:cs="Palatino Linotype"/>
          <w:i/>
          <w:sz w:val="22"/>
        </w:rPr>
      </w:pPr>
    </w:p>
    <w:p w14:paraId="2B4B6129"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DB37C4" w14:textId="77777777" w:rsidR="00C6060E" w:rsidRPr="00F34F85" w:rsidRDefault="00C6060E" w:rsidP="00C6060E">
      <w:pPr>
        <w:ind w:left="567" w:right="567"/>
        <w:rPr>
          <w:rFonts w:eastAsia="Palatino Linotype" w:cs="Palatino Linotype"/>
        </w:rPr>
      </w:pPr>
    </w:p>
    <w:p w14:paraId="45F713D3" w14:textId="77777777" w:rsidR="00C6060E" w:rsidRPr="00F34F85" w:rsidRDefault="00C6060E" w:rsidP="00C6060E">
      <w:pPr>
        <w:rPr>
          <w:rFonts w:eastAsia="Palatino Linotype" w:cs="Palatino Linotype"/>
        </w:rPr>
      </w:pPr>
      <w:r w:rsidRPr="00F34F85">
        <w:rPr>
          <w:rFonts w:eastAsia="Palatino Linotype" w:cs="Palatino Linotype"/>
        </w:rPr>
        <w:t xml:space="preserve">Por lo cual, de una interpretación sistemática, conforme y progresiva del derecho humano de acceso a la información pública se aprecia que toda persona, sin necesidad de </w:t>
      </w:r>
      <w:r w:rsidRPr="00F34F85">
        <w:rPr>
          <w:rFonts w:eastAsia="Palatino Linotype" w:cs="Palatino Linotype"/>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C05347" w14:textId="77777777" w:rsidR="00C6060E" w:rsidRPr="00F34F85" w:rsidRDefault="00C6060E" w:rsidP="00C6060E">
      <w:pPr>
        <w:rPr>
          <w:rFonts w:eastAsia="Palatino Linotype" w:cs="Palatino Linotype"/>
        </w:rPr>
      </w:pPr>
    </w:p>
    <w:p w14:paraId="1747AB87" w14:textId="77777777" w:rsidR="00C6060E" w:rsidRPr="00F34F85" w:rsidRDefault="00C6060E" w:rsidP="00C6060E">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w:t>
      </w:r>
      <w:r w:rsidRPr="44E9108F">
        <w:rPr>
          <w:rFonts w:eastAsia="Palatino Linotype" w:cs="Palatino Linotype"/>
          <w:color w:val="000000"/>
          <w:lang w:val="es-ES"/>
        </w:rPr>
        <w:lastRenderedPageBreak/>
        <w:t>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6922F5" w:rsidRDefault="00B670F0" w:rsidP="00454915">
      <w:pPr>
        <w:pStyle w:val="Ttulo2"/>
        <w:rPr>
          <w:rFonts w:eastAsia="Palatino Linotype"/>
        </w:rPr>
      </w:pPr>
      <w:r>
        <w:rPr>
          <w:rFonts w:eastAsia="Palatino Linotype"/>
        </w:rPr>
        <w:lastRenderedPageBreak/>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0BE20FA7" w14:textId="77777777" w:rsidR="004E3B34" w:rsidRDefault="0EE28084" w:rsidP="00D31CA9">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 requirió</w:t>
      </w:r>
      <w:r w:rsidR="004E3B34">
        <w:rPr>
          <w:rFonts w:eastAsiaTheme="minorEastAsia" w:cstheme="minorBidi"/>
          <w:lang w:val="es-ES" w:eastAsia="en-US"/>
        </w:rPr>
        <w:t>, respecto del personal adscrito al Sujeto Obligado y al día diecinueve de febrero del año en curso, la entrega de lo siguiente:</w:t>
      </w:r>
    </w:p>
    <w:p w14:paraId="7DA5C295" w14:textId="77777777" w:rsidR="004E3B34" w:rsidRDefault="004E3B34" w:rsidP="00D31CA9">
      <w:pPr>
        <w:rPr>
          <w:rFonts w:eastAsiaTheme="minorEastAsia" w:cstheme="minorBidi"/>
          <w:lang w:val="es-ES" w:eastAsia="en-US"/>
        </w:rPr>
      </w:pPr>
    </w:p>
    <w:p w14:paraId="5B26C57D" w14:textId="098DA035" w:rsidR="004E3B34" w:rsidRPr="004E3B34" w:rsidRDefault="004E3B34" w:rsidP="004E3B34">
      <w:pPr>
        <w:pStyle w:val="Prrafodelista"/>
        <w:numPr>
          <w:ilvl w:val="0"/>
          <w:numId w:val="63"/>
        </w:numPr>
        <w:rPr>
          <w:rFonts w:eastAsiaTheme="minorEastAsia" w:cstheme="minorBidi"/>
          <w:lang w:eastAsia="en-US"/>
        </w:rPr>
      </w:pPr>
      <w:r w:rsidRPr="004E3B34">
        <w:rPr>
          <w:rFonts w:eastAsiaTheme="minorEastAsia" w:cstheme="minorBidi"/>
          <w:lang w:eastAsia="en-US"/>
        </w:rPr>
        <w:t>Directorio.</w:t>
      </w:r>
    </w:p>
    <w:p w14:paraId="4D1C182B" w14:textId="1947C794" w:rsidR="004E3B34" w:rsidRPr="004E3B34" w:rsidRDefault="004E3B34" w:rsidP="004E3B34">
      <w:pPr>
        <w:pStyle w:val="Prrafodelista"/>
        <w:numPr>
          <w:ilvl w:val="0"/>
          <w:numId w:val="63"/>
        </w:numPr>
        <w:rPr>
          <w:rFonts w:eastAsiaTheme="minorEastAsia" w:cstheme="minorBidi"/>
          <w:lang w:eastAsia="en-US"/>
        </w:rPr>
      </w:pPr>
      <w:r w:rsidRPr="004E3B34">
        <w:rPr>
          <w:rFonts w:eastAsiaTheme="minorEastAsia" w:cstheme="minorBidi"/>
          <w:lang w:eastAsia="en-US"/>
        </w:rPr>
        <w:t>Sueldos.</w:t>
      </w:r>
    </w:p>
    <w:p w14:paraId="0AB312B2" w14:textId="71C046B0" w:rsidR="004E3B34" w:rsidRPr="004E3B34" w:rsidRDefault="004E3B34" w:rsidP="004E3B34">
      <w:pPr>
        <w:pStyle w:val="Prrafodelista"/>
        <w:numPr>
          <w:ilvl w:val="0"/>
          <w:numId w:val="63"/>
        </w:numPr>
        <w:rPr>
          <w:rFonts w:eastAsiaTheme="minorEastAsia" w:cstheme="minorBidi"/>
          <w:lang w:eastAsia="en-US"/>
        </w:rPr>
      </w:pPr>
      <w:r w:rsidRPr="004E3B34">
        <w:rPr>
          <w:rFonts w:eastAsiaTheme="minorEastAsia" w:cstheme="minorBidi"/>
          <w:lang w:eastAsia="en-US"/>
        </w:rPr>
        <w:t>Currículos.</w:t>
      </w:r>
    </w:p>
    <w:p w14:paraId="7193478D" w14:textId="539A5F62" w:rsidR="00012F8B" w:rsidRDefault="00012F8B" w:rsidP="00D31CA9">
      <w:pPr>
        <w:rPr>
          <w:rFonts w:eastAsiaTheme="minorEastAsia" w:cstheme="minorBidi"/>
          <w:lang w:eastAsia="en-US"/>
        </w:rPr>
      </w:pPr>
    </w:p>
    <w:p w14:paraId="3F86D098" w14:textId="6BD5FA23" w:rsidR="009346B4" w:rsidRDefault="00A970D5" w:rsidP="00183BC3">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w:t>
      </w:r>
      <w:r w:rsidR="001C4CBF" w:rsidRPr="3F7020EE">
        <w:rPr>
          <w:rFonts w:eastAsia="Palatino Linotype" w:cs="Palatino Linotype"/>
          <w:color w:val="000000" w:themeColor="text1"/>
        </w:rPr>
        <w:t>respondió</w:t>
      </w:r>
      <w:r w:rsidR="006D6CD1" w:rsidRPr="3F7020EE">
        <w:rPr>
          <w:rFonts w:eastAsia="Palatino Linotype" w:cs="Palatino Linotype"/>
          <w:color w:val="000000" w:themeColor="text1"/>
        </w:rPr>
        <w:t xml:space="preserve"> </w:t>
      </w:r>
      <w:r w:rsidR="004E3B34">
        <w:rPr>
          <w:rFonts w:eastAsia="Palatino Linotype" w:cs="Palatino Linotype"/>
          <w:color w:val="000000" w:themeColor="text1"/>
        </w:rPr>
        <w:t>mediante la entrega del siguiente documento:</w:t>
      </w:r>
    </w:p>
    <w:p w14:paraId="0AEA0E26" w14:textId="77777777" w:rsidR="004E3B34" w:rsidRDefault="004E3B34" w:rsidP="00183BC3">
      <w:pPr>
        <w:pBdr>
          <w:top w:val="nil"/>
          <w:left w:val="nil"/>
          <w:bottom w:val="nil"/>
          <w:right w:val="nil"/>
          <w:between w:val="nil"/>
        </w:pBdr>
        <w:contextualSpacing/>
        <w:rPr>
          <w:rFonts w:eastAsia="Palatino Linotype" w:cs="Palatino Linotype"/>
          <w:color w:val="000000" w:themeColor="text1"/>
        </w:rPr>
      </w:pPr>
    </w:p>
    <w:p w14:paraId="502D7DFA" w14:textId="4D8BD813" w:rsidR="004E3B34" w:rsidRPr="004E3B34" w:rsidRDefault="004E3B34" w:rsidP="004E3B34">
      <w:pPr>
        <w:pStyle w:val="Prrafodelista"/>
        <w:numPr>
          <w:ilvl w:val="0"/>
          <w:numId w:val="64"/>
        </w:numPr>
        <w:pBdr>
          <w:top w:val="nil"/>
          <w:left w:val="nil"/>
          <w:bottom w:val="nil"/>
          <w:right w:val="nil"/>
          <w:between w:val="nil"/>
        </w:pBdr>
        <w:contextualSpacing/>
        <w:rPr>
          <w:rFonts w:eastAsia="Palatino Linotype" w:cs="Palatino Linotype"/>
          <w:color w:val="000000" w:themeColor="text1"/>
        </w:rPr>
      </w:pPr>
      <w:r w:rsidRPr="004E3B34">
        <w:rPr>
          <w:rFonts w:eastAsia="Palatino Linotype" w:cs="Palatino Linotype"/>
          <w:b/>
          <w:color w:val="000000" w:themeColor="text1"/>
        </w:rPr>
        <w:t>SAP-ADFIN-RH-116-2025 R0014.pdf</w:t>
      </w:r>
      <w:r>
        <w:rPr>
          <w:rFonts w:eastAsia="Palatino Linotype" w:cs="Palatino Linotype"/>
          <w:color w:val="000000" w:themeColor="text1"/>
        </w:rPr>
        <w:t xml:space="preserve">. Oficio SAP/ADFIN/RH/116/2025 suscrito por el Encargado del Despacho del Departamento de Recurso Humanos de la </w:t>
      </w:r>
      <w:r>
        <w:rPr>
          <w:rFonts w:eastAsia="Palatino Linotype" w:cs="Palatino Linotype"/>
          <w:color w:val="000000" w:themeColor="text1"/>
        </w:rPr>
        <w:lastRenderedPageBreak/>
        <w:t>Subdirección de Administración y Finanzas, mediante el cual se señaló que la información solicitada ya se encuentra en la página de internet de Información Pública de Oficio Mexiquense (IPOMEX), proporcionando las ligas para la página general y para las fracciones relativas a las remuneraciones, directorio e información curricular en formato cerrado.</w:t>
      </w:r>
    </w:p>
    <w:p w14:paraId="7C46C62B" w14:textId="77777777" w:rsidR="004E3B34" w:rsidRDefault="004E3B34" w:rsidP="00183BC3">
      <w:pPr>
        <w:pBdr>
          <w:top w:val="nil"/>
          <w:left w:val="nil"/>
          <w:bottom w:val="nil"/>
          <w:right w:val="nil"/>
          <w:between w:val="nil"/>
        </w:pBdr>
        <w:contextualSpacing/>
        <w:rPr>
          <w:rFonts w:eastAsia="Palatino Linotype" w:cs="Palatino Linotype"/>
          <w:color w:val="000000" w:themeColor="text1"/>
        </w:rPr>
      </w:pPr>
    </w:p>
    <w:p w14:paraId="6128DFF4" w14:textId="5CA3D77D" w:rsidR="00A970D5" w:rsidRPr="00D06465"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3526EA">
        <w:rPr>
          <w:rFonts w:eastAsia="Palatino Linotype" w:cs="Palatino Linotype"/>
          <w:color w:val="000000" w:themeColor="text1"/>
          <w:lang w:val="es-ES"/>
        </w:rPr>
        <w:t>y</w:t>
      </w:r>
      <w:r w:rsidR="001C407C">
        <w:rPr>
          <w:rFonts w:eastAsia="Palatino Linotype" w:cs="Palatino Linotype"/>
          <w:color w:val="000000" w:themeColor="text1"/>
          <w:lang w:val="es-ES"/>
        </w:rPr>
        <w:t xml:space="preserve"> razones o </w:t>
      </w:r>
      <w:r w:rsidR="00957B95">
        <w:rPr>
          <w:rFonts w:eastAsia="Palatino Linotype" w:cs="Palatino Linotype"/>
          <w:color w:val="000000" w:themeColor="text1"/>
          <w:lang w:val="es-ES"/>
        </w:rPr>
        <w:t>motivos de inconformidad la negativa de la información</w:t>
      </w:r>
      <w:r w:rsidR="003526EA" w:rsidRPr="00957B95">
        <w:rPr>
          <w:rFonts w:eastAsia="Palatino Linotype" w:cs="Palatino Linotype"/>
          <w:color w:val="000000" w:themeColor="text1"/>
          <w:lang w:val="es-ES"/>
        </w:rPr>
        <w:t>.</w:t>
      </w:r>
    </w:p>
    <w:p w14:paraId="4A6500B8" w14:textId="77777777" w:rsidR="008F50E6" w:rsidRDefault="008F50E6" w:rsidP="00A04222"/>
    <w:p w14:paraId="33F77DBC" w14:textId="6516AAE1" w:rsidR="007B799D" w:rsidRDefault="00957B95" w:rsidP="007B799D">
      <w:r>
        <w:t>Durante la etapa de manifestaciones, el Sujeto Obligado rindió su Informe Justificado mediante la entrega de los siguientes documentos:</w:t>
      </w:r>
    </w:p>
    <w:p w14:paraId="31A6779E" w14:textId="77777777" w:rsidR="00957B95" w:rsidRDefault="00957B95" w:rsidP="007B799D"/>
    <w:p w14:paraId="1C618E57" w14:textId="6BDA07E8" w:rsidR="00957B95" w:rsidRPr="00957B95" w:rsidRDefault="00957B95" w:rsidP="00957B95">
      <w:pPr>
        <w:pStyle w:val="Prrafodelista"/>
        <w:numPr>
          <w:ilvl w:val="0"/>
          <w:numId w:val="65"/>
        </w:numPr>
        <w:rPr>
          <w:bCs/>
        </w:rPr>
      </w:pPr>
      <w:r w:rsidRPr="00957B95">
        <w:rPr>
          <w:b/>
          <w:bCs/>
        </w:rPr>
        <w:t>SAPASNIR-UPMRyT-110-2025 Inf.pdf</w:t>
      </w:r>
      <w:r w:rsidRPr="00957B95">
        <w:rPr>
          <w:bCs/>
        </w:rPr>
        <w:t>.</w:t>
      </w:r>
      <w:r w:rsidR="00B72258">
        <w:rPr>
          <w:bCs/>
        </w:rPr>
        <w:t xml:space="preserve"> Oficio SAPASNIR/</w:t>
      </w:r>
      <w:proofErr w:type="spellStart"/>
      <w:r w:rsidR="00B72258">
        <w:rPr>
          <w:bCs/>
        </w:rPr>
        <w:t>UPMRyT</w:t>
      </w:r>
      <w:proofErr w:type="spellEnd"/>
      <w:r w:rsidR="00B72258">
        <w:rPr>
          <w:bCs/>
        </w:rPr>
        <w:t xml:space="preserve">/110/2025 emitido por el Encargado de Despacho de la Unidad de Planeación, Mejora Regulatoria y Transparencia, por medio del cual se refiere que se adjunta el oficio original de respuesta en versión electrónica para que con un solo </w:t>
      </w:r>
      <w:proofErr w:type="spellStart"/>
      <w:r w:rsidR="00B72258">
        <w:rPr>
          <w:bCs/>
        </w:rPr>
        <w:t>click</w:t>
      </w:r>
      <w:proofErr w:type="spellEnd"/>
      <w:r w:rsidR="00B72258">
        <w:rPr>
          <w:bCs/>
        </w:rPr>
        <w:t xml:space="preserve"> acceda a las fracciones del portal mencionadas</w:t>
      </w:r>
      <w:r w:rsidR="00172725">
        <w:rPr>
          <w:bCs/>
        </w:rPr>
        <w:t>.</w:t>
      </w:r>
    </w:p>
    <w:p w14:paraId="5A47C83B" w14:textId="12DB28A2" w:rsidR="00957B95" w:rsidRPr="00957B95" w:rsidRDefault="00957B95" w:rsidP="00957B95">
      <w:pPr>
        <w:pStyle w:val="Prrafodelista"/>
        <w:numPr>
          <w:ilvl w:val="0"/>
          <w:numId w:val="65"/>
        </w:numPr>
      </w:pPr>
      <w:r w:rsidRPr="00957B95">
        <w:rPr>
          <w:b/>
          <w:bCs/>
        </w:rPr>
        <w:t>SAP-ADFIN-RH-116-2025 R0014 RR.pdf</w:t>
      </w:r>
      <w:r w:rsidRPr="00957B95">
        <w:rPr>
          <w:bCs/>
        </w:rPr>
        <w:t>.</w:t>
      </w:r>
      <w:r w:rsidR="00172725">
        <w:rPr>
          <w:bCs/>
        </w:rPr>
        <w:t xml:space="preserve"> Oficio remitido en respuesta a la solicitud en la que se proporcionan las ligas referidas</w:t>
      </w:r>
      <w:r w:rsidR="00EB7927">
        <w:rPr>
          <w:bCs/>
        </w:rPr>
        <w:t>, pero</w:t>
      </w:r>
      <w:r w:rsidR="00172725">
        <w:rPr>
          <w:bCs/>
        </w:rPr>
        <w:t xml:space="preserve"> en formato abierto.</w:t>
      </w:r>
    </w:p>
    <w:p w14:paraId="07139A15" w14:textId="77777777" w:rsidR="00BE576A" w:rsidRDefault="00BE576A" w:rsidP="00BE576A">
      <w:pPr>
        <w:pBdr>
          <w:top w:val="nil"/>
          <w:left w:val="nil"/>
          <w:bottom w:val="nil"/>
          <w:right w:val="nil"/>
          <w:between w:val="nil"/>
        </w:pBdr>
        <w:contextualSpacing/>
        <w:rPr>
          <w:rFonts w:eastAsia="Palatino Linotype" w:cs="Palatino Linotype"/>
          <w:color w:val="000000"/>
          <w:szCs w:val="24"/>
        </w:rPr>
      </w:pPr>
    </w:p>
    <w:p w14:paraId="1F5B80C3" w14:textId="0813C533" w:rsidR="00172725" w:rsidRDefault="00172725"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Por su parte, el Recurrente no realizó manifestaciones, vertió alegatos ni presentó pruebas que a su derecho convengan; así como tampoco se pronunció respecto del Informe Justificado rendido por el Sujeto Obligado.</w:t>
      </w:r>
    </w:p>
    <w:p w14:paraId="14676F9E" w14:textId="77777777" w:rsidR="00172725" w:rsidRDefault="00172725"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6922F5">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sidR="005E625F">
        <w:rPr>
          <w:rFonts w:eastAsia="Palatino Linotype" w:cs="Palatino Linotype"/>
          <w:szCs w:val="24"/>
        </w:rPr>
        <w:t>V</w:t>
      </w:r>
      <w:r w:rsidRPr="006922F5">
        <w:rPr>
          <w:rFonts w:eastAsia="Palatino Linotype" w:cs="Palatino Linotype"/>
          <w:szCs w:val="24"/>
        </w:rPr>
        <w:t>, lo siguiente:</w:t>
      </w:r>
    </w:p>
    <w:p w14:paraId="2225C7E4" w14:textId="77777777" w:rsidR="006100FC" w:rsidRPr="006922F5"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9A7D78C" w:rsidR="006100FC" w:rsidRPr="006922F5" w:rsidRDefault="006100FC" w:rsidP="006100FC">
      <w:pPr>
        <w:pStyle w:val="Fundamentos"/>
      </w:pPr>
      <w:r w:rsidRPr="006922F5">
        <w:rPr>
          <w:b/>
          <w:bCs/>
        </w:rPr>
        <w:t>I</w:t>
      </w:r>
      <w:r w:rsidR="005E625F">
        <w:rPr>
          <w:b/>
          <w:bCs/>
        </w:rPr>
        <w:t>V</w:t>
      </w:r>
      <w:r w:rsidRPr="006922F5">
        <w:rPr>
          <w:b/>
          <w:bCs/>
        </w:rPr>
        <w:t>.</w:t>
      </w:r>
      <w:r>
        <w:rPr>
          <w:b/>
          <w:bCs/>
        </w:rPr>
        <w:t xml:space="preserve"> </w:t>
      </w:r>
      <w:r w:rsidR="005E625F">
        <w:t>Los</w:t>
      </w:r>
      <w:r w:rsidRPr="006922F5">
        <w:t xml:space="preserve"> </w:t>
      </w:r>
      <w:r w:rsidR="00726486" w:rsidRPr="00726486">
        <w:t>ayuntamientos y las dependencias, organismos, órganos y entidades de la administración municipal</w:t>
      </w:r>
      <w:r w:rsidRPr="006922F5">
        <w:t>;</w:t>
      </w:r>
    </w:p>
    <w:p w14:paraId="20F34654" w14:textId="77777777" w:rsidR="006100FC" w:rsidRPr="006922F5" w:rsidRDefault="006100FC" w:rsidP="006100FC">
      <w:pPr>
        <w:pStyle w:val="Fundamentos"/>
      </w:pPr>
      <w:r>
        <w:lastRenderedPageBreak/>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72504E4B" w:rsidR="00737EBC" w:rsidRPr="00172725" w:rsidRDefault="00737EBC" w:rsidP="006100FC">
      <w:r>
        <w:t xml:space="preserve">Asimismo, </w:t>
      </w:r>
      <w:r w:rsidR="00726486">
        <w:t>de</w:t>
      </w:r>
      <w:r w:rsidR="00942EC6">
        <w:t xml:space="preserve"> </w:t>
      </w:r>
      <w:r>
        <w:t xml:space="preserve">los motivos de inconformidad expresados por </w:t>
      </w:r>
      <w:r w:rsidR="00942EC6">
        <w:t>el</w:t>
      </w:r>
      <w:r>
        <w:t xml:space="preserve"> Recurrente, se estima que en el presente caso se actualizó la causal de procedencia del recurso de revisión</w:t>
      </w:r>
      <w:r w:rsidR="00392DAC">
        <w:t xml:space="preserve"> prevista </w:t>
      </w:r>
      <w:r w:rsidR="00392DAC" w:rsidRPr="00172725">
        <w:t>en la fracci</w:t>
      </w:r>
      <w:r w:rsidR="00942EC6" w:rsidRPr="00172725">
        <w:t>ón</w:t>
      </w:r>
      <w:r w:rsidR="00392DAC" w:rsidRPr="00172725">
        <w:t xml:space="preserve"> I</w:t>
      </w:r>
      <w:r w:rsidR="006E1158" w:rsidRPr="00172725">
        <w:t xml:space="preserve"> del artículo 179 de la Ley de Transparencia local, que a la letra es</w:t>
      </w:r>
      <w:r w:rsidR="0090120A" w:rsidRPr="00172725">
        <w:t>tipula lo siguiente:</w:t>
      </w:r>
    </w:p>
    <w:p w14:paraId="5EC36975" w14:textId="77777777" w:rsidR="0090120A" w:rsidRPr="00172725" w:rsidRDefault="0090120A" w:rsidP="006100FC"/>
    <w:p w14:paraId="24B98DEE" w14:textId="77777777" w:rsidR="009A41B1" w:rsidRPr="00172725" w:rsidRDefault="009A41B1" w:rsidP="007A5010">
      <w:pPr>
        <w:pStyle w:val="Fundamentos"/>
        <w:rPr>
          <w:lang w:val="es-MX"/>
        </w:rPr>
      </w:pPr>
      <w:r w:rsidRPr="00172725">
        <w:rPr>
          <w:b/>
          <w:lang w:val="es-MX"/>
        </w:rPr>
        <w:t xml:space="preserve">Artículo 179. </w:t>
      </w:r>
      <w:r w:rsidRPr="00172725">
        <w:rPr>
          <w:lang w:val="es-MX"/>
        </w:rPr>
        <w:t>El recurso de revisión es un medio de protección que la Ley otorga a los particulares, para hacer valer su derecho de acceso a la información pública, y procederá en contra de las siguientes causas:</w:t>
      </w:r>
    </w:p>
    <w:p w14:paraId="7C233B4F" w14:textId="5CA00634" w:rsidR="0090120A" w:rsidRPr="00172725" w:rsidRDefault="0090120A" w:rsidP="007A5010">
      <w:pPr>
        <w:pStyle w:val="Fundamentos"/>
        <w:rPr>
          <w:lang w:val="es-MX"/>
        </w:rPr>
      </w:pPr>
    </w:p>
    <w:p w14:paraId="5C4DD805" w14:textId="0D51E9FF" w:rsidR="009A41B1" w:rsidRPr="00172725" w:rsidRDefault="00FD005D" w:rsidP="00392DAC">
      <w:pPr>
        <w:pStyle w:val="Fundamentos"/>
      </w:pPr>
      <w:r w:rsidRPr="00172725">
        <w:rPr>
          <w:b/>
          <w:lang w:val="es-ES"/>
        </w:rPr>
        <w:t>I</w:t>
      </w:r>
      <w:r w:rsidR="00392DAC" w:rsidRPr="00172725">
        <w:rPr>
          <w:b/>
          <w:lang w:val="es-ES"/>
        </w:rPr>
        <w:t>.</w:t>
      </w:r>
      <w:r w:rsidR="00392DAC" w:rsidRPr="00172725">
        <w:rPr>
          <w:lang w:val="es-ES"/>
        </w:rPr>
        <w:t xml:space="preserve"> </w:t>
      </w:r>
      <w:r w:rsidR="44E9108F" w:rsidRPr="00172725">
        <w:rPr>
          <w:lang w:val="es-ES"/>
        </w:rPr>
        <w:t xml:space="preserve">La </w:t>
      </w:r>
      <w:r w:rsidR="007F0D9B" w:rsidRPr="00172725">
        <w:rPr>
          <w:lang w:val="es-ES"/>
        </w:rPr>
        <w:t>negativa a la información solicitada</w:t>
      </w:r>
      <w:r w:rsidR="44E9108F" w:rsidRPr="00172725">
        <w:rPr>
          <w:lang w:val="es-ES"/>
        </w:rPr>
        <w:t>;</w:t>
      </w:r>
    </w:p>
    <w:p w14:paraId="7DA613D5" w14:textId="0F80D5F5" w:rsidR="00392DAC" w:rsidRDefault="007A5010" w:rsidP="00291F65">
      <w:pPr>
        <w:pStyle w:val="Fundamentos"/>
      </w:pPr>
      <w:r w:rsidRPr="00172725">
        <w:t>[…]</w:t>
      </w:r>
    </w:p>
    <w:p w14:paraId="34F693E7" w14:textId="77777777" w:rsidR="009A41B1" w:rsidRDefault="009A41B1" w:rsidP="006100FC"/>
    <w:p w14:paraId="3184BD01" w14:textId="05401581" w:rsidR="00172725" w:rsidRDefault="006100FC" w:rsidP="00172725">
      <w:pPr>
        <w:ind w:left="-20" w:right="-20"/>
      </w:pPr>
      <w:r w:rsidRPr="35EB3152">
        <w:rPr>
          <w:lang w:val="es-ES"/>
        </w:rPr>
        <w:t xml:space="preserve">En segundo término, </w:t>
      </w:r>
      <w:r w:rsidR="00CA59E3" w:rsidRPr="35EB3152">
        <w:rPr>
          <w:lang w:val="es-ES"/>
        </w:rPr>
        <w:t xml:space="preserve">se </w:t>
      </w:r>
      <w:r w:rsidR="009357CD" w:rsidRPr="35EB3152">
        <w:rPr>
          <w:lang w:val="es-ES"/>
        </w:rPr>
        <w:t>tiene</w:t>
      </w:r>
      <w:r w:rsidR="00CA59E3" w:rsidRPr="35EB3152">
        <w:rPr>
          <w:lang w:val="es-ES"/>
        </w:rPr>
        <w:t xml:space="preserve"> que el </w:t>
      </w:r>
      <w:r w:rsidR="00172725">
        <w:rPr>
          <w:lang w:val="es-ES"/>
        </w:rPr>
        <w:t xml:space="preserve">Sujeto Obligado </w:t>
      </w:r>
      <w:r w:rsidR="00172725" w:rsidRPr="2CE7142E">
        <w:rPr>
          <w:rFonts w:eastAsia="Palatino Linotype" w:cs="Palatino Linotype"/>
          <w:lang w:val="es-ES"/>
        </w:rPr>
        <w:t xml:space="preserve">no negó contar con la información solicitada; por el contrario, </w:t>
      </w:r>
      <w:r w:rsidR="00172725">
        <w:rPr>
          <w:rFonts w:eastAsia="Palatino Linotype" w:cs="Palatino Linotype"/>
          <w:lang w:val="es-ES"/>
        </w:rPr>
        <w:t xml:space="preserve">manifestó que </w:t>
      </w:r>
      <w:r w:rsidR="009F39BF">
        <w:rPr>
          <w:rFonts w:eastAsia="Palatino Linotype" w:cs="Palatino Linotype"/>
          <w:lang w:val="es-ES"/>
        </w:rPr>
        <w:t>los datos requeridos se entraban publicados en el portal IPOMEX, proporcionando las ligas para su consulta</w:t>
      </w:r>
      <w:r w:rsidR="00172725" w:rsidRPr="2CE7142E">
        <w:rPr>
          <w:rFonts w:eastAsia="Palatino Linotype" w:cs="Palatino Linotype"/>
          <w:lang w:val="es-ES"/>
        </w:rPr>
        <w:t>. Por tanto, se debe entender que el Sujeto Obligado cuenta con las atribuciones, competencias o facultades para generar, poseer o administrar la información solicitada; esto dado que aceptó expresamente que cuenta con</w:t>
      </w:r>
      <w:r w:rsidR="009F39BF">
        <w:rPr>
          <w:rFonts w:eastAsia="Palatino Linotype" w:cs="Palatino Linotype"/>
          <w:lang w:val="es-ES"/>
        </w:rPr>
        <w:t xml:space="preserve"> la información solicitada y ésta se encuentra publicada</w:t>
      </w:r>
      <w:r w:rsidR="00172725" w:rsidRPr="2CE7142E">
        <w:rPr>
          <w:rFonts w:eastAsia="Palatino Linotype" w:cs="Palatino Linotype"/>
          <w:lang w:val="es-ES"/>
        </w:rPr>
        <w:t xml:space="preserve">, por </w:t>
      </w:r>
      <w:r w:rsidR="00172725" w:rsidRPr="2CE7142E">
        <w:rPr>
          <w:rFonts w:eastAsia="Palatino Linotype" w:cs="Palatino Linotype"/>
          <w:lang w:val="es-ES"/>
        </w:rPr>
        <w:lastRenderedPageBreak/>
        <w:t>ende, es dable omitir el estudio respecto de la fuente obligación para generar, poseer o administrar la información solicitada.</w:t>
      </w:r>
    </w:p>
    <w:p w14:paraId="4C539C04" w14:textId="77777777" w:rsidR="00172725" w:rsidRDefault="00172725" w:rsidP="00172725">
      <w:pPr>
        <w:ind w:left="-20" w:right="-20"/>
      </w:pPr>
      <w:r w:rsidRPr="2CE7142E">
        <w:rPr>
          <w:rFonts w:eastAsia="Palatino Linotype" w:cs="Palatino Linotype"/>
          <w:lang w:val="es-ES"/>
        </w:rPr>
        <w:t xml:space="preserve"> </w:t>
      </w:r>
    </w:p>
    <w:p w14:paraId="3E951853" w14:textId="77777777" w:rsidR="00172725" w:rsidRDefault="00172725" w:rsidP="00172725">
      <w:pPr>
        <w:ind w:left="-20" w:right="-20"/>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5DC3FDD1" w14:textId="6E9DA9B7" w:rsidR="00172725" w:rsidRDefault="00172725" w:rsidP="00637679">
      <w:pPr>
        <w:rPr>
          <w:lang w:val="es-ES"/>
        </w:rPr>
      </w:pPr>
    </w:p>
    <w:p w14:paraId="1A473B84" w14:textId="67F865A4" w:rsidR="009F39BF" w:rsidRDefault="009F39BF" w:rsidP="009F39BF">
      <w:r>
        <w:rPr>
          <w:lang w:val="es-ES"/>
        </w:rPr>
        <w:t xml:space="preserve">Ahora bien, se debe enfatizar que el Sujeto Obligado proporcionó las ligas para la consulta de información </w:t>
      </w:r>
      <w:r>
        <w:t>proporcionado en un formato cerrado; es decir, implica que el particular transcriba la liga, lo que pudiera generar la existencia de un error humano al momento de su captura y, por ende, hacer imposible su consulta, por lo que el Recurrente consideró que se negó la entrega de lo requerido.</w:t>
      </w:r>
    </w:p>
    <w:p w14:paraId="2110BD87" w14:textId="633FA8C8" w:rsidR="00172725" w:rsidRDefault="00172725" w:rsidP="00637679">
      <w:pPr>
        <w:rPr>
          <w:lang w:val="es-ES"/>
        </w:rPr>
      </w:pPr>
    </w:p>
    <w:p w14:paraId="05D60EAF" w14:textId="77777777" w:rsidR="009F39BF" w:rsidRDefault="009F39BF" w:rsidP="009F39BF">
      <w:r>
        <w:t>Derivado de lo anterior, cabe destacar que Trujillo, Humberto (2019), en el Diccionario de Transparencia y Acceso a la Información Pública (p. 136 y 137), señala que, cuando un Sujeto Obligado proporciona información pública de manera electrónica, es necesario garantizar su interoperabilidad, lo que implica que la información contenga datos en formatos y estándares abiertos para su reproducción y reutilización electrónica de manera libre y sin ninguna restricción.</w:t>
      </w:r>
    </w:p>
    <w:p w14:paraId="7FFE03F2" w14:textId="77777777" w:rsidR="009F39BF" w:rsidRDefault="009F39BF" w:rsidP="009F39BF"/>
    <w:p w14:paraId="4EEA59D8" w14:textId="77777777" w:rsidR="009F39BF" w:rsidRDefault="009F39BF" w:rsidP="009F39BF">
      <w:r>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F8581EC" w14:textId="77777777" w:rsidR="009F39BF" w:rsidRDefault="009F39BF" w:rsidP="009F39BF"/>
    <w:p w14:paraId="0FD5F508" w14:textId="77777777" w:rsidR="009F39BF" w:rsidRDefault="009F39BF" w:rsidP="009F39BF">
      <w:r>
        <w:t>Derivado de lo anterior, se considera necesario precisar que datos abiertos, conforme a la Carta Internacional de Datos Abiertos</w:t>
      </w:r>
      <w:r>
        <w:rPr>
          <w:rStyle w:val="Refdenotaalpie"/>
        </w:rPr>
        <w:footnoteReference w:id="3"/>
      </w:r>
      <w:r>
        <w:t xml:space="preserve"> son datos digitales que son puestos a disposición con las características técnicas y jurídicas necesarias para que puedan ser usados, reutilizados y redistribuidos libremente por cualquier persona, en cualquier momento y en cualquier lugar.</w:t>
      </w:r>
    </w:p>
    <w:p w14:paraId="1E25F386" w14:textId="77777777" w:rsidR="009F39BF" w:rsidRDefault="009F39BF" w:rsidP="009F39BF"/>
    <w:p w14:paraId="30FC1753" w14:textId="77777777" w:rsidR="009F39BF" w:rsidRDefault="009F39BF" w:rsidP="009F39BF">
      <w:r>
        <w:t>En ese contexto, el artículo 3°, fracciones VI y X, de la Ley General de Transparencia y Acceso a la Información Pública, con relación, al diverso 3°, fracciones VIII y XVI de la Ley de Transparencia y Acceso a la Información Pública del Estado de México y Municipios, disponen lo siguiente:</w:t>
      </w:r>
    </w:p>
    <w:p w14:paraId="5217951B" w14:textId="77777777" w:rsidR="009F39BF" w:rsidRDefault="009F39BF" w:rsidP="009F39BF">
      <w:r>
        <w:t xml:space="preserve"> </w:t>
      </w:r>
    </w:p>
    <w:p w14:paraId="6DC0115C" w14:textId="77777777" w:rsidR="009F39BF" w:rsidRDefault="009F39BF" w:rsidP="009F39BF">
      <w:pPr>
        <w:pStyle w:val="Prrafodelista"/>
        <w:numPr>
          <w:ilvl w:val="0"/>
          <w:numId w:val="66"/>
        </w:numPr>
      </w:pPr>
      <w:r w:rsidRPr="003A5940">
        <w:rPr>
          <w:b/>
        </w:rPr>
        <w:t>Dato abierto:</w:t>
      </w:r>
      <w: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C66ED7B" w14:textId="77777777" w:rsidR="009F39BF" w:rsidRDefault="009F39BF" w:rsidP="009F39BF">
      <w:pPr>
        <w:pStyle w:val="Prrafodelista"/>
        <w:numPr>
          <w:ilvl w:val="0"/>
          <w:numId w:val="66"/>
        </w:numPr>
      </w:pPr>
      <w:r w:rsidRPr="003A5940">
        <w:rPr>
          <w:b/>
        </w:rPr>
        <w:t>Formato accesible:</w:t>
      </w:r>
      <w:r>
        <w:t xml:space="preserve"> Conjunto de características técnicas y de presentación de la información que corresponden a la estructura lógica usada para almacenar datos </w:t>
      </w:r>
      <w:r>
        <w:lastRenderedPageBreak/>
        <w:t>de forma integral y facilitan su procesamiento digital, cuyas especificaciones estás disponibles públicamente y que permite el acceso sin restricción de uso por parte de los usuarios.</w:t>
      </w:r>
    </w:p>
    <w:p w14:paraId="13B179A7" w14:textId="77777777" w:rsidR="009F39BF" w:rsidRDefault="009F39BF" w:rsidP="009F39BF"/>
    <w:p w14:paraId="1A94B9C9" w14:textId="77777777" w:rsidR="009F39BF" w:rsidRDefault="009F39BF" w:rsidP="009F39BF">
      <w:pPr>
        <w:rPr>
          <w:lang w:val="es-ES"/>
        </w:rPr>
      </w:pPr>
      <w:r w:rsidRPr="0EE28084">
        <w:rPr>
          <w:lang w:val="es-ES"/>
        </w:rPr>
        <w:t>De lo que se desprende que los datos abiertos cumplen con la finalidad de ser utilizados, reutilizados y redistribuidos; y que el formato de datos abiertos debe permitir la aplicación y reproducción de la información sin estar condicionados a contraprestaciones. Lo anterior no debe traducirse en la posibilidad de alteración, edición o modificación del original; en consecuencia, se tiene que el enlace referido y proporcionado en formato PDF no permite seleccionar texto, copiarlo y pegarlo; por tanto, tampoco permite que la información pueda ser utilizada, reutilizada o redistribuida.</w:t>
      </w:r>
    </w:p>
    <w:p w14:paraId="1A4397F9" w14:textId="77777777" w:rsidR="00172725" w:rsidRDefault="00172725" w:rsidP="00637679">
      <w:pPr>
        <w:rPr>
          <w:lang w:val="es-ES"/>
        </w:rPr>
      </w:pPr>
    </w:p>
    <w:p w14:paraId="09095B56" w14:textId="65255C53" w:rsidR="004356DB" w:rsidRDefault="009F39BF" w:rsidP="00637679">
      <w:pPr>
        <w:rPr>
          <w:lang w:val="es-ES"/>
        </w:rPr>
      </w:pPr>
      <w:r>
        <w:rPr>
          <w:lang w:val="es-ES"/>
        </w:rPr>
        <w:t xml:space="preserve">De tal forma que la respuesta sí vulneró </w:t>
      </w:r>
      <w:r w:rsidR="004356DB">
        <w:rPr>
          <w:lang w:val="es-ES"/>
        </w:rPr>
        <w:t>el derecho de acceso a la información pública del Recurrente; no obstante, al momento de rendir el Informe Justificado, el Sujeto Obligado proporcionó nuevamente las ligas en un formato de datos abiertos, con la finalidad de que el particular pudiera acceder a la información al seleccionar y pulsar la liga de su interés.</w:t>
      </w:r>
      <w:r w:rsidR="00C46667">
        <w:rPr>
          <w:lang w:val="es-ES"/>
        </w:rPr>
        <w:t xml:space="preserve"> </w:t>
      </w:r>
      <w:r w:rsidR="004356DB">
        <w:rPr>
          <w:lang w:val="es-ES"/>
        </w:rPr>
        <w:t>Por tanto, se estimó conveniente verificar el contenido de las ligas remitidas en Informe Justificado y se obtuvo lo siguiente:</w:t>
      </w:r>
    </w:p>
    <w:p w14:paraId="1B698FB2" w14:textId="6E808A82" w:rsidR="004356DB" w:rsidRDefault="00E80E8A" w:rsidP="00637679">
      <w:pPr>
        <w:rPr>
          <w:lang w:val="es-ES"/>
        </w:rPr>
      </w:pPr>
      <w:hyperlink r:id="rId8" w:anchor="/info-fraccion/11/292/28" w:history="1">
        <w:r w:rsidR="007B1C33" w:rsidRPr="00861AE0">
          <w:rPr>
            <w:rStyle w:val="Hipervnculo"/>
            <w:lang w:val="es-ES"/>
          </w:rPr>
          <w:t>https://ipomex.org.mx/ipomex/#/info-fraccion/11/292/28</w:t>
        </w:r>
      </w:hyperlink>
    </w:p>
    <w:p w14:paraId="3BBA5769" w14:textId="7341BD8B" w:rsidR="004356DB" w:rsidRDefault="00230A96" w:rsidP="00C46667">
      <w:pPr>
        <w:jc w:val="center"/>
        <w:rPr>
          <w:lang w:val="es-ES"/>
        </w:rPr>
      </w:pPr>
      <w:r w:rsidRPr="00230A96">
        <w:rPr>
          <w:noProof/>
          <w:lang w:val="es-MX"/>
        </w:rPr>
        <w:lastRenderedPageBreak/>
        <w:drawing>
          <wp:inline distT="0" distB="0" distL="0" distR="0" wp14:anchorId="3C118112" wp14:editId="75BC386E">
            <wp:extent cx="4229100" cy="31706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0091" cy="3178935"/>
                    </a:xfrm>
                    <a:prstGeom prst="rect">
                      <a:avLst/>
                    </a:prstGeom>
                  </pic:spPr>
                </pic:pic>
              </a:graphicData>
            </a:graphic>
          </wp:inline>
        </w:drawing>
      </w:r>
    </w:p>
    <w:p w14:paraId="76B83660" w14:textId="77777777" w:rsidR="004356DB" w:rsidRDefault="004356DB" w:rsidP="00637679">
      <w:pPr>
        <w:rPr>
          <w:lang w:val="es-ES"/>
        </w:rPr>
      </w:pPr>
    </w:p>
    <w:p w14:paraId="140AFBE9" w14:textId="347BBB75" w:rsidR="004356DB" w:rsidRDefault="00E80E8A" w:rsidP="00637679">
      <w:pPr>
        <w:rPr>
          <w:lang w:val="es-ES"/>
        </w:rPr>
      </w:pPr>
      <w:hyperlink r:id="rId10" w:anchor="/info-fraccion/10/292/22" w:history="1">
        <w:r w:rsidR="007B1C33" w:rsidRPr="00861AE0">
          <w:rPr>
            <w:rStyle w:val="Hipervnculo"/>
            <w:lang w:val="es-ES"/>
          </w:rPr>
          <w:t>https://ipomex.org.mx/ipomex/#/info-fraccion/10/292/22</w:t>
        </w:r>
      </w:hyperlink>
      <w:r w:rsidR="007B1C33">
        <w:rPr>
          <w:lang w:val="es-ES"/>
        </w:rPr>
        <w:t xml:space="preserve"> </w:t>
      </w:r>
    </w:p>
    <w:p w14:paraId="16A530A5" w14:textId="6F5C495C" w:rsidR="00172725" w:rsidRDefault="00230A96" w:rsidP="00C46667">
      <w:pPr>
        <w:jc w:val="center"/>
        <w:rPr>
          <w:lang w:val="es-ES"/>
        </w:rPr>
      </w:pPr>
      <w:r w:rsidRPr="00230A96">
        <w:rPr>
          <w:noProof/>
          <w:lang w:val="es-MX"/>
        </w:rPr>
        <w:drawing>
          <wp:inline distT="0" distB="0" distL="0" distR="0" wp14:anchorId="42774D6D" wp14:editId="0BF34FA7">
            <wp:extent cx="4109611" cy="30670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54599" cy="3100625"/>
                    </a:xfrm>
                    <a:prstGeom prst="rect">
                      <a:avLst/>
                    </a:prstGeom>
                  </pic:spPr>
                </pic:pic>
              </a:graphicData>
            </a:graphic>
          </wp:inline>
        </w:drawing>
      </w:r>
    </w:p>
    <w:p w14:paraId="5A47FA6A" w14:textId="4024BDE7" w:rsidR="00172725" w:rsidRDefault="00E80E8A" w:rsidP="00637679">
      <w:pPr>
        <w:rPr>
          <w:lang w:val="es-ES"/>
        </w:rPr>
      </w:pPr>
      <w:hyperlink r:id="rId12" w:anchor="/info-fraccion/28/292/12" w:history="1">
        <w:r w:rsidR="007B1C33" w:rsidRPr="00861AE0">
          <w:rPr>
            <w:rStyle w:val="Hipervnculo"/>
            <w:lang w:val="es-ES"/>
          </w:rPr>
          <w:t>https://ipomex.org.mx/ipomex/#/info-fraccion/28/292/12</w:t>
        </w:r>
      </w:hyperlink>
      <w:r w:rsidR="007B1C33">
        <w:rPr>
          <w:lang w:val="es-ES"/>
        </w:rPr>
        <w:t xml:space="preserve"> </w:t>
      </w:r>
    </w:p>
    <w:p w14:paraId="0A4C1580" w14:textId="0BB42E62" w:rsidR="007B1C33" w:rsidRDefault="00230A96" w:rsidP="00C46667">
      <w:pPr>
        <w:jc w:val="center"/>
        <w:rPr>
          <w:lang w:val="es-ES"/>
        </w:rPr>
      </w:pPr>
      <w:r w:rsidRPr="00230A96">
        <w:rPr>
          <w:noProof/>
          <w:lang w:val="es-MX"/>
        </w:rPr>
        <w:lastRenderedPageBreak/>
        <w:drawing>
          <wp:inline distT="0" distB="0" distL="0" distR="0" wp14:anchorId="1A641D0D" wp14:editId="35BA620D">
            <wp:extent cx="4624210" cy="313372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53007" cy="3153240"/>
                    </a:xfrm>
                    <a:prstGeom prst="rect">
                      <a:avLst/>
                    </a:prstGeom>
                  </pic:spPr>
                </pic:pic>
              </a:graphicData>
            </a:graphic>
          </wp:inline>
        </w:drawing>
      </w:r>
    </w:p>
    <w:p w14:paraId="23E176C4" w14:textId="77777777" w:rsidR="007B1C33" w:rsidRDefault="007B1C33" w:rsidP="00637679">
      <w:pPr>
        <w:rPr>
          <w:lang w:val="es-ES"/>
        </w:rPr>
      </w:pPr>
    </w:p>
    <w:p w14:paraId="3B45D6BD" w14:textId="373CC87B" w:rsidR="00D113AA" w:rsidRDefault="00651D69" w:rsidP="00637679">
      <w:pPr>
        <w:rPr>
          <w:lang w:val="es-ES"/>
        </w:rPr>
      </w:pPr>
      <w:r>
        <w:rPr>
          <w:lang w:val="es-ES"/>
        </w:rPr>
        <w:t>Como se observa, los enlaces proporcionados en Informe dirigen a la información solicitada por el Recurrente, pues puede acceder a los datos relativos a las remuneraciones de los servidores públicos y al directorio</w:t>
      </w:r>
      <w:r w:rsidR="00841352">
        <w:rPr>
          <w:lang w:val="es-ES"/>
        </w:rPr>
        <w:t>, que cuentan con 295 y 299 registros, respectivamente</w:t>
      </w:r>
      <w:r w:rsidR="00D113AA">
        <w:rPr>
          <w:lang w:val="es-ES"/>
        </w:rPr>
        <w:t>, por lo que se tienen por colmados los puntos relativos a dichos datos.</w:t>
      </w:r>
    </w:p>
    <w:p w14:paraId="599814DA" w14:textId="77777777" w:rsidR="00D113AA" w:rsidRDefault="00D113AA" w:rsidP="00637679">
      <w:pPr>
        <w:rPr>
          <w:lang w:val="es-ES"/>
        </w:rPr>
      </w:pPr>
    </w:p>
    <w:p w14:paraId="1B95F793" w14:textId="192F65D0" w:rsidR="007B1C33" w:rsidRDefault="00D113AA" w:rsidP="00637679">
      <w:pPr>
        <w:rPr>
          <w:lang w:val="es-ES"/>
        </w:rPr>
      </w:pPr>
      <w:r>
        <w:rPr>
          <w:lang w:val="es-ES"/>
        </w:rPr>
        <w:t>Sin embargo</w:t>
      </w:r>
      <w:r w:rsidR="00841352">
        <w:rPr>
          <w:lang w:val="es-ES"/>
        </w:rPr>
        <w:t xml:space="preserve">, por lo que toca a la información curricular, se observa que únicamente existen 19 registros, aunado a que en algunos de ellos se requiere iniciar sesión con una cuenta de Google, como </w:t>
      </w:r>
      <w:r>
        <w:rPr>
          <w:lang w:val="es-ES"/>
        </w:rPr>
        <w:t xml:space="preserve">por ejemplo en la información de la servidora pública con el cargo de Encargada del Despacho del Departamento de Recursos Humanos, como </w:t>
      </w:r>
      <w:r w:rsidR="00841352">
        <w:rPr>
          <w:lang w:val="es-ES"/>
        </w:rPr>
        <w:t xml:space="preserve">se observa </w:t>
      </w:r>
      <w:r>
        <w:rPr>
          <w:lang w:val="es-ES"/>
        </w:rPr>
        <w:t>en las siguientes imágenes:</w:t>
      </w:r>
    </w:p>
    <w:p w14:paraId="41F661DF" w14:textId="77777777" w:rsidR="00D113AA" w:rsidRDefault="00D113AA" w:rsidP="00637679">
      <w:pPr>
        <w:rPr>
          <w:lang w:val="es-ES"/>
        </w:rPr>
      </w:pPr>
    </w:p>
    <w:p w14:paraId="69A77F69" w14:textId="2FD480E7" w:rsidR="00D113AA" w:rsidRDefault="00D113AA" w:rsidP="00637679">
      <w:pPr>
        <w:rPr>
          <w:lang w:val="es-ES"/>
        </w:rPr>
      </w:pPr>
      <w:r w:rsidRPr="00D113AA">
        <w:rPr>
          <w:noProof/>
          <w:lang w:val="es-MX"/>
        </w:rPr>
        <w:lastRenderedPageBreak/>
        <w:drawing>
          <wp:inline distT="0" distB="0" distL="0" distR="0" wp14:anchorId="0661EE78" wp14:editId="14593033">
            <wp:extent cx="5939790" cy="268668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9790" cy="2686685"/>
                    </a:xfrm>
                    <a:prstGeom prst="rect">
                      <a:avLst/>
                    </a:prstGeom>
                  </pic:spPr>
                </pic:pic>
              </a:graphicData>
            </a:graphic>
          </wp:inline>
        </w:drawing>
      </w:r>
    </w:p>
    <w:p w14:paraId="24158BF8" w14:textId="77777777" w:rsidR="00D113AA" w:rsidRDefault="00D113AA" w:rsidP="00637679">
      <w:pPr>
        <w:rPr>
          <w:lang w:val="es-ES"/>
        </w:rPr>
      </w:pPr>
    </w:p>
    <w:p w14:paraId="634788FC" w14:textId="3D5DE3E4" w:rsidR="007B1C33" w:rsidRDefault="00D113AA" w:rsidP="00637679">
      <w:pPr>
        <w:rPr>
          <w:lang w:val="es-ES"/>
        </w:rPr>
      </w:pPr>
      <w:r w:rsidRPr="00D113AA">
        <w:rPr>
          <w:noProof/>
          <w:lang w:val="es-MX"/>
        </w:rPr>
        <w:drawing>
          <wp:inline distT="0" distB="0" distL="0" distR="0" wp14:anchorId="55FC69D5" wp14:editId="17FF7269">
            <wp:extent cx="5924550" cy="26329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63605" cy="2650279"/>
                    </a:xfrm>
                    <a:prstGeom prst="rect">
                      <a:avLst/>
                    </a:prstGeom>
                  </pic:spPr>
                </pic:pic>
              </a:graphicData>
            </a:graphic>
          </wp:inline>
        </w:drawing>
      </w:r>
    </w:p>
    <w:p w14:paraId="4A5F096F" w14:textId="77777777" w:rsidR="007B1C33" w:rsidRDefault="007B1C33" w:rsidP="00637679">
      <w:pPr>
        <w:rPr>
          <w:lang w:val="es-ES"/>
        </w:rPr>
      </w:pPr>
    </w:p>
    <w:p w14:paraId="3AF9B1A7" w14:textId="7590753B" w:rsidR="007B1C33" w:rsidRDefault="00D113AA" w:rsidP="00637679">
      <w:pPr>
        <w:rPr>
          <w:lang w:val="es-ES"/>
        </w:rPr>
      </w:pPr>
      <w:r>
        <w:rPr>
          <w:lang w:val="es-ES"/>
        </w:rPr>
        <w:t>En ese</w:t>
      </w:r>
      <w:r w:rsidR="003720C4">
        <w:rPr>
          <w:lang w:val="es-ES"/>
        </w:rPr>
        <w:t xml:space="preserve"> sentido, no se puede tener por colmado el punto relativo a la información curricular de los servidores públicos, dado que no toda la información puede ser consultada; aunado a que, conforme a lo requerido por el Recurrente, se solicitaron los currículos de todos los servidores públicos.</w:t>
      </w:r>
    </w:p>
    <w:p w14:paraId="41EE6094" w14:textId="77777777" w:rsidR="003720C4" w:rsidRDefault="003720C4" w:rsidP="00637679">
      <w:pPr>
        <w:rPr>
          <w:lang w:val="es-ES"/>
        </w:rPr>
      </w:pPr>
    </w:p>
    <w:p w14:paraId="05465796" w14:textId="77777777" w:rsidR="001674EA" w:rsidRPr="006A7396" w:rsidRDefault="001674EA" w:rsidP="001674EA">
      <w:r>
        <w:rPr>
          <w:lang w:val="es-ES"/>
        </w:rPr>
        <w:t xml:space="preserve">Ahora bien, </w:t>
      </w:r>
      <w:r w:rsidRPr="006A7396">
        <w:t>es dable recordar que el currículo es un documento que las personas elaboran con los datos de identificación y contacto, preparación académica y experiencia profesional para presentarse ante un posible empleador. Por tanto, en dicho documento consta la preparación académica y la experiencia laboral, lo que permite identificar el nivel de conocimientos del titular, así como su perfil profesional o laboral.</w:t>
      </w:r>
    </w:p>
    <w:p w14:paraId="78301EAC" w14:textId="77777777" w:rsidR="001674EA" w:rsidRDefault="001674EA" w:rsidP="00637679">
      <w:pPr>
        <w:rPr>
          <w:lang w:val="es-ES"/>
        </w:rPr>
      </w:pPr>
    </w:p>
    <w:p w14:paraId="0835A37B" w14:textId="16220AD2" w:rsidR="001674EA" w:rsidRPr="006A7396" w:rsidRDefault="001674EA" w:rsidP="001674EA">
      <w:r w:rsidRPr="006A7396">
        <w:t>Consecuentemente, dado que el currículo tiene el propósito de acreditar la experiencia académica y profesional de las personas que ocupan cargos en el servicio público, dicho documento le permitirá a</w:t>
      </w:r>
      <w:r>
        <w:t xml:space="preserve"> </w:t>
      </w:r>
      <w:r w:rsidRPr="006A7396">
        <w:t>l</w:t>
      </w:r>
      <w:r>
        <w:t>os</w:t>
      </w:r>
      <w:r w:rsidRPr="006A7396">
        <w:t xml:space="preserve"> particular</w:t>
      </w:r>
      <w:r>
        <w:t>es</w:t>
      </w:r>
      <w:r w:rsidRPr="006A7396">
        <w:t xml:space="preserve"> conocer la información que requiere, ya así cerciorarse con toda certeza y de manera indudable si la persona que se desempeñaba como Rector cumplió los requisitos es</w:t>
      </w:r>
      <w:r>
        <w:t>tablecidos en las fracciones IV y</w:t>
      </w:r>
      <w:r w:rsidRPr="006A7396">
        <w:t xml:space="preserve"> V referidas en párrafos anteriores.</w:t>
      </w:r>
    </w:p>
    <w:p w14:paraId="0CCD64A0" w14:textId="77777777" w:rsidR="001674EA" w:rsidRPr="006A7396" w:rsidRDefault="001674EA" w:rsidP="001674EA"/>
    <w:p w14:paraId="3E9A17C8" w14:textId="77777777" w:rsidR="001674EA" w:rsidRPr="006A7396" w:rsidRDefault="001674EA" w:rsidP="001674EA">
      <w:r w:rsidRPr="006A7396">
        <w:t>En este mismo sentido, se pronunció el entonces Instituto Federal de Acceso a la Información ahora INAI, al establecer en el criterio 03/2009 que una de las formas en la que los ciudadanos pueden evaluar las aptitudes de los servidores públicos para desempeñar el cargo público que les ha sido encomendado, es mediante la publicidad de ciertos datos contenidos en los currículos, como se observa a continuación:</w:t>
      </w:r>
    </w:p>
    <w:p w14:paraId="388F1C56" w14:textId="77777777" w:rsidR="001674EA" w:rsidRPr="006A7396" w:rsidRDefault="001674EA" w:rsidP="001674EA"/>
    <w:p w14:paraId="653EF06C" w14:textId="77777777" w:rsidR="001674EA" w:rsidRPr="006A7396" w:rsidRDefault="001674EA" w:rsidP="001674EA">
      <w:pPr>
        <w:pStyle w:val="Fundamentos"/>
      </w:pPr>
      <w:proofErr w:type="spellStart"/>
      <w:r w:rsidRPr="006A7396">
        <w:rPr>
          <w:b/>
          <w:lang w:val="es-MX"/>
        </w:rPr>
        <w:t>Curriculum</w:t>
      </w:r>
      <w:proofErr w:type="spellEnd"/>
      <w:r w:rsidRPr="006A7396">
        <w:rPr>
          <w:b/>
          <w:lang w:val="es-MX"/>
        </w:rPr>
        <w:t xml:space="preserve"> Vitae de servidores públicos. Es obligación de los sujetos obligados otorgar acceso a versiones públicas de los mismos ante una solicitud de acceso.</w:t>
      </w:r>
      <w:r w:rsidRPr="006A7396">
        <w:rPr>
          <w:lang w:val="es-MX"/>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w:t>
      </w:r>
      <w:r w:rsidRPr="006A7396">
        <w:rPr>
          <w:b/>
          <w:u w:val="single"/>
          <w:lang w:val="es-MX"/>
        </w:rPr>
        <w:t xml:space="preserve">Si bien </w:t>
      </w:r>
      <w:r w:rsidRPr="006A7396">
        <w:rPr>
          <w:b/>
          <w:u w:val="single"/>
          <w:lang w:val="es-MX"/>
        </w:rPr>
        <w:lastRenderedPageBreak/>
        <w:t xml:space="preserve">en el </w:t>
      </w:r>
      <w:proofErr w:type="spellStart"/>
      <w:r w:rsidRPr="006A7396">
        <w:rPr>
          <w:b/>
          <w:u w:val="single"/>
          <w:lang w:val="es-MX"/>
        </w:rPr>
        <w:t>curriculum</w:t>
      </w:r>
      <w:proofErr w:type="spellEnd"/>
      <w:r w:rsidRPr="006A7396">
        <w:rPr>
          <w:b/>
          <w:u w:val="single"/>
          <w:lang w:val="es-MX"/>
        </w:rPr>
        <w:t xml:space="preserve"> vitae se describe información de una persona relacionada con su formación académica</w:t>
      </w:r>
      <w:r w:rsidRPr="006A7396">
        <w:rPr>
          <w:lang w:val="es-MX"/>
        </w:rPr>
        <w:t>,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w:t>
      </w:r>
      <w:r w:rsidRPr="006A7396">
        <w:rPr>
          <w:b/>
          <w:u w:val="single"/>
          <w:lang w:val="es-MX"/>
        </w:rPr>
        <w:t xml:space="preserve">, tratándose del </w:t>
      </w:r>
      <w:proofErr w:type="spellStart"/>
      <w:r w:rsidRPr="006A7396">
        <w:rPr>
          <w:b/>
          <w:u w:val="single"/>
          <w:lang w:val="es-MX"/>
        </w:rPr>
        <w:t>curriculum</w:t>
      </w:r>
      <w:proofErr w:type="spellEnd"/>
      <w:r w:rsidRPr="006A7396">
        <w:rPr>
          <w:b/>
          <w:u w:val="single"/>
          <w:lang w:val="es-MX"/>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6A7396">
        <w:rPr>
          <w:b/>
          <w:u w:val="single"/>
          <w:lang w:val="es-MX"/>
        </w:rPr>
        <w:t>curriculum</w:t>
      </w:r>
      <w:proofErr w:type="spellEnd"/>
      <w:r w:rsidRPr="006A7396">
        <w:rPr>
          <w:b/>
          <w:u w:val="single"/>
          <w:lang w:val="es-MX"/>
        </w:rPr>
        <w:t xml:space="preserve"> vitae de un servidor público susceptibles de hacerse del conocimiento público, ante una solicitud de acceso, se encuentran los relativos a su trayectoria académica</w:t>
      </w:r>
      <w:r w:rsidRPr="006A7396">
        <w:rPr>
          <w:lang w:val="es-MX"/>
        </w:rPr>
        <w:t>, profesional, laboral, así como todos aquellos que acrediten su capacidad, habilidades o pericia para ocupar el cargo público.</w:t>
      </w:r>
    </w:p>
    <w:p w14:paraId="3A9A4FA1" w14:textId="77777777" w:rsidR="001674EA" w:rsidRDefault="001674EA" w:rsidP="001674EA"/>
    <w:p w14:paraId="382A2898" w14:textId="77777777" w:rsidR="001674EA" w:rsidRDefault="001674EA" w:rsidP="001674EA">
      <w:pPr>
        <w:rPr>
          <w:lang w:val="es-ES"/>
        </w:rPr>
      </w:pPr>
      <w:r>
        <w:rPr>
          <w:lang w:val="es-ES"/>
        </w:rPr>
        <w:t xml:space="preserve">De tal forma que es necesario referir que, si bien es cierto que la Ley de Transparencia, en su artículo 92 fracción XXI establece que se debe publicar la información curricular en el portal IPOMEX es la correspondiente a los servidores públicos desde </w:t>
      </w:r>
      <w:r w:rsidRPr="00250ACE">
        <w:rPr>
          <w:lang w:val="es-ES"/>
        </w:rPr>
        <w:t>el nivel de jefe de departamento o equivalen</w:t>
      </w:r>
      <w:r>
        <w:rPr>
          <w:lang w:val="es-ES"/>
        </w:rPr>
        <w:t>te</w:t>
      </w:r>
      <w:r w:rsidRPr="00250ACE">
        <w:rPr>
          <w:lang w:val="es-ES"/>
        </w:rPr>
        <w:t xml:space="preserve"> hasta el titular del sujeto obligado</w:t>
      </w:r>
      <w:r>
        <w:rPr>
          <w:lang w:val="es-ES"/>
        </w:rPr>
        <w:t>; también lo es que existe otra fuente obligacional que constriñe a las instituciones públicas a contar con un documento que puede dar cuenta de la información solicitada.</w:t>
      </w:r>
    </w:p>
    <w:p w14:paraId="446430ED" w14:textId="77777777" w:rsidR="001674EA" w:rsidRDefault="001674EA" w:rsidP="001674EA">
      <w:pPr>
        <w:rPr>
          <w:lang w:val="es-ES"/>
        </w:rPr>
      </w:pPr>
    </w:p>
    <w:p w14:paraId="56109540" w14:textId="7937BBA4" w:rsidR="00411C65" w:rsidRPr="00411C65" w:rsidRDefault="00250ACE" w:rsidP="00411C65">
      <w:r>
        <w:rPr>
          <w:lang w:val="es-ES"/>
        </w:rPr>
        <w:t xml:space="preserve">Al respecto, se debe hacer referencia a lo dispuesto en </w:t>
      </w:r>
      <w:r w:rsidR="00411C65">
        <w:rPr>
          <w:lang w:val="es-ES"/>
        </w:rPr>
        <w:t>la fracción I d</w:t>
      </w:r>
      <w:r>
        <w:rPr>
          <w:lang w:val="es-ES"/>
        </w:rPr>
        <w:t xml:space="preserve">el artículo </w:t>
      </w:r>
      <w:r w:rsidR="00411C65" w:rsidRPr="00411C65">
        <w:t>47 de la Ley del Trabajo de los Servidores Públicos del Estado y Municipios, en el que se estipula lo siguiente:</w:t>
      </w:r>
    </w:p>
    <w:p w14:paraId="553AA99E" w14:textId="77777777" w:rsidR="00411C65" w:rsidRPr="00411C65" w:rsidRDefault="00411C65" w:rsidP="00411C65"/>
    <w:p w14:paraId="4689E56B" w14:textId="77777777" w:rsidR="00411C65" w:rsidRPr="00411C65" w:rsidRDefault="00411C65" w:rsidP="00411C65">
      <w:pPr>
        <w:spacing w:line="240" w:lineRule="auto"/>
        <w:ind w:left="567" w:right="567"/>
        <w:rPr>
          <w:rFonts w:eastAsia="Times New Roman" w:cs="Times New Roman"/>
          <w:i/>
          <w:sz w:val="22"/>
          <w:szCs w:val="24"/>
          <w:lang w:val="es-MX" w:eastAsia="es-ES"/>
        </w:rPr>
      </w:pPr>
      <w:r w:rsidRPr="00411C65">
        <w:rPr>
          <w:rFonts w:eastAsia="Times New Roman" w:cs="Times New Roman"/>
          <w:b/>
          <w:i/>
          <w:sz w:val="22"/>
          <w:szCs w:val="24"/>
          <w:lang w:val="es-MX" w:eastAsia="es-ES"/>
        </w:rPr>
        <w:t>ARTÍCULO 47.</w:t>
      </w:r>
      <w:r w:rsidRPr="00411C65">
        <w:rPr>
          <w:rFonts w:eastAsia="Times New Roman" w:cs="Times New Roman"/>
          <w:i/>
          <w:sz w:val="22"/>
          <w:szCs w:val="24"/>
          <w:lang w:val="es-MX" w:eastAsia="es-ES"/>
        </w:rPr>
        <w:t xml:space="preserve"> Para ingresar al servicio público se requiere:</w:t>
      </w:r>
    </w:p>
    <w:p w14:paraId="33331D9A" w14:textId="77777777" w:rsidR="00411C65" w:rsidRPr="00411C65" w:rsidRDefault="00411C65" w:rsidP="00411C65">
      <w:pPr>
        <w:spacing w:line="240" w:lineRule="auto"/>
        <w:ind w:left="567" w:right="567"/>
        <w:rPr>
          <w:rFonts w:eastAsia="Times New Roman" w:cs="Times New Roman"/>
          <w:i/>
          <w:sz w:val="22"/>
          <w:szCs w:val="24"/>
          <w:lang w:val="es-MX" w:eastAsia="es-ES"/>
        </w:rPr>
      </w:pPr>
    </w:p>
    <w:p w14:paraId="4B036DB8" w14:textId="77777777" w:rsidR="00411C65" w:rsidRDefault="00411C65" w:rsidP="00411C65">
      <w:pPr>
        <w:spacing w:line="240" w:lineRule="auto"/>
        <w:ind w:left="567" w:right="567"/>
        <w:rPr>
          <w:rFonts w:eastAsia="Times New Roman" w:cs="Times New Roman"/>
          <w:i/>
          <w:sz w:val="22"/>
          <w:szCs w:val="24"/>
          <w:lang w:val="es-MX" w:eastAsia="es-ES"/>
        </w:rPr>
      </w:pPr>
      <w:r w:rsidRPr="00411C65">
        <w:rPr>
          <w:rFonts w:eastAsia="Times New Roman" w:cs="Times New Roman"/>
          <w:i/>
          <w:sz w:val="22"/>
          <w:szCs w:val="24"/>
          <w:lang w:val="es-MX" w:eastAsia="es-ES"/>
        </w:rPr>
        <w:t>I</w:t>
      </w:r>
      <w:r w:rsidRPr="00411C65">
        <w:rPr>
          <w:rFonts w:eastAsia="Times New Roman" w:cs="Times New Roman"/>
          <w:b/>
          <w:i/>
          <w:sz w:val="22"/>
          <w:szCs w:val="24"/>
          <w:u w:val="single"/>
          <w:lang w:val="es-MX" w:eastAsia="es-ES"/>
        </w:rPr>
        <w:t>. Presentar una solicitud utilizando la forma oficial</w:t>
      </w:r>
      <w:r w:rsidRPr="00411C65">
        <w:rPr>
          <w:rFonts w:eastAsia="Times New Roman" w:cs="Times New Roman"/>
          <w:i/>
          <w:sz w:val="22"/>
          <w:szCs w:val="24"/>
          <w:lang w:val="es-MX" w:eastAsia="es-ES"/>
        </w:rPr>
        <w:t xml:space="preserve"> que se autorice por la institución pública o dependencia correspondiente;</w:t>
      </w:r>
    </w:p>
    <w:p w14:paraId="5D94FE57" w14:textId="4CA6EE28" w:rsidR="00411C65" w:rsidRPr="00411C65" w:rsidRDefault="00411C65" w:rsidP="00411C65">
      <w:pPr>
        <w:spacing w:line="240" w:lineRule="auto"/>
        <w:ind w:left="567" w:right="567"/>
        <w:rPr>
          <w:rFonts w:eastAsia="Times New Roman" w:cs="Times New Roman"/>
          <w:i/>
          <w:sz w:val="22"/>
          <w:szCs w:val="24"/>
          <w:lang w:val="es-MX" w:eastAsia="es-ES"/>
        </w:rPr>
      </w:pPr>
      <w:r>
        <w:rPr>
          <w:rFonts w:eastAsia="Times New Roman" w:cs="Times New Roman"/>
          <w:i/>
          <w:sz w:val="22"/>
          <w:szCs w:val="24"/>
          <w:lang w:val="es-MX" w:eastAsia="es-ES"/>
        </w:rPr>
        <w:lastRenderedPageBreak/>
        <w:t>[…]</w:t>
      </w:r>
    </w:p>
    <w:p w14:paraId="1DCBCCD4" w14:textId="3051E811" w:rsidR="00250ACE" w:rsidRDefault="00250ACE" w:rsidP="00637679">
      <w:pPr>
        <w:rPr>
          <w:lang w:val="es-ES"/>
        </w:rPr>
      </w:pPr>
    </w:p>
    <w:p w14:paraId="165E917F" w14:textId="14817A87" w:rsidR="00172725" w:rsidRDefault="00411C65" w:rsidP="00637679">
      <w:pPr>
        <w:rPr>
          <w:lang w:val="es-ES"/>
        </w:rPr>
      </w:pPr>
      <w:r>
        <w:rPr>
          <w:lang w:val="es-ES"/>
        </w:rPr>
        <w:t>Así, para colmar el requisito referido en la fracción citada, se considera que los documentos idóneos pueden ser la s</w:t>
      </w:r>
      <w:r w:rsidRPr="00411C65">
        <w:rPr>
          <w:lang w:val="es-ES"/>
        </w:rPr>
        <w:t>olicitud de empleo</w:t>
      </w:r>
      <w:r>
        <w:rPr>
          <w:lang w:val="es-ES"/>
        </w:rPr>
        <w:t xml:space="preserve"> en la que se suele plasmar la trayectoria académica y laboral</w:t>
      </w:r>
      <w:r w:rsidRPr="00411C65">
        <w:rPr>
          <w:lang w:val="es-ES"/>
        </w:rPr>
        <w:t>, fic</w:t>
      </w:r>
      <w:r>
        <w:rPr>
          <w:lang w:val="es-ES"/>
        </w:rPr>
        <w:t>ha curricular, currículum vitae</w:t>
      </w:r>
      <w:r w:rsidRPr="00411C65">
        <w:rPr>
          <w:lang w:val="es-ES"/>
        </w:rPr>
        <w:t xml:space="preserve"> </w:t>
      </w:r>
      <w:r>
        <w:rPr>
          <w:lang w:val="es-ES"/>
        </w:rPr>
        <w:t xml:space="preserve">o </w:t>
      </w:r>
      <w:r w:rsidRPr="00411C65">
        <w:rPr>
          <w:lang w:val="es-ES"/>
        </w:rPr>
        <w:t>documento análogo</w:t>
      </w:r>
    </w:p>
    <w:p w14:paraId="45007892" w14:textId="77777777" w:rsidR="00172725" w:rsidRDefault="00172725" w:rsidP="00637679">
      <w:pPr>
        <w:rPr>
          <w:lang w:val="es-ES"/>
        </w:rPr>
      </w:pPr>
    </w:p>
    <w:p w14:paraId="51E158AF" w14:textId="28A9CEAB" w:rsidR="00411C65" w:rsidRDefault="00411C65" w:rsidP="00637679">
      <w:pPr>
        <w:rPr>
          <w:lang w:val="es-ES"/>
        </w:rPr>
      </w:pPr>
      <w:r>
        <w:rPr>
          <w:lang w:val="es-ES"/>
        </w:rPr>
        <w:t>Así, se colige que, dado que es un requisito para ingresar al servicio público, las personas deben hacer entrega de alguno de los documentos referidos y las instituciones públicas deben resguard</w:t>
      </w:r>
      <w:r w:rsidR="001674EA">
        <w:rPr>
          <w:lang w:val="es-ES"/>
        </w:rPr>
        <w:t>arla en los archivos de las áreas competentes.</w:t>
      </w:r>
    </w:p>
    <w:p w14:paraId="156A45ED" w14:textId="77777777" w:rsidR="001674EA" w:rsidRDefault="001674EA" w:rsidP="00637679">
      <w:pPr>
        <w:rPr>
          <w:lang w:val="es-ES"/>
        </w:rPr>
      </w:pPr>
    </w:p>
    <w:p w14:paraId="29094A60" w14:textId="5DDB3BB1" w:rsidR="001674EA" w:rsidRDefault="001674EA" w:rsidP="00637679">
      <w:pPr>
        <w:rPr>
          <w:lang w:val="es-ES"/>
        </w:rPr>
      </w:pPr>
      <w:r>
        <w:rPr>
          <w:lang w:val="es-ES"/>
        </w:rPr>
        <w:t>Consecuentemente, se estima que en los archivos del Sujeto Obligado obran los documentos idóneos para conocer la información relativa a la trayectoria académica y laboral</w:t>
      </w:r>
      <w:r w:rsidR="00BF184A">
        <w:rPr>
          <w:lang w:val="es-ES"/>
        </w:rPr>
        <w:t xml:space="preserve">, siendo estos, de manera enunciativa </w:t>
      </w:r>
      <w:proofErr w:type="gramStart"/>
      <w:r w:rsidR="00BF184A">
        <w:rPr>
          <w:lang w:val="es-ES"/>
        </w:rPr>
        <w:t>mas</w:t>
      </w:r>
      <w:proofErr w:type="gramEnd"/>
      <w:r w:rsidR="00BF184A">
        <w:rPr>
          <w:lang w:val="es-ES"/>
        </w:rPr>
        <w:t xml:space="preserve"> no limitativa, la solicitud de empleo, ficha curricular, currículo o cualquier documento equivalente.</w:t>
      </w:r>
    </w:p>
    <w:p w14:paraId="3E8DE133" w14:textId="77777777" w:rsidR="00BF184A" w:rsidRDefault="00BF184A" w:rsidP="00637679">
      <w:pPr>
        <w:rPr>
          <w:lang w:val="es-ES"/>
        </w:rPr>
      </w:pPr>
    </w:p>
    <w:p w14:paraId="2EF93189" w14:textId="090FE60E" w:rsidR="002E220E" w:rsidRDefault="00637FE9" w:rsidP="00637679">
      <w:r w:rsidRPr="00637FE9">
        <w:t xml:space="preserve">Por lo argumentado anteriormente, este Instituto estima que los motivos de inconformidad planteados por el Recurrente devienen fundados, por lo que es procedente revocar la respuesta y ordenar al Sujeto Obligado que </w:t>
      </w:r>
      <w:r w:rsidR="00B837B8">
        <w:t xml:space="preserve">haga entrega </w:t>
      </w:r>
      <w:r w:rsidR="00BF184A">
        <w:t>de los documentos en donde conste la información curricular de todos los servidores públicos adscritos al Sujeto Obligado al diecinueve de febrero de dos mil veinticinco, en versión pública.</w:t>
      </w:r>
    </w:p>
    <w:p w14:paraId="28EE1775" w14:textId="77777777" w:rsidR="002E220E" w:rsidRDefault="002E220E" w:rsidP="00637679"/>
    <w:p w14:paraId="32F03CB2" w14:textId="77777777" w:rsidR="008C4B1C" w:rsidRPr="008F3C6D" w:rsidRDefault="008C4B1C" w:rsidP="008C4B1C">
      <w:pPr>
        <w:pStyle w:val="Ttulo3"/>
        <w:rPr>
          <w:rFonts w:eastAsia="Times New Roman"/>
        </w:rPr>
      </w:pPr>
      <w:r w:rsidRPr="008F3C6D">
        <w:rPr>
          <w:rFonts w:eastAsia="Times New Roman"/>
        </w:rPr>
        <w:lastRenderedPageBreak/>
        <w:t>DE LA VERSIÓN PÚBLICA</w:t>
      </w:r>
    </w:p>
    <w:p w14:paraId="45554F5B" w14:textId="77777777" w:rsidR="008C4B1C" w:rsidRPr="006A7396" w:rsidRDefault="008C4B1C" w:rsidP="008C4B1C">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4D235F7" w14:textId="77777777" w:rsidR="008C4B1C" w:rsidRPr="006A7396" w:rsidRDefault="008C4B1C" w:rsidP="008C4B1C">
      <w:pPr>
        <w:rPr>
          <w:rFonts w:eastAsia="Palatino Linotype" w:cs="Palatino Linotype"/>
          <w:szCs w:val="24"/>
        </w:rPr>
      </w:pPr>
    </w:p>
    <w:p w14:paraId="3F6D31C0"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5B1A77AD"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216E1B64"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181D8241"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3F1AB08F"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F43995" w14:textId="77777777" w:rsidR="008C4B1C" w:rsidRPr="00787121"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1D520EF4"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01469D9"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5A2DA769"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47C5178"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504E38C4"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3E49EAD"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54A84D21"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57A3D59C"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4346ADB8"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098342D7"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0BA7E12A" w14:textId="77777777" w:rsidR="008C4B1C" w:rsidRPr="006A7396" w:rsidRDefault="008C4B1C" w:rsidP="008C4B1C">
      <w:pPr>
        <w:rPr>
          <w:rFonts w:eastAsia="Palatino Linotype" w:cs="Palatino Linotype"/>
          <w:i/>
          <w:szCs w:val="24"/>
        </w:rPr>
      </w:pPr>
    </w:p>
    <w:p w14:paraId="4275BE6E" w14:textId="77777777" w:rsidR="008C4B1C" w:rsidRPr="006A7396" w:rsidRDefault="008C4B1C" w:rsidP="008C4B1C">
      <w:pPr>
        <w:rPr>
          <w:rFonts w:eastAsia="Palatino Linotype" w:cs="Palatino Linotype"/>
          <w:lang w:val="es-ES"/>
        </w:rPr>
      </w:pPr>
      <w:r w:rsidRPr="006A7396">
        <w:rPr>
          <w:rFonts w:eastAsia="Palatino Linotype" w:cs="Palatino Linotype"/>
          <w:lang w:val="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176850" w14:textId="77777777" w:rsidR="008C4B1C" w:rsidRPr="006A7396" w:rsidRDefault="008C4B1C" w:rsidP="008C4B1C">
      <w:pPr>
        <w:rPr>
          <w:rFonts w:eastAsia="Palatino Linotype" w:cs="Palatino Linotype"/>
          <w:szCs w:val="24"/>
        </w:rPr>
      </w:pPr>
    </w:p>
    <w:p w14:paraId="2F09A38C" w14:textId="77777777" w:rsidR="008C4B1C" w:rsidRPr="006A7396" w:rsidRDefault="008C4B1C" w:rsidP="008C4B1C">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D40D93" w14:textId="77777777" w:rsidR="008C4B1C" w:rsidRPr="006A7396" w:rsidRDefault="008C4B1C" w:rsidP="008C4B1C">
      <w:pPr>
        <w:rPr>
          <w:rFonts w:eastAsia="Palatino Linotype" w:cs="Palatino Linotype"/>
          <w:szCs w:val="24"/>
        </w:rPr>
      </w:pPr>
    </w:p>
    <w:p w14:paraId="25198078" w14:textId="77777777" w:rsidR="008C4B1C" w:rsidRPr="006A7396" w:rsidRDefault="008C4B1C" w:rsidP="008C4B1C">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5E623AAF" w14:textId="77777777" w:rsidR="008C4B1C" w:rsidRPr="006A7396" w:rsidRDefault="008C4B1C" w:rsidP="008C4B1C">
      <w:pPr>
        <w:rPr>
          <w:rFonts w:eastAsia="Palatino Linotype" w:cs="Palatino Linotype"/>
        </w:rPr>
      </w:pPr>
    </w:p>
    <w:p w14:paraId="7972232A"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ABBE910"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5E8C662"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E0F6096"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EF9432B"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B9298F1"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42024AF7"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02B17B"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B5FAE07"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40A3FD10"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302354" w14:textId="77777777" w:rsidR="008C4B1C" w:rsidRPr="006A7396" w:rsidRDefault="008C4B1C" w:rsidP="008C4B1C">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7C84986" w14:textId="77777777" w:rsidR="008C4B1C" w:rsidRPr="006A7396" w:rsidRDefault="008C4B1C" w:rsidP="008C4B1C">
      <w:pPr>
        <w:rPr>
          <w:rFonts w:eastAsia="Palatino Linotype" w:cs="Palatino Linotype"/>
          <w:i/>
          <w:szCs w:val="24"/>
        </w:rPr>
      </w:pPr>
    </w:p>
    <w:p w14:paraId="69B964D5" w14:textId="77777777" w:rsidR="008C4B1C" w:rsidRDefault="008C4B1C" w:rsidP="008C4B1C">
      <w:pPr>
        <w:rPr>
          <w:rFonts w:eastAsia="Palatino Linotype" w:cs="Palatino Linotype"/>
          <w:lang w:val="es-ES"/>
        </w:rPr>
      </w:pPr>
      <w:r w:rsidRPr="006A7396">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085E2057" w14:textId="77777777" w:rsidR="008C4B1C" w:rsidRDefault="008C4B1C" w:rsidP="008C4B1C">
      <w:pPr>
        <w:rPr>
          <w:rFonts w:eastAsia="Palatino Linotype" w:cs="Palatino Linotype"/>
          <w:lang w:val="es-ES"/>
        </w:rPr>
      </w:pPr>
    </w:p>
    <w:p w14:paraId="7EA79286" w14:textId="77777777" w:rsidR="00BF184A" w:rsidRPr="004C55E8" w:rsidRDefault="00BF184A" w:rsidP="00BF184A">
      <w:r>
        <w:rPr>
          <w:rFonts w:eastAsia="Palatino Linotype" w:cs="Palatino Linotype"/>
          <w:szCs w:val="24"/>
        </w:rPr>
        <w:t>Es preciso</w:t>
      </w:r>
      <w:r w:rsidRPr="004C55E8">
        <w:rPr>
          <w:rFonts w:eastAsia="Palatino Linotype" w:cs="Palatino Linotype"/>
          <w:szCs w:val="24"/>
        </w:rPr>
        <w:t xml:space="preserve"> referir que, por </w:t>
      </w:r>
      <w:r w:rsidRPr="004C55E8">
        <w:rPr>
          <w:szCs w:val="24"/>
          <w:lang w:val="es-MX"/>
        </w:rPr>
        <w:t xml:space="preserve">lo que hace a la fotografía de los servidores públicos, </w:t>
      </w:r>
      <w:r w:rsidRPr="004C55E8">
        <w:t xml:space="preserve">debe señalar que los servidores públicos tienen un espectro menor de protección a sus datos personales en comparación con cualquier otra persona física. Esto debido al interés </w:t>
      </w:r>
      <w:r w:rsidRPr="004C55E8">
        <w:lastRenderedPageBreak/>
        <w:t>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7DAD1E34" w14:textId="77777777" w:rsidR="00BF184A" w:rsidRPr="004C55E8" w:rsidRDefault="00BF184A" w:rsidP="00BF184A"/>
    <w:p w14:paraId="756CB716" w14:textId="77777777" w:rsidR="00BF184A" w:rsidRPr="004C55E8" w:rsidRDefault="00BF184A" w:rsidP="00BF184A">
      <w:r w:rsidRPr="004C55E8">
        <w:t xml:space="preserve">Conforme a lo anterior, resulta necesario señalar que el Pleno de este Instituto emitió el criterio 03/2019 cuyo rubro dispone lo siguiente: </w:t>
      </w:r>
      <w:r w:rsidRPr="004C55E8">
        <w:rPr>
          <w:b/>
          <w:bCs/>
        </w:rPr>
        <w:t>“Servidores públicos con categoría de mando medio y superior. La fotografía de aquellos es de carácter público”</w:t>
      </w:r>
      <w:r w:rsidRPr="004C55E8">
        <w:t>; no obstante, dicho criterio fue interrumpido en términos del artículo 9, fracción XXVII del Reglamento Interior del Instituto de Transparencia, Acceso a la Información Pública y Protección de Datos Personales del Estado de México y Municipios.</w:t>
      </w:r>
    </w:p>
    <w:p w14:paraId="66B8AD1E" w14:textId="77777777" w:rsidR="00BF184A" w:rsidRPr="004C55E8" w:rsidRDefault="00BF184A" w:rsidP="00BF184A"/>
    <w:p w14:paraId="55D647EA" w14:textId="77777777" w:rsidR="00BF184A" w:rsidRPr="004C55E8" w:rsidRDefault="00BF184A" w:rsidP="00BF184A">
      <w:r w:rsidRPr="004C55E8">
        <w:t xml:space="preserve">Debido a lo anterior, </w:t>
      </w:r>
      <w:r w:rsidRPr="004C55E8">
        <w:rPr>
          <w:b/>
          <w:bCs/>
        </w:rPr>
        <w:t>las fotografías de servidores públicos sin importar el nivel o rango guardan la naturaleza de públicas</w:t>
      </w:r>
      <w:r w:rsidRPr="004C55E8">
        <w:t xml:space="preserve"> (con excepción del personal operativo en materia de seguridad) y no procede su clasificación, en términos del artículo 143, fracción I, de la Ley de Transparencia y Acceso a la Información Pública del Estado de México y Municipios. </w:t>
      </w:r>
    </w:p>
    <w:p w14:paraId="1891CB0E" w14:textId="77777777" w:rsidR="00BF184A" w:rsidRPr="004C55E8" w:rsidRDefault="00BF184A" w:rsidP="00BF184A">
      <w:pPr>
        <w:rPr>
          <w:szCs w:val="24"/>
        </w:rPr>
      </w:pPr>
    </w:p>
    <w:p w14:paraId="2C2792E8" w14:textId="77777777" w:rsidR="00BF184A" w:rsidRPr="004C55E8" w:rsidRDefault="00BF184A" w:rsidP="00BF184A">
      <w:pPr>
        <w:rPr>
          <w:szCs w:val="24"/>
        </w:rPr>
      </w:pPr>
      <w:r w:rsidRPr="004C55E8">
        <w:rPr>
          <w:szCs w:val="24"/>
        </w:rPr>
        <w:t>Por otra parte, la firma que plasmen las personas en los documentos que se haga entrega como requisito para ingresar al servicio público se considera como un dato susceptible de ser suprimido o testado; esto con apego a lo dispuesto en el criterio 002/2019 emitido por el INAI, que a la letra estipula lo siguiente:</w:t>
      </w:r>
    </w:p>
    <w:p w14:paraId="053B9850" w14:textId="77777777" w:rsidR="00BF184A" w:rsidRPr="004C55E8" w:rsidRDefault="00BF184A" w:rsidP="00BF184A">
      <w:pPr>
        <w:rPr>
          <w:szCs w:val="24"/>
        </w:rPr>
      </w:pPr>
    </w:p>
    <w:p w14:paraId="5A4EFA38" w14:textId="77777777" w:rsidR="00BF184A" w:rsidRPr="004C55E8" w:rsidRDefault="00BF184A" w:rsidP="00BF184A">
      <w:pPr>
        <w:pStyle w:val="fundamentos0"/>
      </w:pPr>
      <w:r w:rsidRPr="004C55E8">
        <w:rPr>
          <w:b/>
        </w:rPr>
        <w:t>Firma y rúbrica de servidores públicos.</w:t>
      </w:r>
      <w:r w:rsidRPr="004C55E8">
        <w:t xml:space="preserve"> Si bien la firma y la rúbrica son datos personales confidenciales, cuando un servidor público emite un acto como autoridad, </w:t>
      </w:r>
      <w:r w:rsidRPr="004C55E8">
        <w:lastRenderedPageBreak/>
        <w:t>en ejercicio de las funciones que tiene conferidas, la firma o rúbrica mediante la cual se valida dicho acto es pública.</w:t>
      </w:r>
    </w:p>
    <w:p w14:paraId="22E22949" w14:textId="77777777" w:rsidR="00BF184A" w:rsidRPr="004C55E8" w:rsidRDefault="00BF184A" w:rsidP="00BF184A">
      <w:pPr>
        <w:rPr>
          <w:szCs w:val="24"/>
          <w:lang w:val="es-MX"/>
        </w:rPr>
      </w:pPr>
    </w:p>
    <w:p w14:paraId="5956A16C" w14:textId="77777777" w:rsidR="00BF184A" w:rsidRPr="004C55E8" w:rsidRDefault="00BF184A" w:rsidP="00BF184A">
      <w:pPr>
        <w:rPr>
          <w:szCs w:val="24"/>
          <w:lang w:val="es-MX"/>
        </w:rPr>
      </w:pPr>
      <w:r w:rsidRPr="004C55E8">
        <w:rPr>
          <w:szCs w:val="24"/>
          <w:lang w:val="es-MX"/>
        </w:rPr>
        <w:t>En ese tenor, dado que al plasmar la firma en dichos documentos no se cumple ninguna de las hipótesis previstas en el criterio en cita, se debe entender que las firmas contenidas en estos deben tenerse como datos de naturaleza confidencial.</w:t>
      </w:r>
    </w:p>
    <w:p w14:paraId="21B04D5E" w14:textId="77777777" w:rsidR="00BF184A" w:rsidRDefault="00BF184A" w:rsidP="008C4B1C">
      <w:pPr>
        <w:rPr>
          <w:rFonts w:eastAsia="Palatino Linotype" w:cs="Palatino Linotype"/>
          <w:lang w:val="es-ES"/>
        </w:rPr>
      </w:pPr>
    </w:p>
    <w:p w14:paraId="1E0B5EBB" w14:textId="77777777" w:rsidR="008C4B1C" w:rsidRPr="006A7396" w:rsidRDefault="008C4B1C" w:rsidP="008C4B1C">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353DFD75" w14:textId="77777777" w:rsidR="008C4B1C" w:rsidRPr="006A7396" w:rsidRDefault="008C4B1C" w:rsidP="008C4B1C">
      <w:pPr>
        <w:rPr>
          <w:rFonts w:eastAsia="Palatino Linotype" w:cs="Palatino Linotype"/>
          <w:szCs w:val="24"/>
        </w:rPr>
      </w:pPr>
    </w:p>
    <w:p w14:paraId="26313CF5" w14:textId="77777777" w:rsidR="008C4B1C" w:rsidRPr="006A7396" w:rsidRDefault="008C4B1C" w:rsidP="008C4B1C">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2A900B4F" w14:textId="77777777" w:rsidR="00B837B8" w:rsidRDefault="00B837B8" w:rsidP="00637679"/>
    <w:p w14:paraId="07B920B4" w14:textId="6CF0417A" w:rsidR="00581587" w:rsidRPr="006F2304" w:rsidRDefault="00581587" w:rsidP="00581587">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w:t>
      </w:r>
      <w:r w:rsidR="00022432">
        <w:rPr>
          <w:rFonts w:eastAsia="Palatino Linotype" w:cs="Palatino Linotype"/>
          <w:color w:val="000000" w:themeColor="text1"/>
        </w:rPr>
        <w:t>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w:t>
      </w:r>
      <w:r w:rsidR="006451AD">
        <w:rPr>
          <w:rFonts w:eastAsia="Palatino Linotype" w:cs="Palatino Linotype"/>
          <w:b/>
          <w:bCs/>
          <w:color w:val="000000" w:themeColor="text1"/>
        </w:rPr>
        <w:t>n fundamento en la primera</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6451AD">
        <w:rPr>
          <w:rFonts w:eastAsia="Palatino Linotype" w:cs="Palatino Linotype"/>
          <w:b/>
          <w:bCs/>
          <w:color w:val="000000" w:themeColor="text1"/>
        </w:rPr>
        <w:t>REVO</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00642669" w:rsidRPr="008F3C6D">
        <w:rPr>
          <w:rFonts w:eastAsia="Palatino Linotype" w:cs="Palatino Linotype"/>
          <w:color w:val="000000"/>
          <w:szCs w:val="24"/>
        </w:rPr>
        <w:t xml:space="preserve"> </w:t>
      </w:r>
      <w:r w:rsidR="001728EC">
        <w:rPr>
          <w:rFonts w:eastAsia="Palatino Linotype" w:cs="Palatino Linotype"/>
          <w:b/>
          <w:bCs/>
          <w:color w:val="000000"/>
          <w:szCs w:val="24"/>
        </w:rPr>
        <w:t>00014/OASNICOROM/IP/2025</w:t>
      </w:r>
      <w:r w:rsidRPr="0CEC3CE0">
        <w:rPr>
          <w:rFonts w:eastAsia="Palatino Linotype" w:cs="Palatino Linotype"/>
          <w:color w:val="000000" w:themeColor="text1"/>
        </w:rPr>
        <w:t>, que ha sido materia del presente estudio.</w:t>
      </w:r>
    </w:p>
    <w:p w14:paraId="33FB236F" w14:textId="259CAD64" w:rsidR="00581587" w:rsidRDefault="00581587" w:rsidP="008F50E6"/>
    <w:p w14:paraId="34755541"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lastRenderedPageBreak/>
        <w:t xml:space="preserve">Por lo </w:t>
      </w:r>
      <w:r w:rsidRPr="00BB7F90">
        <w:rPr>
          <w:rFonts w:eastAsia="Palatino Linotype" w:cs="Palatino Linotype"/>
          <w:color w:val="000000"/>
          <w:szCs w:val="24"/>
        </w:rPr>
        <w:t>antes expuesto y fundado es de resolverse y,</w:t>
      </w:r>
    </w:p>
    <w:p w14:paraId="3AF7767D" w14:textId="4DC74A1D" w:rsidR="00454915" w:rsidRDefault="00454915" w:rsidP="008F50E6"/>
    <w:p w14:paraId="04F69938" w14:textId="77777777" w:rsidR="00581587" w:rsidRPr="00BB7F90" w:rsidRDefault="00581587" w:rsidP="00581587">
      <w:pPr>
        <w:pStyle w:val="Ttulo1"/>
        <w:rPr>
          <w:rFonts w:eastAsia="Palatino Linotype"/>
        </w:rPr>
      </w:pPr>
      <w:r w:rsidRPr="00BB7F90">
        <w:rPr>
          <w:rFonts w:eastAsia="Palatino Linotype"/>
        </w:rPr>
        <w:t>S E    R E S U E L V E</w:t>
      </w:r>
    </w:p>
    <w:p w14:paraId="0360AA6D" w14:textId="77777777" w:rsidR="00581587" w:rsidRPr="00BB7F90" w:rsidRDefault="00581587" w:rsidP="00581587">
      <w:pPr>
        <w:pBdr>
          <w:top w:val="nil"/>
          <w:left w:val="nil"/>
          <w:bottom w:val="nil"/>
          <w:right w:val="nil"/>
          <w:between w:val="nil"/>
        </w:pBdr>
        <w:rPr>
          <w:rFonts w:eastAsia="Palatino Linotype" w:cs="Palatino Linotype"/>
          <w:b/>
          <w:color w:val="000000"/>
          <w:szCs w:val="24"/>
        </w:rPr>
      </w:pPr>
    </w:p>
    <w:p w14:paraId="2E76CA1A" w14:textId="017D9B0D" w:rsidR="00581587" w:rsidRPr="00BB7F90" w:rsidRDefault="00581587" w:rsidP="00581587">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6451AD">
        <w:rPr>
          <w:rFonts w:eastAsia="Palatino Linotype" w:cs="Palatino Linotype"/>
          <w:b/>
          <w:bCs/>
          <w:color w:val="000000" w:themeColor="text1"/>
        </w:rPr>
        <w:t>REVO</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sidR="00642669">
        <w:rPr>
          <w:rFonts w:eastAsia="Palatino Linotype" w:cs="Palatino Linotype"/>
          <w:b/>
          <w:bCs/>
          <w:color w:val="000000"/>
          <w:szCs w:val="24"/>
        </w:rPr>
        <w:t xml:space="preserve"> </w:t>
      </w:r>
      <w:r w:rsidR="001728EC">
        <w:rPr>
          <w:rFonts w:eastAsia="Palatino Linotype" w:cs="Palatino Linotype"/>
          <w:b/>
          <w:bCs/>
          <w:color w:val="000000"/>
          <w:szCs w:val="24"/>
        </w:rPr>
        <w:t>00014/OASNICOROM/IP/2025</w:t>
      </w:r>
      <w:r w:rsidR="000D3DC4">
        <w:rPr>
          <w:rFonts w:eastAsia="Palatino Linotype" w:cs="Palatino Linotype"/>
          <w:color w:val="000000" w:themeColor="text1"/>
        </w:rPr>
        <w:t>, al resultar</w:t>
      </w:r>
      <w:r w:rsidR="005D743E">
        <w:rPr>
          <w:rFonts w:eastAsia="Palatino Linotype" w:cs="Palatino Linotype"/>
          <w:color w:val="000000" w:themeColor="text1"/>
        </w:rPr>
        <w:t xml:space="preserve"> </w:t>
      </w:r>
      <w:r w:rsidRPr="00BB7F90">
        <w:rPr>
          <w:rFonts w:eastAsia="Palatino Linotype" w:cs="Palatino Linotype"/>
          <w:color w:val="000000" w:themeColor="text1"/>
        </w:rPr>
        <w:t xml:space="preserve">fundados los motivos de inconformidad argüidos por </w:t>
      </w:r>
      <w:r w:rsidR="000D3DC4">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BA5315">
        <w:rPr>
          <w:rFonts w:eastAsia="Palatino Linotype" w:cs="Palatino Linotype"/>
          <w:b/>
          <w:bCs/>
          <w:color w:val="000000" w:themeColor="text1"/>
        </w:rPr>
        <w:t>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1E340B42"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DA0A536" w14:textId="57108AA4" w:rsidR="00581587" w:rsidRPr="00BB7F90" w:rsidRDefault="00581587" w:rsidP="00581587">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007501B9" w:rsidRPr="003F3F63">
        <w:rPr>
          <w:rFonts w:eastAsia="Palatino Linotype" w:cs="Palatino Linotype"/>
          <w:color w:val="000000"/>
          <w:szCs w:val="24"/>
        </w:rPr>
        <w:t>al Sujeto Obligado que</w:t>
      </w:r>
      <w:r w:rsidR="003A51C8">
        <w:rPr>
          <w:rFonts w:eastAsia="Palatino Linotype" w:cs="Palatino Linotype"/>
          <w:color w:val="000000"/>
          <w:szCs w:val="24"/>
        </w:rPr>
        <w:t xml:space="preserve"> </w:t>
      </w:r>
      <w:r w:rsidR="00B837B8">
        <w:rPr>
          <w:rFonts w:eastAsia="Palatino Linotype" w:cs="Palatino Linotype"/>
          <w:color w:val="000000"/>
          <w:szCs w:val="24"/>
        </w:rPr>
        <w:t xml:space="preserve">haga </w:t>
      </w:r>
      <w:r w:rsidR="007501B9" w:rsidRPr="003F3F63">
        <w:rPr>
          <w:rFonts w:eastAsia="Palatino Linotype" w:cs="Palatino Linotype"/>
          <w:color w:val="000000"/>
          <w:szCs w:val="24"/>
        </w:rPr>
        <w:t>entrega a</w:t>
      </w:r>
      <w:r w:rsidR="000D3DC4">
        <w:rPr>
          <w:rFonts w:eastAsia="Palatino Linotype" w:cs="Palatino Linotype"/>
          <w:color w:val="000000"/>
          <w:szCs w:val="24"/>
        </w:rPr>
        <w:t>l</w:t>
      </w:r>
      <w:r w:rsidR="007501B9" w:rsidRPr="003F3F63">
        <w:rPr>
          <w:rFonts w:eastAsia="Palatino Linotype" w:cs="Palatino Linotype"/>
          <w:color w:val="000000"/>
          <w:szCs w:val="24"/>
        </w:rPr>
        <w:t xml:space="preserve"> Recurrente mediante el Sistema de Acceso a la Información Mexiquense (SAIMEX)</w:t>
      </w:r>
      <w:r w:rsidR="00B837B8">
        <w:rPr>
          <w:rFonts w:eastAsia="Palatino Linotype" w:cs="Palatino Linotype"/>
          <w:color w:val="000000"/>
          <w:szCs w:val="24"/>
        </w:rPr>
        <w:t>, en v</w:t>
      </w:r>
      <w:r w:rsidR="00BF184A">
        <w:rPr>
          <w:rFonts w:eastAsia="Palatino Linotype" w:cs="Palatino Linotype"/>
          <w:color w:val="000000"/>
          <w:szCs w:val="24"/>
        </w:rPr>
        <w:t>ersión pública</w:t>
      </w:r>
      <w:r w:rsidR="003A51C8">
        <w:rPr>
          <w:rFonts w:eastAsia="Palatino Linotype" w:cs="Palatino Linotype"/>
          <w:color w:val="000000"/>
          <w:szCs w:val="24"/>
        </w:rPr>
        <w:t xml:space="preserve"> y </w:t>
      </w:r>
      <w:r w:rsidR="007501B9" w:rsidRPr="003F3F63">
        <w:rPr>
          <w:rFonts w:eastAsia="Palatino Linotype" w:cs="Palatino Linotype"/>
          <w:color w:val="000000"/>
          <w:szCs w:val="24"/>
        </w:rPr>
        <w:t xml:space="preserve">en términos del </w:t>
      </w:r>
      <w:r w:rsidR="000D3DC4">
        <w:rPr>
          <w:rFonts w:eastAsia="Palatino Linotype" w:cs="Palatino Linotype"/>
          <w:b/>
          <w:color w:val="000000"/>
          <w:szCs w:val="24"/>
        </w:rPr>
        <w:t xml:space="preserve">Considerando </w:t>
      </w:r>
      <w:r w:rsidR="00BA5315">
        <w:rPr>
          <w:rFonts w:eastAsia="Palatino Linotype" w:cs="Palatino Linotype"/>
          <w:b/>
          <w:color w:val="000000"/>
          <w:szCs w:val="24"/>
        </w:rPr>
        <w:t>QUIN</w:t>
      </w:r>
      <w:r w:rsidR="007501B9" w:rsidRPr="003F3F63">
        <w:rPr>
          <w:rFonts w:eastAsia="Palatino Linotype" w:cs="Palatino Linotype"/>
          <w:b/>
          <w:color w:val="000000"/>
          <w:szCs w:val="24"/>
        </w:rPr>
        <w:t>TO</w:t>
      </w:r>
      <w:r w:rsidR="00637878">
        <w:rPr>
          <w:rFonts w:eastAsia="Palatino Linotype" w:cs="Palatino Linotype"/>
          <w:color w:val="000000"/>
          <w:szCs w:val="24"/>
        </w:rPr>
        <w:t>, de lo siguiente:</w:t>
      </w:r>
    </w:p>
    <w:p w14:paraId="26EEF856"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4BDB4F80" w14:textId="1A8EFB50" w:rsidR="00637878" w:rsidRPr="00832CDC" w:rsidRDefault="00BF184A" w:rsidP="00BF184A">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Pr>
          <w:rFonts w:eastAsia="Palatino Linotype" w:cs="Palatino Linotype"/>
          <w:i/>
          <w:iCs/>
          <w:color w:val="000000"/>
          <w:lang w:val="es-ES_tradnl"/>
        </w:rPr>
        <w:t>Lo</w:t>
      </w:r>
      <w:r w:rsidR="00DE2D8F">
        <w:rPr>
          <w:rFonts w:eastAsia="Palatino Linotype" w:cs="Palatino Linotype"/>
          <w:i/>
          <w:iCs/>
          <w:color w:val="000000"/>
          <w:lang w:val="es-ES_tradnl"/>
        </w:rPr>
        <w:t xml:space="preserve">s </w:t>
      </w:r>
      <w:r w:rsidRPr="00BF184A">
        <w:rPr>
          <w:rFonts w:eastAsia="Palatino Linotype" w:cs="Palatino Linotype"/>
          <w:i/>
          <w:iCs/>
          <w:color w:val="000000"/>
          <w:lang w:val="es-ES_tradnl"/>
        </w:rPr>
        <w:t>documentos en donde conste la información curricular de todos los servidores públicos adscritos al Sujeto Obligado</w:t>
      </w:r>
      <w:r>
        <w:rPr>
          <w:rFonts w:eastAsia="Palatino Linotype" w:cs="Palatino Linotype"/>
          <w:i/>
          <w:iCs/>
          <w:color w:val="000000"/>
        </w:rPr>
        <w:t xml:space="preserve"> al diecinueve de febrero de dos mil veinticinco.</w:t>
      </w:r>
    </w:p>
    <w:p w14:paraId="5D3CABD2" w14:textId="77777777" w:rsidR="00637878" w:rsidRPr="00637878" w:rsidRDefault="00637878" w:rsidP="00637878">
      <w:pPr>
        <w:pStyle w:val="NormalINFOEM"/>
      </w:pPr>
    </w:p>
    <w:p w14:paraId="62472026" w14:textId="64FA5AEB" w:rsidR="004161DA" w:rsidRPr="006A7396" w:rsidRDefault="00BF184A" w:rsidP="00637878">
      <w:pPr>
        <w:pStyle w:val="NormalINFOEM"/>
        <w:rPr>
          <w:szCs w:val="24"/>
        </w:rPr>
      </w:pPr>
      <w:r>
        <w:rPr>
          <w:szCs w:val="24"/>
        </w:rPr>
        <w:t>C</w:t>
      </w:r>
      <w:r w:rsidR="00B837B8"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5A0062" w14:textId="77777777" w:rsidR="004161DA" w:rsidRPr="00B667E3" w:rsidRDefault="004161DA" w:rsidP="00637878">
      <w:pPr>
        <w:pStyle w:val="NormalINFOEM"/>
        <w:rPr>
          <w:szCs w:val="24"/>
        </w:rPr>
      </w:pPr>
    </w:p>
    <w:p w14:paraId="0BFBD801" w14:textId="343F5C80"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 xml:space="preserve">la presente resolución al Titular de la Unidad de Transparencia del Sujeto Obligado </w:t>
      </w:r>
      <w:r w:rsidR="0032659A" w:rsidRPr="00325BCB">
        <w:rPr>
          <w:rFonts w:eastAsia="Palatino Linotype" w:cs="Palatino Linotype"/>
          <w:color w:val="000000"/>
          <w:szCs w:val="24"/>
        </w:rPr>
        <w:t xml:space="preserve">mediante el Sistema de Acceso a la Información Mexiquense </w:t>
      </w:r>
      <w:r w:rsidR="0032659A" w:rsidRPr="00325BCB">
        <w:rPr>
          <w:rFonts w:eastAsia="Palatino Linotype" w:cs="Palatino Linotype"/>
          <w:color w:val="000000"/>
          <w:szCs w:val="24"/>
        </w:rPr>
        <w:lastRenderedPageBreak/>
        <w:t>(SAIMEX)</w:t>
      </w:r>
      <w:r w:rsidR="0032659A">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BA5315" w:rsidRDefault="00581587" w:rsidP="00581587">
      <w:pPr>
        <w:pBdr>
          <w:top w:val="nil"/>
          <w:left w:val="nil"/>
          <w:bottom w:val="nil"/>
          <w:right w:val="nil"/>
          <w:between w:val="nil"/>
        </w:pBdr>
        <w:rPr>
          <w:rFonts w:eastAsia="Palatino Linotype" w:cs="Palatino Linotype"/>
          <w:color w:val="000000"/>
          <w:szCs w:val="24"/>
        </w:rPr>
      </w:pPr>
    </w:p>
    <w:p w14:paraId="0DB49AA1" w14:textId="726E3355" w:rsidR="00581587" w:rsidRPr="00BA5315" w:rsidRDefault="002377FC" w:rsidP="00581587">
      <w:pPr>
        <w:pBdr>
          <w:top w:val="nil"/>
          <w:left w:val="nil"/>
          <w:bottom w:val="nil"/>
          <w:right w:val="nil"/>
          <w:between w:val="nil"/>
        </w:pBdr>
        <w:rPr>
          <w:rFonts w:eastAsia="Palatino Linotype" w:cs="Palatino Linotype"/>
          <w:color w:val="000000"/>
          <w:szCs w:val="24"/>
        </w:rPr>
      </w:pPr>
      <w:r>
        <w:rPr>
          <w:rFonts w:eastAsia="Palatino Linotype" w:cs="Palatino Linotype"/>
          <w:b/>
          <w:noProof/>
          <w:color w:val="000000"/>
          <w:szCs w:val="24"/>
          <w:lang w:val="es-MX"/>
        </w:rPr>
        <mc:AlternateContent>
          <mc:Choice Requires="wps">
            <w:drawing>
              <wp:anchor distT="0" distB="0" distL="114300" distR="114300" simplePos="0" relativeHeight="251659264" behindDoc="0" locked="0" layoutInCell="1" allowOverlap="1" wp14:anchorId="08B4340D" wp14:editId="40DC9E15">
                <wp:simplePos x="0" y="0"/>
                <wp:positionH relativeFrom="column">
                  <wp:posOffset>-19990</wp:posOffset>
                </wp:positionH>
                <wp:positionV relativeFrom="paragraph">
                  <wp:posOffset>1792843</wp:posOffset>
                </wp:positionV>
                <wp:extent cx="5842660" cy="3146961"/>
                <wp:effectExtent l="0" t="0" r="24765" b="34925"/>
                <wp:wrapNone/>
                <wp:docPr id="1704589035" name="Conector recto 1"/>
                <wp:cNvGraphicFramePr/>
                <a:graphic xmlns:a="http://schemas.openxmlformats.org/drawingml/2006/main">
                  <a:graphicData uri="http://schemas.microsoft.com/office/word/2010/wordprocessingShape">
                    <wps:wsp>
                      <wps:cNvCnPr/>
                      <wps:spPr>
                        <a:xfrm>
                          <a:off x="0" y="0"/>
                          <a:ext cx="5842660" cy="31469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1DDE63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141.15pt" to="458.5pt,3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" strokecolor="#5b9bd5 [3204]" strokeweight=".5pt">
                <v:stroke joinstyle="miter"/>
              </v:line>
            </w:pict>
          </mc:Fallback>
        </mc:AlternateContent>
      </w:r>
      <w:r w:rsidR="00581587" w:rsidRPr="00BA5315">
        <w:rPr>
          <w:rFonts w:eastAsia="Palatino Linotype" w:cs="Palatino Linotype"/>
          <w:b/>
          <w:color w:val="000000"/>
          <w:szCs w:val="24"/>
        </w:rPr>
        <w:t xml:space="preserve">QUINTO. Notifíquese </w:t>
      </w:r>
      <w:r w:rsidR="00581587" w:rsidRPr="00BA5315">
        <w:rPr>
          <w:rFonts w:eastAsia="Palatino Linotype" w:cs="Palatino Linotype"/>
          <w:color w:val="000000"/>
          <w:szCs w:val="24"/>
        </w:rPr>
        <w:t>la presente resolución a</w:t>
      </w:r>
      <w:r w:rsidR="000D3DC4" w:rsidRPr="00BA5315">
        <w:rPr>
          <w:rFonts w:eastAsia="Palatino Linotype" w:cs="Palatino Linotype"/>
          <w:color w:val="000000"/>
          <w:szCs w:val="24"/>
        </w:rPr>
        <w:t>l</w:t>
      </w:r>
      <w:r w:rsidR="00581587" w:rsidRPr="00BA5315">
        <w:rPr>
          <w:rFonts w:eastAsia="Palatino Linotype" w:cs="Palatino Linotype"/>
          <w:color w:val="000000"/>
          <w:szCs w:val="24"/>
        </w:rPr>
        <w:t xml:space="preserve"> Recurrente mediante el Sistema de Acceso a la Información Mexiquense (SAIMEX)</w:t>
      </w:r>
      <w:r w:rsidR="00FB5BF2" w:rsidRPr="00BA5315">
        <w:rPr>
          <w:rFonts w:eastAsia="Palatino Linotype" w:cs="Palatino Linotype"/>
          <w:color w:val="000000"/>
          <w:szCs w:val="24"/>
        </w:rPr>
        <w:t xml:space="preserve">, </w:t>
      </w:r>
      <w:r w:rsidR="00581587" w:rsidRPr="00BA5315">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Default="00454915" w:rsidP="008F50E6">
      <w:pPr>
        <w:rPr>
          <w:szCs w:val="24"/>
        </w:rPr>
      </w:pPr>
    </w:p>
    <w:p w14:paraId="41E574D1" w14:textId="77777777" w:rsidR="002377FC" w:rsidRDefault="002377FC" w:rsidP="008F50E6">
      <w:pPr>
        <w:rPr>
          <w:szCs w:val="24"/>
        </w:rPr>
      </w:pPr>
    </w:p>
    <w:p w14:paraId="3863E3E0" w14:textId="77777777" w:rsidR="002377FC" w:rsidRDefault="002377FC" w:rsidP="008F50E6">
      <w:pPr>
        <w:rPr>
          <w:szCs w:val="24"/>
        </w:rPr>
      </w:pPr>
    </w:p>
    <w:p w14:paraId="40C6EA6E" w14:textId="77777777" w:rsidR="002377FC" w:rsidRDefault="002377FC" w:rsidP="008F50E6">
      <w:pPr>
        <w:rPr>
          <w:szCs w:val="24"/>
        </w:rPr>
      </w:pPr>
    </w:p>
    <w:p w14:paraId="1A44BD76" w14:textId="77777777" w:rsidR="002377FC" w:rsidRDefault="002377FC" w:rsidP="008F50E6">
      <w:pPr>
        <w:rPr>
          <w:szCs w:val="24"/>
        </w:rPr>
      </w:pPr>
    </w:p>
    <w:p w14:paraId="5B3F347C" w14:textId="77777777" w:rsidR="002377FC" w:rsidRDefault="002377FC" w:rsidP="008F50E6">
      <w:pPr>
        <w:rPr>
          <w:szCs w:val="24"/>
        </w:rPr>
      </w:pPr>
    </w:p>
    <w:p w14:paraId="3950A761" w14:textId="77777777" w:rsidR="002377FC" w:rsidRDefault="002377FC" w:rsidP="008F50E6">
      <w:pPr>
        <w:rPr>
          <w:szCs w:val="24"/>
        </w:rPr>
      </w:pPr>
    </w:p>
    <w:p w14:paraId="2958A6AE" w14:textId="77777777" w:rsidR="002377FC" w:rsidRDefault="002377FC" w:rsidP="008F50E6">
      <w:pPr>
        <w:rPr>
          <w:szCs w:val="24"/>
        </w:rPr>
      </w:pPr>
    </w:p>
    <w:p w14:paraId="013BC267" w14:textId="77777777" w:rsidR="002377FC" w:rsidRPr="00BA5315" w:rsidRDefault="002377FC" w:rsidP="008F50E6">
      <w:pPr>
        <w:rPr>
          <w:szCs w:val="24"/>
        </w:rPr>
      </w:pPr>
    </w:p>
    <w:p w14:paraId="20573BFF" w14:textId="6AA951D6"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D24205">
        <w:rPr>
          <w:rFonts w:eastAsia="Palatino Linotype" w:cs="Palatino Linotype"/>
          <w:color w:val="000000"/>
          <w:szCs w:val="24"/>
        </w:rPr>
        <w:t xml:space="preserve"> </w:t>
      </w:r>
      <w:r w:rsidR="00D24205">
        <w:rPr>
          <w:rFonts w:eastAsiaTheme="minorHAnsi" w:cs="Arial"/>
          <w:lang w:val="es-MX" w:eastAsia="en-US"/>
        </w:rPr>
        <w:t>(EMITIENDO VOTO PARTICULAR)</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CB1E7F">
        <w:rPr>
          <w:rFonts w:eastAsia="Palatino Linotype" w:cs="Palatino Linotype"/>
          <w:color w:val="000000"/>
          <w:szCs w:val="24"/>
        </w:rPr>
        <w:t>VIGÉSIMA PRIMERA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w:t>
      </w:r>
      <w:r w:rsidR="00D24205">
        <w:rPr>
          <w:rFonts w:eastAsia="Palatino Linotype" w:cs="Palatino Linotype"/>
          <w:color w:val="000000"/>
          <w:szCs w:val="24"/>
        </w:rPr>
        <w:t xml:space="preserve"> EL</w:t>
      </w:r>
      <w:r w:rsidR="0011108B">
        <w:rPr>
          <w:rFonts w:eastAsia="Palatino Linotype" w:cs="Palatino Linotype"/>
          <w:color w:val="000000"/>
          <w:szCs w:val="24"/>
        </w:rPr>
        <w:t xml:space="preserve"> </w:t>
      </w:r>
      <w:r w:rsidR="00CB1E7F">
        <w:rPr>
          <w:rFonts w:eastAsia="Palatino Linotype" w:cs="Palatino Linotype"/>
          <w:color w:val="000000"/>
          <w:szCs w:val="24"/>
        </w:rPr>
        <w:t>ONCE DE JUNI</w:t>
      </w:r>
      <w:r w:rsidR="00D20E91">
        <w:rPr>
          <w:rFonts w:eastAsia="Palatino Linotype" w:cs="Palatino Linotype"/>
          <w:color w:val="000000"/>
          <w:szCs w:val="24"/>
        </w:rPr>
        <w: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BA5315">
        <w:rPr>
          <w:rFonts w:eastAsia="Palatino Linotype" w:cs="Palatino Linotype"/>
          <w:color w:val="000000"/>
          <w:szCs w:val="24"/>
        </w:rPr>
        <w:t>---------------------------------------------------------------</w:t>
      </w:r>
      <w:r w:rsidR="00B837B8">
        <w:rPr>
          <w:rFonts w:eastAsia="Palatino Linotype" w:cs="Palatino Linotype"/>
          <w:color w:val="000000"/>
          <w:szCs w:val="24"/>
        </w:rPr>
        <w:t>----------------------------------------------------------------------------------------------------------------------------------------------------------------------------------------------------------------------------------------------------------------------------------</w:t>
      </w:r>
      <w:r w:rsidR="007A1385">
        <w:rPr>
          <w:rFonts w:eastAsia="Palatino Linotype" w:cs="Palatino Linotype"/>
          <w:color w:val="000000"/>
          <w:szCs w:val="24"/>
        </w:rPr>
        <w:t>--------------------------------------------------------------------------------------------------------------------------------------------------------------------------------------------------------------------------------------------------------------------------------------------------------------------------------------------------------------------------------------------------------------------------------------------------------------------------------------------------------------------------------------------------------------------------------------------------------</w:t>
      </w:r>
      <w:r w:rsidR="00BF184A">
        <w:rPr>
          <w:rFonts w:eastAsia="Palatino Linotype" w:cs="Palatino Linotype"/>
          <w:color w:val="000000"/>
          <w:szCs w:val="24"/>
        </w:rPr>
        <w:t>-------------------------------------------------------------------------------</w:t>
      </w:r>
      <w:r w:rsidR="00BF184A">
        <w:rPr>
          <w:rFonts w:eastAsia="Palatino Linotype" w:cs="Palatino Linotype"/>
          <w:color w:val="000000"/>
          <w:szCs w:val="24"/>
        </w:rPr>
        <w:lastRenderedPageBreak/>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6"/>
      <w:headerReference w:type="default" r:id="rId17"/>
      <w:footerReference w:type="default" r:id="rId18"/>
      <w:headerReference w:type="first" r:id="rId19"/>
      <w:footerReference w:type="first" r:id="rId20"/>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423EA" w14:textId="77777777" w:rsidR="00074D41" w:rsidRDefault="00074D41" w:rsidP="00F2498E">
      <w:pPr>
        <w:spacing w:line="240" w:lineRule="auto"/>
      </w:pPr>
      <w:r>
        <w:separator/>
      </w:r>
    </w:p>
  </w:endnote>
  <w:endnote w:type="continuationSeparator" w:id="0">
    <w:p w14:paraId="4507E40F" w14:textId="77777777" w:rsidR="00074D41" w:rsidRDefault="00074D41" w:rsidP="00F2498E">
      <w:pPr>
        <w:spacing w:line="240" w:lineRule="auto"/>
      </w:pPr>
      <w:r>
        <w:continuationSeparator/>
      </w:r>
    </w:p>
  </w:endnote>
  <w:endnote w:type="continuationNotice" w:id="1">
    <w:p w14:paraId="4E4ED2E2" w14:textId="77777777" w:rsidR="00074D41" w:rsidRDefault="00074D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3720C4" w:rsidRPr="00871A91" w:rsidRDefault="003720C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0E8A">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0E8A">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3720C4" w:rsidRPr="00871A91" w:rsidRDefault="003720C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80E8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80E8A">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EC304" w14:textId="77777777" w:rsidR="00074D41" w:rsidRDefault="00074D41" w:rsidP="00F2498E">
      <w:pPr>
        <w:spacing w:line="240" w:lineRule="auto"/>
      </w:pPr>
      <w:r>
        <w:separator/>
      </w:r>
    </w:p>
  </w:footnote>
  <w:footnote w:type="continuationSeparator" w:id="0">
    <w:p w14:paraId="01708968" w14:textId="77777777" w:rsidR="00074D41" w:rsidRDefault="00074D41" w:rsidP="00F2498E">
      <w:pPr>
        <w:spacing w:line="240" w:lineRule="auto"/>
      </w:pPr>
      <w:r>
        <w:continuationSeparator/>
      </w:r>
    </w:p>
  </w:footnote>
  <w:footnote w:type="continuationNotice" w:id="1">
    <w:p w14:paraId="124F8733" w14:textId="77777777" w:rsidR="00074D41" w:rsidRDefault="00074D41">
      <w:pPr>
        <w:spacing w:line="240" w:lineRule="auto"/>
      </w:pPr>
    </w:p>
  </w:footnote>
  <w:footnote w:id="2">
    <w:p w14:paraId="2BCE50A0" w14:textId="77777777" w:rsidR="003720C4" w:rsidRPr="0031280C" w:rsidRDefault="003720C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3720C4" w:rsidRPr="0031280C" w:rsidRDefault="003720C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3720C4" w:rsidRPr="0031280C" w:rsidRDefault="003720C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3720C4" w:rsidRPr="0031280C" w:rsidRDefault="003720C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6A81DBF" w14:textId="77777777" w:rsidR="003720C4" w:rsidRPr="003A5940" w:rsidRDefault="003720C4" w:rsidP="009F39BF">
      <w:pPr>
        <w:pStyle w:val="Textonotapie"/>
        <w:rPr>
          <w:lang w:val="es-MX"/>
        </w:rPr>
      </w:pPr>
      <w:r>
        <w:rPr>
          <w:rStyle w:val="Refdenotaalpie"/>
        </w:rPr>
        <w:footnoteRef/>
      </w:r>
      <w:r>
        <w:t xml:space="preserve"> </w:t>
      </w:r>
      <w:hyperlink r:id="rId3" w:history="1">
        <w:r w:rsidRPr="00A10491">
          <w:rPr>
            <w:rStyle w:val="Hipervnculo"/>
          </w:rPr>
          <w:t>https://opendatacharter.net/principles-es/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3720C4" w:rsidRDefault="00E80E8A">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720C4" w:rsidRPr="00B17577" w14:paraId="37B9EBDE" w14:textId="77777777" w:rsidTr="003938ED">
      <w:trPr>
        <w:trHeight w:val="227"/>
      </w:trPr>
      <w:tc>
        <w:tcPr>
          <w:tcW w:w="5103" w:type="dxa"/>
          <w:hideMark/>
        </w:tcPr>
        <w:p w14:paraId="4964FBC5" w14:textId="54CDA645" w:rsidR="003720C4" w:rsidRPr="00096248" w:rsidRDefault="003720C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E2AFBB2" w:rsidR="003720C4" w:rsidRPr="00096248" w:rsidRDefault="003720C4" w:rsidP="00011C4D">
          <w:pPr>
            <w:spacing w:after="120" w:line="240" w:lineRule="auto"/>
            <w:ind w:right="71"/>
            <w:jc w:val="right"/>
            <w:rPr>
              <w:rFonts w:cs="Arial"/>
              <w:b/>
              <w:szCs w:val="24"/>
            </w:rPr>
          </w:pPr>
          <w:r>
            <w:rPr>
              <w:rFonts w:cs="Arial"/>
              <w:b/>
              <w:bCs/>
              <w:szCs w:val="24"/>
            </w:rPr>
            <w:t>03665/INFOEM/IP/RR/2025</w:t>
          </w:r>
        </w:p>
      </w:tc>
    </w:tr>
    <w:tr w:rsidR="003720C4" w14:paraId="7591D3C9" w14:textId="77777777" w:rsidTr="003938ED">
      <w:trPr>
        <w:trHeight w:val="242"/>
      </w:trPr>
      <w:tc>
        <w:tcPr>
          <w:tcW w:w="5103" w:type="dxa"/>
          <w:hideMark/>
        </w:tcPr>
        <w:p w14:paraId="729A65A8" w14:textId="77777777" w:rsidR="003720C4" w:rsidRPr="00096248" w:rsidRDefault="003720C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DEB70D3" w:rsidR="003720C4" w:rsidRPr="00096248" w:rsidRDefault="003720C4" w:rsidP="00011C4D">
          <w:pPr>
            <w:spacing w:after="120" w:line="240" w:lineRule="auto"/>
            <w:ind w:left="-81" w:right="71"/>
            <w:jc w:val="right"/>
            <w:rPr>
              <w:rFonts w:cs="Arial"/>
              <w:szCs w:val="24"/>
            </w:rPr>
          </w:pPr>
          <w:r>
            <w:rPr>
              <w:rFonts w:cs="Arial"/>
              <w:szCs w:val="24"/>
            </w:rPr>
            <w:t>Organismo Público Descentralizado para la Prestación de los Servicios de Agua Potable, Alcantarillado y Saneamiento de Nicolás Romero</w:t>
          </w:r>
        </w:p>
      </w:tc>
    </w:tr>
    <w:tr w:rsidR="003720C4" w:rsidRPr="00F63239" w14:paraId="037E914D" w14:textId="77777777" w:rsidTr="003938ED">
      <w:trPr>
        <w:trHeight w:val="342"/>
      </w:trPr>
      <w:tc>
        <w:tcPr>
          <w:tcW w:w="5103" w:type="dxa"/>
          <w:hideMark/>
        </w:tcPr>
        <w:p w14:paraId="7676B68F" w14:textId="64D69EAF" w:rsidR="003720C4" w:rsidRPr="00096248" w:rsidRDefault="003720C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3720C4" w:rsidRDefault="003720C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3720C4" w:rsidRPr="00711916" w:rsidRDefault="003720C4" w:rsidP="00011C4D">
          <w:pPr>
            <w:spacing w:after="120" w:line="240" w:lineRule="auto"/>
            <w:ind w:left="-486" w:right="71" w:firstLine="567"/>
            <w:jc w:val="right"/>
            <w:rPr>
              <w:rFonts w:cs="Arial"/>
              <w:sz w:val="2"/>
              <w:szCs w:val="2"/>
            </w:rPr>
          </w:pPr>
        </w:p>
      </w:tc>
    </w:tr>
  </w:tbl>
  <w:p w14:paraId="2998DBFD" w14:textId="25A9F426" w:rsidR="003720C4" w:rsidRPr="00871A91" w:rsidRDefault="00E80E8A">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3.45pt;margin-top:-155.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3720C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720C4" w14:paraId="0F9FE9B6" w14:textId="77777777" w:rsidTr="70652167">
      <w:trPr>
        <w:trHeight w:val="227"/>
      </w:trPr>
      <w:tc>
        <w:tcPr>
          <w:tcW w:w="5103" w:type="dxa"/>
          <w:hideMark/>
        </w:tcPr>
        <w:p w14:paraId="6D1D9D71" w14:textId="11150E5A" w:rsidR="003720C4" w:rsidRPr="00663A37" w:rsidRDefault="003720C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45C7564" w:rsidR="003720C4" w:rsidRPr="00C81ECD" w:rsidRDefault="003720C4" w:rsidP="00011C4D">
          <w:pPr>
            <w:spacing w:after="120" w:line="240" w:lineRule="auto"/>
            <w:ind w:left="-486" w:right="68" w:firstLine="558"/>
            <w:jc w:val="right"/>
            <w:rPr>
              <w:rFonts w:cs="Arial"/>
              <w:b/>
              <w:szCs w:val="24"/>
            </w:rPr>
          </w:pPr>
          <w:r>
            <w:rPr>
              <w:rFonts w:cs="Arial"/>
              <w:b/>
              <w:bCs/>
              <w:szCs w:val="24"/>
            </w:rPr>
            <w:t>03665/INFOEM/IP/RR/2025</w:t>
          </w:r>
        </w:p>
      </w:tc>
    </w:tr>
    <w:tr w:rsidR="003720C4" w:rsidRPr="001F57CD" w14:paraId="1377D264" w14:textId="77777777" w:rsidTr="70652167">
      <w:trPr>
        <w:trHeight w:val="196"/>
      </w:trPr>
      <w:tc>
        <w:tcPr>
          <w:tcW w:w="5103" w:type="dxa"/>
          <w:hideMark/>
        </w:tcPr>
        <w:p w14:paraId="04D597A1" w14:textId="77777777" w:rsidR="003720C4" w:rsidRPr="00663A37" w:rsidRDefault="003720C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ED654E8" w:rsidR="003720C4" w:rsidRPr="00663A37" w:rsidRDefault="00E80E8A" w:rsidP="70652167">
          <w:pPr>
            <w:spacing w:after="120" w:line="240" w:lineRule="auto"/>
            <w:ind w:right="68"/>
            <w:jc w:val="right"/>
            <w:rPr>
              <w:rFonts w:cs="Arial"/>
              <w:lang w:val="es-ES"/>
            </w:rPr>
          </w:pPr>
          <w:r>
            <w:rPr>
              <w:rFonts w:cs="Arial"/>
              <w:lang w:val="es-ES"/>
            </w:rPr>
            <w:t>XXXX</w:t>
          </w:r>
        </w:p>
      </w:tc>
    </w:tr>
    <w:tr w:rsidR="003720C4" w14:paraId="4DC11993" w14:textId="77777777" w:rsidTr="70652167">
      <w:trPr>
        <w:trHeight w:val="242"/>
      </w:trPr>
      <w:tc>
        <w:tcPr>
          <w:tcW w:w="5103" w:type="dxa"/>
          <w:hideMark/>
        </w:tcPr>
        <w:p w14:paraId="76CEF1B5" w14:textId="77777777" w:rsidR="003720C4" w:rsidRPr="00663A37" w:rsidRDefault="003720C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C950CA9" w:rsidR="003720C4" w:rsidRPr="00663A37" w:rsidRDefault="003720C4" w:rsidP="00771E23">
          <w:pPr>
            <w:spacing w:after="120" w:line="240" w:lineRule="auto"/>
            <w:ind w:left="-70" w:right="68"/>
            <w:jc w:val="right"/>
            <w:rPr>
              <w:rFonts w:cs="Arial"/>
              <w:szCs w:val="24"/>
            </w:rPr>
          </w:pPr>
          <w:r>
            <w:rPr>
              <w:rFonts w:cs="Arial"/>
              <w:szCs w:val="24"/>
            </w:rPr>
            <w:t>Organismo Público Descentralizado para la Prestación de los Servicios de Agua Potable, Alcantarillado y Saneamiento de Nicolás Romero</w:t>
          </w:r>
        </w:p>
      </w:tc>
    </w:tr>
    <w:tr w:rsidR="003720C4" w14:paraId="5C2B511D" w14:textId="77777777" w:rsidTr="70652167">
      <w:trPr>
        <w:trHeight w:val="342"/>
      </w:trPr>
      <w:tc>
        <w:tcPr>
          <w:tcW w:w="5103" w:type="dxa"/>
          <w:hideMark/>
        </w:tcPr>
        <w:p w14:paraId="03FEF68C" w14:textId="45E91CF4" w:rsidR="003720C4" w:rsidRPr="00663A37" w:rsidRDefault="003720C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3720C4" w:rsidRPr="00663A37" w:rsidRDefault="003720C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3720C4" w:rsidRPr="00871A91" w:rsidRDefault="00E80E8A">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2pt;margin-top:-170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3720C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5F7A7B"/>
    <w:multiLevelType w:val="hybridMultilevel"/>
    <w:tmpl w:val="4B962980"/>
    <w:lvl w:ilvl="0" w:tplc="A2E4AD5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77716B"/>
    <w:multiLevelType w:val="hybridMultilevel"/>
    <w:tmpl w:val="AE6CE102"/>
    <w:lvl w:ilvl="0" w:tplc="E5D4B4F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B02D97"/>
    <w:multiLevelType w:val="hybridMultilevel"/>
    <w:tmpl w:val="E9CA8B2C"/>
    <w:lvl w:ilvl="0" w:tplc="DF741CD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F427B9"/>
    <w:multiLevelType w:val="hybridMultilevel"/>
    <w:tmpl w:val="18E44B40"/>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956403"/>
    <w:multiLevelType w:val="hybridMultilevel"/>
    <w:tmpl w:val="279CE15C"/>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C4D40E1"/>
    <w:multiLevelType w:val="hybridMultilevel"/>
    <w:tmpl w:val="76A87F10"/>
    <w:lvl w:ilvl="0" w:tplc="C48A71BE">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53D06E5"/>
    <w:multiLevelType w:val="hybridMultilevel"/>
    <w:tmpl w:val="6AF81256"/>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76FA200C"/>
    <w:multiLevelType w:val="hybridMultilevel"/>
    <w:tmpl w:val="84A42018"/>
    <w:lvl w:ilvl="0" w:tplc="E5D4B4F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41"/>
  </w:num>
  <w:num w:numId="3">
    <w:abstractNumId w:val="15"/>
  </w:num>
  <w:num w:numId="4">
    <w:abstractNumId w:val="54"/>
  </w:num>
  <w:num w:numId="5">
    <w:abstractNumId w:val="5"/>
  </w:num>
  <w:num w:numId="6">
    <w:abstractNumId w:val="45"/>
  </w:num>
  <w:num w:numId="7">
    <w:abstractNumId w:val="13"/>
  </w:num>
  <w:num w:numId="8">
    <w:abstractNumId w:val="4"/>
  </w:num>
  <w:num w:numId="9">
    <w:abstractNumId w:val="24"/>
  </w:num>
  <w:num w:numId="10">
    <w:abstractNumId w:val="26"/>
  </w:num>
  <w:num w:numId="11">
    <w:abstractNumId w:val="59"/>
  </w:num>
  <w:num w:numId="12">
    <w:abstractNumId w:val="52"/>
  </w:num>
  <w:num w:numId="13">
    <w:abstractNumId w:val="35"/>
  </w:num>
  <w:num w:numId="14">
    <w:abstractNumId w:val="40"/>
  </w:num>
  <w:num w:numId="15">
    <w:abstractNumId w:val="21"/>
  </w:num>
  <w:num w:numId="16">
    <w:abstractNumId w:val="33"/>
  </w:num>
  <w:num w:numId="17">
    <w:abstractNumId w:val="17"/>
  </w:num>
  <w:num w:numId="18">
    <w:abstractNumId w:val="7"/>
  </w:num>
  <w:num w:numId="19">
    <w:abstractNumId w:val="8"/>
  </w:num>
  <w:num w:numId="20">
    <w:abstractNumId w:val="16"/>
  </w:num>
  <w:num w:numId="21">
    <w:abstractNumId w:val="29"/>
  </w:num>
  <w:num w:numId="22">
    <w:abstractNumId w:val="3"/>
  </w:num>
  <w:num w:numId="23">
    <w:abstractNumId w:val="37"/>
  </w:num>
  <w:num w:numId="24">
    <w:abstractNumId w:val="44"/>
  </w:num>
  <w:num w:numId="25">
    <w:abstractNumId w:val="53"/>
  </w:num>
  <w:num w:numId="26">
    <w:abstractNumId w:val="23"/>
  </w:num>
  <w:num w:numId="27">
    <w:abstractNumId w:val="48"/>
  </w:num>
  <w:num w:numId="28">
    <w:abstractNumId w:val="31"/>
  </w:num>
  <w:num w:numId="29">
    <w:abstractNumId w:val="28"/>
  </w:num>
  <w:num w:numId="30">
    <w:abstractNumId w:val="19"/>
  </w:num>
  <w:num w:numId="31">
    <w:abstractNumId w:val="39"/>
  </w:num>
  <w:num w:numId="32">
    <w:abstractNumId w:val="43"/>
  </w:num>
  <w:num w:numId="33">
    <w:abstractNumId w:val="6"/>
  </w:num>
  <w:num w:numId="34">
    <w:abstractNumId w:val="56"/>
  </w:num>
  <w:num w:numId="35">
    <w:abstractNumId w:val="63"/>
  </w:num>
  <w:num w:numId="36">
    <w:abstractNumId w:val="51"/>
  </w:num>
  <w:num w:numId="37">
    <w:abstractNumId w:val="10"/>
  </w:num>
  <w:num w:numId="38">
    <w:abstractNumId w:val="49"/>
  </w:num>
  <w:num w:numId="39">
    <w:abstractNumId w:val="11"/>
  </w:num>
  <w:num w:numId="40">
    <w:abstractNumId w:val="46"/>
  </w:num>
  <w:num w:numId="41">
    <w:abstractNumId w:val="55"/>
  </w:num>
  <w:num w:numId="42">
    <w:abstractNumId w:val="0"/>
  </w:num>
  <w:num w:numId="43">
    <w:abstractNumId w:val="2"/>
  </w:num>
  <w:num w:numId="44">
    <w:abstractNumId w:val="32"/>
  </w:num>
  <w:num w:numId="45">
    <w:abstractNumId w:val="22"/>
  </w:num>
  <w:num w:numId="46">
    <w:abstractNumId w:val="57"/>
  </w:num>
  <w:num w:numId="47">
    <w:abstractNumId w:val="30"/>
  </w:num>
  <w:num w:numId="48">
    <w:abstractNumId w:val="65"/>
  </w:num>
  <w:num w:numId="49">
    <w:abstractNumId w:val="1"/>
  </w:num>
  <w:num w:numId="50">
    <w:abstractNumId w:val="42"/>
  </w:num>
  <w:num w:numId="51">
    <w:abstractNumId w:val="12"/>
  </w:num>
  <w:num w:numId="52">
    <w:abstractNumId w:val="64"/>
  </w:num>
  <w:num w:numId="53">
    <w:abstractNumId w:val="58"/>
  </w:num>
  <w:num w:numId="54">
    <w:abstractNumId w:val="20"/>
  </w:num>
  <w:num w:numId="55">
    <w:abstractNumId w:val="60"/>
  </w:num>
  <w:num w:numId="56">
    <w:abstractNumId w:val="27"/>
  </w:num>
  <w:num w:numId="57">
    <w:abstractNumId w:val="34"/>
  </w:num>
  <w:num w:numId="58">
    <w:abstractNumId w:val="47"/>
  </w:num>
  <w:num w:numId="59">
    <w:abstractNumId w:val="38"/>
  </w:num>
  <w:num w:numId="60">
    <w:abstractNumId w:val="62"/>
  </w:num>
  <w:num w:numId="61">
    <w:abstractNumId w:val="25"/>
    <w:lvlOverride w:ilvl="0">
      <w:startOverride w:val="1"/>
    </w:lvlOverride>
    <w:lvlOverride w:ilvl="1"/>
    <w:lvlOverride w:ilvl="2"/>
    <w:lvlOverride w:ilvl="3"/>
    <w:lvlOverride w:ilvl="4"/>
    <w:lvlOverride w:ilvl="5"/>
    <w:lvlOverride w:ilvl="6"/>
    <w:lvlOverride w:ilvl="7"/>
    <w:lvlOverride w:ilvl="8"/>
  </w:num>
  <w:num w:numId="62">
    <w:abstractNumId w:val="50"/>
  </w:num>
  <w:num w:numId="63">
    <w:abstractNumId w:val="61"/>
  </w:num>
  <w:num w:numId="64">
    <w:abstractNumId w:val="18"/>
  </w:num>
  <w:num w:numId="65">
    <w:abstractNumId w:val="14"/>
  </w:num>
  <w:num w:numId="66">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780"/>
    <w:rsid w:val="000452AA"/>
    <w:rsid w:val="00045F86"/>
    <w:rsid w:val="00046717"/>
    <w:rsid w:val="00046A15"/>
    <w:rsid w:val="00047890"/>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AE8"/>
    <w:rsid w:val="00072FF9"/>
    <w:rsid w:val="000739AF"/>
    <w:rsid w:val="00074118"/>
    <w:rsid w:val="00074D41"/>
    <w:rsid w:val="00074D4D"/>
    <w:rsid w:val="00075475"/>
    <w:rsid w:val="00075586"/>
    <w:rsid w:val="0007587C"/>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F54"/>
    <w:rsid w:val="000900C8"/>
    <w:rsid w:val="0009020C"/>
    <w:rsid w:val="00090297"/>
    <w:rsid w:val="00090A37"/>
    <w:rsid w:val="00090CCD"/>
    <w:rsid w:val="00090EE8"/>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07C93"/>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F26"/>
    <w:rsid w:val="0013462D"/>
    <w:rsid w:val="001360B8"/>
    <w:rsid w:val="0013657B"/>
    <w:rsid w:val="00136A9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962"/>
    <w:rsid w:val="00156DAA"/>
    <w:rsid w:val="00157491"/>
    <w:rsid w:val="00157C91"/>
    <w:rsid w:val="00157D2B"/>
    <w:rsid w:val="00160608"/>
    <w:rsid w:val="001608D3"/>
    <w:rsid w:val="00160F20"/>
    <w:rsid w:val="00160F8D"/>
    <w:rsid w:val="001624E8"/>
    <w:rsid w:val="0016322B"/>
    <w:rsid w:val="0016339A"/>
    <w:rsid w:val="0016392B"/>
    <w:rsid w:val="001641EC"/>
    <w:rsid w:val="001643F2"/>
    <w:rsid w:val="00165898"/>
    <w:rsid w:val="00165CA1"/>
    <w:rsid w:val="00165E57"/>
    <w:rsid w:val="00166171"/>
    <w:rsid w:val="00166D47"/>
    <w:rsid w:val="00167291"/>
    <w:rsid w:val="001674EA"/>
    <w:rsid w:val="001678FF"/>
    <w:rsid w:val="00167DF0"/>
    <w:rsid w:val="00171192"/>
    <w:rsid w:val="00171AAD"/>
    <w:rsid w:val="00171BBC"/>
    <w:rsid w:val="00171CF4"/>
    <w:rsid w:val="00171F77"/>
    <w:rsid w:val="00172725"/>
    <w:rsid w:val="001728EC"/>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2A89"/>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EE2"/>
    <w:rsid w:val="001D41E0"/>
    <w:rsid w:val="001D4382"/>
    <w:rsid w:val="001D4CB2"/>
    <w:rsid w:val="001D611F"/>
    <w:rsid w:val="001D660A"/>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3256"/>
    <w:rsid w:val="0022406E"/>
    <w:rsid w:val="00224FEA"/>
    <w:rsid w:val="002262C0"/>
    <w:rsid w:val="00226345"/>
    <w:rsid w:val="002264AE"/>
    <w:rsid w:val="00226D1C"/>
    <w:rsid w:val="00227691"/>
    <w:rsid w:val="00227A85"/>
    <w:rsid w:val="00227B4C"/>
    <w:rsid w:val="00227BB0"/>
    <w:rsid w:val="00227DBC"/>
    <w:rsid w:val="00230284"/>
    <w:rsid w:val="00230A96"/>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377FC"/>
    <w:rsid w:val="00240046"/>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0ACE"/>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9BC"/>
    <w:rsid w:val="002A51B8"/>
    <w:rsid w:val="002A564E"/>
    <w:rsid w:val="002A5ADD"/>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ECA"/>
    <w:rsid w:val="0033204C"/>
    <w:rsid w:val="0033491A"/>
    <w:rsid w:val="00334F21"/>
    <w:rsid w:val="00335A61"/>
    <w:rsid w:val="0033687B"/>
    <w:rsid w:val="00337088"/>
    <w:rsid w:val="00337638"/>
    <w:rsid w:val="00337FA1"/>
    <w:rsid w:val="003403A1"/>
    <w:rsid w:val="00340ADD"/>
    <w:rsid w:val="00341178"/>
    <w:rsid w:val="00341869"/>
    <w:rsid w:val="00341B42"/>
    <w:rsid w:val="00341DB4"/>
    <w:rsid w:val="00341F6A"/>
    <w:rsid w:val="003420E1"/>
    <w:rsid w:val="00342221"/>
    <w:rsid w:val="003423FC"/>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00E"/>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0C4"/>
    <w:rsid w:val="003722D3"/>
    <w:rsid w:val="0037269A"/>
    <w:rsid w:val="00372B11"/>
    <w:rsid w:val="00373C5A"/>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518"/>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3A1"/>
    <w:rsid w:val="003E24F3"/>
    <w:rsid w:val="003E2955"/>
    <w:rsid w:val="003E3F80"/>
    <w:rsid w:val="003E44DA"/>
    <w:rsid w:val="003E468A"/>
    <w:rsid w:val="003E4972"/>
    <w:rsid w:val="003E4BAA"/>
    <w:rsid w:val="003E606D"/>
    <w:rsid w:val="003E674F"/>
    <w:rsid w:val="003E6C77"/>
    <w:rsid w:val="003E6E17"/>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CBA"/>
    <w:rsid w:val="00403319"/>
    <w:rsid w:val="00404754"/>
    <w:rsid w:val="004049C4"/>
    <w:rsid w:val="00405A0E"/>
    <w:rsid w:val="00406793"/>
    <w:rsid w:val="0040791E"/>
    <w:rsid w:val="00410D87"/>
    <w:rsid w:val="00411C65"/>
    <w:rsid w:val="00411F8F"/>
    <w:rsid w:val="004135D8"/>
    <w:rsid w:val="004136D6"/>
    <w:rsid w:val="00413FC2"/>
    <w:rsid w:val="0041401B"/>
    <w:rsid w:val="00414020"/>
    <w:rsid w:val="0041428D"/>
    <w:rsid w:val="0041493D"/>
    <w:rsid w:val="00415270"/>
    <w:rsid w:val="004154DB"/>
    <w:rsid w:val="00415CF1"/>
    <w:rsid w:val="00415ED8"/>
    <w:rsid w:val="004161DA"/>
    <w:rsid w:val="00417379"/>
    <w:rsid w:val="004176A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6DB"/>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B34"/>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E29"/>
    <w:rsid w:val="00501811"/>
    <w:rsid w:val="00501E92"/>
    <w:rsid w:val="005025C7"/>
    <w:rsid w:val="005039C0"/>
    <w:rsid w:val="00504B42"/>
    <w:rsid w:val="0050566F"/>
    <w:rsid w:val="00506DB2"/>
    <w:rsid w:val="005070E1"/>
    <w:rsid w:val="00507EFE"/>
    <w:rsid w:val="0051074E"/>
    <w:rsid w:val="00510856"/>
    <w:rsid w:val="00510870"/>
    <w:rsid w:val="00511301"/>
    <w:rsid w:val="0051177C"/>
    <w:rsid w:val="00511AE4"/>
    <w:rsid w:val="0051262E"/>
    <w:rsid w:val="00512A53"/>
    <w:rsid w:val="00513D46"/>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9CB"/>
    <w:rsid w:val="00521A59"/>
    <w:rsid w:val="0052214D"/>
    <w:rsid w:val="005222B0"/>
    <w:rsid w:val="00524986"/>
    <w:rsid w:val="0052514C"/>
    <w:rsid w:val="00525F6D"/>
    <w:rsid w:val="0052613E"/>
    <w:rsid w:val="0052655F"/>
    <w:rsid w:val="0052661E"/>
    <w:rsid w:val="00526627"/>
    <w:rsid w:val="00526694"/>
    <w:rsid w:val="00526B00"/>
    <w:rsid w:val="00526DCA"/>
    <w:rsid w:val="00526E3E"/>
    <w:rsid w:val="00527EF6"/>
    <w:rsid w:val="005302F1"/>
    <w:rsid w:val="00531016"/>
    <w:rsid w:val="00531CE5"/>
    <w:rsid w:val="00531F4E"/>
    <w:rsid w:val="00532218"/>
    <w:rsid w:val="00533849"/>
    <w:rsid w:val="00533D56"/>
    <w:rsid w:val="0053468B"/>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D15"/>
    <w:rsid w:val="00581437"/>
    <w:rsid w:val="00581587"/>
    <w:rsid w:val="00581A2E"/>
    <w:rsid w:val="00582613"/>
    <w:rsid w:val="0058344E"/>
    <w:rsid w:val="00584C51"/>
    <w:rsid w:val="00584F97"/>
    <w:rsid w:val="00585165"/>
    <w:rsid w:val="005856B3"/>
    <w:rsid w:val="00585AA7"/>
    <w:rsid w:val="00587662"/>
    <w:rsid w:val="00587B1E"/>
    <w:rsid w:val="00587E84"/>
    <w:rsid w:val="005913E6"/>
    <w:rsid w:val="00592125"/>
    <w:rsid w:val="005944ED"/>
    <w:rsid w:val="00594665"/>
    <w:rsid w:val="005956A6"/>
    <w:rsid w:val="0059574D"/>
    <w:rsid w:val="00596159"/>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40C1"/>
    <w:rsid w:val="005A43E7"/>
    <w:rsid w:val="005A4480"/>
    <w:rsid w:val="005A45B1"/>
    <w:rsid w:val="005A6057"/>
    <w:rsid w:val="005A60E9"/>
    <w:rsid w:val="005A77E1"/>
    <w:rsid w:val="005A7E33"/>
    <w:rsid w:val="005B03D3"/>
    <w:rsid w:val="005B10CC"/>
    <w:rsid w:val="005B12BF"/>
    <w:rsid w:val="005B265D"/>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609"/>
    <w:rsid w:val="005C5AEA"/>
    <w:rsid w:val="005C629E"/>
    <w:rsid w:val="005C75AF"/>
    <w:rsid w:val="005C7AFE"/>
    <w:rsid w:val="005D01B4"/>
    <w:rsid w:val="005D0786"/>
    <w:rsid w:val="005D0C48"/>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AEC"/>
    <w:rsid w:val="005E1D5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0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D69"/>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498"/>
    <w:rsid w:val="006B64AA"/>
    <w:rsid w:val="006B6868"/>
    <w:rsid w:val="006B68FD"/>
    <w:rsid w:val="006B7074"/>
    <w:rsid w:val="006B7A23"/>
    <w:rsid w:val="006B7E1D"/>
    <w:rsid w:val="006C14E5"/>
    <w:rsid w:val="006C1705"/>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8FD"/>
    <w:rsid w:val="0071601C"/>
    <w:rsid w:val="007167AE"/>
    <w:rsid w:val="00716DAE"/>
    <w:rsid w:val="00717F32"/>
    <w:rsid w:val="00717FD6"/>
    <w:rsid w:val="0072057C"/>
    <w:rsid w:val="00720D8F"/>
    <w:rsid w:val="0072149D"/>
    <w:rsid w:val="007214D9"/>
    <w:rsid w:val="007218F7"/>
    <w:rsid w:val="0072232C"/>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702C"/>
    <w:rsid w:val="0075799A"/>
    <w:rsid w:val="00757CF8"/>
    <w:rsid w:val="00757ED4"/>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385"/>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765"/>
    <w:rsid w:val="007B1C33"/>
    <w:rsid w:val="007B24C4"/>
    <w:rsid w:val="007B2759"/>
    <w:rsid w:val="007B28CF"/>
    <w:rsid w:val="007B363B"/>
    <w:rsid w:val="007B3F26"/>
    <w:rsid w:val="007B4263"/>
    <w:rsid w:val="007B4416"/>
    <w:rsid w:val="007B46BF"/>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6E57"/>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8CC"/>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0D9B"/>
    <w:rsid w:val="007F0FDE"/>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352"/>
    <w:rsid w:val="00841673"/>
    <w:rsid w:val="0084172B"/>
    <w:rsid w:val="00841963"/>
    <w:rsid w:val="00841B5D"/>
    <w:rsid w:val="00841C0F"/>
    <w:rsid w:val="00841F3F"/>
    <w:rsid w:val="00842EC4"/>
    <w:rsid w:val="00843BC7"/>
    <w:rsid w:val="008455EF"/>
    <w:rsid w:val="008456E4"/>
    <w:rsid w:val="00845B52"/>
    <w:rsid w:val="008461A8"/>
    <w:rsid w:val="00846D3E"/>
    <w:rsid w:val="00846DE7"/>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B1C"/>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8F5"/>
    <w:rsid w:val="00925D59"/>
    <w:rsid w:val="00926716"/>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57B95"/>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43B"/>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A4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084"/>
    <w:rsid w:val="009A640D"/>
    <w:rsid w:val="009A6BA8"/>
    <w:rsid w:val="009A70F6"/>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172F"/>
    <w:rsid w:val="009E19CB"/>
    <w:rsid w:val="009E1C0E"/>
    <w:rsid w:val="009E1D3C"/>
    <w:rsid w:val="009E2429"/>
    <w:rsid w:val="009E3DAE"/>
    <w:rsid w:val="009E426E"/>
    <w:rsid w:val="009E4339"/>
    <w:rsid w:val="009E439C"/>
    <w:rsid w:val="009E46F2"/>
    <w:rsid w:val="009E620D"/>
    <w:rsid w:val="009E7192"/>
    <w:rsid w:val="009E7F49"/>
    <w:rsid w:val="009F0B98"/>
    <w:rsid w:val="009F14F7"/>
    <w:rsid w:val="009F15B7"/>
    <w:rsid w:val="009F1641"/>
    <w:rsid w:val="009F1C46"/>
    <w:rsid w:val="009F1E25"/>
    <w:rsid w:val="009F2079"/>
    <w:rsid w:val="009F2592"/>
    <w:rsid w:val="009F2AB7"/>
    <w:rsid w:val="009F39BF"/>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616C"/>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E31"/>
    <w:rsid w:val="00A274EF"/>
    <w:rsid w:val="00A2751A"/>
    <w:rsid w:val="00A27795"/>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E89"/>
    <w:rsid w:val="00A72970"/>
    <w:rsid w:val="00A72B9F"/>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915"/>
    <w:rsid w:val="00AD3CC4"/>
    <w:rsid w:val="00AD4839"/>
    <w:rsid w:val="00AD4C7C"/>
    <w:rsid w:val="00AD714E"/>
    <w:rsid w:val="00AD76EF"/>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3714"/>
    <w:rsid w:val="00AF434D"/>
    <w:rsid w:val="00AF4EE4"/>
    <w:rsid w:val="00AF5B98"/>
    <w:rsid w:val="00AF6B94"/>
    <w:rsid w:val="00B0026B"/>
    <w:rsid w:val="00B0036F"/>
    <w:rsid w:val="00B00A28"/>
    <w:rsid w:val="00B00C8E"/>
    <w:rsid w:val="00B02674"/>
    <w:rsid w:val="00B02AA5"/>
    <w:rsid w:val="00B045EC"/>
    <w:rsid w:val="00B04DA9"/>
    <w:rsid w:val="00B04F50"/>
    <w:rsid w:val="00B05AE4"/>
    <w:rsid w:val="00B05B42"/>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209BF"/>
    <w:rsid w:val="00B20D0D"/>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1399"/>
    <w:rsid w:val="00B720DB"/>
    <w:rsid w:val="00B72258"/>
    <w:rsid w:val="00B73D44"/>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5C31"/>
    <w:rsid w:val="00BA636A"/>
    <w:rsid w:val="00BA6707"/>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349"/>
    <w:rsid w:val="00BB778D"/>
    <w:rsid w:val="00BB7DF0"/>
    <w:rsid w:val="00BB7F90"/>
    <w:rsid w:val="00BC0196"/>
    <w:rsid w:val="00BC0367"/>
    <w:rsid w:val="00BC1CAA"/>
    <w:rsid w:val="00BC219A"/>
    <w:rsid w:val="00BC357C"/>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E45"/>
    <w:rsid w:val="00BD3ECE"/>
    <w:rsid w:val="00BD4316"/>
    <w:rsid w:val="00BD54F7"/>
    <w:rsid w:val="00BD5782"/>
    <w:rsid w:val="00BD578A"/>
    <w:rsid w:val="00BD5EFA"/>
    <w:rsid w:val="00BD6710"/>
    <w:rsid w:val="00BD6C6F"/>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84A"/>
    <w:rsid w:val="00BF1D08"/>
    <w:rsid w:val="00BF26EE"/>
    <w:rsid w:val="00BF341C"/>
    <w:rsid w:val="00BF3D73"/>
    <w:rsid w:val="00BF4B2D"/>
    <w:rsid w:val="00BF5945"/>
    <w:rsid w:val="00BF5C55"/>
    <w:rsid w:val="00BF5D6D"/>
    <w:rsid w:val="00BF5FB6"/>
    <w:rsid w:val="00BF6362"/>
    <w:rsid w:val="00BF65AA"/>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7ED"/>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46667"/>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56EA"/>
    <w:rsid w:val="00C8742E"/>
    <w:rsid w:val="00C8778D"/>
    <w:rsid w:val="00C87955"/>
    <w:rsid w:val="00C9074F"/>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1E7F"/>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10489"/>
    <w:rsid w:val="00D113AA"/>
    <w:rsid w:val="00D11A35"/>
    <w:rsid w:val="00D11E06"/>
    <w:rsid w:val="00D1224D"/>
    <w:rsid w:val="00D12517"/>
    <w:rsid w:val="00D1259C"/>
    <w:rsid w:val="00D1365B"/>
    <w:rsid w:val="00D13710"/>
    <w:rsid w:val="00D13846"/>
    <w:rsid w:val="00D13C46"/>
    <w:rsid w:val="00D146EB"/>
    <w:rsid w:val="00D15656"/>
    <w:rsid w:val="00D1622E"/>
    <w:rsid w:val="00D16E98"/>
    <w:rsid w:val="00D20835"/>
    <w:rsid w:val="00D20D52"/>
    <w:rsid w:val="00D20E91"/>
    <w:rsid w:val="00D20EF6"/>
    <w:rsid w:val="00D219AA"/>
    <w:rsid w:val="00D21D01"/>
    <w:rsid w:val="00D2237A"/>
    <w:rsid w:val="00D22D3F"/>
    <w:rsid w:val="00D235D9"/>
    <w:rsid w:val="00D23E73"/>
    <w:rsid w:val="00D240B5"/>
    <w:rsid w:val="00D2420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3A04"/>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B6D55"/>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452C"/>
    <w:rsid w:val="00DE4669"/>
    <w:rsid w:val="00DE4B38"/>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6CB9"/>
    <w:rsid w:val="00E076EA"/>
    <w:rsid w:val="00E0787C"/>
    <w:rsid w:val="00E07E93"/>
    <w:rsid w:val="00E10734"/>
    <w:rsid w:val="00E120FC"/>
    <w:rsid w:val="00E12997"/>
    <w:rsid w:val="00E12D07"/>
    <w:rsid w:val="00E145C0"/>
    <w:rsid w:val="00E1477C"/>
    <w:rsid w:val="00E14BA9"/>
    <w:rsid w:val="00E14CCB"/>
    <w:rsid w:val="00E14D96"/>
    <w:rsid w:val="00E16380"/>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0C03"/>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D6D"/>
    <w:rsid w:val="00E66A91"/>
    <w:rsid w:val="00E66CAF"/>
    <w:rsid w:val="00E67455"/>
    <w:rsid w:val="00E67FF3"/>
    <w:rsid w:val="00E701AC"/>
    <w:rsid w:val="00E719E2"/>
    <w:rsid w:val="00E71E0E"/>
    <w:rsid w:val="00E72497"/>
    <w:rsid w:val="00E72731"/>
    <w:rsid w:val="00E72D4B"/>
    <w:rsid w:val="00E730F3"/>
    <w:rsid w:val="00E73424"/>
    <w:rsid w:val="00E73F28"/>
    <w:rsid w:val="00E74451"/>
    <w:rsid w:val="00E74957"/>
    <w:rsid w:val="00E749DE"/>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0E8A"/>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4E0"/>
    <w:rsid w:val="00EB65D1"/>
    <w:rsid w:val="00EB6B8E"/>
    <w:rsid w:val="00EB7927"/>
    <w:rsid w:val="00EC0F44"/>
    <w:rsid w:val="00EC115E"/>
    <w:rsid w:val="00EC1362"/>
    <w:rsid w:val="00EC14F5"/>
    <w:rsid w:val="00EC238F"/>
    <w:rsid w:val="00EC291E"/>
    <w:rsid w:val="00EC2EEA"/>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4D1"/>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32E4"/>
    <w:rsid w:val="00F84205"/>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B08"/>
    <w:rsid w:val="00FA5D15"/>
    <w:rsid w:val="00FA7A6F"/>
    <w:rsid w:val="00FA7F35"/>
    <w:rsid w:val="00FB09A6"/>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9346B4"/>
    <w:pPr>
      <w:numPr>
        <w:numId w:val="57"/>
      </w:numPr>
    </w:pPr>
  </w:style>
  <w:style w:type="numbering" w:customStyle="1" w:styleId="Listaactual34">
    <w:name w:val="Lista actual34"/>
    <w:uiPriority w:val="99"/>
    <w:rsid w:val="009346B4"/>
    <w:pPr>
      <w:numPr>
        <w:numId w:val="58"/>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pomex.org.mx/ipome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ipomex.org.mx/ipome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9656-88F2-4BF0-9C34-68E0A5D7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33</Pages>
  <Words>7256</Words>
  <Characters>39910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2025-06-13T16:43:00Z</cp:lastPrinted>
  <dcterms:created xsi:type="dcterms:W3CDTF">2025-05-12T18:13:00Z</dcterms:created>
  <dcterms:modified xsi:type="dcterms:W3CDTF">2025-06-25T21:56:00Z</dcterms:modified>
</cp:coreProperties>
</file>