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F2" w:rsidRPr="00EE4688" w:rsidRDefault="006E0471" w:rsidP="00E57590">
      <w:pPr>
        <w:spacing w:line="360" w:lineRule="auto"/>
        <w:jc w:val="both"/>
        <w:rPr>
          <w:rFonts w:ascii="Palatino Linotype" w:eastAsia="Palatino Linotype" w:hAnsi="Palatino Linotype" w:cs="Palatino Linotype"/>
          <w:color w:val="000000" w:themeColor="text1"/>
          <w:sz w:val="24"/>
          <w:szCs w:val="24"/>
        </w:rPr>
      </w:pPr>
      <w:bookmarkStart w:id="0" w:name="_heading=h.rwkovrqw954r" w:colFirst="0" w:colLast="0"/>
      <w:bookmarkEnd w:id="0"/>
      <w:r w:rsidRPr="00EE4688">
        <w:rPr>
          <w:rFonts w:ascii="Palatino Linotype" w:eastAsia="Palatino Linotype" w:hAnsi="Palatino Linotype" w:cs="Palatino Linotype"/>
          <w:color w:val="000000" w:themeColor="text1"/>
          <w:sz w:val="24"/>
          <w:szCs w:val="24"/>
        </w:rPr>
        <w:t>R</w:t>
      </w:r>
      <w:bookmarkStart w:id="1" w:name="_GoBack"/>
      <w:bookmarkEnd w:id="1"/>
      <w:r w:rsidRPr="00EE4688">
        <w:rPr>
          <w:rFonts w:ascii="Palatino Linotype" w:eastAsia="Palatino Linotype" w:hAnsi="Palatino Linotype" w:cs="Palatino Linotype"/>
          <w:color w:val="000000" w:themeColor="text1"/>
          <w:sz w:val="24"/>
          <w:szCs w:val="24"/>
        </w:rPr>
        <w:t xml:space="preserve">esolución del Pleno del Instituto de Transparencia, Acceso a la Información Pública y Protección de Datos Personales del Estado de México y Municipios, con domicilio en Metepec, Estado de México; de </w:t>
      </w:r>
      <w:r w:rsidR="00640389">
        <w:rPr>
          <w:rFonts w:ascii="Palatino Linotype" w:eastAsia="Palatino Linotype" w:hAnsi="Palatino Linotype" w:cs="Palatino Linotype"/>
          <w:color w:val="000000" w:themeColor="text1"/>
          <w:sz w:val="24"/>
          <w:szCs w:val="24"/>
        </w:rPr>
        <w:t xml:space="preserve">fecha </w:t>
      </w:r>
      <w:r w:rsidRPr="00EE4688">
        <w:rPr>
          <w:rFonts w:ascii="Palatino Linotype" w:eastAsia="Palatino Linotype" w:hAnsi="Palatino Linotype" w:cs="Palatino Linotype"/>
          <w:b/>
          <w:color w:val="000000" w:themeColor="text1"/>
          <w:sz w:val="24"/>
          <w:szCs w:val="24"/>
        </w:rPr>
        <w:t xml:space="preserve">dieciocho </w:t>
      </w:r>
      <w:r w:rsidR="00640389">
        <w:rPr>
          <w:rFonts w:ascii="Palatino Linotype" w:eastAsia="Palatino Linotype" w:hAnsi="Palatino Linotype" w:cs="Palatino Linotype"/>
          <w:b/>
          <w:color w:val="000000" w:themeColor="text1"/>
          <w:sz w:val="24"/>
          <w:szCs w:val="24"/>
        </w:rPr>
        <w:t xml:space="preserve">(18) </w:t>
      </w:r>
      <w:r w:rsidRPr="00EE4688">
        <w:rPr>
          <w:rFonts w:ascii="Palatino Linotype" w:eastAsia="Palatino Linotype" w:hAnsi="Palatino Linotype" w:cs="Palatino Linotype"/>
          <w:b/>
          <w:color w:val="000000" w:themeColor="text1"/>
          <w:sz w:val="24"/>
          <w:szCs w:val="24"/>
        </w:rPr>
        <w:t xml:space="preserve">de septiembre de dos mil veinticinco. </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spacing w:line="360" w:lineRule="auto"/>
        <w:jc w:val="both"/>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b/>
          <w:color w:val="000000" w:themeColor="text1"/>
          <w:sz w:val="24"/>
          <w:szCs w:val="24"/>
        </w:rPr>
        <w:t>VISTO</w:t>
      </w:r>
      <w:r w:rsidRPr="00EE4688">
        <w:rPr>
          <w:rFonts w:ascii="Palatino Linotype" w:eastAsia="Palatino Linotype" w:hAnsi="Palatino Linotype" w:cs="Palatino Linotype"/>
          <w:color w:val="000000" w:themeColor="text1"/>
          <w:sz w:val="24"/>
          <w:szCs w:val="24"/>
        </w:rPr>
        <w:t xml:space="preserve"> el expediente electrónico formado con motivo del recurso de revisión</w:t>
      </w:r>
      <w:r w:rsidRPr="00EE4688">
        <w:rPr>
          <w:rFonts w:ascii="Palatino Linotype" w:eastAsia="Palatino Linotype" w:hAnsi="Palatino Linotype" w:cs="Palatino Linotype"/>
          <w:b/>
          <w:color w:val="000000" w:themeColor="text1"/>
          <w:sz w:val="24"/>
          <w:szCs w:val="24"/>
        </w:rPr>
        <w:t xml:space="preserve"> 04348/INFOEM/IP/RR/2025, </w:t>
      </w:r>
      <w:r w:rsidRPr="00EE4688">
        <w:rPr>
          <w:rFonts w:ascii="Palatino Linotype" w:eastAsia="Palatino Linotype" w:hAnsi="Palatino Linotype" w:cs="Palatino Linotype"/>
          <w:color w:val="000000" w:themeColor="text1"/>
          <w:sz w:val="24"/>
          <w:szCs w:val="24"/>
        </w:rPr>
        <w:t>promovido por</w:t>
      </w:r>
      <w:r w:rsidRPr="00EE4688">
        <w:rPr>
          <w:rFonts w:ascii="Palatino Linotype" w:eastAsia="Palatino Linotype" w:hAnsi="Palatino Linotype" w:cs="Palatino Linotype"/>
          <w:b/>
          <w:color w:val="000000" w:themeColor="text1"/>
          <w:sz w:val="24"/>
          <w:szCs w:val="24"/>
        </w:rPr>
        <w:t xml:space="preserve"> una persona que no proporciono datos de identificación</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color w:val="000000" w:themeColor="text1"/>
          <w:sz w:val="24"/>
          <w:szCs w:val="24"/>
        </w:rPr>
        <w:t xml:space="preserve"> a quien en lo sucesivo se identificará como </w:t>
      </w:r>
      <w:r w:rsidRPr="00EE4688">
        <w:rPr>
          <w:rFonts w:ascii="Palatino Linotype" w:eastAsia="Palatino Linotype" w:hAnsi="Palatino Linotype" w:cs="Palatino Linotype"/>
          <w:b/>
          <w:color w:val="000000" w:themeColor="text1"/>
          <w:sz w:val="24"/>
          <w:szCs w:val="24"/>
        </w:rPr>
        <w:t>EL RECURRENTE</w:t>
      </w:r>
      <w:r w:rsidRPr="00EE4688">
        <w:rPr>
          <w:rFonts w:ascii="Palatino Linotype" w:eastAsia="Palatino Linotype" w:hAnsi="Palatino Linotype" w:cs="Palatino Linotype"/>
          <w:color w:val="000000" w:themeColor="text1"/>
          <w:sz w:val="24"/>
          <w:szCs w:val="24"/>
        </w:rPr>
        <w:t xml:space="preserve">, en contra de la respuesta del </w:t>
      </w:r>
      <w:r w:rsidRPr="00EE4688">
        <w:rPr>
          <w:rFonts w:ascii="Palatino Linotype" w:eastAsia="Palatino Linotype" w:hAnsi="Palatino Linotype" w:cs="Palatino Linotype"/>
          <w:b/>
          <w:color w:val="000000" w:themeColor="text1"/>
          <w:sz w:val="24"/>
          <w:szCs w:val="24"/>
        </w:rPr>
        <w:t xml:space="preserve">Ayuntamiento de Toluca, </w:t>
      </w:r>
      <w:r w:rsidRPr="00EE4688">
        <w:rPr>
          <w:rFonts w:ascii="Palatino Linotype" w:eastAsia="Palatino Linotype" w:hAnsi="Palatino Linotype" w:cs="Palatino Linotype"/>
          <w:color w:val="000000" w:themeColor="text1"/>
          <w:sz w:val="24"/>
          <w:szCs w:val="24"/>
        </w:rPr>
        <w:t xml:space="preserve">en </w:t>
      </w:r>
      <w:r w:rsidR="00640389">
        <w:rPr>
          <w:rFonts w:ascii="Palatino Linotype" w:eastAsia="Palatino Linotype" w:hAnsi="Palatino Linotype" w:cs="Palatino Linotype"/>
          <w:color w:val="000000" w:themeColor="text1"/>
          <w:sz w:val="24"/>
          <w:szCs w:val="24"/>
        </w:rPr>
        <w:t>adelante</w:t>
      </w:r>
      <w:r w:rsidRPr="00EE4688">
        <w:rPr>
          <w:rFonts w:ascii="Palatino Linotype" w:eastAsia="Palatino Linotype" w:hAnsi="Palatino Linotype" w:cs="Palatino Linotype"/>
          <w:color w:val="000000" w:themeColor="text1"/>
          <w:sz w:val="24"/>
          <w:szCs w:val="24"/>
        </w:rPr>
        <w:t xml:space="preserve"> el</w:t>
      </w:r>
      <w:r w:rsidRPr="00EE4688">
        <w:rPr>
          <w:rFonts w:ascii="Palatino Linotype" w:eastAsia="Palatino Linotype" w:hAnsi="Palatino Linotype" w:cs="Palatino Linotype"/>
          <w:b/>
          <w:color w:val="000000" w:themeColor="text1"/>
          <w:sz w:val="24"/>
          <w:szCs w:val="24"/>
        </w:rPr>
        <w:t xml:space="preserve"> SUJETO OBLIGADO</w:t>
      </w:r>
      <w:r w:rsidRPr="00EE4688">
        <w:rPr>
          <w:rFonts w:ascii="Palatino Linotype" w:eastAsia="Palatino Linotype" w:hAnsi="Palatino Linotype" w:cs="Palatino Linotype"/>
          <w:color w:val="000000" w:themeColor="text1"/>
          <w:sz w:val="24"/>
          <w:szCs w:val="24"/>
        </w:rPr>
        <w:t>, por lo que se procede a dictar la presente resolución, con base en los siguientes:</w:t>
      </w:r>
    </w:p>
    <w:p w:rsidR="00D223F2" w:rsidRPr="00EE4688" w:rsidRDefault="00D223F2" w:rsidP="00E57590">
      <w:pPr>
        <w:spacing w:line="360" w:lineRule="auto"/>
        <w:jc w:val="both"/>
        <w:rPr>
          <w:rFonts w:ascii="Palatino Linotype" w:eastAsia="Palatino Linotype" w:hAnsi="Palatino Linotype" w:cs="Palatino Linotype"/>
          <w:b/>
          <w:color w:val="000000" w:themeColor="text1"/>
          <w:sz w:val="24"/>
          <w:szCs w:val="24"/>
        </w:rPr>
      </w:pPr>
    </w:p>
    <w:p w:rsidR="00D223F2" w:rsidRDefault="006E0471" w:rsidP="00E57590">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EE4688">
        <w:rPr>
          <w:rFonts w:ascii="Palatino Linotype" w:eastAsia="Palatino Linotype" w:hAnsi="Palatino Linotype" w:cs="Palatino Linotype"/>
          <w:b/>
          <w:color w:val="000000" w:themeColor="text1"/>
          <w:sz w:val="24"/>
          <w:szCs w:val="24"/>
        </w:rPr>
        <w:t>A</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N</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T</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E</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C</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E</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D</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E</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N</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T</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E</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S</w:t>
      </w:r>
      <w:r w:rsidR="00640389">
        <w:rPr>
          <w:rFonts w:ascii="Palatino Linotype" w:eastAsia="Palatino Linotype" w:hAnsi="Palatino Linotype" w:cs="Palatino Linotype"/>
          <w:b/>
          <w:color w:val="000000" w:themeColor="text1"/>
          <w:sz w:val="24"/>
          <w:szCs w:val="24"/>
        </w:rPr>
        <w:t xml:space="preserve"> </w:t>
      </w:r>
    </w:p>
    <w:p w:rsidR="00640389" w:rsidRPr="00EE4688" w:rsidRDefault="00640389" w:rsidP="00E57590">
      <w:pPr>
        <w:keepNext/>
        <w:keepLines/>
        <w:spacing w:line="360" w:lineRule="auto"/>
        <w:jc w:val="center"/>
        <w:rPr>
          <w:rFonts w:ascii="Palatino Linotype" w:eastAsia="Palatino Linotype" w:hAnsi="Palatino Linotype" w:cs="Palatino Linotype"/>
          <w:b/>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w:t>
      </w:r>
      <w:r w:rsidRPr="00EE4688">
        <w:rPr>
          <w:rFonts w:ascii="Palatino Linotype" w:eastAsia="Palatino Linotype" w:hAnsi="Palatino Linotype" w:cs="Palatino Linotype"/>
          <w:b/>
          <w:color w:val="000000" w:themeColor="text1"/>
          <w:sz w:val="24"/>
          <w:szCs w:val="24"/>
        </w:rPr>
        <w:t>diez de marzo de dos mil veinticinco</w:t>
      </w:r>
      <w:r w:rsidRPr="00EE4688">
        <w:rPr>
          <w:rFonts w:ascii="Palatino Linotype" w:eastAsia="Palatino Linotype" w:hAnsi="Palatino Linotype" w:cs="Palatino Linotype"/>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EL RECURRENTE,</w:t>
      </w:r>
      <w:r w:rsidRPr="00EE4688">
        <w:rPr>
          <w:rFonts w:ascii="Palatino Linotype" w:eastAsia="Palatino Linotype" w:hAnsi="Palatino Linotype" w:cs="Palatino Linotype"/>
          <w:color w:val="000000" w:themeColor="text1"/>
          <w:sz w:val="24"/>
          <w:szCs w:val="24"/>
        </w:rPr>
        <w:t xml:space="preserve"> ante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vía Sistema de Acceso a la Información Mexiquense (</w:t>
      </w:r>
      <w:r w:rsidRPr="00EE4688">
        <w:rPr>
          <w:rFonts w:ascii="Palatino Linotype" w:eastAsia="Palatino Linotype" w:hAnsi="Palatino Linotype" w:cs="Palatino Linotype"/>
          <w:b/>
          <w:color w:val="000000" w:themeColor="text1"/>
          <w:sz w:val="24"/>
          <w:szCs w:val="24"/>
        </w:rPr>
        <w:t>SAIMEX)</w:t>
      </w:r>
      <w:r w:rsidRPr="00EE4688">
        <w:rPr>
          <w:rFonts w:ascii="Palatino Linotype" w:eastAsia="Palatino Linotype" w:hAnsi="Palatino Linotype" w:cs="Palatino Linotype"/>
          <w:color w:val="000000" w:themeColor="text1"/>
          <w:sz w:val="24"/>
          <w:szCs w:val="24"/>
        </w:rPr>
        <w:t>,presentó la solicitud de información registrada con el número</w:t>
      </w:r>
      <w:r w:rsidRPr="00EE4688">
        <w:rPr>
          <w:rFonts w:ascii="Palatino Linotype" w:eastAsia="Palatino Linotype" w:hAnsi="Palatino Linotype" w:cs="Palatino Linotype"/>
          <w:b/>
          <w:color w:val="000000" w:themeColor="text1"/>
          <w:sz w:val="24"/>
          <w:szCs w:val="24"/>
        </w:rPr>
        <w:t xml:space="preserve">  01439/TOLUCA/IP/2025, </w:t>
      </w:r>
      <w:r w:rsidR="00640389">
        <w:rPr>
          <w:rFonts w:ascii="Palatino Linotype" w:eastAsia="Palatino Linotype" w:hAnsi="Palatino Linotype" w:cs="Palatino Linotype"/>
          <w:color w:val="000000" w:themeColor="text1"/>
          <w:sz w:val="24"/>
          <w:szCs w:val="24"/>
        </w:rPr>
        <w:t xml:space="preserve">en la que se </w:t>
      </w:r>
      <w:r w:rsidRPr="00EE4688">
        <w:rPr>
          <w:rFonts w:ascii="Palatino Linotype" w:eastAsia="Palatino Linotype" w:hAnsi="Palatino Linotype" w:cs="Palatino Linotype"/>
          <w:color w:val="000000" w:themeColor="text1"/>
          <w:sz w:val="24"/>
          <w:szCs w:val="24"/>
        </w:rPr>
        <w:t>solicitó lo siguiente:</w:t>
      </w:r>
    </w:p>
    <w:p w:rsidR="00D223F2" w:rsidRPr="00EE4688" w:rsidRDefault="00D223F2" w:rsidP="00E5759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“Se solicita el presupuesto gastado en transporte público o gasolina y el número de vehículos con marca y placas qué asistieron a laatcha de hoy en el zócalo así comk el nombre de los Servidores Públicos y la carta o manifestación de que asistieron por su voluntad por que sabes que obligaron a los servidores públicos del ayuntamiento” (Sic) </w:t>
      </w:r>
    </w:p>
    <w:p w:rsidR="00D223F2" w:rsidRDefault="00D223F2" w:rsidP="00E5759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640389" w:rsidRDefault="00640389" w:rsidP="00E5759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640389" w:rsidRPr="00EE4688" w:rsidRDefault="00640389" w:rsidP="00E5759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6"/>
        </w:numPr>
        <w:spacing w:line="360" w:lineRule="auto"/>
        <w:ind w:left="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Modalidad de entrega: </w:t>
      </w:r>
      <w:r w:rsidRPr="00EE4688">
        <w:rPr>
          <w:rFonts w:ascii="Palatino Linotype" w:eastAsia="Palatino Linotype" w:hAnsi="Palatino Linotype" w:cs="Palatino Linotype"/>
          <w:b/>
          <w:color w:val="000000" w:themeColor="text1"/>
          <w:sz w:val="24"/>
          <w:szCs w:val="24"/>
        </w:rPr>
        <w:t>Vía SAIMEX.</w:t>
      </w: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 xml:space="preserve">El </w:t>
      </w:r>
      <w:r w:rsidRPr="00EE4688">
        <w:rPr>
          <w:rFonts w:ascii="Palatino Linotype" w:eastAsia="Palatino Linotype" w:hAnsi="Palatino Linotype" w:cs="Palatino Linotype"/>
          <w:b/>
          <w:color w:val="000000" w:themeColor="text1"/>
          <w:sz w:val="24"/>
          <w:szCs w:val="24"/>
        </w:rPr>
        <w:t xml:space="preserve">primero de abril de dos mil veinticinco, </w:t>
      </w:r>
      <w:r w:rsidRPr="00EE4688">
        <w:rPr>
          <w:rFonts w:ascii="Palatino Linotype" w:eastAsia="Palatino Linotype" w:hAnsi="Palatino Linotype" w:cs="Palatino Linotype"/>
          <w:color w:val="000000" w:themeColor="text1"/>
          <w:sz w:val="24"/>
          <w:szCs w:val="24"/>
        </w:rPr>
        <w:t xml:space="preserve">el </w:t>
      </w:r>
      <w:r w:rsidRPr="00EE4688">
        <w:rPr>
          <w:rFonts w:ascii="Palatino Linotype" w:eastAsia="Palatino Linotype" w:hAnsi="Palatino Linotype" w:cs="Palatino Linotype"/>
          <w:b/>
          <w:color w:val="000000" w:themeColor="text1"/>
          <w:sz w:val="24"/>
          <w:szCs w:val="24"/>
        </w:rPr>
        <w:t>SUJETO O</w:t>
      </w:r>
      <w:r w:rsidRPr="00EE4688">
        <w:rPr>
          <w:rFonts w:ascii="Palatino Linotype" w:eastAsia="Palatino Linotype" w:hAnsi="Palatino Linotype" w:cs="Palatino Linotype"/>
          <w:color w:val="000000" w:themeColor="text1"/>
          <w:sz w:val="24"/>
          <w:szCs w:val="24"/>
        </w:rPr>
        <w:t>B</w:t>
      </w:r>
      <w:r w:rsidRPr="00EE4688">
        <w:rPr>
          <w:rFonts w:ascii="Palatino Linotype" w:eastAsia="Palatino Linotype" w:hAnsi="Palatino Linotype" w:cs="Palatino Linotype"/>
          <w:b/>
          <w:color w:val="000000" w:themeColor="text1"/>
          <w:sz w:val="24"/>
          <w:szCs w:val="24"/>
        </w:rPr>
        <w:t xml:space="preserve">LIGADO </w:t>
      </w:r>
      <w:r w:rsidRPr="00EE4688">
        <w:rPr>
          <w:rFonts w:ascii="Palatino Linotype" w:eastAsia="Palatino Linotype" w:hAnsi="Palatino Linotype" w:cs="Palatino Linotype"/>
          <w:color w:val="000000" w:themeColor="text1"/>
          <w:sz w:val="24"/>
          <w:szCs w:val="24"/>
        </w:rPr>
        <w:t xml:space="preserve">dio </w:t>
      </w:r>
      <w:r w:rsidRPr="00EE4688">
        <w:rPr>
          <w:rFonts w:ascii="Palatino Linotype" w:eastAsia="Palatino Linotype" w:hAnsi="Palatino Linotype" w:cs="Palatino Linotype"/>
          <w:b/>
          <w:color w:val="000000" w:themeColor="text1"/>
          <w:sz w:val="24"/>
          <w:szCs w:val="24"/>
        </w:rPr>
        <w:t>RESPUESTA</w:t>
      </w:r>
      <w:r w:rsidRPr="00EE4688">
        <w:rPr>
          <w:rFonts w:ascii="Palatino Linotype" w:eastAsia="Palatino Linotype" w:hAnsi="Palatino Linotype" w:cs="Palatino Linotype"/>
          <w:color w:val="000000" w:themeColor="text1"/>
          <w:sz w:val="24"/>
          <w:szCs w:val="24"/>
        </w:rPr>
        <w:t xml:space="preserve"> a través del archivo </w:t>
      </w:r>
      <w:r w:rsidRPr="00EE4688">
        <w:rPr>
          <w:rFonts w:ascii="Palatino Linotype" w:eastAsia="Palatino Linotype" w:hAnsi="Palatino Linotype" w:cs="Palatino Linotype"/>
          <w:b/>
          <w:i/>
          <w:color w:val="000000" w:themeColor="text1"/>
          <w:sz w:val="24"/>
          <w:szCs w:val="24"/>
        </w:rPr>
        <w:t>R. 01439. 2025.pdf</w:t>
      </w:r>
      <w:r w:rsidRPr="00EE4688">
        <w:rPr>
          <w:rFonts w:ascii="Palatino Linotype" w:eastAsia="Palatino Linotype" w:hAnsi="Palatino Linotype" w:cs="Palatino Linotype"/>
          <w:color w:val="000000" w:themeColor="text1"/>
          <w:sz w:val="24"/>
          <w:szCs w:val="24"/>
        </w:rPr>
        <w:t>del que se desprende lo siguiente:</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640389" w:rsidRDefault="006E0471" w:rsidP="00640389">
      <w:pPr>
        <w:pStyle w:val="Prrafodelista"/>
        <w:numPr>
          <w:ilvl w:val="0"/>
          <w:numId w:val="8"/>
        </w:numPr>
        <w:spacing w:line="360" w:lineRule="auto"/>
        <w:jc w:val="both"/>
        <w:rPr>
          <w:rFonts w:ascii="Palatino Linotype" w:eastAsia="Palatino Linotype" w:hAnsi="Palatino Linotype" w:cs="Palatino Linotype"/>
          <w:color w:val="000000" w:themeColor="text1"/>
          <w:sz w:val="24"/>
        </w:rPr>
      </w:pPr>
      <w:r w:rsidRPr="00640389">
        <w:rPr>
          <w:rFonts w:ascii="Palatino Linotype" w:eastAsia="Palatino Linotype" w:hAnsi="Palatino Linotype" w:cs="Palatino Linotype"/>
          <w:color w:val="000000" w:themeColor="text1"/>
          <w:sz w:val="24"/>
        </w:rPr>
        <w:t>Oficio de primero de abril de dos mil veinticinco, firmado por la Titular de la Unidad de Transparencia, por el que informo lo siguiente:</w:t>
      </w:r>
    </w:p>
    <w:p w:rsidR="00D223F2" w:rsidRPr="00EE4688" w:rsidRDefault="006E0471" w:rsidP="00640389">
      <w:pPr>
        <w:numPr>
          <w:ilvl w:val="0"/>
          <w:numId w:val="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hago de su conocimiento que la Dirección General de Administración y Servidora Pública Habilitada, informó que una vez analizada la solicitud y en virtud de dar atención a la misma, le informo que no es competencia de esta Dirección General de Administración, toda vez que la información requerida en los términos solicitados no se genera, recopila, administra, procesa, archiva o conserva en esta Unidad Administrativa.</w:t>
      </w:r>
    </w:p>
    <w:p w:rsidR="00D223F2" w:rsidRPr="00EE4688" w:rsidRDefault="006E0471" w:rsidP="00640389">
      <w:pPr>
        <w:numPr>
          <w:ilvl w:val="0"/>
          <w:numId w:val="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la Tesorería Municipal y Servidor Público Habilitado, informó que o se tiene registro contable de lo solicitado, debido a que no forma parte de nuestras atribuciones, por lo que se deberá de reconducir esta solicitud al área correspondiente.</w:t>
      </w:r>
    </w:p>
    <w:p w:rsidR="00D223F2" w:rsidRPr="00EE4688" w:rsidRDefault="006E0471" w:rsidP="00640389">
      <w:pPr>
        <w:numPr>
          <w:ilvl w:val="0"/>
          <w:numId w:val="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el Instituto Municipal de la Mujer de Toluca y Servidora Pública Habilitada, informó que en relación con lo mencionado, no se generó ningún gasto asociado a dicho evento, además, de manera oficial, ningún servidor público del Instituto Municipal de la Mujer de Toluca participó en el mismo.</w:t>
      </w:r>
    </w:p>
    <w:p w:rsidR="00D223F2" w:rsidRPr="00EE4688" w:rsidRDefault="00D223F2" w:rsidP="00E57590">
      <w:pPr>
        <w:spacing w:line="360" w:lineRule="auto"/>
        <w:jc w:val="both"/>
        <w:rPr>
          <w:rFonts w:ascii="Palatino Linotype" w:eastAsia="Palatino Linotype" w:hAnsi="Palatino Linotype" w:cs="Palatino Linotype"/>
          <w:b/>
          <w:i/>
          <w:color w:val="000000" w:themeColor="text1"/>
          <w:sz w:val="24"/>
          <w:szCs w:val="24"/>
        </w:rPr>
      </w:pP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Inconforme con lo anterior, el </w:t>
      </w:r>
      <w:r w:rsidRPr="00EE4688">
        <w:rPr>
          <w:rFonts w:ascii="Palatino Linotype" w:eastAsia="Palatino Linotype" w:hAnsi="Palatino Linotype" w:cs="Palatino Linotype"/>
          <w:b/>
          <w:color w:val="000000" w:themeColor="text1"/>
          <w:sz w:val="24"/>
          <w:szCs w:val="24"/>
        </w:rPr>
        <w:t>diez de abril  de dos mil veinticinco</w:t>
      </w:r>
      <w:r w:rsidRPr="00EE4688">
        <w:rPr>
          <w:rFonts w:ascii="Palatino Linotype" w:eastAsia="Palatino Linotype" w:hAnsi="Palatino Linotype" w:cs="Palatino Linotype"/>
          <w:color w:val="000000" w:themeColor="text1"/>
          <w:sz w:val="24"/>
          <w:szCs w:val="24"/>
        </w:rPr>
        <w:t xml:space="preserve">,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 xml:space="preserve">interpuso recurso de revisión, arguyendo como </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640389">
      <w:pPr>
        <w:numPr>
          <w:ilvl w:val="0"/>
          <w:numId w:val="9"/>
        </w:num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b/>
          <w:color w:val="000000" w:themeColor="text1"/>
          <w:sz w:val="24"/>
          <w:szCs w:val="24"/>
        </w:rPr>
        <w:t>Acto impugnado</w:t>
      </w:r>
      <w:r w:rsidRPr="00EE4688">
        <w:rPr>
          <w:rFonts w:ascii="Palatino Linotype" w:eastAsia="Palatino Linotype" w:hAnsi="Palatino Linotype" w:cs="Palatino Linotype"/>
          <w:b/>
          <w:i/>
          <w:color w:val="000000" w:themeColor="text1"/>
          <w:sz w:val="24"/>
          <w:szCs w:val="24"/>
        </w:rPr>
        <w:t>:</w:t>
      </w:r>
      <w:r w:rsidRPr="00EE4688">
        <w:rPr>
          <w:rFonts w:ascii="Palatino Linotype" w:eastAsia="Palatino Linotype" w:hAnsi="Palatino Linotype" w:cs="Palatino Linotype"/>
          <w:color w:val="000000" w:themeColor="text1"/>
          <w:sz w:val="24"/>
          <w:szCs w:val="24"/>
        </w:rPr>
        <w:t xml:space="preserve"> </w:t>
      </w:r>
      <w:r w:rsidRPr="00EE4688">
        <w:rPr>
          <w:rFonts w:ascii="Palatino Linotype" w:eastAsia="Palatino Linotype" w:hAnsi="Palatino Linotype" w:cs="Palatino Linotype"/>
          <w:i/>
          <w:color w:val="000000" w:themeColor="text1"/>
          <w:sz w:val="24"/>
          <w:szCs w:val="24"/>
        </w:rPr>
        <w:t>“La negativa de la información” (sic)</w:t>
      </w:r>
    </w:p>
    <w:p w:rsidR="00D223F2" w:rsidRPr="00EE4688" w:rsidRDefault="00D223F2" w:rsidP="0064038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D223F2" w:rsidRPr="00F74C4C" w:rsidRDefault="006E0471" w:rsidP="00640389">
      <w:pPr>
        <w:numPr>
          <w:ilvl w:val="0"/>
          <w:numId w:val="9"/>
        </w:num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Razones o Motivos de inconformidad: “</w:t>
      </w:r>
      <w:r w:rsidRPr="00EE4688">
        <w:rPr>
          <w:rFonts w:ascii="Palatino Linotype" w:eastAsia="Palatino Linotype" w:hAnsi="Palatino Linotype" w:cs="Palatino Linotype"/>
          <w:i/>
          <w:color w:val="000000" w:themeColor="text1"/>
          <w:sz w:val="24"/>
          <w:szCs w:val="24"/>
        </w:rPr>
        <w:t>La negativa de la información no entrega lo requerido “(Sic)</w:t>
      </w:r>
    </w:p>
    <w:p w:rsidR="00F74C4C" w:rsidRDefault="00F74C4C" w:rsidP="00F74C4C">
      <w:pPr>
        <w:pStyle w:val="Prrafodelista"/>
        <w:rPr>
          <w:rFonts w:ascii="Palatino Linotype" w:eastAsia="Palatino Linotype" w:hAnsi="Palatino Linotype" w:cs="Palatino Linotype"/>
          <w:color w:val="000000" w:themeColor="text1"/>
          <w:sz w:val="24"/>
        </w:rPr>
      </w:pPr>
    </w:p>
    <w:p w:rsidR="00F74C4C" w:rsidRPr="00EE4688" w:rsidRDefault="00F74C4C" w:rsidP="00F74C4C">
      <w:pPr>
        <w:pBdr>
          <w:top w:val="nil"/>
          <w:left w:val="nil"/>
          <w:bottom w:val="nil"/>
          <w:right w:val="nil"/>
          <w:between w:val="nil"/>
        </w:pBdr>
        <w:ind w:left="720"/>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 xml:space="preserve">Se registró el recurso de revisión bajo el número de expediente al rubro indicado, asimismo con fundamento en lo dispuesto por el artículo 185 fracción I de la </w:t>
      </w:r>
      <w:r w:rsidRPr="00EE4688">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EE4688">
        <w:rPr>
          <w:rFonts w:ascii="Palatino Linotype" w:eastAsia="Palatino Linotype" w:hAnsi="Palatino Linotype" w:cs="Palatino Linotype"/>
          <w:color w:val="000000" w:themeColor="text1"/>
          <w:sz w:val="24"/>
          <w:szCs w:val="24"/>
        </w:rPr>
        <w:t xml:space="preserve">se turnó a la </w:t>
      </w:r>
      <w:r w:rsidRPr="00EE4688">
        <w:rPr>
          <w:rFonts w:ascii="Palatino Linotype" w:eastAsia="Palatino Linotype" w:hAnsi="Palatino Linotype" w:cs="Palatino Linotype"/>
          <w:b/>
          <w:color w:val="000000" w:themeColor="text1"/>
          <w:sz w:val="24"/>
          <w:szCs w:val="24"/>
        </w:rPr>
        <w:t xml:space="preserve">Comisionada María del Rosario Mejía Ayala, </w:t>
      </w:r>
      <w:r w:rsidR="00640389">
        <w:rPr>
          <w:rFonts w:ascii="Palatino Linotype" w:eastAsia="Palatino Linotype" w:hAnsi="Palatino Linotype" w:cs="Palatino Linotype"/>
          <w:color w:val="000000" w:themeColor="text1"/>
          <w:sz w:val="24"/>
          <w:szCs w:val="24"/>
        </w:rPr>
        <w:t xml:space="preserve">para </w:t>
      </w:r>
      <w:r w:rsidRPr="00EE4688">
        <w:rPr>
          <w:rFonts w:ascii="Palatino Linotype" w:eastAsia="Palatino Linotype" w:hAnsi="Palatino Linotype" w:cs="Palatino Linotype"/>
          <w:color w:val="000000" w:themeColor="text1"/>
          <w:sz w:val="24"/>
          <w:szCs w:val="24"/>
        </w:rPr>
        <w:t xml:space="preserve">su análisis. </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La Comisionada Ponente con fundamento en lo dispuesto por el artículo 18 fracción II de la ley de la materia, a través del acuerdo de admisión notificado el </w:t>
      </w:r>
      <w:r w:rsidRPr="00EE4688">
        <w:rPr>
          <w:rFonts w:ascii="Palatino Linotype" w:eastAsia="Palatino Linotype" w:hAnsi="Palatino Linotype" w:cs="Palatino Linotype"/>
          <w:b/>
          <w:color w:val="000000" w:themeColor="text1"/>
          <w:sz w:val="24"/>
          <w:szCs w:val="24"/>
        </w:rPr>
        <w:t>veintidós de abril de dos mil veinticinco,</w:t>
      </w:r>
      <w:r w:rsidRPr="00EE4688">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EE4688">
        <w:rPr>
          <w:rFonts w:ascii="Palatino Linotype" w:eastAsia="Palatino Linotype" w:hAnsi="Palatino Linotype" w:cs="Palatino Linotype"/>
          <w:b/>
          <w:color w:val="000000" w:themeColor="text1"/>
          <w:sz w:val="24"/>
          <w:szCs w:val="24"/>
        </w:rPr>
        <w:t xml:space="preserve">SAIMEX </w:t>
      </w:r>
      <w:r w:rsidRPr="00EE4688">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presentara el informe justificado procedente. </w:t>
      </w:r>
    </w:p>
    <w:p w:rsidR="00D223F2" w:rsidRPr="00EE4688" w:rsidRDefault="00D223F2" w:rsidP="00E57590">
      <w:pPr>
        <w:spacing w:line="360"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EE4688">
        <w:rPr>
          <w:rFonts w:ascii="Palatino Linotype" w:eastAsia="Palatino Linotype" w:hAnsi="Palatino Linotype" w:cs="Palatino Linotype"/>
          <w:b/>
          <w:color w:val="000000" w:themeColor="text1"/>
          <w:sz w:val="24"/>
          <w:szCs w:val="24"/>
        </w:rPr>
        <w:t>PARTICULAR,</w:t>
      </w:r>
      <w:r w:rsidRPr="00EE4688">
        <w:rPr>
          <w:rFonts w:ascii="Palatino Linotype" w:eastAsia="Palatino Linotype" w:hAnsi="Palatino Linotype" w:cs="Palatino Linotype"/>
          <w:color w:val="000000" w:themeColor="text1"/>
          <w:sz w:val="24"/>
          <w:szCs w:val="24"/>
        </w:rPr>
        <w:t xml:space="preserve"> no realizo manifestación alguna.</w:t>
      </w:r>
    </w:p>
    <w:p w:rsidR="00D223F2" w:rsidRPr="00EE4688" w:rsidRDefault="00D223F2" w:rsidP="00E57590">
      <w:pPr>
        <w:spacing w:line="360"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rindió el Informe Justificado a través de los archivos siguientes:</w:t>
      </w:r>
    </w:p>
    <w:p w:rsidR="00D223F2" w:rsidRPr="00EE4688" w:rsidRDefault="00886D32" w:rsidP="0064038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sz w:val="24"/>
          <w:szCs w:val="24"/>
        </w:rPr>
      </w:pPr>
      <w:hyperlink r:id="rId8">
        <w:r w:rsidR="006E0471" w:rsidRPr="00EE4688">
          <w:rPr>
            <w:rFonts w:ascii="Palatino Linotype" w:eastAsia="Palatino Linotype" w:hAnsi="Palatino Linotype" w:cs="Palatino Linotype"/>
            <w:b/>
            <w:i/>
            <w:color w:val="000000" w:themeColor="text1"/>
            <w:sz w:val="24"/>
            <w:szCs w:val="24"/>
            <w:u w:val="single"/>
          </w:rPr>
          <w:t>R</w:t>
        </w:r>
      </w:hyperlink>
      <w:hyperlink r:id="rId9">
        <w:r w:rsidR="006E0471" w:rsidRPr="00EE4688">
          <w:rPr>
            <w:rFonts w:ascii="Palatino Linotype" w:eastAsia="Palatino Linotype" w:hAnsi="Palatino Linotype" w:cs="Palatino Linotype"/>
            <w:b/>
            <w:i/>
            <w:color w:val="000000" w:themeColor="text1"/>
            <w:sz w:val="24"/>
            <w:szCs w:val="24"/>
          </w:rPr>
          <w:t>atificación 4348.pdf</w:t>
        </w:r>
      </w:hyperlink>
    </w:p>
    <w:p w:rsidR="00D223F2" w:rsidRPr="00EE4688" w:rsidRDefault="006E0471" w:rsidP="00640389">
      <w:pPr>
        <w:spacing w:line="276"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Oficio de dos de mayo de dos mil veinticinco, firmado por la Titular de la Unidad de Transparencia, por el que ratificó su respuesta primigenia.</w:t>
      </w:r>
    </w:p>
    <w:p w:rsidR="00D223F2" w:rsidRPr="00EE4688" w:rsidRDefault="006E0471" w:rsidP="0064038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ANEXO RR 4348.pdf</w:t>
      </w:r>
    </w:p>
    <w:p w:rsidR="00D223F2" w:rsidRPr="00EE4688" w:rsidRDefault="006E0471" w:rsidP="00E57590">
      <w:pPr>
        <w:spacing w:line="276"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Oficio de veinticuatro de abril de dos mil veinticinco, firmado por el Tesorero Municipal, por el que ratificó  la respuesta emitida el día 11 de marzo de 2025, mediante oficio 202010000/0901/2025 a través del Sistema de Acceso a la Información Mexiquense (SAIMEX)</w:t>
      </w:r>
    </w:p>
    <w:p w:rsidR="00D223F2" w:rsidRPr="00EE4688" w:rsidRDefault="00D223F2" w:rsidP="00E57590">
      <w:pPr>
        <w:spacing w:line="276"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Oficio de veinticuatro de abril de dos mil veinticinco, firmado por la Directora General del Instituto Municipal de la Mujer de Toluca, por el que confirma la respuesta emitida por la Titular de la Coordinación de Administración y Finanzas, a la solicitud de información referida en el ocurso, a través del Oficio No. No. 2010A4000/UT/1200-B/2025, de fecha 23 de abril de 2025, anexo copia para pronta referencia.</w:t>
      </w:r>
    </w:p>
    <w:p w:rsidR="00D223F2" w:rsidRPr="00EE4688" w:rsidRDefault="00D223F2" w:rsidP="00E57590">
      <w:pPr>
        <w:spacing w:line="276"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color w:val="000000" w:themeColor="text1"/>
          <w:sz w:val="24"/>
          <w:szCs w:val="24"/>
        </w:rPr>
        <w:t>Oficio de veintiocho de marzo de dos mil veinticinco, firmado por la Directora General del Instituto Municipal de la Mujer de Toluca, por el que informo que,</w:t>
      </w:r>
      <w:r w:rsidRPr="00EE4688">
        <w:rPr>
          <w:rFonts w:ascii="Palatino Linotype" w:eastAsia="Palatino Linotype" w:hAnsi="Palatino Linotype" w:cs="Palatino Linotype"/>
          <w:i/>
          <w:color w:val="000000" w:themeColor="text1"/>
          <w:sz w:val="24"/>
          <w:szCs w:val="24"/>
        </w:rPr>
        <w:t xml:space="preserve"> “En relación con lo mencionado, no se generő ningún gasto asociado a dicho evento. Además, de manera oficial, ningún servidor público del Instituto Municipal de la Mujer de Toluca participó en el mismo.”</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Oficio de veintinueve de abril de dos mil veinticinco, firmado por la Directora General de Administración, por el que informo lo siguiente:</w:t>
      </w:r>
    </w:p>
    <w:p w:rsidR="00D223F2" w:rsidRPr="00EE4688" w:rsidRDefault="00D223F2" w:rsidP="00E57590">
      <w:pPr>
        <w:spacing w:line="276"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“me permito hacer de su conocimiento que con la finalidad de verificar la existencia de nuevos requerimientos, respecto a la solicitud de origen, se realizó una nueva búsqueda razonable y exhaustiva dentro de los archivos que obran en esta Dirección y sus áreas, sin embargo se ratifica la respuesta inicial, en razón de que a la fecha de la solicitud, no se cuenta con registro alguno de que este Ayuntamiento haya asistido a eventos al Zócalo, por lo tanto, no es información que se haya generado, poseído o administrado, todo esto con fundamento en los artículos 12 segundo párrafo y 160 de la Ley de Transparencia y Acceso a la Información Pública del Estado de México y Municipios.”</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EE4688">
        <w:rPr>
          <w:rFonts w:ascii="Palatino Linotype" w:eastAsia="Palatino Linotype" w:hAnsi="Palatino Linotype" w:cs="Palatino Linotype"/>
          <w:color w:val="000000" w:themeColor="text1"/>
          <w:sz w:val="24"/>
          <w:szCs w:val="24"/>
        </w:rPr>
        <w:t xml:space="preserve">El </w:t>
      </w:r>
      <w:r w:rsidRPr="00EE4688">
        <w:rPr>
          <w:rFonts w:ascii="Palatino Linotype" w:eastAsia="Palatino Linotype" w:hAnsi="Palatino Linotype" w:cs="Palatino Linotype"/>
          <w:b/>
          <w:color w:val="000000" w:themeColor="text1"/>
          <w:sz w:val="24"/>
          <w:szCs w:val="24"/>
        </w:rPr>
        <w:t xml:space="preserve">nueve de marzo de dos mil veinticinco, </w:t>
      </w:r>
      <w:r w:rsidRPr="00EE4688">
        <w:rPr>
          <w:rFonts w:ascii="Palatino Linotype" w:eastAsia="Palatino Linotype" w:hAnsi="Palatino Linotype" w:cs="Palatino Linotype"/>
          <w:color w:val="000000" w:themeColor="text1"/>
          <w:sz w:val="24"/>
          <w:szCs w:val="24"/>
        </w:rPr>
        <w:t>se notificó el acuerdo por el que se notificó el acuerdo por el que se amplió el plazo para resolver el presente recurso de revisión.</w:t>
      </w:r>
    </w:p>
    <w:p w:rsidR="00D223F2" w:rsidRPr="00EE4688" w:rsidRDefault="00D223F2" w:rsidP="00E57590">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rsidR="00D223F2" w:rsidRPr="00EE4688" w:rsidRDefault="006E0471" w:rsidP="00E57590">
      <w:pPr>
        <w:numPr>
          <w:ilvl w:val="0"/>
          <w:numId w:val="4"/>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EE4688">
        <w:rPr>
          <w:rFonts w:ascii="Palatino Linotype" w:eastAsia="Palatino Linotype" w:hAnsi="Palatino Linotype" w:cs="Palatino Linotype"/>
          <w:color w:val="000000" w:themeColor="text1"/>
          <w:sz w:val="24"/>
          <w:szCs w:val="24"/>
        </w:rPr>
        <w:t xml:space="preserve">El </w:t>
      </w:r>
      <w:r w:rsidRPr="00EE4688">
        <w:rPr>
          <w:rFonts w:ascii="Palatino Linotype" w:eastAsia="Palatino Linotype" w:hAnsi="Palatino Linotype" w:cs="Palatino Linotype"/>
          <w:b/>
          <w:color w:val="000000" w:themeColor="text1"/>
          <w:sz w:val="24"/>
          <w:szCs w:val="24"/>
        </w:rPr>
        <w:t xml:space="preserve"> quince de septiembre de dos mil veinticinco</w:t>
      </w:r>
      <w:r w:rsidRPr="00EE4688">
        <w:rPr>
          <w:rFonts w:ascii="Palatino Linotype" w:eastAsia="Palatino Linotype" w:hAnsi="Palatino Linotype" w:cs="Palatino Linotype"/>
          <w:color w:val="000000" w:themeColor="text1"/>
          <w:sz w:val="24"/>
          <w:szCs w:val="24"/>
        </w:rPr>
        <w:t>, la Comisionada Ponente decretó el cierre de instrucción y al no existir diligencias por realizar y se turnó el expediente a resolución correspondiente, por lo que no habi</w:t>
      </w:r>
      <w:r w:rsidR="007F7E8D" w:rsidRPr="00EE4688">
        <w:rPr>
          <w:rFonts w:ascii="Palatino Linotype" w:eastAsia="Palatino Linotype" w:hAnsi="Palatino Linotype" w:cs="Palatino Linotype"/>
          <w:color w:val="000000" w:themeColor="text1"/>
          <w:sz w:val="24"/>
          <w:szCs w:val="24"/>
        </w:rPr>
        <w:t xml:space="preserve">endo más que hacer constar, y </w:t>
      </w:r>
      <w:r w:rsidR="00640389">
        <w:rPr>
          <w:rFonts w:ascii="Palatino Linotype" w:eastAsia="Palatino Linotype" w:hAnsi="Palatino Linotype" w:cs="Palatino Linotype"/>
          <w:color w:val="000000" w:themeColor="text1"/>
          <w:sz w:val="24"/>
          <w:szCs w:val="24"/>
        </w:rPr>
        <w:t>-------------------------------------</w:t>
      </w:r>
    </w:p>
    <w:p w:rsidR="00D223F2" w:rsidRPr="00EE4688" w:rsidRDefault="006E0471" w:rsidP="00E57590">
      <w:pPr>
        <w:keepNext/>
        <w:keepLines/>
        <w:spacing w:line="360" w:lineRule="auto"/>
        <w:jc w:val="center"/>
        <w:rPr>
          <w:rFonts w:ascii="Palatino Linotype" w:eastAsia="Palatino Linotype" w:hAnsi="Palatino Linotype" w:cs="Palatino Linotype"/>
          <w:b/>
          <w:color w:val="000000" w:themeColor="text1"/>
          <w:sz w:val="24"/>
          <w:szCs w:val="24"/>
        </w:rPr>
      </w:pPr>
      <w:bookmarkStart w:id="3" w:name="_heading=h.30j0zll" w:colFirst="0" w:colLast="0"/>
      <w:bookmarkEnd w:id="3"/>
      <w:r w:rsidRPr="00EE4688">
        <w:rPr>
          <w:rFonts w:ascii="Palatino Linotype" w:eastAsia="Palatino Linotype" w:hAnsi="Palatino Linotype" w:cs="Palatino Linotype"/>
          <w:b/>
          <w:color w:val="000000" w:themeColor="text1"/>
          <w:sz w:val="24"/>
          <w:szCs w:val="24"/>
        </w:rPr>
        <w:lastRenderedPageBreak/>
        <w:t>C</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O</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N</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S</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I</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D</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E</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R</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A</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N</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D</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O</w:t>
      </w:r>
      <w:r w:rsidR="00640389">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 xml:space="preserve"> </w:t>
      </w:r>
    </w:p>
    <w:p w:rsidR="00D223F2" w:rsidRPr="00EE4688" w:rsidRDefault="00D223F2" w:rsidP="00E57590">
      <w:pPr>
        <w:keepNext/>
        <w:keepLines/>
        <w:spacing w:line="360" w:lineRule="auto"/>
        <w:jc w:val="center"/>
        <w:rPr>
          <w:rFonts w:ascii="Palatino Linotype" w:eastAsia="Palatino Linotype" w:hAnsi="Palatino Linotype" w:cs="Palatino Linotype"/>
          <w:color w:val="000000" w:themeColor="text1"/>
          <w:sz w:val="24"/>
          <w:szCs w:val="24"/>
        </w:rPr>
      </w:pPr>
    </w:p>
    <w:p w:rsidR="00D223F2" w:rsidRPr="00EE4688" w:rsidRDefault="006E0471" w:rsidP="00E57590">
      <w:pPr>
        <w:keepNext/>
        <w:keepLines/>
        <w:spacing w:line="360" w:lineRule="auto"/>
        <w:rPr>
          <w:rFonts w:ascii="Palatino Linotype" w:eastAsia="Palatino Linotype" w:hAnsi="Palatino Linotype" w:cs="Palatino Linotype"/>
          <w:b/>
          <w:color w:val="000000" w:themeColor="text1"/>
          <w:sz w:val="24"/>
          <w:szCs w:val="24"/>
        </w:rPr>
      </w:pPr>
      <w:bookmarkStart w:id="4" w:name="_heading=h.1fob9te" w:colFirst="0" w:colLast="0"/>
      <w:bookmarkEnd w:id="4"/>
      <w:r w:rsidRPr="00EE4688">
        <w:rPr>
          <w:rFonts w:ascii="Palatino Linotype" w:eastAsia="Palatino Linotype" w:hAnsi="Palatino Linotype" w:cs="Palatino Linotype"/>
          <w:b/>
          <w:color w:val="000000" w:themeColor="text1"/>
          <w:sz w:val="24"/>
          <w:szCs w:val="24"/>
        </w:rPr>
        <w:t>PRIMERO. De la competencia</w:t>
      </w:r>
    </w:p>
    <w:p w:rsidR="00D223F2" w:rsidRPr="00EE4688" w:rsidRDefault="006E0471" w:rsidP="00E57590">
      <w:pPr>
        <w:numPr>
          <w:ilvl w:val="0"/>
          <w:numId w:val="4"/>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223F2" w:rsidRPr="00EE4688" w:rsidRDefault="00D223F2" w:rsidP="00E57590">
      <w:pPr>
        <w:tabs>
          <w:tab w:val="left" w:pos="426"/>
        </w:tabs>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keepNext/>
        <w:keepLines/>
        <w:spacing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EE4688">
        <w:rPr>
          <w:rFonts w:ascii="Palatino Linotype" w:eastAsia="Palatino Linotype" w:hAnsi="Palatino Linotype" w:cs="Palatino Linotype"/>
          <w:b/>
          <w:color w:val="000000" w:themeColor="text1"/>
          <w:sz w:val="24"/>
          <w:szCs w:val="24"/>
        </w:rPr>
        <w:t>SEGUNDO. De la oportunidad y procedencia.</w:t>
      </w: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medio de impugnación fue presentado a través del </w:t>
      </w:r>
      <w:r w:rsidRPr="00EE4688">
        <w:rPr>
          <w:rFonts w:ascii="Palatino Linotype" w:eastAsia="Palatino Linotype" w:hAnsi="Palatino Linotype" w:cs="Palatino Linotype"/>
          <w:b/>
          <w:color w:val="000000" w:themeColor="text1"/>
          <w:sz w:val="24"/>
          <w:szCs w:val="24"/>
        </w:rPr>
        <w:t>SAIMEX,</w:t>
      </w:r>
      <w:r w:rsidRPr="00EE4688">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entregó respuesta el </w:t>
      </w:r>
      <w:r w:rsidRPr="00EE4688">
        <w:rPr>
          <w:rFonts w:ascii="Palatino Linotype" w:eastAsia="Palatino Linotype" w:hAnsi="Palatino Linotype" w:cs="Palatino Linotype"/>
          <w:b/>
          <w:color w:val="000000" w:themeColor="text1"/>
          <w:sz w:val="24"/>
          <w:szCs w:val="24"/>
        </w:rPr>
        <w:t>primero de abril de dos mil veinticinco</w:t>
      </w:r>
      <w:r w:rsidRPr="00EE4688">
        <w:rPr>
          <w:rFonts w:ascii="Palatino Linotype" w:eastAsia="Palatino Linotype" w:hAnsi="Palatino Linotype" w:cs="Palatino Linotype"/>
          <w:color w:val="000000" w:themeColor="text1"/>
          <w:sz w:val="24"/>
          <w:szCs w:val="24"/>
        </w:rPr>
        <w:t xml:space="preserve">, de tal forma que el plazo para interponer el recurso transcurrió del </w:t>
      </w:r>
      <w:r w:rsidRPr="00EE4688">
        <w:rPr>
          <w:rFonts w:ascii="Palatino Linotype" w:eastAsia="Palatino Linotype" w:hAnsi="Palatino Linotype" w:cs="Palatino Linotype"/>
          <w:b/>
          <w:color w:val="000000" w:themeColor="text1"/>
          <w:sz w:val="24"/>
          <w:szCs w:val="24"/>
        </w:rPr>
        <w:t xml:space="preserve">dos al veintinueve de abril  de dos mil veinticinco, </w:t>
      </w:r>
      <w:r w:rsidRPr="00EE4688">
        <w:rPr>
          <w:rFonts w:ascii="Palatino Linotype" w:eastAsia="Palatino Linotype" w:hAnsi="Palatino Linotype" w:cs="Palatino Linotype"/>
          <w:color w:val="000000" w:themeColor="text1"/>
          <w:sz w:val="24"/>
          <w:szCs w:val="24"/>
        </w:rPr>
        <w:t xml:space="preserve">en consecuencia, si el </w:t>
      </w:r>
      <w:r w:rsidRPr="00EE4688">
        <w:rPr>
          <w:rFonts w:ascii="Palatino Linotype" w:eastAsia="Palatino Linotype" w:hAnsi="Palatino Linotype" w:cs="Palatino Linotype"/>
          <w:b/>
          <w:color w:val="000000" w:themeColor="text1"/>
          <w:sz w:val="24"/>
          <w:szCs w:val="24"/>
        </w:rPr>
        <w:t>PARTICULAR</w:t>
      </w:r>
      <w:r w:rsidRPr="00EE4688">
        <w:rPr>
          <w:rFonts w:ascii="Palatino Linotype" w:eastAsia="Palatino Linotype" w:hAnsi="Palatino Linotype" w:cs="Palatino Linotype"/>
          <w:color w:val="000000" w:themeColor="text1"/>
          <w:sz w:val="24"/>
          <w:szCs w:val="24"/>
        </w:rPr>
        <w:t xml:space="preserve"> presentó su inconformidad el </w:t>
      </w:r>
      <w:r w:rsidRPr="00EE4688">
        <w:rPr>
          <w:rFonts w:ascii="Palatino Linotype" w:eastAsia="Palatino Linotype" w:hAnsi="Palatino Linotype" w:cs="Palatino Linotype"/>
          <w:b/>
          <w:color w:val="000000" w:themeColor="text1"/>
          <w:sz w:val="24"/>
          <w:szCs w:val="24"/>
        </w:rPr>
        <w:t>diez de abril de dos mil veinticinco</w:t>
      </w:r>
      <w:r w:rsidRPr="00EE4688">
        <w:rPr>
          <w:rFonts w:ascii="Palatino Linotype" w:eastAsia="Palatino Linotype" w:hAnsi="Palatino Linotype" w:cs="Palatino Linotype"/>
          <w:color w:val="000000" w:themeColor="text1"/>
          <w:sz w:val="24"/>
          <w:szCs w:val="24"/>
        </w:rPr>
        <w:t xml:space="preserve">, este  se encuentra dentro de los márgenes temporales previstos en el artículo 178 de la </w:t>
      </w:r>
      <w:r w:rsidRPr="00EE4688">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EE4688">
        <w:rPr>
          <w:rFonts w:ascii="Palatino Linotype" w:eastAsia="Palatino Linotype" w:hAnsi="Palatino Linotype" w:cs="Palatino Linotype"/>
          <w:color w:val="000000" w:themeColor="text1"/>
          <w:sz w:val="24"/>
          <w:szCs w:val="24"/>
        </w:rPr>
        <w:t xml:space="preserve">vigente. </w:t>
      </w:r>
    </w:p>
    <w:p w:rsidR="00D223F2" w:rsidRPr="00EE4688" w:rsidRDefault="006E0471" w:rsidP="00E57590">
      <w:pPr>
        <w:pStyle w:val="Ttulo1"/>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b/>
          <w:color w:val="000000" w:themeColor="text1"/>
          <w:sz w:val="24"/>
          <w:szCs w:val="24"/>
        </w:rPr>
        <w:lastRenderedPageBreak/>
        <w:t>TERCERO. De las causales de sobreseimiento</w:t>
      </w: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recurrente solicitó la siguiente información, </w:t>
      </w:r>
    </w:p>
    <w:p w:rsidR="00D223F2" w:rsidRPr="00EE4688" w:rsidRDefault="006E0471" w:rsidP="00640389">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presupuesto gastado en transporte público o gasolina </w:t>
      </w:r>
    </w:p>
    <w:p w:rsidR="00D223F2" w:rsidRPr="00EE4688" w:rsidRDefault="006E0471" w:rsidP="00640389">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número de vehículos con marca y placas qué asistieron a marcha de hoy en el zócalo </w:t>
      </w:r>
    </w:p>
    <w:p w:rsidR="00D223F2" w:rsidRPr="00EE4688" w:rsidRDefault="006E0471" w:rsidP="00640389">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nombre de los Servidores Públicos y la carta o manifestación de que asistieron por su voluntad porque sabes que obligaron a los servidores públicos del ayuntamiento</w:t>
      </w:r>
    </w:p>
    <w:p w:rsidR="00D223F2" w:rsidRPr="00EE4688" w:rsidRDefault="00D223F2" w:rsidP="00E5759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dio respuesta como quedo referido en el numeral 2 del presente proyecto.</w:t>
      </w:r>
    </w:p>
    <w:p w:rsidR="00D223F2" w:rsidRPr="00EE4688" w:rsidRDefault="00D223F2" w:rsidP="00E57590">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Inconforme con la respuesta proporcionada,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interpuso el presente recurso arguyendo medularmente que niega la información.</w:t>
      </w:r>
    </w:p>
    <w:p w:rsidR="00D223F2" w:rsidRPr="00EE4688" w:rsidRDefault="00D223F2" w:rsidP="00E57590">
      <w:pPr>
        <w:spacing w:line="360" w:lineRule="auto"/>
        <w:jc w:val="both"/>
        <w:rPr>
          <w:rFonts w:ascii="Palatino Linotype" w:eastAsia="Palatino Linotype" w:hAnsi="Palatino Linotype" w:cs="Palatino Linotype"/>
          <w:b/>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Por lo tanto, el presente recurso de revisión se circunscribe en determinar si se actualiza las causales de procedencia</w:t>
      </w:r>
      <w:r w:rsidRPr="00EE4688">
        <w:rPr>
          <w:rFonts w:ascii="Palatino Linotype" w:eastAsia="Palatino Linotype" w:hAnsi="Palatino Linotype" w:cs="Palatino Linotype"/>
          <w:b/>
          <w:color w:val="000000" w:themeColor="text1"/>
          <w:sz w:val="24"/>
          <w:szCs w:val="24"/>
        </w:rPr>
        <w:t xml:space="preserve"> </w:t>
      </w:r>
      <w:r w:rsidRPr="00EE4688">
        <w:rPr>
          <w:rFonts w:ascii="Palatino Linotype" w:eastAsia="Palatino Linotype" w:hAnsi="Palatino Linotype" w:cs="Palatino Linotype"/>
          <w:color w:val="000000" w:themeColor="text1"/>
          <w:sz w:val="24"/>
          <w:szCs w:val="24"/>
        </w:rPr>
        <w:t>contenid</w:t>
      </w:r>
      <w:r w:rsidR="004A3C3F" w:rsidRPr="00EE4688">
        <w:rPr>
          <w:rFonts w:ascii="Palatino Linotype" w:eastAsia="Palatino Linotype" w:hAnsi="Palatino Linotype" w:cs="Palatino Linotype"/>
          <w:color w:val="000000" w:themeColor="text1"/>
          <w:sz w:val="24"/>
          <w:szCs w:val="24"/>
        </w:rPr>
        <w:t>as en el artículo 179 fracción V</w:t>
      </w:r>
      <w:r w:rsidRPr="00EE4688">
        <w:rPr>
          <w:rFonts w:ascii="Palatino Linotype" w:eastAsia="Palatino Linotype" w:hAnsi="Palatino Linotype" w:cs="Palatino Linotype"/>
          <w:color w:val="000000" w:themeColor="text1"/>
          <w:sz w:val="24"/>
          <w:szCs w:val="24"/>
        </w:rPr>
        <w:t xml:space="preserve">, relativa a la entrega incompleta de la información, de la </w:t>
      </w:r>
      <w:r w:rsidRPr="00EE4688">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EE4688">
        <w:rPr>
          <w:rFonts w:ascii="Palatino Linotype" w:eastAsia="Palatino Linotype" w:hAnsi="Palatino Linotype" w:cs="Palatino Linotype"/>
          <w:color w:val="000000" w:themeColor="text1"/>
          <w:sz w:val="24"/>
          <w:szCs w:val="24"/>
        </w:rPr>
        <w:t>.</w:t>
      </w:r>
    </w:p>
    <w:p w:rsidR="00D223F2" w:rsidRPr="00EE4688" w:rsidRDefault="00D223F2" w:rsidP="00E57590">
      <w:pPr>
        <w:tabs>
          <w:tab w:val="left" w:pos="284"/>
        </w:tabs>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Realizada la precisión anterior, por lo que hace a las causas de sobreseimiento contenidas en la fracción III del artículo 192 de la </w:t>
      </w:r>
      <w:r w:rsidRPr="00EE4688">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EE4688">
        <w:rPr>
          <w:rFonts w:ascii="Palatino Linotype" w:eastAsia="Palatino Linotype" w:hAnsi="Palatino Linotype" w:cs="Palatino Linotype"/>
          <w:color w:val="000000" w:themeColor="text1"/>
          <w:sz w:val="24"/>
          <w:szCs w:val="24"/>
        </w:rPr>
        <w:t xml:space="preserve">, es oportuno señalar que estos requisitos privilegian la existencia de elementos de fondo, tales como el desistimiento o fallecimiento del </w:t>
      </w:r>
      <w:r w:rsidRPr="00EE4688">
        <w:rPr>
          <w:rFonts w:ascii="Palatino Linotype" w:eastAsia="Palatino Linotype" w:hAnsi="Palatino Linotype" w:cs="Palatino Linotype"/>
          <w:b/>
          <w:color w:val="000000" w:themeColor="text1"/>
          <w:sz w:val="24"/>
          <w:szCs w:val="24"/>
        </w:rPr>
        <w:t>RECURRENTE</w:t>
      </w:r>
      <w:r w:rsidRPr="00EE4688">
        <w:rPr>
          <w:rFonts w:ascii="Palatino Linotype" w:eastAsia="Palatino Linotype" w:hAnsi="Palatino Linotype" w:cs="Palatino Linotype"/>
          <w:color w:val="000000" w:themeColor="text1"/>
          <w:sz w:val="24"/>
          <w:szCs w:val="24"/>
        </w:rPr>
        <w:t xml:space="preserve"> o que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u w:val="single"/>
        </w:rPr>
        <w:t>modifique o revoque el acto</w:t>
      </w:r>
      <w:r w:rsidRPr="00EE4688">
        <w:rPr>
          <w:rFonts w:ascii="Palatino Linotype" w:eastAsia="Palatino Linotype" w:hAnsi="Palatino Linotype" w:cs="Palatino Linotype"/>
          <w:color w:val="000000" w:themeColor="text1"/>
          <w:sz w:val="24"/>
          <w:szCs w:val="24"/>
        </w:rPr>
        <w:t xml:space="preserve">; de ahí que la </w:t>
      </w:r>
      <w:r w:rsidRPr="00EE4688">
        <w:rPr>
          <w:rFonts w:ascii="Palatino Linotype" w:eastAsia="Palatino Linotype" w:hAnsi="Palatino Linotype" w:cs="Palatino Linotype"/>
          <w:color w:val="000000" w:themeColor="text1"/>
          <w:sz w:val="24"/>
          <w:szCs w:val="24"/>
        </w:rPr>
        <w:lastRenderedPageBreak/>
        <w:t>actualización de alguno de éstos trae como consecuencia que el medio de impugnación se concluya sin que se analice el objeto de estudio planteado, es decir se sobresea.</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Para los efectos de esta resolución, es oportuno precisar los alcances jurídicos de la fracción III de la disposición legal transcrita. Así, procede el sobreseimiento del recurso de revisión cuando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w:t>
      </w:r>
    </w:p>
    <w:p w:rsidR="00D223F2" w:rsidRPr="00EE4688" w:rsidRDefault="006E0471" w:rsidP="00E57590">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Modifique el acto impugnado:</w:t>
      </w:r>
      <w:r w:rsidRPr="00EE4688">
        <w:rPr>
          <w:rFonts w:ascii="Palatino Linotype" w:eastAsia="Palatino Linotype" w:hAnsi="Palatino Linotype" w:cs="Palatino Linotype"/>
          <w:color w:val="000000" w:themeColor="text1"/>
          <w:sz w:val="24"/>
          <w:szCs w:val="24"/>
        </w:rPr>
        <w:t xml:space="preserve"> Se actualiza cuando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después de haber otorgado una respuesta y hasta antes de dictada la resolución del recurso de revisión, emite una diversa en la que subsane las deficiencias que hubiera tenido.</w:t>
      </w:r>
    </w:p>
    <w:p w:rsidR="00D223F2" w:rsidRPr="00EE4688" w:rsidRDefault="006E0471" w:rsidP="00E57590">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Revoque el acto impugnado:</w:t>
      </w:r>
      <w:r w:rsidRPr="00EE4688">
        <w:rPr>
          <w:rFonts w:ascii="Palatino Linotype" w:eastAsia="Palatino Linotype" w:hAnsi="Palatino Linotype" w:cs="Palatino Linotype"/>
          <w:color w:val="000000" w:themeColor="text1"/>
          <w:sz w:val="24"/>
          <w:szCs w:val="24"/>
        </w:rPr>
        <w:t xml:space="preserve"> En este supuesto,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deja sin efectos la primera respuesta y en su lugar emite otra que satisfaga lo solicitado por el particular en un primer momento.</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D223F2" w:rsidRPr="00EE4688" w:rsidRDefault="00D223F2" w:rsidP="00E57590">
      <w:pPr>
        <w:tabs>
          <w:tab w:val="left" w:pos="426"/>
        </w:tabs>
        <w:spacing w:line="360"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Previo al estudio de fondo del asunto que nos ocupa, resulta necesario referir respecto la fuente obligacional, el Bando Municipal, refiere lo siguiente:</w:t>
      </w:r>
    </w:p>
    <w:p w:rsidR="00D223F2" w:rsidRPr="00EE4688" w:rsidRDefault="006E0471" w:rsidP="00E57590">
      <w:pPr>
        <w:spacing w:line="276" w:lineRule="auto"/>
        <w:jc w:val="center"/>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TÍTULO SÉPTIMO: DE LA ADMINISTRACIÓN</w:t>
      </w:r>
    </w:p>
    <w:p w:rsidR="00D223F2" w:rsidRPr="00EE4688" w:rsidRDefault="006E0471" w:rsidP="00E57590">
      <w:pPr>
        <w:spacing w:line="276" w:lineRule="auto"/>
        <w:jc w:val="center"/>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PÚBLICA MUNICIPAL</w:t>
      </w:r>
    </w:p>
    <w:p w:rsidR="00D223F2" w:rsidRPr="00EE4688" w:rsidRDefault="006E0471" w:rsidP="00E57590">
      <w:pPr>
        <w:spacing w:line="276" w:lineRule="auto"/>
        <w:jc w:val="center"/>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lastRenderedPageBreak/>
        <w:t>CAPÍTULO PRIMERO:</w:t>
      </w:r>
    </w:p>
    <w:p w:rsidR="00D223F2" w:rsidRPr="00EE4688" w:rsidRDefault="006E0471" w:rsidP="00E57590">
      <w:pPr>
        <w:spacing w:line="276" w:lineRule="auto"/>
        <w:jc w:val="center"/>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DEL GOBIERNO Y SU ORGANIZACIÓN</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b/>
          <w:i/>
          <w:color w:val="000000" w:themeColor="text1"/>
          <w:sz w:val="24"/>
          <w:szCs w:val="24"/>
        </w:rPr>
        <w:t xml:space="preserve"> Artículo 89. </w:t>
      </w:r>
      <w:r w:rsidRPr="00EE4688">
        <w:rPr>
          <w:rFonts w:ascii="Palatino Linotype" w:eastAsia="Palatino Linotype" w:hAnsi="Palatino Linotype" w:cs="Palatino Linotype"/>
          <w:i/>
          <w:color w:val="000000" w:themeColor="text1"/>
          <w:sz w:val="24"/>
          <w:szCs w:val="24"/>
        </w:rPr>
        <w:t>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La Administración Pública Municipal será centralizada, descentralizada y autónoma. </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b/>
          <w:i/>
          <w:color w:val="000000" w:themeColor="text1"/>
          <w:sz w:val="24"/>
          <w:szCs w:val="24"/>
        </w:rPr>
        <w:t>Artículo 90</w:t>
      </w:r>
      <w:r w:rsidRPr="00EE4688">
        <w:rPr>
          <w:rFonts w:ascii="Palatino Linotype" w:eastAsia="Palatino Linotype" w:hAnsi="Palatino Linotype" w:cs="Palatino Linotype"/>
          <w:i/>
          <w:color w:val="000000" w:themeColor="text1"/>
          <w:sz w:val="24"/>
          <w:szCs w:val="24"/>
        </w:rPr>
        <w:t>.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 xml:space="preserve">I. DEPENDENCIAS: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1.Secretaría del Ayuntamiento;</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 2.Tesorería Municipal;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3.Órgano Interno de Control;</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 4.Dirección General de Gobierno;</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 5.Dirección General de Seguridad y Protección;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6.Dirección General de Administración;</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7.Dirección General de Medio Ambiente;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8.Dirección General de Servicios Públicos;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9.Dirección General de Innovación, Planeación y Gestión Urbana;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10.Dirección General de Obras Públicas;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11.Dirección General de Desarrollo Económico;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12.Dirección General de Bienestar; y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13.Dirección General de Educación, Cultura y Turismo.</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 </w:t>
      </w:r>
      <w:r w:rsidRPr="00EE4688">
        <w:rPr>
          <w:rFonts w:ascii="Palatino Linotype" w:eastAsia="Palatino Linotype" w:hAnsi="Palatino Linotype" w:cs="Palatino Linotype"/>
          <w:b/>
          <w:i/>
          <w:color w:val="000000" w:themeColor="text1"/>
          <w:sz w:val="24"/>
          <w:szCs w:val="24"/>
        </w:rPr>
        <w:t>II. ORGANISMOS DESCENTRALIZADOS</w:t>
      </w:r>
      <w:r w:rsidRPr="00EE4688">
        <w:rPr>
          <w:rFonts w:ascii="Palatino Linotype" w:eastAsia="Palatino Linotype" w:hAnsi="Palatino Linotype" w:cs="Palatino Linotype"/>
          <w:i/>
          <w:color w:val="000000" w:themeColor="text1"/>
          <w:sz w:val="24"/>
          <w:szCs w:val="24"/>
        </w:rPr>
        <w:t xml:space="preserve">: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lastRenderedPageBreak/>
        <w:t xml:space="preserve">1.Sistema Municipal para el Desarrollo Integral de la Familia de Toluca;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2.Instituto Municipal de Cultura Física y Deporte de Toluca;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3.Instituto Municipal de la Mujer de Toluca; y 4.Organismo Agua y Saneamiento de Toluca.</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 xml:space="preserve"> III. ÓRGANO AUTÓNOMO: </w:t>
      </w: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1.Defensoría Municipal de los Derechos Humanos de Toluca.</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II. La persona titular de la </w:t>
      </w:r>
      <w:r w:rsidRPr="00EE4688">
        <w:rPr>
          <w:rFonts w:ascii="Palatino Linotype" w:eastAsia="Palatino Linotype" w:hAnsi="Palatino Linotype" w:cs="Palatino Linotype"/>
          <w:b/>
          <w:i/>
          <w:color w:val="000000" w:themeColor="text1"/>
          <w:sz w:val="24"/>
          <w:szCs w:val="24"/>
        </w:rPr>
        <w:t>Tesorería Municipal</w:t>
      </w:r>
      <w:r w:rsidRPr="00EE4688">
        <w:rPr>
          <w:rFonts w:ascii="Palatino Linotype" w:eastAsia="Palatino Linotype" w:hAnsi="Palatino Linotype" w:cs="Palatino Linotype"/>
          <w:i/>
          <w:color w:val="000000" w:themeColor="text1"/>
          <w:sz w:val="24"/>
          <w:szCs w:val="24"/>
        </w:rPr>
        <w:t xml:space="preserve"> es </w:t>
      </w:r>
      <w:r w:rsidRPr="00EE4688">
        <w:rPr>
          <w:rFonts w:ascii="Palatino Linotype" w:eastAsia="Palatino Linotype" w:hAnsi="Palatino Linotype" w:cs="Palatino Linotype"/>
          <w:i/>
          <w:color w:val="000000" w:themeColor="text1"/>
          <w:sz w:val="24"/>
          <w:szCs w:val="24"/>
          <w:u w:val="single"/>
        </w:rPr>
        <w:t>responsable de la administración y control de los recursos financieros del municipio</w:t>
      </w:r>
      <w:r w:rsidRPr="00EE4688">
        <w:rPr>
          <w:rFonts w:ascii="Palatino Linotype" w:eastAsia="Palatino Linotype" w:hAnsi="Palatino Linotype" w:cs="Palatino Linotype"/>
          <w:i/>
          <w:color w:val="000000" w:themeColor="text1"/>
          <w:sz w:val="24"/>
          <w:szCs w:val="24"/>
        </w:rPr>
        <w:t>,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VI. La persona titular de la</w:t>
      </w:r>
      <w:r w:rsidRPr="00EE4688">
        <w:rPr>
          <w:rFonts w:ascii="Palatino Linotype" w:eastAsia="Palatino Linotype" w:hAnsi="Palatino Linotype" w:cs="Palatino Linotype"/>
          <w:b/>
          <w:i/>
          <w:color w:val="000000" w:themeColor="text1"/>
          <w:sz w:val="24"/>
          <w:szCs w:val="24"/>
        </w:rPr>
        <w:t xml:space="preserve"> Dirección General de Administración </w:t>
      </w:r>
      <w:r w:rsidRPr="00EE4688">
        <w:rPr>
          <w:rFonts w:ascii="Palatino Linotype" w:eastAsia="Palatino Linotype" w:hAnsi="Palatino Linotype" w:cs="Palatino Linotype"/>
          <w:i/>
          <w:color w:val="000000" w:themeColor="text1"/>
          <w:sz w:val="24"/>
          <w:szCs w:val="24"/>
        </w:rPr>
        <w:t xml:space="preserve">es responsable de la gestión integral del capital humano del Ayuntamiento, </w:t>
      </w:r>
      <w:r w:rsidRPr="00EE4688">
        <w:rPr>
          <w:rFonts w:ascii="Palatino Linotype" w:eastAsia="Palatino Linotype" w:hAnsi="Palatino Linotype" w:cs="Palatino Linotype"/>
          <w:i/>
          <w:color w:val="000000" w:themeColor="text1"/>
          <w:sz w:val="24"/>
          <w:szCs w:val="24"/>
          <w:u w:val="single"/>
        </w:rPr>
        <w:t>coordinando el reclutamiento, contratación, capacitación y desarrollo del personal, así como la aplicación de las disposiciones laborales y sindicales.</w:t>
      </w:r>
      <w:r w:rsidRPr="00EE4688">
        <w:rPr>
          <w:rFonts w:ascii="Palatino Linotype" w:eastAsia="Palatino Linotype" w:hAnsi="Palatino Linotype" w:cs="Palatino Linotype"/>
          <w:i/>
          <w:color w:val="000000" w:themeColor="text1"/>
          <w:sz w:val="24"/>
          <w:szCs w:val="24"/>
        </w:rPr>
        <w:t xml:space="preserve"> Supervisará la elaboración y distribución de la nómina, garantizando su apego a la normatividad y el presupuesto autorizado. Dirigirá los procesos de adquisición, arrendamiento y contratación de servicios, asegurando </w:t>
      </w:r>
      <w:r w:rsidRPr="00EE4688">
        <w:rPr>
          <w:rFonts w:ascii="Palatino Linotype" w:eastAsia="Palatino Linotype" w:hAnsi="Palatino Linotype" w:cs="Palatino Linotype"/>
          <w:i/>
          <w:color w:val="000000" w:themeColor="text1"/>
          <w:sz w:val="24"/>
          <w:szCs w:val="24"/>
        </w:rPr>
        <w:lastRenderedPageBreak/>
        <w:t xml:space="preserve">la eficiencia y transparencia en el uso de los recursos públicos. </w:t>
      </w:r>
      <w:r w:rsidRPr="00EE4688">
        <w:rPr>
          <w:rFonts w:ascii="Palatino Linotype" w:eastAsia="Palatino Linotype" w:hAnsi="Palatino Linotype" w:cs="Palatino Linotype"/>
          <w:i/>
          <w:color w:val="000000" w:themeColor="text1"/>
          <w:sz w:val="24"/>
          <w:szCs w:val="24"/>
          <w:u w:val="single"/>
        </w:rPr>
        <w:t>Administrará el parque vehicular</w:t>
      </w:r>
      <w:r w:rsidRPr="00EE4688">
        <w:rPr>
          <w:rFonts w:ascii="Palatino Linotype" w:eastAsia="Palatino Linotype" w:hAnsi="Palatino Linotype" w:cs="Palatino Linotype"/>
          <w:i/>
          <w:color w:val="000000" w:themeColor="text1"/>
          <w:sz w:val="24"/>
          <w:szCs w:val="24"/>
        </w:rPr>
        <w:t>, los bienes municipales y la logística de eventos públicos e implementará políticas de gobierno digital y normativas para el uso de tecnologías de la información, promoviendo la eficiencia operativa de la administración pública municipal.</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spacing w:line="276"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XVI. </w:t>
      </w:r>
      <w:r w:rsidRPr="00EE4688">
        <w:rPr>
          <w:rFonts w:ascii="Palatino Linotype" w:eastAsia="Palatino Linotype" w:hAnsi="Palatino Linotype" w:cs="Palatino Linotype"/>
          <w:b/>
          <w:i/>
          <w:color w:val="000000" w:themeColor="text1"/>
          <w:sz w:val="24"/>
          <w:szCs w:val="24"/>
        </w:rPr>
        <w:t>La persona titular del Instituto Municipal de la Mujer de Toluca</w:t>
      </w:r>
      <w:r w:rsidRPr="00EE4688">
        <w:rPr>
          <w:rFonts w:ascii="Palatino Linotype" w:eastAsia="Palatino Linotype" w:hAnsi="Palatino Linotype" w:cs="Palatino Linotype"/>
          <w:i/>
          <w:color w:val="000000" w:themeColor="text1"/>
          <w:sz w:val="24"/>
          <w:szCs w:val="24"/>
        </w:rPr>
        <w:t xml:space="preserve"> tendrá por objeto el impulso de políticas y acciones para el desarrollo integral de las mujeres, promoviendo su participación en los ámbitos económico, político, social, cultural, </w:t>
      </w:r>
      <w:r w:rsidRPr="00EE4688">
        <w:rPr>
          <w:rFonts w:ascii="Palatino Linotype" w:eastAsia="Palatino Linotype" w:hAnsi="Palatino Linotype" w:cs="Palatino Linotype"/>
          <w:i/>
          <w:color w:val="000000" w:themeColor="text1"/>
          <w:sz w:val="24"/>
          <w:szCs w:val="24"/>
          <w:u w:val="single"/>
        </w:rPr>
        <w:t>laboral</w:t>
      </w:r>
      <w:r w:rsidRPr="00EE4688">
        <w:rPr>
          <w:rFonts w:ascii="Palatino Linotype" w:eastAsia="Palatino Linotype" w:hAnsi="Palatino Linotype" w:cs="Palatino Linotype"/>
          <w:i/>
          <w:color w:val="000000" w:themeColor="text1"/>
          <w:sz w:val="24"/>
          <w:szCs w:val="24"/>
        </w:rPr>
        <w:t xml:space="preserve">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w:t>
      </w:r>
    </w:p>
    <w:p w:rsidR="00D223F2" w:rsidRPr="00EE4688" w:rsidRDefault="00D223F2" w:rsidP="00E57590">
      <w:pPr>
        <w:spacing w:line="276"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De lo anterior, se observa que el área que genera, posee y/o administra la información solicitada, es la Tesorería Municipal, la Dirección General de Administración, así como Instituto Municipal de la Mujer de Toluca ya que forma parte del mismo, luego entonces, se advierte que quien dio respuesta fueron los Servidores Públicos Habilitados para tal efecto; en consecuencia, se tiene por válida la misma.</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Ahora bien,  el caso concreto, se actualiza la modificación de respuesta derivado de que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en la etapa de manifestaciones, mediante el oficio de veintinueve de abril de dos mil veinticinco, firmado por la Directora General de Administración, modificó su respuesta como se advierte  a continuación:</w:t>
      </w:r>
    </w:p>
    <w:tbl>
      <w:tblPr>
        <w:tblStyle w:val="a"/>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260"/>
        <w:gridCol w:w="3085"/>
      </w:tblGrid>
      <w:tr w:rsidR="007F7E8D" w:rsidRPr="00EE4688">
        <w:trPr>
          <w:jc w:val="center"/>
        </w:trPr>
        <w:tc>
          <w:tcPr>
            <w:tcW w:w="2689" w:type="dxa"/>
            <w:shd w:val="clear" w:color="auto" w:fill="D5DCE4"/>
            <w:vAlign w:val="center"/>
          </w:tcPr>
          <w:p w:rsidR="00D223F2" w:rsidRPr="00EE4688" w:rsidRDefault="006E0471" w:rsidP="00E57590">
            <w:pPr>
              <w:jc w:val="center"/>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b/>
                <w:color w:val="000000" w:themeColor="text1"/>
                <w:sz w:val="24"/>
                <w:szCs w:val="24"/>
              </w:rPr>
              <w:lastRenderedPageBreak/>
              <w:t>Solicitud</w:t>
            </w:r>
          </w:p>
        </w:tc>
        <w:tc>
          <w:tcPr>
            <w:tcW w:w="3260" w:type="dxa"/>
            <w:shd w:val="clear" w:color="auto" w:fill="D5DCE4"/>
            <w:vAlign w:val="center"/>
          </w:tcPr>
          <w:p w:rsidR="00D223F2" w:rsidRPr="00EE4688" w:rsidRDefault="006E0471" w:rsidP="00E57590">
            <w:pPr>
              <w:jc w:val="center"/>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b/>
                <w:color w:val="000000" w:themeColor="text1"/>
                <w:sz w:val="24"/>
                <w:szCs w:val="24"/>
              </w:rPr>
              <w:t>Respuesta</w:t>
            </w:r>
          </w:p>
        </w:tc>
        <w:tc>
          <w:tcPr>
            <w:tcW w:w="3085" w:type="dxa"/>
            <w:shd w:val="clear" w:color="auto" w:fill="D5DCE4"/>
            <w:vAlign w:val="center"/>
          </w:tcPr>
          <w:p w:rsidR="00D223F2" w:rsidRPr="00EE4688" w:rsidRDefault="006E0471" w:rsidP="00E57590">
            <w:pPr>
              <w:jc w:val="center"/>
              <w:rPr>
                <w:rFonts w:ascii="Palatino Linotype" w:eastAsia="Palatino Linotype" w:hAnsi="Palatino Linotype" w:cs="Palatino Linotype"/>
                <w:b/>
                <w:color w:val="000000" w:themeColor="text1"/>
                <w:sz w:val="24"/>
                <w:szCs w:val="24"/>
              </w:rPr>
            </w:pPr>
            <w:r w:rsidRPr="00EE4688">
              <w:rPr>
                <w:rFonts w:ascii="Palatino Linotype" w:eastAsia="Palatino Linotype" w:hAnsi="Palatino Linotype" w:cs="Palatino Linotype"/>
                <w:b/>
                <w:color w:val="000000" w:themeColor="text1"/>
                <w:sz w:val="24"/>
                <w:szCs w:val="24"/>
              </w:rPr>
              <w:t>Informe Justificado</w:t>
            </w:r>
          </w:p>
        </w:tc>
      </w:tr>
      <w:tr w:rsidR="00D223F2" w:rsidRPr="00EE4688">
        <w:trPr>
          <w:jc w:val="center"/>
        </w:trPr>
        <w:tc>
          <w:tcPr>
            <w:tcW w:w="2689" w:type="dxa"/>
            <w:vAlign w:val="center"/>
          </w:tcPr>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presupuesto gastado en transporte público o gasolina</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número de vehículos con marca y placas qué asistieron a marcha de hoy en el zócalo</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nombre de los Servidores Públicos y la carta o manifestación de que asistieron por su voluntad porque sabes que obligaron a los servidores públicos del ayuntamiento</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D223F2" w:rsidP="00E57590">
            <w:pPr>
              <w:jc w:val="both"/>
              <w:rPr>
                <w:rFonts w:ascii="Palatino Linotype" w:eastAsia="Palatino Linotype" w:hAnsi="Palatino Linotype" w:cs="Palatino Linotype"/>
                <w:color w:val="000000" w:themeColor="text1"/>
                <w:sz w:val="24"/>
                <w:szCs w:val="24"/>
              </w:rPr>
            </w:pPr>
          </w:p>
        </w:tc>
        <w:tc>
          <w:tcPr>
            <w:tcW w:w="3260" w:type="dxa"/>
            <w:vAlign w:val="center"/>
          </w:tcPr>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La Tesorería Municipal y Servidor Público Habilitado, informó que no se tiene registro contable de lo solicitado, debido a que no forma parte de nuestras atribuciones, por lo que se deberá de reconducir esta solicitud al área correspondiente.</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Instituto Municipal de la Mujer de Toluca y Servidora Pública Habilitada, informó que en relación con lo mencionado, no se generó ningún gasto asociado a dicho evento, además, de manera oficial, ningún servidor público del Instituto Municipal de la Mujer de Toluca participó en el mismo.</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Dirección General de Administración y Servidora Pública Habilitada, informó que una vez analizada la solicitud y en virtud de dar atención a la misma, le informo que no es </w:t>
            </w:r>
            <w:r w:rsidRPr="00EE4688">
              <w:rPr>
                <w:rFonts w:ascii="Palatino Linotype" w:eastAsia="Palatino Linotype" w:hAnsi="Palatino Linotype" w:cs="Palatino Linotype"/>
                <w:color w:val="000000" w:themeColor="text1"/>
                <w:sz w:val="24"/>
                <w:szCs w:val="24"/>
              </w:rPr>
              <w:lastRenderedPageBreak/>
              <w:t>competencia de esta Dirección General de Administración, toda vez que la información requerida en los términos solicitados no se genera, recopila, administra, procesa, archiva o conserva en esta Unidad Administrativa.</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Instituto Municipal de la Mujer de Toluca y Servidora Pública Habilitada, informó que en relación con lo mencionado, no se generó ningún gasto asociado a dicho evento, además, de manera oficial, ningún servidor público del Instituto Municipal de la Mujer de Toluca participó en el mismo.</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la Tesorería Municipal y Servidor Público Habilitado, informó que o se tiene registro contable de lo solicitado, debido a que no forma parte de nuestras atribuciones, por lo que se deberá de reconducir esta solicitud al área correspondiente.</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El Instituto Municipal de la Mujer de Toluca y Servidora Pública Habilitada, informó que en relación con lo mencionado, no se generó ningún gasto asociado a dicho evento, además, de manera oficial, ningún servidor público del Instituto Municipal de la Mujer de Toluca participó en el mismo.</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tc>
        <w:tc>
          <w:tcPr>
            <w:tcW w:w="3085" w:type="dxa"/>
            <w:vAlign w:val="center"/>
          </w:tcPr>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6E0471" w:rsidP="00E57590">
            <w:pPr>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“me permito hacer de su conocimiento que con la finalidad de verificar la existencia de nuevos requerimientos, respecto a la solicitud de origen</w:t>
            </w:r>
            <w:r w:rsidRPr="00EE4688">
              <w:rPr>
                <w:rFonts w:ascii="Palatino Linotype" w:eastAsia="Palatino Linotype" w:hAnsi="Palatino Linotype" w:cs="Palatino Linotype"/>
                <w:i/>
                <w:color w:val="000000" w:themeColor="text1"/>
                <w:sz w:val="24"/>
                <w:szCs w:val="24"/>
                <w:u w:val="single"/>
              </w:rPr>
              <w:t>, se realizó una nueva búsqueda razonable y exhaustiva dentro de los archivos que obran en esta Dirección y sus áreas, sin embargo se ratifica la respuesta inicial, en razón de que a la fecha de la solicitud, no se cuenta con registro alguno de que este Ayuntamiento haya asistido a eventos al Zócalo, por lo tanto, no es información que se haya generado, poseído o administrado,</w:t>
            </w:r>
            <w:r w:rsidRPr="00EE4688">
              <w:rPr>
                <w:rFonts w:ascii="Palatino Linotype" w:eastAsia="Palatino Linotype" w:hAnsi="Palatino Linotype" w:cs="Palatino Linotype"/>
                <w:i/>
                <w:color w:val="000000" w:themeColor="text1"/>
                <w:sz w:val="24"/>
                <w:szCs w:val="24"/>
              </w:rPr>
              <w:t xml:space="preserve"> todo esto con fundamento en los artículos 12 segundo párrafo y 160 de la Ley de Transparencia y Acceso a la Información Pública del Estado de México y Municipios.”</w:t>
            </w:r>
          </w:p>
          <w:p w:rsidR="00D223F2" w:rsidRPr="00EE4688" w:rsidRDefault="00D223F2" w:rsidP="00E57590">
            <w:pPr>
              <w:jc w:val="both"/>
              <w:rPr>
                <w:rFonts w:ascii="Palatino Linotype" w:eastAsia="Palatino Linotype" w:hAnsi="Palatino Linotype" w:cs="Palatino Linotype"/>
                <w:color w:val="000000" w:themeColor="text1"/>
                <w:sz w:val="24"/>
                <w:szCs w:val="24"/>
              </w:rPr>
            </w:pPr>
          </w:p>
          <w:p w:rsidR="00D223F2" w:rsidRPr="00EE4688" w:rsidRDefault="00D223F2" w:rsidP="00E57590">
            <w:pPr>
              <w:jc w:val="both"/>
              <w:rPr>
                <w:rFonts w:ascii="Palatino Linotype" w:eastAsia="Palatino Linotype" w:hAnsi="Palatino Linotype" w:cs="Palatino Linotype"/>
                <w:color w:val="000000" w:themeColor="text1"/>
                <w:sz w:val="24"/>
                <w:szCs w:val="24"/>
              </w:rPr>
            </w:pPr>
          </w:p>
        </w:tc>
      </w:tr>
    </w:tbl>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De lo anterior, se observa que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fue preciso en referir que el Ayuntamiento no asistió al evento en el Zócalo, en consecuencia no se generó, poseyó y/o administro la información.</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En esa tesitura, toda vez que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 xml:space="preserve">manifestó que no se posee, administra ni generó la información requerida por </w:t>
      </w:r>
      <w:r w:rsidRPr="00EE4688">
        <w:rPr>
          <w:rFonts w:ascii="Palatino Linotype" w:eastAsia="Palatino Linotype" w:hAnsi="Palatino Linotype" w:cs="Palatino Linotype"/>
          <w:b/>
          <w:color w:val="000000" w:themeColor="text1"/>
          <w:sz w:val="24"/>
          <w:szCs w:val="24"/>
        </w:rPr>
        <w:t>EL PARTICULAR</w:t>
      </w:r>
      <w:r w:rsidRPr="00EE4688">
        <w:rPr>
          <w:rFonts w:ascii="Palatino Linotype" w:eastAsia="Palatino Linotype" w:hAnsi="Palatino Linotype" w:cs="Palatino Linotype"/>
          <w:color w:val="000000" w:themeColor="text1"/>
          <w:sz w:val="24"/>
          <w:szCs w:val="24"/>
        </w:rPr>
        <w:t xml:space="preserve">, constituye un hecho negativo; luego entonces, si se considera el hecho negativo, es obvio que éste no puede fácticamente obrar en los archivos del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ya que no puede probarse por ser lógica y materialmente imposible.</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Asimismo, no se trata de un caso por el cual la negación del hecho implique la afirmación del mismo, simplemente se está ante una notoria y evidente inexistencia fáctica de la información solicitada.</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D223F2" w:rsidRPr="00EE4688" w:rsidRDefault="006E0471" w:rsidP="00E57590">
      <w:pPr>
        <w:spacing w:line="360" w:lineRule="auto"/>
        <w:jc w:val="both"/>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b/>
          <w:i/>
          <w:color w:val="000000" w:themeColor="text1"/>
          <w:sz w:val="24"/>
          <w:szCs w:val="24"/>
        </w:rPr>
        <w:t xml:space="preserve">HECHOS NEGATIVOS, NO SON SUSCEPTIBLES DE DEMOSTRACIÓN. </w:t>
      </w:r>
    </w:p>
    <w:p w:rsidR="00D223F2" w:rsidRPr="00EE4688" w:rsidRDefault="006E0471" w:rsidP="00E57590">
      <w:pPr>
        <w:spacing w:line="360"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Tratándose de un hecho negativo, el Juez no tiene por que invocar prueba alguna de la que se desprenda, ya que es bien sabido que esta clase de hechos no son susceptibles de demostración.</w:t>
      </w:r>
    </w:p>
    <w:p w:rsidR="00D223F2" w:rsidRPr="00EE4688" w:rsidRDefault="006E0471" w:rsidP="00E57590">
      <w:pPr>
        <w:spacing w:line="360"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Amparo en revisión 2022/61. José García Florín (Menor). 9 de octubre de 1961. Cinco votos. Ponente: José Rivera Pérez Campos.”</w:t>
      </w:r>
    </w:p>
    <w:p w:rsidR="00D223F2" w:rsidRPr="00EE4688" w:rsidRDefault="00D223F2" w:rsidP="00E57590">
      <w:pPr>
        <w:spacing w:line="360"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Además, y de conformidad con lo establecido en el artículo 12 de la </w:t>
      </w:r>
      <w:r w:rsidRPr="00EE4688">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EE4688">
        <w:rPr>
          <w:rFonts w:ascii="Palatino Linotype" w:eastAsia="Palatino Linotype" w:hAnsi="Palatino Linotype" w:cs="Palatino Linotype"/>
          <w:color w:val="000000" w:themeColor="text1"/>
          <w:sz w:val="24"/>
          <w:szCs w:val="24"/>
        </w:rPr>
        <w:t xml:space="preserve">, anteriormente invocado,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únicamente proporcionará la información que obra en sus archivos, lo que a</w:t>
      </w:r>
      <w:r w:rsidRPr="00EE4688">
        <w:rPr>
          <w:rFonts w:ascii="Palatino Linotype" w:eastAsia="Palatino Linotype" w:hAnsi="Palatino Linotype" w:cs="Palatino Linotype"/>
          <w:i/>
          <w:color w:val="000000" w:themeColor="text1"/>
          <w:sz w:val="24"/>
          <w:szCs w:val="24"/>
        </w:rPr>
        <w:t xml:space="preserve"> contrario sensu</w:t>
      </w:r>
      <w:r w:rsidRPr="00EE4688">
        <w:rPr>
          <w:rFonts w:ascii="Palatino Linotype" w:eastAsia="Palatino Linotype" w:hAnsi="Palatino Linotype" w:cs="Palatino Linotype"/>
          <w:color w:val="000000" w:themeColor="text1"/>
          <w:sz w:val="24"/>
          <w:szCs w:val="24"/>
        </w:rPr>
        <w:t xml:space="preserve"> significa que no se está obligado a proporcionar lo que no obre en sus archivos.</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 xml:space="preserve">En esa tesitura, se observa que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mediante el informe justificado modificó la respuesta inicial, pronunciándose respecto de la información faltante como un hecho negativo.</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Sirviendo de apoyo a lo anterior por analogía, el criterio 31-10 emitido por el ahora Instituto Nacional de Transparencia, Acceso a la Información y Protección de Datos Personales, que a la letra dice:</w:t>
      </w:r>
    </w:p>
    <w:p w:rsidR="00D223F2" w:rsidRPr="00EE4688" w:rsidRDefault="006E0471" w:rsidP="00E57590">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El Instituto Federal de Acceso a la Información y Protección de Datos </w:t>
      </w:r>
      <w:r w:rsidRPr="00EE4688">
        <w:rPr>
          <w:rFonts w:ascii="Palatino Linotype" w:eastAsia="Palatino Linotype" w:hAnsi="Palatino Linotype" w:cs="Palatino Linotype"/>
          <w:b/>
          <w:i/>
          <w:color w:val="000000" w:themeColor="text1"/>
          <w:sz w:val="24"/>
          <w:szCs w:val="24"/>
        </w:rPr>
        <w:t>no cuenta con facultades para pronunciarse respecto de la veracidad de los documentos proporcionados por los sujetos obligados.</w:t>
      </w:r>
      <w:r w:rsidRPr="00EE4688">
        <w:rPr>
          <w:rFonts w:ascii="Palatino Linotype" w:eastAsia="Palatino Linotype" w:hAnsi="Palatino Linotype" w:cs="Palatino Linotype"/>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EE4688">
        <w:rPr>
          <w:rFonts w:ascii="Palatino Linotype" w:eastAsia="Palatino Linotype" w:hAnsi="Palatino Linotype" w:cs="Palatino Linotype"/>
          <w:i/>
          <w:color w:val="000000" w:themeColor="text1"/>
          <w:sz w:val="24"/>
          <w:szCs w:val="24"/>
        </w:rPr>
        <w:lastRenderedPageBreak/>
        <w:t>Información Pública Gubernamental no se prevé una causal que permita al Instituto Federal de Acceso a la Información y Protección de Datos conocer, vía recurso revisión, al respecto.</w:t>
      </w: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Así mismo, la </w:t>
      </w:r>
      <w:r w:rsidRPr="00EE4688">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EE4688">
        <w:rPr>
          <w:rFonts w:ascii="Palatino Linotype" w:eastAsia="Palatino Linotype" w:hAnsi="Palatino Linotype" w:cs="Palatino Linotype"/>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223F2" w:rsidRPr="00EE4688" w:rsidRDefault="00D223F2" w:rsidP="00E5759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E4688">
        <w:rPr>
          <w:rFonts w:ascii="Palatino Linotype" w:eastAsia="Palatino Linotype" w:hAnsi="Palatino Linotype" w:cs="Palatino Linotype"/>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D223F2" w:rsidRPr="00EE4688" w:rsidRDefault="00D223F2" w:rsidP="00E57590">
      <w:pPr>
        <w:spacing w:line="360" w:lineRule="auto"/>
        <w:jc w:val="both"/>
        <w:rPr>
          <w:rFonts w:ascii="Palatino Linotype" w:eastAsia="Palatino Linotype" w:hAnsi="Palatino Linotype" w:cs="Palatino Linotype"/>
          <w:b/>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Numerales que compelen al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a apegarse en todo momento a los criterios ya expuestos, </w:t>
      </w:r>
      <w:r w:rsidR="0079450D" w:rsidRPr="00EE4688">
        <w:rPr>
          <w:rFonts w:ascii="Palatino Linotype" w:eastAsia="Palatino Linotype" w:hAnsi="Palatino Linotype" w:cs="Palatino Linotype"/>
          <w:color w:val="000000" w:themeColor="text1"/>
          <w:sz w:val="24"/>
          <w:szCs w:val="24"/>
        </w:rPr>
        <w:t>impidiendo</w:t>
      </w:r>
      <w:r w:rsidRPr="00EE4688">
        <w:rPr>
          <w:rFonts w:ascii="Palatino Linotype" w:eastAsia="Palatino Linotype" w:hAnsi="Palatino Linotype" w:cs="Palatino Linotype"/>
          <w:color w:val="000000" w:themeColor="text1"/>
          <w:sz w:val="24"/>
          <w:szCs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 xml:space="preserve">Finalmente, por lo que hace a </w:t>
      </w:r>
      <w:r w:rsidRPr="00EE4688">
        <w:rPr>
          <w:rFonts w:ascii="Palatino Linotype" w:eastAsia="Palatino Linotype" w:hAnsi="Palatino Linotype" w:cs="Palatino Linotype"/>
          <w:i/>
          <w:color w:val="000000" w:themeColor="text1"/>
          <w:sz w:val="24"/>
          <w:szCs w:val="24"/>
        </w:rPr>
        <w:t>… porque sabes que obligaron a los servidores públicos del ayuntamiento</w:t>
      </w:r>
      <w:r w:rsidRPr="00EE4688">
        <w:rPr>
          <w:rFonts w:ascii="Palatino Linotype" w:eastAsia="Palatino Linotype" w:hAnsi="Palatino Linotype" w:cs="Palatino Linotype"/>
          <w:color w:val="000000" w:themeColor="text1"/>
          <w:sz w:val="24"/>
          <w:szCs w:val="24"/>
        </w:rPr>
        <w:t>, no es posible atenderse, ya que se trata de manifestaciones subjetivas.</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Es por lo expuesto con antelación que, este Pleno advierte que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con la información enviada a través del informe de justificación, </w:t>
      </w:r>
      <w:r w:rsidRPr="00EE4688">
        <w:rPr>
          <w:rFonts w:ascii="Palatino Linotype" w:eastAsia="Palatino Linotype" w:hAnsi="Palatino Linotype" w:cs="Palatino Linotype"/>
          <w:b/>
          <w:color w:val="000000" w:themeColor="text1"/>
          <w:sz w:val="24"/>
          <w:szCs w:val="24"/>
        </w:rPr>
        <w:t>modifica</w:t>
      </w:r>
      <w:r w:rsidRPr="00EE4688">
        <w:rPr>
          <w:rFonts w:ascii="Palatino Linotype" w:eastAsia="Palatino Linotype" w:hAnsi="Palatino Linotype" w:cs="Palatino Linotype"/>
          <w:color w:val="000000" w:themeColor="text1"/>
          <w:sz w:val="24"/>
          <w:szCs w:val="24"/>
        </w:rPr>
        <w:t xml:space="preserve"> el acto que le dio origen al recurso de revisión, colmándose en su totalidad la solicitud de información</w:t>
      </w:r>
      <w:r w:rsidRPr="00EE4688">
        <w:rPr>
          <w:rFonts w:ascii="Palatino Linotype" w:eastAsia="Verdana" w:hAnsi="Palatino Linotype" w:cs="Verdana"/>
          <w:b/>
          <w:color w:val="000000" w:themeColor="text1"/>
          <w:sz w:val="24"/>
          <w:szCs w:val="24"/>
        </w:rPr>
        <w:t xml:space="preserve"> </w:t>
      </w:r>
      <w:r w:rsidRPr="00EE4688">
        <w:rPr>
          <w:rFonts w:ascii="Palatino Linotype" w:eastAsia="Palatino Linotype" w:hAnsi="Palatino Linotype" w:cs="Palatino Linotype"/>
          <w:b/>
          <w:color w:val="000000" w:themeColor="text1"/>
          <w:sz w:val="24"/>
          <w:szCs w:val="24"/>
        </w:rPr>
        <w:t> 01439/TOLUCA/IP/2025</w:t>
      </w:r>
      <w:r w:rsidRPr="00EE4688">
        <w:rPr>
          <w:rFonts w:ascii="Palatino Linotype" w:eastAsia="Palatino Linotype" w:hAnsi="Palatino Linotype" w:cs="Palatino Linotype"/>
          <w:color w:val="000000" w:themeColor="text1"/>
          <w:sz w:val="24"/>
          <w:szCs w:val="24"/>
        </w:rPr>
        <w:t xml:space="preserve"> , 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Dicho lo anterior este Órgano Resolutor arriba a la conclusión que, con la información proporcionada al momento de rendir el Informe Justificado correspondiente, se colma en su totalidad la solicitud</w:t>
      </w:r>
      <w:r w:rsidRPr="00EE4688">
        <w:rPr>
          <w:rFonts w:ascii="Palatino Linotype" w:eastAsia="Palatino Linotype" w:hAnsi="Palatino Linotype" w:cs="Palatino Linotype"/>
          <w:b/>
          <w:color w:val="000000" w:themeColor="text1"/>
          <w:sz w:val="24"/>
          <w:szCs w:val="24"/>
        </w:rPr>
        <w:t> 01439/TOLUCA/IP/2025.</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Es así que la ley prevé que cuando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E4688">
        <w:rPr>
          <w:rFonts w:ascii="Palatino Linotype" w:eastAsia="Palatino Linotype" w:hAnsi="Palatino Linotype" w:cs="Palatino Linotype"/>
          <w:i/>
          <w:color w:val="000000" w:themeColor="text1"/>
          <w:sz w:val="24"/>
          <w:szCs w:val="24"/>
        </w:rPr>
        <w:t>Litis</w:t>
      </w:r>
      <w:r w:rsidRPr="00EE4688">
        <w:rPr>
          <w:rFonts w:ascii="Palatino Linotype" w:eastAsia="Palatino Linotype" w:hAnsi="Palatino Linotype" w:cs="Palatino Linotype"/>
          <w:color w:val="000000" w:themeColor="text1"/>
          <w:sz w:val="24"/>
          <w:szCs w:val="24"/>
        </w:rPr>
        <w:t xml:space="preserve"> planteada, debido a que la afectación en su esfera de derechos fue restituida por la propia autoridad que emitió el acto motivo de impugnación.</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Sirve de sustento a lo anterior la siguiente jurisprudencia por contradicción, cuyo rubro, texto y datos de identificación son los siguientes:</w:t>
      </w:r>
    </w:p>
    <w:p w:rsidR="00D223F2" w:rsidRDefault="006E0471" w:rsidP="00E57590">
      <w:pPr>
        <w:spacing w:line="360" w:lineRule="auto"/>
        <w:jc w:val="both"/>
        <w:rPr>
          <w:rFonts w:ascii="Palatino Linotype" w:eastAsia="Palatino Linotype" w:hAnsi="Palatino Linotype" w:cs="Palatino Linotype"/>
          <w:i/>
          <w:color w:val="000000" w:themeColor="text1"/>
          <w:sz w:val="24"/>
          <w:szCs w:val="24"/>
        </w:rPr>
      </w:pPr>
      <w:r w:rsidRPr="00EE4688">
        <w:rPr>
          <w:rFonts w:ascii="Palatino Linotype" w:eastAsia="Palatino Linotype" w:hAnsi="Palatino Linotype" w:cs="Palatino Linotype"/>
          <w:b/>
          <w:i/>
          <w:color w:val="000000" w:themeColor="text1"/>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E4688">
        <w:rPr>
          <w:rFonts w:ascii="Palatino Linotype" w:eastAsia="Palatino Linotype" w:hAnsi="Palatino Linotype" w:cs="Palatino Linotype"/>
          <w:i/>
          <w:color w:val="000000" w:themeColor="text1"/>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74C4C" w:rsidRPr="00EE4688" w:rsidRDefault="00F74C4C" w:rsidP="00E57590">
      <w:pPr>
        <w:spacing w:line="360" w:lineRule="auto"/>
        <w:jc w:val="both"/>
        <w:rPr>
          <w:rFonts w:ascii="Palatino Linotype" w:eastAsia="Palatino Linotype" w:hAnsi="Palatino Linotype" w:cs="Palatino Linotype"/>
          <w:i/>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i/>
          <w:color w:val="000000" w:themeColor="text1"/>
          <w:sz w:val="24"/>
          <w:szCs w:val="24"/>
        </w:rPr>
        <w:t xml:space="preserve"> </w:t>
      </w:r>
      <w:r w:rsidRPr="00EE4688">
        <w:rPr>
          <w:rFonts w:ascii="Palatino Linotype" w:eastAsia="Palatino Linotype" w:hAnsi="Palatino Linotype" w:cs="Palatino Linotype"/>
          <w:color w:val="000000" w:themeColor="text1"/>
          <w:sz w:val="24"/>
          <w:szCs w:val="24"/>
        </w:rPr>
        <w:t>La anterior jurisprudencia resulta aplicable al presente asunto, en dos aspectos:</w:t>
      </w:r>
    </w:p>
    <w:p w:rsidR="00D223F2" w:rsidRPr="00EE4688" w:rsidRDefault="006E0471" w:rsidP="00640389">
      <w:pPr>
        <w:numPr>
          <w:ilvl w:val="0"/>
          <w:numId w:val="5"/>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La cesación de los efectos perniciosos del acto de autoridad:</w:t>
      </w:r>
      <w:r w:rsidRPr="00EE4688">
        <w:rPr>
          <w:rFonts w:ascii="Palatino Linotype" w:eastAsia="Palatino Linotype" w:hAnsi="Palatino Linotype" w:cs="Palatino Linotype"/>
          <w:color w:val="000000" w:themeColor="text1"/>
          <w:sz w:val="24"/>
          <w:szCs w:val="24"/>
        </w:rPr>
        <w:t xml:space="preserve"> Al respecto, la Ley de Transparencia contempla la figura jurídica del sobreseimiento cuando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w:t>
      </w:r>
      <w:r w:rsidRPr="00EE4688">
        <w:rPr>
          <w:rFonts w:ascii="Palatino Linotype" w:eastAsia="Palatino Linotype" w:hAnsi="Palatino Linotype" w:cs="Palatino Linotype"/>
          <w:color w:val="000000" w:themeColor="text1"/>
          <w:sz w:val="24"/>
          <w:szCs w:val="24"/>
        </w:rPr>
        <w:lastRenderedPageBreak/>
        <w:t xml:space="preserve">de </w:t>
      </w:r>
      <w:r w:rsidRPr="00EE4688">
        <w:rPr>
          <w:rFonts w:ascii="Palatino Linotype" w:eastAsia="Palatino Linotype" w:hAnsi="Palatino Linotype" w:cs="Palatino Linotype"/>
          <w:i/>
          <w:color w:val="000000" w:themeColor="text1"/>
          <w:sz w:val="24"/>
          <w:szCs w:val="24"/>
        </w:rPr>
        <w:t>motu proprio</w:t>
      </w:r>
      <w:r w:rsidRPr="00EE4688">
        <w:rPr>
          <w:rFonts w:ascii="Palatino Linotype" w:eastAsia="Palatino Linotype" w:hAnsi="Palatino Linotype" w:cs="Palatino Linotype"/>
          <w:color w:val="000000" w:themeColor="text1"/>
          <w:sz w:val="24"/>
          <w:szCs w:val="24"/>
        </w:rPr>
        <w:t xml:space="preserve"> modifica o revoca de tal manera el acto motivo de la impugnación que lo deja sin materia; es decir, cesan los efectos de éste y el derecho de acceso a la información pública se encuentra satisfecho.</w:t>
      </w:r>
    </w:p>
    <w:p w:rsidR="00D223F2" w:rsidRPr="00EE4688" w:rsidRDefault="006E0471" w:rsidP="00640389">
      <w:pPr>
        <w:numPr>
          <w:ilvl w:val="0"/>
          <w:numId w:val="5"/>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El momento procesal para modificar el acto impugnado:</w:t>
      </w:r>
      <w:r w:rsidRPr="00EE4688">
        <w:rPr>
          <w:rFonts w:ascii="Palatino Linotype" w:eastAsia="Palatino Linotype" w:hAnsi="Palatino Linotype" w:cs="Palatino Linotype"/>
          <w:color w:val="000000" w:themeColor="text1"/>
          <w:sz w:val="24"/>
          <w:szCs w:val="24"/>
        </w:rPr>
        <w:t xml:space="preserve"> Para que se actualice el sobreseimiento de un recurso de revisión,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puede entregar o completar la información al momento de rendir su informe de justificación o </w:t>
      </w:r>
      <w:r w:rsidRPr="00EE4688">
        <w:rPr>
          <w:rFonts w:ascii="Palatino Linotype" w:eastAsia="Palatino Linotype" w:hAnsi="Palatino Linotype" w:cs="Palatino Linotype"/>
          <w:b/>
          <w:color w:val="000000" w:themeColor="text1"/>
          <w:sz w:val="24"/>
          <w:szCs w:val="24"/>
          <w:u w:val="single"/>
        </w:rPr>
        <w:t>posteriormente</w:t>
      </w:r>
      <w:r w:rsidRPr="00EE4688">
        <w:rPr>
          <w:rFonts w:ascii="Palatino Linotype" w:eastAsia="Palatino Linotype" w:hAnsi="Palatino Linotype" w:cs="Palatino Linotype"/>
          <w:color w:val="000000" w:themeColor="text1"/>
          <w:sz w:val="24"/>
          <w:szCs w:val="24"/>
        </w:rPr>
        <w:t xml:space="preserve"> a éste, siempre y cuando el Pleno del Instituto no haya dictado resolución definitiva.</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Eduardo Pallares, en su artículo </w:t>
      </w:r>
      <w:r w:rsidRPr="00EE4688">
        <w:rPr>
          <w:rFonts w:ascii="Palatino Linotype" w:eastAsia="Palatino Linotype" w:hAnsi="Palatino Linotype" w:cs="Palatino Linotype"/>
          <w:i/>
          <w:color w:val="000000" w:themeColor="text1"/>
          <w:sz w:val="24"/>
          <w:szCs w:val="24"/>
        </w:rPr>
        <w:t>“La caducidad y el sobreseimiento en el amparo”</w:t>
      </w:r>
      <w:r w:rsidRPr="00EE4688">
        <w:rPr>
          <w:rFonts w:ascii="Palatino Linotype" w:eastAsia="Palatino Linotype" w:hAnsi="Palatino Linotype" w:cs="Palatino Linotype"/>
          <w:color w:val="000000" w:themeColor="text1"/>
          <w:sz w:val="24"/>
          <w:szCs w:val="24"/>
        </w:rPr>
        <w:t xml:space="preserve">, cita la definición de Aguilera Paz, aduciendo que se </w:t>
      </w:r>
      <w:r w:rsidRPr="00EE4688">
        <w:rPr>
          <w:rFonts w:ascii="Palatino Linotype" w:eastAsia="Palatino Linotype" w:hAnsi="Palatino Linotype" w:cs="Palatino Linotype"/>
          <w:i/>
          <w:color w:val="000000" w:themeColor="text1"/>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EE4688">
        <w:rPr>
          <w:rFonts w:ascii="Palatino Linotype" w:eastAsia="Palatino Linotype" w:hAnsi="Palatino Linotype" w:cs="Palatino Linotype"/>
          <w:color w:val="000000" w:themeColor="text1"/>
          <w:sz w:val="24"/>
          <w:szCs w:val="24"/>
        </w:rPr>
        <w:t>. Asimismo señala que existe el sobreseimiento provisional y el definitivo</w:t>
      </w:r>
      <w:r w:rsidRPr="00EE4688">
        <w:rPr>
          <w:rFonts w:ascii="Palatino Linotype" w:eastAsia="Palatino Linotype" w:hAnsi="Palatino Linotype" w:cs="Palatino Linotype"/>
          <w:i/>
          <w:color w:val="000000" w:themeColor="text1"/>
          <w:sz w:val="24"/>
          <w:szCs w:val="24"/>
        </w:rPr>
        <w:t>: “...el definitivo es una verdadera sentencia que pone fin al juicio, y que una vez dictada, produce cosa juzgada, mientras que el provisorio tiene por efectos suspender la prosecución de la causa...”</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Asimismo, para que se actualice el sobreseimiento de un recurso de revisión,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640389" w:rsidRPr="00EE4688" w:rsidRDefault="00640389" w:rsidP="00640389">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lastRenderedPageBreak/>
        <w:t xml:space="preserve">Bajo ese tenor, se colige que con la nueva información remitida por el </w:t>
      </w:r>
      <w:r w:rsidRPr="00EE4688">
        <w:rPr>
          <w:rFonts w:ascii="Palatino Linotype" w:eastAsia="Palatino Linotype" w:hAnsi="Palatino Linotype" w:cs="Palatino Linotype"/>
          <w:b/>
          <w:color w:val="000000" w:themeColor="text1"/>
          <w:sz w:val="24"/>
          <w:szCs w:val="24"/>
        </w:rPr>
        <w:t xml:space="preserve">SUJETO OBLIGADO, </w:t>
      </w:r>
      <w:r w:rsidRPr="00EE4688">
        <w:rPr>
          <w:rFonts w:ascii="Palatino Linotype" w:eastAsia="Palatino Linotype" w:hAnsi="Palatino Linotype" w:cs="Palatino Linotype"/>
          <w:color w:val="000000" w:themeColor="text1"/>
          <w:sz w:val="24"/>
          <w:szCs w:val="24"/>
        </w:rPr>
        <w:t>se colma la solicitud de información</w:t>
      </w:r>
      <w:r w:rsidRPr="00EE4688">
        <w:rPr>
          <w:rFonts w:ascii="Palatino Linotype" w:eastAsia="Palatino Linotype" w:hAnsi="Palatino Linotype" w:cs="Palatino Linotype"/>
          <w:b/>
          <w:color w:val="000000" w:themeColor="text1"/>
          <w:sz w:val="24"/>
          <w:szCs w:val="24"/>
        </w:rPr>
        <w:t xml:space="preserve"> 01439/TOLUCA/IP/2025, </w:t>
      </w:r>
      <w:r w:rsidRPr="00EE4688">
        <w:rPr>
          <w:rFonts w:ascii="Palatino Linotype" w:eastAsia="Palatino Linotype" w:hAnsi="Palatino Linotype" w:cs="Palatino Linotype"/>
          <w:color w:val="000000" w:themeColor="text1"/>
          <w:sz w:val="24"/>
          <w:szCs w:val="24"/>
        </w:rPr>
        <w:t xml:space="preserve">y consecuentemente, los motivos de inconformidad hechos valer por </w:t>
      </w:r>
      <w:r w:rsidRPr="00EE4688">
        <w:rPr>
          <w:rFonts w:ascii="Palatino Linotype" w:eastAsia="Palatino Linotype" w:hAnsi="Palatino Linotype" w:cs="Palatino Linotype"/>
          <w:b/>
          <w:color w:val="000000" w:themeColor="text1"/>
          <w:sz w:val="24"/>
          <w:szCs w:val="24"/>
        </w:rPr>
        <w:t>EL RECURRENTE,</w:t>
      </w:r>
      <w:r w:rsidRPr="00EE4688">
        <w:rPr>
          <w:rFonts w:ascii="Palatino Linotype" w:eastAsia="Palatino Linotype" w:hAnsi="Palatino Linotype" w:cs="Palatino Linotype"/>
          <w:color w:val="000000" w:themeColor="text1"/>
          <w:sz w:val="24"/>
          <w:szCs w:val="24"/>
        </w:rPr>
        <w:t xml:space="preserve"> devienen inatendibles por actualizarse la figura del sobreseimiento, al cumplimentarse su derecho de acceso a la información y al quedarse sin materia el presente recurso, por lo que, en términos del artículo 186 fracción I de la Ley de Transparencia y Acceso a la Información Pública del Estado de México y Municipios este Pleno determina el </w:t>
      </w:r>
      <w:r w:rsidRPr="00EE4688">
        <w:rPr>
          <w:rFonts w:ascii="Palatino Linotype" w:eastAsia="Palatino Linotype" w:hAnsi="Palatino Linotype" w:cs="Palatino Linotype"/>
          <w:b/>
          <w:color w:val="000000" w:themeColor="text1"/>
          <w:sz w:val="24"/>
          <w:szCs w:val="24"/>
        </w:rPr>
        <w:t xml:space="preserve">SOBRESEIMIENTO </w:t>
      </w:r>
      <w:r w:rsidRPr="00EE4688">
        <w:rPr>
          <w:rFonts w:ascii="Palatino Linotype" w:eastAsia="Palatino Linotype" w:hAnsi="Palatino Linotype" w:cs="Palatino Linotype"/>
          <w:color w:val="000000" w:themeColor="text1"/>
          <w:sz w:val="24"/>
          <w:szCs w:val="24"/>
        </w:rPr>
        <w:t>del presente recurso de revisión, toda vez que la afectación al derecho de acceso a la información pública establecido constitucionalmente a favor del particular, ha sido resarcida.</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color w:val="000000" w:themeColor="text1"/>
          <w:sz w:val="24"/>
          <w:szCs w:val="24"/>
        </w:rPr>
        <w:t xml:space="preserve">Por lo anteriormente expuesto y fundado, este </w:t>
      </w:r>
      <w:r w:rsidRPr="00EE4688">
        <w:rPr>
          <w:rFonts w:ascii="Palatino Linotype" w:eastAsia="Palatino Linotype" w:hAnsi="Palatino Linotype" w:cs="Palatino Linotype"/>
          <w:b/>
          <w:color w:val="000000" w:themeColor="text1"/>
          <w:sz w:val="24"/>
          <w:szCs w:val="24"/>
        </w:rPr>
        <w:t>ÓRGANO GARANTE</w:t>
      </w:r>
      <w:r w:rsidRPr="00EE4688">
        <w:rPr>
          <w:rFonts w:ascii="Palatino Linotype" w:eastAsia="Palatino Linotype" w:hAnsi="Palatino Linotype" w:cs="Palatino Linotype"/>
          <w:color w:val="000000" w:themeColor="text1"/>
          <w:sz w:val="24"/>
          <w:szCs w:val="24"/>
        </w:rPr>
        <w:t xml:space="preserve"> emite los siguientes:</w:t>
      </w:r>
    </w:p>
    <w:p w:rsidR="00D223F2" w:rsidRPr="00EE4688" w:rsidRDefault="00D223F2" w:rsidP="00E57590">
      <w:pPr>
        <w:spacing w:line="360" w:lineRule="auto"/>
        <w:jc w:val="both"/>
        <w:rPr>
          <w:rFonts w:ascii="Palatino Linotype" w:eastAsia="Palatino Linotype" w:hAnsi="Palatino Linotype" w:cs="Palatino Linotype"/>
          <w:color w:val="000000" w:themeColor="text1"/>
          <w:sz w:val="14"/>
          <w:szCs w:val="24"/>
        </w:rPr>
      </w:pPr>
    </w:p>
    <w:p w:rsidR="00D223F2" w:rsidRPr="00EE4688" w:rsidRDefault="006E0471" w:rsidP="00E57590">
      <w:pPr>
        <w:keepNext/>
        <w:keepLines/>
        <w:spacing w:line="360" w:lineRule="auto"/>
        <w:jc w:val="center"/>
        <w:rPr>
          <w:rFonts w:ascii="Palatino Linotype" w:eastAsia="Palatino Linotype" w:hAnsi="Palatino Linotype" w:cs="Palatino Linotype"/>
          <w:b/>
          <w:color w:val="000000" w:themeColor="text1"/>
          <w:sz w:val="24"/>
          <w:szCs w:val="24"/>
        </w:rPr>
      </w:pPr>
      <w:bookmarkStart w:id="6" w:name="_heading=h.lnxbz9" w:colFirst="0" w:colLast="0"/>
      <w:bookmarkEnd w:id="6"/>
      <w:r w:rsidRPr="00EE4688">
        <w:rPr>
          <w:rFonts w:ascii="Palatino Linotype" w:eastAsia="Palatino Linotype" w:hAnsi="Palatino Linotype" w:cs="Palatino Linotype"/>
          <w:b/>
          <w:color w:val="000000" w:themeColor="text1"/>
          <w:sz w:val="24"/>
          <w:szCs w:val="24"/>
        </w:rPr>
        <w:t>R E S O L U T I V O S</w:t>
      </w:r>
    </w:p>
    <w:p w:rsidR="00D223F2" w:rsidRPr="00EE4688" w:rsidRDefault="00D223F2" w:rsidP="00E57590">
      <w:pPr>
        <w:keepNext/>
        <w:keepLines/>
        <w:spacing w:line="360" w:lineRule="auto"/>
        <w:rPr>
          <w:rFonts w:ascii="Palatino Linotype" w:eastAsia="Palatino Linotype" w:hAnsi="Palatino Linotype" w:cs="Palatino Linotype"/>
          <w:b/>
          <w:color w:val="000000" w:themeColor="text1"/>
          <w:sz w:val="24"/>
          <w:szCs w:val="24"/>
        </w:rPr>
      </w:pPr>
    </w:p>
    <w:p w:rsidR="00D223F2" w:rsidRDefault="006E0471" w:rsidP="00E5759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 xml:space="preserve">PRIMERO. </w:t>
      </w:r>
      <w:r w:rsidRPr="00EE4688">
        <w:rPr>
          <w:rFonts w:ascii="Palatino Linotype" w:eastAsia="Palatino Linotype" w:hAnsi="Palatino Linotype" w:cs="Palatino Linotype"/>
          <w:color w:val="000000" w:themeColor="text1"/>
          <w:sz w:val="24"/>
          <w:szCs w:val="24"/>
        </w:rPr>
        <w:t xml:space="preserve">Se </w:t>
      </w:r>
      <w:r w:rsidRPr="00EE4688">
        <w:rPr>
          <w:rFonts w:ascii="Palatino Linotype" w:eastAsia="Palatino Linotype" w:hAnsi="Palatino Linotype" w:cs="Palatino Linotype"/>
          <w:b/>
          <w:color w:val="000000" w:themeColor="text1"/>
          <w:sz w:val="24"/>
          <w:szCs w:val="24"/>
        </w:rPr>
        <w:t>SOBRESEE</w:t>
      </w:r>
      <w:r w:rsidRPr="00EE4688">
        <w:rPr>
          <w:rFonts w:ascii="Palatino Linotype" w:eastAsia="Palatino Linotype" w:hAnsi="Palatino Linotype" w:cs="Palatino Linotype"/>
          <w:color w:val="000000" w:themeColor="text1"/>
          <w:sz w:val="24"/>
          <w:szCs w:val="24"/>
        </w:rPr>
        <w:t xml:space="preserve"> el Recurso de Revisión número </w:t>
      </w:r>
      <w:r w:rsidRPr="00EE4688">
        <w:rPr>
          <w:rFonts w:ascii="Palatino Linotype" w:eastAsia="Palatino Linotype" w:hAnsi="Palatino Linotype" w:cs="Palatino Linotype"/>
          <w:b/>
          <w:color w:val="000000" w:themeColor="text1"/>
          <w:sz w:val="24"/>
          <w:szCs w:val="24"/>
        </w:rPr>
        <w:t>04348/INFOEM/IP/RR/2025</w:t>
      </w:r>
      <w:r w:rsidRPr="00EE4688">
        <w:rPr>
          <w:rFonts w:ascii="Palatino Linotype" w:eastAsia="Palatino Linotype" w:hAnsi="Palatino Linotype" w:cs="Palatino Linotype"/>
          <w:color w:val="000000" w:themeColor="text1"/>
          <w:sz w:val="24"/>
          <w:szCs w:val="24"/>
        </w:rPr>
        <w:t xml:space="preserve">, conforme al artículo 192, fracción III, de la Ley de Transparencia y Acceso a la Información Pública del Estado de México y Municipios, porque al modificar la respuesta el </w:t>
      </w:r>
      <w:r w:rsidRPr="00EE4688">
        <w:rPr>
          <w:rFonts w:ascii="Palatino Linotype" w:eastAsia="Palatino Linotype" w:hAnsi="Palatino Linotype" w:cs="Palatino Linotype"/>
          <w:b/>
          <w:color w:val="000000" w:themeColor="text1"/>
          <w:sz w:val="24"/>
          <w:szCs w:val="24"/>
        </w:rPr>
        <w:t>SUJETO OBLIGADO</w:t>
      </w:r>
      <w:r w:rsidRPr="00EE4688">
        <w:rPr>
          <w:rFonts w:ascii="Palatino Linotype" w:eastAsia="Palatino Linotype" w:hAnsi="Palatino Linotype" w:cs="Palatino Linotype"/>
          <w:color w:val="000000" w:themeColor="text1"/>
          <w:sz w:val="24"/>
          <w:szCs w:val="24"/>
        </w:rPr>
        <w:t xml:space="preserve">, el recurso de revisión quedó sin materia en términos del  Considerando </w:t>
      </w:r>
      <w:r w:rsidRPr="00EE4688">
        <w:rPr>
          <w:rFonts w:ascii="Palatino Linotype" w:eastAsia="Palatino Linotype" w:hAnsi="Palatino Linotype" w:cs="Palatino Linotype"/>
          <w:b/>
          <w:color w:val="000000" w:themeColor="text1"/>
          <w:sz w:val="24"/>
          <w:szCs w:val="24"/>
        </w:rPr>
        <w:t>TERCERO</w:t>
      </w:r>
      <w:r w:rsidRPr="00EE4688">
        <w:rPr>
          <w:rFonts w:ascii="Palatino Linotype" w:eastAsia="Palatino Linotype" w:hAnsi="Palatino Linotype" w:cs="Palatino Linotype"/>
          <w:color w:val="000000" w:themeColor="text1"/>
          <w:sz w:val="24"/>
          <w:szCs w:val="24"/>
        </w:rPr>
        <w:t xml:space="preserve"> de la presente resolución.</w:t>
      </w:r>
    </w:p>
    <w:p w:rsidR="00F74C4C" w:rsidRPr="00EE4688" w:rsidRDefault="00F74C4C" w:rsidP="00E5759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D223F2" w:rsidRPr="00EE4688" w:rsidRDefault="006E0471" w:rsidP="00E5759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bookmarkStart w:id="7" w:name="_heading=h.35nkun2" w:colFirst="0" w:colLast="0"/>
      <w:bookmarkEnd w:id="7"/>
      <w:r w:rsidRPr="00EE4688">
        <w:rPr>
          <w:rFonts w:ascii="Palatino Linotype" w:eastAsia="Palatino Linotype" w:hAnsi="Palatino Linotype" w:cs="Palatino Linotype"/>
          <w:b/>
          <w:color w:val="000000" w:themeColor="text1"/>
          <w:sz w:val="24"/>
          <w:szCs w:val="24"/>
        </w:rPr>
        <w:lastRenderedPageBreak/>
        <w:t xml:space="preserve">SEGUNDO. Notifíquese </w:t>
      </w:r>
      <w:r w:rsidRPr="00EE4688">
        <w:rPr>
          <w:rFonts w:ascii="Palatino Linotype" w:eastAsia="Palatino Linotype" w:hAnsi="Palatino Linotype" w:cs="Palatino Linotype"/>
          <w:color w:val="000000" w:themeColor="text1"/>
          <w:sz w:val="24"/>
          <w:szCs w:val="24"/>
        </w:rPr>
        <w:t xml:space="preserve">a través del Sistema de Acceso a la Información Mexiquense </w:t>
      </w:r>
      <w:r w:rsidRPr="00EE4688">
        <w:rPr>
          <w:rFonts w:ascii="Palatino Linotype" w:eastAsia="Palatino Linotype" w:hAnsi="Palatino Linotype" w:cs="Palatino Linotype"/>
          <w:b/>
          <w:color w:val="000000" w:themeColor="text1"/>
          <w:sz w:val="24"/>
          <w:szCs w:val="24"/>
        </w:rPr>
        <w:t xml:space="preserve">(SAIMEX) </w:t>
      </w:r>
      <w:r w:rsidRPr="00EE4688">
        <w:rPr>
          <w:rFonts w:ascii="Palatino Linotype" w:eastAsia="Palatino Linotype" w:hAnsi="Palatino Linotype" w:cs="Palatino Linotype"/>
          <w:color w:val="000000" w:themeColor="text1"/>
          <w:sz w:val="24"/>
          <w:szCs w:val="24"/>
        </w:rPr>
        <w:t>la presente resolución al Titular de la Unidad de Transparencia del</w:t>
      </w:r>
      <w:r w:rsidRPr="00EE4688">
        <w:rPr>
          <w:rFonts w:ascii="Palatino Linotype" w:eastAsia="Palatino Linotype" w:hAnsi="Palatino Linotype" w:cs="Palatino Linotype"/>
          <w:b/>
          <w:color w:val="000000" w:themeColor="text1"/>
          <w:sz w:val="24"/>
          <w:szCs w:val="24"/>
        </w:rPr>
        <w:t xml:space="preserve"> SUJETO OBLIGADO. </w:t>
      </w:r>
    </w:p>
    <w:p w:rsidR="00D223F2" w:rsidRPr="00EE4688" w:rsidRDefault="00D223F2" w:rsidP="00E5759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D223F2" w:rsidRPr="00EE4688" w:rsidRDefault="006E0471" w:rsidP="00E5759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 xml:space="preserve">TERCERO. Notifíquese </w:t>
      </w:r>
      <w:r w:rsidRPr="00EE4688">
        <w:rPr>
          <w:rFonts w:ascii="Palatino Linotype" w:eastAsia="Palatino Linotype" w:hAnsi="Palatino Linotype" w:cs="Palatino Linotype"/>
          <w:color w:val="000000" w:themeColor="text1"/>
          <w:sz w:val="24"/>
          <w:szCs w:val="24"/>
        </w:rPr>
        <w:t xml:space="preserve">al </w:t>
      </w:r>
      <w:r w:rsidRPr="00EE4688">
        <w:rPr>
          <w:rFonts w:ascii="Palatino Linotype" w:eastAsia="Palatino Linotype" w:hAnsi="Palatino Linotype" w:cs="Palatino Linotype"/>
          <w:b/>
          <w:color w:val="000000" w:themeColor="text1"/>
          <w:sz w:val="24"/>
          <w:szCs w:val="24"/>
        </w:rPr>
        <w:t xml:space="preserve">RECURRENTE </w:t>
      </w:r>
      <w:r w:rsidRPr="00EE4688">
        <w:rPr>
          <w:rFonts w:ascii="Palatino Linotype" w:eastAsia="Palatino Linotype" w:hAnsi="Palatino Linotype" w:cs="Palatino Linotype"/>
          <w:color w:val="000000" w:themeColor="text1"/>
          <w:sz w:val="24"/>
          <w:szCs w:val="24"/>
        </w:rPr>
        <w:t>la presente resolución, vía SAIMEX.</w:t>
      </w:r>
    </w:p>
    <w:p w:rsidR="00D223F2" w:rsidRPr="00EE4688" w:rsidRDefault="00D223F2" w:rsidP="00E57590">
      <w:pPr>
        <w:tabs>
          <w:tab w:val="left" w:pos="8080"/>
        </w:tabs>
        <w:spacing w:line="360" w:lineRule="auto"/>
        <w:jc w:val="both"/>
        <w:rPr>
          <w:rFonts w:ascii="Palatino Linotype" w:eastAsia="Palatino Linotype" w:hAnsi="Palatino Linotype" w:cs="Palatino Linotype"/>
          <w:b/>
          <w:color w:val="000000" w:themeColor="text1"/>
          <w:sz w:val="24"/>
          <w:szCs w:val="24"/>
        </w:rPr>
      </w:pPr>
    </w:p>
    <w:p w:rsidR="00D223F2" w:rsidRPr="00EE4688" w:rsidRDefault="006E0471" w:rsidP="00E57590">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EE4688">
        <w:rPr>
          <w:rFonts w:ascii="Palatino Linotype" w:eastAsia="Palatino Linotype" w:hAnsi="Palatino Linotype" w:cs="Palatino Linotype"/>
          <w:b/>
          <w:color w:val="000000" w:themeColor="text1"/>
          <w:sz w:val="24"/>
          <w:szCs w:val="24"/>
        </w:rPr>
        <w:t>CUARTO.</w:t>
      </w:r>
      <w:r w:rsidRPr="00EE4688">
        <w:rPr>
          <w:rFonts w:ascii="Palatino Linotype" w:eastAsia="Palatino Linotype" w:hAnsi="Palatino Linotype" w:cs="Palatino Linotype"/>
          <w:color w:val="000000" w:themeColor="text1"/>
          <w:sz w:val="24"/>
          <w:szCs w:val="24"/>
        </w:rPr>
        <w:t xml:space="preserve"> Se hace del conocimiento del </w:t>
      </w:r>
      <w:r w:rsidRPr="00EE4688">
        <w:rPr>
          <w:rFonts w:ascii="Palatino Linotype" w:eastAsia="Palatino Linotype" w:hAnsi="Palatino Linotype" w:cs="Palatino Linotype"/>
          <w:b/>
          <w:color w:val="000000" w:themeColor="text1"/>
          <w:sz w:val="24"/>
          <w:szCs w:val="24"/>
        </w:rPr>
        <w:t xml:space="preserve">RECURRENTE </w:t>
      </w:r>
      <w:r w:rsidRPr="00EE4688">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E59AE" w:rsidRPr="00EE4688" w:rsidRDefault="005E59AE" w:rsidP="00E57590">
      <w:pPr>
        <w:shd w:val="clear" w:color="auto" w:fill="FFFFFF"/>
        <w:spacing w:line="360" w:lineRule="auto"/>
        <w:jc w:val="both"/>
        <w:rPr>
          <w:rFonts w:ascii="Palatino Linotype" w:eastAsia="Palatino Linotype" w:hAnsi="Palatino Linotype" w:cs="Palatino Linotype"/>
          <w:color w:val="000000" w:themeColor="text1"/>
          <w:sz w:val="24"/>
          <w:szCs w:val="24"/>
        </w:rPr>
      </w:pPr>
      <w:bookmarkStart w:id="8" w:name="_heading=h.4d34og8" w:colFirst="0" w:colLast="0"/>
      <w:bookmarkEnd w:id="8"/>
    </w:p>
    <w:p w:rsidR="005E59AE" w:rsidRPr="00444783" w:rsidRDefault="00EE4688" w:rsidP="005E59AE">
      <w:pPr>
        <w:tabs>
          <w:tab w:val="left" w:pos="5387"/>
        </w:tabs>
        <w:spacing w:line="360" w:lineRule="auto"/>
        <w:ind w:right="49"/>
        <w:jc w:val="both"/>
        <w:rPr>
          <w:rFonts w:ascii="Palatino Linotype" w:eastAsia="Palatino Linotype" w:hAnsi="Palatino Linotype" w:cs="Palatino Linotype"/>
          <w:sz w:val="24"/>
          <w:szCs w:val="24"/>
        </w:rPr>
      </w:pPr>
      <w:r w:rsidRPr="00EE468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TRIGÉSIMA TERCERA SESIÓN ORDINARIA, CELEBRADA EL DIECIOCHO (18) DE SEPTIEMBRE DE DOS MIL VEINTICINCO, ANTE EL SECRETARIO TÉCNICO DEL PLENO ALEXIS TAPIA RAMÍREZ</w:t>
      </w:r>
      <w:r w:rsidR="005E59AE" w:rsidRPr="00EE4688">
        <w:rPr>
          <w:rFonts w:ascii="Palatino Linotype" w:eastAsia="Palatino Linotype" w:hAnsi="Palatino Linotype" w:cs="Palatino Linotype"/>
          <w:sz w:val="24"/>
          <w:szCs w:val="24"/>
        </w:rPr>
        <w:t>.</w:t>
      </w:r>
    </w:p>
    <w:p w:rsidR="00D223F2" w:rsidRPr="007F7E8D" w:rsidRDefault="00D223F2" w:rsidP="00E57590">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D223F2" w:rsidRPr="007F7E8D" w:rsidRDefault="00D223F2" w:rsidP="00E57590">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D223F2" w:rsidRPr="007F7E8D" w:rsidRDefault="00D223F2" w:rsidP="00E57590">
      <w:pPr>
        <w:spacing w:line="360" w:lineRule="auto"/>
        <w:jc w:val="both"/>
        <w:rPr>
          <w:rFonts w:ascii="Palatino Linotype" w:eastAsia="Palatino Linotype" w:hAnsi="Palatino Linotype" w:cs="Palatino Linotype"/>
          <w:color w:val="000000" w:themeColor="text1"/>
          <w:sz w:val="24"/>
          <w:szCs w:val="24"/>
        </w:rPr>
      </w:pPr>
      <w:bookmarkStart w:id="9" w:name="_heading=h.2et92p0" w:colFirst="0" w:colLast="0"/>
      <w:bookmarkStart w:id="10" w:name="_heading=h.tyjcwt" w:colFirst="0" w:colLast="0"/>
      <w:bookmarkEnd w:id="9"/>
      <w:bookmarkEnd w:id="10"/>
    </w:p>
    <w:sectPr w:rsidR="00D223F2" w:rsidRPr="007F7E8D" w:rsidSect="00F74C4C">
      <w:headerReference w:type="even" r:id="rId10"/>
      <w:headerReference w:type="default" r:id="rId11"/>
      <w:footerReference w:type="even" r:id="rId12"/>
      <w:footerReference w:type="default" r:id="rId13"/>
      <w:headerReference w:type="first" r:id="rId14"/>
      <w:footerReference w:type="first" r:id="rId15"/>
      <w:pgSz w:w="12240" w:h="15840"/>
      <w:pgMar w:top="567" w:right="616" w:bottom="1418" w:left="1588" w:header="562"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D32" w:rsidRDefault="00886D32">
      <w:r>
        <w:separator/>
      </w:r>
    </w:p>
  </w:endnote>
  <w:endnote w:type="continuationSeparator" w:id="0">
    <w:p w:rsidR="00886D32" w:rsidRDefault="008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C4C" w:rsidRDefault="00F74C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2" w:rsidRDefault="00D223F2">
    <w:pPr>
      <w:pBdr>
        <w:top w:val="nil"/>
        <w:left w:val="nil"/>
        <w:bottom w:val="nil"/>
        <w:right w:val="nil"/>
        <w:between w:val="nil"/>
      </w:pBdr>
      <w:tabs>
        <w:tab w:val="center" w:pos="4419"/>
        <w:tab w:val="right" w:pos="8838"/>
      </w:tabs>
      <w:jc w:val="right"/>
      <w:rPr>
        <w:color w:val="000000"/>
      </w:rPr>
    </w:pPr>
  </w:p>
  <w:p w:rsidR="00D223F2" w:rsidRDefault="006E047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4C4C">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4C4C">
      <w:rPr>
        <w:b/>
        <w:noProof/>
        <w:color w:val="000000"/>
        <w:sz w:val="24"/>
        <w:szCs w:val="24"/>
      </w:rPr>
      <w:t>22</w:t>
    </w:r>
    <w:r>
      <w:rPr>
        <w:b/>
        <w:color w:val="000000"/>
        <w:sz w:val="24"/>
        <w:szCs w:val="24"/>
      </w:rPr>
      <w:fldChar w:fldCharType="end"/>
    </w:r>
  </w:p>
  <w:p w:rsidR="00D223F2" w:rsidRDefault="00D223F2">
    <w:pPr>
      <w:pBdr>
        <w:top w:val="nil"/>
        <w:left w:val="nil"/>
        <w:bottom w:val="nil"/>
        <w:right w:val="nil"/>
        <w:between w:val="nil"/>
      </w:pBdr>
      <w:tabs>
        <w:tab w:val="center" w:pos="4419"/>
        <w:tab w:val="right" w:pos="8838"/>
      </w:tabs>
      <w:rPr>
        <w:color w:val="000000"/>
      </w:rPr>
    </w:pPr>
  </w:p>
  <w:p w:rsidR="00D223F2" w:rsidRDefault="00D223F2"/>
  <w:p w:rsidR="00D223F2" w:rsidRDefault="00D223F2"/>
  <w:p w:rsidR="00D223F2" w:rsidRDefault="00D223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2" w:rsidRDefault="006E047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4C4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4C4C">
      <w:rPr>
        <w:b/>
        <w:noProof/>
        <w:color w:val="000000"/>
        <w:sz w:val="24"/>
        <w:szCs w:val="24"/>
      </w:rPr>
      <w:t>22</w:t>
    </w:r>
    <w:r>
      <w:rPr>
        <w:b/>
        <w:color w:val="000000"/>
        <w:sz w:val="24"/>
        <w:szCs w:val="24"/>
      </w:rPr>
      <w:fldChar w:fldCharType="end"/>
    </w:r>
  </w:p>
  <w:p w:rsidR="00D223F2" w:rsidRDefault="00D223F2">
    <w:pPr>
      <w:pBdr>
        <w:top w:val="nil"/>
        <w:left w:val="nil"/>
        <w:bottom w:val="nil"/>
        <w:right w:val="nil"/>
        <w:between w:val="nil"/>
      </w:pBdr>
      <w:tabs>
        <w:tab w:val="center" w:pos="4419"/>
        <w:tab w:val="right" w:pos="8838"/>
      </w:tabs>
      <w:rPr>
        <w:color w:val="000000"/>
      </w:rPr>
    </w:pPr>
  </w:p>
  <w:p w:rsidR="00D223F2" w:rsidRDefault="00D223F2"/>
  <w:p w:rsidR="00D223F2" w:rsidRDefault="00D223F2"/>
  <w:p w:rsidR="00D223F2" w:rsidRDefault="00D223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D32" w:rsidRDefault="00886D32">
      <w:r>
        <w:separator/>
      </w:r>
    </w:p>
  </w:footnote>
  <w:footnote w:type="continuationSeparator" w:id="0">
    <w:p w:rsidR="00886D32" w:rsidRDefault="0088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F2" w:rsidRDefault="00886D3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D223F2" w:rsidRDefault="00D223F2"/>
  <w:p w:rsidR="00D223F2" w:rsidRDefault="00D223F2"/>
  <w:p w:rsidR="00D223F2" w:rsidRDefault="00D223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09" w:type="dxa"/>
      <w:tblInd w:w="0" w:type="dxa"/>
      <w:tblLayout w:type="fixed"/>
      <w:tblLook w:val="0400" w:firstRow="0" w:lastRow="0" w:firstColumn="0" w:lastColumn="0" w:noHBand="0" w:noVBand="1"/>
    </w:tblPr>
    <w:tblGrid>
      <w:gridCol w:w="1887"/>
      <w:gridCol w:w="8422"/>
    </w:tblGrid>
    <w:tr w:rsidR="00D223F2" w:rsidTr="00640389">
      <w:trPr>
        <w:trHeight w:val="997"/>
      </w:trPr>
      <w:tc>
        <w:tcPr>
          <w:tcW w:w="1887" w:type="dxa"/>
          <w:shd w:val="clear" w:color="auto" w:fill="auto"/>
        </w:tcPr>
        <w:p w:rsidR="00D223F2" w:rsidRDefault="00D223F2" w:rsidP="00640389">
          <w:pPr>
            <w:tabs>
              <w:tab w:val="right" w:pos="4273"/>
            </w:tabs>
            <w:rPr>
              <w:rFonts w:ascii="Garamond" w:eastAsia="Garamond" w:hAnsi="Garamond" w:cs="Garamond"/>
              <w:sz w:val="16"/>
              <w:szCs w:val="16"/>
            </w:rPr>
          </w:pPr>
        </w:p>
      </w:tc>
      <w:tc>
        <w:tcPr>
          <w:tcW w:w="8422" w:type="dxa"/>
          <w:shd w:val="clear" w:color="auto" w:fill="auto"/>
        </w:tcPr>
        <w:tbl>
          <w:tblPr>
            <w:tblStyle w:val="a1"/>
            <w:tblW w:w="6961" w:type="dxa"/>
            <w:tblInd w:w="1635" w:type="dxa"/>
            <w:tblBorders>
              <w:top w:val="nil"/>
              <w:left w:val="nil"/>
              <w:bottom w:val="nil"/>
              <w:right w:val="nil"/>
              <w:insideH w:val="nil"/>
              <w:insideV w:val="nil"/>
            </w:tblBorders>
            <w:tblLayout w:type="fixed"/>
            <w:tblLook w:val="0400" w:firstRow="0" w:lastRow="0" w:firstColumn="0" w:lastColumn="0" w:noHBand="0" w:noVBand="1"/>
          </w:tblPr>
          <w:tblGrid>
            <w:gridCol w:w="2750"/>
            <w:gridCol w:w="4211"/>
          </w:tblGrid>
          <w:tr w:rsidR="00D223F2" w:rsidTr="00640389">
            <w:trPr>
              <w:trHeight w:val="235"/>
            </w:trPr>
            <w:tc>
              <w:tcPr>
                <w:tcW w:w="2750" w:type="dxa"/>
              </w:tcPr>
              <w:p w:rsidR="00D223F2" w:rsidRPr="007F7E8D" w:rsidRDefault="006E0471" w:rsidP="007F7E8D">
                <w:pPr>
                  <w:tabs>
                    <w:tab w:val="right" w:pos="8838"/>
                  </w:tabs>
                  <w:ind w:right="-105"/>
                  <w:rPr>
                    <w:rFonts w:ascii="Palatino Linotype" w:eastAsia="Palatino Linotype" w:hAnsi="Palatino Linotype" w:cs="Palatino Linotype"/>
                    <w:b/>
                    <w:sz w:val="24"/>
                    <w:szCs w:val="24"/>
                  </w:rPr>
                </w:pPr>
                <w:r w:rsidRPr="007F7E8D">
                  <w:rPr>
                    <w:rFonts w:ascii="Palatino Linotype" w:eastAsia="Palatino Linotype" w:hAnsi="Palatino Linotype" w:cs="Palatino Linotype"/>
                    <w:b/>
                    <w:sz w:val="24"/>
                    <w:szCs w:val="24"/>
                  </w:rPr>
                  <w:t>Recurso de Revisión:</w:t>
                </w:r>
              </w:p>
            </w:tc>
            <w:tc>
              <w:tcPr>
                <w:tcW w:w="4211" w:type="dxa"/>
              </w:tcPr>
              <w:p w:rsidR="00D223F2" w:rsidRPr="007F7E8D" w:rsidRDefault="006E0471" w:rsidP="007F7E8D">
                <w:pPr>
                  <w:tabs>
                    <w:tab w:val="right" w:pos="8838"/>
                  </w:tabs>
                  <w:ind w:right="-105"/>
                  <w:jc w:val="both"/>
                  <w:rPr>
                    <w:rFonts w:ascii="Palatino Linotype" w:eastAsia="Palatino Linotype" w:hAnsi="Palatino Linotype" w:cs="Palatino Linotype"/>
                    <w:sz w:val="24"/>
                    <w:szCs w:val="24"/>
                  </w:rPr>
                </w:pPr>
                <w:r w:rsidRPr="007F7E8D">
                  <w:rPr>
                    <w:rFonts w:ascii="Palatino Linotype" w:eastAsia="Palatino Linotype" w:hAnsi="Palatino Linotype" w:cs="Palatino Linotype"/>
                    <w:sz w:val="24"/>
                    <w:szCs w:val="24"/>
                  </w:rPr>
                  <w:t>04348/INFOEM/IP/RR/2025</w:t>
                </w:r>
              </w:p>
            </w:tc>
          </w:tr>
          <w:tr w:rsidR="00D223F2" w:rsidTr="00640389">
            <w:trPr>
              <w:trHeight w:val="196"/>
            </w:trPr>
            <w:tc>
              <w:tcPr>
                <w:tcW w:w="2750" w:type="dxa"/>
              </w:tcPr>
              <w:p w:rsidR="00D223F2" w:rsidRPr="007F7E8D" w:rsidRDefault="006E0471" w:rsidP="007F7E8D">
                <w:pPr>
                  <w:tabs>
                    <w:tab w:val="right" w:pos="8838"/>
                  </w:tabs>
                  <w:ind w:right="-105"/>
                  <w:rPr>
                    <w:rFonts w:ascii="Palatino Linotype" w:eastAsia="Palatino Linotype" w:hAnsi="Palatino Linotype" w:cs="Palatino Linotype"/>
                    <w:b/>
                    <w:sz w:val="24"/>
                    <w:szCs w:val="24"/>
                  </w:rPr>
                </w:pPr>
                <w:bookmarkStart w:id="11" w:name="_heading=h.in1u6pmqmnpr" w:colFirst="0" w:colLast="0"/>
                <w:bookmarkEnd w:id="11"/>
                <w:r w:rsidRPr="007F7E8D">
                  <w:rPr>
                    <w:rFonts w:ascii="Palatino Linotype" w:eastAsia="Palatino Linotype" w:hAnsi="Palatino Linotype" w:cs="Palatino Linotype"/>
                    <w:b/>
                    <w:sz w:val="24"/>
                    <w:szCs w:val="24"/>
                  </w:rPr>
                  <w:t>Sujeto Obligado:</w:t>
                </w:r>
              </w:p>
            </w:tc>
            <w:tc>
              <w:tcPr>
                <w:tcW w:w="4211" w:type="dxa"/>
              </w:tcPr>
              <w:p w:rsidR="00D223F2" w:rsidRPr="007F7E8D" w:rsidRDefault="006E0471" w:rsidP="007F7E8D">
                <w:pPr>
                  <w:tabs>
                    <w:tab w:val="left" w:pos="2834"/>
                    <w:tab w:val="right" w:pos="8838"/>
                  </w:tabs>
                  <w:ind w:right="-107"/>
                  <w:jc w:val="both"/>
                  <w:rPr>
                    <w:rFonts w:ascii="Palatino Linotype" w:eastAsia="Palatino Linotype" w:hAnsi="Palatino Linotype" w:cs="Palatino Linotype"/>
                    <w:color w:val="000000"/>
                    <w:sz w:val="24"/>
                    <w:szCs w:val="24"/>
                  </w:rPr>
                </w:pPr>
                <w:r w:rsidRPr="007F7E8D">
                  <w:rPr>
                    <w:rFonts w:ascii="Palatino Linotype" w:eastAsia="Palatino Linotype" w:hAnsi="Palatino Linotype" w:cs="Palatino Linotype"/>
                    <w:color w:val="000000"/>
                    <w:sz w:val="24"/>
                    <w:szCs w:val="24"/>
                  </w:rPr>
                  <w:t>Ayuntamiento de Toluca</w:t>
                </w:r>
              </w:p>
            </w:tc>
          </w:tr>
          <w:tr w:rsidR="00D223F2" w:rsidTr="00640389">
            <w:trPr>
              <w:trHeight w:val="196"/>
            </w:trPr>
            <w:tc>
              <w:tcPr>
                <w:tcW w:w="2750" w:type="dxa"/>
              </w:tcPr>
              <w:p w:rsidR="00D223F2" w:rsidRPr="007F7E8D" w:rsidRDefault="006E0471" w:rsidP="007F7E8D">
                <w:pPr>
                  <w:tabs>
                    <w:tab w:val="right" w:pos="8838"/>
                  </w:tabs>
                  <w:ind w:right="-105"/>
                  <w:rPr>
                    <w:rFonts w:ascii="Palatino Linotype" w:eastAsia="Palatino Linotype" w:hAnsi="Palatino Linotype" w:cs="Palatino Linotype"/>
                    <w:b/>
                    <w:sz w:val="24"/>
                    <w:szCs w:val="24"/>
                  </w:rPr>
                </w:pPr>
                <w:r w:rsidRPr="007F7E8D">
                  <w:rPr>
                    <w:rFonts w:ascii="Palatino Linotype" w:eastAsia="Palatino Linotype" w:hAnsi="Palatino Linotype" w:cs="Palatino Linotype"/>
                    <w:b/>
                    <w:sz w:val="24"/>
                    <w:szCs w:val="24"/>
                  </w:rPr>
                  <w:t>Comisionada Ponente:</w:t>
                </w:r>
              </w:p>
            </w:tc>
            <w:tc>
              <w:tcPr>
                <w:tcW w:w="4211" w:type="dxa"/>
              </w:tcPr>
              <w:p w:rsidR="00D223F2" w:rsidRPr="007F7E8D" w:rsidRDefault="006E0471" w:rsidP="007F7E8D">
                <w:pPr>
                  <w:tabs>
                    <w:tab w:val="right" w:pos="8838"/>
                  </w:tabs>
                  <w:ind w:right="-105"/>
                  <w:jc w:val="both"/>
                  <w:rPr>
                    <w:rFonts w:ascii="Palatino Linotype" w:eastAsia="Palatino Linotype" w:hAnsi="Palatino Linotype" w:cs="Palatino Linotype"/>
                    <w:sz w:val="24"/>
                    <w:szCs w:val="24"/>
                  </w:rPr>
                </w:pPr>
                <w:r w:rsidRPr="007F7E8D">
                  <w:rPr>
                    <w:rFonts w:ascii="Palatino Linotype" w:eastAsia="Palatino Linotype" w:hAnsi="Palatino Linotype" w:cs="Palatino Linotype"/>
                    <w:sz w:val="24"/>
                    <w:szCs w:val="24"/>
                  </w:rPr>
                  <w:t>María del Rosario Mejía Ayala</w:t>
                </w:r>
              </w:p>
            </w:tc>
          </w:tr>
        </w:tbl>
        <w:p w:rsidR="00D223F2" w:rsidRDefault="00D223F2">
          <w:pPr>
            <w:tabs>
              <w:tab w:val="right" w:pos="8838"/>
            </w:tabs>
            <w:ind w:left="-28"/>
            <w:jc w:val="both"/>
            <w:rPr>
              <w:rFonts w:ascii="Arial" w:eastAsia="Arial" w:hAnsi="Arial" w:cs="Arial"/>
              <w:b/>
              <w:sz w:val="22"/>
              <w:szCs w:val="22"/>
            </w:rPr>
          </w:pPr>
        </w:p>
      </w:tc>
    </w:tr>
  </w:tbl>
  <w:p w:rsidR="00D223F2" w:rsidRDefault="00886D3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2.05pt;margin-top:-145.6pt;width:663.5pt;height:12in;z-index:-251659776;mso-position-horizontal-relative:margin;mso-position-vertical-relative:margin">
          <v:imagedata r:id="rId1" o:title="image1"/>
          <w10:wrap anchorx="margin" anchory="margin"/>
        </v:shape>
      </w:pict>
    </w:r>
  </w:p>
  <w:p w:rsidR="00D223F2" w:rsidRDefault="00D223F2"/>
  <w:p w:rsidR="00D223F2" w:rsidRDefault="00D223F2"/>
  <w:p w:rsidR="00D223F2" w:rsidRDefault="00D223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632" w:type="dxa"/>
      <w:tblInd w:w="0" w:type="dxa"/>
      <w:tblLayout w:type="fixed"/>
      <w:tblLook w:val="0400" w:firstRow="0" w:lastRow="0" w:firstColumn="0" w:lastColumn="0" w:noHBand="0" w:noVBand="1"/>
    </w:tblPr>
    <w:tblGrid>
      <w:gridCol w:w="1560"/>
      <w:gridCol w:w="9072"/>
    </w:tblGrid>
    <w:tr w:rsidR="00D223F2" w:rsidTr="007F7E8D">
      <w:trPr>
        <w:trHeight w:val="1435"/>
      </w:trPr>
      <w:tc>
        <w:tcPr>
          <w:tcW w:w="1560" w:type="dxa"/>
          <w:shd w:val="clear" w:color="auto" w:fill="auto"/>
        </w:tcPr>
        <w:p w:rsidR="00D223F2" w:rsidRDefault="00D223F2">
          <w:pPr>
            <w:tabs>
              <w:tab w:val="right" w:pos="4273"/>
            </w:tabs>
            <w:rPr>
              <w:rFonts w:ascii="Garamond" w:eastAsia="Garamond" w:hAnsi="Garamond" w:cs="Garamond"/>
              <w:sz w:val="22"/>
              <w:szCs w:val="22"/>
            </w:rPr>
          </w:pPr>
        </w:p>
      </w:tc>
      <w:tc>
        <w:tcPr>
          <w:tcW w:w="9072" w:type="dxa"/>
          <w:shd w:val="clear" w:color="auto" w:fill="auto"/>
        </w:tcPr>
        <w:tbl>
          <w:tblPr>
            <w:tblStyle w:val="a3"/>
            <w:tblW w:w="9773" w:type="dxa"/>
            <w:tblInd w:w="2436" w:type="dxa"/>
            <w:tblBorders>
              <w:top w:val="nil"/>
              <w:left w:val="nil"/>
              <w:bottom w:val="nil"/>
              <w:right w:val="nil"/>
              <w:insideH w:val="nil"/>
              <w:insideV w:val="nil"/>
            </w:tblBorders>
            <w:tblLayout w:type="fixed"/>
            <w:tblLook w:val="0400" w:firstRow="0" w:lastRow="0" w:firstColumn="0" w:lastColumn="0" w:noHBand="0" w:noVBand="1"/>
          </w:tblPr>
          <w:tblGrid>
            <w:gridCol w:w="2683"/>
            <w:gridCol w:w="4111"/>
            <w:gridCol w:w="2979"/>
          </w:tblGrid>
          <w:tr w:rsidR="00D223F2" w:rsidTr="00640389">
            <w:trPr>
              <w:trHeight w:val="144"/>
            </w:trPr>
            <w:tc>
              <w:tcPr>
                <w:tcW w:w="2683" w:type="dxa"/>
              </w:tcPr>
              <w:p w:rsidR="00D223F2" w:rsidRPr="007F7E8D" w:rsidRDefault="006E0471" w:rsidP="007F7E8D">
                <w:pPr>
                  <w:tabs>
                    <w:tab w:val="right" w:pos="8838"/>
                  </w:tabs>
                  <w:ind w:left="-74" w:right="-105"/>
                  <w:rPr>
                    <w:rFonts w:ascii="Palatino Linotype" w:eastAsia="Palatino Linotype" w:hAnsi="Palatino Linotype" w:cs="Palatino Linotype"/>
                    <w:b/>
                    <w:color w:val="000000" w:themeColor="text1"/>
                    <w:sz w:val="24"/>
                    <w:szCs w:val="24"/>
                  </w:rPr>
                </w:pPr>
                <w:bookmarkStart w:id="12" w:name="_heading=h.1fu4tmeol5fy" w:colFirst="0" w:colLast="0"/>
                <w:bookmarkEnd w:id="12"/>
                <w:r w:rsidRPr="007F7E8D">
                  <w:rPr>
                    <w:rFonts w:ascii="Palatino Linotype" w:eastAsia="Palatino Linotype" w:hAnsi="Palatino Linotype" w:cs="Palatino Linotype"/>
                    <w:b/>
                    <w:color w:val="000000" w:themeColor="text1"/>
                    <w:sz w:val="24"/>
                    <w:szCs w:val="24"/>
                  </w:rPr>
                  <w:t>Recurso de Revisión:</w:t>
                </w:r>
              </w:p>
            </w:tc>
            <w:tc>
              <w:tcPr>
                <w:tcW w:w="4111" w:type="dxa"/>
              </w:tcPr>
              <w:p w:rsidR="00D223F2" w:rsidRPr="007F7E8D" w:rsidRDefault="006E0471" w:rsidP="007F7E8D">
                <w:pPr>
                  <w:tabs>
                    <w:tab w:val="right" w:pos="8838"/>
                  </w:tabs>
                  <w:ind w:left="-108" w:right="-105"/>
                  <w:jc w:val="both"/>
                  <w:rPr>
                    <w:rFonts w:ascii="Palatino Linotype" w:eastAsia="Palatino Linotype" w:hAnsi="Palatino Linotype" w:cs="Palatino Linotype"/>
                    <w:color w:val="000000" w:themeColor="text1"/>
                    <w:sz w:val="24"/>
                    <w:szCs w:val="24"/>
                  </w:rPr>
                </w:pPr>
                <w:r w:rsidRPr="007F7E8D">
                  <w:rPr>
                    <w:rFonts w:ascii="Palatino Linotype" w:eastAsia="Palatino Linotype" w:hAnsi="Palatino Linotype" w:cs="Palatino Linotype"/>
                    <w:color w:val="000000" w:themeColor="text1"/>
                    <w:sz w:val="24"/>
                    <w:szCs w:val="24"/>
                  </w:rPr>
                  <w:t> 04348/INFOEM/IP/RR/2025</w:t>
                </w:r>
              </w:p>
            </w:tc>
            <w:tc>
              <w:tcPr>
                <w:tcW w:w="2979" w:type="dxa"/>
              </w:tcPr>
              <w:p w:rsidR="00D223F2" w:rsidRDefault="00D223F2">
                <w:pPr>
                  <w:tabs>
                    <w:tab w:val="right" w:pos="8838"/>
                  </w:tabs>
                  <w:ind w:left="-74" w:right="-105"/>
                  <w:jc w:val="both"/>
                  <w:rPr>
                    <w:rFonts w:ascii="Palatino Linotype" w:eastAsia="Palatino Linotype" w:hAnsi="Palatino Linotype" w:cs="Palatino Linotype"/>
                    <w:sz w:val="22"/>
                    <w:szCs w:val="22"/>
                  </w:rPr>
                </w:pPr>
              </w:p>
            </w:tc>
          </w:tr>
          <w:tr w:rsidR="00D223F2" w:rsidTr="00640389">
            <w:trPr>
              <w:trHeight w:val="144"/>
            </w:trPr>
            <w:tc>
              <w:tcPr>
                <w:tcW w:w="2683" w:type="dxa"/>
              </w:tcPr>
              <w:p w:rsidR="00D223F2" w:rsidRPr="007F7E8D" w:rsidRDefault="006E0471" w:rsidP="007F7E8D">
                <w:pPr>
                  <w:tabs>
                    <w:tab w:val="right" w:pos="8838"/>
                  </w:tabs>
                  <w:ind w:left="-74" w:right="-105"/>
                  <w:rPr>
                    <w:rFonts w:ascii="Palatino Linotype" w:eastAsia="Palatino Linotype" w:hAnsi="Palatino Linotype" w:cs="Palatino Linotype"/>
                    <w:b/>
                    <w:color w:val="000000" w:themeColor="text1"/>
                    <w:sz w:val="24"/>
                    <w:szCs w:val="24"/>
                  </w:rPr>
                </w:pPr>
                <w:bookmarkStart w:id="13" w:name="_heading=h.vo87sb86moui" w:colFirst="0" w:colLast="0"/>
                <w:bookmarkEnd w:id="13"/>
                <w:r w:rsidRPr="007F7E8D">
                  <w:rPr>
                    <w:rFonts w:ascii="Palatino Linotype" w:eastAsia="Palatino Linotype" w:hAnsi="Palatino Linotype" w:cs="Palatino Linotype"/>
                    <w:b/>
                    <w:color w:val="000000" w:themeColor="text1"/>
                    <w:sz w:val="24"/>
                    <w:szCs w:val="24"/>
                  </w:rPr>
                  <w:t>Recurrente:</w:t>
                </w:r>
              </w:p>
            </w:tc>
            <w:tc>
              <w:tcPr>
                <w:tcW w:w="4111" w:type="dxa"/>
              </w:tcPr>
              <w:p w:rsidR="00D223F2" w:rsidRPr="007F7E8D" w:rsidRDefault="00D223F2" w:rsidP="007F7E8D">
                <w:pPr>
                  <w:tabs>
                    <w:tab w:val="left" w:pos="3122"/>
                    <w:tab w:val="right" w:pos="8838"/>
                  </w:tabs>
                  <w:ind w:left="-108" w:right="-105"/>
                  <w:jc w:val="both"/>
                  <w:rPr>
                    <w:rFonts w:ascii="Palatino Linotype" w:eastAsia="Palatino Linotype" w:hAnsi="Palatino Linotype" w:cs="Palatino Linotype"/>
                    <w:color w:val="000000" w:themeColor="text1"/>
                    <w:sz w:val="24"/>
                    <w:szCs w:val="24"/>
                  </w:rPr>
                </w:pPr>
              </w:p>
            </w:tc>
            <w:tc>
              <w:tcPr>
                <w:tcW w:w="2979" w:type="dxa"/>
              </w:tcPr>
              <w:p w:rsidR="00D223F2" w:rsidRDefault="00D223F2">
                <w:pPr>
                  <w:tabs>
                    <w:tab w:val="left" w:pos="3122"/>
                    <w:tab w:val="right" w:pos="8838"/>
                  </w:tabs>
                  <w:ind w:right="-105"/>
                  <w:jc w:val="both"/>
                  <w:rPr>
                    <w:rFonts w:ascii="Palatino Linotype" w:eastAsia="Palatino Linotype" w:hAnsi="Palatino Linotype" w:cs="Palatino Linotype"/>
                    <w:sz w:val="22"/>
                    <w:szCs w:val="22"/>
                  </w:rPr>
                </w:pPr>
              </w:p>
            </w:tc>
          </w:tr>
          <w:tr w:rsidR="00D223F2" w:rsidTr="00640389">
            <w:trPr>
              <w:trHeight w:val="283"/>
            </w:trPr>
            <w:tc>
              <w:tcPr>
                <w:tcW w:w="2683" w:type="dxa"/>
              </w:tcPr>
              <w:p w:rsidR="00D223F2" w:rsidRPr="007F7E8D" w:rsidRDefault="006E0471" w:rsidP="007F7E8D">
                <w:pPr>
                  <w:tabs>
                    <w:tab w:val="right" w:pos="8838"/>
                  </w:tabs>
                  <w:ind w:left="-74" w:right="-105"/>
                  <w:rPr>
                    <w:rFonts w:ascii="Palatino Linotype" w:eastAsia="Palatino Linotype" w:hAnsi="Palatino Linotype" w:cs="Palatino Linotype"/>
                    <w:b/>
                    <w:color w:val="000000" w:themeColor="text1"/>
                    <w:sz w:val="24"/>
                    <w:szCs w:val="24"/>
                  </w:rPr>
                </w:pPr>
                <w:r w:rsidRPr="007F7E8D">
                  <w:rPr>
                    <w:rFonts w:ascii="Palatino Linotype" w:eastAsia="Palatino Linotype" w:hAnsi="Palatino Linotype" w:cs="Palatino Linotype"/>
                    <w:b/>
                    <w:color w:val="000000" w:themeColor="text1"/>
                    <w:sz w:val="24"/>
                    <w:szCs w:val="24"/>
                  </w:rPr>
                  <w:t>Sujeto Obligado:</w:t>
                </w:r>
              </w:p>
            </w:tc>
            <w:tc>
              <w:tcPr>
                <w:tcW w:w="4111" w:type="dxa"/>
              </w:tcPr>
              <w:p w:rsidR="00D223F2" w:rsidRPr="007F7E8D" w:rsidRDefault="006E0471" w:rsidP="007F7E8D">
                <w:pPr>
                  <w:tabs>
                    <w:tab w:val="left" w:pos="2834"/>
                    <w:tab w:val="right" w:pos="8838"/>
                  </w:tabs>
                  <w:ind w:left="-108" w:right="-105"/>
                  <w:jc w:val="both"/>
                  <w:rPr>
                    <w:rFonts w:ascii="Palatino Linotype" w:eastAsia="Palatino Linotype" w:hAnsi="Palatino Linotype" w:cs="Palatino Linotype"/>
                    <w:color w:val="000000" w:themeColor="text1"/>
                    <w:sz w:val="24"/>
                    <w:szCs w:val="24"/>
                  </w:rPr>
                </w:pPr>
                <w:r w:rsidRPr="007F7E8D">
                  <w:rPr>
                    <w:rFonts w:ascii="Palatino Linotype" w:eastAsia="Palatino Linotype" w:hAnsi="Palatino Linotype" w:cs="Palatino Linotype"/>
                    <w:color w:val="000000" w:themeColor="text1"/>
                    <w:sz w:val="24"/>
                    <w:szCs w:val="24"/>
                  </w:rPr>
                  <w:t>Ayuntamiento de Toluca</w:t>
                </w:r>
              </w:p>
            </w:tc>
            <w:tc>
              <w:tcPr>
                <w:tcW w:w="2979" w:type="dxa"/>
              </w:tcPr>
              <w:p w:rsidR="00D223F2" w:rsidRDefault="00D223F2">
                <w:pPr>
                  <w:tabs>
                    <w:tab w:val="left" w:pos="2834"/>
                    <w:tab w:val="right" w:pos="8838"/>
                  </w:tabs>
                  <w:ind w:left="-74" w:right="-105"/>
                  <w:jc w:val="both"/>
                  <w:rPr>
                    <w:rFonts w:ascii="Palatino Linotype" w:eastAsia="Palatino Linotype" w:hAnsi="Palatino Linotype" w:cs="Palatino Linotype"/>
                    <w:b/>
                  </w:rPr>
                </w:pPr>
              </w:p>
            </w:tc>
          </w:tr>
          <w:tr w:rsidR="00D223F2" w:rsidTr="00640389">
            <w:trPr>
              <w:trHeight w:val="283"/>
            </w:trPr>
            <w:tc>
              <w:tcPr>
                <w:tcW w:w="2683" w:type="dxa"/>
              </w:tcPr>
              <w:p w:rsidR="00D223F2" w:rsidRPr="007F7E8D" w:rsidRDefault="006E0471" w:rsidP="007F7E8D">
                <w:pPr>
                  <w:tabs>
                    <w:tab w:val="right" w:pos="8838"/>
                  </w:tabs>
                  <w:ind w:left="-74" w:right="-105"/>
                  <w:rPr>
                    <w:rFonts w:ascii="Palatino Linotype" w:eastAsia="Palatino Linotype" w:hAnsi="Palatino Linotype" w:cs="Palatino Linotype"/>
                    <w:b/>
                    <w:color w:val="000000" w:themeColor="text1"/>
                    <w:sz w:val="24"/>
                    <w:szCs w:val="24"/>
                  </w:rPr>
                </w:pPr>
                <w:r w:rsidRPr="007F7E8D">
                  <w:rPr>
                    <w:rFonts w:ascii="Palatino Linotype" w:eastAsia="Palatino Linotype" w:hAnsi="Palatino Linotype" w:cs="Palatino Linotype"/>
                    <w:b/>
                    <w:color w:val="000000" w:themeColor="text1"/>
                    <w:sz w:val="24"/>
                    <w:szCs w:val="24"/>
                  </w:rPr>
                  <w:t>Comisionada Ponente:</w:t>
                </w:r>
              </w:p>
            </w:tc>
            <w:tc>
              <w:tcPr>
                <w:tcW w:w="4111" w:type="dxa"/>
              </w:tcPr>
              <w:p w:rsidR="00D223F2" w:rsidRPr="007F7E8D" w:rsidRDefault="006E0471" w:rsidP="007F7E8D">
                <w:pPr>
                  <w:tabs>
                    <w:tab w:val="right" w:pos="8838"/>
                  </w:tabs>
                  <w:ind w:left="-108" w:right="-105"/>
                  <w:jc w:val="both"/>
                  <w:rPr>
                    <w:rFonts w:ascii="Palatino Linotype" w:eastAsia="Palatino Linotype" w:hAnsi="Palatino Linotype" w:cs="Palatino Linotype"/>
                    <w:color w:val="000000" w:themeColor="text1"/>
                    <w:sz w:val="24"/>
                    <w:szCs w:val="24"/>
                  </w:rPr>
                </w:pPr>
                <w:r w:rsidRPr="007F7E8D">
                  <w:rPr>
                    <w:rFonts w:ascii="Palatino Linotype" w:eastAsia="Palatino Linotype" w:hAnsi="Palatino Linotype" w:cs="Palatino Linotype"/>
                    <w:color w:val="000000" w:themeColor="text1"/>
                    <w:sz w:val="24"/>
                    <w:szCs w:val="24"/>
                  </w:rPr>
                  <w:t>María del Rosario Mejía Ayala</w:t>
                </w:r>
              </w:p>
            </w:tc>
            <w:tc>
              <w:tcPr>
                <w:tcW w:w="2979" w:type="dxa"/>
              </w:tcPr>
              <w:p w:rsidR="00D223F2" w:rsidRDefault="00D223F2">
                <w:pPr>
                  <w:tabs>
                    <w:tab w:val="right" w:pos="8838"/>
                  </w:tabs>
                  <w:ind w:left="-74" w:right="-105"/>
                  <w:jc w:val="both"/>
                  <w:rPr>
                    <w:rFonts w:ascii="Palatino Linotype" w:eastAsia="Palatino Linotype" w:hAnsi="Palatino Linotype" w:cs="Palatino Linotype"/>
                    <w:b/>
                  </w:rPr>
                </w:pPr>
              </w:p>
            </w:tc>
          </w:tr>
        </w:tbl>
        <w:p w:rsidR="00D223F2" w:rsidRDefault="00D223F2">
          <w:pPr>
            <w:tabs>
              <w:tab w:val="right" w:pos="8838"/>
            </w:tabs>
            <w:ind w:left="-28"/>
            <w:jc w:val="both"/>
            <w:rPr>
              <w:rFonts w:ascii="Arial" w:eastAsia="Arial" w:hAnsi="Arial" w:cs="Arial"/>
              <w:b/>
              <w:sz w:val="22"/>
              <w:szCs w:val="22"/>
            </w:rPr>
          </w:pPr>
        </w:p>
      </w:tc>
    </w:tr>
  </w:tbl>
  <w:p w:rsidR="00D223F2" w:rsidRDefault="00886D32">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9.2pt;margin-top:-146.55pt;width:663.5pt;height:12in;z-index:-251658752;mso-position-horizontal-relative:margin;mso-position-vertical-relative:margin">
          <v:imagedata r:id="rId1" o:title="image1"/>
          <w10:wrap anchorx="margin" anchory="margin"/>
        </v:shape>
      </w:pict>
    </w:r>
  </w:p>
  <w:p w:rsidR="00D223F2" w:rsidRDefault="00D223F2"/>
  <w:p w:rsidR="00D223F2" w:rsidRDefault="00D223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883"/>
    <w:multiLevelType w:val="multilevel"/>
    <w:tmpl w:val="CE52CEEE"/>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0540245E"/>
    <w:multiLevelType w:val="multilevel"/>
    <w:tmpl w:val="B28EA6F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BD21F14"/>
    <w:multiLevelType w:val="multilevel"/>
    <w:tmpl w:val="EA0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D04058"/>
    <w:multiLevelType w:val="multilevel"/>
    <w:tmpl w:val="6C2A0B0C"/>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7D2017"/>
    <w:multiLevelType w:val="multilevel"/>
    <w:tmpl w:val="92EA887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596B45"/>
    <w:multiLevelType w:val="multilevel"/>
    <w:tmpl w:val="2096A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D52DBD"/>
    <w:multiLevelType w:val="hybridMultilevel"/>
    <w:tmpl w:val="DE96CEF0"/>
    <w:lvl w:ilvl="0" w:tplc="A7A27EA4">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042B13"/>
    <w:multiLevelType w:val="multilevel"/>
    <w:tmpl w:val="539866C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7C9A0546"/>
    <w:multiLevelType w:val="multilevel"/>
    <w:tmpl w:val="1E02A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0"/>
  </w:num>
  <w:num w:numId="4">
    <w:abstractNumId w:val="3"/>
  </w:num>
  <w:num w:numId="5">
    <w:abstractNumId w:val="1"/>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F2"/>
    <w:rsid w:val="004A3C3F"/>
    <w:rsid w:val="005B3CEB"/>
    <w:rsid w:val="005E59AE"/>
    <w:rsid w:val="0061021C"/>
    <w:rsid w:val="00640389"/>
    <w:rsid w:val="006E0471"/>
    <w:rsid w:val="007772D4"/>
    <w:rsid w:val="0079450D"/>
    <w:rsid w:val="007F7E8D"/>
    <w:rsid w:val="00886D32"/>
    <w:rsid w:val="00CC2EE3"/>
    <w:rsid w:val="00D223F2"/>
    <w:rsid w:val="00E57590"/>
    <w:rsid w:val="00EE4688"/>
    <w:rsid w:val="00F74C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DF0AC1-8B13-4208-9FBA-9F92448B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pPr>
      <w:keepNext/>
      <w:keepLines/>
      <w:spacing w:before="40"/>
      <w:outlineLvl w:val="3"/>
    </w:pPr>
    <w:rPr>
      <w:rFonts w:ascii="Calibri" w:eastAsia="Calibri" w:hAnsi="Calibri" w:cs="Calibri"/>
      <w:i/>
      <w:color w:val="2F5496"/>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next w:val="Normal"/>
    <w:uiPriority w:val="39"/>
    <w:unhideWhenUsed/>
    <w:qFormat/>
    <w:rsid w:val="008E6432"/>
    <w:pPr>
      <w:spacing w:line="259" w:lineRule="auto"/>
    </w:pPr>
    <w:rPr>
      <w:rFonts w:ascii="Palatino Linotype" w:hAnsi="Palatino Linotype"/>
      <w:b/>
      <w:sz w:val="24"/>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rPr>
  </w:style>
  <w:style w:type="paragraph" w:styleId="Continuarlista">
    <w:name w:val="List Continue"/>
    <w:basedOn w:val="Normal"/>
    <w:uiPriority w:val="99"/>
    <w:unhideWhenUsed/>
    <w:rsid w:val="006B2A7B"/>
    <w:pPr>
      <w:spacing w:after="120"/>
      <w:ind w:left="283"/>
      <w:contextualSpacing/>
    </w:pPr>
    <w:rPr>
      <w:sz w:val="24"/>
      <w:szCs w:val="24"/>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819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28197.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jQyDg3Lyo3KlcSIvqveWqFvUw==">CgMxLjAyDmgucndrb3ZycXc5NTRyMghoLmdqZGd4czIJaC4zMGowemxsMgloLjFmb2I5dGUyCWguM3pueXNoNzIIaC5sbnhiejkyCWguMzVua3VuMjIJaC40ZDM0b2c4MghoLnR5amN3dDIJaC4yZXQ5MnAwMghoLnR5amN3dDIOaC5pbjF1NnBtcW1ucHIyDmguMWZ1NHRtZW9sNWZ5Mg5oLnZvODdzYjg2bW91aTgAciExMFZSRlU5SnY1UjNURkVyRS1mcmVaLUVIajFwOU1CT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4932</Words>
  <Characters>27131</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7</cp:revision>
  <cp:lastPrinted>2025-09-19T15:54:00Z</cp:lastPrinted>
  <dcterms:created xsi:type="dcterms:W3CDTF">2025-09-12T04:53:00Z</dcterms:created>
  <dcterms:modified xsi:type="dcterms:W3CDTF">2025-10-07T22:45:00Z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