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BB" w:rsidRDefault="00E67BBB">
      <w:pPr>
        <w:widowControl w:val="0"/>
        <w:pBdr>
          <w:top w:val="nil"/>
          <w:left w:val="nil"/>
          <w:bottom w:val="nil"/>
          <w:right w:val="nil"/>
          <w:between w:val="nil"/>
        </w:pBdr>
        <w:spacing w:line="276" w:lineRule="auto"/>
      </w:pPr>
    </w:p>
    <w:p w:rsidR="00E67BBB" w:rsidRPr="00E57920" w:rsidRDefault="00E67126">
      <w:pPr>
        <w:tabs>
          <w:tab w:val="left" w:pos="3465"/>
        </w:tabs>
        <w:spacing w:line="360" w:lineRule="auto"/>
        <w:ind w:right="-697"/>
        <w:jc w:val="both"/>
        <w:rPr>
          <w:rFonts w:ascii="Palatino Linotype" w:eastAsia="Palatino Linotype" w:hAnsi="Palatino Linotype" w:cs="Palatino Linotype"/>
        </w:rPr>
      </w:pPr>
      <w:r w:rsidRPr="00E57920">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febrero de dos mil veinticinco.</w:t>
      </w:r>
    </w:p>
    <w:p w:rsidR="00E67BBB" w:rsidRPr="00E57920" w:rsidRDefault="00E67BBB">
      <w:pPr>
        <w:tabs>
          <w:tab w:val="left" w:pos="3465"/>
        </w:tabs>
        <w:spacing w:line="360" w:lineRule="auto"/>
        <w:ind w:right="-697"/>
        <w:jc w:val="both"/>
        <w:rPr>
          <w:rFonts w:ascii="Palatino Linotype" w:eastAsia="Palatino Linotype" w:hAnsi="Palatino Linotype" w:cs="Palatino Linotype"/>
        </w:rPr>
      </w:pPr>
    </w:p>
    <w:p w:rsidR="00E67BBB" w:rsidRPr="00E57920" w:rsidRDefault="00E67126">
      <w:pPr>
        <w:spacing w:line="360" w:lineRule="auto"/>
        <w:ind w:right="-697"/>
        <w:jc w:val="both"/>
        <w:rPr>
          <w:rFonts w:ascii="Palatino Linotype" w:eastAsia="Palatino Linotype" w:hAnsi="Palatino Linotype" w:cs="Palatino Linotype"/>
        </w:rPr>
      </w:pPr>
      <w:r w:rsidRPr="00E57920">
        <w:rPr>
          <w:rFonts w:ascii="Palatino Linotype" w:eastAsia="Palatino Linotype" w:hAnsi="Palatino Linotype" w:cs="Palatino Linotype"/>
          <w:b/>
        </w:rPr>
        <w:t xml:space="preserve">VISTAS </w:t>
      </w:r>
      <w:r w:rsidRPr="00E57920">
        <w:rPr>
          <w:rFonts w:ascii="Palatino Linotype" w:eastAsia="Palatino Linotype" w:hAnsi="Palatino Linotype" w:cs="Palatino Linotype"/>
        </w:rPr>
        <w:t xml:space="preserve">las constancias para resolver el recurso de revisión </w:t>
      </w:r>
      <w:r w:rsidR="00E5239E" w:rsidRPr="00E57920">
        <w:rPr>
          <w:rFonts w:ascii="Palatino Linotype" w:eastAsia="Palatino Linotype" w:hAnsi="Palatino Linotype" w:cs="Palatino Linotype"/>
          <w:b/>
          <w:color w:val="000000"/>
          <w:sz w:val="22"/>
          <w:szCs w:val="22"/>
        </w:rPr>
        <w:t>03408/INFOEM/IP/RR/2024</w:t>
      </w:r>
      <w:r w:rsidR="00E5239E" w:rsidRPr="00E57920">
        <w:rPr>
          <w:rFonts w:ascii="Palatino Linotype" w:eastAsia="Palatino Linotype" w:hAnsi="Palatino Linotype" w:cs="Palatino Linotype"/>
          <w:color w:val="000000"/>
          <w:sz w:val="22"/>
          <w:szCs w:val="22"/>
        </w:rPr>
        <w:t xml:space="preserve">, </w:t>
      </w:r>
      <w:r w:rsidRPr="00E57920">
        <w:rPr>
          <w:rFonts w:ascii="Palatino Linotype" w:eastAsia="Palatino Linotype" w:hAnsi="Palatino Linotype" w:cs="Palatino Linotype"/>
        </w:rPr>
        <w:t xml:space="preserve">presentado por </w:t>
      </w:r>
      <w:r w:rsidR="005F2177">
        <w:rPr>
          <w:rFonts w:ascii="Palatino Linotype" w:eastAsia="Palatino Linotype" w:hAnsi="Palatino Linotype" w:cs="Palatino Linotype"/>
          <w:color w:val="000000"/>
          <w:sz w:val="22"/>
          <w:szCs w:val="22"/>
        </w:rPr>
        <w:t>XXXXXXXXX</w:t>
      </w:r>
      <w:r w:rsidR="00E5239E" w:rsidRPr="00E57920">
        <w:rPr>
          <w:rFonts w:ascii="Palatino Linotype" w:eastAsia="Palatino Linotype" w:hAnsi="Palatino Linotype" w:cs="Palatino Linotype"/>
          <w:color w:val="000000"/>
          <w:sz w:val="22"/>
          <w:szCs w:val="22"/>
        </w:rPr>
        <w:t>,</w:t>
      </w:r>
      <w:r w:rsidR="00E5239E" w:rsidRPr="00E57920">
        <w:rPr>
          <w:rFonts w:ascii="Palatino Linotype" w:eastAsia="Palatino Linotype" w:hAnsi="Palatino Linotype" w:cs="Palatino Linotype"/>
        </w:rPr>
        <w:t xml:space="preserve"> </w:t>
      </w:r>
      <w:r w:rsidRPr="00E57920">
        <w:rPr>
          <w:rFonts w:ascii="Palatino Linotype" w:eastAsia="Palatino Linotype" w:hAnsi="Palatino Linotype" w:cs="Palatino Linotype"/>
        </w:rPr>
        <w:t xml:space="preserve">a quien en lo sucesivo llamaremos  </w:t>
      </w:r>
      <w:r w:rsidRPr="00E57920">
        <w:rPr>
          <w:rFonts w:ascii="Palatino Linotype" w:eastAsia="Palatino Linotype" w:hAnsi="Palatino Linotype" w:cs="Palatino Linotype"/>
          <w:b/>
        </w:rPr>
        <w:t>EL RECURRENTE o PARTICULAR</w:t>
      </w:r>
      <w:r w:rsidRPr="00E57920">
        <w:rPr>
          <w:rFonts w:ascii="Palatino Linotype" w:eastAsia="Palatino Linotype" w:hAnsi="Palatino Linotype" w:cs="Palatino Linotype"/>
        </w:rPr>
        <w:t xml:space="preserve">, en contra de la respuesta otorgada a la solicitud de información con número de folio </w:t>
      </w:r>
      <w:r w:rsidRPr="00E57920">
        <w:rPr>
          <w:rFonts w:ascii="Palatino Linotype" w:eastAsia="Palatino Linotype" w:hAnsi="Palatino Linotype" w:cs="Palatino Linotype"/>
          <w:b/>
        </w:rPr>
        <w:t>00392/ISEM/IP/2024</w:t>
      </w:r>
      <w:r w:rsidRPr="00E57920">
        <w:rPr>
          <w:rFonts w:ascii="Palatino Linotype" w:eastAsia="Palatino Linotype" w:hAnsi="Palatino Linotype" w:cs="Palatino Linotype"/>
        </w:rPr>
        <w:t xml:space="preserve">, por parte del </w:t>
      </w:r>
      <w:r w:rsidRPr="00E57920">
        <w:rPr>
          <w:rFonts w:ascii="Palatino Linotype" w:eastAsia="Palatino Linotype" w:hAnsi="Palatino Linotype" w:cs="Palatino Linotype"/>
          <w:b/>
        </w:rPr>
        <w:t xml:space="preserve">Instituto de Salud del Estado de México, </w:t>
      </w:r>
      <w:r w:rsidRPr="00E57920">
        <w:rPr>
          <w:rFonts w:ascii="Palatino Linotype" w:eastAsia="Palatino Linotype" w:hAnsi="Palatino Linotype" w:cs="Palatino Linotype"/>
        </w:rPr>
        <w:t xml:space="preserve">en adelante el </w:t>
      </w:r>
      <w:r w:rsidRPr="00E57920">
        <w:rPr>
          <w:rFonts w:ascii="Palatino Linotype" w:eastAsia="Palatino Linotype" w:hAnsi="Palatino Linotype" w:cs="Palatino Linotype"/>
          <w:b/>
        </w:rPr>
        <w:t>SUJETO OBLIGADO,</w:t>
      </w:r>
      <w:r w:rsidRPr="00E57920">
        <w:rPr>
          <w:rFonts w:ascii="Palatino Linotype" w:eastAsia="Palatino Linotype" w:hAnsi="Palatino Linotype" w:cs="Palatino Linotype"/>
        </w:rPr>
        <w:t xml:space="preserve"> se emite la presente resolución con base en los siguientes:</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pStyle w:val="Ttulo1"/>
        <w:spacing w:before="0" w:line="360" w:lineRule="auto"/>
        <w:ind w:right="-697"/>
        <w:jc w:val="center"/>
        <w:rPr>
          <w:rFonts w:ascii="Palatino Linotype" w:eastAsia="Palatino Linotype" w:hAnsi="Palatino Linotype" w:cs="Palatino Linotype"/>
          <w:b/>
          <w:color w:val="000000"/>
          <w:sz w:val="24"/>
          <w:szCs w:val="24"/>
        </w:rPr>
      </w:pPr>
      <w:bookmarkStart w:id="0" w:name="_heading=h.gjdgxs" w:colFirst="0" w:colLast="0"/>
      <w:bookmarkEnd w:id="0"/>
      <w:r w:rsidRPr="00E57920">
        <w:rPr>
          <w:rFonts w:ascii="Palatino Linotype" w:eastAsia="Palatino Linotype" w:hAnsi="Palatino Linotype" w:cs="Palatino Linotype"/>
          <w:b/>
          <w:color w:val="000000"/>
          <w:sz w:val="24"/>
          <w:szCs w:val="24"/>
        </w:rPr>
        <w:t>A N T E C  E D E N T E S</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u w:val="single"/>
        </w:rPr>
      </w:pPr>
    </w:p>
    <w:p w:rsidR="00E67BBB" w:rsidRPr="00E57920" w:rsidRDefault="00E67126">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E57920">
        <w:rPr>
          <w:rFonts w:ascii="Palatino Linotype" w:eastAsia="Palatino Linotype" w:hAnsi="Palatino Linotype" w:cs="Palatino Linotype"/>
          <w:color w:val="000000"/>
        </w:rPr>
        <w:t>El día</w:t>
      </w:r>
      <w:r w:rsidRPr="00E57920">
        <w:rPr>
          <w:rFonts w:ascii="Palatino Linotype" w:eastAsia="Palatino Linotype" w:hAnsi="Palatino Linotype" w:cs="Palatino Linotype"/>
          <w:b/>
          <w:color w:val="000000"/>
        </w:rPr>
        <w:t xml:space="preserve"> nueve de mayo de dos mil veinticuatro</w:t>
      </w:r>
      <w:r w:rsidRPr="00E57920">
        <w:rPr>
          <w:rFonts w:ascii="Palatino Linotype" w:eastAsia="Palatino Linotype" w:hAnsi="Palatino Linotype" w:cs="Palatino Linotype"/>
          <w:color w:val="000000"/>
        </w:rPr>
        <w:t>,</w:t>
      </w:r>
      <w:r w:rsidRPr="00E57920">
        <w:rPr>
          <w:rFonts w:ascii="Palatino Linotype" w:eastAsia="Palatino Linotype" w:hAnsi="Palatino Linotype" w:cs="Palatino Linotype"/>
          <w:b/>
          <w:color w:val="000000"/>
        </w:rPr>
        <w:t xml:space="preserve"> </w:t>
      </w:r>
      <w:r w:rsidRPr="00E57920">
        <w:rPr>
          <w:rFonts w:ascii="Palatino Linotype" w:eastAsia="Palatino Linotype" w:hAnsi="Palatino Linotype" w:cs="Palatino Linotype"/>
          <w:color w:val="000000"/>
        </w:rPr>
        <w:t>se presentó ante el Sujeto Obligado vía Plataforma Nacional de Transparencia (PNT) y Sistema de Acceso a la Información Mexiquense, en adelante (SAIMEX), la siguiente solicitud de información pública:</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E67BBB" w:rsidRPr="00E57920" w:rsidRDefault="00E67126">
      <w:pPr>
        <w:pBdr>
          <w:top w:val="nil"/>
          <w:left w:val="nil"/>
          <w:bottom w:val="nil"/>
          <w:right w:val="nil"/>
          <w:between w:val="nil"/>
        </w:pBdr>
        <w:spacing w:line="360" w:lineRule="auto"/>
        <w:ind w:left="426" w:right="-697"/>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rPr>
        <w:t xml:space="preserve">“Se </w:t>
      </w:r>
      <w:bookmarkStart w:id="1" w:name="_GoBack"/>
      <w:r w:rsidRPr="00E57920">
        <w:rPr>
          <w:rFonts w:ascii="Palatino Linotype" w:eastAsia="Palatino Linotype" w:hAnsi="Palatino Linotype" w:cs="Palatino Linotype"/>
          <w:i/>
          <w:color w:val="000000"/>
        </w:rPr>
        <w:t>solicita al Instituto se informe por medio de su oficina regional en Tlalnepantla de Baz cual es el resultado de la visita de verificación programada con el folio de respuesta 208C0101210000L/0200/2024 al establecimiento denominado Abarrotes la Explanada ubicado en la explanada de la unidad habitacional el Tenayo en Tlalnepantla de Baz. Nombre del establecimiento: Abarrotes la Explanada. Propietario</w:t>
      </w:r>
      <w:bookmarkEnd w:id="1"/>
      <w:r w:rsidRPr="00E57920">
        <w:rPr>
          <w:rFonts w:ascii="Palatino Linotype" w:eastAsia="Palatino Linotype" w:hAnsi="Palatino Linotype" w:cs="Palatino Linotype"/>
          <w:i/>
          <w:color w:val="000000"/>
        </w:rPr>
        <w:t xml:space="preserve">: </w:t>
      </w:r>
      <w:r w:rsidR="008947B9">
        <w:rPr>
          <w:rFonts w:ascii="Palatino Linotype" w:eastAsia="Palatino Linotype" w:hAnsi="Palatino Linotype" w:cs="Palatino Linotype"/>
          <w:i/>
          <w:color w:val="000000"/>
        </w:rPr>
        <w:t>XXXX</w:t>
      </w:r>
    </w:p>
    <w:p w:rsidR="00E67BBB" w:rsidRPr="00E57920" w:rsidRDefault="00E67BBB">
      <w:pPr>
        <w:pBdr>
          <w:top w:val="nil"/>
          <w:left w:val="nil"/>
          <w:bottom w:val="nil"/>
          <w:right w:val="nil"/>
          <w:between w:val="nil"/>
        </w:pBdr>
        <w:spacing w:line="360" w:lineRule="auto"/>
        <w:ind w:left="426" w:right="-697"/>
        <w:jc w:val="both"/>
        <w:rPr>
          <w:rFonts w:ascii="Palatino Linotype" w:eastAsia="Palatino Linotype" w:hAnsi="Palatino Linotype" w:cs="Palatino Linotype"/>
          <w:i/>
          <w:color w:val="000000"/>
        </w:rPr>
      </w:pPr>
    </w:p>
    <w:p w:rsidR="00E67BBB" w:rsidRPr="00E57920" w:rsidRDefault="00E67126">
      <w:pPr>
        <w:numPr>
          <w:ilvl w:val="0"/>
          <w:numId w:val="7"/>
        </w:numPr>
        <w:pBdr>
          <w:top w:val="nil"/>
          <w:left w:val="nil"/>
          <w:bottom w:val="nil"/>
          <w:right w:val="nil"/>
          <w:between w:val="nil"/>
        </w:pBdr>
        <w:tabs>
          <w:tab w:val="left" w:pos="0"/>
        </w:tabs>
        <w:spacing w:line="360" w:lineRule="auto"/>
        <w:ind w:left="0" w:right="-697" w:firstLine="0"/>
        <w:jc w:val="both"/>
        <w:rPr>
          <w:rFonts w:ascii="Palatino Linotype" w:eastAsia="Palatino Linotype" w:hAnsi="Palatino Linotype" w:cs="Palatino Linotype"/>
          <w:color w:val="000000"/>
        </w:rPr>
      </w:pPr>
      <w:r w:rsidRPr="00E57920">
        <w:rPr>
          <w:rFonts w:ascii="Palatino Linotype" w:eastAsia="Palatino Linotype" w:hAnsi="Palatino Linotype" w:cs="Palatino Linotype"/>
          <w:color w:val="000000"/>
        </w:rPr>
        <w:t xml:space="preserve">Se eligió como modalidad de entrega de la información: A través del </w:t>
      </w:r>
      <w:r w:rsidRPr="00E57920">
        <w:rPr>
          <w:rFonts w:ascii="Palatino Linotype" w:eastAsia="Palatino Linotype" w:hAnsi="Palatino Linotype" w:cs="Palatino Linotype"/>
          <w:b/>
          <w:color w:val="000000"/>
        </w:rPr>
        <w:t xml:space="preserve">SAIMEX </w:t>
      </w:r>
      <w:r w:rsidRPr="00E57920">
        <w:rPr>
          <w:rFonts w:ascii="Palatino Linotype" w:eastAsia="Palatino Linotype" w:hAnsi="Palatino Linotype" w:cs="Palatino Linotype"/>
          <w:color w:val="000000"/>
        </w:rPr>
        <w:t xml:space="preserve">y </w:t>
      </w:r>
      <w:r w:rsidRPr="00E57920">
        <w:rPr>
          <w:rFonts w:ascii="Palatino Linotype" w:eastAsia="Palatino Linotype" w:hAnsi="Palatino Linotype" w:cs="Palatino Linotype"/>
          <w:b/>
          <w:color w:val="000000"/>
        </w:rPr>
        <w:t>correo electrónico.</w:t>
      </w:r>
    </w:p>
    <w:p w:rsidR="00E67BBB" w:rsidRPr="00E57920" w:rsidRDefault="00E67BBB">
      <w:pPr>
        <w:pBdr>
          <w:top w:val="nil"/>
          <w:left w:val="nil"/>
          <w:bottom w:val="nil"/>
          <w:right w:val="nil"/>
          <w:between w:val="nil"/>
        </w:pBdr>
        <w:tabs>
          <w:tab w:val="left" w:pos="0"/>
        </w:tabs>
        <w:spacing w:line="276" w:lineRule="auto"/>
        <w:ind w:left="709" w:right="-697"/>
        <w:jc w:val="both"/>
        <w:rPr>
          <w:rFonts w:ascii="Palatino Linotype" w:eastAsia="Palatino Linotype" w:hAnsi="Palatino Linotype" w:cs="Palatino Linotype"/>
          <w:b/>
          <w:color w:val="000000"/>
          <w:u w:val="single"/>
        </w:rPr>
      </w:pPr>
    </w:p>
    <w:p w:rsidR="00E67BBB" w:rsidRPr="00E57920" w:rsidRDefault="00E67126">
      <w:pPr>
        <w:numPr>
          <w:ilvl w:val="0"/>
          <w:numId w:val="1"/>
        </w:numPr>
        <w:pBdr>
          <w:top w:val="nil"/>
          <w:left w:val="nil"/>
          <w:bottom w:val="nil"/>
          <w:right w:val="nil"/>
          <w:between w:val="nil"/>
        </w:pBdr>
        <w:tabs>
          <w:tab w:val="left" w:pos="0"/>
        </w:tabs>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 xml:space="preserve">El </w:t>
      </w:r>
      <w:r w:rsidRPr="00E57920">
        <w:rPr>
          <w:rFonts w:ascii="Palatino Linotype" w:eastAsia="Palatino Linotype" w:hAnsi="Palatino Linotype" w:cs="Palatino Linotype"/>
          <w:b/>
          <w:color w:val="000000"/>
        </w:rPr>
        <w:t>treinta de mayo de dos mil veinticuatro</w:t>
      </w:r>
      <w:r w:rsidRPr="00E57920">
        <w:rPr>
          <w:rFonts w:ascii="Palatino Linotype" w:eastAsia="Palatino Linotype" w:hAnsi="Palatino Linotype" w:cs="Palatino Linotype"/>
          <w:color w:val="000000"/>
        </w:rPr>
        <w:t>, el Sujeto Obligado</w:t>
      </w:r>
      <w:r w:rsidRPr="00E57920">
        <w:rPr>
          <w:rFonts w:ascii="Palatino Linotype" w:eastAsia="Palatino Linotype" w:hAnsi="Palatino Linotype" w:cs="Palatino Linotype"/>
          <w:b/>
          <w:color w:val="000000"/>
        </w:rPr>
        <w:t>,</w:t>
      </w:r>
      <w:r w:rsidRPr="00E57920">
        <w:rPr>
          <w:rFonts w:ascii="Palatino Linotype" w:eastAsia="Palatino Linotype" w:hAnsi="Palatino Linotype" w:cs="Palatino Linotype"/>
          <w:color w:val="000000"/>
        </w:rPr>
        <w:t xml:space="preserve"> dio respuesta en la plataforma SAIMEX, adjuntando tres archivos digitales en formato PDF, aclarando que dos de ellos contienen el mismo documento, por lo que solo se realiza un señalamiento, siendo los siguientes:</w:t>
      </w:r>
    </w:p>
    <w:p w:rsidR="00E67BBB" w:rsidRPr="00E57920" w:rsidRDefault="00E67126">
      <w:pPr>
        <w:numPr>
          <w:ilvl w:val="0"/>
          <w:numId w:val="9"/>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b/>
          <w:color w:val="000000"/>
          <w:sz w:val="22"/>
          <w:szCs w:val="22"/>
        </w:rPr>
        <w:t>418 SAIMEX 392.pdf:</w:t>
      </w:r>
      <w:r w:rsidRPr="00E57920">
        <w:rPr>
          <w:rFonts w:ascii="Palatino Linotype" w:eastAsia="Palatino Linotype" w:hAnsi="Palatino Linotype" w:cs="Palatino Linotype"/>
          <w:color w:val="000000"/>
          <w:sz w:val="22"/>
          <w:szCs w:val="22"/>
        </w:rPr>
        <w:t xml:space="preserve"> Contiene los siguientes documentos:</w:t>
      </w:r>
    </w:p>
    <w:p w:rsidR="00E67BBB" w:rsidRPr="00E57920" w:rsidRDefault="00E67126">
      <w:pPr>
        <w:numPr>
          <w:ilvl w:val="0"/>
          <w:numId w:val="10"/>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El oficio número 208C0101210000L/0418/2024, de fecha veintisiete de mayo de dos mil veinticuatro, suscrito por el Director de Regulación Sanitaria, por el cual remite a la Jefa de Unidad de Información y Planeación, Programación y Evaluación la orden y Acta de Verificación Sanitaria identificadas con el No. 24-PL-1500-01251-HN.</w:t>
      </w:r>
    </w:p>
    <w:p w:rsidR="00E67BBB" w:rsidRPr="00E57920" w:rsidRDefault="00E67126">
      <w:pPr>
        <w:numPr>
          <w:ilvl w:val="0"/>
          <w:numId w:val="10"/>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Formato de Propuesta de Clasificación de Información.</w:t>
      </w:r>
    </w:p>
    <w:p w:rsidR="00E67BBB" w:rsidRPr="00E57920" w:rsidRDefault="00E67126">
      <w:pPr>
        <w:numPr>
          <w:ilvl w:val="0"/>
          <w:numId w:val="10"/>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 xml:space="preserve">Orden número 24-PL-1500-01251-HN, de fecha diecisiete de abril de dos mil veinticuatro, correspondiente a la visita de verificación sanitaria de tipo ordinaria para ser practicada en el establecimiento denominado </w:t>
      </w:r>
      <w:r w:rsidRPr="00E57920">
        <w:rPr>
          <w:rFonts w:ascii="Palatino Linotype" w:eastAsia="Palatino Linotype" w:hAnsi="Palatino Linotype" w:cs="Palatino Linotype"/>
          <w:i/>
          <w:color w:val="000000"/>
          <w:sz w:val="22"/>
          <w:szCs w:val="22"/>
        </w:rPr>
        <w:t>“ABARROTES LA EXPLANADA”</w:t>
      </w:r>
      <w:r w:rsidRPr="00E57920">
        <w:rPr>
          <w:rFonts w:ascii="Palatino Linotype" w:eastAsia="Palatino Linotype" w:hAnsi="Palatino Linotype" w:cs="Palatino Linotype"/>
          <w:color w:val="000000"/>
          <w:sz w:val="22"/>
          <w:szCs w:val="22"/>
        </w:rPr>
        <w:t>, en el Municipio de Tlalnepantla de Baz.</w:t>
      </w:r>
    </w:p>
    <w:p w:rsidR="00E67BBB" w:rsidRPr="00E57920" w:rsidRDefault="00E67126">
      <w:pPr>
        <w:numPr>
          <w:ilvl w:val="0"/>
          <w:numId w:val="10"/>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Ficha de orden de visita, inspección o supervisión.</w:t>
      </w:r>
    </w:p>
    <w:p w:rsidR="00E67BBB" w:rsidRPr="00E57920" w:rsidRDefault="00E67126">
      <w:pPr>
        <w:numPr>
          <w:ilvl w:val="0"/>
          <w:numId w:val="10"/>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Acta de verificación sanitaria general número 24-SL-1500-01251-SU</w:t>
      </w:r>
    </w:p>
    <w:p w:rsidR="00E67BBB" w:rsidRPr="00E57920" w:rsidRDefault="00E67BBB">
      <w:pPr>
        <w:pBdr>
          <w:top w:val="nil"/>
          <w:left w:val="nil"/>
          <w:bottom w:val="nil"/>
          <w:right w:val="nil"/>
          <w:between w:val="nil"/>
        </w:pBdr>
        <w:tabs>
          <w:tab w:val="left" w:pos="0"/>
        </w:tabs>
        <w:spacing w:line="360" w:lineRule="auto"/>
        <w:ind w:left="720" w:right="-130"/>
        <w:jc w:val="both"/>
        <w:rPr>
          <w:rFonts w:ascii="Palatino Linotype" w:eastAsia="Palatino Linotype" w:hAnsi="Palatino Linotype" w:cs="Palatino Linotype"/>
          <w:color w:val="000000"/>
          <w:sz w:val="22"/>
          <w:szCs w:val="22"/>
        </w:rPr>
      </w:pPr>
    </w:p>
    <w:p w:rsidR="00E67BBB" w:rsidRPr="00E57920" w:rsidRDefault="00E67126">
      <w:pPr>
        <w:numPr>
          <w:ilvl w:val="0"/>
          <w:numId w:val="9"/>
        </w:numPr>
        <w:pBdr>
          <w:top w:val="nil"/>
          <w:left w:val="nil"/>
          <w:bottom w:val="nil"/>
          <w:right w:val="nil"/>
          <w:between w:val="nil"/>
        </w:pBdr>
        <w:tabs>
          <w:tab w:val="left" w:pos="0"/>
        </w:tabs>
        <w:spacing w:line="360" w:lineRule="auto"/>
        <w:ind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b/>
          <w:color w:val="000000"/>
          <w:sz w:val="22"/>
          <w:szCs w:val="22"/>
        </w:rPr>
        <w:t>sol 00392 2024.pdf:</w:t>
      </w:r>
      <w:r w:rsidRPr="00E57920">
        <w:rPr>
          <w:rFonts w:ascii="Palatino Linotype" w:eastAsia="Palatino Linotype" w:hAnsi="Palatino Linotype" w:cs="Palatino Linotype"/>
          <w:color w:val="000000"/>
          <w:sz w:val="22"/>
          <w:szCs w:val="22"/>
        </w:rPr>
        <w:t xml:space="preserve"> Contiene el oficio número SAIMEX-0350/2024, de fecha treinta de mayo de dos mil veinticuatro, suscrito por la Jefa de la Unidad de Información, Planeación, Programación y Evaluación, por medio del cual dio respuesta al PARTICULAR y </w:t>
      </w:r>
      <w:r w:rsidRPr="00E57920">
        <w:rPr>
          <w:rFonts w:ascii="Palatino Linotype" w:eastAsia="Palatino Linotype" w:hAnsi="Palatino Linotype" w:cs="Palatino Linotype"/>
          <w:sz w:val="22"/>
          <w:szCs w:val="22"/>
        </w:rPr>
        <w:t>anexó</w:t>
      </w:r>
      <w:r w:rsidRPr="00E57920">
        <w:rPr>
          <w:rFonts w:ascii="Palatino Linotype" w:eastAsia="Palatino Linotype" w:hAnsi="Palatino Linotype" w:cs="Palatino Linotype"/>
          <w:color w:val="000000"/>
          <w:sz w:val="22"/>
          <w:szCs w:val="22"/>
        </w:rPr>
        <w:t xml:space="preserve"> la documentación relacionada con la misma.</w:t>
      </w:r>
    </w:p>
    <w:p w:rsidR="00E67BBB" w:rsidRPr="00E57920" w:rsidRDefault="00E67BBB">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i/>
          <w:color w:val="000000"/>
          <w:u w:val="single"/>
        </w:rPr>
      </w:pPr>
    </w:p>
    <w:p w:rsidR="00E67BBB" w:rsidRPr="00E57920" w:rsidRDefault="00E67126">
      <w:pPr>
        <w:numPr>
          <w:ilvl w:val="0"/>
          <w:numId w:val="1"/>
        </w:numPr>
        <w:pBdr>
          <w:top w:val="nil"/>
          <w:left w:val="nil"/>
          <w:bottom w:val="nil"/>
          <w:right w:val="nil"/>
          <w:between w:val="nil"/>
        </w:pBdr>
        <w:tabs>
          <w:tab w:val="left" w:pos="0"/>
        </w:tabs>
        <w:spacing w:line="360" w:lineRule="auto"/>
        <w:ind w:left="0" w:right="-697" w:firstLine="0"/>
        <w:jc w:val="both"/>
        <w:rPr>
          <w:color w:val="000000"/>
        </w:rPr>
      </w:pPr>
      <w:r w:rsidRPr="00E57920">
        <w:rPr>
          <w:rFonts w:ascii="Palatino Linotype" w:eastAsia="Palatino Linotype" w:hAnsi="Palatino Linotype" w:cs="Palatino Linotype"/>
          <w:color w:val="000000"/>
        </w:rPr>
        <w:t>El</w:t>
      </w:r>
      <w:r w:rsidRPr="00E57920">
        <w:rPr>
          <w:rFonts w:ascii="Palatino Linotype" w:eastAsia="Palatino Linotype" w:hAnsi="Palatino Linotype" w:cs="Palatino Linotype"/>
          <w:b/>
          <w:color w:val="000000"/>
        </w:rPr>
        <w:t xml:space="preserve"> treinta y uno de mayo de dos mil veinticuatro</w:t>
      </w:r>
      <w:r w:rsidRPr="00E57920">
        <w:rPr>
          <w:rFonts w:ascii="Palatino Linotype" w:eastAsia="Palatino Linotype" w:hAnsi="Palatino Linotype" w:cs="Palatino Linotype"/>
          <w:color w:val="000000"/>
        </w:rPr>
        <w:t>, el particular interpuso el recurso de revisión en contra de la respuesta, realizando las siguientes manifestaciones:</w:t>
      </w:r>
    </w:p>
    <w:p w:rsidR="00E67BBB" w:rsidRPr="00E57920" w:rsidRDefault="00E67126">
      <w:pPr>
        <w:numPr>
          <w:ilvl w:val="0"/>
          <w:numId w:val="6"/>
        </w:numPr>
        <w:pBdr>
          <w:top w:val="nil"/>
          <w:left w:val="nil"/>
          <w:bottom w:val="nil"/>
          <w:right w:val="nil"/>
          <w:between w:val="nil"/>
        </w:pBdr>
        <w:spacing w:line="360" w:lineRule="auto"/>
        <w:ind w:right="-130" w:hanging="360"/>
        <w:jc w:val="both"/>
        <w:rPr>
          <w:rFonts w:ascii="Palatino Linotype" w:eastAsia="Palatino Linotype" w:hAnsi="Palatino Linotype" w:cs="Palatino Linotype"/>
          <w:i/>
          <w:color w:val="000000"/>
          <w:sz w:val="22"/>
          <w:szCs w:val="22"/>
        </w:rPr>
      </w:pPr>
      <w:bookmarkStart w:id="2" w:name="_heading=h.30j0zll" w:colFirst="0" w:colLast="0"/>
      <w:bookmarkEnd w:id="2"/>
      <w:r w:rsidRPr="00E57920">
        <w:rPr>
          <w:rFonts w:ascii="Palatino Linotype" w:eastAsia="Palatino Linotype" w:hAnsi="Palatino Linotype" w:cs="Palatino Linotype"/>
          <w:b/>
          <w:color w:val="000000"/>
          <w:sz w:val="22"/>
          <w:szCs w:val="22"/>
        </w:rPr>
        <w:lastRenderedPageBreak/>
        <w:t xml:space="preserve">ACTO IMPUGNADO: </w:t>
      </w:r>
      <w:r w:rsidRPr="00E57920">
        <w:rPr>
          <w:rFonts w:ascii="Palatino Linotype" w:eastAsia="Palatino Linotype" w:hAnsi="Palatino Linotype" w:cs="Palatino Linotype"/>
          <w:i/>
          <w:color w:val="000000"/>
          <w:sz w:val="22"/>
          <w:szCs w:val="22"/>
        </w:rPr>
        <w:t xml:space="preserve">“Como habitante de la unidad habitacional el Tenayo manifiesto. Que es mentira que el citado degocio se encontrará cerrado en dicha fecha. Que requieren tener la certeza de que sea el establecimiento correcto, pues en la unidad habitacional el Tenayo solo hay una sola explanada y un solo negocio denominado Abarrotes la Explanada. (MANZANA B2) El citado establecimiento permanece abierto todos los dias en un horario de 12:00 PM a 2:00 AM” </w:t>
      </w:r>
      <w:r w:rsidRPr="00E57920">
        <w:rPr>
          <w:rFonts w:ascii="Palatino Linotype" w:eastAsia="Palatino Linotype" w:hAnsi="Palatino Linotype" w:cs="Palatino Linotype"/>
          <w:color w:val="000000"/>
          <w:sz w:val="22"/>
          <w:szCs w:val="22"/>
        </w:rPr>
        <w:t xml:space="preserve"> (Sic)</w:t>
      </w:r>
    </w:p>
    <w:p w:rsidR="00E67BBB" w:rsidRPr="00E57920" w:rsidRDefault="00E67BBB">
      <w:pPr>
        <w:pBdr>
          <w:top w:val="nil"/>
          <w:left w:val="nil"/>
          <w:bottom w:val="nil"/>
          <w:right w:val="nil"/>
          <w:between w:val="nil"/>
        </w:pBdr>
        <w:spacing w:line="360" w:lineRule="auto"/>
        <w:ind w:left="709" w:right="-130"/>
        <w:jc w:val="both"/>
        <w:rPr>
          <w:rFonts w:ascii="Palatino Linotype" w:eastAsia="Palatino Linotype" w:hAnsi="Palatino Linotype" w:cs="Palatino Linotype"/>
          <w:i/>
          <w:color w:val="000000"/>
          <w:sz w:val="22"/>
          <w:szCs w:val="22"/>
        </w:rPr>
      </w:pPr>
    </w:p>
    <w:p w:rsidR="00E67BBB" w:rsidRPr="00E57920" w:rsidRDefault="00E67126">
      <w:pPr>
        <w:numPr>
          <w:ilvl w:val="0"/>
          <w:numId w:val="6"/>
        </w:numPr>
        <w:pBdr>
          <w:top w:val="nil"/>
          <w:left w:val="nil"/>
          <w:bottom w:val="nil"/>
          <w:right w:val="nil"/>
          <w:between w:val="nil"/>
        </w:pBdr>
        <w:spacing w:line="360" w:lineRule="auto"/>
        <w:ind w:right="-130" w:hanging="36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color w:val="000000"/>
          <w:sz w:val="22"/>
          <w:szCs w:val="22"/>
        </w:rPr>
        <w:t>RAZONES O MOTIVOS DE LA INCONFORMIDAD</w:t>
      </w:r>
    </w:p>
    <w:p w:rsidR="00E67BBB" w:rsidRPr="00E57920" w:rsidRDefault="00E67BBB">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i/>
          <w:color w:val="000000"/>
          <w:u w:val="single"/>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Con fundamento en lo dispuesto por el artículo 185 fracciones I, II y IV de la Ley de Transparencia y Acceso a la Información Pública del Estado de México y Municipios, en fecha </w:t>
      </w:r>
      <w:r w:rsidRPr="00E57920">
        <w:rPr>
          <w:rFonts w:ascii="Palatino Linotype" w:eastAsia="Palatino Linotype" w:hAnsi="Palatino Linotype" w:cs="Palatino Linotype"/>
          <w:b/>
          <w:color w:val="000000"/>
        </w:rPr>
        <w:t xml:space="preserve">seis de junio del año dos mil veinticuatro, </w:t>
      </w:r>
      <w:r w:rsidRPr="00E57920">
        <w:rPr>
          <w:rFonts w:ascii="Palatino Linotype" w:eastAsia="Palatino Linotype" w:hAnsi="Palatino Linotype" w:cs="Palatino Linotype"/>
          <w:color w:val="000000"/>
        </w:rPr>
        <w:t>la Comisionada admitió el presente recurso de revisión.</w:t>
      </w:r>
    </w:p>
    <w:p w:rsidR="00E67BBB" w:rsidRPr="00E57920" w:rsidRDefault="00E67BBB">
      <w:pPr>
        <w:pBdr>
          <w:top w:val="nil"/>
          <w:left w:val="nil"/>
          <w:bottom w:val="nil"/>
          <w:right w:val="nil"/>
          <w:between w:val="nil"/>
        </w:pBdr>
        <w:tabs>
          <w:tab w:val="left" w:pos="0"/>
        </w:tabs>
        <w:spacing w:line="360" w:lineRule="auto"/>
        <w:ind w:right="-697"/>
        <w:jc w:val="both"/>
        <w:rPr>
          <w:rFonts w:ascii="Palatino Linotype" w:eastAsia="Palatino Linotype" w:hAnsi="Palatino Linotype" w:cs="Palatino Linotype"/>
          <w:i/>
          <w:color w:val="000000"/>
          <w:u w:val="single"/>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Con fundamento en lo dispuesto por el artículo 185 fracción II de la ley de la materia, se acordó a las partes a efecto de que en un plazo no mayor a siete días realizaran las manifestaciones que a su derecho conviniera.</w:t>
      </w:r>
    </w:p>
    <w:p w:rsidR="00E67BBB" w:rsidRPr="00E57920" w:rsidRDefault="00E67126">
      <w:pPr>
        <w:pBdr>
          <w:top w:val="nil"/>
          <w:left w:val="nil"/>
          <w:bottom w:val="nil"/>
          <w:right w:val="nil"/>
          <w:between w:val="nil"/>
        </w:pBdr>
        <w:spacing w:line="360" w:lineRule="auto"/>
        <w:ind w:right="-697"/>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color w:val="000000"/>
        </w:rPr>
        <w:t xml:space="preserve"> </w:t>
      </w: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El particular fue omiso en realizar manifestaciones que a su derecho conviniera y asistiera. </w:t>
      </w:r>
    </w:p>
    <w:p w:rsidR="00E67BBB" w:rsidRPr="00E57920" w:rsidRDefault="00E67BBB">
      <w:pPr>
        <w:pBdr>
          <w:top w:val="nil"/>
          <w:left w:val="nil"/>
          <w:bottom w:val="nil"/>
          <w:right w:val="nil"/>
          <w:between w:val="nil"/>
        </w:pBdr>
        <w:ind w:left="720"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Por su parte el </w:t>
      </w:r>
      <w:r w:rsidRPr="00E57920">
        <w:rPr>
          <w:rFonts w:ascii="Palatino Linotype" w:eastAsia="Palatino Linotype" w:hAnsi="Palatino Linotype" w:cs="Palatino Linotype"/>
          <w:b/>
          <w:color w:val="000000"/>
        </w:rPr>
        <w:t xml:space="preserve">SUJETO </w:t>
      </w:r>
      <w:r w:rsidRPr="00E57920">
        <w:rPr>
          <w:rFonts w:ascii="Palatino Linotype" w:eastAsia="Palatino Linotype" w:hAnsi="Palatino Linotype" w:cs="Palatino Linotype"/>
          <w:b/>
        </w:rPr>
        <w:t xml:space="preserve">OBLIGADO, </w:t>
      </w:r>
      <w:r w:rsidRPr="00E57920">
        <w:rPr>
          <w:rFonts w:ascii="Palatino Linotype" w:eastAsia="Palatino Linotype" w:hAnsi="Palatino Linotype" w:cs="Palatino Linotype"/>
          <w:color w:val="000000"/>
        </w:rPr>
        <w:t>no rindió informe justificado</w:t>
      </w:r>
      <w:r w:rsidRPr="00E57920">
        <w:rPr>
          <w:rFonts w:ascii="Palatino Linotype" w:eastAsia="Palatino Linotype" w:hAnsi="Palatino Linotype" w:cs="Palatino Linotype"/>
          <w:i/>
          <w:color w:val="000000"/>
        </w:rPr>
        <w:t>.</w:t>
      </w:r>
    </w:p>
    <w:p w:rsidR="00E67BBB" w:rsidRPr="00E57920" w:rsidRDefault="00E67BBB">
      <w:pPr>
        <w:pBdr>
          <w:top w:val="nil"/>
          <w:left w:val="nil"/>
          <w:bottom w:val="nil"/>
          <w:right w:val="nil"/>
          <w:between w:val="nil"/>
        </w:pBdr>
        <w:spacing w:line="360" w:lineRule="auto"/>
        <w:ind w:left="720"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 xml:space="preserve">Este organismo garante no pasa por alto justificar, que la dilación en la resolución del presente asunto encuentra justificación en el alto número de recursos de revisión recibidos, </w:t>
      </w:r>
      <w:r w:rsidRPr="00E57920">
        <w:rPr>
          <w:rFonts w:ascii="Palatino Linotype" w:eastAsia="Palatino Linotype" w:hAnsi="Palatino Linotype" w:cs="Palatino Linotype"/>
          <w:color w:val="000000"/>
        </w:rPr>
        <w:lastRenderedPageBreak/>
        <w:t>circunstancia atípica que ha rebasado las capacidades técnicas y humanas del personal encargado de la proyección de las resoluciones a dichos medios de impugnación.</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E67BBB" w:rsidRPr="00E57920" w:rsidRDefault="00E67BBB">
      <w:pPr>
        <w:pBdr>
          <w:top w:val="nil"/>
          <w:left w:val="nil"/>
          <w:bottom w:val="nil"/>
          <w:right w:val="nil"/>
          <w:between w:val="nil"/>
        </w:pBdr>
        <w:spacing w:line="360" w:lineRule="auto"/>
        <w:ind w:left="720" w:right="-697"/>
        <w:jc w:val="both"/>
        <w:rPr>
          <w:rFonts w:ascii="Palatino Linotype" w:eastAsia="Palatino Linotype" w:hAnsi="Palatino Linotype" w:cs="Palatino Linotype"/>
          <w:b/>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E67BBB" w:rsidRPr="00E57920" w:rsidRDefault="00E67126">
      <w:pPr>
        <w:numPr>
          <w:ilvl w:val="0"/>
          <w:numId w:val="8"/>
        </w:numPr>
        <w:pBdr>
          <w:top w:val="nil"/>
          <w:left w:val="nil"/>
          <w:bottom w:val="nil"/>
          <w:right w:val="nil"/>
          <w:between w:val="nil"/>
        </w:pBdr>
        <w:spacing w:line="360" w:lineRule="auto"/>
        <w:ind w:left="992" w:right="-130"/>
        <w:jc w:val="both"/>
        <w:rPr>
          <w:rFonts w:ascii="Palatino Linotype" w:eastAsia="Palatino Linotype" w:hAnsi="Palatino Linotype" w:cs="Palatino Linotype"/>
          <w:sz w:val="22"/>
          <w:szCs w:val="22"/>
        </w:rPr>
      </w:pPr>
      <w:r w:rsidRPr="00E57920">
        <w:rPr>
          <w:rFonts w:ascii="Palatino Linotype" w:eastAsia="Palatino Linotype" w:hAnsi="Palatino Linotype" w:cs="Palatino Linotype"/>
          <w:color w:val="000000"/>
          <w:sz w:val="22"/>
          <w:szCs w:val="22"/>
        </w:rPr>
        <w:lastRenderedPageBreak/>
        <w:t xml:space="preserve">Complejidad del </w:t>
      </w:r>
      <w:r w:rsidRPr="00E57920">
        <w:rPr>
          <w:rFonts w:ascii="Palatino Linotype" w:eastAsia="Palatino Linotype" w:hAnsi="Palatino Linotype" w:cs="Palatino Linotype"/>
          <w:sz w:val="22"/>
          <w:szCs w:val="22"/>
        </w:rPr>
        <w:t>asunto</w:t>
      </w:r>
      <w:r w:rsidRPr="00E57920">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E67BBB" w:rsidRPr="00E57920" w:rsidRDefault="00E67126">
      <w:pPr>
        <w:numPr>
          <w:ilvl w:val="0"/>
          <w:numId w:val="8"/>
        </w:numPr>
        <w:pBdr>
          <w:top w:val="nil"/>
          <w:left w:val="nil"/>
          <w:bottom w:val="nil"/>
          <w:right w:val="nil"/>
          <w:between w:val="nil"/>
        </w:pBdr>
        <w:spacing w:line="360" w:lineRule="auto"/>
        <w:ind w:left="992"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Actividad Procesal del interesado. Acciones u omisiones del interesado.</w:t>
      </w:r>
    </w:p>
    <w:p w:rsidR="00E67BBB" w:rsidRPr="00E57920" w:rsidRDefault="00E67126">
      <w:pPr>
        <w:numPr>
          <w:ilvl w:val="0"/>
          <w:numId w:val="8"/>
        </w:numPr>
        <w:pBdr>
          <w:top w:val="nil"/>
          <w:left w:val="nil"/>
          <w:bottom w:val="nil"/>
          <w:right w:val="nil"/>
          <w:between w:val="nil"/>
        </w:pBdr>
        <w:spacing w:line="360" w:lineRule="auto"/>
        <w:ind w:left="992"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E67BBB" w:rsidRPr="00E57920" w:rsidRDefault="00E67126">
      <w:pPr>
        <w:numPr>
          <w:ilvl w:val="0"/>
          <w:numId w:val="8"/>
        </w:numPr>
        <w:pBdr>
          <w:top w:val="nil"/>
          <w:left w:val="nil"/>
          <w:bottom w:val="nil"/>
          <w:right w:val="nil"/>
          <w:between w:val="nil"/>
        </w:pBdr>
        <w:spacing w:line="360" w:lineRule="auto"/>
        <w:ind w:left="992"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E67BBB" w:rsidRPr="00E57920" w:rsidRDefault="00E67BBB">
      <w:pPr>
        <w:pBdr>
          <w:top w:val="nil"/>
          <w:left w:val="nil"/>
          <w:bottom w:val="nil"/>
          <w:right w:val="nil"/>
          <w:between w:val="nil"/>
        </w:pBdr>
        <w:spacing w:line="360" w:lineRule="auto"/>
        <w:ind w:left="992"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E57920">
        <w:rPr>
          <w:rFonts w:ascii="Palatino Linotype" w:eastAsia="Palatino Linotype" w:hAnsi="Palatino Linotype" w:cs="Palatino Linotype"/>
        </w:rPr>
        <w:t>del rubro</w:t>
      </w:r>
      <w:r w:rsidRPr="00E57920">
        <w:rPr>
          <w:rFonts w:ascii="Palatino Linotype" w:eastAsia="Palatino Linotype" w:hAnsi="Palatino Linotype" w:cs="Palatino Linotype"/>
          <w:color w:val="000000"/>
        </w:rPr>
        <w:t xml:space="preserve"> </w:t>
      </w:r>
      <w:r w:rsidRPr="00E57920">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E57920">
        <w:rPr>
          <w:rFonts w:ascii="Palatino Linotype" w:eastAsia="Palatino Linotype" w:hAnsi="Palatino Linotype" w:cs="Palatino Linotype"/>
          <w:color w:val="000000"/>
        </w:rPr>
        <w:t xml:space="preserve">, visible en la Gaceta del </w:t>
      </w:r>
      <w:r w:rsidRPr="00E57920">
        <w:rPr>
          <w:rFonts w:ascii="Palatino Linotype" w:eastAsia="Palatino Linotype" w:hAnsi="Palatino Linotype" w:cs="Palatino Linotype"/>
        </w:rPr>
        <w:t>Semanario</w:t>
      </w:r>
      <w:r w:rsidRPr="00E57920">
        <w:rPr>
          <w:rFonts w:ascii="Palatino Linotype" w:eastAsia="Palatino Linotype" w:hAnsi="Palatino Linotype" w:cs="Palatino Linotype"/>
          <w:color w:val="000000"/>
        </w:rPr>
        <w:t xml:space="preserve"> Judicial de la Federación con el registro digital 205635.</w:t>
      </w:r>
    </w:p>
    <w:p w:rsidR="00E67BBB" w:rsidRPr="00E57920" w:rsidRDefault="00E67BBB">
      <w:pPr>
        <w:pBdr>
          <w:top w:val="nil"/>
          <w:left w:val="nil"/>
          <w:bottom w:val="nil"/>
          <w:right w:val="nil"/>
          <w:between w:val="nil"/>
        </w:pBdr>
        <w:spacing w:line="360" w:lineRule="auto"/>
        <w:ind w:left="644" w:right="-697"/>
        <w:jc w:val="both"/>
        <w:rPr>
          <w:rFonts w:ascii="Palatino Linotype" w:eastAsia="Palatino Linotype" w:hAnsi="Palatino Linotype" w:cs="Palatino Linotype"/>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 xml:space="preserve">Seguidamente el </w:t>
      </w:r>
      <w:r w:rsidRPr="00E57920">
        <w:rPr>
          <w:rFonts w:ascii="Palatino Linotype" w:eastAsia="Palatino Linotype" w:hAnsi="Palatino Linotype" w:cs="Palatino Linotype"/>
          <w:b/>
        </w:rPr>
        <w:t>veintiuno de agosto de dos mil veinticuatro</w:t>
      </w:r>
      <w:r w:rsidRPr="00E57920">
        <w:rPr>
          <w:rFonts w:ascii="Palatino Linotype" w:eastAsia="Palatino Linotype" w:hAnsi="Palatino Linotype" w:cs="Palatino Linotype"/>
        </w:rPr>
        <w:t xml:space="preserve">, se notificó el acuerdo mediante el cual se aprobó la ampliación de plazo para emitir resolución. </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ascii="Palatino Linotype" w:eastAsia="Palatino Linotype" w:hAnsi="Palatino Linotype" w:cs="Palatino Linotype"/>
          <w:b/>
          <w:color w:val="000000"/>
        </w:rPr>
      </w:pPr>
      <w:bookmarkStart w:id="3" w:name="_heading=h.1fob9te" w:colFirst="0" w:colLast="0"/>
      <w:bookmarkEnd w:id="3"/>
      <w:r w:rsidRPr="00E57920">
        <w:rPr>
          <w:rFonts w:ascii="Palatino Linotype" w:eastAsia="Palatino Linotype" w:hAnsi="Palatino Linotype" w:cs="Palatino Linotype"/>
          <w:color w:val="000000"/>
        </w:rPr>
        <w:lastRenderedPageBreak/>
        <w:t xml:space="preserve">Seguidamente, al no existir diligencia pendiente por desahogar, mediante acuerdo de día </w:t>
      </w:r>
      <w:r w:rsidRPr="00E57920">
        <w:rPr>
          <w:rFonts w:ascii="Palatino Linotype" w:eastAsia="Palatino Linotype" w:hAnsi="Palatino Linotype" w:cs="Palatino Linotype"/>
          <w:b/>
          <w:color w:val="000000"/>
        </w:rPr>
        <w:t xml:space="preserve">diecinueve de febrero del año en curso </w:t>
      </w:r>
      <w:r w:rsidRPr="00E57920">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E67BBB" w:rsidRPr="00E57920" w:rsidRDefault="00E67126">
      <w:pPr>
        <w:pBdr>
          <w:top w:val="nil"/>
          <w:left w:val="nil"/>
          <w:bottom w:val="nil"/>
          <w:right w:val="nil"/>
          <w:between w:val="nil"/>
        </w:pBdr>
        <w:spacing w:line="360" w:lineRule="auto"/>
        <w:ind w:right="-697"/>
        <w:jc w:val="center"/>
        <w:rPr>
          <w:rFonts w:ascii="Palatino Linotype" w:eastAsia="Palatino Linotype" w:hAnsi="Palatino Linotype" w:cs="Palatino Linotype"/>
          <w:b/>
          <w:color w:val="000000"/>
        </w:rPr>
      </w:pPr>
      <w:r w:rsidRPr="00E57920">
        <w:rPr>
          <w:rFonts w:ascii="Palatino Linotype" w:eastAsia="Palatino Linotype" w:hAnsi="Palatino Linotype" w:cs="Palatino Linotype"/>
          <w:b/>
          <w:color w:val="000000"/>
        </w:rPr>
        <w:t>C O N S I D E R A C I O N E S</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b/>
          <w:color w:val="000000"/>
        </w:rPr>
      </w:pPr>
    </w:p>
    <w:p w:rsidR="00E67BBB" w:rsidRPr="00E57920" w:rsidRDefault="00E67126">
      <w:pPr>
        <w:pStyle w:val="Ttulo2"/>
        <w:spacing w:before="0" w:line="360" w:lineRule="auto"/>
        <w:ind w:right="-697"/>
        <w:jc w:val="both"/>
        <w:rPr>
          <w:rFonts w:ascii="Palatino Linotype" w:eastAsia="Palatino Linotype" w:hAnsi="Palatino Linotype" w:cs="Palatino Linotype"/>
          <w:b/>
          <w:color w:val="000000"/>
          <w:sz w:val="24"/>
          <w:szCs w:val="24"/>
        </w:rPr>
      </w:pPr>
      <w:bookmarkStart w:id="4" w:name="_heading=h.3znysh7" w:colFirst="0" w:colLast="0"/>
      <w:bookmarkEnd w:id="4"/>
      <w:r w:rsidRPr="00E57920">
        <w:rPr>
          <w:rFonts w:ascii="Palatino Linotype" w:eastAsia="Palatino Linotype" w:hAnsi="Palatino Linotype" w:cs="Palatino Linotype"/>
          <w:b/>
          <w:color w:val="000000"/>
          <w:sz w:val="24"/>
          <w:szCs w:val="24"/>
        </w:rPr>
        <w:t>PRIMERA. Competencia</w:t>
      </w: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E67BBB" w:rsidRPr="00E57920" w:rsidRDefault="00E67126">
      <w:pPr>
        <w:pStyle w:val="Ttulo2"/>
        <w:spacing w:before="0" w:line="360" w:lineRule="auto"/>
        <w:ind w:right="-697"/>
        <w:jc w:val="both"/>
        <w:rPr>
          <w:rFonts w:ascii="Palatino Linotype" w:eastAsia="Palatino Linotype" w:hAnsi="Palatino Linotype" w:cs="Palatino Linotype"/>
          <w:b/>
          <w:color w:val="000000"/>
          <w:sz w:val="24"/>
          <w:szCs w:val="24"/>
        </w:rPr>
      </w:pPr>
      <w:bookmarkStart w:id="5" w:name="_heading=h.2et92p0" w:colFirst="0" w:colLast="0"/>
      <w:bookmarkEnd w:id="5"/>
      <w:r w:rsidRPr="00E57920">
        <w:rPr>
          <w:rFonts w:ascii="Palatino Linotype" w:eastAsia="Palatino Linotype" w:hAnsi="Palatino Linotype" w:cs="Palatino Linotype"/>
          <w:b/>
          <w:color w:val="000000"/>
          <w:sz w:val="24"/>
          <w:szCs w:val="24"/>
        </w:rPr>
        <w:t>SEGUNDA. Procedencia.</w:t>
      </w: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 xml:space="preserve">Este Órgano Garante considera que el medio de impugnación reúne los requisitos de procedencia </w:t>
      </w:r>
      <w:r w:rsidRPr="00E57920">
        <w:rPr>
          <w:rFonts w:ascii="Palatino Linotype" w:eastAsia="Palatino Linotype" w:hAnsi="Palatino Linotype" w:cs="Palatino Linotype"/>
          <w:color w:val="000000"/>
        </w:rPr>
        <w:t xml:space="preserve">toda vez que: el recurso fue presentado dentro del plazo establecido en el </w:t>
      </w:r>
      <w:r w:rsidRPr="00E57920">
        <w:rPr>
          <w:rFonts w:ascii="Palatino Linotype" w:eastAsia="Palatino Linotype" w:hAnsi="Palatino Linotype" w:cs="Palatino Linotype"/>
          <w:color w:val="000000"/>
        </w:rPr>
        <w:lastRenderedPageBreak/>
        <w:t>artículo 178 de la Ley de Transparencia y Acceso a la Información Pública del Estado de México y Municipios; asimismo no se tiene conocimiento de que se encuentre en trámite algún medio de defensa presentado por el Recurrente ante otra instancia.</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E67BBB" w:rsidRPr="00E57920" w:rsidRDefault="00E67126">
      <w:pPr>
        <w:spacing w:line="276" w:lineRule="auto"/>
        <w:ind w:left="709"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r w:rsidRPr="00E57920">
        <w:rPr>
          <w:rFonts w:ascii="Palatino Linotype" w:eastAsia="Palatino Linotype" w:hAnsi="Palatino Linotype" w:cs="Palatino Linotype"/>
          <w:b/>
          <w:i/>
          <w:sz w:val="22"/>
          <w:szCs w:val="22"/>
        </w:rPr>
        <w:t>Las solicitudes anónimas</w:t>
      </w:r>
      <w:r w:rsidRPr="00E57920">
        <w:rPr>
          <w:rFonts w:ascii="Palatino Linotype" w:eastAsia="Palatino Linotype" w:hAnsi="Palatino Linotype" w:cs="Palatino Linotype"/>
          <w:i/>
          <w:sz w:val="22"/>
          <w:szCs w:val="22"/>
        </w:rPr>
        <w:t xml:space="preserve">, con nombre incompleto o seudónimo </w:t>
      </w:r>
      <w:r w:rsidRPr="00E57920">
        <w:rPr>
          <w:rFonts w:ascii="Palatino Linotype" w:eastAsia="Palatino Linotype" w:hAnsi="Palatino Linotype" w:cs="Palatino Linotype"/>
          <w:b/>
          <w:i/>
          <w:sz w:val="22"/>
          <w:szCs w:val="22"/>
        </w:rPr>
        <w:t>serán procedentes para su trámite por parte del sujeto obligado ante quien se presente</w:t>
      </w:r>
      <w:r w:rsidRPr="00E57920">
        <w:rPr>
          <w:rFonts w:ascii="Palatino Linotype" w:eastAsia="Palatino Linotype" w:hAnsi="Palatino Linotype" w:cs="Palatino Linotype"/>
          <w:i/>
          <w:sz w:val="22"/>
          <w:szCs w:val="22"/>
        </w:rPr>
        <w:t>. No podrá requerirse información adicional con motivo del nombre proporcionado por el solicitante."</w:t>
      </w:r>
    </w:p>
    <w:p w:rsidR="00E67BBB" w:rsidRPr="00E57920" w:rsidRDefault="00E67BBB">
      <w:pPr>
        <w:spacing w:line="360" w:lineRule="auto"/>
        <w:ind w:right="-697"/>
        <w:jc w:val="both"/>
        <w:rPr>
          <w:rFonts w:ascii="Palatino Linotype" w:eastAsia="Palatino Linotype" w:hAnsi="Palatino Linotype" w:cs="Palatino Linotype"/>
          <w:i/>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E67BBB" w:rsidRPr="00E57920" w:rsidRDefault="00E67126">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w:t>
      </w:r>
      <w:r w:rsidRPr="00E57920">
        <w:rPr>
          <w:rFonts w:ascii="Palatino Linotype" w:eastAsia="Palatino Linotype" w:hAnsi="Palatino Linotype" w:cs="Palatino Linotype"/>
          <w:b/>
          <w:i/>
          <w:color w:val="000000"/>
          <w:sz w:val="22"/>
          <w:szCs w:val="22"/>
        </w:rPr>
        <w:t>Artículo 6.-</w:t>
      </w:r>
      <w:r w:rsidRPr="00E57920">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E67BBB" w:rsidRPr="00E57920" w:rsidRDefault="00E67126">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Para efectos de lo dispuesto en el presente artículo se observará lo siguiente:</w:t>
      </w:r>
    </w:p>
    <w:p w:rsidR="00E67BBB" w:rsidRPr="00E57920" w:rsidRDefault="00E67126">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E67BBB" w:rsidRPr="00E57920" w:rsidRDefault="00E67126">
      <w:pPr>
        <w:pBdr>
          <w:top w:val="nil"/>
          <w:left w:val="nil"/>
          <w:bottom w:val="nil"/>
          <w:right w:val="nil"/>
          <w:between w:val="nil"/>
        </w:pBdr>
        <w:tabs>
          <w:tab w:val="left" w:pos="8457"/>
          <w:tab w:val="left" w:pos="8931"/>
        </w:tabs>
        <w:spacing w:line="276" w:lineRule="auto"/>
        <w:ind w:left="425"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r w:rsidRPr="00E57920">
        <w:rPr>
          <w:rFonts w:ascii="Palatino Linotype" w:eastAsia="Palatino Linotype" w:hAnsi="Palatino Linotype" w:cs="Palatino Linotype"/>
          <w:i/>
          <w:color w:val="000000"/>
        </w:rPr>
        <w:t xml:space="preserve"> </w:t>
      </w:r>
    </w:p>
    <w:p w:rsidR="00E67BBB" w:rsidRPr="00E57920" w:rsidRDefault="00E67BBB">
      <w:pPr>
        <w:spacing w:line="360" w:lineRule="auto"/>
        <w:ind w:left="567" w:right="-697"/>
        <w:jc w:val="both"/>
        <w:rPr>
          <w:rFonts w:ascii="Palatino Linotype" w:eastAsia="Palatino Linotype" w:hAnsi="Palatino Linotype" w:cs="Palatino Linotype"/>
          <w:i/>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lastRenderedPageBreak/>
        <w:t>Así como el artículo 5 fracción III, párrafo vigésimo noveno, trigésimo y trigésimo primero, de la Constitución Política del Estado Libre y Soberano de México, que determina lo siguiente:</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w:t>
      </w:r>
      <w:r w:rsidRPr="00E57920">
        <w:rPr>
          <w:rFonts w:ascii="Palatino Linotype" w:eastAsia="Palatino Linotype" w:hAnsi="Palatino Linotype" w:cs="Palatino Linotype"/>
          <w:b/>
          <w:i/>
          <w:color w:val="000000"/>
          <w:sz w:val="22"/>
          <w:szCs w:val="22"/>
        </w:rPr>
        <w:t>Artículo 5.-</w:t>
      </w:r>
      <w:r w:rsidRPr="00E57920">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E67BBB" w:rsidRPr="00E57920" w:rsidRDefault="00E67126">
      <w:pPr>
        <w:spacing w:line="276" w:lineRule="auto"/>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E67BBB" w:rsidRPr="00E57920" w:rsidRDefault="00E67126">
      <w:pPr>
        <w:spacing w:line="276" w:lineRule="auto"/>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E67BBB" w:rsidRPr="00E57920" w:rsidRDefault="00E67126">
      <w:pPr>
        <w:spacing w:line="276" w:lineRule="auto"/>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E67BBB" w:rsidRPr="00E57920" w:rsidRDefault="00E67BBB">
      <w:pPr>
        <w:spacing w:line="360" w:lineRule="auto"/>
        <w:ind w:left="426" w:right="-130"/>
        <w:jc w:val="both"/>
        <w:rPr>
          <w:rFonts w:ascii="Palatino Linotype" w:eastAsia="Palatino Linotype" w:hAnsi="Palatino Linotype" w:cs="Palatino Linotype"/>
          <w:i/>
          <w:sz w:val="22"/>
          <w:szCs w:val="22"/>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Por otra parte, del contenido del artículo 1 de la Constitución Política de los Estados Unidos mexicanos, se destaca lo siguiente:</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lastRenderedPageBreak/>
        <w:t>"</w:t>
      </w:r>
      <w:r w:rsidRPr="00E57920">
        <w:rPr>
          <w:rFonts w:ascii="Palatino Linotype" w:eastAsia="Palatino Linotype" w:hAnsi="Palatino Linotype" w:cs="Palatino Linotype"/>
          <w:b/>
          <w:i/>
          <w:color w:val="000000"/>
          <w:sz w:val="22"/>
          <w:szCs w:val="22"/>
        </w:rPr>
        <w:t>Artículo 1</w:t>
      </w:r>
      <w:r w:rsidRPr="00E57920">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E67BBB" w:rsidRPr="00E57920" w:rsidRDefault="00E67126">
      <w:pPr>
        <w:pBdr>
          <w:top w:val="nil"/>
          <w:left w:val="nil"/>
          <w:bottom w:val="nil"/>
          <w:right w:val="nil"/>
          <w:between w:val="nil"/>
        </w:pBdr>
        <w:spacing w:line="276" w:lineRule="auto"/>
        <w:ind w:left="425"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E57920">
        <w:rPr>
          <w:rFonts w:ascii="Palatino Linotype" w:eastAsia="Palatino Linotype" w:hAnsi="Palatino Linotype" w:cs="Palatino Linotype"/>
          <w:i/>
        </w:rPr>
        <w:t>derecho fundamental exime a quien lo ejerce</w:t>
      </w:r>
      <w:r w:rsidRPr="00E57920">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 xml:space="preserve">En consecuencia, dado lo expuesto y fundado con anterioridad, se estima que el requisito relativo al nombre del </w:t>
      </w:r>
      <w:r w:rsidRPr="00E57920">
        <w:rPr>
          <w:rFonts w:ascii="Palatino Linotype" w:eastAsia="Palatino Linotype" w:hAnsi="Palatino Linotype" w:cs="Palatino Linotype"/>
          <w:b/>
        </w:rPr>
        <w:t>RECURRENTE</w:t>
      </w:r>
      <w:r w:rsidRPr="00E57920">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w:t>
      </w:r>
      <w:r w:rsidRPr="00E57920">
        <w:rPr>
          <w:rFonts w:ascii="Palatino Linotype" w:eastAsia="Palatino Linotype" w:hAnsi="Palatino Linotype" w:cs="Palatino Linotype"/>
        </w:rPr>
        <w:lastRenderedPageBreak/>
        <w:t>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E67BBB" w:rsidRPr="00E57920" w:rsidRDefault="00E67BBB">
      <w:pPr>
        <w:pBdr>
          <w:top w:val="nil"/>
          <w:left w:val="nil"/>
          <w:bottom w:val="nil"/>
          <w:right w:val="nil"/>
          <w:between w:val="nil"/>
        </w:pBdr>
        <w:spacing w:line="360" w:lineRule="auto"/>
        <w:ind w:left="720" w:right="-697"/>
        <w:jc w:val="both"/>
        <w:rPr>
          <w:rFonts w:ascii="Palatino Linotype" w:eastAsia="Palatino Linotype" w:hAnsi="Palatino Linotype" w:cs="Palatino Linotype"/>
          <w:color w:val="000000"/>
        </w:rPr>
      </w:pPr>
    </w:p>
    <w:p w:rsidR="00E67BBB" w:rsidRPr="00E57920" w:rsidRDefault="00E67126">
      <w:pPr>
        <w:numPr>
          <w:ilvl w:val="0"/>
          <w:numId w:val="1"/>
        </w:numP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Consecuencia de lo anterior, este Órgano Garante advierte que el escrito contiene las </w:t>
      </w:r>
      <w:r w:rsidRPr="00E57920">
        <w:rPr>
          <w:rFonts w:ascii="Palatino Linotype" w:eastAsia="Palatino Linotype" w:hAnsi="Palatino Linotype" w:cs="Palatino Linotype"/>
        </w:rPr>
        <w:t>formalidades</w:t>
      </w:r>
      <w:r w:rsidRPr="00E57920">
        <w:rPr>
          <w:rFonts w:ascii="Palatino Linotype" w:eastAsia="Palatino Linotype" w:hAnsi="Palatino Linotype" w:cs="Palatino Linotype"/>
          <w:color w:val="000000"/>
        </w:rPr>
        <w:t xml:space="preserve"> previstas por el artículo 180 último párrafo de la Ley de Transparencia y Acceso a la </w:t>
      </w:r>
      <w:r w:rsidRPr="00E57920">
        <w:rPr>
          <w:rFonts w:ascii="Palatino Linotype" w:eastAsia="Palatino Linotype" w:hAnsi="Palatino Linotype" w:cs="Palatino Linotype"/>
        </w:rPr>
        <w:t>Información</w:t>
      </w:r>
      <w:r w:rsidRPr="00E57920">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E67BBB" w:rsidRPr="00E57920" w:rsidRDefault="00E67126">
      <w:pPr>
        <w:pStyle w:val="Ttulo1"/>
        <w:spacing w:before="0" w:line="360" w:lineRule="auto"/>
        <w:ind w:right="-697"/>
        <w:jc w:val="both"/>
        <w:rPr>
          <w:rFonts w:ascii="Palatino Linotype" w:eastAsia="Palatino Linotype" w:hAnsi="Palatino Linotype" w:cs="Palatino Linotype"/>
          <w:b/>
          <w:color w:val="000000"/>
          <w:sz w:val="24"/>
          <w:szCs w:val="24"/>
        </w:rPr>
      </w:pPr>
      <w:bookmarkStart w:id="6" w:name="_heading=h.tyjcwt" w:colFirst="0" w:colLast="0"/>
      <w:bookmarkEnd w:id="6"/>
      <w:r w:rsidRPr="00E57920">
        <w:rPr>
          <w:rFonts w:ascii="Palatino Linotype" w:eastAsia="Palatino Linotype" w:hAnsi="Palatino Linotype" w:cs="Palatino Linotype"/>
          <w:b/>
          <w:color w:val="000000"/>
          <w:sz w:val="24"/>
          <w:szCs w:val="24"/>
        </w:rPr>
        <w:t xml:space="preserve">TERCERA. Del planteamiento de la </w:t>
      </w:r>
      <w:r w:rsidRPr="00E57920">
        <w:rPr>
          <w:rFonts w:ascii="Palatino Linotype" w:eastAsia="Palatino Linotype" w:hAnsi="Palatino Linotype" w:cs="Palatino Linotype"/>
          <w:b/>
          <w:i/>
          <w:color w:val="000000"/>
          <w:sz w:val="24"/>
          <w:szCs w:val="24"/>
        </w:rPr>
        <w:t>Litis</w:t>
      </w: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Se solicitó, de manera general la información siguiente:</w:t>
      </w:r>
    </w:p>
    <w:p w:rsidR="00E67BBB" w:rsidRPr="00E57920" w:rsidRDefault="00E67126">
      <w:pPr>
        <w:pBdr>
          <w:top w:val="nil"/>
          <w:left w:val="nil"/>
          <w:bottom w:val="nil"/>
          <w:right w:val="nil"/>
          <w:between w:val="nil"/>
        </w:pBdr>
        <w:spacing w:line="360" w:lineRule="auto"/>
        <w:ind w:left="567"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i/>
          <w:color w:val="000000"/>
          <w:sz w:val="22"/>
          <w:szCs w:val="22"/>
        </w:rPr>
        <w:t xml:space="preserve">“Se solicita al Instituto se informe por medio de su oficina regional en Tlalnepantla de Baz cual es el resultado de la visita de verificación programada con el folio de respuesta 208C0101210000L/0200/2024 al establecimiento denominado Abarrotes la Explanada ubicado en la explanada de la unidad habitacional el Tenayo en Tlalnepantla de Baz. Nombre del establecimiento: Abarrotes la Explanada. Propietario: </w:t>
      </w:r>
      <w:r w:rsidR="008947B9">
        <w:rPr>
          <w:rFonts w:ascii="Palatino Linotype" w:eastAsia="Palatino Linotype" w:hAnsi="Palatino Linotype" w:cs="Palatino Linotype"/>
          <w:i/>
          <w:color w:val="000000"/>
          <w:sz w:val="22"/>
          <w:szCs w:val="22"/>
        </w:rPr>
        <w:t>XXXX</w:t>
      </w:r>
      <w:r w:rsidRPr="00E57920">
        <w:rPr>
          <w:rFonts w:ascii="Palatino Linotype" w:eastAsia="Palatino Linotype" w:hAnsi="Palatino Linotype" w:cs="Palatino Linotype"/>
          <w:i/>
          <w:color w:val="000000"/>
          <w:sz w:val="22"/>
          <w:szCs w:val="22"/>
        </w:rPr>
        <w:t xml:space="preserve">” </w:t>
      </w:r>
      <w:r w:rsidRPr="00E57920">
        <w:rPr>
          <w:rFonts w:ascii="Palatino Linotype" w:eastAsia="Palatino Linotype" w:hAnsi="Palatino Linotype" w:cs="Palatino Linotype"/>
          <w:color w:val="000000"/>
          <w:sz w:val="22"/>
          <w:szCs w:val="22"/>
        </w:rPr>
        <w:t>(Sic)</w:t>
      </w:r>
    </w:p>
    <w:p w:rsidR="00E67BBB" w:rsidRPr="00E57920" w:rsidRDefault="00E67BBB">
      <w:pPr>
        <w:pBdr>
          <w:top w:val="nil"/>
          <w:left w:val="nil"/>
          <w:bottom w:val="nil"/>
          <w:right w:val="nil"/>
          <w:between w:val="nil"/>
        </w:pBdr>
        <w:spacing w:line="360" w:lineRule="auto"/>
        <w:ind w:left="1068" w:right="-130"/>
        <w:jc w:val="both"/>
        <w:rPr>
          <w:rFonts w:ascii="Palatino Linotype" w:eastAsia="Palatino Linotype" w:hAnsi="Palatino Linotype" w:cs="Palatino Linotype"/>
          <w:i/>
          <w:color w:val="000000"/>
          <w:sz w:val="22"/>
          <w:szCs w:val="22"/>
        </w:rPr>
      </w:pPr>
    </w:p>
    <w:p w:rsidR="00E67BBB" w:rsidRPr="00E57920" w:rsidRDefault="00E67126">
      <w:pPr>
        <w:numPr>
          <w:ilvl w:val="0"/>
          <w:numId w:val="1"/>
        </w:numPr>
        <w:spacing w:line="360" w:lineRule="auto"/>
        <w:ind w:left="0" w:right="-697" w:firstLine="0"/>
        <w:jc w:val="both"/>
        <w:rPr>
          <w:color w:val="000000"/>
        </w:rPr>
      </w:pPr>
      <w:r w:rsidRPr="00E57920">
        <w:rPr>
          <w:rFonts w:ascii="Palatino Linotype" w:eastAsia="Palatino Linotype" w:hAnsi="Palatino Linotype" w:cs="Palatino Linotype"/>
        </w:rPr>
        <w:t>En respuesta, el Sujeto Obligado</w:t>
      </w:r>
      <w:r w:rsidRPr="00E57920">
        <w:rPr>
          <w:rFonts w:ascii="Palatino Linotype" w:eastAsia="Palatino Linotype" w:hAnsi="Palatino Linotype" w:cs="Palatino Linotype"/>
          <w:b/>
        </w:rPr>
        <w:t xml:space="preserve"> </w:t>
      </w:r>
      <w:r w:rsidRPr="00E57920">
        <w:rPr>
          <w:rFonts w:ascii="Palatino Linotype" w:eastAsia="Palatino Linotype" w:hAnsi="Palatino Linotype" w:cs="Palatino Linotype"/>
        </w:rPr>
        <w:t>remitió el escrito ya transcrito en el anterior numeral 2. Inconforme con la respuesta, se interpuso recurso de revisión alegando de manera general la entrega de información que no corresponde con lo solicitado.</w:t>
      </w:r>
    </w:p>
    <w:p w:rsidR="00E67BBB" w:rsidRPr="00E57920" w:rsidRDefault="00E67BBB">
      <w:pPr>
        <w:spacing w:line="360" w:lineRule="auto"/>
        <w:ind w:right="-697"/>
        <w:jc w:val="both"/>
        <w:rPr>
          <w:rFonts w:ascii="Palatino Linotype" w:eastAsia="Palatino Linotype" w:hAnsi="Palatino Linotype" w:cs="Palatino Linotype"/>
          <w:color w:val="000000"/>
        </w:rPr>
      </w:pPr>
    </w:p>
    <w:p w:rsidR="00E67BBB" w:rsidRPr="00E57920" w:rsidRDefault="00E67126">
      <w:pPr>
        <w:numPr>
          <w:ilvl w:val="0"/>
          <w:numId w:val="1"/>
        </w:numPr>
        <w:spacing w:line="360" w:lineRule="auto"/>
        <w:ind w:left="0" w:right="-697" w:firstLine="0"/>
        <w:jc w:val="both"/>
      </w:pPr>
      <w:r w:rsidRPr="00E57920">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VI</w:t>
      </w:r>
      <w:r w:rsidRPr="00E57920">
        <w:rPr>
          <w:rFonts w:ascii="Palatino Linotype" w:eastAsia="Palatino Linotype" w:hAnsi="Palatino Linotype" w:cs="Palatino Linotype"/>
          <w:b/>
        </w:rPr>
        <w:t xml:space="preserve"> </w:t>
      </w:r>
      <w:r w:rsidRPr="00E57920">
        <w:rPr>
          <w:rFonts w:ascii="Palatino Linotype" w:eastAsia="Palatino Linotype" w:hAnsi="Palatino Linotype" w:cs="Palatino Linotype"/>
        </w:rPr>
        <w:t>de la Ley de Transparencia y Acceso a la Información Pública del Estado de</w:t>
      </w:r>
      <w:r w:rsidRPr="00E57920">
        <w:rPr>
          <w:rFonts w:ascii="Palatino Linotype" w:eastAsia="Palatino Linotype" w:hAnsi="Palatino Linotype" w:cs="Palatino Linotype"/>
          <w:b/>
        </w:rPr>
        <w:t xml:space="preserve"> </w:t>
      </w:r>
      <w:r w:rsidRPr="00E57920">
        <w:rPr>
          <w:rFonts w:ascii="Palatino Linotype" w:eastAsia="Palatino Linotype" w:hAnsi="Palatino Linotype" w:cs="Palatino Linotype"/>
        </w:rPr>
        <w:t>México</w:t>
      </w:r>
      <w:r w:rsidRPr="00E57920">
        <w:rPr>
          <w:rFonts w:ascii="Palatino Linotype" w:eastAsia="Palatino Linotype" w:hAnsi="Palatino Linotype" w:cs="Palatino Linotype"/>
          <w:b/>
        </w:rPr>
        <w:t xml:space="preserve"> </w:t>
      </w:r>
      <w:r w:rsidRPr="00E57920">
        <w:rPr>
          <w:rFonts w:ascii="Palatino Linotype" w:eastAsia="Palatino Linotype" w:hAnsi="Palatino Linotype" w:cs="Palatino Linotype"/>
        </w:rPr>
        <w:t>y</w:t>
      </w:r>
      <w:r w:rsidRPr="00E57920">
        <w:rPr>
          <w:rFonts w:ascii="Palatino Linotype" w:eastAsia="Palatino Linotype" w:hAnsi="Palatino Linotype" w:cs="Palatino Linotype"/>
          <w:b/>
        </w:rPr>
        <w:t xml:space="preserve"> </w:t>
      </w:r>
      <w:r w:rsidRPr="00E57920">
        <w:rPr>
          <w:rFonts w:ascii="Palatino Linotype" w:eastAsia="Palatino Linotype" w:hAnsi="Palatino Linotype" w:cs="Palatino Linotype"/>
        </w:rPr>
        <w:t xml:space="preserve">Municipios; </w:t>
      </w:r>
      <w:r w:rsidRPr="00E57920">
        <w:rPr>
          <w:rFonts w:ascii="Palatino Linotype" w:eastAsia="Palatino Linotype" w:hAnsi="Palatino Linotype" w:cs="Palatino Linotype"/>
          <w:color w:val="000000"/>
        </w:rPr>
        <w:t xml:space="preserve">fracción que determina la hipótesis relativa a la entrega de información que no corresponde con lo solicitado; </w:t>
      </w:r>
      <w:r w:rsidRPr="00E57920">
        <w:rPr>
          <w:rFonts w:ascii="Palatino Linotype" w:eastAsia="Palatino Linotype" w:hAnsi="Palatino Linotype" w:cs="Palatino Linotype"/>
        </w:rPr>
        <w:t>contexto del cual se dolió el Recurrente al momento de interponer su inconformidad.</w:t>
      </w:r>
      <w:r w:rsidRPr="00E57920">
        <w:rPr>
          <w:rFonts w:ascii="Palatino Linotype" w:eastAsia="Palatino Linotype" w:hAnsi="Palatino Linotype" w:cs="Palatino Linotype"/>
          <w:color w:val="000000"/>
        </w:rPr>
        <w:t xml:space="preserve"> De modo tal que el presente recurso de revisión se </w:t>
      </w:r>
      <w:r w:rsidRPr="00E57920">
        <w:rPr>
          <w:rFonts w:ascii="Palatino Linotype" w:eastAsia="Palatino Linotype" w:hAnsi="Palatino Linotype" w:cs="Palatino Linotype"/>
        </w:rPr>
        <w:t>abocará</w:t>
      </w:r>
      <w:r w:rsidRPr="00E57920">
        <w:rPr>
          <w:rFonts w:ascii="Palatino Linotype" w:eastAsia="Palatino Linotype" w:hAnsi="Palatino Linotype" w:cs="Palatino Linotype"/>
          <w:color w:val="000000"/>
        </w:rPr>
        <w:t xml:space="preserve"> en determinar si el Sujeto Obligado con su respuesta ciertamente actualiza la causal de procedencia</w:t>
      </w:r>
      <w:r w:rsidRPr="00E57920">
        <w:rPr>
          <w:rFonts w:ascii="Palatino Linotype" w:eastAsia="Palatino Linotype" w:hAnsi="Palatino Linotype" w:cs="Palatino Linotype"/>
          <w:b/>
          <w:color w:val="000000"/>
        </w:rPr>
        <w:t xml:space="preserve"> </w:t>
      </w:r>
      <w:r w:rsidRPr="00E57920">
        <w:rPr>
          <w:rFonts w:ascii="Palatino Linotype" w:eastAsia="Palatino Linotype" w:hAnsi="Palatino Linotype" w:cs="Palatino Linotype"/>
          <w:color w:val="000000"/>
        </w:rPr>
        <w:t xml:space="preserve">señalada. </w:t>
      </w:r>
    </w:p>
    <w:p w:rsidR="00E67BBB" w:rsidRPr="00E57920" w:rsidRDefault="00E67BBB">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E67BBB" w:rsidRPr="00E57920" w:rsidRDefault="00E67126">
      <w:pPr>
        <w:spacing w:line="360" w:lineRule="auto"/>
        <w:ind w:right="-697"/>
        <w:jc w:val="both"/>
        <w:rPr>
          <w:rFonts w:ascii="Palatino Linotype" w:eastAsia="Palatino Linotype" w:hAnsi="Palatino Linotype" w:cs="Palatino Linotype"/>
          <w:b/>
        </w:rPr>
      </w:pPr>
      <w:r w:rsidRPr="00E57920">
        <w:rPr>
          <w:rFonts w:ascii="Palatino Linotype" w:eastAsia="Palatino Linotype" w:hAnsi="Palatino Linotype" w:cs="Palatino Linotype"/>
          <w:b/>
        </w:rPr>
        <w:t>CUARTO. Del estudio y resolución</w:t>
      </w:r>
    </w:p>
    <w:p w:rsidR="00E67BBB" w:rsidRPr="00E57920" w:rsidRDefault="00E67126">
      <w:pPr>
        <w:spacing w:line="360" w:lineRule="auto"/>
        <w:ind w:right="-697"/>
        <w:jc w:val="both"/>
        <w:rPr>
          <w:rFonts w:ascii="Palatino Linotype" w:eastAsia="Palatino Linotype" w:hAnsi="Palatino Linotype" w:cs="Palatino Linotype"/>
          <w:b/>
          <w:color w:val="000000"/>
        </w:rPr>
      </w:pPr>
      <w:r w:rsidRPr="00E57920">
        <w:rPr>
          <w:rFonts w:ascii="Palatino Linotype" w:eastAsia="Palatino Linotype" w:hAnsi="Palatino Linotype" w:cs="Palatino Linotype"/>
          <w:b/>
          <w:color w:val="000000"/>
        </w:rPr>
        <w:t xml:space="preserve">Del derecho de acceso a la información. </w:t>
      </w: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lastRenderedPageBreak/>
        <w:t xml:space="preserve">Definiendo el Derecho de Acceso a la Información Pública como: </w:t>
      </w:r>
      <w:r w:rsidRPr="00E57920">
        <w:rPr>
          <w:rFonts w:ascii="Palatino Linotype" w:eastAsia="Palatino Linotype" w:hAnsi="Palatino Linotype" w:cs="Palatino Linotype"/>
          <w:i/>
          <w:color w:val="000000"/>
        </w:rPr>
        <w:t>La igualdad de oportunidades para recibir, buscar e impartir información</w:t>
      </w:r>
      <w:r w:rsidRPr="00E57920">
        <w:rPr>
          <w:rFonts w:ascii="Palatino Linotype" w:eastAsia="Palatino Linotype" w:hAnsi="Palatino Linotype" w:cs="Palatino Linotype"/>
          <w:i/>
          <w:color w:val="000000"/>
          <w:vertAlign w:val="superscript"/>
        </w:rPr>
        <w:footnoteReference w:id="1"/>
      </w:r>
      <w:r w:rsidRPr="00E57920">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57920">
        <w:rPr>
          <w:rFonts w:ascii="Palatino Linotype" w:eastAsia="Palatino Linotype" w:hAnsi="Palatino Linotype" w:cs="Palatino Linotype"/>
          <w:i/>
          <w:color w:val="000000"/>
          <w:vertAlign w:val="superscript"/>
        </w:rPr>
        <w:footnoteReference w:id="2"/>
      </w:r>
      <w:r w:rsidRPr="00E57920">
        <w:rPr>
          <w:rFonts w:ascii="Palatino Linotype" w:eastAsia="Palatino Linotype" w:hAnsi="Palatino Linotype" w:cs="Palatino Linotype"/>
          <w:color w:val="000000"/>
        </w:rPr>
        <w:t>que se constituye como una herramienta fundamental para ejercer</w:t>
      </w:r>
      <w:r w:rsidRPr="00E57920">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E57920">
        <w:rPr>
          <w:rFonts w:ascii="Palatino Linotype" w:eastAsia="Palatino Linotype" w:hAnsi="Palatino Linotype" w:cs="Palatino Linotype"/>
          <w:i/>
          <w:color w:val="000000"/>
          <w:vertAlign w:val="superscript"/>
        </w:rPr>
        <w:footnoteReference w:id="3"/>
      </w:r>
      <w:r w:rsidRPr="00E57920">
        <w:rPr>
          <w:rFonts w:ascii="Palatino Linotype" w:eastAsia="Palatino Linotype" w:hAnsi="Palatino Linotype" w:cs="Palatino Linotype"/>
          <w:color w:val="000000"/>
        </w:rPr>
        <w:t>fomentando</w:t>
      </w:r>
      <w:r w:rsidRPr="00E57920">
        <w:rPr>
          <w:rFonts w:ascii="Palatino Linotype" w:eastAsia="Palatino Linotype" w:hAnsi="Palatino Linotype" w:cs="Palatino Linotype"/>
          <w:i/>
          <w:color w:val="000000"/>
        </w:rPr>
        <w:t xml:space="preserve"> la transparencia de las actividades estatales y </w:t>
      </w:r>
      <w:r w:rsidRPr="00E57920">
        <w:rPr>
          <w:rFonts w:ascii="Palatino Linotype" w:eastAsia="Palatino Linotype" w:hAnsi="Palatino Linotype" w:cs="Palatino Linotype"/>
          <w:color w:val="000000"/>
        </w:rPr>
        <w:t>promoviendo</w:t>
      </w:r>
      <w:r w:rsidRPr="00E57920">
        <w:rPr>
          <w:rFonts w:ascii="Palatino Linotype" w:eastAsia="Palatino Linotype" w:hAnsi="Palatino Linotype" w:cs="Palatino Linotype"/>
          <w:i/>
          <w:color w:val="000000"/>
        </w:rPr>
        <w:t xml:space="preserve"> la responsabilidad de los funcionarios sobre su gestión pública,</w:t>
      </w:r>
      <w:r w:rsidRPr="00E57920">
        <w:rPr>
          <w:rFonts w:ascii="Palatino Linotype" w:eastAsia="Palatino Linotype" w:hAnsi="Palatino Linotype" w:cs="Palatino Linotype"/>
          <w:i/>
          <w:color w:val="000000"/>
          <w:vertAlign w:val="superscript"/>
        </w:rPr>
        <w:footnoteReference w:id="4"/>
      </w:r>
      <w:r w:rsidRPr="00E57920">
        <w:rPr>
          <w:rFonts w:ascii="Palatino Linotype" w:eastAsia="Palatino Linotype" w:hAnsi="Palatino Linotype" w:cs="Palatino Linotype"/>
          <w:color w:val="000000"/>
        </w:rPr>
        <w:t>que permite</w:t>
      </w:r>
      <w:r w:rsidRPr="00E57920">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E57920">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E67BBB" w:rsidRPr="00E57920" w:rsidRDefault="00E67126">
      <w:pPr>
        <w:spacing w:line="276" w:lineRule="auto"/>
        <w:ind w:left="1134" w:right="1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r w:rsidRPr="00E57920">
        <w:rPr>
          <w:rFonts w:ascii="Palatino Linotype" w:eastAsia="Palatino Linotype" w:hAnsi="Palatino Linotype" w:cs="Palatino Linotype"/>
          <w:b/>
          <w:i/>
          <w:sz w:val="22"/>
          <w:szCs w:val="22"/>
        </w:rPr>
        <w:t>Artículo 1.-</w:t>
      </w:r>
      <w:r w:rsidRPr="00E57920">
        <w:rPr>
          <w:rFonts w:ascii="Palatino Linotype" w:eastAsia="Palatino Linotype" w:hAnsi="Palatino Linotype" w:cs="Palatino Linotype"/>
          <w:i/>
          <w:sz w:val="22"/>
          <w:szCs w:val="22"/>
        </w:rPr>
        <w:t xml:space="preserve"> </w:t>
      </w:r>
    </w:p>
    <w:p w:rsidR="00E67BBB" w:rsidRPr="00E57920" w:rsidRDefault="00E67126">
      <w:pPr>
        <w:spacing w:line="276" w:lineRule="auto"/>
        <w:ind w:left="1134" w:right="1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p>
    <w:p w:rsidR="00E67BBB" w:rsidRPr="00E57920" w:rsidRDefault="00E67126">
      <w:pPr>
        <w:spacing w:line="276" w:lineRule="auto"/>
        <w:ind w:left="1134" w:right="1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Todas las</w:t>
      </w:r>
      <w:r w:rsidRPr="00E57920">
        <w:rPr>
          <w:rFonts w:ascii="Palatino Linotype" w:eastAsia="Palatino Linotype" w:hAnsi="Palatino Linotype" w:cs="Palatino Linotype"/>
          <w:sz w:val="22"/>
          <w:szCs w:val="22"/>
        </w:rPr>
        <w:t xml:space="preserve"> </w:t>
      </w:r>
      <w:r w:rsidRPr="00E57920">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67BBB" w:rsidRPr="00E57920" w:rsidRDefault="00E67126">
      <w:pPr>
        <w:spacing w:line="276" w:lineRule="auto"/>
        <w:ind w:left="1134" w:right="10"/>
        <w:jc w:val="both"/>
        <w:rPr>
          <w:rFonts w:ascii="Palatino Linotype" w:eastAsia="Palatino Linotype" w:hAnsi="Palatino Linotype" w:cs="Palatino Linotype"/>
          <w:sz w:val="22"/>
          <w:szCs w:val="22"/>
        </w:rPr>
      </w:pPr>
      <w:r w:rsidRPr="00E57920">
        <w:rPr>
          <w:rFonts w:ascii="Palatino Linotype" w:eastAsia="Palatino Linotype" w:hAnsi="Palatino Linotype" w:cs="Palatino Linotype"/>
          <w:i/>
          <w:sz w:val="22"/>
          <w:szCs w:val="22"/>
        </w:rPr>
        <w:t>(…)</w:t>
      </w:r>
      <w:r w:rsidRPr="00E57920">
        <w:rPr>
          <w:rFonts w:ascii="Palatino Linotype" w:eastAsia="Palatino Linotype" w:hAnsi="Palatino Linotype" w:cs="Palatino Linotype"/>
          <w:sz w:val="22"/>
          <w:szCs w:val="22"/>
        </w:rPr>
        <w:t>”.</w:t>
      </w:r>
    </w:p>
    <w:p w:rsidR="00E67BBB" w:rsidRPr="00E57920" w:rsidRDefault="00E67BBB">
      <w:pPr>
        <w:spacing w:line="360" w:lineRule="auto"/>
        <w:ind w:right="-697"/>
        <w:jc w:val="both"/>
        <w:rPr>
          <w:rFonts w:ascii="Palatino Linotype" w:eastAsia="Palatino Linotype" w:hAnsi="Palatino Linotype" w:cs="Palatino Linotype"/>
          <w:b/>
        </w:rPr>
      </w:pPr>
    </w:p>
    <w:p w:rsidR="00E67BBB" w:rsidRPr="00E57920" w:rsidRDefault="00E67126">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E57920">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E57920">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E67BBB" w:rsidRPr="00E57920" w:rsidRDefault="00E67126">
      <w:pPr>
        <w:spacing w:after="240"/>
        <w:ind w:left="1134" w:right="-13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Constitución Política de los Estados Unidos Mexicanos</w:t>
      </w:r>
    </w:p>
    <w:p w:rsidR="00E67BBB" w:rsidRPr="00E57920" w:rsidRDefault="00E67126">
      <w:pPr>
        <w:spacing w:before="240" w:after="240"/>
        <w:ind w:left="1134" w:right="-13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“Artículo 6.</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Para efectos de lo dispuesto en el presente artículo se observará lo siguiente:</w:t>
      </w:r>
    </w:p>
    <w:p w:rsidR="00E67BBB" w:rsidRPr="00E57920" w:rsidRDefault="00E67126">
      <w:pPr>
        <w:spacing w:before="240" w:after="240"/>
        <w:ind w:left="1134" w:right="-13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A</w:t>
      </w:r>
      <w:r w:rsidRPr="00E57920">
        <w:rPr>
          <w:rFonts w:ascii="Palatino Linotype" w:eastAsia="Palatino Linotype" w:hAnsi="Palatino Linotype" w:cs="Palatino Linotype"/>
          <w:i/>
          <w:sz w:val="22"/>
          <w:szCs w:val="22"/>
        </w:rPr>
        <w:t xml:space="preserve">. </w:t>
      </w:r>
      <w:r w:rsidRPr="00E57920">
        <w:rPr>
          <w:rFonts w:ascii="Palatino Linotype" w:eastAsia="Palatino Linotype" w:hAnsi="Palatino Linotype" w:cs="Palatino Linotype"/>
          <w:b/>
          <w:i/>
          <w:sz w:val="22"/>
          <w:szCs w:val="22"/>
        </w:rPr>
        <w:t>Para el ejercicio del derecho de acceso a la información</w:t>
      </w:r>
      <w:r w:rsidRPr="00E57920">
        <w:rPr>
          <w:rFonts w:ascii="Palatino Linotype" w:eastAsia="Palatino Linotype" w:hAnsi="Palatino Linotype" w:cs="Palatino Linotype"/>
          <w:i/>
          <w:sz w:val="22"/>
          <w:szCs w:val="22"/>
        </w:rPr>
        <w:t xml:space="preserve">, la Federación y </w:t>
      </w:r>
      <w:r w:rsidRPr="00E57920">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b/>
          <w:i/>
          <w:sz w:val="22"/>
          <w:szCs w:val="22"/>
        </w:rPr>
        <w:t xml:space="preserve">I. </w:t>
      </w:r>
      <w:r w:rsidRPr="00E57920">
        <w:rPr>
          <w:rFonts w:ascii="Palatino Linotype" w:eastAsia="Palatino Linotype" w:hAnsi="Palatino Linotype" w:cs="Palatino Linotype"/>
          <w:b/>
          <w:i/>
          <w:sz w:val="22"/>
          <w:szCs w:val="22"/>
        </w:rPr>
        <w:tab/>
        <w:t>Toda la información en posesión de cualquier</w:t>
      </w:r>
      <w:r w:rsidRPr="00E57920">
        <w:rPr>
          <w:rFonts w:ascii="Palatino Linotype" w:eastAsia="Palatino Linotype" w:hAnsi="Palatino Linotype" w:cs="Palatino Linotype"/>
          <w:i/>
          <w:sz w:val="22"/>
          <w:szCs w:val="22"/>
        </w:rPr>
        <w:t xml:space="preserve"> </w:t>
      </w:r>
      <w:r w:rsidRPr="00E57920">
        <w:rPr>
          <w:rFonts w:ascii="Palatino Linotype" w:eastAsia="Palatino Linotype" w:hAnsi="Palatino Linotype" w:cs="Palatino Linotype"/>
          <w:b/>
          <w:i/>
          <w:sz w:val="22"/>
          <w:szCs w:val="22"/>
        </w:rPr>
        <w:t>autoridad</w:t>
      </w:r>
      <w:r w:rsidRPr="00E57920">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57920">
        <w:rPr>
          <w:rFonts w:ascii="Palatino Linotype" w:eastAsia="Palatino Linotype" w:hAnsi="Palatino Linotype" w:cs="Palatino Linotype"/>
          <w:b/>
          <w:i/>
          <w:sz w:val="22"/>
          <w:szCs w:val="22"/>
        </w:rPr>
        <w:t>municipal</w:t>
      </w:r>
      <w:r w:rsidRPr="00E57920">
        <w:rPr>
          <w:rFonts w:ascii="Palatino Linotype" w:eastAsia="Palatino Linotype" w:hAnsi="Palatino Linotype" w:cs="Palatino Linotype"/>
          <w:i/>
          <w:sz w:val="22"/>
          <w:szCs w:val="22"/>
        </w:rPr>
        <w:t xml:space="preserve">, </w:t>
      </w:r>
      <w:r w:rsidRPr="00E57920">
        <w:rPr>
          <w:rFonts w:ascii="Palatino Linotype" w:eastAsia="Palatino Linotype" w:hAnsi="Palatino Linotype" w:cs="Palatino Linotype"/>
          <w:b/>
          <w:i/>
          <w:sz w:val="22"/>
          <w:szCs w:val="22"/>
        </w:rPr>
        <w:t>es pública</w:t>
      </w:r>
      <w:r w:rsidRPr="00E57920">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E57920">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E57920">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67BBB" w:rsidRPr="00E57920" w:rsidRDefault="00E67BBB">
      <w:pPr>
        <w:pBdr>
          <w:top w:val="nil"/>
          <w:left w:val="nil"/>
          <w:bottom w:val="nil"/>
          <w:right w:val="nil"/>
          <w:between w:val="nil"/>
        </w:pBdr>
        <w:tabs>
          <w:tab w:val="left" w:pos="567"/>
        </w:tabs>
        <w:spacing w:before="240" w:after="240"/>
        <w:ind w:left="1134" w:right="-130"/>
        <w:jc w:val="both"/>
        <w:rPr>
          <w:rFonts w:ascii="Palatino Linotype" w:eastAsia="Palatino Linotype" w:hAnsi="Palatino Linotype" w:cs="Palatino Linotype"/>
          <w:b/>
          <w:i/>
          <w:color w:val="000000"/>
          <w:sz w:val="22"/>
          <w:szCs w:val="22"/>
        </w:rPr>
      </w:pPr>
    </w:p>
    <w:p w:rsidR="00E67BBB" w:rsidRPr="00E57920" w:rsidRDefault="00E67126">
      <w:pPr>
        <w:spacing w:before="240" w:after="240"/>
        <w:ind w:left="1134" w:right="-13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Constitución Política del Estado Libre y Soberano de México</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b/>
          <w:i/>
          <w:sz w:val="22"/>
          <w:szCs w:val="22"/>
        </w:rPr>
        <w:t>“Artículo 5</w:t>
      </w:r>
      <w:r w:rsidRPr="00E57920">
        <w:rPr>
          <w:rFonts w:ascii="Palatino Linotype" w:eastAsia="Palatino Linotype" w:hAnsi="Palatino Linotype" w:cs="Palatino Linotype"/>
          <w:i/>
          <w:sz w:val="22"/>
          <w:szCs w:val="22"/>
        </w:rPr>
        <w:t xml:space="preserve">.- </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E57920">
        <w:rPr>
          <w:rFonts w:ascii="Palatino Linotype" w:eastAsia="Palatino Linotype" w:hAnsi="Palatino Linotype" w:cs="Palatino Linotype"/>
          <w:i/>
          <w:sz w:val="22"/>
          <w:szCs w:val="22"/>
        </w:rPr>
        <w:t>.</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67BBB" w:rsidRPr="00E57920" w:rsidRDefault="00E67126">
      <w:pPr>
        <w:spacing w:before="240" w:after="240"/>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b/>
          <w:i/>
          <w:sz w:val="22"/>
          <w:szCs w:val="22"/>
        </w:rPr>
        <w:t>Este derecho se regirá por los principios y bases siguientes</w:t>
      </w:r>
      <w:r w:rsidRPr="00E57920">
        <w:rPr>
          <w:rFonts w:ascii="Palatino Linotype" w:eastAsia="Palatino Linotype" w:hAnsi="Palatino Linotype" w:cs="Palatino Linotype"/>
          <w:i/>
          <w:sz w:val="22"/>
          <w:szCs w:val="22"/>
        </w:rPr>
        <w:t>:</w:t>
      </w:r>
    </w:p>
    <w:p w:rsidR="00E67BBB" w:rsidRPr="00E57920" w:rsidRDefault="00E67126">
      <w:pPr>
        <w:ind w:left="1134"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b/>
          <w:i/>
          <w:sz w:val="22"/>
          <w:szCs w:val="22"/>
        </w:rPr>
        <w:t>I. Toda la información en posesión de cualquier autoridad, entidad, órgano y organismos de los</w:t>
      </w:r>
      <w:r w:rsidRPr="00E57920">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E57920">
        <w:rPr>
          <w:rFonts w:ascii="Palatino Linotype" w:eastAsia="Palatino Linotype" w:hAnsi="Palatino Linotype" w:cs="Palatino Linotype"/>
          <w:b/>
          <w:i/>
          <w:sz w:val="22"/>
          <w:szCs w:val="22"/>
        </w:rPr>
        <w:t>municipales</w:t>
      </w:r>
      <w:r w:rsidRPr="00E57920">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57920">
        <w:rPr>
          <w:rFonts w:ascii="Palatino Linotype" w:eastAsia="Palatino Linotype" w:hAnsi="Palatino Linotype" w:cs="Palatino Linotype"/>
          <w:b/>
          <w:i/>
          <w:sz w:val="22"/>
          <w:szCs w:val="22"/>
        </w:rPr>
        <w:t>es pública</w:t>
      </w:r>
      <w:r w:rsidRPr="00E57920">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E57920">
        <w:rPr>
          <w:rFonts w:ascii="Palatino Linotype" w:eastAsia="Palatino Linotype" w:hAnsi="Palatino Linotype" w:cs="Palatino Linotype"/>
          <w:b/>
          <w:i/>
          <w:sz w:val="22"/>
          <w:szCs w:val="22"/>
        </w:rPr>
        <w:t>En la interpretación de este derecho deberá prevalecer el principio de máxima publicidad</w:t>
      </w:r>
      <w:r w:rsidRPr="00E57920">
        <w:rPr>
          <w:rFonts w:ascii="Palatino Linotype" w:eastAsia="Palatino Linotype" w:hAnsi="Palatino Linotype" w:cs="Palatino Linotype"/>
          <w:i/>
          <w:sz w:val="22"/>
          <w:szCs w:val="22"/>
        </w:rPr>
        <w:t xml:space="preserve">. </w:t>
      </w:r>
      <w:r w:rsidRPr="00E57920">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E57920">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67BBB" w:rsidRPr="00E57920" w:rsidRDefault="00E67BBB">
      <w:pPr>
        <w:spacing w:line="360" w:lineRule="auto"/>
        <w:ind w:left="1134" w:right="-697"/>
        <w:jc w:val="both"/>
        <w:rPr>
          <w:rFonts w:ascii="Palatino Linotype" w:eastAsia="Palatino Linotype" w:hAnsi="Palatino Linotype" w:cs="Palatino Linotype"/>
          <w:i/>
        </w:rPr>
      </w:pPr>
    </w:p>
    <w:p w:rsidR="00E67BBB" w:rsidRPr="00E57920" w:rsidRDefault="00E67126">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Según el artículo 150 de la Ley de Transparencia del Estado, la solicitud es la garantía primaria del Derecho de Acceso a la Información, además, establece que se regirá </w:t>
      </w:r>
      <w:r w:rsidRPr="00E57920">
        <w:rPr>
          <w:rFonts w:ascii="Palatino Linotype" w:eastAsia="Palatino Linotype" w:hAnsi="Palatino Linotype" w:cs="Palatino Linotype"/>
          <w:i/>
          <w:color w:val="000000"/>
        </w:rPr>
        <w:t>por los principios de simplicidad, rapidez gratuidad del procedimiento, auxilio y orientación a los particulares</w:t>
      </w:r>
      <w:r w:rsidRPr="00E57920">
        <w:rPr>
          <w:rFonts w:ascii="Palatino Linotype" w:eastAsia="Palatino Linotype" w:hAnsi="Palatino Linotype" w:cs="Palatino Linotype"/>
          <w:color w:val="000000"/>
        </w:rPr>
        <w:t>, contemplando el derecho de las personas con discapacidad y hablantes de lengua indígena.</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E57920">
        <w:rPr>
          <w:rFonts w:ascii="Palatino Linotype" w:eastAsia="Palatino Linotype" w:hAnsi="Palatino Linotype" w:cs="Palatino Linotype"/>
          <w:i/>
          <w:color w:val="000000"/>
        </w:rPr>
        <w:t>solicitudes de acceso a la información</w:t>
      </w:r>
      <w:r w:rsidRPr="00E57920">
        <w:rPr>
          <w:rFonts w:ascii="Palatino Linotype" w:eastAsia="Palatino Linotype" w:hAnsi="Palatino Linotype" w:cs="Palatino Linotype"/>
          <w:color w:val="000000"/>
        </w:rPr>
        <w:t>.</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tabs>
          <w:tab w:val="left" w:pos="426"/>
        </w:tabs>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Así entonces, se procede analizar, en primer lugar, si el </w:t>
      </w:r>
      <w:r w:rsidRPr="00E57920">
        <w:rPr>
          <w:rFonts w:ascii="Palatino Linotype" w:eastAsia="Palatino Linotype" w:hAnsi="Palatino Linotype" w:cs="Palatino Linotype"/>
          <w:b/>
          <w:color w:val="000000"/>
        </w:rPr>
        <w:t>SUJETO OBLIGADO</w:t>
      </w:r>
      <w:r w:rsidRPr="00E57920">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E67BBB" w:rsidRPr="00E57920" w:rsidRDefault="00E67BBB">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bookmarkStart w:id="7" w:name="_heading=h.3rdcrjn" w:colFirst="0" w:colLast="0"/>
      <w:bookmarkEnd w:id="7"/>
      <w:r w:rsidRPr="00E57920">
        <w:rPr>
          <w:rFonts w:ascii="Palatino Linotype" w:eastAsia="Palatino Linotype" w:hAnsi="Palatino Linotype" w:cs="Palatino Linotype"/>
          <w:color w:val="000000"/>
        </w:rPr>
        <w:t xml:space="preserve">Antes de entrar al análisis de los pronunciamientos del </w:t>
      </w:r>
      <w:r w:rsidRPr="00E57920">
        <w:rPr>
          <w:rFonts w:ascii="Palatino Linotype" w:eastAsia="Palatino Linotype" w:hAnsi="Palatino Linotype" w:cs="Palatino Linotype"/>
          <w:b/>
          <w:color w:val="000000"/>
        </w:rPr>
        <w:t>Sujeto Obligado</w:t>
      </w:r>
      <w:r w:rsidRPr="00E57920">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internacionales de los cuales el Estado Mexicano se ha adherido, sin oponer reserva alguna sobre lo que nos interesa, adopten dichas disposiciones al Derecho Interno, específicamente a nivel Constitucional, tal y como lo prevén los arábigos 1 párrafos primero, segundo y tercero y 6 apartado A fracciones I, II, III, IV, V, VI y VII. </w:t>
      </w:r>
    </w:p>
    <w:p w:rsidR="00E67BBB" w:rsidRPr="00E57920" w:rsidRDefault="00E67BBB">
      <w:pPr>
        <w:pBdr>
          <w:top w:val="nil"/>
          <w:left w:val="nil"/>
          <w:bottom w:val="nil"/>
          <w:right w:val="nil"/>
          <w:between w:val="nil"/>
        </w:pBdr>
        <w:spacing w:line="360" w:lineRule="auto"/>
        <w:ind w:right="-697"/>
        <w:jc w:val="both"/>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r w:rsidRPr="00E57920">
        <w:rPr>
          <w:rFonts w:ascii="Palatino Linotype" w:eastAsia="Palatino Linotype" w:hAnsi="Palatino Linotype" w:cs="Palatino Linotype"/>
          <w:color w:val="000000"/>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w:t>
      </w:r>
      <w:r w:rsidRPr="00E57920">
        <w:rPr>
          <w:rFonts w:ascii="Palatino Linotype" w:eastAsia="Palatino Linotype" w:hAnsi="Palatino Linotype" w:cs="Palatino Linotype"/>
          <w:color w:val="000000"/>
        </w:rPr>
        <w:lastRenderedPageBreak/>
        <w:t>permanente a cualquier persona, privilegiando el principio de máxima publicidad, como así lo establece dicha determinación.</w:t>
      </w:r>
    </w:p>
    <w:p w:rsidR="00E67BBB" w:rsidRPr="00E57920" w:rsidRDefault="00E67BBB">
      <w:pPr>
        <w:pBdr>
          <w:top w:val="nil"/>
          <w:left w:val="nil"/>
          <w:bottom w:val="nil"/>
          <w:right w:val="nil"/>
          <w:between w:val="nil"/>
        </w:pBdr>
        <w:spacing w:line="360" w:lineRule="auto"/>
        <w:ind w:left="720" w:right="-697"/>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r w:rsidRPr="00E57920">
        <w:rPr>
          <w:rFonts w:ascii="Palatino Linotype" w:eastAsia="Palatino Linotype" w:hAnsi="Palatino Linotype" w:cs="Palatino Linotype"/>
          <w:color w:val="000000"/>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Pr="00E57920">
        <w:rPr>
          <w:rFonts w:ascii="Palatino Linotype" w:eastAsia="Palatino Linotype" w:hAnsi="Palatino Linotype" w:cs="Palatino Linotype"/>
          <w:i/>
          <w:color w:val="000000"/>
        </w:rPr>
        <w:t xml:space="preserve"> </w:t>
      </w:r>
    </w:p>
    <w:p w:rsidR="00E67BBB" w:rsidRPr="00E57920" w:rsidRDefault="00E67BBB">
      <w:pPr>
        <w:pBdr>
          <w:top w:val="nil"/>
          <w:left w:val="nil"/>
          <w:bottom w:val="nil"/>
          <w:right w:val="nil"/>
          <w:between w:val="nil"/>
        </w:pBdr>
        <w:spacing w:line="360" w:lineRule="auto"/>
        <w:ind w:left="720" w:right="-697"/>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r w:rsidRPr="00E57920">
        <w:rPr>
          <w:rFonts w:ascii="Palatino Linotype" w:eastAsia="Palatino Linotype" w:hAnsi="Palatino Linotype" w:cs="Palatino Linotype"/>
          <w:color w:val="000000"/>
        </w:rPr>
        <w:t>Es decir, que el derecho de acceso a la información pública se satisface en aquellos casos en que se entregue documento en que conste la información requerida, toda vez que, los Sujetos Obligados</w:t>
      </w:r>
      <w:r w:rsidRPr="00E57920">
        <w:rPr>
          <w:rFonts w:ascii="Palatino Linotype" w:eastAsia="Palatino Linotype" w:hAnsi="Palatino Linotype" w:cs="Palatino Linotype"/>
          <w:b/>
          <w:color w:val="000000"/>
        </w:rPr>
        <w:t xml:space="preserve"> </w:t>
      </w:r>
      <w:r w:rsidRPr="00E57920">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un documento </w:t>
      </w:r>
      <w:r w:rsidRPr="00E57920">
        <w:rPr>
          <w:rFonts w:ascii="Palatino Linotype" w:eastAsia="Palatino Linotype" w:hAnsi="Palatino Linotype" w:cs="Palatino Linotype"/>
          <w:i/>
          <w:color w:val="000000"/>
        </w:rPr>
        <w:t>ad hoc</w:t>
      </w:r>
      <w:r w:rsidRPr="00E57920">
        <w:rPr>
          <w:rFonts w:ascii="Palatino Linotype" w:eastAsia="Palatino Linotype" w:hAnsi="Palatino Linotype" w:cs="Palatino Linotype"/>
          <w:color w:val="000000"/>
        </w:rPr>
        <w:t xml:space="preserve">, para satisfacer el derecho de acceso a la información pública, como así lo establece el criterio 03/17 emitido por el Instituto Nacional de Transparencia, Acceso a la Información Pública y Protección de Datos Personales. </w:t>
      </w:r>
    </w:p>
    <w:p w:rsidR="00E67BBB" w:rsidRPr="00E57920" w:rsidRDefault="00E67BBB">
      <w:pPr>
        <w:pBdr>
          <w:top w:val="nil"/>
          <w:left w:val="nil"/>
          <w:bottom w:val="nil"/>
          <w:right w:val="nil"/>
          <w:between w:val="nil"/>
        </w:pBdr>
        <w:spacing w:line="360" w:lineRule="auto"/>
        <w:ind w:left="720" w:right="-697"/>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r w:rsidRPr="00E57920">
        <w:rPr>
          <w:rFonts w:ascii="Palatino Linotype" w:eastAsia="Palatino Linotype" w:hAnsi="Palatino Linotype" w:cs="Palatino Linotype"/>
          <w:color w:val="000000"/>
        </w:rPr>
        <w:t>Por otra parte, y aunado a lo antepuesto, en el último párrafo del artículo 12, de la Ley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E67BBB" w:rsidRPr="00E57920" w:rsidRDefault="00E67BBB">
      <w:pPr>
        <w:pBdr>
          <w:top w:val="nil"/>
          <w:left w:val="nil"/>
          <w:bottom w:val="nil"/>
          <w:right w:val="nil"/>
          <w:between w:val="nil"/>
        </w:pBdr>
        <w:spacing w:line="360" w:lineRule="auto"/>
        <w:ind w:right="-697"/>
        <w:jc w:val="both"/>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r w:rsidRPr="00E57920">
        <w:rPr>
          <w:rFonts w:ascii="Palatino Linotype" w:eastAsia="Palatino Linotype" w:hAnsi="Palatino Linotype" w:cs="Palatino Linotype"/>
          <w:color w:val="000000"/>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E67BBB" w:rsidRPr="00E57920" w:rsidRDefault="00E67BBB">
      <w:pPr>
        <w:pBdr>
          <w:top w:val="nil"/>
          <w:left w:val="nil"/>
          <w:bottom w:val="nil"/>
          <w:right w:val="nil"/>
          <w:between w:val="nil"/>
        </w:pBdr>
        <w:spacing w:line="360" w:lineRule="auto"/>
        <w:ind w:left="720" w:right="-697"/>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r w:rsidRPr="00E57920">
        <w:rPr>
          <w:rFonts w:ascii="Palatino Linotype" w:eastAsia="Palatino Linotype" w:hAnsi="Palatino Linotype" w:cs="Palatino Linotype"/>
          <w:color w:val="000000"/>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w:t>
      </w:r>
    </w:p>
    <w:p w:rsidR="00E67BBB" w:rsidRPr="00E57920" w:rsidRDefault="00E67BBB">
      <w:pPr>
        <w:pBdr>
          <w:top w:val="nil"/>
          <w:left w:val="nil"/>
          <w:bottom w:val="nil"/>
          <w:right w:val="nil"/>
          <w:between w:val="nil"/>
        </w:pBdr>
        <w:spacing w:line="360" w:lineRule="auto"/>
        <w:ind w:left="720" w:right="-697"/>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pPr>
      <w:r w:rsidRPr="00E57920">
        <w:rPr>
          <w:rFonts w:ascii="Palatino Linotype" w:eastAsia="Palatino Linotype" w:hAnsi="Palatino Linotype" w:cs="Palatino Linotype"/>
          <w:color w:val="000000"/>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p>
    <w:p w:rsidR="00E67BBB" w:rsidRPr="00E57920" w:rsidRDefault="00E67BBB">
      <w:pPr>
        <w:pBdr>
          <w:top w:val="nil"/>
          <w:left w:val="nil"/>
          <w:bottom w:val="nil"/>
          <w:right w:val="nil"/>
          <w:between w:val="nil"/>
        </w:pBdr>
        <w:spacing w:line="360" w:lineRule="auto"/>
        <w:ind w:left="720" w:right="-697"/>
        <w:rPr>
          <w:rFonts w:ascii="Century Gothic" w:eastAsia="Century Gothic" w:hAnsi="Century Gothic" w:cs="Century Gothic"/>
          <w:color w:val="000000"/>
        </w:rPr>
      </w:pPr>
    </w:p>
    <w:p w:rsidR="00E67BBB" w:rsidRPr="00E57920" w:rsidRDefault="00E67126">
      <w:pPr>
        <w:numPr>
          <w:ilvl w:val="0"/>
          <w:numId w:val="1"/>
        </w:numPr>
        <w:pBdr>
          <w:top w:val="nil"/>
          <w:left w:val="nil"/>
          <w:bottom w:val="nil"/>
          <w:right w:val="nil"/>
          <w:between w:val="nil"/>
        </w:pBdr>
        <w:tabs>
          <w:tab w:val="left" w:pos="426"/>
        </w:tabs>
        <w:spacing w:line="360" w:lineRule="auto"/>
        <w:ind w:left="0" w:right="-697" w:firstLine="0"/>
        <w:jc w:val="both"/>
      </w:pPr>
      <w:r w:rsidRPr="00E57920">
        <w:rPr>
          <w:rFonts w:ascii="Palatino Linotype" w:eastAsia="Palatino Linotype" w:hAnsi="Palatino Linotype" w:cs="Palatino Linotype"/>
          <w:color w:val="000000"/>
        </w:rPr>
        <w:t xml:space="preserve">De ahí que el </w:t>
      </w:r>
      <w:r w:rsidRPr="00E57920">
        <w:rPr>
          <w:rFonts w:ascii="Palatino Linotype" w:eastAsia="Palatino Linotype" w:hAnsi="Palatino Linotype" w:cs="Palatino Linotype"/>
          <w:b/>
          <w:color w:val="000000"/>
        </w:rPr>
        <w:t>Sujeto Obligado</w:t>
      </w:r>
      <w:r w:rsidRPr="00E57920">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w:t>
      </w:r>
      <w:r w:rsidRPr="00E57920">
        <w:rPr>
          <w:rFonts w:ascii="Palatino Linotype" w:eastAsia="Palatino Linotype" w:hAnsi="Palatino Linotype" w:cs="Palatino Linotype"/>
          <w:color w:val="000000"/>
        </w:rPr>
        <w:lastRenderedPageBreak/>
        <w:t>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rsidR="00E67BBB" w:rsidRPr="00E57920" w:rsidRDefault="00E67BBB">
      <w:pPr>
        <w:pBdr>
          <w:top w:val="nil"/>
          <w:left w:val="nil"/>
          <w:bottom w:val="nil"/>
          <w:right w:val="nil"/>
          <w:between w:val="nil"/>
        </w:pBdr>
        <w:spacing w:line="360" w:lineRule="auto"/>
        <w:ind w:left="4754"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Ahora bien, para profundizar en el estudio del presente asunto, es conveniente recordar que la parte solicitante requirió al </w:t>
      </w:r>
      <w:r w:rsidRPr="00E57920">
        <w:rPr>
          <w:rFonts w:ascii="Palatino Linotype" w:eastAsia="Palatino Linotype" w:hAnsi="Palatino Linotype" w:cs="Palatino Linotype"/>
          <w:b/>
          <w:color w:val="000000"/>
        </w:rPr>
        <w:t>Sujeto Obligado</w:t>
      </w:r>
      <w:r w:rsidRPr="00E57920">
        <w:rPr>
          <w:rFonts w:ascii="Palatino Linotype" w:eastAsia="Palatino Linotype" w:hAnsi="Palatino Linotype" w:cs="Palatino Linotype"/>
          <w:color w:val="000000"/>
        </w:rPr>
        <w:t xml:space="preserve">, que por medio de su oficina regional de Tlalnepantla de Baz, informara cual es el resultado de la visita de verificación programada con el folio de respuesta 208C0101210000L/0200/2024 al establecimiento denominado Abarrotes la Explanada ubicado en la explanada de la Unidad Habitacional el Tenayo en Tlalnepantla de Baz, Nombre del establecimiento: Abarrotes la Explanada, Propietario: </w:t>
      </w:r>
      <w:r w:rsidR="008947B9">
        <w:rPr>
          <w:rFonts w:ascii="Palatino Linotype" w:eastAsia="Palatino Linotype" w:hAnsi="Palatino Linotype" w:cs="Palatino Linotype"/>
          <w:color w:val="000000"/>
        </w:rPr>
        <w:t>XXXX</w:t>
      </w:r>
      <w:r w:rsidRPr="00E57920">
        <w:rPr>
          <w:rFonts w:ascii="Palatino Linotype" w:eastAsia="Palatino Linotype" w:hAnsi="Palatino Linotype" w:cs="Palatino Linotype"/>
          <w:color w:val="000000"/>
        </w:rPr>
        <w:t>.</w:t>
      </w:r>
    </w:p>
    <w:p w:rsidR="00E67BBB" w:rsidRPr="00E57920" w:rsidRDefault="00E67BBB">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rFonts w:eastAsia="Calibri"/>
          <w:color w:val="000000"/>
        </w:rPr>
      </w:pPr>
      <w:r w:rsidRPr="00E57920">
        <w:rPr>
          <w:rFonts w:ascii="Palatino Linotype" w:eastAsia="Palatino Linotype" w:hAnsi="Palatino Linotype" w:cs="Palatino Linotype"/>
          <w:color w:val="000000"/>
        </w:rPr>
        <w:t>El Sujeto Obligado, en respuesta remitió la información solicitada, ya descrita en el numeral 2, misma que fue proporcionada por el Servidor Público Habilitado.</w:t>
      </w:r>
    </w:p>
    <w:p w:rsidR="00E67BBB" w:rsidRPr="00E57920" w:rsidRDefault="00E67BBB">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Siguiendo con el estudio de la presente, es importante visualizar parte del organigrama del Instituto de Salud del Estado de México, en donde se ubica la Dirección de Regulación Sanitaria:</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E67BBB" w:rsidRPr="00E57920" w:rsidRDefault="00E67126">
      <w:pPr>
        <w:pBdr>
          <w:top w:val="nil"/>
          <w:left w:val="nil"/>
          <w:bottom w:val="nil"/>
          <w:right w:val="nil"/>
          <w:between w:val="nil"/>
        </w:pBdr>
        <w:spacing w:line="360" w:lineRule="auto"/>
        <w:ind w:right="-697"/>
        <w:jc w:val="center"/>
        <w:rPr>
          <w:rFonts w:ascii="Palatino Linotype" w:eastAsia="Palatino Linotype" w:hAnsi="Palatino Linotype" w:cs="Palatino Linotype"/>
          <w:color w:val="000000"/>
        </w:rPr>
      </w:pPr>
      <w:r w:rsidRPr="00E57920">
        <w:rPr>
          <w:rFonts w:ascii="Palatino Linotype" w:eastAsia="Palatino Linotype" w:hAnsi="Palatino Linotype" w:cs="Palatino Linotype"/>
          <w:noProof/>
          <w:color w:val="000000"/>
          <w:lang w:val="es-MX" w:eastAsia="es-MX"/>
        </w:rPr>
        <w:lastRenderedPageBreak/>
        <w:drawing>
          <wp:inline distT="0" distB="0" distL="0" distR="0">
            <wp:extent cx="5347966" cy="368866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47966" cy="3688665"/>
                    </a:xfrm>
                    <a:prstGeom prst="rect">
                      <a:avLst/>
                    </a:prstGeom>
                    <a:ln/>
                  </pic:spPr>
                </pic:pic>
              </a:graphicData>
            </a:graphic>
          </wp:inline>
        </w:drawing>
      </w:r>
      <w:r w:rsidRPr="00E57920">
        <w:rPr>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1993900</wp:posOffset>
                </wp:positionH>
                <wp:positionV relativeFrom="paragraph">
                  <wp:posOffset>2489200</wp:posOffset>
                </wp:positionV>
                <wp:extent cx="648777" cy="354579"/>
                <wp:effectExtent l="0" t="0" r="0" b="0"/>
                <wp:wrapNone/>
                <wp:docPr id="3" name="Rectángulo redondeado 3"/>
                <wp:cNvGraphicFramePr/>
                <a:graphic xmlns:a="http://schemas.openxmlformats.org/drawingml/2006/main">
                  <a:graphicData uri="http://schemas.microsoft.com/office/word/2010/wordprocessingShape">
                    <wps:wsp>
                      <wps:cNvSpPr/>
                      <wps:spPr>
                        <a:xfrm>
                          <a:off x="5035899" y="3616998"/>
                          <a:ext cx="620202" cy="326004"/>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rsidR="00E67BBB" w:rsidRDefault="00E67BBB">
                            <w:pPr>
                              <w:textDirection w:val="btLr"/>
                            </w:pPr>
                          </w:p>
                        </w:txbxContent>
                      </wps:txbx>
                      <wps:bodyPr spcFirstLastPara="1" wrap="square" lIns="91425" tIns="91425" rIns="91425" bIns="91425" anchor="ctr" anchorCtr="0">
                        <a:noAutofit/>
                      </wps:bodyPr>
                    </wps:wsp>
                  </a:graphicData>
                </a:graphic>
              </wp:anchor>
            </w:drawing>
          </mc:Choice>
          <mc:Fallback>
            <w:pict>
              <v:roundrect id="Rectángulo redondeado 3" o:spid="_x0000_s1026" style="position:absolute;left:0;text-align:left;margin-left:157pt;margin-top:196pt;width:51.1pt;height:27.9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" filled="f" strokecolor="red" strokeweight="2.25pt">
                <v:stroke startarrowwidth="narrow" startarrowlength="short" endarrowwidth="narrow" endarrowlength="short" joinstyle="miter"/>
                <v:textbox inset="2.53958mm,2.53958mm,2.53958mm,2.53958mm">
                  <w:txbxContent>
                    <w:p w:rsidR="00E67BBB" w:rsidRDefault="00E67BBB">
                      <w:pPr>
                        <w:textDirection w:val="btLr"/>
                      </w:pPr>
                    </w:p>
                  </w:txbxContent>
                </v:textbox>
              </v:roundrect>
            </w:pict>
          </mc:Fallback>
        </mc:AlternateContent>
      </w:r>
    </w:p>
    <w:p w:rsidR="00E67BBB" w:rsidRPr="00E57920" w:rsidRDefault="00E67BBB">
      <w:pPr>
        <w:pBdr>
          <w:top w:val="nil"/>
          <w:left w:val="nil"/>
          <w:bottom w:val="nil"/>
          <w:right w:val="nil"/>
          <w:between w:val="nil"/>
        </w:pBdr>
        <w:tabs>
          <w:tab w:val="left" w:pos="426"/>
        </w:tabs>
        <w:spacing w:line="360" w:lineRule="auto"/>
        <w:ind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Ahora bien, en el Reglamento Interno del Instituto de Salud del Estado de México, se observa lo siguiente:</w:t>
      </w:r>
    </w:p>
    <w:p w:rsidR="00E67BBB" w:rsidRPr="00E57920" w:rsidRDefault="00E67126">
      <w:pPr>
        <w:pBdr>
          <w:top w:val="nil"/>
          <w:left w:val="nil"/>
          <w:bottom w:val="nil"/>
          <w:right w:val="nil"/>
          <w:between w:val="nil"/>
        </w:pBdr>
        <w:spacing w:line="276" w:lineRule="auto"/>
        <w:ind w:left="567" w:right="-130"/>
        <w:jc w:val="center"/>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CAPÍTULO III</w:t>
      </w:r>
    </w:p>
    <w:p w:rsidR="00E67BBB" w:rsidRPr="00E57920" w:rsidRDefault="00E67126">
      <w:pPr>
        <w:pBdr>
          <w:top w:val="nil"/>
          <w:left w:val="nil"/>
          <w:bottom w:val="nil"/>
          <w:right w:val="nil"/>
          <w:between w:val="nil"/>
        </w:pBdr>
        <w:spacing w:line="276" w:lineRule="auto"/>
        <w:ind w:left="567" w:right="-130"/>
        <w:jc w:val="center"/>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DE LAS UNIDADES ADMINISTRATIVAS DEL INSTITUTO</w:t>
      </w:r>
    </w:p>
    <w:p w:rsidR="00E67BBB" w:rsidRPr="00E57920" w:rsidRDefault="00E67126">
      <w:pPr>
        <w:pBdr>
          <w:top w:val="nil"/>
          <w:left w:val="nil"/>
          <w:bottom w:val="nil"/>
          <w:right w:val="nil"/>
          <w:between w:val="nil"/>
        </w:pBdr>
        <w:spacing w:line="276" w:lineRule="auto"/>
        <w:ind w:left="567" w:right="-130"/>
        <w:jc w:val="center"/>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Sección Primera</w:t>
      </w:r>
    </w:p>
    <w:p w:rsidR="00E67BBB" w:rsidRPr="00E57920" w:rsidRDefault="00E67126">
      <w:pPr>
        <w:pBdr>
          <w:top w:val="nil"/>
          <w:left w:val="nil"/>
          <w:bottom w:val="nil"/>
          <w:right w:val="nil"/>
          <w:between w:val="nil"/>
        </w:pBdr>
        <w:spacing w:line="276" w:lineRule="auto"/>
        <w:ind w:left="567" w:right="-130"/>
        <w:jc w:val="center"/>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De las Unidades Administrativas</w:t>
      </w: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b/>
          <w:i/>
          <w:sz w:val="22"/>
          <w:szCs w:val="22"/>
        </w:rPr>
        <w:t>Artículo 14.-</w:t>
      </w:r>
      <w:r w:rsidRPr="00E57920">
        <w:rPr>
          <w:rFonts w:ascii="Palatino Linotype" w:eastAsia="Palatino Linotype" w:hAnsi="Palatino Linotype" w:cs="Palatino Linotype"/>
          <w:i/>
          <w:sz w:val="22"/>
          <w:szCs w:val="22"/>
        </w:rPr>
        <w:t xml:space="preserve"> Para el estudio, planeación y despacho de los asuntos de su competencia, la persona titular de la Dirección General se auxiliará de las unidades administrativas siguientes: </w:t>
      </w:r>
    </w:p>
    <w:p w:rsidR="00E67BBB" w:rsidRPr="00E57920" w:rsidRDefault="00E67126">
      <w:pPr>
        <w:numPr>
          <w:ilvl w:val="0"/>
          <w:numId w:val="2"/>
        </w:numPr>
        <w:pBdr>
          <w:top w:val="nil"/>
          <w:left w:val="nil"/>
          <w:bottom w:val="nil"/>
          <w:right w:val="nil"/>
          <w:between w:val="nil"/>
        </w:pBdr>
        <w:spacing w:line="276" w:lineRule="auto"/>
        <w:ind w:left="567" w:right="-130" w:firstLine="142"/>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Coordinación de Salud. </w:t>
      </w:r>
    </w:p>
    <w:p w:rsidR="00E67BBB" w:rsidRPr="00E57920" w:rsidRDefault="00E67126">
      <w:pPr>
        <w:numPr>
          <w:ilvl w:val="0"/>
          <w:numId w:val="2"/>
        </w:numPr>
        <w:pBdr>
          <w:top w:val="nil"/>
          <w:left w:val="nil"/>
          <w:bottom w:val="nil"/>
          <w:right w:val="nil"/>
          <w:between w:val="nil"/>
        </w:pBdr>
        <w:spacing w:line="276" w:lineRule="auto"/>
        <w:ind w:left="567" w:right="-130" w:firstLine="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Coordinación de Regulación Sanitaria. </w:t>
      </w:r>
    </w:p>
    <w:p w:rsidR="00E67BBB" w:rsidRPr="00E57920" w:rsidRDefault="00E67126">
      <w:pPr>
        <w:numPr>
          <w:ilvl w:val="0"/>
          <w:numId w:val="2"/>
        </w:numPr>
        <w:pBdr>
          <w:top w:val="nil"/>
          <w:left w:val="nil"/>
          <w:bottom w:val="nil"/>
          <w:right w:val="nil"/>
          <w:between w:val="nil"/>
        </w:pBdr>
        <w:spacing w:line="276" w:lineRule="auto"/>
        <w:ind w:left="567" w:right="-130" w:firstLine="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Coordinación de Administración y Finanzas. </w:t>
      </w:r>
    </w:p>
    <w:p w:rsidR="00E67BBB" w:rsidRPr="00E57920" w:rsidRDefault="00E67126">
      <w:pPr>
        <w:numPr>
          <w:ilvl w:val="0"/>
          <w:numId w:val="2"/>
        </w:numPr>
        <w:pBdr>
          <w:top w:val="nil"/>
          <w:left w:val="nil"/>
          <w:bottom w:val="nil"/>
          <w:right w:val="nil"/>
          <w:between w:val="nil"/>
        </w:pBdr>
        <w:spacing w:line="276" w:lineRule="auto"/>
        <w:ind w:left="567" w:right="-130" w:firstLine="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Dirección de Servicios de Salud. </w:t>
      </w:r>
    </w:p>
    <w:p w:rsidR="00E67BBB" w:rsidRPr="00E57920" w:rsidRDefault="00E67126">
      <w:pPr>
        <w:numPr>
          <w:ilvl w:val="0"/>
          <w:numId w:val="2"/>
        </w:numPr>
        <w:pBdr>
          <w:top w:val="nil"/>
          <w:left w:val="nil"/>
          <w:bottom w:val="nil"/>
          <w:right w:val="nil"/>
          <w:between w:val="nil"/>
        </w:pBdr>
        <w:spacing w:line="276" w:lineRule="auto"/>
        <w:ind w:left="567" w:right="-130" w:firstLine="0"/>
        <w:jc w:val="both"/>
        <w:rPr>
          <w:rFonts w:ascii="Palatino Linotype" w:eastAsia="Palatino Linotype" w:hAnsi="Palatino Linotype" w:cs="Palatino Linotype"/>
          <w:b/>
          <w:i/>
          <w:color w:val="000000"/>
          <w:sz w:val="22"/>
          <w:szCs w:val="22"/>
        </w:rPr>
      </w:pPr>
      <w:r w:rsidRPr="00E57920">
        <w:rPr>
          <w:rFonts w:ascii="Palatino Linotype" w:eastAsia="Palatino Linotype" w:hAnsi="Palatino Linotype" w:cs="Palatino Linotype"/>
          <w:b/>
          <w:i/>
          <w:color w:val="000000"/>
          <w:sz w:val="22"/>
          <w:szCs w:val="22"/>
          <w:u w:val="single"/>
        </w:rPr>
        <w:t>Dirección de Regulación Sanitaria.</w:t>
      </w:r>
    </w:p>
    <w:p w:rsidR="00E67BBB" w:rsidRPr="00E57920" w:rsidRDefault="00E67126">
      <w:pPr>
        <w:numPr>
          <w:ilvl w:val="0"/>
          <w:numId w:val="2"/>
        </w:numPr>
        <w:pBdr>
          <w:top w:val="nil"/>
          <w:left w:val="nil"/>
          <w:bottom w:val="nil"/>
          <w:right w:val="nil"/>
          <w:between w:val="nil"/>
        </w:pBdr>
        <w:spacing w:line="276" w:lineRule="auto"/>
        <w:ind w:left="567" w:right="-130" w:firstLine="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Dirección de Finanzas</w:t>
      </w:r>
    </w:p>
    <w:p w:rsidR="00E67BBB" w:rsidRPr="00E57920" w:rsidRDefault="00E67126">
      <w:pPr>
        <w:numPr>
          <w:ilvl w:val="0"/>
          <w:numId w:val="2"/>
        </w:numPr>
        <w:pBdr>
          <w:top w:val="nil"/>
          <w:left w:val="nil"/>
          <w:bottom w:val="nil"/>
          <w:right w:val="nil"/>
          <w:between w:val="nil"/>
        </w:pBdr>
        <w:spacing w:line="276" w:lineRule="auto"/>
        <w:ind w:left="567" w:right="-130" w:firstLine="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lastRenderedPageBreak/>
        <w:t>Dirección de Administración</w:t>
      </w:r>
    </w:p>
    <w:p w:rsidR="00E67BBB" w:rsidRPr="00E57920" w:rsidRDefault="00E67126">
      <w:pPr>
        <w:numPr>
          <w:ilvl w:val="0"/>
          <w:numId w:val="2"/>
        </w:numPr>
        <w:pBdr>
          <w:top w:val="nil"/>
          <w:left w:val="nil"/>
          <w:bottom w:val="nil"/>
          <w:right w:val="nil"/>
          <w:between w:val="nil"/>
        </w:pBdr>
        <w:spacing w:line="276" w:lineRule="auto"/>
        <w:ind w:left="567" w:right="-130" w:firstLine="0"/>
        <w:jc w:val="both"/>
        <w:rPr>
          <w:rFonts w:ascii="Palatino Linotype" w:eastAsia="Palatino Linotype" w:hAnsi="Palatino Linotype" w:cs="Palatino Linotype"/>
          <w:b/>
          <w:i/>
          <w:color w:val="000000"/>
          <w:sz w:val="22"/>
          <w:szCs w:val="22"/>
        </w:rPr>
      </w:pPr>
      <w:r w:rsidRPr="00E57920">
        <w:rPr>
          <w:rFonts w:ascii="Palatino Linotype" w:eastAsia="Palatino Linotype" w:hAnsi="Palatino Linotype" w:cs="Palatino Linotype"/>
          <w:b/>
          <w:i/>
          <w:color w:val="000000"/>
          <w:sz w:val="22"/>
          <w:szCs w:val="22"/>
          <w:u w:val="single"/>
        </w:rPr>
        <w:t>Subdirección de Normatividad Sanitaria</w:t>
      </w: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color w:val="000000"/>
          <w:sz w:val="22"/>
          <w:szCs w:val="22"/>
        </w:rPr>
      </w:pPr>
      <w:r w:rsidRPr="00E57920">
        <w:rPr>
          <w:rFonts w:ascii="Palatino Linotype" w:eastAsia="Palatino Linotype" w:hAnsi="Palatino Linotype" w:cs="Palatino Linotype"/>
          <w:color w:val="000000"/>
          <w:sz w:val="22"/>
          <w:szCs w:val="22"/>
        </w:rPr>
        <w:t>…</w:t>
      </w:r>
    </w:p>
    <w:p w:rsidR="00E67BBB" w:rsidRPr="00E57920" w:rsidRDefault="00E67126">
      <w:pPr>
        <w:pBdr>
          <w:top w:val="nil"/>
          <w:left w:val="nil"/>
          <w:bottom w:val="nil"/>
          <w:right w:val="nil"/>
          <w:between w:val="nil"/>
        </w:pBdr>
        <w:spacing w:line="276" w:lineRule="auto"/>
        <w:ind w:left="567" w:right="-130"/>
        <w:jc w:val="center"/>
        <w:rPr>
          <w:rFonts w:ascii="Palatino Linotype" w:eastAsia="Palatino Linotype" w:hAnsi="Palatino Linotype" w:cs="Palatino Linotype"/>
          <w:b/>
          <w:i/>
          <w:color w:val="000000"/>
          <w:sz w:val="22"/>
          <w:szCs w:val="22"/>
        </w:rPr>
      </w:pPr>
      <w:r w:rsidRPr="00E57920">
        <w:rPr>
          <w:rFonts w:ascii="Palatino Linotype" w:eastAsia="Palatino Linotype" w:hAnsi="Palatino Linotype" w:cs="Palatino Linotype"/>
          <w:b/>
          <w:i/>
          <w:color w:val="000000"/>
          <w:sz w:val="22"/>
          <w:szCs w:val="22"/>
        </w:rPr>
        <w:t>Sección Tercera</w:t>
      </w:r>
    </w:p>
    <w:p w:rsidR="00E67BBB" w:rsidRPr="00E57920" w:rsidRDefault="00E67126">
      <w:pPr>
        <w:pBdr>
          <w:top w:val="nil"/>
          <w:left w:val="nil"/>
          <w:bottom w:val="nil"/>
          <w:right w:val="nil"/>
          <w:between w:val="nil"/>
        </w:pBdr>
        <w:spacing w:line="276" w:lineRule="auto"/>
        <w:ind w:left="567" w:right="-130"/>
        <w:jc w:val="center"/>
        <w:rPr>
          <w:rFonts w:ascii="Palatino Linotype" w:eastAsia="Palatino Linotype" w:hAnsi="Palatino Linotype" w:cs="Palatino Linotype"/>
          <w:b/>
          <w:i/>
          <w:color w:val="000000"/>
          <w:sz w:val="22"/>
          <w:szCs w:val="22"/>
        </w:rPr>
      </w:pPr>
      <w:r w:rsidRPr="00E57920">
        <w:rPr>
          <w:rFonts w:ascii="Palatino Linotype" w:eastAsia="Palatino Linotype" w:hAnsi="Palatino Linotype" w:cs="Palatino Linotype"/>
          <w:b/>
          <w:i/>
          <w:color w:val="000000"/>
          <w:sz w:val="22"/>
          <w:szCs w:val="22"/>
        </w:rPr>
        <w:t>DE la Coordinación de Regulación Sanitaria</w:t>
      </w: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t xml:space="preserve">Artículo 20.- </w:t>
      </w:r>
      <w:r w:rsidRPr="00E57920">
        <w:rPr>
          <w:rFonts w:ascii="Palatino Linotype" w:eastAsia="Palatino Linotype" w:hAnsi="Palatino Linotype" w:cs="Palatino Linotype"/>
          <w:i/>
          <w:color w:val="000000"/>
          <w:sz w:val="22"/>
          <w:szCs w:val="22"/>
        </w:rPr>
        <w:t>La Coordinación de Regulación Sanitaria será responsable de planear, coordinar, ejecutar y evaluar el cumplimiento de la normatividad y las acciones de verificación sanitaria, así como las correspondientes a las jurisdicciones de regulación sanitaria del Instituto, de conformidad con las leyes, reglamentos y demás disposiciones aplicables en la materia.</w:t>
      </w: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t>Artículo 21.-</w:t>
      </w:r>
      <w:r w:rsidRPr="00E57920">
        <w:rPr>
          <w:rFonts w:ascii="Palatino Linotype" w:eastAsia="Palatino Linotype" w:hAnsi="Palatino Linotype" w:cs="Palatino Linotype"/>
          <w:i/>
          <w:color w:val="000000"/>
          <w:sz w:val="22"/>
          <w:szCs w:val="22"/>
        </w:rPr>
        <w:t xml:space="preserve"> Corresponde a la Coordinación de Regulación Sanitaria:</w:t>
      </w: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t>…</w:t>
      </w: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t xml:space="preserve">Artículo 22.- </w:t>
      </w:r>
      <w:r w:rsidRPr="00E57920">
        <w:rPr>
          <w:rFonts w:ascii="Palatino Linotype" w:eastAsia="Palatino Linotype" w:hAnsi="Palatino Linotype" w:cs="Palatino Linotype"/>
          <w:i/>
          <w:color w:val="000000"/>
          <w:sz w:val="22"/>
          <w:szCs w:val="22"/>
        </w:rPr>
        <w:t>Para el cumplimiento de sus atribuciones, la Coordinación de Regulación Sanitaria se auxiliará en forma directa de la Dirección de Regulación Sanitaria y de las Jurisdicciones de Regulación Sanitaria.</w:t>
      </w: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t>Artículo 23.</w:t>
      </w:r>
      <w:r w:rsidRPr="00E57920">
        <w:rPr>
          <w:rFonts w:ascii="Palatino Linotype" w:eastAsia="Palatino Linotype" w:hAnsi="Palatino Linotype" w:cs="Palatino Linotype"/>
          <w:i/>
          <w:color w:val="000000"/>
          <w:sz w:val="22"/>
          <w:szCs w:val="22"/>
        </w:rPr>
        <w:t>- Corresponde a la Dirección de Regulación Sanitaria:</w:t>
      </w:r>
    </w:p>
    <w:p w:rsidR="00E67BBB" w:rsidRPr="00E57920" w:rsidRDefault="00E67BBB">
      <w:p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Planear, coordinar, ejecutar y evaluar las acciones de salubridad general concurrente, descentralizada y local.</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Ordenar y realizar visitas e informes de verificación a establecimientos y publicidad sujetos a control sanitario e imponer las sanciones que procedan en términos de la Ley General de Salud, el Código y demás disposiciones aplicables, mediante resoluciones emitidas en los procedimientos administrativos.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Proponer y ejecutar las actividades de regulación, control y fomento sanitarios que correspondan al Instituto, en términos de la Ley General de Salud y del Código, sus reglamentos y demás disposiciones legales aplicables.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Difundir las disposiciones técnicas y administrativas en materia de regulación, control y fomento sanitario en materia de salubridad local.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Expedir y, en su caso, revalidar o revocar, en el ámbito de su competencia, las autorizaciones sanitarias.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Establecer y aplicar, cuando conozca de algún posible riesgo sanitario, las medidas de seguridad para proteger la salud de la población.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Ejecutar las estrategias para la atención de contingencias o emergencias sanitarias.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lastRenderedPageBreak/>
        <w:t xml:space="preserve">Proponer y concertar esquemas de apoyos y estímulos con los sectores público, social y privado, tendentes a evitar riesgos sanitarios en la población y fomentar en ésta, la educación en materia sanitaria.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Establecer plazos para la corrección de deficiencias, con base en los resultados de las visitas o informes de verificación que realice.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Resolver los recursos administrativos de inconformidad que interpongan los particulares en contra de actos y resoluciones dictadas por servidores públicos bajo su adscripción facultados para ello.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Elaborar y proponer al Coordinador de Regulación Sanitaria, normas técnicas estatales, políticas y lineamientos en materia de salubridad, que deberán observarse en actividades, establecimientos y servicios.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Conocer del cumplimiento de las actividades relacionadas con la captación y distribución de sangre y sus componentes entre los bancos de sangre, servicios de transfusión y puestos de sangrado del sector público y privado. </w:t>
      </w:r>
    </w:p>
    <w:p w:rsidR="00E67BBB" w:rsidRPr="00E57920" w:rsidRDefault="00E67126">
      <w:pPr>
        <w:numPr>
          <w:ilvl w:val="0"/>
          <w:numId w:val="3"/>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Las demás que le confieren otras disposiciones legales. </w:t>
      </w:r>
    </w:p>
    <w:p w:rsidR="00E67BBB" w:rsidRPr="00E57920" w:rsidRDefault="00E67BBB">
      <w:pPr>
        <w:pBdr>
          <w:top w:val="nil"/>
          <w:left w:val="nil"/>
          <w:bottom w:val="nil"/>
          <w:right w:val="nil"/>
          <w:between w:val="nil"/>
        </w:pBdr>
        <w:spacing w:line="276" w:lineRule="auto"/>
        <w:ind w:left="567" w:right="-130"/>
        <w:jc w:val="both"/>
        <w:rPr>
          <w:rFonts w:ascii="Palatino Linotype" w:eastAsia="Palatino Linotype" w:hAnsi="Palatino Linotype" w:cs="Palatino Linotype"/>
          <w:i/>
          <w:sz w:val="22"/>
          <w:szCs w:val="22"/>
        </w:rPr>
      </w:pP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sz w:val="22"/>
          <w:szCs w:val="22"/>
        </w:rPr>
        <w:t>Las atribuciones señaladas a la Dirección de Regulación Sanitaria en las fracciones II, V, VI y VIII del presente artículo, podrán ser ejercidas de manera directa por el Coordinador de Regulación Sanitaria</w:t>
      </w:r>
    </w:p>
    <w:p w:rsidR="00E67BBB" w:rsidRPr="00E57920" w:rsidRDefault="00E67BBB">
      <w:pPr>
        <w:pBdr>
          <w:top w:val="nil"/>
          <w:left w:val="nil"/>
          <w:bottom w:val="nil"/>
          <w:right w:val="nil"/>
          <w:between w:val="nil"/>
        </w:pBdr>
        <w:spacing w:line="276" w:lineRule="auto"/>
        <w:ind w:left="567" w:right="-130"/>
        <w:jc w:val="both"/>
        <w:rPr>
          <w:rFonts w:ascii="Palatino Linotype" w:eastAsia="Palatino Linotype" w:hAnsi="Palatino Linotype" w:cs="Palatino Linotype"/>
          <w:b/>
          <w:i/>
          <w:color w:val="000000"/>
          <w:sz w:val="22"/>
          <w:szCs w:val="22"/>
        </w:rPr>
      </w:pP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t xml:space="preserve">Artículo 24.- </w:t>
      </w:r>
      <w:r w:rsidRPr="00E57920">
        <w:rPr>
          <w:rFonts w:ascii="Palatino Linotype" w:eastAsia="Palatino Linotype" w:hAnsi="Palatino Linotype" w:cs="Palatino Linotype"/>
          <w:i/>
          <w:color w:val="000000"/>
          <w:sz w:val="22"/>
          <w:szCs w:val="22"/>
        </w:rPr>
        <w:t>En el cumplimiento de sus atribuciones, la Dirección de Regulación Sanitaria se auxiliará de las Subdirecciones de Normatividad Sanitaria y de Verificación Sanitaria, así como de verificadores sanitarios…</w:t>
      </w:r>
    </w:p>
    <w:p w:rsidR="00E67BBB" w:rsidRPr="00E57920" w:rsidRDefault="00E67BBB">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p>
    <w:p w:rsidR="00E67BBB" w:rsidRPr="00E57920" w:rsidRDefault="00E67126">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t>Artículo 25.-</w:t>
      </w:r>
      <w:r w:rsidRPr="00E57920">
        <w:rPr>
          <w:rFonts w:ascii="Palatino Linotype" w:eastAsia="Palatino Linotype" w:hAnsi="Palatino Linotype" w:cs="Palatino Linotype"/>
          <w:i/>
          <w:color w:val="000000"/>
          <w:sz w:val="22"/>
          <w:szCs w:val="22"/>
        </w:rPr>
        <w:t xml:space="preserve"> Corresponde a la Subdirección de Normatividad Sanitaria:</w:t>
      </w:r>
    </w:p>
    <w:p w:rsidR="00E67BBB" w:rsidRPr="00E57920" w:rsidRDefault="00E67BBB">
      <w:pPr>
        <w:pBdr>
          <w:top w:val="nil"/>
          <w:left w:val="nil"/>
          <w:bottom w:val="nil"/>
          <w:right w:val="nil"/>
          <w:between w:val="nil"/>
        </w:pBdr>
        <w:spacing w:line="276" w:lineRule="auto"/>
        <w:ind w:left="567" w:right="-130"/>
        <w:jc w:val="both"/>
        <w:rPr>
          <w:rFonts w:ascii="Palatino Linotype" w:eastAsia="Palatino Linotype" w:hAnsi="Palatino Linotype" w:cs="Palatino Linotype"/>
          <w:i/>
          <w:color w:val="000000"/>
          <w:sz w:val="22"/>
          <w:szCs w:val="22"/>
        </w:rPr>
      </w:pPr>
    </w:p>
    <w:p w:rsidR="00E67BBB" w:rsidRPr="00E57920" w:rsidRDefault="00E67126">
      <w:pPr>
        <w:numPr>
          <w:ilvl w:val="0"/>
          <w:numId w:val="4"/>
        </w:num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Ordenar visitas e informes de verificación a establecimientos sujetos a control sanitario e imponer las sanciones que procedan en términos de la Ley General de Salud, el Código y demás disposiciones aplicables, mediante resoluciones emitidas en los procedimientos administrativos, cuando el Subdirector de Normatividad Sanitaria así lo determine.</w:t>
      </w:r>
    </w:p>
    <w:p w:rsidR="00E67BBB" w:rsidRPr="00E57920" w:rsidRDefault="00E67126">
      <w:pPr>
        <w:pBdr>
          <w:top w:val="nil"/>
          <w:left w:val="nil"/>
          <w:bottom w:val="nil"/>
          <w:right w:val="nil"/>
          <w:between w:val="nil"/>
        </w:pBdr>
        <w:spacing w:line="276" w:lineRule="auto"/>
        <w:ind w:left="1287"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 </w:t>
      </w:r>
    </w:p>
    <w:p w:rsidR="00E67BBB" w:rsidRPr="00E57920" w:rsidRDefault="00E67126">
      <w:p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Las atribuciones señaladas en las fracciones II, III, IV, V y X de este artículo podrán ser ejercidas de manera directa por el Director de Regulación Sanitaria.</w:t>
      </w:r>
    </w:p>
    <w:p w:rsidR="00E67BBB" w:rsidRPr="00E57920" w:rsidRDefault="00E67126">
      <w:p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i/>
          <w:color w:val="000000"/>
          <w:sz w:val="22"/>
          <w:szCs w:val="22"/>
        </w:rPr>
        <w:t xml:space="preserve"> </w:t>
      </w:r>
    </w:p>
    <w:p w:rsidR="00E67BBB" w:rsidRPr="00E57920" w:rsidRDefault="00E67126">
      <w:p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r w:rsidRPr="00E57920">
        <w:rPr>
          <w:rFonts w:ascii="Palatino Linotype" w:eastAsia="Palatino Linotype" w:hAnsi="Palatino Linotype" w:cs="Palatino Linotype"/>
          <w:b/>
          <w:i/>
          <w:color w:val="000000"/>
          <w:sz w:val="22"/>
          <w:szCs w:val="22"/>
        </w:rPr>
        <w:lastRenderedPageBreak/>
        <w:t>Artículo 26.-</w:t>
      </w:r>
      <w:r w:rsidRPr="00E57920">
        <w:rPr>
          <w:rFonts w:ascii="Palatino Linotype" w:eastAsia="Palatino Linotype" w:hAnsi="Palatino Linotype" w:cs="Palatino Linotype"/>
          <w:i/>
          <w:color w:val="000000"/>
          <w:sz w:val="22"/>
          <w:szCs w:val="22"/>
        </w:rPr>
        <w:t xml:space="preserve"> Corresponde a la Subdirección de Verificación Sanitaria:</w:t>
      </w:r>
    </w:p>
    <w:p w:rsidR="00E67BBB" w:rsidRPr="00E57920" w:rsidRDefault="00E67BBB">
      <w:pPr>
        <w:pBdr>
          <w:top w:val="nil"/>
          <w:left w:val="nil"/>
          <w:bottom w:val="nil"/>
          <w:right w:val="nil"/>
          <w:between w:val="nil"/>
        </w:pBdr>
        <w:spacing w:line="276" w:lineRule="auto"/>
        <w:ind w:right="-130"/>
        <w:jc w:val="both"/>
        <w:rPr>
          <w:rFonts w:ascii="Palatino Linotype" w:eastAsia="Palatino Linotype" w:hAnsi="Palatino Linotype" w:cs="Palatino Linotype"/>
          <w:i/>
          <w:color w:val="000000"/>
          <w:sz w:val="22"/>
          <w:szCs w:val="22"/>
        </w:rPr>
      </w:pPr>
    </w:p>
    <w:p w:rsidR="00E67BBB" w:rsidRPr="00E57920" w:rsidRDefault="00E67126">
      <w:pPr>
        <w:numPr>
          <w:ilvl w:val="0"/>
          <w:numId w:val="5"/>
        </w:numPr>
        <w:pBdr>
          <w:top w:val="nil"/>
          <w:left w:val="nil"/>
          <w:bottom w:val="nil"/>
          <w:right w:val="nil"/>
          <w:between w:val="nil"/>
        </w:pBdr>
        <w:spacing w:line="276" w:lineRule="auto"/>
        <w:ind w:left="709" w:right="-130" w:hanging="709"/>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 xml:space="preserve">Realizar visitas e informes de verificación a establecimientos sujetos a control sanitario e imponer las sanciones que procedan en términos de la Ley General de Salud, el Código y demás disposiciones aplicables, mediante resoluciones emitidas en los procedimientos administrativos, cuando el Subdirector de Verificación Sanitaria así lo determine. </w:t>
      </w:r>
    </w:p>
    <w:p w:rsidR="00E67BBB" w:rsidRPr="00E57920" w:rsidRDefault="00E67126">
      <w:pPr>
        <w:numPr>
          <w:ilvl w:val="0"/>
          <w:numId w:val="5"/>
        </w:num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 xml:space="preserve">Calificar la procedencia e imponer sanciones administrativas, consistentes en amonestación con apercibimiento, multa y clausura dentro de las resoluciones emitidas en los procedimientos administrativos. </w:t>
      </w:r>
    </w:p>
    <w:p w:rsidR="00E67BBB" w:rsidRPr="00E57920" w:rsidRDefault="00E67126">
      <w:pPr>
        <w:numPr>
          <w:ilvl w:val="0"/>
          <w:numId w:val="5"/>
        </w:num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 xml:space="preserve">Dictar las medidas de seguridad sanitaria a que se refieren los artículos 404 de la Ley General de Salud y 2.49 del Código. </w:t>
      </w:r>
    </w:p>
    <w:p w:rsidR="00E67BBB" w:rsidRPr="00E57920" w:rsidRDefault="00E67126">
      <w:pPr>
        <w:numPr>
          <w:ilvl w:val="0"/>
          <w:numId w:val="5"/>
        </w:num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 xml:space="preserve">Aplicar las medidas de seguridad para proteger la salud de la población. </w:t>
      </w:r>
    </w:p>
    <w:p w:rsidR="00E67BBB" w:rsidRPr="00E57920" w:rsidRDefault="00E67126">
      <w:pPr>
        <w:numPr>
          <w:ilvl w:val="0"/>
          <w:numId w:val="5"/>
        </w:num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 xml:space="preserve">Establecer, en aquellos asuntos que sean de su conocimiento, plazos para la corrección de deficiencias, con base en los resultados de la visita o del informe de verificación. </w:t>
      </w:r>
    </w:p>
    <w:p w:rsidR="00E67BBB" w:rsidRPr="00E57920" w:rsidRDefault="00E67126">
      <w:pPr>
        <w:numPr>
          <w:ilvl w:val="0"/>
          <w:numId w:val="5"/>
        </w:num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 xml:space="preserve">Expedir y, en su caso, revalidar o revocar las autorizaciones sanitarias que sean de su conocimiento, de acuerdo con la normatividad aplicable. </w:t>
      </w:r>
    </w:p>
    <w:p w:rsidR="00E67BBB" w:rsidRPr="00E57920" w:rsidRDefault="00E67126">
      <w:pPr>
        <w:numPr>
          <w:ilvl w:val="0"/>
          <w:numId w:val="5"/>
        </w:num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 xml:space="preserve">Recibir y tramitar, en el ámbito de su competencia, recursos administrativos de inconformidad, así como emitir opinión técnica al respecto. </w:t>
      </w:r>
    </w:p>
    <w:p w:rsidR="00E67BBB" w:rsidRPr="00E57920" w:rsidRDefault="00E67126">
      <w:pPr>
        <w:numPr>
          <w:ilvl w:val="0"/>
          <w:numId w:val="5"/>
        </w:num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r w:rsidRPr="00E57920">
        <w:rPr>
          <w:rFonts w:ascii="Palatino Linotype" w:eastAsia="Palatino Linotype" w:hAnsi="Palatino Linotype" w:cs="Palatino Linotype"/>
          <w:i/>
          <w:color w:val="000000"/>
          <w:sz w:val="22"/>
          <w:szCs w:val="22"/>
        </w:rPr>
        <w:t>Las demás que le confieren otras disposiciones legales. Las atribuciones señaladas en este artículo podrán ser ejercidas de manera directa por el Director de Regulación Sanitaria…</w:t>
      </w:r>
    </w:p>
    <w:p w:rsidR="009F57CC" w:rsidRPr="00E57920" w:rsidRDefault="009F57CC" w:rsidP="009F57CC">
      <w:pPr>
        <w:pBdr>
          <w:top w:val="nil"/>
          <w:left w:val="nil"/>
          <w:bottom w:val="nil"/>
          <w:right w:val="nil"/>
          <w:between w:val="nil"/>
        </w:pBdr>
        <w:spacing w:line="276" w:lineRule="auto"/>
        <w:ind w:left="720" w:right="-130"/>
        <w:jc w:val="both"/>
        <w:rPr>
          <w:rFonts w:ascii="Palatino Linotype" w:eastAsia="Palatino Linotype" w:hAnsi="Palatino Linotype" w:cs="Palatino Linotype"/>
          <w:i/>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Ahora bien, de lo anterior se establece que fue el Servidor Público Habilitad</w:t>
      </w:r>
      <w:r w:rsidR="009F57CC" w:rsidRPr="00E57920">
        <w:rPr>
          <w:rFonts w:ascii="Palatino Linotype" w:eastAsia="Palatino Linotype" w:hAnsi="Palatino Linotype" w:cs="Palatino Linotype"/>
          <w:color w:val="000000"/>
        </w:rPr>
        <w:t>o</w:t>
      </w:r>
      <w:r w:rsidRPr="00E57920">
        <w:rPr>
          <w:rFonts w:ascii="Palatino Linotype" w:eastAsia="Palatino Linotype" w:hAnsi="Palatino Linotype" w:cs="Palatino Linotype"/>
          <w:color w:val="000000"/>
        </w:rPr>
        <w:t xml:space="preserve"> quien emitió la respuesta; adjuntando la documentación correspondiente a la orden y Acta de Verificación Sanitaria identificada con el número 24-PL-1500-01251-HN, hecha al establecimiento con nombre </w:t>
      </w:r>
      <w:r w:rsidRPr="00E57920">
        <w:rPr>
          <w:rFonts w:ascii="Palatino Linotype" w:eastAsia="Palatino Linotype" w:hAnsi="Palatino Linotype" w:cs="Palatino Linotype"/>
          <w:i/>
          <w:color w:val="000000"/>
        </w:rPr>
        <w:t>“ABARROTES LA EXPLANADA”</w:t>
      </w:r>
      <w:r w:rsidRPr="00E57920">
        <w:rPr>
          <w:rFonts w:ascii="Palatino Linotype" w:eastAsia="Palatino Linotype" w:hAnsi="Palatino Linotype" w:cs="Palatino Linotype"/>
          <w:color w:val="000000"/>
        </w:rPr>
        <w:t>, adjuntando así también la propuesta de clasificación de información, en la que se clasificó como información confidencial como nombre y firma de los testigos que participaron en la visita de verificación sanitaria.</w:t>
      </w:r>
    </w:p>
    <w:p w:rsidR="00E67BBB" w:rsidRPr="00E57920" w:rsidRDefault="00E67BBB">
      <w:pPr>
        <w:pBdr>
          <w:top w:val="nil"/>
          <w:left w:val="nil"/>
          <w:bottom w:val="nil"/>
          <w:right w:val="nil"/>
          <w:between w:val="nil"/>
        </w:pBdr>
        <w:spacing w:line="360" w:lineRule="auto"/>
        <w:ind w:right="-697"/>
        <w:jc w:val="both"/>
        <w:rPr>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lastRenderedPageBreak/>
        <w:t>Así también, a la respuesta adjuntó la Orden de visita al establecimiento denominado “</w:t>
      </w:r>
      <w:r w:rsidRPr="00E57920">
        <w:rPr>
          <w:rFonts w:ascii="Palatino Linotype" w:eastAsia="Palatino Linotype" w:hAnsi="Palatino Linotype" w:cs="Palatino Linotype"/>
          <w:i/>
          <w:color w:val="000000"/>
        </w:rPr>
        <w:t xml:space="preserve">ABARROTES LA EXPLANADA, </w:t>
      </w:r>
      <w:r w:rsidRPr="00E57920">
        <w:rPr>
          <w:rFonts w:ascii="Palatino Linotype" w:eastAsia="Palatino Linotype" w:hAnsi="Palatino Linotype" w:cs="Palatino Linotype"/>
          <w:color w:val="000000"/>
        </w:rPr>
        <w:t>ubicada en la Unidad Habitacional “El Tenayo”; Tlalnepantla de Baz; en la que se estableció que el objeto de practicar la visita era constatar que no se expendan bebidas alcohólicas a menores de edad; así como que no se vendan, distribuyan bebidas alcohólicas en envases abierto y/o al copeo, para su consumo inmediato y en el interior del establecimiento, entre otras.</w:t>
      </w:r>
    </w:p>
    <w:p w:rsidR="00E67BBB" w:rsidRPr="00E57920" w:rsidRDefault="00E67BBB">
      <w:pPr>
        <w:pBdr>
          <w:top w:val="nil"/>
          <w:left w:val="nil"/>
          <w:bottom w:val="nil"/>
          <w:right w:val="nil"/>
          <w:between w:val="nil"/>
        </w:pBdr>
        <w:spacing w:line="360" w:lineRule="auto"/>
        <w:ind w:right="-697"/>
        <w:jc w:val="both"/>
        <w:rPr>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 Ficha de la orden de visita, inspección o supervisión, en la que se observa la descripción del objeto de la visita; así como algunos datos de la misma como: la fecha de autorización, tiempo transcurrido entre el turno y la autorización, tipo de visita (ordinaria),  y el nombre del servidor público que practicó la visita.</w:t>
      </w:r>
    </w:p>
    <w:p w:rsidR="00E67BBB" w:rsidRPr="00E57920" w:rsidRDefault="00E67BBB">
      <w:pPr>
        <w:pBdr>
          <w:top w:val="nil"/>
          <w:left w:val="nil"/>
          <w:bottom w:val="nil"/>
          <w:right w:val="nil"/>
          <w:between w:val="nil"/>
        </w:pBdr>
        <w:spacing w:line="360" w:lineRule="auto"/>
        <w:ind w:left="720" w:right="-697"/>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Por último, se adjuntó a la respuesta emitida por el Sujeto Obligado, el Acta de Verificación Sanitaria General de la visita, de fecha diecisiete de abril de dos mil veinticuatro; de la cual se observan testados los datos clasificados como confidenciales de las personas que fungieron como testigos; también en el acta de referencia dentro del apartado de observaciones se observa: </w:t>
      </w:r>
      <w:r w:rsidRPr="00E57920">
        <w:rPr>
          <w:rFonts w:ascii="Palatino Linotype" w:eastAsia="Palatino Linotype" w:hAnsi="Palatino Linotype" w:cs="Palatino Linotype"/>
          <w:i/>
          <w:color w:val="000000"/>
        </w:rPr>
        <w:t>“…Se hace del conocimiento a esta Autoridad y Dando cumplimiento a lo ordenado en la presente Visita de Verificación Sanitaria con No. 24-PL-1500-01251-HN, de fecha DIECISIETE de ABRIL del 2024, que la orden no cuenta con dirección correcta (calle y número) más sin embargo se llego al punto en el cual se observa que el establecimiento se encuentra cerrado preguntando a vecinos los cuales informan que se encuentra cerrado desde hace 1 semana sin saber el motivo por el cual se encuentra cerrado, motivo por el cual esta orden se reporta informativa.”</w:t>
      </w:r>
      <w:r w:rsidRPr="00E57920">
        <w:rPr>
          <w:rFonts w:ascii="Palatino Linotype" w:eastAsia="Palatino Linotype" w:hAnsi="Palatino Linotype" w:cs="Palatino Linotype"/>
          <w:color w:val="000000"/>
        </w:rPr>
        <w:t xml:space="preserve"> (Sic)</w:t>
      </w:r>
      <w:r w:rsidRPr="00E57920">
        <w:rPr>
          <w:rFonts w:ascii="Palatino Linotype" w:eastAsia="Palatino Linotype" w:hAnsi="Palatino Linotype" w:cs="Palatino Linotype"/>
          <w:i/>
          <w:color w:val="000000"/>
        </w:rPr>
        <w:t xml:space="preserve"> </w:t>
      </w:r>
    </w:p>
    <w:p w:rsidR="00E67BBB" w:rsidRPr="00E57920" w:rsidRDefault="00E67BBB">
      <w:pPr>
        <w:pBdr>
          <w:top w:val="nil"/>
          <w:left w:val="nil"/>
          <w:bottom w:val="nil"/>
          <w:right w:val="nil"/>
          <w:between w:val="nil"/>
        </w:pBdr>
        <w:spacing w:line="360" w:lineRule="auto"/>
        <w:ind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lastRenderedPageBreak/>
        <w:t xml:space="preserve">Ahora bien, en términos generales, para que sea posible el ejercicio del Derecho de Acceso a la Información Pública, los requerimientos deben consistir en información que se encuentre registrada en cualquier soporte documental; ya sea, porque EL SUJETO OBLIGADO la generó o porque como parte del ejercicio de sus funciones la recibió y, por consiguiente, la administra y posee. </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 xml:space="preserve">Luego entonces, es importante señalar que este Instituto considera que al haber existido un pronunciamiento por parte del </w:t>
      </w:r>
      <w:r w:rsidRPr="00E57920">
        <w:rPr>
          <w:rFonts w:ascii="Palatino Linotype" w:eastAsia="Palatino Linotype" w:hAnsi="Palatino Linotype" w:cs="Palatino Linotype"/>
          <w:b/>
          <w:color w:val="000000"/>
        </w:rPr>
        <w:t>SUJETO OBLIGADO</w:t>
      </w:r>
      <w:r w:rsidRPr="00E57920">
        <w:rPr>
          <w:rFonts w:ascii="Palatino Linotype" w:eastAsia="Palatino Linotype" w:hAnsi="Palatino Linotype" w:cs="Palatino Linotype"/>
          <w:color w:val="000000"/>
        </w:rPr>
        <w:t xml:space="preserve">, a fin de dar respuesta a la solicitud planteada, no está facultado para manifestarse sobre la veracidad de la misma, pues no existe precepto legal alguno en la Ley de la materia que lo faculte para que vía Recurso de Revisión pueda pronunciarse al respecto. </w:t>
      </w:r>
    </w:p>
    <w:p w:rsidR="00E67BBB" w:rsidRPr="00E57920" w:rsidRDefault="00E67BBB">
      <w:pPr>
        <w:spacing w:line="360" w:lineRule="auto"/>
        <w:ind w:right="-697"/>
        <w:jc w:val="both"/>
        <w:rPr>
          <w:rFonts w:ascii="Palatino Linotype" w:eastAsia="Palatino Linotype" w:hAnsi="Palatino Linotype" w:cs="Palatino Linotype"/>
        </w:rPr>
      </w:pPr>
    </w:p>
    <w:p w:rsidR="00E67BBB" w:rsidRPr="00E57920" w:rsidRDefault="00E67126">
      <w:pPr>
        <w:numPr>
          <w:ilvl w:val="0"/>
          <w:numId w:val="1"/>
        </w:numPr>
        <w:pBdr>
          <w:top w:val="nil"/>
          <w:left w:val="nil"/>
          <w:bottom w:val="nil"/>
          <w:right w:val="nil"/>
          <w:between w:val="nil"/>
        </w:pBdr>
        <w:tabs>
          <w:tab w:val="left" w:pos="709"/>
        </w:tabs>
        <w:spacing w:line="360" w:lineRule="auto"/>
        <w:ind w:left="0" w:right="-697" w:firstLine="0"/>
        <w:jc w:val="both"/>
        <w:rPr>
          <w:color w:val="000000"/>
        </w:rPr>
      </w:pPr>
      <w:r w:rsidRPr="00E57920">
        <w:rPr>
          <w:rFonts w:ascii="Palatino Linotype" w:eastAsia="Palatino Linotype" w:hAnsi="Palatino Linotype" w:cs="Palatino Linotype"/>
          <w:color w:val="000000"/>
        </w:rPr>
        <w:t>En estricto sentido, el derecho de acceso a la información pública se satisface en aquellos casos en que se entregue el soporte documental en que conste la información pública, toda vez que, los Sujetos Obligados</w:t>
      </w:r>
      <w:r w:rsidRPr="00E57920">
        <w:rPr>
          <w:rFonts w:ascii="Palatino Linotype" w:eastAsia="Palatino Linotype" w:hAnsi="Palatino Linotype" w:cs="Palatino Linotype"/>
          <w:b/>
          <w:color w:val="000000"/>
        </w:rPr>
        <w:t xml:space="preserve"> </w:t>
      </w:r>
      <w:r w:rsidRPr="00E57920">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un documento </w:t>
      </w:r>
      <w:r w:rsidRPr="00E57920">
        <w:rPr>
          <w:rFonts w:ascii="Palatino Linotype" w:eastAsia="Palatino Linotype" w:hAnsi="Palatino Linotype" w:cs="Palatino Linotype"/>
          <w:i/>
          <w:color w:val="000000"/>
        </w:rPr>
        <w:t>ad hoc</w:t>
      </w:r>
      <w:r w:rsidRPr="00E57920">
        <w:rPr>
          <w:rFonts w:ascii="Palatino Linotype" w:eastAsia="Palatino Linotype" w:hAnsi="Palatino Linotype" w:cs="Palatino Linotype"/>
          <w:color w:val="000000"/>
        </w:rPr>
        <w:t>, para satisfacer el derecho de acceso a la información pública, como lo establece el artículo 12 de la Ley de Transparencia y Acceso a la Información Pública del Estado de México y Municipios.</w:t>
      </w:r>
    </w:p>
    <w:p w:rsidR="00E67BBB" w:rsidRPr="00E57920" w:rsidRDefault="00E67BBB">
      <w:pPr>
        <w:spacing w:line="360" w:lineRule="auto"/>
        <w:ind w:left="567" w:right="-697"/>
        <w:jc w:val="both"/>
        <w:rPr>
          <w:rFonts w:ascii="Palatino Linotype" w:eastAsia="Palatino Linotype" w:hAnsi="Palatino Linotype" w:cs="Palatino Linotype"/>
          <w:color w:val="000000"/>
        </w:rPr>
      </w:pPr>
    </w:p>
    <w:p w:rsidR="00E67BBB" w:rsidRPr="00E57920" w:rsidRDefault="00E67126">
      <w:pPr>
        <w:numPr>
          <w:ilvl w:val="0"/>
          <w:numId w:val="1"/>
        </w:numPr>
        <w:pBdr>
          <w:top w:val="nil"/>
          <w:left w:val="nil"/>
          <w:bottom w:val="nil"/>
          <w:right w:val="nil"/>
          <w:between w:val="nil"/>
        </w:pBdr>
        <w:spacing w:line="360" w:lineRule="auto"/>
        <w:ind w:left="0" w:right="-697" w:firstLine="0"/>
        <w:jc w:val="both"/>
        <w:rPr>
          <w:color w:val="000000"/>
        </w:rPr>
      </w:pPr>
      <w:r w:rsidRPr="00E57920">
        <w:rPr>
          <w:rFonts w:ascii="Palatino Linotype" w:eastAsia="Palatino Linotype" w:hAnsi="Palatino Linotype" w:cs="Palatino Linotype"/>
          <w:color w:val="000000"/>
        </w:rPr>
        <w:t>Como apoyo a lo anterior, es aplicable el Criterio 03-17, emitido por el Instituto Nacional de Transparencia, Acceso a la Información y Protección de Datos Personales, que dice:</w:t>
      </w:r>
      <w:r w:rsidRPr="00E57920">
        <w:rPr>
          <w:rFonts w:ascii="Palatino Linotype" w:eastAsia="Palatino Linotype" w:hAnsi="Palatino Linotype" w:cs="Palatino Linotype"/>
          <w:b/>
          <w:color w:val="000000"/>
        </w:rPr>
        <w:t xml:space="preserve"> </w:t>
      </w:r>
    </w:p>
    <w:p w:rsidR="00E67BBB" w:rsidRPr="00E57920" w:rsidRDefault="00E67126">
      <w:pPr>
        <w:pStyle w:val="Puesto"/>
        <w:spacing w:before="0" w:after="0" w:line="276" w:lineRule="auto"/>
        <w:ind w:left="567" w:right="-13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lastRenderedPageBreak/>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E67BBB" w:rsidRPr="00E57920" w:rsidRDefault="00E67BBB" w:rsidP="00DA0B66">
      <w:pPr>
        <w:spacing w:line="360" w:lineRule="auto"/>
        <w:ind w:right="-697"/>
        <w:jc w:val="both"/>
        <w:rPr>
          <w:rFonts w:ascii="Palatino Linotype" w:eastAsia="Palatino Linotype" w:hAnsi="Palatino Linotype" w:cs="Palatino Linotype"/>
        </w:rPr>
      </w:pPr>
    </w:p>
    <w:p w:rsidR="00D404C2" w:rsidRPr="00E57920" w:rsidRDefault="00DA0B66" w:rsidP="00D404C2">
      <w:pPr>
        <w:pStyle w:val="Prrafodelista"/>
        <w:numPr>
          <w:ilvl w:val="0"/>
          <w:numId w:val="1"/>
        </w:numPr>
        <w:spacing w:line="360" w:lineRule="auto"/>
        <w:ind w:left="0" w:right="49" w:firstLine="0"/>
        <w:jc w:val="both"/>
        <w:rPr>
          <w:rFonts w:ascii="Palatino Linotype" w:eastAsia="Palatino Linotype" w:hAnsi="Palatino Linotype" w:cs="Palatino Linotype"/>
        </w:rPr>
      </w:pPr>
      <w:r w:rsidRPr="00E57920">
        <w:rPr>
          <w:rFonts w:ascii="Palatino Linotype" w:hAnsi="Palatino Linotype"/>
        </w:rPr>
        <w:t xml:space="preserve">Ahora </w:t>
      </w:r>
      <w:r w:rsidRPr="00E57920">
        <w:rPr>
          <w:rFonts w:ascii="Palatino Linotype" w:eastAsia="Calibri" w:hAnsi="Palatino Linotype" w:cs="Arial"/>
          <w:color w:val="000000" w:themeColor="text1"/>
          <w:lang w:val="es-ES"/>
        </w:rPr>
        <w:t xml:space="preserve">bien, </w:t>
      </w:r>
      <w:r w:rsidRPr="00E57920">
        <w:rPr>
          <w:rFonts w:ascii="Palatino Linotype" w:hAnsi="Palatino Linotype"/>
        </w:rPr>
        <w:t>e</w:t>
      </w:r>
      <w:r w:rsidR="00D404C2" w:rsidRPr="00E57920">
        <w:rPr>
          <w:rFonts w:ascii="Palatino Linotype" w:hAnsi="Palatino Linotype"/>
        </w:rPr>
        <w:t xml:space="preserve">n estricto derecho la alegación de la parta Recurrente se califica de inoperante; motivo por el cual es procedente sobreseer el recurso de revisión; resultando necesario traer a colación </w:t>
      </w:r>
      <w:r w:rsidR="00D404C2" w:rsidRPr="00E57920">
        <w:rPr>
          <w:rFonts w:ascii="Palatino Linotype" w:eastAsia="Palatino Linotype" w:hAnsi="Palatino Linotype" w:cs="Palatino Linotype"/>
        </w:rPr>
        <w:t>la Tesis Aislada con número de registro 2017549 de rubro “INEXISTENCIA DE LOS ACTOS RECLAMADOS EN EL AMPARO. NO ES UN MOTIVO MANIFIESTO E INDUDABLE DE IMPROCEDENCIA QUE DÉ LUGAR AL DESECHAMIENTO DE LA DEMANDA, SINO QUE CONSTITUYE UNA CAUSAL DE SOBRESEIMIENTO EN EL JUICIO.”, la cual constituye un criterio orientador para este Órgano Garante, que pone en aptitudes de poder sobreseer el presente recurso de revisión, lo que en el caso particular, se tiene por acreditada la inexistencia del acto reclamado, quedando sin materia el presente asunto.</w:t>
      </w:r>
    </w:p>
    <w:p w:rsidR="00D404C2" w:rsidRPr="00E57920" w:rsidRDefault="00D404C2" w:rsidP="00D404C2">
      <w:pPr>
        <w:spacing w:after="80" w:line="360" w:lineRule="auto"/>
        <w:jc w:val="both"/>
        <w:rPr>
          <w:rFonts w:ascii="Palatino Linotype" w:eastAsia="Palatino Linotype" w:hAnsi="Palatino Linotype" w:cs="Palatino Linotype"/>
        </w:rPr>
      </w:pPr>
    </w:p>
    <w:p w:rsidR="00D404C2" w:rsidRPr="00E57920" w:rsidRDefault="00D404C2" w:rsidP="00D404C2">
      <w:pPr>
        <w:pStyle w:val="Prrafodelista"/>
        <w:numPr>
          <w:ilvl w:val="0"/>
          <w:numId w:val="1"/>
        </w:numPr>
        <w:spacing w:before="80" w:after="240" w:line="360" w:lineRule="auto"/>
        <w:ind w:left="0"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Derivado de lo expuesto, es necesario hacer del conocimiento de la persona solicitante que, de la simple lectura a su Recurso de Revisión, se desprende que</w:t>
      </w:r>
      <w:r w:rsidRPr="00E57920">
        <w:rPr>
          <w:rFonts w:ascii="Palatino Linotype" w:eastAsia="Palatino Linotype" w:hAnsi="Palatino Linotype" w:cs="Palatino Linotype"/>
          <w:b/>
          <w:u w:val="single"/>
        </w:rPr>
        <w:t xml:space="preserve"> las razones o motivos de inconformidad hechas valer, no corresponden con la </w:t>
      </w:r>
      <w:r w:rsidRPr="00E57920">
        <w:rPr>
          <w:rFonts w:ascii="Palatino Linotype" w:eastAsia="Palatino Linotype" w:hAnsi="Palatino Linotype" w:cs="Palatino Linotype"/>
          <w:b/>
          <w:u w:val="single"/>
        </w:rPr>
        <w:lastRenderedPageBreak/>
        <w:t>respuesta del Sujeto Obligado para atender su requerimiento de información,</w:t>
      </w:r>
      <w:r w:rsidRPr="00E57920">
        <w:rPr>
          <w:rFonts w:ascii="Palatino Linotype" w:eastAsia="Palatino Linotype" w:hAnsi="Palatino Linotype" w:cs="Palatino Linotype"/>
        </w:rPr>
        <w:t xml:space="preserve"> por lo tanto, es claro que el Recurso de Revisión que nos ocupa, no actualiza ninguno de los supuestos previstos en la Ley de la materia conforme a las actuaciones que obran en el expediente electrónico formado en el Sistema de Acceso a la Información Mexiquense, SAIMEX.</w:t>
      </w:r>
    </w:p>
    <w:p w:rsidR="00D404C2" w:rsidRPr="00E57920" w:rsidRDefault="00D404C2" w:rsidP="00D404C2">
      <w:pPr>
        <w:pStyle w:val="Prrafodelista"/>
        <w:spacing w:before="80" w:after="240" w:line="360" w:lineRule="auto"/>
        <w:ind w:left="0"/>
        <w:jc w:val="both"/>
        <w:rPr>
          <w:rFonts w:ascii="Palatino Linotype" w:eastAsia="Palatino Linotype" w:hAnsi="Palatino Linotype" w:cs="Palatino Linotype"/>
        </w:rPr>
      </w:pPr>
    </w:p>
    <w:p w:rsidR="00D404C2" w:rsidRPr="00E57920" w:rsidRDefault="00D404C2" w:rsidP="00D404C2">
      <w:pPr>
        <w:pStyle w:val="Prrafodelista"/>
        <w:numPr>
          <w:ilvl w:val="0"/>
          <w:numId w:val="1"/>
        </w:numPr>
        <w:spacing w:before="240" w:after="240" w:line="360" w:lineRule="auto"/>
        <w:ind w:left="0" w:right="49"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Asimismo, se advierte que la expresión </w:t>
      </w:r>
      <w:r w:rsidRPr="00E57920">
        <w:rPr>
          <w:rFonts w:ascii="Palatino Linotype" w:eastAsia="Palatino Linotype" w:hAnsi="Palatino Linotype" w:cs="Palatino Linotype"/>
          <w:b/>
          <w:i/>
          <w:u w:val="single"/>
        </w:rPr>
        <w:t>“</w:t>
      </w:r>
      <w:r w:rsidR="00EF64FD" w:rsidRPr="00E57920">
        <w:rPr>
          <w:rFonts w:ascii="Palatino Linotype" w:eastAsia="Palatino Linotype" w:hAnsi="Palatino Linotype" w:cs="Palatino Linotype"/>
          <w:b/>
          <w:i/>
          <w:u w:val="single"/>
        </w:rPr>
        <w:t>…es mentira que el citado degocio se encontrará cerrado en dicha fecha…”</w:t>
      </w:r>
      <w:r w:rsidRPr="00E57920">
        <w:rPr>
          <w:rFonts w:ascii="Palatino Linotype" w:eastAsia="Palatino Linotype" w:hAnsi="Palatino Linotype" w:cs="Palatino Linotype"/>
          <w:b/>
          <w:i/>
        </w:rPr>
        <w:t xml:space="preserve">, </w:t>
      </w:r>
      <w:r w:rsidRPr="00E57920">
        <w:rPr>
          <w:rFonts w:ascii="Palatino Linotype" w:eastAsia="Palatino Linotype" w:hAnsi="Palatino Linotype" w:cs="Palatino Linotype"/>
        </w:rPr>
        <w:t xml:space="preserve">está encaminada a dudar de la veracidad de la información proporcionada por el Sujeto Obligado, por lo cual se actualiza la causal de sobreseimiento enunciada en la fracción IV del artículo 192 de la Ley de Transparencia Local, en relación directa con la fracción V del artículo 191 de la misma Ley, toda vez que la parte </w:t>
      </w:r>
      <w:r w:rsidRPr="00E57920">
        <w:rPr>
          <w:rFonts w:ascii="Palatino Linotype" w:eastAsia="Palatino Linotype" w:hAnsi="Palatino Linotype" w:cs="Palatino Linotype"/>
          <w:b/>
        </w:rPr>
        <w:t>Recurrente</w:t>
      </w:r>
      <w:r w:rsidRPr="00E57920">
        <w:rPr>
          <w:rFonts w:ascii="Palatino Linotype" w:eastAsia="Palatino Linotype" w:hAnsi="Palatino Linotype" w:cs="Palatino Linotype"/>
        </w:rPr>
        <w:t xml:space="preserve"> pone en tela de juicio la veracidad de la información proporcionada.</w:t>
      </w:r>
    </w:p>
    <w:p w:rsidR="00E8407B" w:rsidRPr="00E57920" w:rsidRDefault="00E8407B" w:rsidP="00716275">
      <w:pPr>
        <w:pStyle w:val="Prrafodelista"/>
        <w:spacing w:line="360" w:lineRule="auto"/>
        <w:rPr>
          <w:rFonts w:ascii="Palatino Linotype" w:eastAsia="Palatino Linotype" w:hAnsi="Palatino Linotype" w:cs="Palatino Linotype"/>
        </w:rPr>
      </w:pPr>
    </w:p>
    <w:p w:rsidR="00D404C2" w:rsidRPr="00E57920" w:rsidRDefault="00E8407B" w:rsidP="00D404C2">
      <w:pPr>
        <w:pStyle w:val="Prrafodelista"/>
        <w:numPr>
          <w:ilvl w:val="0"/>
          <w:numId w:val="1"/>
        </w:numPr>
        <w:spacing w:before="240" w:after="240" w:line="360" w:lineRule="auto"/>
        <w:ind w:left="0" w:right="49"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Siendo </w:t>
      </w:r>
      <w:r w:rsidR="00D404C2" w:rsidRPr="00E57920">
        <w:rPr>
          <w:rFonts w:ascii="Palatino Linotype" w:eastAsia="Palatino Linotype" w:hAnsi="Palatino Linotype" w:cs="Palatino Linotype"/>
        </w:rPr>
        <w:t>necesario precisar que este Organismo Garante no está facultado para manifestarse sobre la veracidad de lo manifestado por parte de este, pues no existe precepto legal alguno en la Ley de la materia que lo faculte para ello.</w:t>
      </w:r>
    </w:p>
    <w:p w:rsidR="00716275" w:rsidRPr="00E57920" w:rsidRDefault="00716275" w:rsidP="00716275">
      <w:pPr>
        <w:pStyle w:val="Prrafodelista"/>
        <w:spacing w:line="360" w:lineRule="auto"/>
        <w:rPr>
          <w:rFonts w:ascii="Palatino Linotype" w:eastAsia="Palatino Linotype" w:hAnsi="Palatino Linotype" w:cs="Palatino Linotype"/>
        </w:rPr>
      </w:pPr>
    </w:p>
    <w:p w:rsidR="00D404C2" w:rsidRPr="00E57920" w:rsidRDefault="00716275" w:rsidP="00716275">
      <w:pPr>
        <w:pStyle w:val="Prrafodelista"/>
        <w:numPr>
          <w:ilvl w:val="0"/>
          <w:numId w:val="1"/>
        </w:numPr>
        <w:spacing w:before="240" w:after="240" w:line="360" w:lineRule="auto"/>
        <w:ind w:left="0" w:right="49"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Lo anterior se sustenta </w:t>
      </w:r>
      <w:r w:rsidR="00D404C2" w:rsidRPr="00E57920">
        <w:rPr>
          <w:rFonts w:ascii="Palatino Linotype" w:eastAsia="Palatino Linotype" w:hAnsi="Palatino Linotype" w:cs="Palatino Linotype"/>
        </w:rPr>
        <w:t xml:space="preserve">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rsidR="00D404C2" w:rsidRPr="00E57920" w:rsidRDefault="00D404C2" w:rsidP="00C5160D">
      <w:pPr>
        <w:ind w:left="567" w:right="900"/>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w:t>
      </w:r>
      <w:r w:rsidRPr="00E57920">
        <w:rPr>
          <w:rFonts w:ascii="Palatino Linotype" w:eastAsia="Palatino Linotype" w:hAnsi="Palatino Linotype" w:cs="Palatino Linotype"/>
          <w:b/>
          <w:i/>
          <w:sz w:val="22"/>
          <w:szCs w:val="22"/>
        </w:rPr>
        <w:t xml:space="preserve">El Instituto Federal de Acceso a la Información y Protección de Datos no cuenta con facultades para pronunciarse respecto de la veracidad de los </w:t>
      </w:r>
      <w:r w:rsidRPr="00E57920">
        <w:rPr>
          <w:rFonts w:ascii="Palatino Linotype" w:eastAsia="Palatino Linotype" w:hAnsi="Palatino Linotype" w:cs="Palatino Linotype"/>
          <w:b/>
          <w:i/>
          <w:sz w:val="22"/>
          <w:szCs w:val="22"/>
        </w:rPr>
        <w:lastRenderedPageBreak/>
        <w:t>documentos proporcionados por los sujetos obligados.</w:t>
      </w:r>
      <w:r w:rsidRPr="00E57920">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C5160D" w:rsidRPr="00E57920" w:rsidRDefault="00C5160D" w:rsidP="00631F7C">
      <w:pPr>
        <w:spacing w:line="360" w:lineRule="auto"/>
        <w:ind w:left="567" w:right="900"/>
        <w:jc w:val="both"/>
        <w:rPr>
          <w:rFonts w:ascii="Palatino Linotype" w:eastAsia="Palatino Linotype" w:hAnsi="Palatino Linotype" w:cs="Palatino Linotype"/>
          <w:i/>
        </w:rPr>
      </w:pPr>
    </w:p>
    <w:p w:rsidR="00D404C2" w:rsidRPr="00E57920" w:rsidRDefault="00D404C2" w:rsidP="00C5160D">
      <w:pPr>
        <w:pStyle w:val="Prrafodelista"/>
        <w:numPr>
          <w:ilvl w:val="0"/>
          <w:numId w:val="1"/>
        </w:numPr>
        <w:spacing w:line="360" w:lineRule="auto"/>
        <w:ind w:left="0" w:right="49"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Es por ello que se actualiza las causales de improcedencia previstas en la fracción IV del artículo 192 de la Ley en la materia, en relación con las fracciones III y V del artículo 191 del mismo ordenamiento, disposiciones normativas que señalan: </w:t>
      </w:r>
    </w:p>
    <w:p w:rsidR="00C5160D" w:rsidRPr="00E57920" w:rsidRDefault="00C5160D" w:rsidP="00C5160D">
      <w:pPr>
        <w:pStyle w:val="Prrafodelista"/>
        <w:spacing w:line="360" w:lineRule="auto"/>
        <w:ind w:left="0" w:right="49"/>
        <w:jc w:val="both"/>
        <w:rPr>
          <w:rFonts w:ascii="Palatino Linotype" w:eastAsia="Palatino Linotype" w:hAnsi="Palatino Linotype" w:cs="Palatino Linotype"/>
        </w:rPr>
      </w:pPr>
    </w:p>
    <w:p w:rsidR="00D404C2" w:rsidRPr="00E57920" w:rsidRDefault="00D404C2" w:rsidP="00C5160D">
      <w:pPr>
        <w:tabs>
          <w:tab w:val="left" w:pos="7938"/>
        </w:tabs>
        <w:spacing w:after="160" w:line="276" w:lineRule="auto"/>
        <w:ind w:left="851" w:right="62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 xml:space="preserve">“Artículo 191. El recurso será desechado por improcedente cuando: </w:t>
      </w:r>
    </w:p>
    <w:p w:rsidR="00D404C2" w:rsidRPr="00E57920" w:rsidRDefault="00D404C2" w:rsidP="00C5160D">
      <w:pPr>
        <w:tabs>
          <w:tab w:val="left" w:pos="7938"/>
        </w:tabs>
        <w:spacing w:after="160" w:line="276" w:lineRule="auto"/>
        <w:ind w:left="851" w:right="62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III. No se actualice alguno de los supuestos previstos en la Ley.</w:t>
      </w:r>
    </w:p>
    <w:p w:rsidR="00D404C2" w:rsidRPr="00E57920" w:rsidRDefault="00D404C2" w:rsidP="00C5160D">
      <w:pPr>
        <w:tabs>
          <w:tab w:val="left" w:pos="7938"/>
        </w:tabs>
        <w:spacing w:after="160" w:line="276" w:lineRule="auto"/>
        <w:ind w:left="851" w:right="62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V. Se impugne la veracidad de la información proporcionada;</w:t>
      </w:r>
    </w:p>
    <w:p w:rsidR="00D404C2" w:rsidRPr="00E57920" w:rsidRDefault="00D404C2" w:rsidP="00C5160D">
      <w:pPr>
        <w:tabs>
          <w:tab w:val="left" w:pos="7938"/>
        </w:tabs>
        <w:spacing w:after="160" w:line="276" w:lineRule="auto"/>
        <w:ind w:left="851" w:right="62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w:t>
      </w:r>
    </w:p>
    <w:p w:rsidR="00D404C2" w:rsidRPr="00E57920" w:rsidRDefault="00D404C2" w:rsidP="00C5160D">
      <w:pPr>
        <w:tabs>
          <w:tab w:val="left" w:pos="7938"/>
        </w:tabs>
        <w:spacing w:after="160" w:line="276" w:lineRule="auto"/>
        <w:ind w:left="851" w:right="62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 xml:space="preserve">Artículo 192. El recurso será </w:t>
      </w:r>
      <w:r w:rsidRPr="00E57920">
        <w:rPr>
          <w:rFonts w:ascii="Palatino Linotype" w:eastAsia="Palatino Linotype" w:hAnsi="Palatino Linotype" w:cs="Palatino Linotype"/>
          <w:b/>
          <w:i/>
          <w:sz w:val="22"/>
          <w:szCs w:val="22"/>
          <w:u w:val="single"/>
        </w:rPr>
        <w:t>sobreseído</w:t>
      </w:r>
      <w:r w:rsidRPr="00E57920">
        <w:rPr>
          <w:rFonts w:ascii="Palatino Linotype" w:eastAsia="Palatino Linotype" w:hAnsi="Palatino Linotype" w:cs="Palatino Linotype"/>
          <w:b/>
          <w:i/>
          <w:sz w:val="22"/>
          <w:szCs w:val="22"/>
        </w:rPr>
        <w:t>, en todo o en parte, cuando una vez admitido, se actualicen alguno de los siguientes supuestos:</w:t>
      </w:r>
    </w:p>
    <w:p w:rsidR="00D404C2" w:rsidRPr="00E57920" w:rsidRDefault="00D404C2" w:rsidP="00C5160D">
      <w:pPr>
        <w:tabs>
          <w:tab w:val="left" w:pos="7938"/>
        </w:tabs>
        <w:spacing w:after="160" w:line="276" w:lineRule="auto"/>
        <w:ind w:left="851" w:right="62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w:t>
      </w:r>
    </w:p>
    <w:p w:rsidR="00D404C2" w:rsidRPr="00E57920" w:rsidRDefault="00D404C2" w:rsidP="00AB63C0">
      <w:pPr>
        <w:tabs>
          <w:tab w:val="left" w:pos="7938"/>
        </w:tabs>
        <w:spacing w:line="276" w:lineRule="auto"/>
        <w:ind w:left="851" w:right="620"/>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IV. Admitido el recurso de revisión aparezca alguna causal de improcedencia en términos de la presente Ley… (Sic)”</w:t>
      </w:r>
    </w:p>
    <w:p w:rsidR="00AB63C0" w:rsidRPr="00E57920" w:rsidRDefault="00AB63C0" w:rsidP="003E3158">
      <w:pPr>
        <w:tabs>
          <w:tab w:val="left" w:pos="7938"/>
        </w:tabs>
        <w:spacing w:line="360" w:lineRule="auto"/>
        <w:ind w:left="851" w:right="620"/>
        <w:jc w:val="both"/>
        <w:rPr>
          <w:rFonts w:ascii="Palatino Linotype" w:eastAsia="Palatino Linotype" w:hAnsi="Palatino Linotype" w:cs="Palatino Linotype"/>
          <w:b/>
          <w:i/>
        </w:rPr>
      </w:pPr>
    </w:p>
    <w:p w:rsidR="00D404C2" w:rsidRPr="00E57920" w:rsidRDefault="00D404C2" w:rsidP="003E3158">
      <w:pPr>
        <w:pStyle w:val="Prrafodelista"/>
        <w:numPr>
          <w:ilvl w:val="0"/>
          <w:numId w:val="1"/>
        </w:numPr>
        <w:spacing w:line="360" w:lineRule="auto"/>
        <w:ind w:left="0"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Por tales circunstancias, este Instituto se encuentra impedido a entrar al estudio de fondo, en virtud que la particular no manifestó razones o motivos de </w:t>
      </w:r>
      <w:r w:rsidRPr="00E57920">
        <w:rPr>
          <w:rFonts w:ascii="Palatino Linotype" w:eastAsia="Palatino Linotype" w:hAnsi="Palatino Linotype" w:cs="Palatino Linotype"/>
        </w:rPr>
        <w:lastRenderedPageBreak/>
        <w:t xml:space="preserve">inconformidad, relacionados con la respuesta del </w:t>
      </w:r>
      <w:r w:rsidRPr="00E57920">
        <w:rPr>
          <w:rFonts w:ascii="Palatino Linotype" w:eastAsia="Palatino Linotype" w:hAnsi="Palatino Linotype" w:cs="Palatino Linotype"/>
          <w:b/>
        </w:rPr>
        <w:t>Sujeto Obligado</w:t>
      </w:r>
      <w:r w:rsidRPr="00E57920">
        <w:rPr>
          <w:rFonts w:ascii="Palatino Linotype" w:eastAsia="Palatino Linotype" w:hAnsi="Palatino Linotype" w:cs="Palatino Linotype"/>
        </w:rPr>
        <w:t>, a fin de atender su solicitud de acceso.</w:t>
      </w:r>
    </w:p>
    <w:p w:rsidR="008A002F" w:rsidRPr="00E57920" w:rsidRDefault="008A002F" w:rsidP="008A002F">
      <w:pPr>
        <w:pStyle w:val="Prrafodelista"/>
        <w:spacing w:line="360" w:lineRule="auto"/>
        <w:ind w:left="0"/>
        <w:jc w:val="both"/>
        <w:rPr>
          <w:rFonts w:ascii="Palatino Linotype" w:eastAsia="Palatino Linotype" w:hAnsi="Palatino Linotype" w:cs="Palatino Linotype"/>
        </w:rPr>
      </w:pPr>
    </w:p>
    <w:p w:rsidR="00D404C2" w:rsidRPr="00E57920" w:rsidRDefault="00D404C2" w:rsidP="008A002F">
      <w:pPr>
        <w:pStyle w:val="Prrafodelista"/>
        <w:numPr>
          <w:ilvl w:val="0"/>
          <w:numId w:val="1"/>
        </w:numPr>
        <w:spacing w:before="240" w:after="240" w:line="360" w:lineRule="auto"/>
        <w:ind w:left="0" w:right="96"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que no se actualizó algún supuesto de procedencia, se determina </w:t>
      </w:r>
      <w:r w:rsidRPr="00E57920">
        <w:rPr>
          <w:rFonts w:ascii="Palatino Linotype" w:eastAsia="Palatino Linotype" w:hAnsi="Palatino Linotype" w:cs="Palatino Linotype"/>
          <w:i/>
        </w:rPr>
        <w:t xml:space="preserve">sobreseer </w:t>
      </w:r>
      <w:r w:rsidRPr="00E57920">
        <w:rPr>
          <w:rFonts w:ascii="Palatino Linotype" w:eastAsia="Palatino Linotype" w:hAnsi="Palatino Linotype" w:cs="Palatino Linotype"/>
        </w:rPr>
        <w:t xml:space="preserve">el presente recurso de revisión. </w:t>
      </w:r>
    </w:p>
    <w:p w:rsidR="008A002F" w:rsidRPr="00E57920" w:rsidRDefault="008A002F" w:rsidP="008A002F">
      <w:pPr>
        <w:pStyle w:val="Prrafodelista"/>
        <w:rPr>
          <w:rFonts w:ascii="Palatino Linotype" w:eastAsia="Palatino Linotype" w:hAnsi="Palatino Linotype" w:cs="Palatino Linotype"/>
        </w:rPr>
      </w:pPr>
    </w:p>
    <w:p w:rsidR="00D404C2" w:rsidRPr="00E57920" w:rsidRDefault="00D404C2" w:rsidP="008A002F">
      <w:pPr>
        <w:pStyle w:val="Prrafodelista"/>
        <w:numPr>
          <w:ilvl w:val="0"/>
          <w:numId w:val="1"/>
        </w:numPr>
        <w:spacing w:before="240" w:after="240" w:line="360" w:lineRule="auto"/>
        <w:ind w:left="0" w:right="96" w:firstLine="0"/>
        <w:jc w:val="both"/>
        <w:rPr>
          <w:rFonts w:ascii="Palatino Linotype" w:eastAsia="Palatino Linotype" w:hAnsi="Palatino Linotype" w:cs="Palatino Linotype"/>
          <w:b/>
          <w:i/>
        </w:rPr>
      </w:pPr>
      <w:r w:rsidRPr="00E57920">
        <w:rPr>
          <w:rFonts w:ascii="Palatino Linotype" w:eastAsia="Palatino Linotype" w:hAnsi="Palatino Linotype" w:cs="Palatino Linotype"/>
        </w:rPr>
        <w:t xml:space="preserve">Siendo el </w:t>
      </w:r>
      <w:r w:rsidRPr="00E57920">
        <w:rPr>
          <w:rFonts w:ascii="Palatino Linotype" w:eastAsia="Palatino Linotype" w:hAnsi="Palatino Linotype" w:cs="Palatino Linotype"/>
          <w:i/>
        </w:rPr>
        <w:t>sobreseimiento</w:t>
      </w:r>
      <w:r w:rsidRPr="00E57920">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D404C2" w:rsidRPr="00E57920" w:rsidRDefault="00D404C2" w:rsidP="00D404C2">
      <w:pPr>
        <w:spacing w:after="120" w:line="259" w:lineRule="auto"/>
        <w:ind w:left="851" w:right="902"/>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i/>
          <w:sz w:val="22"/>
          <w:szCs w:val="22"/>
        </w:rPr>
        <w:t>“</w:t>
      </w:r>
      <w:r w:rsidRPr="00E57920">
        <w:rPr>
          <w:rFonts w:ascii="Palatino Linotype" w:eastAsia="Palatino Linotype" w:hAnsi="Palatino Linotype" w:cs="Palatino Linotype"/>
          <w:b/>
          <w:i/>
          <w:sz w:val="22"/>
          <w:szCs w:val="22"/>
        </w:rPr>
        <w:t>SOBRESEIMIENTO, NO PERMITE ENTRAR AL ESTUDIO DE LAS CUESTIONES DE FONDO</w:t>
      </w:r>
    </w:p>
    <w:p w:rsidR="00D404C2" w:rsidRPr="00E57920" w:rsidRDefault="00D404C2" w:rsidP="00D404C2">
      <w:pPr>
        <w:spacing w:before="120" w:after="120" w:line="259" w:lineRule="auto"/>
        <w:ind w:left="851" w:right="902"/>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rsidR="00D404C2" w:rsidRPr="00E57920" w:rsidRDefault="00D404C2" w:rsidP="00CD7B98">
      <w:pPr>
        <w:spacing w:before="120" w:after="120" w:line="360" w:lineRule="auto"/>
        <w:ind w:left="851" w:right="902"/>
        <w:jc w:val="both"/>
        <w:rPr>
          <w:rFonts w:ascii="Palatino Linotype" w:eastAsia="Palatino Linotype" w:hAnsi="Palatino Linotype" w:cs="Palatino Linotype"/>
          <w:i/>
          <w:sz w:val="22"/>
          <w:szCs w:val="22"/>
        </w:rPr>
      </w:pPr>
      <w:r w:rsidRPr="00E57920">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D404C2" w:rsidRPr="00E57920" w:rsidRDefault="00D404C2" w:rsidP="00CD7B98">
      <w:pPr>
        <w:pStyle w:val="Prrafodelista"/>
        <w:numPr>
          <w:ilvl w:val="0"/>
          <w:numId w:val="1"/>
        </w:numPr>
        <w:spacing w:before="240" w:after="240" w:line="360" w:lineRule="auto"/>
        <w:ind w:left="0" w:firstLine="0"/>
        <w:jc w:val="both"/>
        <w:rPr>
          <w:rFonts w:ascii="Palatino Linotype" w:eastAsia="Palatino Linotype" w:hAnsi="Palatino Linotype" w:cs="Palatino Linotype"/>
          <w:sz w:val="22"/>
          <w:szCs w:val="22"/>
        </w:rPr>
      </w:pPr>
      <w:r w:rsidRPr="00E57920">
        <w:rPr>
          <w:rFonts w:ascii="Palatino Linotype" w:eastAsia="Palatino Linotype" w:hAnsi="Palatino Linotype" w:cs="Palatino Linotype"/>
        </w:rPr>
        <w:t xml:space="preserve">Cabe destacar que la decisión de este Organismo Colegiado de sobreseer el recurso de revisión no implica una limitación o negación a la justicia, según lo ha </w:t>
      </w:r>
      <w:r w:rsidRPr="00E57920">
        <w:rPr>
          <w:rFonts w:ascii="Palatino Linotype" w:eastAsia="Palatino Linotype" w:hAnsi="Palatino Linotype" w:cs="Palatino Linotype"/>
        </w:rPr>
        <w:lastRenderedPageBreak/>
        <w:t>establecido el Poder Judicial Federal, en el criterio que es aplicable por analogía, con rubro</w:t>
      </w:r>
      <w:r w:rsidRPr="00E57920">
        <w:rPr>
          <w:rFonts w:ascii="Palatino Linotype" w:eastAsia="Palatino Linotype" w:hAnsi="Palatino Linotype" w:cs="Palatino Linotype"/>
          <w:sz w:val="22"/>
          <w:szCs w:val="22"/>
        </w:rPr>
        <w:t>:</w:t>
      </w:r>
    </w:p>
    <w:p w:rsidR="00D404C2" w:rsidRPr="00E57920" w:rsidRDefault="00D404C2" w:rsidP="00D404C2">
      <w:pPr>
        <w:spacing w:before="120" w:after="120" w:line="259" w:lineRule="auto"/>
        <w:ind w:left="851" w:right="902"/>
        <w:jc w:val="both"/>
        <w:rPr>
          <w:rFonts w:ascii="Palatino Linotype" w:eastAsia="Palatino Linotype" w:hAnsi="Palatino Linotype" w:cs="Palatino Linotype"/>
          <w:b/>
          <w:i/>
          <w:sz w:val="22"/>
          <w:szCs w:val="22"/>
        </w:rPr>
      </w:pPr>
      <w:r w:rsidRPr="00E57920">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rsidR="00D404C2" w:rsidRPr="00E57920" w:rsidRDefault="00D404C2" w:rsidP="00D404C2">
      <w:pPr>
        <w:spacing w:before="120" w:after="120" w:line="259" w:lineRule="auto"/>
        <w:ind w:left="851" w:right="902"/>
        <w:jc w:val="both"/>
        <w:rPr>
          <w:rFonts w:ascii="Palatino Linotype" w:eastAsia="Palatino Linotype" w:hAnsi="Palatino Linotype" w:cs="Palatino Linotype"/>
          <w:sz w:val="22"/>
          <w:szCs w:val="22"/>
        </w:rPr>
      </w:pPr>
      <w:r w:rsidRPr="00E57920">
        <w:rPr>
          <w:rFonts w:ascii="Palatino Linotype" w:eastAsia="Palatino Linotype" w:hAnsi="Palatino Linotype" w:cs="Palatino Linotype"/>
          <w:i/>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E57920">
        <w:rPr>
          <w:rFonts w:ascii="Palatino Linotype" w:eastAsia="Palatino Linotype" w:hAnsi="Palatino Linotype" w:cs="Palatino Linotype"/>
          <w:sz w:val="22"/>
          <w:szCs w:val="22"/>
        </w:rPr>
        <w:tab/>
      </w:r>
    </w:p>
    <w:p w:rsidR="00CD7B98" w:rsidRPr="00E57920" w:rsidRDefault="00CD7B98" w:rsidP="00D404C2">
      <w:pPr>
        <w:spacing w:before="120" w:after="120" w:line="259" w:lineRule="auto"/>
        <w:ind w:left="851" w:right="902"/>
        <w:jc w:val="both"/>
        <w:rPr>
          <w:rFonts w:ascii="Palatino Linotype" w:eastAsia="Palatino Linotype" w:hAnsi="Palatino Linotype" w:cs="Palatino Linotype"/>
          <w:i/>
        </w:rPr>
      </w:pPr>
    </w:p>
    <w:p w:rsidR="00D404C2" w:rsidRPr="00E57920" w:rsidRDefault="00D404C2" w:rsidP="00CD7B98">
      <w:pPr>
        <w:pStyle w:val="Prrafodelista"/>
        <w:numPr>
          <w:ilvl w:val="0"/>
          <w:numId w:val="1"/>
        </w:numPr>
        <w:spacing w:line="360" w:lineRule="auto"/>
        <w:ind w:left="0"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E57920">
        <w:rPr>
          <w:rFonts w:ascii="Palatino Linotype" w:eastAsia="Palatino Linotype" w:hAnsi="Palatino Linotype" w:cs="Palatino Linotype"/>
          <w:b/>
        </w:rPr>
        <w:t xml:space="preserve">Sobresee </w:t>
      </w:r>
      <w:r w:rsidRPr="00E57920">
        <w:rPr>
          <w:rFonts w:ascii="Palatino Linotype" w:eastAsia="Palatino Linotype" w:hAnsi="Palatino Linotype" w:cs="Palatino Linotype"/>
        </w:rPr>
        <w:t xml:space="preserve">el recurso de revisión </w:t>
      </w:r>
      <w:r w:rsidRPr="00E57920">
        <w:rPr>
          <w:rFonts w:ascii="Palatino Linotype" w:eastAsia="Palatino Linotype" w:hAnsi="Palatino Linotype" w:cs="Palatino Linotype"/>
          <w:b/>
        </w:rPr>
        <w:t>0</w:t>
      </w:r>
      <w:r w:rsidR="003D7409" w:rsidRPr="00E57920">
        <w:rPr>
          <w:rFonts w:ascii="Palatino Linotype" w:eastAsia="Palatino Linotype" w:hAnsi="Palatino Linotype" w:cs="Palatino Linotype"/>
          <w:b/>
        </w:rPr>
        <w:t>3</w:t>
      </w:r>
      <w:r w:rsidRPr="00E57920">
        <w:rPr>
          <w:rFonts w:ascii="Palatino Linotype" w:eastAsia="Palatino Linotype" w:hAnsi="Palatino Linotype" w:cs="Palatino Linotype"/>
          <w:b/>
        </w:rPr>
        <w:t>4</w:t>
      </w:r>
      <w:r w:rsidR="003D7409" w:rsidRPr="00E57920">
        <w:rPr>
          <w:rFonts w:ascii="Palatino Linotype" w:eastAsia="Palatino Linotype" w:hAnsi="Palatino Linotype" w:cs="Palatino Linotype"/>
          <w:b/>
        </w:rPr>
        <w:t>08</w:t>
      </w:r>
      <w:r w:rsidRPr="00E57920">
        <w:rPr>
          <w:rFonts w:ascii="Palatino Linotype" w:eastAsia="Palatino Linotype" w:hAnsi="Palatino Linotype" w:cs="Palatino Linotype"/>
          <w:b/>
        </w:rPr>
        <w:t>/INFOEM/IP/RR/202</w:t>
      </w:r>
      <w:r w:rsidR="003D7409" w:rsidRPr="00E57920">
        <w:rPr>
          <w:rFonts w:ascii="Palatino Linotype" w:eastAsia="Palatino Linotype" w:hAnsi="Palatino Linotype" w:cs="Palatino Linotype"/>
          <w:b/>
        </w:rPr>
        <w:t>4</w:t>
      </w:r>
      <w:r w:rsidRPr="00E57920">
        <w:rPr>
          <w:rFonts w:ascii="Palatino Linotype" w:eastAsia="Palatino Linotype" w:hAnsi="Palatino Linotype" w:cs="Palatino Linotype"/>
        </w:rPr>
        <w:t>, que ha sido materia del presente fallo.</w:t>
      </w:r>
    </w:p>
    <w:p w:rsidR="003D7409" w:rsidRPr="00E57920" w:rsidRDefault="003D7409" w:rsidP="003D7409">
      <w:pPr>
        <w:pStyle w:val="Prrafodelista"/>
        <w:spacing w:line="360" w:lineRule="auto"/>
        <w:ind w:left="0"/>
        <w:jc w:val="both"/>
        <w:rPr>
          <w:rFonts w:ascii="Palatino Linotype" w:eastAsia="Palatino Linotype" w:hAnsi="Palatino Linotype" w:cs="Palatino Linotype"/>
        </w:rPr>
      </w:pPr>
    </w:p>
    <w:p w:rsidR="00D404C2" w:rsidRPr="00E57920" w:rsidRDefault="00D404C2" w:rsidP="003D7409">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E57920">
        <w:rPr>
          <w:rFonts w:ascii="Palatino Linotype" w:eastAsia="Palatino Linotype" w:hAnsi="Palatino Linotype" w:cs="Palatino Linotype"/>
        </w:rPr>
        <w:t xml:space="preserve">Así, con fundamento en lo prescrito en los artículos 5 párrafos trigésimo, trigésimo primero y trigésimo segundo fracciones IV y V de la Constitución Política del Estado Libre y Soberano de México; 2, fracción II; 29, 36 fracciones I y II; 176, 178, </w:t>
      </w:r>
      <w:r w:rsidRPr="00E57920">
        <w:rPr>
          <w:rFonts w:ascii="Palatino Linotype" w:eastAsia="Palatino Linotype" w:hAnsi="Palatino Linotype" w:cs="Palatino Linotype"/>
        </w:rPr>
        <w:lastRenderedPageBreak/>
        <w:t>181, 185 de la Ley de Transparencia y Acceso a la Información Pública del Estado de México y Municipios, este Pleno:</w:t>
      </w:r>
    </w:p>
    <w:p w:rsidR="00D404C2" w:rsidRPr="00E57920" w:rsidRDefault="00D404C2" w:rsidP="00D404C2">
      <w:pPr>
        <w:spacing w:line="360" w:lineRule="auto"/>
        <w:ind w:right="-93"/>
        <w:jc w:val="center"/>
        <w:rPr>
          <w:rFonts w:ascii="Palatino Linotype" w:eastAsia="Palatino Linotype" w:hAnsi="Palatino Linotype" w:cs="Palatino Linotype"/>
          <w:b/>
        </w:rPr>
      </w:pPr>
      <w:r w:rsidRPr="00E57920">
        <w:rPr>
          <w:rFonts w:ascii="Palatino Linotype" w:eastAsia="Palatino Linotype" w:hAnsi="Palatino Linotype" w:cs="Palatino Linotype"/>
          <w:b/>
        </w:rPr>
        <w:t>R E S U E L V E:</w:t>
      </w:r>
    </w:p>
    <w:p w:rsidR="00D404C2" w:rsidRPr="00E57920" w:rsidRDefault="00D404C2" w:rsidP="00D404C2">
      <w:pPr>
        <w:pStyle w:val="Prrafodelista"/>
        <w:spacing w:line="360" w:lineRule="auto"/>
        <w:ind w:left="0" w:right="49"/>
        <w:jc w:val="both"/>
        <w:rPr>
          <w:rFonts w:ascii="Palatino Linotype" w:hAnsi="Palatino Linotype"/>
        </w:rPr>
      </w:pPr>
    </w:p>
    <w:p w:rsidR="00DA0B66" w:rsidRPr="00E57920" w:rsidRDefault="00DA0B66" w:rsidP="00DA0B66">
      <w:pPr>
        <w:spacing w:line="360" w:lineRule="auto"/>
        <w:jc w:val="both"/>
        <w:rPr>
          <w:rFonts w:ascii="Palatino Linotype" w:hAnsi="Palatino Linotype" w:cs="Arial"/>
          <w:bCs/>
        </w:rPr>
      </w:pPr>
      <w:r w:rsidRPr="00E57920">
        <w:rPr>
          <w:rFonts w:ascii="Palatino Linotype" w:hAnsi="Palatino Linotype" w:cs="Arial"/>
          <w:b/>
        </w:rPr>
        <w:t xml:space="preserve">PRIMERO. </w:t>
      </w:r>
      <w:r w:rsidRPr="00E57920">
        <w:rPr>
          <w:rFonts w:ascii="Palatino Linotype" w:hAnsi="Palatino Linotype"/>
        </w:rPr>
        <w:t xml:space="preserve">Se </w:t>
      </w:r>
      <w:r w:rsidRPr="00E57920">
        <w:rPr>
          <w:rFonts w:ascii="Palatino Linotype" w:hAnsi="Palatino Linotype"/>
          <w:b/>
        </w:rPr>
        <w:t>SOBRESEE por improcedente</w:t>
      </w:r>
      <w:r w:rsidRPr="00E57920">
        <w:rPr>
          <w:rFonts w:ascii="Palatino Linotype" w:hAnsi="Palatino Linotype"/>
        </w:rPr>
        <w:t xml:space="preserve"> el recurso de revisión número </w:t>
      </w:r>
      <w:r w:rsidR="00E5239E" w:rsidRPr="00E57920">
        <w:rPr>
          <w:rFonts w:ascii="Palatino Linotype" w:hAnsi="Palatino Linotype"/>
          <w:b/>
        </w:rPr>
        <w:t>03408/INFOEM/IP/RR/2024</w:t>
      </w:r>
      <w:r w:rsidRPr="00E57920">
        <w:rPr>
          <w:rFonts w:ascii="Palatino Linotype" w:hAnsi="Palatino Linotype"/>
        </w:rPr>
        <w:t xml:space="preserve">, en términos del Considerando </w:t>
      </w:r>
      <w:r w:rsidRPr="00E57920">
        <w:rPr>
          <w:rFonts w:ascii="Palatino Linotype" w:hAnsi="Palatino Linotype"/>
          <w:b/>
        </w:rPr>
        <w:t>CUARTO</w:t>
      </w:r>
      <w:r w:rsidRPr="00E57920">
        <w:rPr>
          <w:rFonts w:ascii="Palatino Linotype" w:hAnsi="Palatino Linotype"/>
        </w:rPr>
        <w:t xml:space="preserve"> de la presente resolución</w:t>
      </w:r>
      <w:r w:rsidR="002B5C59" w:rsidRPr="00E57920">
        <w:rPr>
          <w:rFonts w:ascii="Palatino Linotype" w:hAnsi="Palatino Linotype"/>
        </w:rPr>
        <w:t>, por haberse actualizado la fracción IV</w:t>
      </w:r>
      <w:r w:rsidR="00E5239E" w:rsidRPr="00E57920">
        <w:rPr>
          <w:rFonts w:ascii="Palatino Linotype" w:hAnsi="Palatino Linotype"/>
        </w:rPr>
        <w:t>,</w:t>
      </w:r>
      <w:r w:rsidR="002B5C59" w:rsidRPr="00E57920">
        <w:rPr>
          <w:rFonts w:ascii="Palatino Linotype" w:hAnsi="Palatino Linotype"/>
        </w:rPr>
        <w:t xml:space="preserve"> del artículo 192, en relación con las fracciones III y V</w:t>
      </w:r>
      <w:r w:rsidR="00E5239E" w:rsidRPr="00E57920">
        <w:rPr>
          <w:rFonts w:ascii="Palatino Linotype" w:hAnsi="Palatino Linotype"/>
        </w:rPr>
        <w:t>,</w:t>
      </w:r>
      <w:r w:rsidR="002B5C59" w:rsidRPr="00E57920">
        <w:rPr>
          <w:rFonts w:ascii="Palatino Linotype" w:hAnsi="Palatino Linotype"/>
        </w:rPr>
        <w:t xml:space="preserve"> del artículo 191, ambos de la Ley de Transparencia y Acceso a la Información Pública del Estado de México y Municipios</w:t>
      </w:r>
      <w:r w:rsidRPr="00E57920">
        <w:rPr>
          <w:rFonts w:ascii="Palatino Linotype" w:hAnsi="Palatino Linotype"/>
        </w:rPr>
        <w:t>.</w:t>
      </w:r>
    </w:p>
    <w:p w:rsidR="00DA0B66" w:rsidRPr="00E57920" w:rsidRDefault="00DA0B66" w:rsidP="00DA0B66">
      <w:pPr>
        <w:spacing w:line="360" w:lineRule="auto"/>
        <w:jc w:val="both"/>
        <w:rPr>
          <w:rFonts w:ascii="Palatino Linotype" w:hAnsi="Palatino Linotype"/>
        </w:rPr>
      </w:pPr>
    </w:p>
    <w:p w:rsidR="002B5C59" w:rsidRPr="00E57920" w:rsidRDefault="00DA0B66" w:rsidP="002B5C59">
      <w:pPr>
        <w:spacing w:line="360" w:lineRule="auto"/>
        <w:jc w:val="both"/>
        <w:rPr>
          <w:rFonts w:ascii="Palatino Linotype" w:eastAsia="Palatino Linotype" w:hAnsi="Palatino Linotype" w:cs="Palatino Linotype"/>
        </w:rPr>
      </w:pPr>
      <w:r w:rsidRPr="00E57920">
        <w:rPr>
          <w:rFonts w:ascii="Palatino Linotype" w:hAnsi="Palatino Linotype"/>
          <w:b/>
        </w:rPr>
        <w:t>SEGUNDO.</w:t>
      </w:r>
      <w:r w:rsidRPr="00E57920">
        <w:rPr>
          <w:rFonts w:ascii="Palatino Linotype" w:eastAsiaTheme="majorEastAsia" w:hAnsi="Palatino Linotype" w:cstheme="majorBidi"/>
          <w:b/>
          <w:color w:val="2F5496" w:themeColor="accent1" w:themeShade="BF"/>
        </w:rPr>
        <w:t xml:space="preserve"> </w:t>
      </w:r>
      <w:r w:rsidR="002B5C59" w:rsidRPr="00E57920">
        <w:rPr>
          <w:rFonts w:ascii="Palatino Linotype" w:eastAsia="Calibri" w:hAnsi="Palatino Linotype" w:cs="Arial"/>
          <w:b/>
          <w:bCs/>
          <w:lang w:val="es-ES"/>
        </w:rPr>
        <w:t>NOTIFÍQUESE</w:t>
      </w:r>
      <w:r w:rsidR="002B5C59" w:rsidRPr="00E57920">
        <w:rPr>
          <w:rFonts w:ascii="Palatino Linotype" w:eastAsia="Palatino Linotype" w:hAnsi="Palatino Linotype" w:cs="Palatino Linotype"/>
          <w:b/>
        </w:rPr>
        <w:t> </w:t>
      </w:r>
      <w:r w:rsidR="002B5C59" w:rsidRPr="00E57920">
        <w:rPr>
          <w:rFonts w:ascii="Palatino Linotype" w:eastAsia="Palatino Linotype" w:hAnsi="Palatino Linotype" w:cs="Palatino Linotype"/>
        </w:rPr>
        <w:t xml:space="preserve">vía SAIMEX la presente resolución al Titular de la Unidad de Transparencia del </w:t>
      </w:r>
      <w:r w:rsidR="002B5C59" w:rsidRPr="00E57920">
        <w:rPr>
          <w:rFonts w:ascii="Palatino Linotype" w:eastAsia="Palatino Linotype" w:hAnsi="Palatino Linotype" w:cs="Palatino Linotype"/>
          <w:b/>
        </w:rPr>
        <w:t>Sujeto Obligado</w:t>
      </w:r>
      <w:r w:rsidR="002B5C59" w:rsidRPr="00E57920">
        <w:rPr>
          <w:rFonts w:ascii="Palatino Linotype" w:eastAsia="Palatino Linotype" w:hAnsi="Palatino Linotype" w:cs="Palatino Linotype"/>
        </w:rPr>
        <w:t>, para su conocimiento.</w:t>
      </w:r>
    </w:p>
    <w:p w:rsidR="002B5C59" w:rsidRPr="00E57920" w:rsidRDefault="002B5C59" w:rsidP="00DA0B66">
      <w:pPr>
        <w:spacing w:line="360" w:lineRule="auto"/>
        <w:jc w:val="both"/>
        <w:rPr>
          <w:rFonts w:ascii="Palatino Linotype" w:eastAsia="Calibri" w:hAnsi="Palatino Linotype" w:cs="Arial"/>
          <w:lang w:val="es-ES"/>
        </w:rPr>
      </w:pPr>
    </w:p>
    <w:p w:rsidR="00DA0B66" w:rsidRPr="00E57920" w:rsidRDefault="00DA0B66" w:rsidP="00DA0B66">
      <w:pPr>
        <w:tabs>
          <w:tab w:val="left" w:pos="8080"/>
        </w:tabs>
        <w:spacing w:line="360" w:lineRule="auto"/>
        <w:ind w:right="49"/>
        <w:contextualSpacing/>
        <w:jc w:val="both"/>
        <w:rPr>
          <w:rFonts w:ascii="Palatino Linotype" w:eastAsia="Palatino Linotype" w:hAnsi="Palatino Linotype" w:cs="Palatino Linotype"/>
          <w:b/>
          <w:color w:val="000000" w:themeColor="text1"/>
        </w:rPr>
      </w:pPr>
      <w:r w:rsidRPr="00E57920">
        <w:rPr>
          <w:rFonts w:ascii="Palatino Linotype" w:eastAsia="Palatino Linotype" w:hAnsi="Palatino Linotype" w:cs="Palatino Linotype"/>
          <w:b/>
        </w:rPr>
        <w:t xml:space="preserve">TERCERO. </w:t>
      </w:r>
      <w:r w:rsidRPr="00E57920">
        <w:rPr>
          <w:rFonts w:ascii="Palatino Linotype" w:hAnsi="Palatino Linotype"/>
          <w:b/>
          <w:bCs/>
          <w:lang w:val="es-ES"/>
        </w:rPr>
        <w:t xml:space="preserve">Notifíquese </w:t>
      </w:r>
      <w:r w:rsidRPr="00E57920">
        <w:rPr>
          <w:rFonts w:ascii="Palatino Linotype" w:hAnsi="Palatino Linotype"/>
          <w:bCs/>
          <w:lang w:val="es-ES"/>
        </w:rPr>
        <w:t xml:space="preserve">al </w:t>
      </w:r>
      <w:r w:rsidRPr="00E57920">
        <w:rPr>
          <w:rFonts w:ascii="Palatino Linotype" w:hAnsi="Palatino Linotype"/>
          <w:b/>
          <w:bCs/>
          <w:lang w:val="es-ES"/>
        </w:rPr>
        <w:t>RECURRENTE</w:t>
      </w:r>
      <w:r w:rsidRPr="00E57920">
        <w:rPr>
          <w:rFonts w:ascii="Palatino Linotype" w:hAnsi="Palatino Linotype"/>
        </w:rPr>
        <w:t xml:space="preserve"> </w:t>
      </w:r>
      <w:r w:rsidRPr="00E57920">
        <w:rPr>
          <w:rFonts w:ascii="Palatino Linotype" w:hAnsi="Palatino Linotype"/>
          <w:lang w:val="es-ES"/>
        </w:rPr>
        <w:t xml:space="preserve">la presente resolución, </w:t>
      </w:r>
      <w:r w:rsidRPr="00E57920">
        <w:rPr>
          <w:rFonts w:ascii="Palatino Linotype" w:eastAsia="Calibri" w:hAnsi="Palatino Linotype" w:cs="Arial"/>
          <w:bCs/>
          <w:lang w:val="es-ES"/>
        </w:rPr>
        <w:t xml:space="preserve">a través del Sistema de Acceso a la Información Mexiquense </w:t>
      </w:r>
      <w:r w:rsidRPr="00E57920">
        <w:rPr>
          <w:rFonts w:ascii="Palatino Linotype" w:eastAsia="Calibri" w:hAnsi="Palatino Linotype" w:cs="Arial"/>
          <w:b/>
          <w:bCs/>
          <w:lang w:val="es-ES"/>
        </w:rPr>
        <w:t>(SAIMEX).</w:t>
      </w:r>
    </w:p>
    <w:p w:rsidR="00DA0B66" w:rsidRPr="00E57920" w:rsidRDefault="00DA0B66" w:rsidP="00DA0B66">
      <w:pPr>
        <w:tabs>
          <w:tab w:val="left" w:pos="8080"/>
        </w:tabs>
        <w:spacing w:line="360" w:lineRule="auto"/>
        <w:ind w:right="49"/>
        <w:contextualSpacing/>
        <w:jc w:val="both"/>
        <w:rPr>
          <w:rFonts w:ascii="Palatino Linotype" w:eastAsia="Palatino Linotype" w:hAnsi="Palatino Linotype" w:cs="Palatino Linotype"/>
          <w:b/>
          <w:color w:val="000000" w:themeColor="text1"/>
        </w:rPr>
      </w:pPr>
    </w:p>
    <w:p w:rsidR="00DA0B66" w:rsidRPr="00E57920" w:rsidRDefault="00DA0B66" w:rsidP="00DA0B66">
      <w:pPr>
        <w:shd w:val="clear" w:color="auto" w:fill="FFFFFF"/>
        <w:spacing w:line="360" w:lineRule="auto"/>
        <w:jc w:val="both"/>
        <w:rPr>
          <w:rFonts w:ascii="Palatino Linotype" w:hAnsi="Palatino Linotype"/>
          <w:color w:val="000000" w:themeColor="text1"/>
        </w:rPr>
      </w:pPr>
      <w:r w:rsidRPr="00E57920">
        <w:rPr>
          <w:rFonts w:ascii="Palatino Linotype" w:hAnsi="Palatino Linotype" w:cs="Arial"/>
          <w:b/>
          <w:color w:val="000000" w:themeColor="text1"/>
        </w:rPr>
        <w:t xml:space="preserve">CUARTO. </w:t>
      </w:r>
      <w:r w:rsidRPr="00E57920">
        <w:rPr>
          <w:rFonts w:ascii="Palatino Linotype" w:eastAsia="MS Mincho" w:hAnsi="Palatino Linotype"/>
          <w:lang w:val="es-ES"/>
        </w:rPr>
        <w:t xml:space="preserve">Se hace del conocimiento del </w:t>
      </w:r>
      <w:r w:rsidRPr="00E57920">
        <w:rPr>
          <w:rFonts w:ascii="Palatino Linotype" w:hAnsi="Palatino Linotype"/>
          <w:b/>
          <w:bCs/>
          <w:lang w:val="es-ES"/>
        </w:rPr>
        <w:t>RECURRENTE</w:t>
      </w:r>
      <w:r w:rsidRPr="00E57920">
        <w:rPr>
          <w:rFonts w:ascii="Palatino Linotype" w:hAnsi="Palatino Linotype"/>
        </w:rPr>
        <w:t xml:space="preserve"> </w:t>
      </w:r>
      <w:r w:rsidRPr="00E57920">
        <w:rPr>
          <w:rFonts w:ascii="Palatino Linotype" w:eastAsia="MS Mincho" w:hAnsi="Palatino Linotype"/>
          <w:lang w:val="es-ES"/>
        </w:rPr>
        <w:t>que, de conformidad con lo establecido en el artículo 196 de la Ley de Transparencia y Acceso a la Información Pública del Estado de México y Municipios, en caso de que considere que la resolución le cause algún perjuicio podrá impugnarla </w:t>
      </w:r>
      <w:r w:rsidRPr="00E57920">
        <w:rPr>
          <w:rFonts w:ascii="Palatino Linotype" w:eastAsia="MS Mincho" w:hAnsi="Palatino Linotype"/>
          <w:bCs/>
          <w:lang w:val="es-ES"/>
        </w:rPr>
        <w:t>vía juicio de amparo</w:t>
      </w:r>
      <w:r w:rsidRPr="00E57920">
        <w:rPr>
          <w:rFonts w:ascii="Palatino Linotype" w:eastAsia="MS Mincho" w:hAnsi="Palatino Linotype"/>
          <w:lang w:val="es-ES"/>
        </w:rPr>
        <w:t> en los términos de las leyes aplicables.</w:t>
      </w:r>
    </w:p>
    <w:p w:rsidR="00DA0B66" w:rsidRPr="00E57920" w:rsidRDefault="00DA0B66" w:rsidP="00DA0B66">
      <w:pPr>
        <w:spacing w:line="360" w:lineRule="auto"/>
        <w:ind w:right="48"/>
        <w:jc w:val="both"/>
        <w:rPr>
          <w:rFonts w:ascii="Palatino Linotype" w:hAnsi="Palatino Linotype"/>
        </w:rPr>
      </w:pPr>
    </w:p>
    <w:p w:rsidR="00E5239E" w:rsidRPr="003C7186" w:rsidRDefault="00E5239E" w:rsidP="00E5239E">
      <w:pPr>
        <w:spacing w:line="360" w:lineRule="auto"/>
        <w:ind w:left="-142" w:right="-234" w:firstLine="1"/>
        <w:jc w:val="both"/>
        <w:rPr>
          <w:rFonts w:ascii="Palatino Linotype" w:hAnsi="Palatino Linotype"/>
        </w:rPr>
      </w:pPr>
      <w:r w:rsidRPr="00E57920">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DA0B66" w:rsidRDefault="00DA0B66"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p w:rsidR="00E57920" w:rsidRDefault="00E57920" w:rsidP="00E5239E">
      <w:pPr>
        <w:spacing w:line="360" w:lineRule="auto"/>
        <w:ind w:left="-142" w:right="-234" w:firstLine="1"/>
        <w:jc w:val="both"/>
        <w:rPr>
          <w:rFonts w:ascii="Palatino Linotype" w:eastAsia="Palatino Linotype" w:hAnsi="Palatino Linotype" w:cs="Palatino Linotype"/>
          <w:color w:val="000000"/>
        </w:rPr>
      </w:pPr>
    </w:p>
    <w:sectPr w:rsidR="00E57920">
      <w:headerReference w:type="even" r:id="rId9"/>
      <w:headerReference w:type="default" r:id="rId10"/>
      <w:footerReference w:type="default" r:id="rId11"/>
      <w:headerReference w:type="first" r:id="rId12"/>
      <w:footerReference w:type="first" r:id="rId13"/>
      <w:pgSz w:w="12240" w:h="15840"/>
      <w:pgMar w:top="2268" w:right="1608" w:bottom="1560"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CB" w:rsidRDefault="001154CB">
      <w:r>
        <w:separator/>
      </w:r>
    </w:p>
  </w:endnote>
  <w:endnote w:type="continuationSeparator" w:id="0">
    <w:p w:rsidR="001154CB" w:rsidRDefault="0011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BB" w:rsidRDefault="00E6712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F2177">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F2177">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rsidR="00E67BBB" w:rsidRDefault="00E67BB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BB" w:rsidRDefault="00E6712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F217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F2177">
      <w:rPr>
        <w:rFonts w:ascii="Palatino Linotype" w:eastAsia="Palatino Linotype" w:hAnsi="Palatino Linotype" w:cs="Palatino Linotype"/>
        <w:noProof/>
        <w:color w:val="000000"/>
        <w:sz w:val="20"/>
        <w:szCs w:val="20"/>
      </w:rPr>
      <w:t>32</w:t>
    </w:r>
    <w:r>
      <w:rPr>
        <w:rFonts w:ascii="Palatino Linotype" w:eastAsia="Palatino Linotype" w:hAnsi="Palatino Linotype" w:cs="Palatino Linotype"/>
        <w:color w:val="000000"/>
        <w:sz w:val="20"/>
        <w:szCs w:val="20"/>
      </w:rPr>
      <w:fldChar w:fldCharType="end"/>
    </w:r>
  </w:p>
  <w:p w:rsidR="00E67BBB" w:rsidRDefault="00E67BB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CB" w:rsidRDefault="001154CB">
      <w:r>
        <w:separator/>
      </w:r>
    </w:p>
  </w:footnote>
  <w:footnote w:type="continuationSeparator" w:id="0">
    <w:p w:rsidR="001154CB" w:rsidRDefault="001154CB">
      <w:r>
        <w:continuationSeparator/>
      </w:r>
    </w:p>
  </w:footnote>
  <w:footnote w:id="1">
    <w:p w:rsidR="00E67BBB" w:rsidRDefault="00E671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E67BBB" w:rsidRDefault="00E671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E67BBB" w:rsidRDefault="00E671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E67BBB" w:rsidRDefault="00E671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BB" w:rsidRDefault="001154C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BB" w:rsidRDefault="00E67BBB">
    <w:pPr>
      <w:widowControl w:val="0"/>
      <w:pBdr>
        <w:top w:val="nil"/>
        <w:left w:val="nil"/>
        <w:bottom w:val="nil"/>
        <w:right w:val="nil"/>
        <w:between w:val="nil"/>
      </w:pBdr>
      <w:spacing w:line="276" w:lineRule="auto"/>
      <w:rPr>
        <w:color w:val="000000"/>
      </w:rPr>
    </w:pPr>
  </w:p>
  <w:tbl>
    <w:tblPr>
      <w:tblStyle w:val="a1"/>
      <w:tblW w:w="7395" w:type="dxa"/>
      <w:tblInd w:w="2694" w:type="dxa"/>
      <w:tblLayout w:type="fixed"/>
      <w:tblLook w:val="0400" w:firstRow="0" w:lastRow="0" w:firstColumn="0" w:lastColumn="0" w:noHBand="0" w:noVBand="1"/>
    </w:tblPr>
    <w:tblGrid>
      <w:gridCol w:w="2970"/>
      <w:gridCol w:w="4425"/>
    </w:tblGrid>
    <w:tr w:rsidR="00E67BBB">
      <w:trPr>
        <w:trHeight w:val="227"/>
      </w:trPr>
      <w:tc>
        <w:tcPr>
          <w:tcW w:w="2970" w:type="dxa"/>
          <w:vAlign w:val="center"/>
        </w:tcPr>
        <w:p w:rsidR="00E67BBB" w:rsidRDefault="00E6712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25" w:type="dxa"/>
          <w:vAlign w:val="center"/>
        </w:tcPr>
        <w:p w:rsidR="00E67BBB" w:rsidRDefault="00E67126">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03408/INFOEM/IP/RR/2024</w:t>
          </w:r>
        </w:p>
      </w:tc>
    </w:tr>
    <w:tr w:rsidR="00E67BBB">
      <w:trPr>
        <w:trHeight w:val="242"/>
      </w:trPr>
      <w:tc>
        <w:tcPr>
          <w:tcW w:w="2970" w:type="dxa"/>
          <w:vAlign w:val="center"/>
        </w:tcPr>
        <w:p w:rsidR="00E67BBB" w:rsidRDefault="00E6712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25" w:type="dxa"/>
          <w:vAlign w:val="center"/>
        </w:tcPr>
        <w:p w:rsidR="00E67BBB" w:rsidRDefault="00E67126">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Salud del Estado de México</w:t>
          </w:r>
        </w:p>
      </w:tc>
    </w:tr>
    <w:tr w:rsidR="00E67BBB">
      <w:trPr>
        <w:trHeight w:val="342"/>
      </w:trPr>
      <w:tc>
        <w:tcPr>
          <w:tcW w:w="2970" w:type="dxa"/>
          <w:vAlign w:val="center"/>
        </w:tcPr>
        <w:p w:rsidR="00E67BBB" w:rsidRDefault="00E67126">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25" w:type="dxa"/>
          <w:vAlign w:val="center"/>
        </w:tcPr>
        <w:p w:rsidR="00E67BBB" w:rsidRDefault="00E67126">
          <w:pPr>
            <w:pBdr>
              <w:top w:val="nil"/>
              <w:left w:val="nil"/>
              <w:bottom w:val="nil"/>
              <w:right w:val="nil"/>
              <w:between w:val="nil"/>
            </w:pBdr>
            <w:tabs>
              <w:tab w:val="center" w:pos="4419"/>
              <w:tab w:val="right" w:pos="8838"/>
            </w:tabs>
            <w:ind w:right="-861"/>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67BBB" w:rsidRDefault="001154CB">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BB" w:rsidRDefault="00E67BBB">
    <w:pPr>
      <w:widowControl w:val="0"/>
      <w:pBdr>
        <w:top w:val="nil"/>
        <w:left w:val="nil"/>
        <w:bottom w:val="nil"/>
        <w:right w:val="nil"/>
        <w:between w:val="nil"/>
      </w:pBdr>
      <w:spacing w:line="276" w:lineRule="auto"/>
      <w:rPr>
        <w:color w:val="000000"/>
        <w:sz w:val="14"/>
        <w:szCs w:val="14"/>
      </w:rPr>
    </w:pPr>
  </w:p>
  <w:tbl>
    <w:tblPr>
      <w:tblStyle w:val="a2"/>
      <w:tblW w:w="7395" w:type="dxa"/>
      <w:tblInd w:w="2552" w:type="dxa"/>
      <w:tblLayout w:type="fixed"/>
      <w:tblLook w:val="0400" w:firstRow="0" w:lastRow="0" w:firstColumn="0" w:lastColumn="0" w:noHBand="0" w:noVBand="1"/>
    </w:tblPr>
    <w:tblGrid>
      <w:gridCol w:w="2970"/>
      <w:gridCol w:w="4425"/>
    </w:tblGrid>
    <w:tr w:rsidR="00E67BBB">
      <w:trPr>
        <w:trHeight w:val="227"/>
      </w:trPr>
      <w:tc>
        <w:tcPr>
          <w:tcW w:w="2970" w:type="dxa"/>
          <w:vAlign w:val="center"/>
        </w:tcPr>
        <w:p w:rsidR="00E67BBB" w:rsidRDefault="00E6712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25" w:type="dxa"/>
          <w:vAlign w:val="center"/>
        </w:tcPr>
        <w:p w:rsidR="00E67BBB" w:rsidRDefault="00E67126">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03408/INFOEM/IP/RR/2024</w:t>
          </w:r>
        </w:p>
      </w:tc>
    </w:tr>
    <w:tr w:rsidR="00E67BBB">
      <w:trPr>
        <w:trHeight w:val="242"/>
      </w:trPr>
      <w:tc>
        <w:tcPr>
          <w:tcW w:w="2970" w:type="dxa"/>
          <w:vAlign w:val="center"/>
        </w:tcPr>
        <w:p w:rsidR="00E67BBB" w:rsidRPr="00E5239E" w:rsidRDefault="00E67126">
          <w:pPr>
            <w:jc w:val="right"/>
            <w:rPr>
              <w:rFonts w:ascii="Palatino Linotype" w:eastAsia="Palatino Linotype" w:hAnsi="Palatino Linotype" w:cs="Palatino Linotype"/>
              <w:b/>
              <w:sz w:val="22"/>
              <w:szCs w:val="22"/>
            </w:rPr>
          </w:pPr>
          <w:r w:rsidRPr="00E5239E">
            <w:rPr>
              <w:rFonts w:ascii="Palatino Linotype" w:eastAsia="Palatino Linotype" w:hAnsi="Palatino Linotype" w:cs="Palatino Linotype"/>
              <w:b/>
              <w:sz w:val="22"/>
              <w:szCs w:val="22"/>
            </w:rPr>
            <w:t>Recurrente:</w:t>
          </w:r>
        </w:p>
      </w:tc>
      <w:tc>
        <w:tcPr>
          <w:tcW w:w="4425" w:type="dxa"/>
        </w:tcPr>
        <w:p w:rsidR="00E67BBB" w:rsidRPr="00E5239E" w:rsidRDefault="005F2177">
          <w:pPr>
            <w:pBdr>
              <w:top w:val="nil"/>
              <w:left w:val="nil"/>
              <w:bottom w:val="nil"/>
              <w:right w:val="nil"/>
              <w:between w:val="nil"/>
            </w:pBdr>
            <w:tabs>
              <w:tab w:val="center" w:pos="4419"/>
              <w:tab w:val="right" w:pos="8838"/>
              <w:tab w:val="left" w:pos="521"/>
            </w:tabs>
            <w:ind w:right="-85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XXXXXX</w:t>
          </w:r>
        </w:p>
      </w:tc>
    </w:tr>
    <w:tr w:rsidR="00E67BBB">
      <w:trPr>
        <w:trHeight w:val="342"/>
      </w:trPr>
      <w:tc>
        <w:tcPr>
          <w:tcW w:w="2970" w:type="dxa"/>
          <w:vAlign w:val="center"/>
        </w:tcPr>
        <w:p w:rsidR="00E67BBB" w:rsidRDefault="00E6712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25" w:type="dxa"/>
          <w:vAlign w:val="center"/>
        </w:tcPr>
        <w:p w:rsidR="00E67BBB" w:rsidRDefault="00E67126">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Salud del Estado de México</w:t>
          </w:r>
        </w:p>
      </w:tc>
    </w:tr>
    <w:tr w:rsidR="00E67BBB">
      <w:trPr>
        <w:trHeight w:val="342"/>
      </w:trPr>
      <w:tc>
        <w:tcPr>
          <w:tcW w:w="2970" w:type="dxa"/>
          <w:vAlign w:val="center"/>
        </w:tcPr>
        <w:p w:rsidR="00E67BBB" w:rsidRDefault="00E6712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25" w:type="dxa"/>
          <w:vAlign w:val="center"/>
        </w:tcPr>
        <w:p w:rsidR="00E67BBB" w:rsidRDefault="00E67126">
          <w:pPr>
            <w:pBdr>
              <w:top w:val="nil"/>
              <w:left w:val="nil"/>
              <w:bottom w:val="nil"/>
              <w:right w:val="nil"/>
              <w:between w:val="nil"/>
            </w:pBdr>
            <w:tabs>
              <w:tab w:val="center" w:pos="4419"/>
              <w:tab w:val="right" w:pos="8838"/>
            </w:tabs>
            <w:ind w:right="-85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E67BBB" w:rsidRDefault="001154CB">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8D"/>
    <w:multiLevelType w:val="multilevel"/>
    <w:tmpl w:val="A34294EC"/>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A645995"/>
    <w:multiLevelType w:val="multilevel"/>
    <w:tmpl w:val="FDDA3C8E"/>
    <w:lvl w:ilvl="0">
      <w:numFmt w:val="bullet"/>
      <w:lvlText w:val="-"/>
      <w:lvlJc w:val="left"/>
      <w:pPr>
        <w:ind w:left="1080" w:hanging="360"/>
      </w:pPr>
      <w:rPr>
        <w:rFonts w:ascii="Palatino Linotype" w:eastAsia="Palatino Linotype" w:hAnsi="Palatino Linotype" w:cs="Palatino Linotyp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531CF0"/>
    <w:multiLevelType w:val="multilevel"/>
    <w:tmpl w:val="C22E0B70"/>
    <w:lvl w:ilvl="0">
      <w:start w:val="1"/>
      <w:numFmt w:val="upperRoman"/>
      <w:lvlText w:val="%1."/>
      <w:lvlJc w:val="left"/>
      <w:pPr>
        <w:ind w:left="1287" w:hanging="72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FA15928"/>
    <w:multiLevelType w:val="multilevel"/>
    <w:tmpl w:val="25B266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5924F83"/>
    <w:multiLevelType w:val="hybridMultilevel"/>
    <w:tmpl w:val="0F6A9DB8"/>
    <w:lvl w:ilvl="0" w:tplc="42F87DBA">
      <w:start w:val="1"/>
      <w:numFmt w:val="upperRoman"/>
      <w:lvlText w:val="%1."/>
      <w:lvlJc w:val="left"/>
      <w:pPr>
        <w:ind w:left="1138" w:hanging="185"/>
      </w:pPr>
      <w:rPr>
        <w:rFonts w:ascii="Palatino Linotype" w:eastAsia="Palatino Linotype" w:hAnsi="Palatino Linotype" w:cs="Palatino Linotype" w:hint="default"/>
        <w:i/>
        <w:iCs/>
        <w:w w:val="100"/>
        <w:sz w:val="22"/>
        <w:szCs w:val="22"/>
        <w:lang w:val="es-ES" w:eastAsia="en-US" w:bidi="ar-SA"/>
      </w:rPr>
    </w:lvl>
    <w:lvl w:ilvl="1" w:tplc="B5761D28">
      <w:numFmt w:val="bullet"/>
      <w:lvlText w:val="•"/>
      <w:lvlJc w:val="left"/>
      <w:pPr>
        <w:ind w:left="1964" w:hanging="185"/>
      </w:pPr>
      <w:rPr>
        <w:rFonts w:hint="default"/>
        <w:lang w:val="es-ES" w:eastAsia="en-US" w:bidi="ar-SA"/>
      </w:rPr>
    </w:lvl>
    <w:lvl w:ilvl="2" w:tplc="C9403760">
      <w:numFmt w:val="bullet"/>
      <w:lvlText w:val="•"/>
      <w:lvlJc w:val="left"/>
      <w:pPr>
        <w:ind w:left="2788" w:hanging="185"/>
      </w:pPr>
      <w:rPr>
        <w:rFonts w:hint="default"/>
        <w:lang w:val="es-ES" w:eastAsia="en-US" w:bidi="ar-SA"/>
      </w:rPr>
    </w:lvl>
    <w:lvl w:ilvl="3" w:tplc="ECFAC9FC">
      <w:numFmt w:val="bullet"/>
      <w:lvlText w:val="•"/>
      <w:lvlJc w:val="left"/>
      <w:pPr>
        <w:ind w:left="3612" w:hanging="185"/>
      </w:pPr>
      <w:rPr>
        <w:rFonts w:hint="default"/>
        <w:lang w:val="es-ES" w:eastAsia="en-US" w:bidi="ar-SA"/>
      </w:rPr>
    </w:lvl>
    <w:lvl w:ilvl="4" w:tplc="4C92CD8E">
      <w:numFmt w:val="bullet"/>
      <w:lvlText w:val="•"/>
      <w:lvlJc w:val="left"/>
      <w:pPr>
        <w:ind w:left="4436" w:hanging="185"/>
      </w:pPr>
      <w:rPr>
        <w:rFonts w:hint="default"/>
        <w:lang w:val="es-ES" w:eastAsia="en-US" w:bidi="ar-SA"/>
      </w:rPr>
    </w:lvl>
    <w:lvl w:ilvl="5" w:tplc="7870BB86">
      <w:numFmt w:val="bullet"/>
      <w:lvlText w:val="•"/>
      <w:lvlJc w:val="left"/>
      <w:pPr>
        <w:ind w:left="5260" w:hanging="185"/>
      </w:pPr>
      <w:rPr>
        <w:rFonts w:hint="default"/>
        <w:lang w:val="es-ES" w:eastAsia="en-US" w:bidi="ar-SA"/>
      </w:rPr>
    </w:lvl>
    <w:lvl w:ilvl="6" w:tplc="83225548">
      <w:numFmt w:val="bullet"/>
      <w:lvlText w:val="•"/>
      <w:lvlJc w:val="left"/>
      <w:pPr>
        <w:ind w:left="6084" w:hanging="185"/>
      </w:pPr>
      <w:rPr>
        <w:rFonts w:hint="default"/>
        <w:lang w:val="es-ES" w:eastAsia="en-US" w:bidi="ar-SA"/>
      </w:rPr>
    </w:lvl>
    <w:lvl w:ilvl="7" w:tplc="2C38DBD6">
      <w:numFmt w:val="bullet"/>
      <w:lvlText w:val="•"/>
      <w:lvlJc w:val="left"/>
      <w:pPr>
        <w:ind w:left="6908" w:hanging="185"/>
      </w:pPr>
      <w:rPr>
        <w:rFonts w:hint="default"/>
        <w:lang w:val="es-ES" w:eastAsia="en-US" w:bidi="ar-SA"/>
      </w:rPr>
    </w:lvl>
    <w:lvl w:ilvl="8" w:tplc="2D48A632">
      <w:numFmt w:val="bullet"/>
      <w:lvlText w:val="•"/>
      <w:lvlJc w:val="left"/>
      <w:pPr>
        <w:ind w:left="7732" w:hanging="185"/>
      </w:pPr>
      <w:rPr>
        <w:rFonts w:hint="default"/>
        <w:lang w:val="es-ES" w:eastAsia="en-US" w:bidi="ar-SA"/>
      </w:rPr>
    </w:lvl>
  </w:abstractNum>
  <w:abstractNum w:abstractNumId="5" w15:restartNumberingAfterBreak="0">
    <w:nsid w:val="3EE51483"/>
    <w:multiLevelType w:val="multilevel"/>
    <w:tmpl w:val="35C095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B94F52"/>
    <w:multiLevelType w:val="multilevel"/>
    <w:tmpl w:val="9E3E162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rFonts w:ascii="Palatino Linotype" w:eastAsia="Palatino Linotype" w:hAnsi="Palatino Linotype" w:cs="Palatino Linotype"/>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4D46E1"/>
    <w:multiLevelType w:val="multilevel"/>
    <w:tmpl w:val="E7C2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CF37C1"/>
    <w:multiLevelType w:val="multilevel"/>
    <w:tmpl w:val="55423D9A"/>
    <w:lvl w:ilvl="0">
      <w:start w:val="1"/>
      <w:numFmt w:val="upperRoman"/>
      <w:lvlText w:val="%1."/>
      <w:lvlJc w:val="left"/>
      <w:pPr>
        <w:ind w:left="1080" w:hanging="72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DB57D7"/>
    <w:multiLevelType w:val="multilevel"/>
    <w:tmpl w:val="2CA40A3C"/>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0" w15:restartNumberingAfterBreak="0">
    <w:nsid w:val="73BF267C"/>
    <w:multiLevelType w:val="multilevel"/>
    <w:tmpl w:val="459A8A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944365"/>
    <w:multiLevelType w:val="multilevel"/>
    <w:tmpl w:val="75E0950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10"/>
  </w:num>
  <w:num w:numId="2">
    <w:abstractNumId w:val="5"/>
  </w:num>
  <w:num w:numId="3">
    <w:abstractNumId w:val="2"/>
  </w:num>
  <w:num w:numId="4">
    <w:abstractNumId w:val="0"/>
  </w:num>
  <w:num w:numId="5">
    <w:abstractNumId w:val="8"/>
  </w:num>
  <w:num w:numId="6">
    <w:abstractNumId w:val="9"/>
  </w:num>
  <w:num w:numId="7">
    <w:abstractNumId w:val="11"/>
  </w:num>
  <w:num w:numId="8">
    <w:abstractNumId w:val="3"/>
  </w:num>
  <w:num w:numId="9">
    <w:abstractNumId w:val="7"/>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BB"/>
    <w:rsid w:val="001154CB"/>
    <w:rsid w:val="00131AAF"/>
    <w:rsid w:val="002B5C59"/>
    <w:rsid w:val="003D7409"/>
    <w:rsid w:val="003E3158"/>
    <w:rsid w:val="005F2177"/>
    <w:rsid w:val="00631F7C"/>
    <w:rsid w:val="00716275"/>
    <w:rsid w:val="008947B9"/>
    <w:rsid w:val="008A002F"/>
    <w:rsid w:val="008D50BF"/>
    <w:rsid w:val="00991B8D"/>
    <w:rsid w:val="009F57CC"/>
    <w:rsid w:val="00AB63C0"/>
    <w:rsid w:val="00C105D8"/>
    <w:rsid w:val="00C5160D"/>
    <w:rsid w:val="00CD7B98"/>
    <w:rsid w:val="00D404C2"/>
    <w:rsid w:val="00DA0B66"/>
    <w:rsid w:val="00E5239E"/>
    <w:rsid w:val="00E57920"/>
    <w:rsid w:val="00E67126"/>
    <w:rsid w:val="00E67BBB"/>
    <w:rsid w:val="00E8407B"/>
    <w:rsid w:val="00EF6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78598C8-3782-4F6D-BDB5-2D8AE2B4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Textosinformato">
    <w:name w:val="Plain Text"/>
    <w:basedOn w:val="Normal"/>
    <w:link w:val="TextosinformatoCar"/>
    <w:rsid w:val="00154E7D"/>
    <w:rPr>
      <w:rFonts w:ascii="Courier New" w:eastAsia="Times New Roman" w:hAnsi="Courier New" w:cs="Times New Roman"/>
      <w:sz w:val="20"/>
      <w:szCs w:val="20"/>
      <w:lang w:val="x-none"/>
    </w:rPr>
  </w:style>
  <w:style w:type="character" w:customStyle="1" w:styleId="TextosinformatoCar">
    <w:name w:val="Texto sin formato Car"/>
    <w:basedOn w:val="Fuentedeprrafopredeter"/>
    <w:link w:val="Textosinformato"/>
    <w:rsid w:val="00154E7D"/>
    <w:rPr>
      <w:rFonts w:ascii="Courier New" w:eastAsia="Times New Roman" w:hAnsi="Courier New" w:cs="Times New Roman"/>
      <w:sz w:val="20"/>
      <w:szCs w:val="20"/>
      <w:lang w:val="x-none" w:eastAsia="es-ES"/>
    </w:rPr>
  </w:style>
  <w:style w:type="character" w:customStyle="1" w:styleId="PuestoCar">
    <w:name w:val="Puesto Car"/>
    <w:aliases w:val="Cita textual Car"/>
    <w:basedOn w:val="Fuentedeprrafopredeter"/>
    <w:link w:val="Puesto"/>
    <w:uiPriority w:val="10"/>
    <w:rsid w:val="00144857"/>
    <w:rPr>
      <w:rFonts w:eastAsiaTheme="minorEastAsia"/>
      <w:b/>
      <w:sz w:val="72"/>
      <w:szCs w:val="72"/>
      <w:lang w:eastAsia="es-ES"/>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Textoindependiente">
    <w:name w:val="Body Text"/>
    <w:basedOn w:val="Normal"/>
    <w:link w:val="TextoindependienteCar"/>
    <w:rsid w:val="00DA0B66"/>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DA0B66"/>
    <w:rPr>
      <w:rFonts w:ascii="Arial" w:eastAsia="Times New Roman" w:hAnsi="Arial" w:cs="Times New Roman"/>
      <w:szCs w:val="20"/>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E8Z/gcKT+HfkKWdupzhdRDlgg==">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32</Pages>
  <Words>7757</Words>
  <Characters>42668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19</cp:revision>
  <cp:lastPrinted>2025-02-27T22:57:00Z</cp:lastPrinted>
  <dcterms:created xsi:type="dcterms:W3CDTF">2025-02-20T01:17:00Z</dcterms:created>
  <dcterms:modified xsi:type="dcterms:W3CDTF">2025-04-08T02:45:00Z</dcterms:modified>
</cp:coreProperties>
</file>