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8A0A" w14:textId="77777777" w:rsidR="00A21845" w:rsidRPr="00236777" w:rsidRDefault="009D61B8" w:rsidP="009C36C0">
      <w:pPr>
        <w:tabs>
          <w:tab w:val="left" w:pos="3465"/>
        </w:tabs>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Reso</w:t>
      </w:r>
      <w:bookmarkStart w:id="0" w:name="_GoBack"/>
      <w:bookmarkEnd w:id="0"/>
      <w:r w:rsidRPr="00236777">
        <w:rPr>
          <w:rFonts w:ascii="Palatino Linotype" w:eastAsia="Palatino Linotype" w:hAnsi="Palatino Linotype" w:cs="Palatino Linotype"/>
          <w:color w:val="000000" w:themeColor="text1"/>
        </w:rPr>
        <w:t xml:space="preserve">lución del Pleno del Instituto de Transparencia, Acceso a la Información Pública y Protección de Datos Personales del Estado de México y Municipios, con domicilio en Metepec, Estado de México; </w:t>
      </w:r>
      <w:r w:rsidRPr="00236777">
        <w:rPr>
          <w:rFonts w:ascii="Palatino Linotype" w:eastAsia="Palatino Linotype" w:hAnsi="Palatino Linotype" w:cs="Palatino Linotype"/>
          <w:b/>
          <w:color w:val="000000" w:themeColor="text1"/>
        </w:rPr>
        <w:t>de fecha dieciocho de junio de dos mil veinticinco</w:t>
      </w:r>
      <w:r w:rsidRPr="00236777">
        <w:rPr>
          <w:rFonts w:ascii="Palatino Linotype" w:eastAsia="Palatino Linotype" w:hAnsi="Palatino Linotype" w:cs="Palatino Linotype"/>
          <w:color w:val="000000" w:themeColor="text1"/>
        </w:rPr>
        <w:t xml:space="preserve">. </w:t>
      </w:r>
    </w:p>
    <w:p w14:paraId="719CA3C8" w14:textId="77777777" w:rsidR="00A21845" w:rsidRPr="00236777" w:rsidRDefault="00A21845" w:rsidP="009C36C0">
      <w:pPr>
        <w:tabs>
          <w:tab w:val="left" w:pos="3465"/>
        </w:tabs>
        <w:spacing w:line="360" w:lineRule="auto"/>
        <w:jc w:val="both"/>
        <w:rPr>
          <w:rFonts w:ascii="Palatino Linotype" w:eastAsia="Palatino Linotype" w:hAnsi="Palatino Linotype" w:cs="Palatino Linotype"/>
          <w:color w:val="000000" w:themeColor="text1"/>
        </w:rPr>
      </w:pPr>
    </w:p>
    <w:p w14:paraId="21441D21" w14:textId="17B7150A" w:rsidR="00A21845" w:rsidRDefault="009D61B8" w:rsidP="009C36C0">
      <w:pPr>
        <w:spacing w:line="360" w:lineRule="auto"/>
        <w:jc w:val="both"/>
        <w:rPr>
          <w:rFonts w:ascii="Palatino Linotype" w:eastAsia="Palatino Linotype" w:hAnsi="Palatino Linotype" w:cs="Palatino Linotype"/>
          <w:color w:val="000000" w:themeColor="text1"/>
        </w:rPr>
      </w:pPr>
      <w:bookmarkStart w:id="1" w:name="_heading=h.ql80psczdj6t" w:colFirst="0" w:colLast="0"/>
      <w:bookmarkEnd w:id="1"/>
      <w:r w:rsidRPr="00236777">
        <w:rPr>
          <w:rFonts w:ascii="Palatino Linotype" w:eastAsia="Palatino Linotype" w:hAnsi="Palatino Linotype" w:cs="Palatino Linotype"/>
          <w:b/>
          <w:color w:val="000000" w:themeColor="text1"/>
        </w:rPr>
        <w:t>VISTO</w:t>
      </w:r>
      <w:r w:rsidRPr="00236777">
        <w:rPr>
          <w:rFonts w:ascii="Palatino Linotype" w:eastAsia="Palatino Linotype" w:hAnsi="Palatino Linotype" w:cs="Palatino Linotype"/>
          <w:color w:val="000000" w:themeColor="text1"/>
        </w:rPr>
        <w:t xml:space="preserve"> el expediente electrónico formado con motivo del recurso de revisión </w:t>
      </w:r>
      <w:r w:rsidRPr="00236777">
        <w:rPr>
          <w:rFonts w:ascii="Palatino Linotype" w:eastAsia="Palatino Linotype" w:hAnsi="Palatino Linotype" w:cs="Palatino Linotype"/>
          <w:b/>
          <w:color w:val="000000" w:themeColor="text1"/>
        </w:rPr>
        <w:t> 01823/INFOEM/IP/RR/2025</w:t>
      </w:r>
      <w:r w:rsidRPr="00236777">
        <w:rPr>
          <w:rFonts w:ascii="Palatino Linotype" w:eastAsia="Palatino Linotype" w:hAnsi="Palatino Linotype" w:cs="Palatino Linotype"/>
          <w:color w:val="000000" w:themeColor="text1"/>
        </w:rPr>
        <w:t>,</w:t>
      </w:r>
      <w:r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color w:val="000000" w:themeColor="text1"/>
        </w:rPr>
        <w:t xml:space="preserve">promovido por </w:t>
      </w:r>
      <w:r w:rsidR="00EB7330">
        <w:rPr>
          <w:rFonts w:ascii="Palatino Linotype" w:eastAsia="Palatino Linotype" w:hAnsi="Palatino Linotype" w:cs="Palatino Linotype"/>
          <w:b/>
          <w:color w:val="000000" w:themeColor="text1"/>
        </w:rPr>
        <w:t>XXXX</w:t>
      </w:r>
      <w:r w:rsidRPr="00236777">
        <w:rPr>
          <w:rFonts w:ascii="Palatino Linotype" w:eastAsia="Palatino Linotype" w:hAnsi="Palatino Linotype" w:cs="Palatino Linotype"/>
          <w:color w:val="000000" w:themeColor="text1"/>
        </w:rPr>
        <w:t xml:space="preserve">, a quien en lo sucesivo se le identificará como </w:t>
      </w:r>
      <w:r w:rsidRPr="00236777">
        <w:rPr>
          <w:rFonts w:ascii="Palatino Linotype" w:eastAsia="Palatino Linotype" w:hAnsi="Palatino Linotype" w:cs="Palatino Linotype"/>
          <w:b/>
          <w:color w:val="000000" w:themeColor="text1"/>
        </w:rPr>
        <w:t>EL RECURRENTE</w:t>
      </w:r>
      <w:r w:rsidRPr="00236777">
        <w:rPr>
          <w:rFonts w:ascii="Palatino Linotype" w:eastAsia="Palatino Linotype" w:hAnsi="Palatino Linotype" w:cs="Palatino Linotype"/>
          <w:color w:val="000000" w:themeColor="text1"/>
        </w:rPr>
        <w:t xml:space="preserve">, en contra de la respuesta del </w:t>
      </w:r>
      <w:r w:rsidRPr="00236777">
        <w:rPr>
          <w:rFonts w:ascii="Palatino Linotype" w:eastAsia="Palatino Linotype" w:hAnsi="Palatino Linotype" w:cs="Palatino Linotype"/>
          <w:b/>
          <w:color w:val="000000" w:themeColor="text1"/>
        </w:rPr>
        <w:t xml:space="preserve">Secretaría de Educación, Ciencia, Tecnología e Innovación </w:t>
      </w:r>
      <w:r w:rsidRPr="00236777">
        <w:rPr>
          <w:rFonts w:ascii="Palatino Linotype" w:eastAsia="Palatino Linotype" w:hAnsi="Palatino Linotype" w:cs="Palatino Linotype"/>
          <w:color w:val="000000" w:themeColor="text1"/>
        </w:rPr>
        <w:t>en lo sucesivo el</w:t>
      </w:r>
      <w:r w:rsidRPr="00236777">
        <w:rPr>
          <w:rFonts w:ascii="Palatino Linotype" w:eastAsia="Palatino Linotype" w:hAnsi="Palatino Linotype" w:cs="Palatino Linotype"/>
          <w:b/>
          <w:color w:val="000000" w:themeColor="text1"/>
        </w:rPr>
        <w:t xml:space="preserve"> SUJETO OBLIGADO</w:t>
      </w:r>
      <w:r w:rsidRPr="00236777">
        <w:rPr>
          <w:rFonts w:ascii="Palatino Linotype" w:eastAsia="Palatino Linotype" w:hAnsi="Palatino Linotype" w:cs="Palatino Linotype"/>
          <w:color w:val="000000" w:themeColor="text1"/>
        </w:rPr>
        <w:t>, se procede a dictar la presente resolución, con base en los siguientes:</w:t>
      </w:r>
    </w:p>
    <w:p w14:paraId="65AEDBE6" w14:textId="77777777" w:rsidR="00EB7330" w:rsidRPr="00236777" w:rsidRDefault="00EB7330" w:rsidP="009C36C0">
      <w:pPr>
        <w:spacing w:line="360" w:lineRule="auto"/>
        <w:jc w:val="both"/>
        <w:rPr>
          <w:rFonts w:ascii="Palatino Linotype" w:eastAsia="Palatino Linotype" w:hAnsi="Palatino Linotype" w:cs="Palatino Linotype"/>
          <w:b/>
          <w:color w:val="000000" w:themeColor="text1"/>
        </w:rPr>
      </w:pPr>
    </w:p>
    <w:p w14:paraId="4D1E3D00" w14:textId="6EB2EFD8" w:rsidR="00A21845" w:rsidRPr="00236777" w:rsidRDefault="009D61B8" w:rsidP="009C36C0">
      <w:pPr>
        <w:pStyle w:val="Ttulo1"/>
        <w:spacing w:line="360" w:lineRule="auto"/>
        <w:jc w:val="center"/>
        <w:rPr>
          <w:rFonts w:ascii="Palatino Linotype" w:eastAsia="Palatino Linotype" w:hAnsi="Palatino Linotype" w:cs="Palatino Linotype"/>
          <w:b/>
          <w:color w:val="000000" w:themeColor="text1"/>
          <w:sz w:val="24"/>
          <w:szCs w:val="24"/>
        </w:rPr>
      </w:pPr>
      <w:bookmarkStart w:id="2" w:name="_heading=h.vrf5fof3j0ck" w:colFirst="0" w:colLast="0"/>
      <w:bookmarkEnd w:id="2"/>
      <w:r w:rsidRPr="00236777">
        <w:rPr>
          <w:rFonts w:ascii="Palatino Linotype" w:eastAsia="Palatino Linotype" w:hAnsi="Palatino Linotype" w:cs="Palatino Linotype"/>
          <w:b/>
          <w:color w:val="000000" w:themeColor="text1"/>
          <w:sz w:val="24"/>
          <w:szCs w:val="24"/>
        </w:rPr>
        <w:t>A</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N</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T</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E</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C</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E</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D</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E</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N</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T</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E</w:t>
      </w:r>
      <w:r w:rsidR="009C36C0" w:rsidRPr="00236777">
        <w:rPr>
          <w:rFonts w:ascii="Palatino Linotype" w:eastAsia="Palatino Linotype" w:hAnsi="Palatino Linotype" w:cs="Palatino Linotype"/>
          <w:b/>
          <w:color w:val="000000" w:themeColor="text1"/>
          <w:sz w:val="24"/>
          <w:szCs w:val="24"/>
        </w:rPr>
        <w:t xml:space="preserve"> </w:t>
      </w:r>
      <w:r w:rsidRPr="00236777">
        <w:rPr>
          <w:rFonts w:ascii="Palatino Linotype" w:eastAsia="Palatino Linotype" w:hAnsi="Palatino Linotype" w:cs="Palatino Linotype"/>
          <w:b/>
          <w:color w:val="000000" w:themeColor="text1"/>
          <w:sz w:val="24"/>
          <w:szCs w:val="24"/>
        </w:rPr>
        <w:t>S</w:t>
      </w:r>
      <w:r w:rsidR="009C36C0" w:rsidRPr="00236777">
        <w:rPr>
          <w:rFonts w:ascii="Palatino Linotype" w:eastAsia="Palatino Linotype" w:hAnsi="Palatino Linotype" w:cs="Palatino Linotype"/>
          <w:b/>
          <w:color w:val="000000" w:themeColor="text1"/>
          <w:sz w:val="24"/>
          <w:szCs w:val="24"/>
        </w:rPr>
        <w:t xml:space="preserve"> </w:t>
      </w:r>
    </w:p>
    <w:p w14:paraId="1C1703D1" w14:textId="77777777" w:rsidR="00A21845" w:rsidRPr="00236777" w:rsidRDefault="00A21845" w:rsidP="009C36C0">
      <w:pPr>
        <w:rPr>
          <w:rFonts w:ascii="Palatino Linotype" w:hAnsi="Palatino Linotype"/>
          <w:color w:val="000000" w:themeColor="text1"/>
        </w:rPr>
      </w:pPr>
    </w:p>
    <w:p w14:paraId="39FA2219" w14:textId="35BB249E" w:rsidR="00A21845" w:rsidRPr="00236777" w:rsidRDefault="009D61B8" w:rsidP="009C36C0">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El día </w:t>
      </w:r>
      <w:r w:rsidRPr="00236777">
        <w:rPr>
          <w:rFonts w:ascii="Palatino Linotype" w:eastAsia="Palatino Linotype" w:hAnsi="Palatino Linotype" w:cs="Palatino Linotype"/>
          <w:b/>
          <w:color w:val="000000" w:themeColor="text1"/>
        </w:rPr>
        <w:t xml:space="preserve">treinta de enero de dos mil veinticinco </w:t>
      </w:r>
      <w:r w:rsidRPr="00236777">
        <w:rPr>
          <w:rFonts w:ascii="Palatino Linotype" w:eastAsia="Palatino Linotype" w:hAnsi="Palatino Linotype" w:cs="Palatino Linotype"/>
          <w:color w:val="000000" w:themeColor="text1"/>
        </w:rPr>
        <w:t xml:space="preserve">se presentó ante el </w:t>
      </w:r>
      <w:r w:rsidRPr="00236777">
        <w:rPr>
          <w:rFonts w:ascii="Palatino Linotype" w:eastAsia="Palatino Linotype" w:hAnsi="Palatino Linotype" w:cs="Palatino Linotype"/>
          <w:b/>
          <w:color w:val="000000" w:themeColor="text1"/>
        </w:rPr>
        <w:t>SUJETO OBLIGADO</w:t>
      </w:r>
      <w:r w:rsidRPr="00236777">
        <w:rPr>
          <w:rFonts w:ascii="Palatino Linotype" w:eastAsia="Palatino Linotype" w:hAnsi="Palatino Linotype" w:cs="Palatino Linotype"/>
          <w:color w:val="000000" w:themeColor="text1"/>
        </w:rPr>
        <w:t xml:space="preserve"> vía SAIMEX, la solicitud de información pública registrada con el número</w:t>
      </w:r>
      <w:r w:rsidRPr="00236777">
        <w:rPr>
          <w:rFonts w:ascii="Palatino Linotype" w:eastAsia="Palatino Linotype" w:hAnsi="Palatino Linotype" w:cs="Palatino Linotype"/>
          <w:b/>
          <w:color w:val="000000" w:themeColor="text1"/>
        </w:rPr>
        <w:t xml:space="preserve"> 00147/SECTI/IP/2025; </w:t>
      </w:r>
      <w:r w:rsidR="00EB7330">
        <w:rPr>
          <w:rFonts w:ascii="Palatino Linotype" w:eastAsia="Palatino Linotype" w:hAnsi="Palatino Linotype" w:cs="Palatino Linotype"/>
          <w:color w:val="000000" w:themeColor="text1"/>
        </w:rPr>
        <w:t>en la que</w:t>
      </w:r>
      <w:r w:rsidRPr="00236777">
        <w:rPr>
          <w:rFonts w:ascii="Palatino Linotype" w:eastAsia="Palatino Linotype" w:hAnsi="Palatino Linotype" w:cs="Palatino Linotype"/>
          <w:color w:val="000000" w:themeColor="text1"/>
        </w:rPr>
        <w:t xml:space="preserve"> se solicitó la siguiente información:</w:t>
      </w:r>
    </w:p>
    <w:p w14:paraId="4BFAE343" w14:textId="77777777" w:rsidR="00A21845" w:rsidRPr="00236777" w:rsidRDefault="00A21845"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2ED546F" w14:textId="77777777" w:rsidR="00A21845" w:rsidRPr="00236777" w:rsidRDefault="009D61B8" w:rsidP="009C36C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 xml:space="preserve">“Presupuesto Asignado por parte del Gobierno Estatal al Plantel Educativo de la Escuela PRIMARIA "EJERCITO DEL TRABAJO", ubicada en la Calle Morelos, número 101, Colonia Centro, del Municipio de Rayón, Estado de México. C.P. 52360, con clave de centro de trabajo 15EPR4772L, de los ejercicios fiscales 2018, 2019, 2020, 2021, 2022, 2023 y 2024. Esto por lo dispuesto en el artículo 32 Fracción VII de la Constitución Política de los Estados Unidos Mexicanos; articulo 104, 105, 106, 119, y 128 Fracción IX, de la Ley General de Educación; artículo 24 Fracción XV, 184 Fracción XIV de la Ley de Educación del Estado de México.” </w:t>
      </w:r>
      <w:r w:rsidRPr="00236777">
        <w:rPr>
          <w:rFonts w:ascii="Palatino Linotype" w:eastAsia="Palatino Linotype" w:hAnsi="Palatino Linotype" w:cs="Palatino Linotype"/>
          <w:color w:val="000000" w:themeColor="text1"/>
        </w:rPr>
        <w:t>(Sic)</w:t>
      </w:r>
    </w:p>
    <w:p w14:paraId="15CD1106" w14:textId="77777777" w:rsidR="00A21845" w:rsidRPr="00236777" w:rsidRDefault="00A21845"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712DFD4" w14:textId="77777777" w:rsidR="00A21845" w:rsidRPr="00236777" w:rsidRDefault="009D61B8" w:rsidP="009C36C0">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lastRenderedPageBreak/>
        <w:t xml:space="preserve">Se eligió como modalidad de entrega de la información: A través del </w:t>
      </w:r>
      <w:r w:rsidRPr="00236777">
        <w:rPr>
          <w:rFonts w:ascii="Palatino Linotype" w:eastAsia="Palatino Linotype" w:hAnsi="Palatino Linotype" w:cs="Palatino Linotype"/>
          <w:b/>
          <w:color w:val="000000" w:themeColor="text1"/>
        </w:rPr>
        <w:t>SAIMEX.</w:t>
      </w:r>
    </w:p>
    <w:p w14:paraId="2A21C140"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6BFF8A31" w14:textId="77777777" w:rsidR="00A21845" w:rsidRPr="00236777" w:rsidRDefault="009D61B8" w:rsidP="009C36C0">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t xml:space="preserve">El </w:t>
      </w:r>
      <w:r w:rsidRPr="00236777">
        <w:rPr>
          <w:rFonts w:ascii="Palatino Linotype" w:eastAsia="Palatino Linotype" w:hAnsi="Palatino Linotype" w:cs="Palatino Linotype"/>
          <w:b/>
          <w:color w:val="000000" w:themeColor="text1"/>
        </w:rPr>
        <w:t>diez de febrero de dos mil veinticinco</w:t>
      </w:r>
      <w:r w:rsidRPr="00236777">
        <w:rPr>
          <w:rFonts w:ascii="Palatino Linotype" w:eastAsia="Palatino Linotype" w:hAnsi="Palatino Linotype" w:cs="Palatino Linotype"/>
          <w:color w:val="000000" w:themeColor="text1"/>
        </w:rPr>
        <w:t xml:space="preserve">, el </w:t>
      </w:r>
      <w:r w:rsidRPr="00236777">
        <w:rPr>
          <w:rFonts w:ascii="Palatino Linotype" w:eastAsia="Palatino Linotype" w:hAnsi="Palatino Linotype" w:cs="Palatino Linotype"/>
          <w:b/>
          <w:color w:val="000000" w:themeColor="text1"/>
        </w:rPr>
        <w:t>SUJETO OBLIGADO,</w:t>
      </w:r>
      <w:r w:rsidRPr="00236777">
        <w:rPr>
          <w:rFonts w:ascii="Palatino Linotype" w:eastAsia="Palatino Linotype" w:hAnsi="Palatino Linotype" w:cs="Palatino Linotype"/>
          <w:color w:val="000000" w:themeColor="text1"/>
        </w:rPr>
        <w:t xml:space="preserve"> dio respuesta a través de los archivos siguientes:</w:t>
      </w:r>
    </w:p>
    <w:p w14:paraId="456560C1" w14:textId="77777777" w:rsidR="00A21845" w:rsidRPr="00236777" w:rsidRDefault="00A21845" w:rsidP="009C36C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5D3D95C4" w14:textId="77777777" w:rsidR="00A21845" w:rsidRPr="00236777" w:rsidRDefault="009D61B8" w:rsidP="009C36C0">
      <w:pPr>
        <w:numPr>
          <w:ilvl w:val="0"/>
          <w:numId w:val="2"/>
        </w:numPr>
        <w:pBdr>
          <w:top w:val="nil"/>
          <w:left w:val="nil"/>
          <w:bottom w:val="nil"/>
          <w:right w:val="nil"/>
          <w:between w:val="nil"/>
        </w:pBdr>
        <w:tabs>
          <w:tab w:val="left" w:pos="0"/>
        </w:tabs>
        <w:spacing w:line="360" w:lineRule="auto"/>
        <w:ind w:left="0"/>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SPH_UT_147.pdf</w:t>
      </w:r>
    </w:p>
    <w:p w14:paraId="1EA76F40" w14:textId="77777777" w:rsidR="00A21845" w:rsidRPr="00236777" w:rsidRDefault="009D61B8" w:rsidP="009C36C0">
      <w:pPr>
        <w:tabs>
          <w:tab w:val="left" w:pos="0"/>
        </w:tabs>
        <w:spacing w:line="360" w:lineRule="auto"/>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Oficio de cuatro de febrero de dos mil veinticinco, firmado por la Directora General, por el que informó que:</w:t>
      </w:r>
    </w:p>
    <w:p w14:paraId="1863A512" w14:textId="77777777" w:rsidR="00A21845" w:rsidRPr="00236777" w:rsidRDefault="009D61B8" w:rsidP="009C36C0">
      <w:pPr>
        <w:tabs>
          <w:tab w:val="left" w:pos="0"/>
        </w:tabs>
        <w:spacing w:line="360" w:lineRule="auto"/>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t xml:space="preserve"> “</w:t>
      </w:r>
      <w:r w:rsidRPr="00236777">
        <w:rPr>
          <w:rFonts w:ascii="Palatino Linotype" w:eastAsia="Palatino Linotype" w:hAnsi="Palatino Linotype" w:cs="Palatino Linotype"/>
          <w:i/>
          <w:color w:val="000000" w:themeColor="text1"/>
        </w:rPr>
        <w:t>La información del presupuesto asignado a la Secretaría de Educación, Ciencia, Tecnología e Innovación de los años referidos por el particular se encuentra publicada en el Periódico Oficial Gaceta de Gobierno del Estado de México como se describe a continuación:</w:t>
      </w:r>
    </w:p>
    <w:p w14:paraId="41C06D92" w14:textId="77777777" w:rsidR="00A21845" w:rsidRPr="00236777" w:rsidRDefault="009D61B8" w:rsidP="009C36C0">
      <w:pPr>
        <w:tabs>
          <w:tab w:val="left" w:pos="0"/>
        </w:tabs>
        <w:spacing w:line="360" w:lineRule="auto"/>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noProof/>
          <w:color w:val="000000" w:themeColor="text1"/>
          <w:lang w:val="es-MX" w:eastAsia="es-MX"/>
        </w:rPr>
        <w:drawing>
          <wp:inline distT="0" distB="0" distL="0" distR="0" wp14:anchorId="670CA666" wp14:editId="6B5886C5">
            <wp:extent cx="5612130" cy="243459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612130" cy="2434590"/>
                    </a:xfrm>
                    <a:prstGeom prst="rect">
                      <a:avLst/>
                    </a:prstGeom>
                    <a:ln/>
                  </pic:spPr>
                </pic:pic>
              </a:graphicData>
            </a:graphic>
          </wp:inline>
        </w:drawing>
      </w:r>
    </w:p>
    <w:p w14:paraId="61A8119A" w14:textId="77777777" w:rsidR="009C36C0" w:rsidRPr="00236777" w:rsidRDefault="009C36C0" w:rsidP="009C36C0">
      <w:pPr>
        <w:tabs>
          <w:tab w:val="left" w:pos="0"/>
        </w:tabs>
        <w:spacing w:line="360" w:lineRule="auto"/>
        <w:rPr>
          <w:rFonts w:ascii="Palatino Linotype" w:eastAsia="Palatino Linotype" w:hAnsi="Palatino Linotype" w:cs="Palatino Linotype"/>
          <w:color w:val="000000" w:themeColor="text1"/>
        </w:rPr>
      </w:pPr>
    </w:p>
    <w:p w14:paraId="07B81C96" w14:textId="77777777" w:rsidR="009C36C0" w:rsidRPr="00236777" w:rsidRDefault="009C36C0" w:rsidP="009C36C0">
      <w:pPr>
        <w:tabs>
          <w:tab w:val="left" w:pos="0"/>
        </w:tabs>
        <w:spacing w:line="360" w:lineRule="auto"/>
        <w:rPr>
          <w:rFonts w:ascii="Palatino Linotype" w:eastAsia="Palatino Linotype" w:hAnsi="Palatino Linotype" w:cs="Palatino Linotype"/>
          <w:color w:val="000000" w:themeColor="text1"/>
        </w:rPr>
      </w:pPr>
    </w:p>
    <w:p w14:paraId="0E383F34" w14:textId="77777777" w:rsidR="00A21845" w:rsidRPr="00236777" w:rsidRDefault="009D61B8" w:rsidP="009C36C0">
      <w:pPr>
        <w:tabs>
          <w:tab w:val="left" w:pos="0"/>
        </w:tabs>
        <w:spacing w:line="360" w:lineRule="auto"/>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Asimismo, precisó que la Dirección General de Finanzas no cuenta con la información al nivel de detalle que requiere la persona peticionaria. </w:t>
      </w:r>
    </w:p>
    <w:p w14:paraId="1EDD541B" w14:textId="77777777" w:rsidR="00A21845" w:rsidRPr="00236777" w:rsidRDefault="00A21845" w:rsidP="009C36C0">
      <w:pPr>
        <w:tabs>
          <w:tab w:val="left" w:pos="0"/>
        </w:tabs>
        <w:spacing w:line="360" w:lineRule="auto"/>
        <w:rPr>
          <w:rFonts w:ascii="Palatino Linotype" w:eastAsia="Palatino Linotype" w:hAnsi="Palatino Linotype" w:cs="Palatino Linotype"/>
          <w:color w:val="000000" w:themeColor="text1"/>
        </w:rPr>
      </w:pPr>
    </w:p>
    <w:p w14:paraId="2BF05BB6" w14:textId="77777777" w:rsidR="00A21845" w:rsidRPr="00236777" w:rsidRDefault="009D61B8" w:rsidP="009C36C0">
      <w:pPr>
        <w:numPr>
          <w:ilvl w:val="0"/>
          <w:numId w:val="2"/>
        </w:numPr>
        <w:pBdr>
          <w:top w:val="nil"/>
          <w:left w:val="nil"/>
          <w:bottom w:val="nil"/>
          <w:right w:val="nil"/>
          <w:between w:val="nil"/>
        </w:pBdr>
        <w:tabs>
          <w:tab w:val="left" w:pos="0"/>
        </w:tabs>
        <w:spacing w:line="360" w:lineRule="auto"/>
        <w:ind w:left="0"/>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b/>
          <w:i/>
          <w:color w:val="000000" w:themeColor="text1"/>
        </w:rPr>
        <w:lastRenderedPageBreak/>
        <w:t>RESPUESTA_UT_147.pdf:</w:t>
      </w:r>
    </w:p>
    <w:p w14:paraId="3EFB2F08" w14:textId="77777777" w:rsidR="00A21845" w:rsidRPr="00236777" w:rsidRDefault="009D61B8" w:rsidP="009C36C0">
      <w:pPr>
        <w:tabs>
          <w:tab w:val="left" w:pos="0"/>
        </w:tabs>
        <w:spacing w:line="360" w:lineRule="auto"/>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Oficio de diez de febrero de dos mil veinticinco, firmado por Rodrigo Ulises Rojas Muñoz, Titular de la Unidad, por el cual se informó que se remite la respuesta proporcionada por el Servidor Público Habilitado.</w:t>
      </w:r>
    </w:p>
    <w:p w14:paraId="45481E8C" w14:textId="77777777" w:rsidR="00A21845" w:rsidRPr="00236777" w:rsidRDefault="00A21845" w:rsidP="009C36C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7AC8B620" w14:textId="77777777" w:rsidR="00A21845" w:rsidRPr="00236777" w:rsidRDefault="009D61B8" w:rsidP="009C36C0">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t xml:space="preserve">Inconforme con lo anterior, el </w:t>
      </w:r>
      <w:r w:rsidRPr="00236777">
        <w:rPr>
          <w:rFonts w:ascii="Palatino Linotype" w:eastAsia="Palatino Linotype" w:hAnsi="Palatino Linotype" w:cs="Palatino Linotype"/>
          <w:b/>
          <w:color w:val="000000" w:themeColor="text1"/>
        </w:rPr>
        <w:t>veintiuno de febrero de dos mil veinticinco</w:t>
      </w:r>
      <w:r w:rsidRPr="00236777">
        <w:rPr>
          <w:rFonts w:ascii="Palatino Linotype" w:eastAsia="Palatino Linotype" w:hAnsi="Palatino Linotype" w:cs="Palatino Linotype"/>
          <w:color w:val="000000" w:themeColor="text1"/>
        </w:rPr>
        <w:t xml:space="preserve">, el </w:t>
      </w:r>
      <w:r w:rsidRPr="00236777">
        <w:rPr>
          <w:rFonts w:ascii="Palatino Linotype" w:eastAsia="Palatino Linotype" w:hAnsi="Palatino Linotype" w:cs="Palatino Linotype"/>
          <w:b/>
          <w:color w:val="000000" w:themeColor="text1"/>
        </w:rPr>
        <w:t xml:space="preserve">PARTICULAR </w:t>
      </w:r>
      <w:r w:rsidRPr="00236777">
        <w:rPr>
          <w:rFonts w:ascii="Palatino Linotype" w:eastAsia="Palatino Linotype" w:hAnsi="Palatino Linotype" w:cs="Palatino Linotype"/>
          <w:color w:val="000000" w:themeColor="text1"/>
        </w:rPr>
        <w:t>interpuso el recurso de revisión en contra de la respuesta, manifestando las siguientes razones o motivos de inconformidad:</w:t>
      </w:r>
    </w:p>
    <w:p w14:paraId="00FFDE98" w14:textId="77777777" w:rsidR="00A21845" w:rsidRPr="00236777" w:rsidRDefault="00A21845" w:rsidP="009C36C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730B0F29" w14:textId="77777777" w:rsidR="00A21845" w:rsidRPr="00236777" w:rsidRDefault="009D61B8" w:rsidP="009C36C0">
      <w:pPr>
        <w:numPr>
          <w:ilvl w:val="0"/>
          <w:numId w:val="2"/>
        </w:numPr>
        <w:pBdr>
          <w:top w:val="nil"/>
          <w:left w:val="nil"/>
          <w:bottom w:val="nil"/>
          <w:right w:val="nil"/>
          <w:between w:val="nil"/>
        </w:pBdr>
        <w:spacing w:line="360" w:lineRule="auto"/>
        <w:ind w:left="0" w:hanging="142"/>
        <w:jc w:val="both"/>
        <w:rPr>
          <w:rFonts w:ascii="Palatino Linotype" w:eastAsia="Palatino Linotype" w:hAnsi="Palatino Linotype" w:cs="Palatino Linotype"/>
          <w:i/>
          <w:color w:val="000000" w:themeColor="text1"/>
        </w:rPr>
      </w:pPr>
      <w:bookmarkStart w:id="3" w:name="_heading=h.g75bl2sl9x0y" w:colFirst="0" w:colLast="0"/>
      <w:bookmarkEnd w:id="3"/>
      <w:r w:rsidRPr="00236777">
        <w:rPr>
          <w:rFonts w:ascii="Palatino Linotype" w:eastAsia="Palatino Linotype" w:hAnsi="Palatino Linotype" w:cs="Palatino Linotype"/>
          <w:b/>
          <w:color w:val="000000" w:themeColor="text1"/>
        </w:rPr>
        <w:t xml:space="preserve">Acto impugnado: </w:t>
      </w:r>
      <w:r w:rsidRPr="00236777">
        <w:rPr>
          <w:rFonts w:ascii="Palatino Linotype" w:eastAsia="Palatino Linotype" w:hAnsi="Palatino Linotype" w:cs="Palatino Linotype"/>
          <w:i/>
          <w:color w:val="000000" w:themeColor="text1"/>
        </w:rPr>
        <w:t>“LA NEGATIVA DE LA AUTORIDAD OBLIGADA A BRINDAR LA INFORMACIÓN SOLICITADA.”</w:t>
      </w:r>
    </w:p>
    <w:p w14:paraId="3D2D5F97" w14:textId="77777777" w:rsidR="009C36C0" w:rsidRPr="00236777" w:rsidRDefault="009C36C0" w:rsidP="009C36C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0A517C9A" w14:textId="77777777" w:rsidR="00A21845" w:rsidRPr="00236777" w:rsidRDefault="009D61B8" w:rsidP="009C36C0">
      <w:pPr>
        <w:numPr>
          <w:ilvl w:val="0"/>
          <w:numId w:val="2"/>
        </w:numPr>
        <w:pBdr>
          <w:top w:val="nil"/>
          <w:left w:val="nil"/>
          <w:bottom w:val="nil"/>
          <w:right w:val="nil"/>
          <w:between w:val="nil"/>
        </w:pBdr>
        <w:spacing w:line="360" w:lineRule="auto"/>
        <w:ind w:left="0" w:hanging="142"/>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color w:val="000000" w:themeColor="text1"/>
        </w:rPr>
        <w:t>Razones o Motivos de inconformidad: “</w:t>
      </w:r>
      <w:r w:rsidRPr="00236777">
        <w:rPr>
          <w:rFonts w:ascii="Palatino Linotype" w:eastAsia="Palatino Linotype" w:hAnsi="Palatino Linotype" w:cs="Palatino Linotype"/>
          <w:i/>
          <w:color w:val="000000" w:themeColor="text1"/>
        </w:rPr>
        <w:t xml:space="preserve">LA NEGATIVA U OMISIÓN DE LA AUTORIDAD OBLIGADA A BRINDAR LA INFORMACIÓN SOLICITADA, TODA VEZ QUE, UNO DE LOS DERECHOS QUE TIENE UN PADRE O TUTOR ES CONOCER EL PRESUPUESTO ASIGNADO A CADA ESCUELA, ASÍ COMO SU APLICACIÓN Y LOS RESULTADOS SE SU EJECUCIÓN, ASÍ COMO LO MARCA EL ARTICULO 128 FRACCIÓN IX DE LA LEY GENERAL DE EDUCACIÓN DE LOS ESTADOS UNIDOS MEXICANOS, Y QUE DICHO PRESUPUESTO ANUAL QUE PERCIBE LO ESTIPULA EL ARTICULO 106 PÁRRAFO SEGUNDO DE LA LEY GENERAL DE EDUCACIÓN, QUE A LA LETRA DICE: Artículo 106... “...El Comité Escolar de Administración Participativa o su equivalente tendrá como objetivo la dignificación de los planteles educativos y la paulatina superación de las desigualdades entre las escuelas del país, el cual recibirá presupuesto anual para mejoras, mantenimiento o equipamiento del plantel educativo y, en el caso de construcción deberá </w:t>
      </w:r>
      <w:r w:rsidRPr="00236777">
        <w:rPr>
          <w:rFonts w:ascii="Palatino Linotype" w:eastAsia="Palatino Linotype" w:hAnsi="Palatino Linotype" w:cs="Palatino Linotype"/>
          <w:i/>
          <w:color w:val="000000" w:themeColor="text1"/>
        </w:rPr>
        <w:lastRenderedPageBreak/>
        <w:t>contar con asistencia técnica, de conformidad con los procedimientos establecidos en los lineamientos mencionados en el párrafo anterior y en cumplimiento de las disposiciones a las que alude este Capítulo…” ASÍ COMO TAMBIÉN LO ESTIPULA EL ARTICULO 123 PÁRRAFO TERCERO DE LA LEY DE EDUCACIÓN DEL ESTADO DE MÉXICO, QUE DICHOS RECURSOS FEDERALES SERÁN PUBLICADOS EN GACETA DE GOBIERNO EN FORMA DESAGREGADA POR NIVEL, PROGRAMA EDUCATIVO Y ESTABLECIMIENTO ESCOLAR. POR LO QUE DICHA INFORMACIÓN SOLICITADA A LA AUTORIDAD OBLIGADA, SI CUENTA CON DICHA INFORMACIÓN”</w:t>
      </w:r>
    </w:p>
    <w:p w14:paraId="7325E3C1" w14:textId="77777777" w:rsidR="00A21845" w:rsidRPr="00236777" w:rsidRDefault="00A21845" w:rsidP="009C36C0">
      <w:pPr>
        <w:pBdr>
          <w:top w:val="nil"/>
          <w:left w:val="nil"/>
          <w:bottom w:val="nil"/>
          <w:right w:val="nil"/>
          <w:between w:val="nil"/>
        </w:pBdr>
        <w:spacing w:line="360" w:lineRule="auto"/>
        <w:rPr>
          <w:rFonts w:ascii="Palatino Linotype" w:eastAsia="Palatino Linotype" w:hAnsi="Palatino Linotype" w:cs="Palatino Linotype"/>
          <w:i/>
          <w:color w:val="000000" w:themeColor="text1"/>
        </w:rPr>
      </w:pPr>
    </w:p>
    <w:p w14:paraId="0F9F4BB7" w14:textId="77777777"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fecha </w:t>
      </w:r>
      <w:r w:rsidRPr="00236777">
        <w:rPr>
          <w:rFonts w:ascii="Palatino Linotype" w:eastAsia="Palatino Linotype" w:hAnsi="Palatino Linotype" w:cs="Palatino Linotype"/>
          <w:b/>
          <w:color w:val="000000" w:themeColor="text1"/>
        </w:rPr>
        <w:t>veinticuatro de febrero de dos mil veinticinco</w:t>
      </w:r>
      <w:r w:rsidRPr="00236777">
        <w:rPr>
          <w:rFonts w:ascii="Palatino Linotype" w:eastAsia="Palatino Linotype" w:hAnsi="Palatino Linotype" w:cs="Palatino Linotype"/>
          <w:color w:val="000000" w:themeColor="text1"/>
        </w:rPr>
        <w:t xml:space="preserve">, puso a disposición de las partes el expediente electrónico vía </w:t>
      </w:r>
      <w:r w:rsidRPr="00236777">
        <w:rPr>
          <w:rFonts w:ascii="Palatino Linotype" w:eastAsia="Palatino Linotype" w:hAnsi="Palatino Linotype" w:cs="Palatino Linotype"/>
          <w:b/>
          <w:color w:val="000000" w:themeColor="text1"/>
        </w:rPr>
        <w:t xml:space="preserve">SAIMEX </w:t>
      </w:r>
      <w:r w:rsidRPr="00236777">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Pr="00236777">
        <w:rPr>
          <w:rFonts w:ascii="Palatino Linotype" w:eastAsia="Palatino Linotype" w:hAnsi="Palatino Linotype" w:cs="Palatino Linotype"/>
          <w:b/>
          <w:color w:val="000000" w:themeColor="text1"/>
        </w:rPr>
        <w:t>SUJETO OBLIGADO</w:t>
      </w:r>
      <w:r w:rsidRPr="00236777">
        <w:rPr>
          <w:rFonts w:ascii="Palatino Linotype" w:eastAsia="Palatino Linotype" w:hAnsi="Palatino Linotype" w:cs="Palatino Linotype"/>
          <w:color w:val="000000" w:themeColor="text1"/>
        </w:rPr>
        <w:t xml:space="preserve"> presentará el Informe Justificado procedente.</w:t>
      </w:r>
    </w:p>
    <w:p w14:paraId="6D2874D5" w14:textId="77777777" w:rsidR="00A21845" w:rsidRPr="00236777" w:rsidRDefault="00A21845"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41708EA" w14:textId="77777777"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El </w:t>
      </w:r>
      <w:r w:rsidRPr="00236777">
        <w:rPr>
          <w:rFonts w:ascii="Palatino Linotype" w:eastAsia="Palatino Linotype" w:hAnsi="Palatino Linotype" w:cs="Palatino Linotype"/>
          <w:b/>
          <w:color w:val="000000" w:themeColor="text1"/>
        </w:rPr>
        <w:t xml:space="preserve">SUJETO OBLIGADO, </w:t>
      </w:r>
      <w:r w:rsidRPr="00236777">
        <w:rPr>
          <w:rFonts w:ascii="Palatino Linotype" w:eastAsia="Palatino Linotype" w:hAnsi="Palatino Linotype" w:cs="Palatino Linotype"/>
          <w:color w:val="000000" w:themeColor="text1"/>
        </w:rPr>
        <w:t>rindió el Informe Justificado correspondiente a través del archivo siguiente:</w:t>
      </w:r>
    </w:p>
    <w:p w14:paraId="0526B957" w14:textId="77777777" w:rsidR="00A21845" w:rsidRPr="00236777" w:rsidRDefault="009D61B8" w:rsidP="009C36C0">
      <w:pPr>
        <w:numPr>
          <w:ilvl w:val="0"/>
          <w:numId w:val="3"/>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INFORME JUSTIFICADO_UT_147.pdf</w:t>
      </w:r>
    </w:p>
    <w:p w14:paraId="39A0E33F" w14:textId="77777777" w:rsidR="00A21845" w:rsidRPr="00236777" w:rsidRDefault="00A21845" w:rsidP="009C36C0">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p>
    <w:p w14:paraId="6C3ABAE8" w14:textId="77777777" w:rsidR="00A21845" w:rsidRPr="00236777" w:rsidRDefault="009D61B8"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Informe Justificado, remitido el seis de marzo de dos mil veinticinco, del que se desprende el oficio de seis de marzo de dos mil veinticinco, firmado por el Titular de Transparencia, por el que proporcionó los links en donde refirió se encuentra la información de los ejercicios fiscales solicitados.</w:t>
      </w:r>
    </w:p>
    <w:p w14:paraId="29BB55F0" w14:textId="77777777"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b/>
          <w:color w:val="000000" w:themeColor="text1"/>
        </w:rPr>
        <w:lastRenderedPageBreak/>
        <w:t xml:space="preserve">EL PARTICULAR </w:t>
      </w:r>
      <w:r w:rsidRPr="00236777">
        <w:rPr>
          <w:rFonts w:ascii="Palatino Linotype" w:eastAsia="Palatino Linotype" w:hAnsi="Palatino Linotype" w:cs="Palatino Linotype"/>
          <w:color w:val="000000" w:themeColor="text1"/>
        </w:rPr>
        <w:t>fue omiso en realizar manifestación alguna.</w:t>
      </w:r>
    </w:p>
    <w:p w14:paraId="12DCB1A8" w14:textId="77777777" w:rsidR="00A21845" w:rsidRPr="00236777" w:rsidRDefault="00A21845"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79828DD" w14:textId="77777777"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En fecha </w:t>
      </w:r>
      <w:r w:rsidRPr="00236777">
        <w:rPr>
          <w:rFonts w:ascii="Palatino Linotype" w:eastAsia="Palatino Linotype" w:hAnsi="Palatino Linotype" w:cs="Palatino Linotype"/>
          <w:b/>
          <w:color w:val="000000" w:themeColor="text1"/>
        </w:rPr>
        <w:t>veintiocho de abril de dos mil veinticinco</w:t>
      </w:r>
      <w:r w:rsidRPr="00236777">
        <w:rPr>
          <w:rFonts w:ascii="Palatino Linotype" w:eastAsia="Palatino Linotype" w:hAnsi="Palatino Linotype" w:cs="Palatino Linotype"/>
          <w:color w:val="000000" w:themeColor="text1"/>
        </w:rPr>
        <w:t xml:space="preserve">, se amplió el término para resolver. </w:t>
      </w:r>
    </w:p>
    <w:p w14:paraId="63646DEA" w14:textId="77777777" w:rsidR="00A21845" w:rsidRPr="00236777" w:rsidRDefault="00A21845"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ED99CBA" w14:textId="6B469D0C"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bdhzmosmdm33" w:colFirst="0" w:colLast="0"/>
      <w:bookmarkEnd w:id="4"/>
      <w:r w:rsidRPr="00236777">
        <w:rPr>
          <w:rFonts w:ascii="Palatino Linotype" w:eastAsia="Palatino Linotype" w:hAnsi="Palatino Linotype" w:cs="Palatino Linotype"/>
          <w:color w:val="000000" w:themeColor="text1"/>
        </w:rPr>
        <w:t xml:space="preserve">Finalmente, mediante acuerdo notificado el </w:t>
      </w:r>
      <w:r w:rsidRPr="00236777">
        <w:rPr>
          <w:rFonts w:ascii="Palatino Linotype" w:eastAsia="Palatino Linotype" w:hAnsi="Palatino Linotype" w:cs="Palatino Linotype"/>
          <w:b/>
          <w:color w:val="000000" w:themeColor="text1"/>
        </w:rPr>
        <w:t>once de junio dos mil veinticinco,</w:t>
      </w:r>
      <w:r w:rsidRPr="00236777">
        <w:rPr>
          <w:rFonts w:ascii="Palatino Linotype" w:eastAsia="Palatino Linotype" w:hAnsi="Palatino Linotype" w:cs="Palatino Linotype"/>
          <w:color w:val="000000" w:themeColor="text1"/>
        </w:rPr>
        <w:t xml:space="preserve"> se  decretó el cierre de instrucción, por lo que no hab</w:t>
      </w:r>
      <w:r w:rsidR="009C36C0" w:rsidRPr="00236777">
        <w:rPr>
          <w:rFonts w:ascii="Palatino Linotype" w:eastAsia="Palatino Linotype" w:hAnsi="Palatino Linotype" w:cs="Palatino Linotype"/>
          <w:color w:val="000000" w:themeColor="text1"/>
        </w:rPr>
        <w:t xml:space="preserve">iendo más que hacer constar, y </w:t>
      </w:r>
    </w:p>
    <w:p w14:paraId="1D5E4292" w14:textId="77777777" w:rsidR="00A21845" w:rsidRPr="00236777" w:rsidRDefault="00A21845" w:rsidP="009C36C0">
      <w:pPr>
        <w:pBdr>
          <w:top w:val="nil"/>
          <w:left w:val="nil"/>
          <w:bottom w:val="nil"/>
          <w:right w:val="nil"/>
          <w:between w:val="nil"/>
        </w:pBdr>
        <w:spacing w:line="360" w:lineRule="auto"/>
        <w:rPr>
          <w:rFonts w:ascii="Palatino Linotype" w:eastAsia="Palatino Linotype" w:hAnsi="Palatino Linotype" w:cs="Palatino Linotype"/>
          <w:b/>
          <w:color w:val="000000" w:themeColor="text1"/>
        </w:rPr>
      </w:pPr>
    </w:p>
    <w:p w14:paraId="442C9AF4" w14:textId="772614F9" w:rsidR="00A21845" w:rsidRPr="00236777" w:rsidRDefault="009D61B8" w:rsidP="009C36C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236777">
        <w:rPr>
          <w:rFonts w:ascii="Palatino Linotype" w:eastAsia="Palatino Linotype" w:hAnsi="Palatino Linotype" w:cs="Palatino Linotype"/>
          <w:b/>
          <w:color w:val="000000" w:themeColor="text1"/>
        </w:rPr>
        <w:t>C</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O</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N</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S</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I</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D</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E</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R</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A</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N</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D</w:t>
      </w:r>
      <w:r w:rsidR="009C36C0"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color w:val="000000" w:themeColor="text1"/>
        </w:rPr>
        <w:t>O</w:t>
      </w:r>
    </w:p>
    <w:p w14:paraId="0AFF81C8" w14:textId="77777777" w:rsidR="009C36C0" w:rsidRPr="00236777" w:rsidRDefault="009C36C0" w:rsidP="009C36C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7E415A27" w14:textId="77777777" w:rsidR="00A21845" w:rsidRPr="00236777" w:rsidRDefault="009D61B8" w:rsidP="009C36C0">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k9tgdunotan2" w:colFirst="0" w:colLast="0"/>
      <w:bookmarkEnd w:id="5"/>
      <w:r w:rsidRPr="00236777">
        <w:rPr>
          <w:rFonts w:ascii="Palatino Linotype" w:eastAsia="Palatino Linotype" w:hAnsi="Palatino Linotype" w:cs="Palatino Linotype"/>
          <w:b/>
          <w:color w:val="000000" w:themeColor="text1"/>
          <w:sz w:val="24"/>
          <w:szCs w:val="24"/>
        </w:rPr>
        <w:t>PRIMERO. De la competencia</w:t>
      </w:r>
    </w:p>
    <w:p w14:paraId="44AB25EA" w14:textId="77777777"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236777">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4DA4B96" w14:textId="77777777" w:rsidR="00A21845" w:rsidRPr="00236777" w:rsidRDefault="00A21845" w:rsidP="009C36C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7592A191" w14:textId="77777777" w:rsidR="00A21845" w:rsidRPr="00236777" w:rsidRDefault="009D61B8" w:rsidP="009C36C0">
      <w:pPr>
        <w:pStyle w:val="Ttulo2"/>
        <w:rPr>
          <w:rFonts w:ascii="Palatino Linotype" w:eastAsia="Palatino Linotype" w:hAnsi="Palatino Linotype" w:cs="Palatino Linotype"/>
          <w:b/>
          <w:color w:val="000000" w:themeColor="text1"/>
          <w:sz w:val="24"/>
          <w:szCs w:val="24"/>
        </w:rPr>
      </w:pPr>
      <w:bookmarkStart w:id="6" w:name="_heading=h.iv9285ymcgx3" w:colFirst="0" w:colLast="0"/>
      <w:bookmarkEnd w:id="6"/>
      <w:r w:rsidRPr="00236777">
        <w:rPr>
          <w:rFonts w:ascii="Palatino Linotype" w:eastAsia="Palatino Linotype" w:hAnsi="Palatino Linotype" w:cs="Palatino Linotype"/>
          <w:b/>
          <w:color w:val="000000" w:themeColor="text1"/>
          <w:sz w:val="24"/>
          <w:szCs w:val="24"/>
        </w:rPr>
        <w:lastRenderedPageBreak/>
        <w:t>SEGUNDO. De la oportunidad y procedencia.</w:t>
      </w:r>
    </w:p>
    <w:p w14:paraId="4A6072C9" w14:textId="77777777"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El medio de impugnación fue presentado a través del </w:t>
      </w:r>
      <w:r w:rsidRPr="00236777">
        <w:rPr>
          <w:rFonts w:ascii="Palatino Linotype" w:eastAsia="Palatino Linotype" w:hAnsi="Palatino Linotype" w:cs="Palatino Linotype"/>
          <w:b/>
          <w:color w:val="000000" w:themeColor="text1"/>
        </w:rPr>
        <w:t>SAIMEX,</w:t>
      </w:r>
      <w:r w:rsidRPr="0023677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236777">
        <w:rPr>
          <w:rFonts w:ascii="Palatino Linotype" w:eastAsia="Palatino Linotype" w:hAnsi="Palatino Linotype" w:cs="Palatino Linotype"/>
          <w:b/>
          <w:color w:val="000000" w:themeColor="text1"/>
        </w:rPr>
        <w:t>SUJETO OBLIGADO</w:t>
      </w:r>
      <w:r w:rsidRPr="00236777">
        <w:rPr>
          <w:rFonts w:ascii="Palatino Linotype" w:eastAsia="Palatino Linotype" w:hAnsi="Palatino Linotype" w:cs="Palatino Linotype"/>
          <w:color w:val="000000" w:themeColor="text1"/>
        </w:rPr>
        <w:t xml:space="preserve"> entregó su respuesta el </w:t>
      </w:r>
      <w:r w:rsidRPr="00236777">
        <w:rPr>
          <w:rFonts w:ascii="Palatino Linotype" w:eastAsia="Palatino Linotype" w:hAnsi="Palatino Linotype" w:cs="Palatino Linotype"/>
          <w:b/>
          <w:color w:val="000000" w:themeColor="text1"/>
        </w:rPr>
        <w:t>diez de febrero de dos mil veinticinco</w:t>
      </w:r>
      <w:r w:rsidRPr="00236777">
        <w:rPr>
          <w:rFonts w:ascii="Palatino Linotype" w:eastAsia="Palatino Linotype" w:hAnsi="Palatino Linotype" w:cs="Palatino Linotype"/>
          <w:color w:val="000000" w:themeColor="text1"/>
        </w:rPr>
        <w:t xml:space="preserve">, de tal forma que el plazo para interponer el recurso de revisión transcurrió del día </w:t>
      </w:r>
      <w:r w:rsidRPr="00236777">
        <w:rPr>
          <w:rFonts w:ascii="Palatino Linotype" w:eastAsia="Palatino Linotype" w:hAnsi="Palatino Linotype" w:cs="Palatino Linotype"/>
          <w:b/>
          <w:color w:val="000000" w:themeColor="text1"/>
        </w:rPr>
        <w:t>once de febrero al cuatro de marzo de dos mil veinticinco</w:t>
      </w:r>
      <w:r w:rsidRPr="00236777">
        <w:rPr>
          <w:rFonts w:ascii="Palatino Linotype" w:eastAsia="Palatino Linotype" w:hAnsi="Palatino Linotype" w:cs="Palatino Linotype"/>
          <w:color w:val="000000" w:themeColor="text1"/>
        </w:rPr>
        <w:t xml:space="preserve">; en consecuencia, el ahora </w:t>
      </w:r>
      <w:r w:rsidRPr="00236777">
        <w:rPr>
          <w:rFonts w:ascii="Palatino Linotype" w:eastAsia="Palatino Linotype" w:hAnsi="Palatino Linotype" w:cs="Palatino Linotype"/>
          <w:b/>
          <w:color w:val="000000" w:themeColor="text1"/>
        </w:rPr>
        <w:t>RECURRENTE</w:t>
      </w:r>
      <w:r w:rsidRPr="00236777">
        <w:rPr>
          <w:rFonts w:ascii="Palatino Linotype" w:eastAsia="Palatino Linotype" w:hAnsi="Palatino Linotype" w:cs="Palatino Linotype"/>
          <w:color w:val="000000" w:themeColor="text1"/>
        </w:rPr>
        <w:t xml:space="preserve"> presentó su inconformidad el </w:t>
      </w:r>
      <w:r w:rsidRPr="00236777">
        <w:rPr>
          <w:rFonts w:ascii="Palatino Linotype" w:eastAsia="Palatino Linotype" w:hAnsi="Palatino Linotype" w:cs="Palatino Linotype"/>
          <w:b/>
          <w:color w:val="000000" w:themeColor="text1"/>
        </w:rPr>
        <w:t xml:space="preserve">veintiuno de febrero de dos mil veinticinco, </w:t>
      </w:r>
      <w:r w:rsidRPr="00236777">
        <w:rPr>
          <w:rFonts w:ascii="Palatino Linotype" w:eastAsia="Palatino Linotype" w:hAnsi="Palatino Linotype" w:cs="Palatino Linotype"/>
          <w:color w:val="000000" w:themeColor="text1"/>
        </w:rPr>
        <w:t>por lo que se estima que la inconformidad se presentó dentro del lapso legalmente establecido para tal efecto.</w:t>
      </w:r>
    </w:p>
    <w:p w14:paraId="7120548B" w14:textId="77777777" w:rsidR="00A21845" w:rsidRPr="00236777" w:rsidRDefault="00A21845"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0585C4D" w14:textId="77777777"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8D99691" w14:textId="77777777" w:rsidR="00A21845" w:rsidRPr="00236777" w:rsidRDefault="00A21845" w:rsidP="009C36C0">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2E72130B" w14:textId="77777777" w:rsidR="00A21845" w:rsidRPr="00236777" w:rsidRDefault="009D61B8" w:rsidP="009C36C0">
      <w:pPr>
        <w:pStyle w:val="Ttulo1"/>
        <w:spacing w:before="0" w:line="360" w:lineRule="auto"/>
        <w:rPr>
          <w:rFonts w:ascii="Palatino Linotype" w:eastAsia="Palatino Linotype" w:hAnsi="Palatino Linotype" w:cs="Palatino Linotype"/>
          <w:b/>
          <w:color w:val="000000" w:themeColor="text1"/>
          <w:sz w:val="24"/>
          <w:szCs w:val="24"/>
        </w:rPr>
      </w:pPr>
      <w:bookmarkStart w:id="7" w:name="_heading=h.hy8trnquvm57" w:colFirst="0" w:colLast="0"/>
      <w:bookmarkEnd w:id="7"/>
      <w:r w:rsidRPr="00236777">
        <w:rPr>
          <w:rFonts w:ascii="Palatino Linotype" w:eastAsia="Palatino Linotype" w:hAnsi="Palatino Linotype" w:cs="Palatino Linotype"/>
          <w:b/>
          <w:color w:val="000000" w:themeColor="text1"/>
          <w:sz w:val="24"/>
          <w:szCs w:val="24"/>
        </w:rPr>
        <w:t xml:space="preserve">TERCERO. Del planteamiento de la </w:t>
      </w:r>
      <w:r w:rsidRPr="00236777">
        <w:rPr>
          <w:rFonts w:ascii="Palatino Linotype" w:eastAsia="Palatino Linotype" w:hAnsi="Palatino Linotype" w:cs="Palatino Linotype"/>
          <w:b/>
          <w:i/>
          <w:color w:val="000000" w:themeColor="text1"/>
          <w:sz w:val="24"/>
          <w:szCs w:val="24"/>
        </w:rPr>
        <w:t>Litis</w:t>
      </w:r>
      <w:r w:rsidRPr="00236777">
        <w:rPr>
          <w:rFonts w:ascii="Palatino Linotype" w:eastAsia="Palatino Linotype" w:hAnsi="Palatino Linotype" w:cs="Palatino Linotype"/>
          <w:b/>
          <w:color w:val="000000" w:themeColor="text1"/>
          <w:sz w:val="24"/>
          <w:szCs w:val="24"/>
        </w:rPr>
        <w:t>.</w:t>
      </w:r>
    </w:p>
    <w:p w14:paraId="6FA156EA" w14:textId="77777777" w:rsidR="00A21845" w:rsidRPr="00236777" w:rsidRDefault="009D61B8" w:rsidP="009C36C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Se solicitó tener acceso, a la información:</w:t>
      </w:r>
    </w:p>
    <w:p w14:paraId="0B0A930E" w14:textId="77777777" w:rsidR="00A21845" w:rsidRPr="00236777" w:rsidRDefault="009D61B8"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“Presupuesto Asignado por parte del Gobierno Estatal al Plantel Educativo de la Escuela PRIMARIA "EJERCITO DEL TRABAJO", ubicada en la Calle Morelos, número 101, Colonia Centro, del Municipio de Rayón, Estado de México. C.P. 52360, con clave de centro de trabajo 15EPR4772L, de los ejercicios fiscales 2018, 2019, 2020, 2021, 2022, 2023 y 2024.”</w:t>
      </w:r>
    </w:p>
    <w:p w14:paraId="2FB84446"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4B1FF025"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En respuesta, el </w:t>
      </w:r>
      <w:r w:rsidRPr="00236777">
        <w:rPr>
          <w:rFonts w:ascii="Palatino Linotype" w:eastAsia="Palatino Linotype" w:hAnsi="Palatino Linotype" w:cs="Palatino Linotype"/>
          <w:b/>
          <w:color w:val="000000" w:themeColor="text1"/>
        </w:rPr>
        <w:t xml:space="preserve">SUJETO OBLIGADO, </w:t>
      </w:r>
      <w:r w:rsidRPr="00236777">
        <w:rPr>
          <w:rFonts w:ascii="Palatino Linotype" w:eastAsia="Palatino Linotype" w:hAnsi="Palatino Linotype" w:cs="Palatino Linotype"/>
          <w:color w:val="000000" w:themeColor="text1"/>
        </w:rPr>
        <w:t xml:space="preserve">dio respuesta como quedó referido en el numeral 2. </w:t>
      </w:r>
    </w:p>
    <w:p w14:paraId="4C389AA1"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lastRenderedPageBreak/>
        <w:t xml:space="preserve">Inconforme con lo anterior, el </w:t>
      </w:r>
      <w:r w:rsidRPr="00236777">
        <w:rPr>
          <w:rFonts w:ascii="Palatino Linotype" w:eastAsia="Palatino Linotype" w:hAnsi="Palatino Linotype" w:cs="Palatino Linotype"/>
          <w:b/>
          <w:color w:val="000000" w:themeColor="text1"/>
        </w:rPr>
        <w:t xml:space="preserve">PARTICULAR, </w:t>
      </w:r>
      <w:r w:rsidRPr="00236777">
        <w:rPr>
          <w:rFonts w:ascii="Palatino Linotype" w:eastAsia="Palatino Linotype" w:hAnsi="Palatino Linotype" w:cs="Palatino Linotype"/>
          <w:color w:val="000000" w:themeColor="text1"/>
        </w:rPr>
        <w:t xml:space="preserve">interpuso recurso de revisión arguyendo la negativa de la entrega de la información. </w:t>
      </w:r>
    </w:p>
    <w:p w14:paraId="3290F28C"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7DB5B973"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En etapa de manifestaciones, el </w:t>
      </w:r>
      <w:r w:rsidRPr="00236777">
        <w:rPr>
          <w:rFonts w:ascii="Palatino Linotype" w:eastAsia="Palatino Linotype" w:hAnsi="Palatino Linotype" w:cs="Palatino Linotype"/>
          <w:b/>
          <w:color w:val="000000" w:themeColor="text1"/>
        </w:rPr>
        <w:t xml:space="preserve">SUJETO OBLIGADO, </w:t>
      </w:r>
      <w:r w:rsidRPr="00236777">
        <w:rPr>
          <w:rFonts w:ascii="Palatino Linotype" w:eastAsia="Palatino Linotype" w:hAnsi="Palatino Linotype" w:cs="Palatino Linotype"/>
          <w:color w:val="000000" w:themeColor="text1"/>
        </w:rPr>
        <w:t xml:space="preserve">confirmó su respuesta primigenia. </w:t>
      </w:r>
    </w:p>
    <w:p w14:paraId="3F9873C1"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569D7A12"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En dichas condiciones, la </w:t>
      </w:r>
      <w:r w:rsidRPr="00236777">
        <w:rPr>
          <w:rFonts w:ascii="Palatino Linotype" w:eastAsia="Palatino Linotype" w:hAnsi="Palatino Linotype" w:cs="Palatino Linotype"/>
          <w:i/>
          <w:color w:val="000000" w:themeColor="text1"/>
        </w:rPr>
        <w:t>Litis</w:t>
      </w:r>
      <w:r w:rsidRPr="00236777">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Pr="00236777">
        <w:rPr>
          <w:rFonts w:ascii="Palatino Linotype" w:eastAsia="Palatino Linotype" w:hAnsi="Palatino Linotype" w:cs="Palatino Linotype"/>
          <w:b/>
          <w:color w:val="000000" w:themeColor="text1"/>
        </w:rPr>
        <w:t xml:space="preserve">fracción V </w:t>
      </w:r>
      <w:r w:rsidRPr="00236777">
        <w:rPr>
          <w:rFonts w:ascii="Palatino Linotype" w:eastAsia="Palatino Linotype" w:hAnsi="Palatino Linotype" w:cs="Palatino Linotype"/>
          <w:color w:val="000000" w:themeColor="text1"/>
        </w:rPr>
        <w:t xml:space="preserve">de la </w:t>
      </w:r>
      <w:r w:rsidRPr="00236777">
        <w:rPr>
          <w:rFonts w:ascii="Palatino Linotype" w:eastAsia="Palatino Linotype" w:hAnsi="Palatino Linotype" w:cs="Palatino Linotype"/>
          <w:b/>
          <w:color w:val="000000" w:themeColor="text1"/>
        </w:rPr>
        <w:t>Ley de Transparencia y Acceso a la Información Pública del Estado de México y Municipios</w:t>
      </w:r>
      <w:r w:rsidRPr="00236777">
        <w:rPr>
          <w:rFonts w:ascii="Palatino Linotype" w:eastAsia="Palatino Linotype" w:hAnsi="Palatino Linotype" w:cs="Palatino Linotype"/>
          <w:color w:val="000000" w:themeColor="text1"/>
        </w:rPr>
        <w:t xml:space="preserve">; fracción que determina la hipótesis jurídica relativa a la entrega de información incompleta; contexto del cual se dolió </w:t>
      </w:r>
      <w:r w:rsidRPr="00236777">
        <w:rPr>
          <w:rFonts w:ascii="Palatino Linotype" w:eastAsia="Palatino Linotype" w:hAnsi="Palatino Linotype" w:cs="Palatino Linotype"/>
          <w:b/>
          <w:color w:val="000000" w:themeColor="text1"/>
        </w:rPr>
        <w:t xml:space="preserve">EL RECURRENTE </w:t>
      </w:r>
      <w:r w:rsidRPr="00236777">
        <w:rPr>
          <w:rFonts w:ascii="Palatino Linotype" w:eastAsia="Palatino Linotype" w:hAnsi="Palatino Linotype" w:cs="Palatino Linotype"/>
          <w:color w:val="000000" w:themeColor="text1"/>
        </w:rPr>
        <w:t xml:space="preserve">al momento de interponer su inconformidad. De modo tal que el presente recurso de revisión se abocara en determinar si el </w:t>
      </w:r>
      <w:r w:rsidRPr="00236777">
        <w:rPr>
          <w:rFonts w:ascii="Palatino Linotype" w:eastAsia="Palatino Linotype" w:hAnsi="Palatino Linotype" w:cs="Palatino Linotype"/>
          <w:b/>
          <w:color w:val="000000" w:themeColor="text1"/>
        </w:rPr>
        <w:t>SUJETO</w:t>
      </w:r>
      <w:r w:rsidRPr="00236777">
        <w:rPr>
          <w:rFonts w:ascii="Palatino Linotype" w:eastAsia="Palatino Linotype" w:hAnsi="Palatino Linotype" w:cs="Palatino Linotype"/>
          <w:color w:val="000000" w:themeColor="text1"/>
        </w:rPr>
        <w:t xml:space="preserve"> </w:t>
      </w:r>
      <w:r w:rsidRPr="00236777">
        <w:rPr>
          <w:rFonts w:ascii="Palatino Linotype" w:eastAsia="Palatino Linotype" w:hAnsi="Palatino Linotype" w:cs="Palatino Linotype"/>
          <w:b/>
          <w:color w:val="000000" w:themeColor="text1"/>
        </w:rPr>
        <w:t>OBLIGADO</w:t>
      </w:r>
      <w:r w:rsidRPr="00236777">
        <w:rPr>
          <w:rFonts w:ascii="Palatino Linotype" w:eastAsia="Palatino Linotype" w:hAnsi="Palatino Linotype" w:cs="Palatino Linotype"/>
          <w:color w:val="000000" w:themeColor="text1"/>
        </w:rPr>
        <w:t xml:space="preserve"> con su respuesta ciertamente actualiza la causal de procedencia</w:t>
      </w:r>
      <w:r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color w:val="000000" w:themeColor="text1"/>
        </w:rPr>
        <w:t xml:space="preserve">antes señalada. </w:t>
      </w:r>
    </w:p>
    <w:p w14:paraId="7260DEE6" w14:textId="77777777" w:rsidR="00A21845" w:rsidRPr="00236777" w:rsidRDefault="00A21845" w:rsidP="009C36C0">
      <w:pPr>
        <w:pBdr>
          <w:top w:val="nil"/>
          <w:left w:val="nil"/>
          <w:bottom w:val="nil"/>
          <w:right w:val="nil"/>
          <w:between w:val="nil"/>
        </w:pBdr>
        <w:rPr>
          <w:rFonts w:ascii="Palatino Linotype" w:eastAsia="Palatino Linotype" w:hAnsi="Palatino Linotype" w:cs="Palatino Linotype"/>
          <w:color w:val="000000" w:themeColor="text1"/>
        </w:rPr>
      </w:pPr>
    </w:p>
    <w:p w14:paraId="09542002" w14:textId="77777777" w:rsidR="00A21845" w:rsidRPr="00236777" w:rsidRDefault="009D61B8" w:rsidP="009C36C0">
      <w:pPr>
        <w:pStyle w:val="Ttulo2"/>
        <w:rPr>
          <w:rFonts w:ascii="Palatino Linotype" w:eastAsia="Palatino Linotype" w:hAnsi="Palatino Linotype" w:cs="Palatino Linotype"/>
          <w:b/>
          <w:color w:val="000000" w:themeColor="text1"/>
          <w:sz w:val="24"/>
          <w:szCs w:val="24"/>
        </w:rPr>
      </w:pPr>
      <w:bookmarkStart w:id="8" w:name="_heading=h.ngyq7st5t5la" w:colFirst="0" w:colLast="0"/>
      <w:bookmarkEnd w:id="8"/>
      <w:r w:rsidRPr="00236777">
        <w:rPr>
          <w:rFonts w:ascii="Palatino Linotype" w:eastAsia="Palatino Linotype" w:hAnsi="Palatino Linotype" w:cs="Palatino Linotype"/>
          <w:b/>
          <w:color w:val="000000" w:themeColor="text1"/>
          <w:sz w:val="24"/>
          <w:szCs w:val="24"/>
        </w:rPr>
        <w:t>CUARTO. Del estudio y resolución del asunto.</w:t>
      </w:r>
    </w:p>
    <w:p w14:paraId="2CD96CC9"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t xml:space="preserve">Acotada la </w:t>
      </w:r>
      <w:r w:rsidRPr="00236777">
        <w:rPr>
          <w:rFonts w:ascii="Palatino Linotype" w:eastAsia="Palatino Linotype" w:hAnsi="Palatino Linotype" w:cs="Palatino Linotype"/>
          <w:i/>
          <w:color w:val="000000" w:themeColor="text1"/>
        </w:rPr>
        <w:t>Litis</w:t>
      </w:r>
      <w:r w:rsidRPr="00236777">
        <w:rPr>
          <w:rFonts w:ascii="Palatino Linotype" w:eastAsia="Palatino Linotype" w:hAnsi="Palatino Linotype" w:cs="Palatino Linotype"/>
          <w:color w:val="000000" w:themeColor="text1"/>
        </w:rPr>
        <w:t xml:space="preserve"> del presente asunto,  respecto la fuente obligacional, se advierte que el </w:t>
      </w:r>
      <w:r w:rsidRPr="00236777">
        <w:rPr>
          <w:rFonts w:ascii="Palatino Linotype" w:eastAsia="Palatino Linotype" w:hAnsi="Palatino Linotype" w:cs="Palatino Linotype"/>
          <w:b/>
          <w:color w:val="000000" w:themeColor="text1"/>
        </w:rPr>
        <w:t xml:space="preserve">SUJETO OBLIGADO, </w:t>
      </w:r>
      <w:r w:rsidRPr="00236777">
        <w:rPr>
          <w:rFonts w:ascii="Palatino Linotype" w:eastAsia="Palatino Linotype" w:hAnsi="Palatino Linotype" w:cs="Palatino Linotype"/>
          <w:color w:val="000000" w:themeColor="text1"/>
        </w:rPr>
        <w:t>asumió contar con la información solicitada, ya que remitió las ligas de presupuesto de egresos del año 2018 al 2024, por lo que resulta innecesario realizar el estudio correspondiente, pues –se insiste- este asumió contar con lo solicitado.</w:t>
      </w:r>
    </w:p>
    <w:p w14:paraId="2C2F305D"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295F355B" w14:textId="25B464B8" w:rsidR="00A21845" w:rsidRPr="00236777" w:rsidRDefault="00AC2470" w:rsidP="009C36C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t xml:space="preserve">Ahora bien, </w:t>
      </w:r>
      <w:r w:rsidR="009D61B8" w:rsidRPr="00236777">
        <w:rPr>
          <w:rFonts w:ascii="Palatino Linotype" w:eastAsia="Palatino Linotype" w:hAnsi="Palatino Linotype" w:cs="Palatino Linotype"/>
          <w:color w:val="000000" w:themeColor="text1"/>
        </w:rPr>
        <w:t xml:space="preserve">se advierte que el </w:t>
      </w:r>
      <w:r w:rsidR="009D61B8" w:rsidRPr="00236777">
        <w:rPr>
          <w:rFonts w:ascii="Palatino Linotype" w:eastAsia="Palatino Linotype" w:hAnsi="Palatino Linotype" w:cs="Palatino Linotype"/>
          <w:b/>
          <w:color w:val="000000" w:themeColor="text1"/>
        </w:rPr>
        <w:t>SUJETO OBLIGADO,</w:t>
      </w:r>
      <w:r w:rsidR="009D61B8" w:rsidRPr="00236777">
        <w:rPr>
          <w:rFonts w:ascii="Palatino Linotype" w:eastAsia="Palatino Linotype" w:hAnsi="Palatino Linotype" w:cs="Palatino Linotype"/>
          <w:color w:val="000000" w:themeColor="text1"/>
        </w:rPr>
        <w:t xml:space="preserve"> en respuesta remitió siete ligas de acceso de los años 2018 al 2024, de las que este Órgano Resolutor, mismos que se insertan a continuación y que al hacer </w:t>
      </w:r>
      <w:r w:rsidR="00CB23C6" w:rsidRPr="00236777">
        <w:rPr>
          <w:rFonts w:ascii="Palatino Linotype" w:eastAsia="Palatino Linotype" w:hAnsi="Palatino Linotype" w:cs="Palatino Linotype"/>
          <w:color w:val="000000" w:themeColor="text1"/>
        </w:rPr>
        <w:t>clic</w:t>
      </w:r>
      <w:r w:rsidR="009D61B8" w:rsidRPr="00236777">
        <w:rPr>
          <w:rFonts w:ascii="Palatino Linotype" w:eastAsia="Palatino Linotype" w:hAnsi="Palatino Linotype" w:cs="Palatino Linotype"/>
          <w:color w:val="000000" w:themeColor="text1"/>
        </w:rPr>
        <w:t xml:space="preserve"> en dichos enlaces, se observa lo siguiente:</w:t>
      </w:r>
      <w:r w:rsidR="009C36C0" w:rsidRPr="00236777">
        <w:rPr>
          <w:rFonts w:ascii="Palatino Linotype" w:eastAsia="Palatino Linotype" w:hAnsi="Palatino Linotype" w:cs="Palatino Linotype"/>
          <w:color w:val="000000" w:themeColor="text1"/>
        </w:rPr>
        <w:t xml:space="preserve"> </w:t>
      </w:r>
    </w:p>
    <w:p w14:paraId="530AADFD" w14:textId="77777777" w:rsidR="009C36C0" w:rsidRPr="00236777" w:rsidRDefault="009C36C0" w:rsidP="009C36C0">
      <w:pPr>
        <w:spacing w:line="360" w:lineRule="auto"/>
        <w:jc w:val="both"/>
        <w:rPr>
          <w:rFonts w:ascii="Palatino Linotype" w:eastAsia="Palatino Linotype" w:hAnsi="Palatino Linotype" w:cs="Palatino Linotype"/>
          <w:i/>
          <w:color w:val="000000" w:themeColor="text1"/>
        </w:rPr>
      </w:pPr>
    </w:p>
    <w:p w14:paraId="448EA82B" w14:textId="77777777" w:rsidR="00A21845" w:rsidRDefault="009D61B8" w:rsidP="009C36C0">
      <w:pPr>
        <w:spacing w:line="360" w:lineRule="auto"/>
        <w:jc w:val="center"/>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noProof/>
          <w:color w:val="000000" w:themeColor="text1"/>
          <w:lang w:val="es-MX" w:eastAsia="es-MX"/>
        </w:rPr>
        <w:lastRenderedPageBreak/>
        <w:drawing>
          <wp:inline distT="0" distB="0" distL="0" distR="0" wp14:anchorId="3E372D1A" wp14:editId="65CA09E5">
            <wp:extent cx="4026380" cy="17280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026380" cy="1728000"/>
                    </a:xfrm>
                    <a:prstGeom prst="rect">
                      <a:avLst/>
                    </a:prstGeom>
                    <a:ln/>
                  </pic:spPr>
                </pic:pic>
              </a:graphicData>
            </a:graphic>
          </wp:inline>
        </w:drawing>
      </w:r>
    </w:p>
    <w:p w14:paraId="1647A319" w14:textId="77777777" w:rsidR="00EB7330" w:rsidRDefault="00EB7330" w:rsidP="009C36C0">
      <w:pPr>
        <w:spacing w:line="360" w:lineRule="auto"/>
        <w:jc w:val="center"/>
        <w:rPr>
          <w:rFonts w:ascii="Palatino Linotype" w:eastAsia="Palatino Linotype" w:hAnsi="Palatino Linotype" w:cs="Palatino Linotype"/>
          <w:i/>
          <w:color w:val="000000" w:themeColor="text1"/>
        </w:rPr>
      </w:pPr>
    </w:p>
    <w:p w14:paraId="5548AE5A" w14:textId="77777777" w:rsidR="00EB7330" w:rsidRPr="00236777" w:rsidRDefault="00EB7330" w:rsidP="009C36C0">
      <w:pPr>
        <w:spacing w:line="360" w:lineRule="auto"/>
        <w:jc w:val="center"/>
        <w:rPr>
          <w:rFonts w:ascii="Palatino Linotype" w:eastAsia="Palatino Linotype" w:hAnsi="Palatino Linotype" w:cs="Palatino Linotype"/>
          <w:i/>
          <w:color w:val="000000" w:themeColor="text1"/>
        </w:rPr>
      </w:pPr>
    </w:p>
    <w:p w14:paraId="2FD657BB" w14:textId="77777777" w:rsidR="00A21845" w:rsidRPr="00236777" w:rsidRDefault="009D61B8" w:rsidP="009C36C0">
      <w:pPr>
        <w:spacing w:line="360" w:lineRule="auto"/>
        <w:jc w:val="center"/>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noProof/>
          <w:color w:val="000000" w:themeColor="text1"/>
          <w:lang w:val="es-MX" w:eastAsia="es-MX"/>
        </w:rPr>
        <w:drawing>
          <wp:inline distT="0" distB="0" distL="0" distR="0" wp14:anchorId="12EA9306" wp14:editId="4C17182F">
            <wp:extent cx="3566411" cy="40680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566411" cy="4068000"/>
                    </a:xfrm>
                    <a:prstGeom prst="rect">
                      <a:avLst/>
                    </a:prstGeom>
                    <a:ln/>
                  </pic:spPr>
                </pic:pic>
              </a:graphicData>
            </a:graphic>
          </wp:inline>
        </w:drawing>
      </w:r>
    </w:p>
    <w:p w14:paraId="4CF0802B" w14:textId="77777777" w:rsidR="00A21845" w:rsidRDefault="00A21845" w:rsidP="009C36C0">
      <w:pPr>
        <w:spacing w:line="360" w:lineRule="auto"/>
        <w:jc w:val="both"/>
        <w:rPr>
          <w:rFonts w:ascii="Palatino Linotype" w:eastAsia="Palatino Linotype" w:hAnsi="Palatino Linotype" w:cs="Palatino Linotype"/>
          <w:i/>
          <w:color w:val="000000" w:themeColor="text1"/>
        </w:rPr>
      </w:pPr>
    </w:p>
    <w:p w14:paraId="677889B4" w14:textId="77777777" w:rsidR="00EB7330" w:rsidRPr="00236777" w:rsidRDefault="00EB7330" w:rsidP="009C36C0">
      <w:pPr>
        <w:spacing w:line="360" w:lineRule="auto"/>
        <w:jc w:val="both"/>
        <w:rPr>
          <w:rFonts w:ascii="Palatino Linotype" w:eastAsia="Palatino Linotype" w:hAnsi="Palatino Linotype" w:cs="Palatino Linotype"/>
          <w:i/>
          <w:color w:val="000000" w:themeColor="text1"/>
        </w:rPr>
      </w:pPr>
    </w:p>
    <w:p w14:paraId="4171C64A"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lastRenderedPageBreak/>
        <w:t xml:space="preserve">Posteriormente, a través del Informe Justificado correspondiente, el </w:t>
      </w:r>
      <w:r w:rsidRPr="00236777">
        <w:rPr>
          <w:rFonts w:ascii="Palatino Linotype" w:eastAsia="Palatino Linotype" w:hAnsi="Palatino Linotype" w:cs="Palatino Linotype"/>
          <w:b/>
          <w:color w:val="000000" w:themeColor="text1"/>
        </w:rPr>
        <w:t xml:space="preserve">SUJETO OBLIGADO, </w:t>
      </w:r>
      <w:r w:rsidRPr="00236777">
        <w:rPr>
          <w:rFonts w:ascii="Palatino Linotype" w:eastAsia="Palatino Linotype" w:hAnsi="Palatino Linotype" w:cs="Palatino Linotype"/>
          <w:color w:val="000000" w:themeColor="text1"/>
        </w:rPr>
        <w:t>remitió la siguiente información:</w:t>
      </w:r>
    </w:p>
    <w:p w14:paraId="44D0E876" w14:textId="6DF08E2F" w:rsidR="00A21845" w:rsidRPr="00236777" w:rsidRDefault="009D61B8" w:rsidP="009C36C0">
      <w:pPr>
        <w:spacing w:line="360" w:lineRule="auto"/>
        <w:jc w:val="center"/>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noProof/>
          <w:color w:val="000000" w:themeColor="text1"/>
          <w:lang w:val="es-MX" w:eastAsia="es-MX"/>
        </w:rPr>
        <w:drawing>
          <wp:inline distT="0" distB="0" distL="0" distR="0" wp14:anchorId="2D079619" wp14:editId="4812EE67">
            <wp:extent cx="4932000" cy="197603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932000" cy="1976030"/>
                    </a:xfrm>
                    <a:prstGeom prst="rect">
                      <a:avLst/>
                    </a:prstGeom>
                    <a:ln/>
                  </pic:spPr>
                </pic:pic>
              </a:graphicData>
            </a:graphic>
          </wp:inline>
        </w:drawing>
      </w:r>
    </w:p>
    <w:p w14:paraId="1D72E012" w14:textId="5BB42C85" w:rsidR="00A21845" w:rsidRPr="00236777" w:rsidRDefault="00A21845" w:rsidP="009C36C0">
      <w:pPr>
        <w:spacing w:line="360" w:lineRule="auto"/>
        <w:jc w:val="center"/>
        <w:rPr>
          <w:rFonts w:ascii="Palatino Linotype" w:eastAsia="Palatino Linotype" w:hAnsi="Palatino Linotype" w:cs="Palatino Linotype"/>
          <w:color w:val="000000" w:themeColor="text1"/>
        </w:rPr>
      </w:pPr>
    </w:p>
    <w:p w14:paraId="5B0AC6EA" w14:textId="2A1CCAFA" w:rsidR="0013655F" w:rsidRPr="00236777" w:rsidRDefault="00EB7330" w:rsidP="009C36C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6F57F8BB" wp14:editId="1648053A">
                <wp:simplePos x="0" y="0"/>
                <wp:positionH relativeFrom="margin">
                  <wp:align>left</wp:align>
                </wp:positionH>
                <wp:positionV relativeFrom="paragraph">
                  <wp:posOffset>958886</wp:posOffset>
                </wp:positionV>
                <wp:extent cx="5857336" cy="3778370"/>
                <wp:effectExtent l="0" t="0" r="29210" b="31750"/>
                <wp:wrapNone/>
                <wp:docPr id="2" name="Conector recto 2"/>
                <wp:cNvGraphicFramePr/>
                <a:graphic xmlns:a="http://schemas.openxmlformats.org/drawingml/2006/main">
                  <a:graphicData uri="http://schemas.microsoft.com/office/word/2010/wordprocessingShape">
                    <wps:wsp>
                      <wps:cNvCnPr/>
                      <wps:spPr>
                        <a:xfrm>
                          <a:off x="0" y="0"/>
                          <a:ext cx="5857336" cy="3778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9AEFB"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5pt" to="461.2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" strokecolor="black [3200]" strokeweight=".5pt">
                <v:stroke joinstyle="miter"/>
                <w10:wrap anchorx="margin"/>
              </v:line>
            </w:pict>
          </mc:Fallback>
        </mc:AlternateContent>
      </w:r>
      <w:r w:rsidR="009D61B8" w:rsidRPr="00236777">
        <w:rPr>
          <w:rFonts w:ascii="Palatino Linotype" w:eastAsia="Palatino Linotype" w:hAnsi="Palatino Linotype" w:cs="Palatino Linotype"/>
          <w:color w:val="000000" w:themeColor="text1"/>
        </w:rPr>
        <w:t xml:space="preserve">Al hacer </w:t>
      </w:r>
      <w:r w:rsidR="00CB23C6" w:rsidRPr="00236777">
        <w:rPr>
          <w:rFonts w:ascii="Palatino Linotype" w:eastAsia="Palatino Linotype" w:hAnsi="Palatino Linotype" w:cs="Palatino Linotype"/>
          <w:color w:val="000000" w:themeColor="text1"/>
        </w:rPr>
        <w:t>clic</w:t>
      </w:r>
      <w:r w:rsidR="009D61B8" w:rsidRPr="00236777">
        <w:rPr>
          <w:rFonts w:ascii="Palatino Linotype" w:eastAsia="Palatino Linotype" w:hAnsi="Palatino Linotype" w:cs="Palatino Linotype"/>
          <w:color w:val="000000" w:themeColor="text1"/>
        </w:rPr>
        <w:t xml:space="preserve"> en los enlaces anteriores, se observa de los años 2018 al 2023, una página que arroja un cúmulo de información</w:t>
      </w:r>
      <w:r w:rsidR="0013655F" w:rsidRPr="00236777">
        <w:rPr>
          <w:rFonts w:ascii="Palatino Linotype" w:eastAsia="Palatino Linotype" w:hAnsi="Palatino Linotype" w:cs="Palatino Linotype"/>
          <w:color w:val="000000" w:themeColor="text1"/>
        </w:rPr>
        <w:t>, a efecto de ejemplificación,</w:t>
      </w:r>
      <w:r w:rsidR="009D61B8" w:rsidRPr="00236777">
        <w:rPr>
          <w:rFonts w:ascii="Palatino Linotype" w:eastAsia="Palatino Linotype" w:hAnsi="Palatino Linotype" w:cs="Palatino Linotype"/>
          <w:color w:val="000000" w:themeColor="text1"/>
        </w:rPr>
        <w:t xml:space="preserve"> se inserta la información concerniente al año 2018:</w:t>
      </w:r>
    </w:p>
    <w:p w14:paraId="477DD793" w14:textId="77777777" w:rsidR="00A21845" w:rsidRPr="00236777" w:rsidRDefault="009D61B8" w:rsidP="009C36C0">
      <w:pPr>
        <w:spacing w:line="360" w:lineRule="auto"/>
        <w:jc w:val="center"/>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noProof/>
          <w:color w:val="000000" w:themeColor="text1"/>
          <w:lang w:val="es-MX" w:eastAsia="es-MX"/>
        </w:rPr>
        <w:lastRenderedPageBreak/>
        <w:drawing>
          <wp:inline distT="0" distB="0" distL="0" distR="0" wp14:anchorId="4135DE8D" wp14:editId="4AA799B8">
            <wp:extent cx="5456908" cy="648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6908" cy="6480000"/>
                    </a:xfrm>
                    <a:prstGeom prst="rect">
                      <a:avLst/>
                    </a:prstGeom>
                  </pic:spPr>
                </pic:pic>
              </a:graphicData>
            </a:graphic>
          </wp:inline>
        </w:drawing>
      </w:r>
    </w:p>
    <w:p w14:paraId="2FA1A6A3" w14:textId="77777777" w:rsidR="009C36C0" w:rsidRDefault="009C36C0" w:rsidP="009C36C0">
      <w:pPr>
        <w:spacing w:line="360" w:lineRule="auto"/>
        <w:jc w:val="center"/>
        <w:rPr>
          <w:rFonts w:ascii="Palatino Linotype" w:eastAsia="Palatino Linotype" w:hAnsi="Palatino Linotype" w:cs="Palatino Linotype"/>
          <w:i/>
          <w:color w:val="000000" w:themeColor="text1"/>
        </w:rPr>
      </w:pPr>
    </w:p>
    <w:p w14:paraId="63FD41C2" w14:textId="77777777" w:rsidR="00EB7330" w:rsidRDefault="00EB7330" w:rsidP="009C36C0">
      <w:pPr>
        <w:spacing w:line="360" w:lineRule="auto"/>
        <w:jc w:val="center"/>
        <w:rPr>
          <w:rFonts w:ascii="Palatino Linotype" w:eastAsia="Palatino Linotype" w:hAnsi="Palatino Linotype" w:cs="Palatino Linotype"/>
          <w:i/>
          <w:color w:val="000000" w:themeColor="text1"/>
        </w:rPr>
      </w:pPr>
    </w:p>
    <w:p w14:paraId="05D09874" w14:textId="77777777" w:rsidR="00EB7330" w:rsidRPr="00236777" w:rsidRDefault="00EB7330" w:rsidP="009C36C0">
      <w:pPr>
        <w:spacing w:line="360" w:lineRule="auto"/>
        <w:jc w:val="center"/>
        <w:rPr>
          <w:rFonts w:ascii="Palatino Linotype" w:eastAsia="Palatino Linotype" w:hAnsi="Palatino Linotype" w:cs="Palatino Linotype"/>
          <w:i/>
          <w:color w:val="000000" w:themeColor="text1"/>
        </w:rPr>
      </w:pPr>
    </w:p>
    <w:p w14:paraId="41C3F0B4" w14:textId="77777777" w:rsidR="009D61B8" w:rsidRPr="00236777" w:rsidRDefault="009D61B8" w:rsidP="009C36C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lastRenderedPageBreak/>
        <w:t>Respecto el año 2024, la página arroja lo siguiente:</w:t>
      </w:r>
    </w:p>
    <w:p w14:paraId="14F5FC1D" w14:textId="77777777" w:rsidR="009D61B8" w:rsidRPr="00236777" w:rsidRDefault="009D61B8" w:rsidP="009C36C0">
      <w:pPr>
        <w:spacing w:line="360" w:lineRule="auto"/>
        <w:jc w:val="both"/>
        <w:rPr>
          <w:rFonts w:ascii="Palatino Linotype" w:eastAsia="Palatino Linotype" w:hAnsi="Palatino Linotype" w:cs="Palatino Linotype"/>
          <w:color w:val="000000" w:themeColor="text1"/>
        </w:rPr>
      </w:pPr>
    </w:p>
    <w:p w14:paraId="3BD5AC64" w14:textId="77777777" w:rsidR="009D61B8" w:rsidRPr="00236777" w:rsidRDefault="009D61B8" w:rsidP="009C36C0">
      <w:pPr>
        <w:spacing w:line="360" w:lineRule="auto"/>
        <w:jc w:val="center"/>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noProof/>
          <w:color w:val="000000" w:themeColor="text1"/>
          <w:lang w:val="es-MX" w:eastAsia="es-MX"/>
        </w:rPr>
        <w:drawing>
          <wp:inline distT="0" distB="0" distL="0" distR="0" wp14:anchorId="1AC10129" wp14:editId="79564926">
            <wp:extent cx="3096000" cy="158400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096000" cy="1584000"/>
                    </a:xfrm>
                    <a:prstGeom prst="rect">
                      <a:avLst/>
                    </a:prstGeom>
                    <a:ln/>
                  </pic:spPr>
                </pic:pic>
              </a:graphicData>
            </a:graphic>
          </wp:inline>
        </w:drawing>
      </w:r>
    </w:p>
    <w:p w14:paraId="0F435997" w14:textId="77777777" w:rsidR="009D61B8" w:rsidRPr="00236777" w:rsidRDefault="009D61B8" w:rsidP="009C36C0">
      <w:pPr>
        <w:spacing w:line="360" w:lineRule="auto"/>
        <w:jc w:val="both"/>
        <w:rPr>
          <w:rFonts w:ascii="Palatino Linotype" w:eastAsia="Palatino Linotype" w:hAnsi="Palatino Linotype" w:cs="Palatino Linotype"/>
          <w:i/>
          <w:color w:val="000000" w:themeColor="text1"/>
        </w:rPr>
      </w:pPr>
    </w:p>
    <w:p w14:paraId="25D0A07E"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t xml:space="preserve">De lo anterior, se advierte que el </w:t>
      </w:r>
      <w:r w:rsidRPr="00236777">
        <w:rPr>
          <w:rFonts w:ascii="Palatino Linotype" w:eastAsia="Palatino Linotype" w:hAnsi="Palatino Linotype" w:cs="Palatino Linotype"/>
          <w:b/>
          <w:color w:val="000000" w:themeColor="text1"/>
        </w:rPr>
        <w:t>SUJETO OBLIGADO,</w:t>
      </w:r>
      <w:r w:rsidR="0013655F" w:rsidRPr="00236777">
        <w:rPr>
          <w:rFonts w:ascii="Palatino Linotype" w:eastAsia="Palatino Linotype" w:hAnsi="Palatino Linotype" w:cs="Palatino Linotype"/>
          <w:b/>
          <w:color w:val="000000" w:themeColor="text1"/>
        </w:rPr>
        <w:t xml:space="preserve"> </w:t>
      </w:r>
      <w:r w:rsidR="0013655F" w:rsidRPr="00236777">
        <w:rPr>
          <w:rFonts w:ascii="Palatino Linotype" w:eastAsia="Palatino Linotype" w:hAnsi="Palatino Linotype" w:cs="Palatino Linotype"/>
          <w:color w:val="000000" w:themeColor="text1"/>
        </w:rPr>
        <w:t>amén de haber proporcionado las ligas de acceso,</w:t>
      </w:r>
      <w:r w:rsidRPr="00236777">
        <w:rPr>
          <w:rFonts w:ascii="Palatino Linotype" w:hAnsi="Palatino Linotype"/>
          <w:color w:val="000000" w:themeColor="text1"/>
        </w:rPr>
        <w:t xml:space="preserve"> no dio mayor información al </w:t>
      </w:r>
      <w:r w:rsidRPr="00236777">
        <w:rPr>
          <w:rFonts w:ascii="Palatino Linotype" w:hAnsi="Palatino Linotype"/>
          <w:b/>
          <w:color w:val="000000" w:themeColor="text1"/>
        </w:rPr>
        <w:t>PARTICULAR</w:t>
      </w:r>
      <w:r w:rsidRPr="00236777">
        <w:rPr>
          <w:rFonts w:ascii="Palatino Linotype" w:hAnsi="Palatino Linotype"/>
          <w:color w:val="000000" w:themeColor="text1"/>
        </w:rPr>
        <w:t>, respecto de cómo localizar la información</w:t>
      </w:r>
      <w:r w:rsidR="0013655F" w:rsidRPr="00236777">
        <w:rPr>
          <w:rFonts w:ascii="Palatino Linotype" w:hAnsi="Palatino Linotype"/>
          <w:color w:val="000000" w:themeColor="text1"/>
        </w:rPr>
        <w:t xml:space="preserve"> o tener acceso a la misma,</w:t>
      </w:r>
      <w:r w:rsidRPr="00236777">
        <w:rPr>
          <w:rFonts w:ascii="Palatino Linotype" w:hAnsi="Palatino Linotype"/>
          <w:color w:val="000000" w:themeColor="text1"/>
        </w:rPr>
        <w:t xml:space="preserve"> por lo que </w:t>
      </w:r>
      <w:r w:rsidRPr="00236777">
        <w:rPr>
          <w:rFonts w:ascii="Palatino Linotype" w:eastAsia="Palatino Linotype" w:hAnsi="Palatino Linotype" w:cs="Palatino Linotype"/>
          <w:color w:val="000000" w:themeColor="text1"/>
        </w:rPr>
        <w:t xml:space="preserve">advierte </w:t>
      </w:r>
      <w:r w:rsidR="0013655F" w:rsidRPr="00236777">
        <w:rPr>
          <w:rFonts w:ascii="Palatino Linotype" w:eastAsia="Palatino Linotype" w:hAnsi="Palatino Linotype" w:cs="Palatino Linotype"/>
          <w:color w:val="000000" w:themeColor="text1"/>
        </w:rPr>
        <w:t>que dejó de atender</w:t>
      </w:r>
      <w:r w:rsidRPr="00236777">
        <w:rPr>
          <w:rFonts w:ascii="Palatino Linotype" w:eastAsia="Palatino Linotype" w:hAnsi="Palatino Linotype" w:cs="Palatino Linotype"/>
          <w:color w:val="000000" w:themeColor="text1"/>
        </w:rPr>
        <w:t xml:space="preserve"> a lo establecido por la Ley de Transparencia y Acceso a la Información Pública del Estado de México y Municipios en su artículo 161, que a la letra refiere:</w:t>
      </w:r>
    </w:p>
    <w:p w14:paraId="4FA9C2D0"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3EA37284" w14:textId="77777777" w:rsidR="00A21845" w:rsidRPr="00236777" w:rsidRDefault="009D61B8" w:rsidP="009C36C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236777">
        <w:rPr>
          <w:rFonts w:ascii="Palatino Linotype" w:eastAsia="Palatino Linotype" w:hAnsi="Palatino Linotype" w:cs="Palatino Linotype"/>
          <w:b/>
          <w:i/>
          <w:color w:val="000000" w:themeColor="text1"/>
        </w:rPr>
        <w:t>La fuente deberá ser precisa y concreta y no debe implicar que el solicitante realice una búsqueda en toda la información que se encuentre disponible.</w:t>
      </w:r>
      <w:r w:rsidRPr="00236777">
        <w:rPr>
          <w:rFonts w:ascii="Palatino Linotype" w:eastAsia="Palatino Linotype" w:hAnsi="Palatino Linotype" w:cs="Palatino Linotype"/>
          <w:i/>
          <w:color w:val="000000" w:themeColor="text1"/>
        </w:rPr>
        <w:t>”</w:t>
      </w:r>
    </w:p>
    <w:p w14:paraId="1F6CFA56" w14:textId="77777777" w:rsidR="009D61B8" w:rsidRPr="00236777" w:rsidRDefault="009D61B8"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(Énfasis añadido)</w:t>
      </w:r>
    </w:p>
    <w:p w14:paraId="5BC1A1B1" w14:textId="77777777" w:rsidR="009C36C0" w:rsidRPr="00236777" w:rsidRDefault="009C36C0" w:rsidP="009C36C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2CC7A8D" w14:textId="77777777" w:rsidR="009D61B8"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lastRenderedPageBreak/>
        <w:t xml:space="preserve">Derivado de lo anterior, no se puede tener por colmada la solicitud de información que nos ocupa, pues –se reitera- el </w:t>
      </w:r>
      <w:r w:rsidRPr="00236777">
        <w:rPr>
          <w:rFonts w:ascii="Palatino Linotype" w:eastAsia="Palatino Linotype" w:hAnsi="Palatino Linotype" w:cs="Palatino Linotype"/>
          <w:b/>
          <w:color w:val="000000" w:themeColor="text1"/>
        </w:rPr>
        <w:t xml:space="preserve">SUJETO OBLIGADO, </w:t>
      </w:r>
      <w:r w:rsidRPr="00236777">
        <w:rPr>
          <w:rFonts w:ascii="Palatino Linotype" w:eastAsia="Palatino Linotype" w:hAnsi="Palatino Linotype" w:cs="Palatino Linotype"/>
          <w:color w:val="000000" w:themeColor="text1"/>
        </w:rPr>
        <w:t>únicamente proporcionó ligas de acceso sin dar mayor referencia en donde local</w:t>
      </w:r>
      <w:r w:rsidR="00847603" w:rsidRPr="00236777">
        <w:rPr>
          <w:rFonts w:ascii="Palatino Linotype" w:eastAsia="Palatino Linotype" w:hAnsi="Palatino Linotype" w:cs="Palatino Linotype"/>
          <w:color w:val="000000" w:themeColor="text1"/>
        </w:rPr>
        <w:t xml:space="preserve">izar la información solicitada o como acceder a la misma, situación que no permite establecer si lo proporcionado es la información solicitada por el </w:t>
      </w:r>
      <w:r w:rsidR="00847603" w:rsidRPr="00236777">
        <w:rPr>
          <w:rFonts w:ascii="Palatino Linotype" w:eastAsia="Palatino Linotype" w:hAnsi="Palatino Linotype" w:cs="Palatino Linotype"/>
          <w:b/>
          <w:color w:val="000000" w:themeColor="text1"/>
        </w:rPr>
        <w:t>RECURRENTE,</w:t>
      </w:r>
      <w:r w:rsidR="00847603" w:rsidRPr="00236777">
        <w:rPr>
          <w:rFonts w:ascii="Palatino Linotype" w:eastAsia="Palatino Linotype" w:hAnsi="Palatino Linotype" w:cs="Palatino Linotype"/>
          <w:color w:val="000000" w:themeColor="text1"/>
        </w:rPr>
        <w:t xml:space="preserve"> </w:t>
      </w:r>
      <w:r w:rsidRPr="00236777">
        <w:rPr>
          <w:rFonts w:ascii="Palatino Linotype" w:eastAsia="Palatino Linotype" w:hAnsi="Palatino Linotype" w:cs="Palatino Linotype"/>
          <w:color w:val="000000" w:themeColor="text1"/>
        </w:rPr>
        <w:t>aunado a que relativo al año</w:t>
      </w:r>
      <w:r w:rsidR="00847603" w:rsidRPr="00236777">
        <w:rPr>
          <w:rFonts w:ascii="Palatino Linotype" w:eastAsia="Palatino Linotype" w:hAnsi="Palatino Linotype" w:cs="Palatino Linotype"/>
          <w:color w:val="000000" w:themeColor="text1"/>
        </w:rPr>
        <w:t xml:space="preserve"> 2024, la página no se encontró. </w:t>
      </w:r>
    </w:p>
    <w:p w14:paraId="3EB37D7E" w14:textId="77777777" w:rsidR="00A367C0" w:rsidRPr="00236777" w:rsidRDefault="00A367C0" w:rsidP="009C36C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06E21E2C" w14:textId="77777777" w:rsidR="006F4A80" w:rsidRPr="00236777" w:rsidRDefault="00D02990"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Precisado lo anterior, respecto </w:t>
      </w:r>
      <w:r w:rsidR="006F4A80" w:rsidRPr="00236777">
        <w:rPr>
          <w:rFonts w:ascii="Palatino Linotype" w:eastAsia="Palatino Linotype" w:hAnsi="Palatino Linotype" w:cs="Palatino Linotype"/>
          <w:color w:val="000000" w:themeColor="text1"/>
        </w:rPr>
        <w:t xml:space="preserve">la información solicitada y en atención a los motivos de inconformidad hechos valer por el ahora </w:t>
      </w:r>
      <w:r w:rsidR="006F4A80" w:rsidRPr="00236777">
        <w:rPr>
          <w:rFonts w:ascii="Palatino Linotype" w:eastAsia="Palatino Linotype" w:hAnsi="Palatino Linotype" w:cs="Palatino Linotype"/>
          <w:b/>
          <w:color w:val="000000" w:themeColor="text1"/>
        </w:rPr>
        <w:t xml:space="preserve">RECURRENTE, </w:t>
      </w:r>
      <w:r w:rsidR="006F4A80" w:rsidRPr="00236777">
        <w:rPr>
          <w:rFonts w:ascii="Palatino Linotype" w:eastAsia="Palatino Linotype" w:hAnsi="Palatino Linotype" w:cs="Palatino Linotype"/>
          <w:color w:val="000000" w:themeColor="text1"/>
        </w:rPr>
        <w:t>se refiere lo siguiente:</w:t>
      </w:r>
    </w:p>
    <w:p w14:paraId="08E6A28D" w14:textId="77777777" w:rsidR="00957179" w:rsidRPr="00236777" w:rsidRDefault="00957179" w:rsidP="009C36C0">
      <w:pPr>
        <w:spacing w:line="360" w:lineRule="auto"/>
        <w:jc w:val="center"/>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LEY GENERAL DE EDUCACIÓN</w:t>
      </w:r>
    </w:p>
    <w:p w14:paraId="12F6A93B" w14:textId="77777777" w:rsidR="00957179" w:rsidRPr="00236777" w:rsidRDefault="00957179" w:rsidP="009C36C0">
      <w:pPr>
        <w:spacing w:line="360" w:lineRule="auto"/>
        <w:rPr>
          <w:rFonts w:ascii="Palatino Linotype" w:eastAsia="Palatino Linotype" w:hAnsi="Palatino Linotype" w:cs="Palatino Linotype"/>
          <w:b/>
          <w:i/>
          <w:color w:val="000000" w:themeColor="text1"/>
        </w:rPr>
      </w:pPr>
    </w:p>
    <w:p w14:paraId="1BC70424" w14:textId="77777777" w:rsidR="00957179" w:rsidRPr="00236777" w:rsidRDefault="00957179" w:rsidP="009C36C0">
      <w:pPr>
        <w:spacing w:line="360" w:lineRule="auto"/>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 xml:space="preserve">De la participación de madres y padres de familia o tutores </w:t>
      </w:r>
    </w:p>
    <w:p w14:paraId="3CF6AC66" w14:textId="77777777" w:rsidR="00957179" w:rsidRPr="00236777" w:rsidRDefault="00957179" w:rsidP="009C36C0">
      <w:pPr>
        <w:spacing w:line="360" w:lineRule="auto"/>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 xml:space="preserve">Artículo 128. </w:t>
      </w:r>
      <w:r w:rsidRPr="00236777">
        <w:rPr>
          <w:rFonts w:ascii="Palatino Linotype" w:eastAsia="Palatino Linotype" w:hAnsi="Palatino Linotype" w:cs="Palatino Linotype"/>
          <w:i/>
          <w:color w:val="000000" w:themeColor="text1"/>
        </w:rPr>
        <w:t>Son derechos de quienes ejercen la patria potestad o la tutela:</w:t>
      </w:r>
    </w:p>
    <w:p w14:paraId="5E409E4B" w14:textId="77777777" w:rsidR="00957179" w:rsidRPr="00236777" w:rsidRDefault="00957179" w:rsidP="009C36C0">
      <w:pPr>
        <w:spacing w:line="360" w:lineRule="auto"/>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w:t>
      </w:r>
    </w:p>
    <w:p w14:paraId="700589E5" w14:textId="77777777" w:rsidR="00957179" w:rsidRPr="00236777" w:rsidRDefault="00957179" w:rsidP="009C36C0">
      <w:pPr>
        <w:spacing w:line="360" w:lineRule="auto"/>
        <w:rPr>
          <w:rFonts w:ascii="Palatino Linotype" w:eastAsia="Palatino Linotype" w:hAnsi="Palatino Linotype" w:cs="Palatino Linotype"/>
          <w:i/>
          <w:color w:val="000000" w:themeColor="text1"/>
          <w:u w:val="single"/>
        </w:rPr>
      </w:pPr>
      <w:r w:rsidRPr="00236777">
        <w:rPr>
          <w:rFonts w:ascii="Palatino Linotype" w:eastAsia="Palatino Linotype" w:hAnsi="Palatino Linotype" w:cs="Palatino Linotype"/>
          <w:i/>
          <w:color w:val="000000" w:themeColor="text1"/>
          <w:u w:val="single"/>
        </w:rPr>
        <w:t>IX. Conocer el presupuesto asignado a cada escuela, así como su aplicación y los resultados de su ejecución;</w:t>
      </w:r>
    </w:p>
    <w:p w14:paraId="1F88108D" w14:textId="77777777" w:rsidR="00A367C0" w:rsidRPr="00236777" w:rsidRDefault="00A367C0" w:rsidP="009C36C0">
      <w:pPr>
        <w:spacing w:line="360" w:lineRule="auto"/>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w:t>
      </w:r>
    </w:p>
    <w:p w14:paraId="41EFBC87" w14:textId="77777777" w:rsidR="00D02990" w:rsidRPr="00236777" w:rsidRDefault="00D02990" w:rsidP="009C36C0">
      <w:pPr>
        <w:spacing w:line="360" w:lineRule="auto"/>
        <w:rPr>
          <w:rFonts w:ascii="Palatino Linotype" w:eastAsia="Palatino Linotype" w:hAnsi="Palatino Linotype" w:cs="Palatino Linotype"/>
          <w:b/>
          <w:i/>
          <w:color w:val="000000" w:themeColor="text1"/>
        </w:rPr>
      </w:pPr>
    </w:p>
    <w:p w14:paraId="25204F93" w14:textId="77777777" w:rsidR="00D02990" w:rsidRPr="00236777" w:rsidRDefault="00D02990"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De lo anterior, se establece la fuente obligacional para generar, poseer y/o administrar la información solicitada,</w:t>
      </w:r>
      <w:r w:rsidR="0013655F" w:rsidRPr="00236777">
        <w:rPr>
          <w:rFonts w:ascii="Palatino Linotype" w:eastAsia="Palatino Linotype" w:hAnsi="Palatino Linotype" w:cs="Palatino Linotype"/>
          <w:color w:val="000000" w:themeColor="text1"/>
        </w:rPr>
        <w:t xml:space="preserve"> es decir, el presupuesto </w:t>
      </w:r>
      <w:r w:rsidR="000E30F5" w:rsidRPr="00236777">
        <w:rPr>
          <w:rFonts w:ascii="Palatino Linotype" w:eastAsia="Palatino Linotype" w:hAnsi="Palatino Linotype" w:cs="Palatino Linotype"/>
          <w:color w:val="000000" w:themeColor="text1"/>
        </w:rPr>
        <w:t>asignado</w:t>
      </w:r>
      <w:r w:rsidR="001E6BD3" w:rsidRPr="00236777">
        <w:rPr>
          <w:rFonts w:ascii="Palatino Linotype" w:eastAsia="Palatino Linotype" w:hAnsi="Palatino Linotype" w:cs="Palatino Linotype"/>
          <w:color w:val="000000" w:themeColor="text1"/>
        </w:rPr>
        <w:t xml:space="preserve"> la escuela referida en la solicitud de información que nos ocupa</w:t>
      </w:r>
      <w:r w:rsidRPr="00236777">
        <w:rPr>
          <w:rFonts w:ascii="Palatino Linotype" w:eastAsia="Palatino Linotype" w:hAnsi="Palatino Linotype" w:cs="Palatino Linotype"/>
          <w:color w:val="000000" w:themeColor="text1"/>
        </w:rPr>
        <w:t xml:space="preserve"> </w:t>
      </w:r>
      <w:r w:rsidR="000E30F5" w:rsidRPr="00236777">
        <w:rPr>
          <w:rFonts w:ascii="Palatino Linotype" w:eastAsia="Palatino Linotype" w:hAnsi="Palatino Linotype" w:cs="Palatino Linotype"/>
          <w:color w:val="000000" w:themeColor="text1"/>
        </w:rPr>
        <w:t xml:space="preserve">al grado de desagregación que obra en sus archivos, tal y como lo refiere el artículo que antecede, se debe conocer el </w:t>
      </w:r>
      <w:r w:rsidR="00383E54" w:rsidRPr="00236777">
        <w:rPr>
          <w:rFonts w:ascii="Palatino Linotype" w:eastAsia="Palatino Linotype" w:hAnsi="Palatino Linotype" w:cs="Palatino Linotype"/>
          <w:color w:val="000000" w:themeColor="text1"/>
        </w:rPr>
        <w:t>presupuesto</w:t>
      </w:r>
      <w:r w:rsidR="000E30F5" w:rsidRPr="00236777">
        <w:rPr>
          <w:rFonts w:ascii="Palatino Linotype" w:eastAsia="Palatino Linotype" w:hAnsi="Palatino Linotype" w:cs="Palatino Linotype"/>
          <w:color w:val="000000" w:themeColor="text1"/>
        </w:rPr>
        <w:t xml:space="preserve"> asignado a la primaria referida en la solicitud de información que nos ocupa, de manera clara y precisa, pues –se reitera- el </w:t>
      </w:r>
      <w:r w:rsidR="000E30F5" w:rsidRPr="00236777">
        <w:rPr>
          <w:rFonts w:ascii="Palatino Linotype" w:eastAsia="Palatino Linotype" w:hAnsi="Palatino Linotype" w:cs="Palatino Linotype"/>
          <w:b/>
          <w:color w:val="000000" w:themeColor="text1"/>
        </w:rPr>
        <w:t xml:space="preserve">SUJETO OBLIGADO, </w:t>
      </w:r>
      <w:r w:rsidR="000E30F5" w:rsidRPr="00236777">
        <w:rPr>
          <w:rFonts w:ascii="Palatino Linotype" w:eastAsia="Palatino Linotype" w:hAnsi="Palatino Linotype" w:cs="Palatino Linotype"/>
          <w:color w:val="000000" w:themeColor="text1"/>
        </w:rPr>
        <w:t xml:space="preserve">tiene fuente para </w:t>
      </w:r>
      <w:r w:rsidR="000E30F5" w:rsidRPr="00236777">
        <w:rPr>
          <w:rFonts w:ascii="Palatino Linotype" w:eastAsia="Palatino Linotype" w:hAnsi="Palatino Linotype" w:cs="Palatino Linotype"/>
          <w:color w:val="000000" w:themeColor="text1"/>
        </w:rPr>
        <w:lastRenderedPageBreak/>
        <w:t xml:space="preserve">generarla, poseerla y/o administrarla </w:t>
      </w:r>
      <w:r w:rsidR="00383E54" w:rsidRPr="00236777">
        <w:rPr>
          <w:rFonts w:ascii="Palatino Linotype" w:eastAsia="Palatino Linotype" w:hAnsi="Palatino Linotype" w:cs="Palatino Linotype"/>
          <w:color w:val="000000" w:themeColor="text1"/>
        </w:rPr>
        <w:t>al grado de desagregación solicitado, es decir, informando la escuela y el monto asignado,</w:t>
      </w:r>
      <w:r w:rsidR="000E30F5" w:rsidRPr="00236777">
        <w:rPr>
          <w:rFonts w:ascii="Palatino Linotype" w:eastAsia="Palatino Linotype" w:hAnsi="Palatino Linotype" w:cs="Palatino Linotype"/>
          <w:color w:val="000000" w:themeColor="text1"/>
        </w:rPr>
        <w:t xml:space="preserve"> asimismo</w:t>
      </w:r>
      <w:r w:rsidRPr="00236777">
        <w:rPr>
          <w:rFonts w:ascii="Palatino Linotype" w:eastAsia="Palatino Linotype" w:hAnsi="Palatino Linotype" w:cs="Palatino Linotype"/>
          <w:color w:val="000000" w:themeColor="text1"/>
        </w:rPr>
        <w:t>, resulta importante señalar que, si bien es cierto la ley en comento refiere que son derechos de quienes ejercen la patria potestad o tutela, también es cierto que, dar a conocer el presupuesto que se otorga a las escuelas primarias es fundamental para garantizar la transparencia, la rendición de cuentas y la participación ciudadana en el ámbito educativo. Esta información permite a madres, padres de familia, docentes, autoridades y comunidad en general conocer cómo se distribuyen y utilizan los recursos públicos, promoviendo así una gestión más eficiente y equitativa.</w:t>
      </w:r>
    </w:p>
    <w:p w14:paraId="63998DA5" w14:textId="77777777" w:rsidR="00D02990" w:rsidRPr="00236777" w:rsidRDefault="00D02990" w:rsidP="009C36C0">
      <w:pPr>
        <w:spacing w:line="360" w:lineRule="auto"/>
        <w:jc w:val="both"/>
        <w:rPr>
          <w:rFonts w:ascii="Palatino Linotype" w:eastAsia="Palatino Linotype" w:hAnsi="Palatino Linotype" w:cs="Palatino Linotype"/>
          <w:color w:val="000000" w:themeColor="text1"/>
        </w:rPr>
      </w:pPr>
    </w:p>
    <w:p w14:paraId="14DBEB94" w14:textId="77777777" w:rsidR="00D02990" w:rsidRPr="00236777" w:rsidRDefault="00D02990"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La difusión del presupuesto escolar contribuye a prevenir malos manejos, fomenta la corresponsabilidad social y permite identificar necesidades específicas en infraestructura, materiales didácticos, alimentación, mantenimiento, entre otros rubros prioritarios. Además, fortalece la confianza en las instituciones públicas y permite que la comunidad educativa exija mejoras con base en datos concretos.</w:t>
      </w:r>
    </w:p>
    <w:p w14:paraId="53E9512D" w14:textId="77777777" w:rsidR="00D02990" w:rsidRPr="00236777" w:rsidRDefault="00D02990" w:rsidP="009C36C0">
      <w:pPr>
        <w:spacing w:line="360" w:lineRule="auto"/>
        <w:jc w:val="both"/>
        <w:rPr>
          <w:rFonts w:ascii="Palatino Linotype" w:eastAsia="Palatino Linotype" w:hAnsi="Palatino Linotype" w:cs="Palatino Linotype"/>
          <w:color w:val="000000" w:themeColor="text1"/>
        </w:rPr>
      </w:pPr>
    </w:p>
    <w:p w14:paraId="38DBFEF8" w14:textId="77777777" w:rsidR="00D02990" w:rsidRPr="00236777" w:rsidRDefault="00D02990"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En suma, la transparencia presupuestaria en las escuelas primarias es un componente clave para construir una educación de calidad, con recursos bien administrados y con un enfoque centrado en el bienestar y desarrollo integral de las niñas y los niños, asimismo,</w:t>
      </w:r>
      <w:r w:rsidR="00F970B7" w:rsidRPr="00236777">
        <w:rPr>
          <w:rFonts w:ascii="Palatino Linotype" w:eastAsia="Palatino Linotype" w:hAnsi="Palatino Linotype" w:cs="Palatino Linotype"/>
          <w:color w:val="000000" w:themeColor="text1"/>
        </w:rPr>
        <w:t xml:space="preserve"> se colige que</w:t>
      </w:r>
      <w:r w:rsidRPr="00236777">
        <w:rPr>
          <w:rFonts w:ascii="Palatino Linotype" w:eastAsia="Palatino Linotype" w:hAnsi="Palatino Linotype" w:cs="Palatino Linotype"/>
          <w:color w:val="000000" w:themeColor="text1"/>
        </w:rPr>
        <w:t xml:space="preserve"> </w:t>
      </w:r>
      <w:r w:rsidR="00F970B7" w:rsidRPr="00236777">
        <w:rPr>
          <w:rFonts w:ascii="Palatino Linotype" w:eastAsia="Palatino Linotype" w:hAnsi="Palatino Linotype" w:cs="Palatino Linotype"/>
          <w:color w:val="000000" w:themeColor="text1"/>
        </w:rPr>
        <w:t xml:space="preserve">con la entrega de lo solicitado no se transgrede o vulnera información de índole personal o que cause afectación alguna, ya que la entrega de esta información, no implica la </w:t>
      </w:r>
      <w:r w:rsidR="00847603" w:rsidRPr="00236777">
        <w:rPr>
          <w:rFonts w:ascii="Palatino Linotype" w:eastAsia="Palatino Linotype" w:hAnsi="Palatino Linotype" w:cs="Palatino Linotype"/>
          <w:color w:val="000000" w:themeColor="text1"/>
        </w:rPr>
        <w:t>difusión</w:t>
      </w:r>
      <w:r w:rsidR="00F970B7" w:rsidRPr="00236777">
        <w:rPr>
          <w:rFonts w:ascii="Palatino Linotype" w:eastAsia="Palatino Linotype" w:hAnsi="Palatino Linotype" w:cs="Palatino Linotype"/>
          <w:color w:val="000000" w:themeColor="text1"/>
        </w:rPr>
        <w:t xml:space="preserve"> de datos personales, pues –se </w:t>
      </w:r>
      <w:r w:rsidR="00847603" w:rsidRPr="00236777">
        <w:rPr>
          <w:rFonts w:ascii="Palatino Linotype" w:eastAsia="Palatino Linotype" w:hAnsi="Palatino Linotype" w:cs="Palatino Linotype"/>
          <w:color w:val="000000" w:themeColor="text1"/>
        </w:rPr>
        <w:t>insiste- se trata de informació</w:t>
      </w:r>
      <w:r w:rsidR="00F970B7" w:rsidRPr="00236777">
        <w:rPr>
          <w:rFonts w:ascii="Palatino Linotype" w:eastAsia="Palatino Linotype" w:hAnsi="Palatino Linotype" w:cs="Palatino Linotype"/>
          <w:color w:val="000000" w:themeColor="text1"/>
        </w:rPr>
        <w:t xml:space="preserve">n que se refiere al manejo y </w:t>
      </w:r>
      <w:r w:rsidR="00847603" w:rsidRPr="00236777">
        <w:rPr>
          <w:rFonts w:ascii="Palatino Linotype" w:eastAsia="Palatino Linotype" w:hAnsi="Palatino Linotype" w:cs="Palatino Linotype"/>
          <w:color w:val="000000" w:themeColor="text1"/>
        </w:rPr>
        <w:t>destino</w:t>
      </w:r>
      <w:r w:rsidR="00F970B7" w:rsidRPr="00236777">
        <w:rPr>
          <w:rFonts w:ascii="Palatino Linotype" w:eastAsia="Palatino Linotype" w:hAnsi="Palatino Linotype" w:cs="Palatino Linotype"/>
          <w:color w:val="000000" w:themeColor="text1"/>
        </w:rPr>
        <w:t xml:space="preserve"> de recursos públicos, que provienen de fondos gubernamentales destinado en el caso concreto al sector educación.</w:t>
      </w:r>
    </w:p>
    <w:p w14:paraId="7864BAA2" w14:textId="77777777" w:rsidR="00F970B7" w:rsidRPr="00236777" w:rsidRDefault="00F970B7"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lastRenderedPageBreak/>
        <w:t xml:space="preserve">En consecuencia de lo anterior, resulta dable ordenar la entrega del presupuesto asignado por parte del Gobierno Estatal al Plantel Educativo de la Escuela PRIMARIA "EJERCITO DEL TRABAJO", ubicada en la Calle Morelos, número 101, Colonia Centro, del Municipio de Rayón, Estado de México. C.P. 52360, con clave de centro de trabajo 15EPR4772L, de los ejercicios fiscales 2020, 2021, 2022, 2023 y 2024, </w:t>
      </w:r>
      <w:r w:rsidR="004178CA" w:rsidRPr="00236777">
        <w:rPr>
          <w:rFonts w:ascii="Palatino Linotype" w:eastAsia="Palatino Linotype" w:hAnsi="Palatino Linotype" w:cs="Palatino Linotype"/>
          <w:color w:val="000000" w:themeColor="text1"/>
        </w:rPr>
        <w:t xml:space="preserve">y de los ejercicios fiscales 2018 y 2019 con salvedad, </w:t>
      </w:r>
      <w:r w:rsidRPr="00236777">
        <w:rPr>
          <w:rFonts w:ascii="Palatino Linotype" w:eastAsia="Palatino Linotype" w:hAnsi="Palatino Linotype" w:cs="Palatino Linotype"/>
          <w:color w:val="000000" w:themeColor="text1"/>
        </w:rPr>
        <w:t>lo anterior, en virtud de que dicha información abona en la rendición de cuentas y acceso a la información pública.</w:t>
      </w:r>
    </w:p>
    <w:p w14:paraId="4B58D4DC" w14:textId="77777777" w:rsidR="00D02990" w:rsidRPr="00236777" w:rsidRDefault="00D02990" w:rsidP="009C36C0">
      <w:pPr>
        <w:spacing w:line="360" w:lineRule="auto"/>
        <w:jc w:val="both"/>
        <w:rPr>
          <w:rFonts w:ascii="Palatino Linotype" w:eastAsia="Palatino Linotype" w:hAnsi="Palatino Linotype" w:cs="Palatino Linotype"/>
          <w:color w:val="000000" w:themeColor="text1"/>
        </w:rPr>
      </w:pPr>
    </w:p>
    <w:p w14:paraId="29EAC714" w14:textId="77777777" w:rsidR="00F970B7" w:rsidRPr="00236777" w:rsidRDefault="00F970B7" w:rsidP="009C36C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color w:val="000000" w:themeColor="text1"/>
        </w:rPr>
        <w:t xml:space="preserve">En ese sentido, respecto lo manifestado en motivos de inconformidad por el </w:t>
      </w:r>
      <w:r w:rsidRPr="00236777">
        <w:rPr>
          <w:rFonts w:ascii="Palatino Linotype" w:eastAsia="Palatino Linotype" w:hAnsi="Palatino Linotype" w:cs="Palatino Linotype"/>
          <w:b/>
          <w:color w:val="000000" w:themeColor="text1"/>
        </w:rPr>
        <w:t xml:space="preserve">RECURRENTE, </w:t>
      </w:r>
      <w:r w:rsidRPr="00236777">
        <w:rPr>
          <w:rFonts w:ascii="Palatino Linotype" w:eastAsia="Palatino Linotype" w:hAnsi="Palatino Linotype" w:cs="Palatino Linotype"/>
          <w:color w:val="000000" w:themeColor="text1"/>
        </w:rPr>
        <w:t xml:space="preserve">se advierte que, hace alusión a “ ASÍ </w:t>
      </w:r>
      <w:r w:rsidRPr="00236777">
        <w:rPr>
          <w:rFonts w:ascii="Palatino Linotype" w:eastAsia="Palatino Linotype" w:hAnsi="Palatino Linotype" w:cs="Palatino Linotype"/>
          <w:i/>
          <w:color w:val="000000" w:themeColor="text1"/>
        </w:rPr>
        <w:t xml:space="preserve">COMO TAMBIÉN LO ESTIPULA EL ARTICULO 123 PÁRRAFO TERCERO DE LA LEY DE EDUCACIÓN DEL ESTADO DE MÉXICO, QUE DICHOS RECURSOS FEDERALES SERÁN PUBLICADOS EN GACETA DE GOBIERNO EN FORMA DESAGREGADA POR NIVEL, PROGRAMA EDUCATIVO Y ESTABLECIMIENTO ESCOLAR. POR LO QUE DICHA INFORMACIÓN SOLICITADA A LA AUTORIDAD OBLIGADA, SI CUENTA CON DICHA INFORMACIÓN.”, </w:t>
      </w:r>
      <w:r w:rsidRPr="00236777">
        <w:rPr>
          <w:rFonts w:ascii="Palatino Linotype" w:eastAsia="Palatino Linotype" w:hAnsi="Palatino Linotype" w:cs="Palatino Linotype"/>
          <w:color w:val="000000" w:themeColor="text1"/>
        </w:rPr>
        <w:t xml:space="preserve">situación que devine inatendible en atención a que se trata de información que no se requirió en la solicitud de información primigenia. </w:t>
      </w:r>
    </w:p>
    <w:p w14:paraId="2EE404DC" w14:textId="77777777" w:rsidR="00F970B7" w:rsidRPr="00236777" w:rsidRDefault="00F970B7" w:rsidP="009C36C0">
      <w:pPr>
        <w:spacing w:line="360" w:lineRule="auto"/>
        <w:jc w:val="both"/>
        <w:rPr>
          <w:rFonts w:ascii="Palatino Linotype" w:eastAsia="Palatino Linotype" w:hAnsi="Palatino Linotype" w:cs="Palatino Linotype"/>
          <w:color w:val="000000" w:themeColor="text1"/>
        </w:rPr>
      </w:pPr>
    </w:p>
    <w:p w14:paraId="7C9B4768" w14:textId="759ED4F2" w:rsidR="00F970B7" w:rsidRPr="00236777" w:rsidRDefault="00F970B7" w:rsidP="009C36C0">
      <w:pPr>
        <w:numPr>
          <w:ilvl w:val="0"/>
          <w:numId w:val="1"/>
        </w:numPr>
        <w:spacing w:line="360" w:lineRule="auto"/>
        <w:ind w:left="0" w:firstLine="0"/>
        <w:jc w:val="both"/>
        <w:rPr>
          <w:rFonts w:ascii="Palatino Linotype" w:hAnsi="Palatino Linotype"/>
          <w:color w:val="000000" w:themeColor="text1"/>
        </w:rPr>
      </w:pPr>
      <w:r w:rsidRPr="00236777">
        <w:rPr>
          <w:rFonts w:ascii="Palatino Linotype" w:eastAsia="Calibri" w:hAnsi="Palatino Linotype" w:cs="Arial"/>
          <w:color w:val="000000" w:themeColor="text1"/>
          <w:lang w:val="es-ES"/>
        </w:rPr>
        <w:t xml:space="preserve">De </w:t>
      </w:r>
      <w:r w:rsidRPr="00236777">
        <w:rPr>
          <w:rFonts w:ascii="Palatino Linotype" w:eastAsia="Palatino Linotype" w:hAnsi="Palatino Linotype" w:cs="Palatino Linotype"/>
          <w:color w:val="000000" w:themeColor="text1"/>
        </w:rPr>
        <w:t>lo</w:t>
      </w:r>
      <w:r w:rsidRPr="00236777">
        <w:rPr>
          <w:rFonts w:ascii="Palatino Linotype" w:eastAsia="Calibri" w:hAnsi="Palatino Linotype" w:cs="Arial"/>
          <w:color w:val="000000" w:themeColor="text1"/>
          <w:lang w:val="es-ES"/>
        </w:rPr>
        <w:t xml:space="preserve"> anterior se colige que </w:t>
      </w:r>
      <w:r w:rsidR="006A7DEF" w:rsidRPr="00236777">
        <w:rPr>
          <w:rFonts w:ascii="Palatino Linotype" w:eastAsia="Calibri" w:hAnsi="Palatino Linotype" w:cs="Arial"/>
          <w:color w:val="000000" w:themeColor="text1"/>
          <w:lang w:val="es-ES"/>
        </w:rPr>
        <w:t xml:space="preserve">el </w:t>
      </w:r>
      <w:r w:rsidRPr="00236777">
        <w:rPr>
          <w:rFonts w:ascii="Palatino Linotype" w:eastAsia="Calibri" w:hAnsi="Palatino Linotype" w:cs="Arial"/>
          <w:b/>
          <w:color w:val="000000" w:themeColor="text1"/>
          <w:lang w:val="es-ES"/>
        </w:rPr>
        <w:t>RECURRENTE</w:t>
      </w:r>
      <w:r w:rsidRPr="00236777">
        <w:rPr>
          <w:rFonts w:ascii="Palatino Linotype" w:eastAsia="Calibri" w:hAnsi="Palatino Linotype" w:cs="Arial"/>
          <w:color w:val="000000" w:themeColor="text1"/>
          <w:lang w:val="es-ES"/>
        </w:rPr>
        <w:t xml:space="preserve"> hizo uso del recurso de revisión que nos ocupa para </w:t>
      </w:r>
      <w:r w:rsidRPr="00236777">
        <w:rPr>
          <w:rFonts w:ascii="Palatino Linotype" w:eastAsia="Calibri" w:hAnsi="Palatino Linotype" w:cs="Arial"/>
          <w:b/>
          <w:color w:val="000000" w:themeColor="text1"/>
          <w:lang w:val="es-ES"/>
        </w:rPr>
        <w:t>ampliar</w:t>
      </w:r>
      <w:r w:rsidRPr="00236777">
        <w:rPr>
          <w:rFonts w:ascii="Palatino Linotype" w:eastAsia="Calibri" w:hAnsi="Palatino Linotype" w:cs="Arial"/>
          <w:color w:val="000000" w:themeColor="text1"/>
          <w:lang w:val="es-ES"/>
        </w:rPr>
        <w:t xml:space="preserve"> su solicitud de información inicial, situación </w:t>
      </w:r>
      <w:r w:rsidRPr="00236777">
        <w:rPr>
          <w:rFonts w:ascii="Palatino Linotype" w:hAnsi="Palatino Linotype"/>
          <w:color w:val="000000" w:themeColor="text1"/>
        </w:rPr>
        <w:t xml:space="preserve"> que </w:t>
      </w:r>
      <w:r w:rsidRPr="00236777">
        <w:rPr>
          <w:rFonts w:ascii="Palatino Linotype" w:eastAsia="Calibri" w:hAnsi="Palatino Linotype" w:cs="Arial"/>
          <w:color w:val="000000" w:themeColor="text1"/>
          <w:lang w:val="es-ES"/>
        </w:rPr>
        <w:t xml:space="preserve">se </w:t>
      </w:r>
      <w:r w:rsidRPr="00236777">
        <w:rPr>
          <w:rFonts w:ascii="Palatino Linotype" w:eastAsia="MS Mincho" w:hAnsi="Palatino Linotype" w:cstheme="majorBidi"/>
          <w:color w:val="000000" w:themeColor="text1"/>
        </w:rPr>
        <w:t>se</w:t>
      </w:r>
      <w:r w:rsidR="00847603" w:rsidRPr="00236777">
        <w:rPr>
          <w:rFonts w:ascii="Palatino Linotype" w:eastAsia="MS Mincho" w:hAnsi="Palatino Linotype" w:cstheme="majorBidi"/>
          <w:color w:val="000000" w:themeColor="text1"/>
        </w:rPr>
        <w:t xml:space="preserve"> traduce como</w:t>
      </w:r>
      <w:r w:rsidRPr="00236777">
        <w:rPr>
          <w:rFonts w:ascii="Palatino Linotype" w:eastAsia="MS Mincho" w:hAnsi="Palatino Linotype" w:cstheme="majorBidi"/>
          <w:color w:val="000000" w:themeColor="text1"/>
        </w:rPr>
        <w:t xml:space="preserve"> </w:t>
      </w:r>
      <w:r w:rsidRPr="00236777">
        <w:rPr>
          <w:rFonts w:ascii="Palatino Linotype" w:eastAsia="MS Mincho" w:hAnsi="Palatino Linotype" w:cstheme="majorBidi"/>
          <w:b/>
          <w:bCs/>
          <w:i/>
          <w:iCs/>
          <w:color w:val="000000" w:themeColor="text1"/>
        </w:rPr>
        <w:t>plus petitio</w:t>
      </w:r>
      <w:r w:rsidRPr="00236777">
        <w:rPr>
          <w:rFonts w:ascii="Palatino Linotype" w:eastAsia="MS Mincho" w:hAnsi="Palatino Linotype" w:cstheme="majorBidi"/>
          <w:color w:val="000000" w:themeColor="text1"/>
        </w:rPr>
        <w:t>, al ser información novedosa a la originalmente requerida en la solicitud de información</w:t>
      </w:r>
      <w:r w:rsidRPr="00236777">
        <w:rPr>
          <w:rFonts w:ascii="Palatino Linotype" w:hAnsi="Palatino Linotype" w:cs="Arial"/>
          <w:b/>
          <w:bCs/>
          <w:color w:val="000000" w:themeColor="text1"/>
        </w:rPr>
        <w:t xml:space="preserve"> </w:t>
      </w:r>
      <w:r w:rsidRPr="00236777">
        <w:rPr>
          <w:rFonts w:ascii="Palatino Linotype" w:eastAsia="MS Mincho" w:hAnsi="Palatino Linotype" w:cstheme="majorBidi"/>
          <w:b/>
          <w:bCs/>
          <w:color w:val="000000" w:themeColor="text1"/>
        </w:rPr>
        <w:t>00147/SECTI/IP/2025.</w:t>
      </w:r>
    </w:p>
    <w:p w14:paraId="6C0F58AA" w14:textId="77777777" w:rsidR="00F970B7" w:rsidRPr="00236777" w:rsidRDefault="00F970B7" w:rsidP="009C36C0">
      <w:pPr>
        <w:spacing w:line="360" w:lineRule="auto"/>
        <w:contextualSpacing/>
        <w:jc w:val="both"/>
        <w:rPr>
          <w:rFonts w:ascii="Palatino Linotype" w:hAnsi="Palatino Linotype"/>
          <w:color w:val="000000" w:themeColor="text1"/>
        </w:rPr>
      </w:pPr>
    </w:p>
    <w:p w14:paraId="23C96393" w14:textId="77777777" w:rsidR="00F970B7" w:rsidRPr="00236777" w:rsidRDefault="00F970B7" w:rsidP="009C36C0">
      <w:pPr>
        <w:numPr>
          <w:ilvl w:val="0"/>
          <w:numId w:val="1"/>
        </w:numPr>
        <w:spacing w:line="360" w:lineRule="auto"/>
        <w:ind w:left="0" w:firstLine="0"/>
        <w:jc w:val="both"/>
        <w:rPr>
          <w:rFonts w:ascii="Palatino Linotype" w:hAnsi="Palatino Linotype"/>
          <w:color w:val="000000" w:themeColor="text1"/>
        </w:rPr>
      </w:pPr>
      <w:r w:rsidRPr="00236777">
        <w:rPr>
          <w:rFonts w:ascii="Palatino Linotype" w:hAnsi="Palatino Linotype"/>
          <w:color w:val="000000" w:themeColor="text1"/>
        </w:rPr>
        <w:lastRenderedPageBreak/>
        <w:t xml:space="preserve">Conforme a lo anterior, debemos aclarar que </w:t>
      </w:r>
      <w:r w:rsidRPr="00236777">
        <w:rPr>
          <w:rFonts w:ascii="Palatino Linotype" w:hAnsi="Palatino Linotype" w:cs="Arial"/>
          <w:color w:val="000000" w:themeColor="text1"/>
        </w:rPr>
        <w:t xml:space="preserve">el sistema de medios de impugnación </w:t>
      </w:r>
      <w:r w:rsidRPr="00236777">
        <w:rPr>
          <w:rFonts w:ascii="Palatino Linotype" w:eastAsia="Palatino Linotype" w:hAnsi="Palatino Linotype" w:cs="Palatino Linotype"/>
          <w:color w:val="000000" w:themeColor="text1"/>
        </w:rPr>
        <w:t>se</w:t>
      </w:r>
      <w:r w:rsidRPr="00236777">
        <w:rPr>
          <w:rFonts w:ascii="Palatino Linotype" w:hAnsi="Palatino Linotype" w:cs="Arial"/>
          <w:color w:val="000000" w:themeColor="text1"/>
        </w:rPr>
        <w:t xml:space="preserv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236777">
        <w:rPr>
          <w:rFonts w:ascii="Palatino Linotype" w:hAnsi="Palatino Linotype" w:cs="Arial"/>
          <w:b/>
          <w:bCs/>
          <w:color w:val="000000" w:themeColor="text1"/>
        </w:rPr>
        <w:t>SUJETO OBLIGADO</w:t>
      </w:r>
      <w:r w:rsidRPr="00236777">
        <w:rPr>
          <w:rFonts w:ascii="Palatino Linotype" w:hAnsi="Palatino Linotype" w:cs="Arial"/>
          <w:color w:val="000000" w:themeColor="text1"/>
        </w:rPr>
        <w:t xml:space="preserve"> no tuvo la oportunidad de conocer y, por consiguiente, producir un posicionamiento.</w:t>
      </w:r>
    </w:p>
    <w:p w14:paraId="7FFDD4F1" w14:textId="77777777" w:rsidR="00F970B7" w:rsidRPr="00236777" w:rsidRDefault="00F970B7" w:rsidP="009C36C0">
      <w:pPr>
        <w:rPr>
          <w:rFonts w:ascii="Palatino Linotype" w:hAnsi="Palatino Linotype"/>
          <w:color w:val="000000" w:themeColor="text1"/>
        </w:rPr>
      </w:pPr>
    </w:p>
    <w:p w14:paraId="47DF19E3" w14:textId="77777777" w:rsidR="00F970B7" w:rsidRPr="00236777" w:rsidRDefault="00F970B7" w:rsidP="009C36C0">
      <w:pPr>
        <w:numPr>
          <w:ilvl w:val="0"/>
          <w:numId w:val="1"/>
        </w:numPr>
        <w:spacing w:line="360" w:lineRule="auto"/>
        <w:ind w:left="0" w:firstLine="0"/>
        <w:jc w:val="both"/>
        <w:rPr>
          <w:rFonts w:ascii="Palatino Linotype" w:hAnsi="Palatino Linotype"/>
          <w:color w:val="000000" w:themeColor="text1"/>
        </w:rPr>
      </w:pPr>
      <w:r w:rsidRPr="00236777">
        <w:rPr>
          <w:rFonts w:ascii="Palatino Linotype" w:hAnsi="Palatino Linotype"/>
          <w:color w:val="000000" w:themeColor="text1"/>
        </w:rPr>
        <w:t xml:space="preserve">Es </w:t>
      </w:r>
      <w:r w:rsidRPr="00236777">
        <w:rPr>
          <w:rFonts w:ascii="Palatino Linotype" w:hAnsi="Palatino Linotype" w:cs="Arial"/>
          <w:color w:val="000000" w:themeColor="text1"/>
        </w:rPr>
        <w:t xml:space="preserve">por ello que la Ley de la materia contempla que en los casos en que a través del recurso de revisión se pretenda ampliar los requerimientos de información, la inconformidad </w:t>
      </w:r>
      <w:r w:rsidRPr="00236777">
        <w:rPr>
          <w:rFonts w:ascii="Palatino Linotype" w:eastAsia="Palatino Linotype" w:hAnsi="Palatino Linotype" w:cs="Palatino Linotype"/>
          <w:color w:val="000000" w:themeColor="text1"/>
        </w:rPr>
        <w:t>relativa</w:t>
      </w:r>
      <w:r w:rsidRPr="00236777">
        <w:rPr>
          <w:rFonts w:ascii="Palatino Linotype" w:hAnsi="Palatino Linotype" w:cs="Arial"/>
          <w:color w:val="000000" w:themeColor="text1"/>
        </w:rPr>
        <w:t xml:space="preserve"> a estas situaciones novedosas no debe ser tomada en cuenta como parte de la </w:t>
      </w:r>
      <w:r w:rsidRPr="00236777">
        <w:rPr>
          <w:rFonts w:ascii="Palatino Linotype" w:hAnsi="Palatino Linotype" w:cs="Arial"/>
          <w:i/>
          <w:iCs/>
          <w:color w:val="000000" w:themeColor="text1"/>
        </w:rPr>
        <w:t>Litis</w:t>
      </w:r>
      <w:r w:rsidRPr="00236777">
        <w:rPr>
          <w:rFonts w:ascii="Palatino Linotype" w:hAnsi="Palatino Linotype" w:cs="Arial"/>
          <w:color w:val="000000" w:themeColor="text1"/>
        </w:rPr>
        <w:t xml:space="preserve"> y debe ser desechada, tal y como lo establece el artículo 191, fracción VII, mismo que se transcribe a continuación:</w:t>
      </w:r>
    </w:p>
    <w:p w14:paraId="3914DBA2" w14:textId="77777777" w:rsidR="00F970B7" w:rsidRPr="00236777" w:rsidRDefault="00F970B7" w:rsidP="009C36C0">
      <w:pPr>
        <w:contextualSpacing/>
        <w:jc w:val="both"/>
        <w:rPr>
          <w:rFonts w:ascii="Palatino Linotype" w:hAnsi="Palatino Linotype" w:cs="Arial"/>
          <w:i/>
          <w:color w:val="000000" w:themeColor="text1"/>
        </w:rPr>
      </w:pPr>
      <w:r w:rsidRPr="00236777">
        <w:rPr>
          <w:rFonts w:ascii="Palatino Linotype" w:hAnsi="Palatino Linotype" w:cs="Arial"/>
          <w:b/>
          <w:bCs/>
          <w:i/>
          <w:color w:val="000000" w:themeColor="text1"/>
        </w:rPr>
        <w:t>“Artículo 191.</w:t>
      </w:r>
      <w:r w:rsidRPr="00236777">
        <w:rPr>
          <w:rFonts w:ascii="Palatino Linotype" w:hAnsi="Palatino Linotype" w:cs="Arial"/>
          <w:i/>
          <w:color w:val="000000" w:themeColor="text1"/>
        </w:rPr>
        <w:t xml:space="preserve"> El recurso será desechado por improcedente cuando:</w:t>
      </w:r>
    </w:p>
    <w:p w14:paraId="703A9ADC" w14:textId="77777777" w:rsidR="00F970B7" w:rsidRPr="00236777" w:rsidRDefault="00F970B7" w:rsidP="009C36C0">
      <w:pPr>
        <w:contextualSpacing/>
        <w:jc w:val="both"/>
        <w:rPr>
          <w:rFonts w:ascii="Palatino Linotype" w:hAnsi="Palatino Linotype" w:cs="Arial"/>
          <w:i/>
          <w:color w:val="000000" w:themeColor="text1"/>
        </w:rPr>
      </w:pPr>
      <w:r w:rsidRPr="00236777">
        <w:rPr>
          <w:rFonts w:ascii="Palatino Linotype" w:hAnsi="Palatino Linotype" w:cs="Arial"/>
          <w:i/>
          <w:color w:val="000000" w:themeColor="text1"/>
        </w:rPr>
        <w:t>…</w:t>
      </w:r>
    </w:p>
    <w:p w14:paraId="1353CEEE" w14:textId="77777777" w:rsidR="00F970B7" w:rsidRPr="00236777" w:rsidRDefault="00F970B7" w:rsidP="009C36C0">
      <w:pPr>
        <w:contextualSpacing/>
        <w:jc w:val="both"/>
        <w:rPr>
          <w:rFonts w:ascii="Palatino Linotype" w:hAnsi="Palatino Linotype" w:cs="Arial"/>
          <w:i/>
          <w:color w:val="000000" w:themeColor="text1"/>
        </w:rPr>
      </w:pPr>
      <w:r w:rsidRPr="00236777">
        <w:rPr>
          <w:rFonts w:ascii="Palatino Linotype" w:hAnsi="Palatino Linotype" w:cs="Arial"/>
          <w:b/>
          <w:bCs/>
          <w:i/>
          <w:color w:val="000000" w:themeColor="text1"/>
        </w:rPr>
        <w:t>VII.</w:t>
      </w:r>
      <w:r w:rsidRPr="00236777">
        <w:rPr>
          <w:rFonts w:ascii="Palatino Linotype" w:hAnsi="Palatino Linotype" w:cs="Arial"/>
          <w:i/>
          <w:color w:val="000000" w:themeColor="text1"/>
        </w:rPr>
        <w:t xml:space="preserve"> El recurrente amplíe su solicitud en el recurso de revisión, únicamente respecto de los nuevos contenidos”</w:t>
      </w:r>
    </w:p>
    <w:p w14:paraId="11362E3F" w14:textId="77777777" w:rsidR="00F970B7" w:rsidRPr="00236777" w:rsidRDefault="00F970B7" w:rsidP="009C36C0">
      <w:pPr>
        <w:contextualSpacing/>
        <w:jc w:val="both"/>
        <w:rPr>
          <w:rFonts w:ascii="Palatino Linotype" w:hAnsi="Palatino Linotype" w:cs="Arial"/>
          <w:iCs/>
          <w:color w:val="000000" w:themeColor="text1"/>
        </w:rPr>
      </w:pPr>
      <w:r w:rsidRPr="00236777">
        <w:rPr>
          <w:rFonts w:ascii="Palatino Linotype" w:hAnsi="Palatino Linotype" w:cs="Arial"/>
          <w:iCs/>
          <w:color w:val="000000" w:themeColor="text1"/>
        </w:rPr>
        <w:t>(Énfasis Añadido)</w:t>
      </w:r>
    </w:p>
    <w:p w14:paraId="6698D9B0" w14:textId="77777777" w:rsidR="00F970B7" w:rsidRPr="00236777" w:rsidRDefault="00F970B7" w:rsidP="009C36C0">
      <w:pPr>
        <w:spacing w:line="360" w:lineRule="auto"/>
        <w:contextualSpacing/>
        <w:jc w:val="both"/>
        <w:rPr>
          <w:rFonts w:ascii="Palatino Linotype" w:hAnsi="Palatino Linotype"/>
          <w:color w:val="000000" w:themeColor="text1"/>
        </w:rPr>
      </w:pPr>
    </w:p>
    <w:p w14:paraId="10E414A0" w14:textId="77777777" w:rsidR="00F970B7" w:rsidRPr="00236777" w:rsidRDefault="00F970B7" w:rsidP="009C36C0">
      <w:pPr>
        <w:numPr>
          <w:ilvl w:val="0"/>
          <w:numId w:val="1"/>
        </w:numPr>
        <w:spacing w:line="360" w:lineRule="auto"/>
        <w:ind w:left="0" w:firstLine="0"/>
        <w:jc w:val="both"/>
        <w:rPr>
          <w:rFonts w:ascii="Palatino Linotype" w:hAnsi="Palatino Linotype"/>
          <w:color w:val="000000" w:themeColor="text1"/>
        </w:rPr>
      </w:pPr>
      <w:r w:rsidRPr="00236777">
        <w:rPr>
          <w:rFonts w:ascii="Palatino Linotype" w:hAnsi="Palatino Linotype"/>
          <w:color w:val="000000" w:themeColor="text1"/>
        </w:rPr>
        <w:t xml:space="preserve">Por </w:t>
      </w:r>
      <w:r w:rsidRPr="00236777">
        <w:rPr>
          <w:rFonts w:ascii="Palatino Linotype" w:hAnsi="Palatino Linotype" w:cs="Arial"/>
          <w:color w:val="000000" w:themeColor="text1"/>
        </w:rPr>
        <w:t xml:space="preserve">lo anterior, resulta improcedente el referido motivo de inconformidad, ya que se </w:t>
      </w:r>
      <w:r w:rsidRPr="00236777">
        <w:rPr>
          <w:rFonts w:ascii="Palatino Linotype" w:eastAsia="Palatino Linotype" w:hAnsi="Palatino Linotype" w:cs="Palatino Linotype"/>
          <w:color w:val="000000" w:themeColor="text1"/>
        </w:rPr>
        <w:t>aprecia</w:t>
      </w:r>
      <w:r w:rsidRPr="00236777">
        <w:rPr>
          <w:rFonts w:ascii="Palatino Linotype" w:hAnsi="Palatino Linotype" w:cs="Arial"/>
          <w:color w:val="000000" w:themeColor="text1"/>
        </w:rPr>
        <w:t xml:space="preserve"> que el </w:t>
      </w:r>
      <w:r w:rsidRPr="00236777">
        <w:rPr>
          <w:rFonts w:ascii="Palatino Linotype" w:hAnsi="Palatino Linotype" w:cs="Arial"/>
          <w:b/>
          <w:bCs/>
          <w:color w:val="000000" w:themeColor="text1"/>
        </w:rPr>
        <w:t>RECURRENTE</w:t>
      </w:r>
      <w:r w:rsidRPr="00236777">
        <w:rPr>
          <w:rFonts w:ascii="Palatino Linotype" w:hAnsi="Palatino Linotype" w:cs="Arial"/>
          <w:color w:val="000000" w:themeColor="text1"/>
        </w:rPr>
        <w:t xml:space="preserve"> se excedió dentro de su inconformidad respecto a lo requerido originalmente en la solicitud de información, siendo el caso que pretende ampliar lo solicitado de origen, lo que hace que se surta lo que en la teoría jurídica se le denomina </w:t>
      </w:r>
      <w:r w:rsidRPr="00236777">
        <w:rPr>
          <w:rFonts w:ascii="Palatino Linotype" w:hAnsi="Palatino Linotype" w:cs="Arial"/>
          <w:b/>
          <w:bCs/>
          <w:i/>
          <w:iCs/>
          <w:color w:val="000000" w:themeColor="text1"/>
        </w:rPr>
        <w:t>Plus Petitio.</w:t>
      </w:r>
    </w:p>
    <w:p w14:paraId="7ABA5597" w14:textId="77777777" w:rsidR="00F970B7" w:rsidRPr="00236777" w:rsidRDefault="00F970B7" w:rsidP="009C36C0">
      <w:pPr>
        <w:numPr>
          <w:ilvl w:val="0"/>
          <w:numId w:val="1"/>
        </w:numPr>
        <w:spacing w:line="360" w:lineRule="auto"/>
        <w:ind w:left="0" w:firstLine="0"/>
        <w:jc w:val="both"/>
        <w:rPr>
          <w:rFonts w:ascii="Palatino Linotype" w:hAnsi="Palatino Linotype"/>
          <w:color w:val="000000" w:themeColor="text1"/>
        </w:rPr>
      </w:pPr>
      <w:r w:rsidRPr="00236777">
        <w:rPr>
          <w:rFonts w:ascii="Palatino Linotype" w:hAnsi="Palatino Linotype"/>
          <w:color w:val="000000" w:themeColor="text1"/>
        </w:rPr>
        <w:lastRenderedPageBreak/>
        <w:t>Sustenta lo anterior</w:t>
      </w:r>
      <w:r w:rsidRPr="00236777">
        <w:rPr>
          <w:rFonts w:ascii="Palatino Linotype" w:hAnsi="Palatino Linotype" w:cs="Arial"/>
          <w:color w:val="000000" w:themeColor="text1"/>
        </w:rPr>
        <w:t xml:space="preserve"> el Criterio de Interpretación 01/17 emitido por el Instituto Nacional de Transparencia, Acceso a la Información y Protección de Datos Personales que </w:t>
      </w:r>
      <w:r w:rsidRPr="00236777">
        <w:rPr>
          <w:rFonts w:ascii="Palatino Linotype" w:eastAsia="Palatino Linotype" w:hAnsi="Palatino Linotype" w:cs="Palatino Linotype"/>
          <w:color w:val="000000" w:themeColor="text1"/>
        </w:rPr>
        <w:t>establece</w:t>
      </w:r>
      <w:r w:rsidRPr="00236777">
        <w:rPr>
          <w:rFonts w:ascii="Palatino Linotype" w:hAnsi="Palatino Linotype" w:cs="Arial"/>
          <w:color w:val="000000" w:themeColor="text1"/>
        </w:rPr>
        <w:t xml:space="preserve"> lo siguiente:</w:t>
      </w:r>
    </w:p>
    <w:p w14:paraId="15D80F19" w14:textId="77777777" w:rsidR="00F970B7" w:rsidRPr="00236777" w:rsidRDefault="00F970B7" w:rsidP="009C36C0">
      <w:pPr>
        <w:contextualSpacing/>
        <w:jc w:val="both"/>
        <w:rPr>
          <w:rFonts w:ascii="Palatino Linotype" w:hAnsi="Palatino Linotype" w:cs="Arial"/>
          <w:i/>
          <w:color w:val="000000" w:themeColor="text1"/>
        </w:rPr>
      </w:pPr>
      <w:r w:rsidRPr="00236777">
        <w:rPr>
          <w:rFonts w:ascii="Palatino Linotype" w:hAnsi="Palatino Linotype" w:cs="Arial"/>
          <w:b/>
          <w:i/>
          <w:color w:val="000000" w:themeColor="text1"/>
        </w:rPr>
        <w:t>ES IMPROCEDENTE AMPLIAR LAS SOLICITUDES DE ACCESO A INFORMACIÓN, A TRAVÉS DE LA INTERPOSICIÓN DEL RECURSO DE REVISIÓN.</w:t>
      </w:r>
      <w:r w:rsidRPr="00236777">
        <w:rPr>
          <w:rFonts w:ascii="Palatino Linotype" w:hAnsi="Palatino Linotype" w:cs="Arial"/>
          <w:i/>
          <w:color w:val="000000" w:themeColor="text1"/>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CC7E9AE" w14:textId="77777777" w:rsidR="00F970B7" w:rsidRPr="00236777" w:rsidRDefault="00F970B7" w:rsidP="009C36C0">
      <w:pPr>
        <w:spacing w:line="360" w:lineRule="auto"/>
        <w:contextualSpacing/>
        <w:jc w:val="both"/>
        <w:rPr>
          <w:rFonts w:ascii="Palatino Linotype" w:hAnsi="Palatino Linotype"/>
          <w:color w:val="000000" w:themeColor="text1"/>
        </w:rPr>
      </w:pPr>
    </w:p>
    <w:p w14:paraId="3C5C8982" w14:textId="77777777" w:rsidR="00F970B7" w:rsidRPr="00236777" w:rsidRDefault="00F970B7" w:rsidP="009C36C0">
      <w:pPr>
        <w:numPr>
          <w:ilvl w:val="0"/>
          <w:numId w:val="1"/>
        </w:numPr>
        <w:spacing w:line="360" w:lineRule="auto"/>
        <w:ind w:left="0" w:firstLine="0"/>
        <w:jc w:val="both"/>
        <w:rPr>
          <w:rFonts w:ascii="Palatino Linotype" w:hAnsi="Palatino Linotype"/>
          <w:color w:val="000000" w:themeColor="text1"/>
        </w:rPr>
      </w:pPr>
      <w:r w:rsidRPr="00236777">
        <w:rPr>
          <w:rFonts w:ascii="Palatino Linotype" w:hAnsi="Palatino Linotype"/>
          <w:color w:val="000000" w:themeColor="text1"/>
        </w:rPr>
        <w:t xml:space="preserve">Asimismo, </w:t>
      </w:r>
      <w:r w:rsidRPr="00236777">
        <w:rPr>
          <w:rFonts w:ascii="Palatino Linotype" w:hAnsi="Palatino Linotype" w:cs="Arial"/>
          <w:color w:val="000000" w:themeColor="text1"/>
        </w:rPr>
        <w:t>sirve de apoyo, por analogía, la Jurisprudencia No. 29 visible a foja 19 del Apéndice al Semanario Judicial de la Federación 1917-1995, Torno VI, Materia Común, Primera Parte, Tesis de la Suprema Corte de Justicia, que contiene:</w:t>
      </w:r>
    </w:p>
    <w:p w14:paraId="2FAEAA8C" w14:textId="77777777" w:rsidR="00F970B7" w:rsidRPr="00236777" w:rsidRDefault="00F970B7" w:rsidP="009C36C0">
      <w:pPr>
        <w:contextualSpacing/>
        <w:jc w:val="both"/>
        <w:rPr>
          <w:rFonts w:ascii="Palatino Linotype" w:hAnsi="Palatino Linotype"/>
          <w:color w:val="000000" w:themeColor="text1"/>
        </w:rPr>
      </w:pPr>
      <w:r w:rsidRPr="00236777">
        <w:rPr>
          <w:rFonts w:ascii="Palatino Linotype" w:hAnsi="Palatino Linotype" w:cs="Arial"/>
          <w:b/>
          <w:i/>
          <w:color w:val="000000" w:themeColor="text1"/>
        </w:rPr>
        <w:t xml:space="preserve">AGRAVIOS EN LA REVISION. DEBEN ESTAR EN RELACION DIRECTA CON LOS FUNDAMENTOS Y CONSIDERACIONES DE LA SENTENCIA. </w:t>
      </w:r>
      <w:r w:rsidRPr="00236777">
        <w:rPr>
          <w:rFonts w:ascii="Palatino Linotype" w:hAnsi="Palatino Linotype" w:cs="Arial"/>
          <w:bCs/>
          <w:i/>
          <w:color w:val="000000" w:themeColor="text1"/>
        </w:rPr>
        <w:t>“</w:t>
      </w:r>
      <w:r w:rsidRPr="00236777">
        <w:rPr>
          <w:rFonts w:ascii="Palatino Linotype" w:hAnsi="Palatino Linotype" w:cs="Arial"/>
          <w:i/>
          <w:color w:val="000000" w:themeColor="text1"/>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5AD186BD" w14:textId="77777777" w:rsidR="00F970B7" w:rsidRPr="00236777" w:rsidRDefault="00F970B7" w:rsidP="009C36C0">
      <w:pPr>
        <w:spacing w:line="360" w:lineRule="auto"/>
        <w:jc w:val="both"/>
        <w:rPr>
          <w:rFonts w:ascii="Palatino Linotype" w:eastAsia="Palatino Linotype" w:hAnsi="Palatino Linotype" w:cs="Palatino Linotype"/>
          <w:i/>
          <w:color w:val="000000" w:themeColor="text1"/>
        </w:rPr>
      </w:pPr>
    </w:p>
    <w:p w14:paraId="332ADE3F" w14:textId="77777777" w:rsidR="00847603" w:rsidRPr="00236777" w:rsidRDefault="00847603"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Atento a lo anterior, no se soslaya que el </w:t>
      </w:r>
      <w:r w:rsidRPr="00236777">
        <w:rPr>
          <w:rFonts w:ascii="Palatino Linotype" w:eastAsia="Palatino Linotype" w:hAnsi="Palatino Linotype" w:cs="Palatino Linotype"/>
          <w:b/>
          <w:color w:val="000000" w:themeColor="text1"/>
        </w:rPr>
        <w:t xml:space="preserve">RECURRENTE </w:t>
      </w:r>
      <w:r w:rsidRPr="00236777">
        <w:rPr>
          <w:rFonts w:ascii="Palatino Linotype" w:eastAsia="Palatino Linotype" w:hAnsi="Palatino Linotype" w:cs="Palatino Linotype"/>
          <w:color w:val="000000" w:themeColor="text1"/>
        </w:rPr>
        <w:t>hizo alusión a lo estipulado en el artículo 123 párrafo tercero que a la letra refiere:</w:t>
      </w:r>
    </w:p>
    <w:p w14:paraId="350B49E8" w14:textId="77777777" w:rsidR="00847603" w:rsidRPr="00236777" w:rsidRDefault="00847603" w:rsidP="009C36C0">
      <w:pPr>
        <w:spacing w:line="276" w:lineRule="auto"/>
        <w:jc w:val="center"/>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Título Noveno</w:t>
      </w:r>
    </w:p>
    <w:p w14:paraId="0D1F2A3E" w14:textId="77777777" w:rsidR="00847603" w:rsidRPr="00236777" w:rsidRDefault="00847603" w:rsidP="009C36C0">
      <w:pPr>
        <w:spacing w:line="276" w:lineRule="auto"/>
        <w:jc w:val="center"/>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Del financiamiento a la educación</w:t>
      </w:r>
    </w:p>
    <w:p w14:paraId="7FA441A5" w14:textId="77777777" w:rsidR="00847603" w:rsidRPr="00236777" w:rsidRDefault="00847603" w:rsidP="009C36C0">
      <w:pPr>
        <w:spacing w:line="276" w:lineRule="auto"/>
        <w:jc w:val="center"/>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Capítulo Único</w:t>
      </w:r>
    </w:p>
    <w:p w14:paraId="5B774ED3" w14:textId="77777777" w:rsidR="00847603" w:rsidRPr="00236777" w:rsidRDefault="00847603" w:rsidP="009C36C0">
      <w:pPr>
        <w:spacing w:line="276" w:lineRule="auto"/>
        <w:jc w:val="center"/>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De los recursos destinados a la Educación</w:t>
      </w:r>
    </w:p>
    <w:p w14:paraId="0B17E679" w14:textId="77777777" w:rsidR="00847603" w:rsidRPr="00236777" w:rsidRDefault="00847603" w:rsidP="009C36C0">
      <w:pPr>
        <w:spacing w:line="276"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lastRenderedPageBreak/>
        <w:t xml:space="preserve"> Artículo 123. El Ejecutivo Federal y el Gobierno del Estado de México, con sujeción a las disposiciones de ingresos y gasto público correspondientes que resulten aplicables, concurrirán al financiamiento de la educación pública y de los servicios educativos.</w:t>
      </w:r>
    </w:p>
    <w:p w14:paraId="2EF16010" w14:textId="77777777" w:rsidR="00847603" w:rsidRPr="00236777" w:rsidRDefault="00847603" w:rsidP="009C36C0">
      <w:pPr>
        <w:spacing w:line="276"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w:t>
      </w:r>
    </w:p>
    <w:p w14:paraId="7CFF10D0" w14:textId="77777777" w:rsidR="00847603" w:rsidRPr="00236777" w:rsidRDefault="00847603" w:rsidP="009C36C0">
      <w:pPr>
        <w:spacing w:line="276"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u w:val="single"/>
        </w:rPr>
        <w:t>Los recursos federales</w:t>
      </w:r>
      <w:r w:rsidRPr="00236777">
        <w:rPr>
          <w:rFonts w:ascii="Palatino Linotype" w:eastAsia="Palatino Linotype" w:hAnsi="Palatino Linotype" w:cs="Palatino Linotype"/>
          <w:b/>
          <w:i/>
          <w:color w:val="000000" w:themeColor="text1"/>
        </w:rPr>
        <w:t xml:space="preserve"> </w:t>
      </w:r>
      <w:r w:rsidRPr="00236777">
        <w:rPr>
          <w:rFonts w:ascii="Palatino Linotype" w:eastAsia="Palatino Linotype" w:hAnsi="Palatino Linotype" w:cs="Palatino Linotype"/>
          <w:i/>
          <w:color w:val="000000" w:themeColor="text1"/>
        </w:rPr>
        <w:t>recibidos para la prestación de los servicios educativos a la entidad federativa no serán transferibles y deberán aplicarse íntegra, oportuna y exclusivamente a la prestación de servicios y demás actividades educativas en la propia entidad. El Gobierno del Estado de México publicará en el Periódico Oficial “Gaceta del Gobierno”, los recursos que la Federación le transfiera para tal efecto, en forma desagregada por nivel, programa educativo y establecimiento escolar.</w:t>
      </w:r>
    </w:p>
    <w:p w14:paraId="6034F4F2" w14:textId="77777777" w:rsidR="00847603" w:rsidRPr="00236777" w:rsidRDefault="00847603" w:rsidP="009C36C0">
      <w:pPr>
        <w:spacing w:line="276"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w:t>
      </w:r>
    </w:p>
    <w:p w14:paraId="6AA5CBA4" w14:textId="77777777" w:rsidR="00847603" w:rsidRPr="00236777" w:rsidRDefault="00847603" w:rsidP="009C36C0">
      <w:pPr>
        <w:spacing w:line="360" w:lineRule="auto"/>
        <w:jc w:val="both"/>
        <w:rPr>
          <w:rFonts w:ascii="Palatino Linotype" w:eastAsia="Palatino Linotype" w:hAnsi="Palatino Linotype" w:cs="Palatino Linotype"/>
          <w:color w:val="000000" w:themeColor="text1"/>
        </w:rPr>
      </w:pPr>
    </w:p>
    <w:p w14:paraId="758249B6" w14:textId="77777777" w:rsidR="00847603" w:rsidRPr="00236777" w:rsidRDefault="00847603"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Del precepto antes citado se advierte que el grado de desagregación por nivel, programa educativo y establecimiento, es concerniente a los recursos federales, por lo que tal situación no aplica al caso concreto, pues el </w:t>
      </w:r>
      <w:r w:rsidRPr="00236777">
        <w:rPr>
          <w:rFonts w:ascii="Palatino Linotype" w:eastAsia="Palatino Linotype" w:hAnsi="Palatino Linotype" w:cs="Palatino Linotype"/>
          <w:b/>
          <w:color w:val="000000" w:themeColor="text1"/>
        </w:rPr>
        <w:t xml:space="preserve">PARTICULAR, </w:t>
      </w:r>
      <w:r w:rsidRPr="00236777">
        <w:rPr>
          <w:rFonts w:ascii="Palatino Linotype" w:eastAsia="Palatino Linotype" w:hAnsi="Palatino Linotype" w:cs="Palatino Linotype"/>
          <w:color w:val="000000" w:themeColor="text1"/>
        </w:rPr>
        <w:t xml:space="preserve">fue preciso en solicitar el presupuesto asignado por parte del Gobierno </w:t>
      </w:r>
      <w:r w:rsidRPr="00236777">
        <w:rPr>
          <w:rFonts w:ascii="Palatino Linotype" w:eastAsia="Palatino Linotype" w:hAnsi="Palatino Linotype" w:cs="Palatino Linotype"/>
          <w:color w:val="000000" w:themeColor="text1"/>
          <w:u w:val="single"/>
        </w:rPr>
        <w:t>Estatal.</w:t>
      </w:r>
    </w:p>
    <w:p w14:paraId="2252C3FB" w14:textId="77777777" w:rsidR="00847603" w:rsidRPr="00236777" w:rsidRDefault="00847603" w:rsidP="009C36C0">
      <w:pPr>
        <w:spacing w:line="360" w:lineRule="auto"/>
        <w:jc w:val="both"/>
        <w:rPr>
          <w:rFonts w:ascii="Palatino Linotype" w:eastAsia="Palatino Linotype" w:hAnsi="Palatino Linotype" w:cs="Palatino Linotype"/>
          <w:color w:val="000000" w:themeColor="text1"/>
        </w:rPr>
      </w:pPr>
    </w:p>
    <w:p w14:paraId="5C352735"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En tal sentido, conviene enfatizar lo que el derecho de acceso a la información pública refiere, contemplado en el artículo 6°, Apartado A de la Constitución Política de los Estados Unidos Mexicanos, que señala:</w:t>
      </w:r>
    </w:p>
    <w:p w14:paraId="4848FA39"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w:t>
      </w:r>
      <w:r w:rsidRPr="00236777">
        <w:rPr>
          <w:rFonts w:ascii="Palatino Linotype" w:eastAsia="Palatino Linotype" w:hAnsi="Palatino Linotype" w:cs="Palatino Linotype"/>
          <w:b/>
          <w:i/>
          <w:color w:val="000000" w:themeColor="text1"/>
        </w:rPr>
        <w:t>Artículo 6o.</w:t>
      </w:r>
      <w:r w:rsidRPr="00236777">
        <w:rPr>
          <w:rFonts w:ascii="Palatino Linotype" w:eastAsia="Palatino Linotype" w:hAnsi="Palatino Linotype" w:cs="Palatino Linotype"/>
          <w:i/>
          <w:color w:val="000000" w:themeColor="text1"/>
        </w:rPr>
        <w:t xml:space="preserve">  . . .</w:t>
      </w:r>
    </w:p>
    <w:p w14:paraId="32B428C3"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448C8254"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A.</w:t>
      </w:r>
      <w:r w:rsidRPr="00236777">
        <w:rPr>
          <w:rFonts w:ascii="Palatino Linotype" w:eastAsia="Palatino Linotype" w:hAnsi="Palatino Linotype" w:cs="Palatino Linotype"/>
          <w:i/>
          <w:color w:val="000000" w:themeColor="text1"/>
        </w:rPr>
        <w:t xml:space="preserve"> Para el ejercicio del derecho de acceso a la información, la Federación y las entidades federativas, en el ámbito de sus respectivas competencias, se regirán por los siguientes principios y bases:</w:t>
      </w:r>
    </w:p>
    <w:p w14:paraId="5D70A0EA"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 xml:space="preserve">I. </w:t>
      </w:r>
      <w:r w:rsidRPr="00236777">
        <w:rPr>
          <w:rFonts w:ascii="Palatino Linotype" w:eastAsia="Palatino Linotype" w:hAnsi="Palatino Linotype" w:cs="Palatino Linotype"/>
          <w:i/>
          <w:color w:val="000000" w:themeColor="text1"/>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w:t>
      </w:r>
      <w:r w:rsidRPr="00236777">
        <w:rPr>
          <w:rFonts w:ascii="Palatino Linotype" w:eastAsia="Palatino Linotype" w:hAnsi="Palatino Linotype" w:cs="Palatino Linotype"/>
          <w:i/>
          <w:color w:val="000000" w:themeColor="text1"/>
        </w:rPr>
        <w:lastRenderedPageBreak/>
        <w:t xml:space="preserve">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4DA0707"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7B4C5F19"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 xml:space="preserve">II. </w:t>
      </w:r>
      <w:r w:rsidRPr="00236777">
        <w:rPr>
          <w:rFonts w:ascii="Palatino Linotype" w:eastAsia="Palatino Linotype" w:hAnsi="Palatino Linotype" w:cs="Palatino Linotype"/>
          <w:i/>
          <w:color w:val="000000" w:themeColor="text1"/>
        </w:rPr>
        <w:t xml:space="preserve">La información que se refiere a la vida privada y los datos personales será protegida en los términos y con las excepciones que fijen las leyes. </w:t>
      </w:r>
    </w:p>
    <w:p w14:paraId="3BE92DD4"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7B8FFFA5"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 xml:space="preserve">III. </w:t>
      </w:r>
      <w:r w:rsidRPr="00236777">
        <w:rPr>
          <w:rFonts w:ascii="Palatino Linotype" w:eastAsia="Palatino Linotype" w:hAnsi="Palatino Linotype" w:cs="Palatino Linotype"/>
          <w:i/>
          <w:color w:val="000000" w:themeColor="text1"/>
        </w:rPr>
        <w:t xml:space="preserve">Toda persona, sin necesidad de acreditar interés alguno o justificar su utilización, tendrá acceso gratuito a la información pública, a sus datos personales o a la rectificación de éstos. </w:t>
      </w:r>
    </w:p>
    <w:p w14:paraId="5E4F50C7"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23DADB9B"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 xml:space="preserve">IV. </w:t>
      </w:r>
      <w:r w:rsidRPr="00236777">
        <w:rPr>
          <w:rFonts w:ascii="Palatino Linotype" w:eastAsia="Palatino Linotype" w:hAnsi="Palatino Linotype" w:cs="Palatino Linotype"/>
          <w:i/>
          <w:color w:val="000000" w:themeColor="text1"/>
        </w:rPr>
        <w:t xml:space="preserve">Se establecerán mecanismos de acceso a la información y procedimientos de revisión expeditos que se sustanciarán ante los organismos autónomos especializados e imparciales que establece esta Constitución. </w:t>
      </w:r>
    </w:p>
    <w:p w14:paraId="1E277FB5"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6C5B17A5"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 xml:space="preserve">V. </w:t>
      </w:r>
      <w:r w:rsidRPr="00236777">
        <w:rPr>
          <w:rFonts w:ascii="Palatino Linotype" w:eastAsia="Palatino Linotype" w:hAnsi="Palatino Linotype" w:cs="Palatino Linotype"/>
          <w:i/>
          <w:color w:val="000000" w:themeColor="text1"/>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DA70D6C"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0CBAEB70"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 xml:space="preserve">VI. </w:t>
      </w:r>
      <w:r w:rsidRPr="00236777">
        <w:rPr>
          <w:rFonts w:ascii="Palatino Linotype" w:eastAsia="Palatino Linotype" w:hAnsi="Palatino Linotype" w:cs="Palatino Linotype"/>
          <w:i/>
          <w:color w:val="000000" w:themeColor="text1"/>
        </w:rPr>
        <w:t xml:space="preserve">Las leyes determinarán la manera en que los sujetos obligados deberán hacer pública la información relativa a los recursos públicos que entreguen a personas físicas o morales. </w:t>
      </w:r>
    </w:p>
    <w:p w14:paraId="79E6DD42"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lastRenderedPageBreak/>
        <w:t xml:space="preserve">VII. </w:t>
      </w:r>
      <w:r w:rsidRPr="00236777">
        <w:rPr>
          <w:rFonts w:ascii="Palatino Linotype" w:eastAsia="Palatino Linotype" w:hAnsi="Palatino Linotype" w:cs="Palatino Linotype"/>
          <w:i/>
          <w:color w:val="000000" w:themeColor="text1"/>
        </w:rPr>
        <w:t xml:space="preserve">La inobservancia a las disposiciones en materia de acceso a la información pública será sancionada en los términos que dispongan las leyes.” </w:t>
      </w:r>
    </w:p>
    <w:p w14:paraId="28C3284F" w14:textId="77777777" w:rsidR="00A21845" w:rsidRPr="00236777" w:rsidRDefault="009D61B8"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(Énfasis añadido)</w:t>
      </w:r>
    </w:p>
    <w:p w14:paraId="61EE37F0"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0AE4D8D8"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Por su parte, la Constitución Política del Estado Libre y Soberano de México, en su artículo 5°, párrafo trigésimo, trigésimo primero y trigésimo segundo, fracción I, dispone lo siguiente:</w:t>
      </w:r>
    </w:p>
    <w:p w14:paraId="535BA4AC" w14:textId="77777777" w:rsidR="00A21845" w:rsidRPr="00236777" w:rsidRDefault="009D61B8" w:rsidP="009C36C0">
      <w:pPr>
        <w:spacing w:line="360" w:lineRule="auto"/>
        <w:jc w:val="both"/>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i/>
          <w:color w:val="000000" w:themeColor="text1"/>
        </w:rPr>
        <w:t>“</w:t>
      </w:r>
      <w:r w:rsidRPr="00236777">
        <w:rPr>
          <w:rFonts w:ascii="Palatino Linotype" w:eastAsia="Palatino Linotype" w:hAnsi="Palatino Linotype" w:cs="Palatino Linotype"/>
          <w:b/>
          <w:i/>
          <w:color w:val="000000" w:themeColor="text1"/>
        </w:rPr>
        <w:t xml:space="preserve">Artículo 5.  … </w:t>
      </w:r>
    </w:p>
    <w:p w14:paraId="7DC94268"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 . .</w:t>
      </w:r>
    </w:p>
    <w:p w14:paraId="2D058D83"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 xml:space="preserve">El derecho a la información será garantizado por el Estado. La ley establecerá las previsiones que permitan asegurar la protección, el respeto y la difusión de este derecho. </w:t>
      </w:r>
    </w:p>
    <w:p w14:paraId="4912ACA3"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75BF15"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7C30689C"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Este derecho se regirá por los principios y bases siguientes:</w:t>
      </w:r>
    </w:p>
    <w:p w14:paraId="682A1CBC"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329D4013" w14:textId="77777777" w:rsidR="00A21845" w:rsidRPr="00236777" w:rsidRDefault="009D61B8"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i/>
          <w:color w:val="000000" w:themeColor="text1"/>
        </w:rPr>
        <w:t xml:space="preserve">I. </w:t>
      </w:r>
      <w:r w:rsidRPr="00236777">
        <w:rPr>
          <w:rFonts w:ascii="Palatino Linotype" w:eastAsia="Palatino Linotype" w:hAnsi="Palatino Linotype" w:cs="Palatino Linotype"/>
          <w:b/>
          <w:i/>
          <w:color w:val="000000" w:themeColor="text1"/>
          <w:u w:val="single"/>
        </w:rPr>
        <w:t>Toda la información en posesión de cualquier autoridad, entidad, órgano y organismos de los Poderes Ejecutivo, Legislativo y Judicial, órganos autónomos, partidos políticos, fideicomisos y fondos públicos estatales y municipales</w:t>
      </w:r>
      <w:r w:rsidRPr="00236777">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w:t>
      </w:r>
      <w:r w:rsidRPr="00236777">
        <w:rPr>
          <w:rFonts w:ascii="Palatino Linotype" w:eastAsia="Palatino Linotype" w:hAnsi="Palatino Linotype" w:cs="Palatino Linotype"/>
          <w:i/>
          <w:color w:val="000000" w:themeColor="text1"/>
        </w:rPr>
        <w:lastRenderedPageBreak/>
        <w:t>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36777">
        <w:rPr>
          <w:rFonts w:ascii="Palatino Linotype" w:eastAsia="Palatino Linotype" w:hAnsi="Palatino Linotype" w:cs="Palatino Linotype"/>
          <w:color w:val="000000" w:themeColor="text1"/>
        </w:rPr>
        <w:t xml:space="preserve"> </w:t>
      </w:r>
    </w:p>
    <w:p w14:paraId="55AFE255" w14:textId="77777777" w:rsidR="00A21845" w:rsidRPr="00236777" w:rsidRDefault="009D61B8"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(Énfasis añadido)</w:t>
      </w:r>
    </w:p>
    <w:p w14:paraId="578AB104"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7EB5D3FF"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Asimismo, se tiene que la Ley de Transparencia y Acceso a la Información Pública del Estado de México y Municipios, prevé en su artículo 23, lo siguiente:</w:t>
      </w:r>
    </w:p>
    <w:p w14:paraId="3ACBB015"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w:t>
      </w:r>
      <w:r w:rsidRPr="00236777">
        <w:rPr>
          <w:rFonts w:ascii="Palatino Linotype" w:eastAsia="Palatino Linotype" w:hAnsi="Palatino Linotype" w:cs="Palatino Linotype"/>
          <w:b/>
          <w:i/>
          <w:color w:val="000000" w:themeColor="text1"/>
        </w:rPr>
        <w:t>Artículo 23.</w:t>
      </w:r>
      <w:r w:rsidRPr="00236777">
        <w:rPr>
          <w:rFonts w:ascii="Palatino Linotype" w:eastAsia="Palatino Linotype" w:hAnsi="Palatino Linotype" w:cs="Palatino Linotype"/>
          <w:i/>
          <w:color w:val="000000" w:themeColor="text1"/>
        </w:rPr>
        <w:t xml:space="preserve"> Son sujetos obligados a transparentar y permitir el acceso a su información y proteger los datos personales que obren en su poder:</w:t>
      </w:r>
    </w:p>
    <w:p w14:paraId="332EDA44"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277824DE"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I. El Poder Ejecutivo del Estado de México, las dependencias, organismos auxiliares, órganos, entidades, fideicomisos y fondos públicos, así como la Procuraduría General de Justicia;</w:t>
      </w:r>
    </w:p>
    <w:p w14:paraId="472B1B09"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II. El Poder Legislativo del Estado, los organismos, órganos y entidades de la Legislatura y sus dependencias;</w:t>
      </w:r>
    </w:p>
    <w:p w14:paraId="5BB8FF8F"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III. El Poder Judicial, sus organismos, órganos y entidades, así como el Consejo de la Judicatura del Estado;</w:t>
      </w:r>
    </w:p>
    <w:p w14:paraId="6331023D"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IV. Los ayuntamientos y las dependencias, organismos, órganos y entidades de la administración municipal;</w:t>
      </w:r>
    </w:p>
    <w:p w14:paraId="6A2FD093"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V. Los órganos autónomos;</w:t>
      </w:r>
    </w:p>
    <w:p w14:paraId="47617F41"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VI. Los tribunales administrativos y autoridades jurisdiccionales en materia laboral;</w:t>
      </w:r>
    </w:p>
    <w:p w14:paraId="025BB104"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VII. Los partidos políticos y agrupaciones políticas, en los términos de las disposiciones aplicables;</w:t>
      </w:r>
    </w:p>
    <w:p w14:paraId="12A2961C"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lastRenderedPageBreak/>
        <w:t>VIII. Los fideicomisos y fondos públicos que cuenten con financiamiento público, parcial o total, o con participación de entidades de gobierno;</w:t>
      </w:r>
    </w:p>
    <w:p w14:paraId="026577BC"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IX. Los sindicatos que reciban y/o ejerzan recursos públicos en el ámbito estatal y municipal;</w:t>
      </w:r>
    </w:p>
    <w:p w14:paraId="09AF1D53"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X. Cualquier persona física o jurídico colectiva que reciba y ejerza recursos públicos en el ámbito estatal o municipal; y</w:t>
      </w:r>
    </w:p>
    <w:p w14:paraId="1E04AB36" w14:textId="77777777" w:rsidR="00A21845" w:rsidRPr="00236777" w:rsidRDefault="009D61B8" w:rsidP="009C36C0">
      <w:pPr>
        <w:spacing w:line="360" w:lineRule="auto"/>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i/>
          <w:color w:val="000000" w:themeColor="text1"/>
        </w:rPr>
        <w:t>XI. Cualquier otra autoridad, entidad, órgano u organismo de los poderes estatal o municipal, que reciba recursos públicos.</w:t>
      </w:r>
    </w:p>
    <w:p w14:paraId="3428E79D" w14:textId="77777777" w:rsidR="00A21845" w:rsidRPr="00236777" w:rsidRDefault="00A21845" w:rsidP="009C36C0">
      <w:pPr>
        <w:spacing w:line="360" w:lineRule="auto"/>
        <w:jc w:val="both"/>
        <w:rPr>
          <w:rFonts w:ascii="Palatino Linotype" w:eastAsia="Palatino Linotype" w:hAnsi="Palatino Linotype" w:cs="Palatino Linotype"/>
          <w:i/>
          <w:color w:val="000000" w:themeColor="text1"/>
        </w:rPr>
      </w:pPr>
    </w:p>
    <w:p w14:paraId="204A34B0" w14:textId="77777777" w:rsidR="00A21845" w:rsidRPr="00236777" w:rsidRDefault="009D61B8" w:rsidP="009C36C0">
      <w:pPr>
        <w:spacing w:line="360" w:lineRule="auto"/>
        <w:jc w:val="both"/>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9D3FA12" w14:textId="77777777" w:rsidR="00A21845" w:rsidRPr="00236777" w:rsidRDefault="009D61B8" w:rsidP="009C36C0">
      <w:pPr>
        <w:spacing w:line="360" w:lineRule="auto"/>
        <w:jc w:val="both"/>
        <w:rPr>
          <w:rFonts w:ascii="Palatino Linotype" w:eastAsia="Palatino Linotype" w:hAnsi="Palatino Linotype" w:cs="Palatino Linotype"/>
          <w:b/>
          <w:i/>
          <w:color w:val="000000" w:themeColor="text1"/>
        </w:rPr>
      </w:pPr>
      <w:r w:rsidRPr="00236777">
        <w:rPr>
          <w:rFonts w:ascii="Palatino Linotype" w:eastAsia="Palatino Linotype" w:hAnsi="Palatino Linotype" w:cs="Palatino Linotype"/>
          <w:b/>
          <w:i/>
          <w:color w:val="000000" w:themeColor="text1"/>
        </w:rPr>
        <w:t>Los servidores públicos deberán transparentar sus acciones así como garantizar y respetar el derecho de acceso a la información pública.</w:t>
      </w:r>
    </w:p>
    <w:p w14:paraId="342D7A97" w14:textId="77777777" w:rsidR="00A21845" w:rsidRPr="00236777" w:rsidRDefault="009D61B8"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(Énfasis añadido)</w:t>
      </w:r>
    </w:p>
    <w:p w14:paraId="4FC4C02E" w14:textId="77777777" w:rsidR="00A21845" w:rsidRPr="00236777" w:rsidRDefault="00A21845" w:rsidP="009C36C0">
      <w:pPr>
        <w:spacing w:line="360" w:lineRule="auto"/>
        <w:rPr>
          <w:rFonts w:ascii="Palatino Linotype" w:eastAsia="Palatino Linotype" w:hAnsi="Palatino Linotype" w:cs="Palatino Linotype"/>
          <w:color w:val="000000" w:themeColor="text1"/>
        </w:rPr>
      </w:pPr>
    </w:p>
    <w:p w14:paraId="4A0D8FEF"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En este sentido, de acuerdo a la naturaleza de la información solicitada se concluye que ésta es de interés general y de alcance público; asimismo, subrayar que la entrega debe ser de conformidad a lo establecido en el artículo 12 de la ley de la materia, como el propio </w:t>
      </w:r>
      <w:r w:rsidRPr="00236777">
        <w:rPr>
          <w:rFonts w:ascii="Palatino Linotype" w:eastAsia="Palatino Linotype" w:hAnsi="Palatino Linotype" w:cs="Palatino Linotype"/>
          <w:b/>
          <w:color w:val="000000" w:themeColor="text1"/>
        </w:rPr>
        <w:t>SUJETO OBLIGADO</w:t>
      </w:r>
      <w:r w:rsidRPr="00236777">
        <w:rPr>
          <w:rFonts w:ascii="Palatino Linotype" w:eastAsia="Palatino Linotype" w:hAnsi="Palatino Linotype" w:cs="Palatino Linotype"/>
          <w:color w:val="000000" w:themeColor="text1"/>
        </w:rPr>
        <w:t xml:space="preserve"> refirió, tocante a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rsidRPr="00236777">
        <w:rPr>
          <w:rFonts w:ascii="Palatino Linotype" w:eastAsia="Palatino Linotype" w:hAnsi="Palatino Linotype" w:cs="Palatino Linotype"/>
          <w:color w:val="000000" w:themeColor="text1"/>
        </w:rPr>
        <w:lastRenderedPageBreak/>
        <w:t>investigaciones, aseveración que  no se comparte por este Órgano Resolutor pues se reitera que, esta información debe obrar en sus archivos de manera obligatoria.</w:t>
      </w:r>
    </w:p>
    <w:p w14:paraId="05579AE5" w14:textId="77777777" w:rsidR="00A21845" w:rsidRPr="00236777" w:rsidRDefault="00A21845" w:rsidP="009C36C0">
      <w:pPr>
        <w:rPr>
          <w:rFonts w:ascii="Palatino Linotype" w:eastAsia="Palatino Linotype" w:hAnsi="Palatino Linotype" w:cs="Palatino Linotype"/>
          <w:color w:val="000000" w:themeColor="text1"/>
        </w:rPr>
      </w:pPr>
    </w:p>
    <w:p w14:paraId="0CDDF938"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En esa tesitura,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36777">
        <w:rPr>
          <w:rFonts w:ascii="Palatino Linotype" w:hAnsi="Palatino Linotype"/>
          <w:color w:val="000000" w:themeColor="text1"/>
          <w:vertAlign w:val="superscript"/>
        </w:rPr>
        <w:footnoteReference w:id="1"/>
      </w:r>
      <w:r w:rsidRPr="00236777">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AAE8B66" w14:textId="77777777" w:rsidR="00A21845" w:rsidRPr="00236777" w:rsidRDefault="00A21845" w:rsidP="009C36C0">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14:paraId="5526886B"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40617DA" w14:textId="77777777" w:rsidR="00A21845" w:rsidRPr="00236777" w:rsidRDefault="009D61B8" w:rsidP="009C36C0">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236777">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236777">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w:t>
      </w:r>
      <w:r w:rsidRPr="00236777">
        <w:rPr>
          <w:rFonts w:ascii="Palatino Linotype" w:eastAsia="Palatino Linotype" w:hAnsi="Palatino Linotype" w:cs="Palatino Linotype"/>
          <w:i/>
          <w:color w:val="000000" w:themeColor="text1"/>
        </w:rPr>
        <w:lastRenderedPageBreak/>
        <w:t>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8CDC821" w14:textId="77777777" w:rsidR="00A21845" w:rsidRPr="00236777" w:rsidRDefault="00A21845" w:rsidP="009C36C0">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14:paraId="09839433" w14:textId="77777777" w:rsidR="00A21845" w:rsidRPr="00236777" w:rsidRDefault="009D61B8"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Como se ha señalado, los sujetos obligados deberán proporcionar toda la información que se encuentre en su posesión bajo los estándares más altos de transparencia y máxima publicidad. </w:t>
      </w:r>
    </w:p>
    <w:p w14:paraId="17D925E5" w14:textId="77777777" w:rsidR="00383E54" w:rsidRPr="00236777" w:rsidRDefault="00383E54" w:rsidP="009C36C0">
      <w:pPr>
        <w:spacing w:line="360" w:lineRule="auto"/>
        <w:jc w:val="both"/>
        <w:rPr>
          <w:rFonts w:ascii="Palatino Linotype" w:eastAsia="Palatino Linotype" w:hAnsi="Palatino Linotype" w:cs="Palatino Linotype"/>
          <w:color w:val="000000" w:themeColor="text1"/>
        </w:rPr>
      </w:pPr>
    </w:p>
    <w:p w14:paraId="008F92F8" w14:textId="77777777" w:rsidR="00383E54" w:rsidRPr="00236777" w:rsidRDefault="00383E54" w:rsidP="009C36C0">
      <w:pPr>
        <w:pStyle w:val="Ttulo1"/>
        <w:rPr>
          <w:rFonts w:ascii="Palatino Linotype" w:eastAsia="Palatino Linotype" w:hAnsi="Palatino Linotype" w:cs="Palatino Linotype"/>
          <w:b/>
          <w:color w:val="000000" w:themeColor="text1"/>
          <w:sz w:val="24"/>
          <w:szCs w:val="24"/>
        </w:rPr>
      </w:pPr>
      <w:r w:rsidRPr="00236777">
        <w:rPr>
          <w:rFonts w:ascii="Palatino Linotype" w:eastAsia="Palatino Linotype" w:hAnsi="Palatino Linotype" w:cs="Palatino Linotype"/>
          <w:b/>
          <w:color w:val="000000" w:themeColor="text1"/>
          <w:sz w:val="24"/>
          <w:szCs w:val="24"/>
        </w:rPr>
        <w:t>QUINTO. De la versión pública.</w:t>
      </w:r>
    </w:p>
    <w:p w14:paraId="3F77EA63" w14:textId="77777777" w:rsidR="00383E54" w:rsidRPr="00236777" w:rsidRDefault="00383E54" w:rsidP="009C36C0">
      <w:pPr>
        <w:pStyle w:val="Ttulo1"/>
        <w:numPr>
          <w:ilvl w:val="0"/>
          <w:numId w:val="10"/>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r w:rsidRPr="00236777">
        <w:rPr>
          <w:rFonts w:ascii="Palatino Linotype" w:eastAsia="Palatino Linotype" w:hAnsi="Palatino Linotype" w:cs="Palatino Linotype"/>
          <w:b/>
          <w:color w:val="000000" w:themeColor="text1"/>
          <w:sz w:val="24"/>
          <w:szCs w:val="24"/>
        </w:rPr>
        <w:t xml:space="preserve">Nociones generales. </w:t>
      </w:r>
    </w:p>
    <w:p w14:paraId="020D59C5" w14:textId="77777777" w:rsidR="00383E54" w:rsidRPr="00236777" w:rsidRDefault="00383E54"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Debe destacarse que, debido a la naturaleza de la información solicitada</w:t>
      </w:r>
      <w:r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236777">
        <w:rPr>
          <w:rFonts w:ascii="Palatino Linotype" w:eastAsia="Palatino Linotype" w:hAnsi="Palatino Linotype" w:cs="Palatino Linotype"/>
          <w:b/>
          <w:color w:val="000000" w:themeColor="text1"/>
        </w:rPr>
        <w:t xml:space="preserve">SUJETO OBLIGADO </w:t>
      </w:r>
      <w:r w:rsidRPr="00236777">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55399708" w14:textId="77777777" w:rsidR="00383E54" w:rsidRPr="00236777" w:rsidRDefault="00383E54" w:rsidP="009C36C0">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14:paraId="1D63FE27" w14:textId="77777777" w:rsidR="00383E54" w:rsidRPr="00236777" w:rsidRDefault="00383E54"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No pasa desapercibido para este Órgano Garante que los </w:t>
      </w:r>
      <w:r w:rsidRPr="00236777">
        <w:rPr>
          <w:rFonts w:ascii="Palatino Linotype" w:eastAsia="Palatino Linotype" w:hAnsi="Palatino Linotype" w:cs="Palatino Linotype"/>
          <w:b/>
          <w:color w:val="000000" w:themeColor="text1"/>
        </w:rPr>
        <w:t xml:space="preserve">Sujetos Obligados </w:t>
      </w:r>
      <w:r w:rsidRPr="00236777">
        <w:rPr>
          <w:rFonts w:ascii="Palatino Linotype" w:eastAsia="Palatino Linotype" w:hAnsi="Palatino Linotype" w:cs="Palatino Linotype"/>
          <w:color w:val="000000" w:themeColor="text1"/>
        </w:rPr>
        <w:t xml:space="preserve">serán responsables de los datos personales en su posesión y que, en caso de localizarse datos concernientes a terceros, éstos no podrán difundir, distribuir o comercializar los datos </w:t>
      </w:r>
      <w:r w:rsidRPr="00236777">
        <w:rPr>
          <w:rFonts w:ascii="Palatino Linotype" w:eastAsia="Palatino Linotype" w:hAnsi="Palatino Linotype" w:cs="Palatino Linotype"/>
          <w:color w:val="000000" w:themeColor="text1"/>
        </w:rPr>
        <w:lastRenderedPageBreak/>
        <w:t>personales.  Cabe destacar que, para la realización de la clasificación de la información, se deben seguir una serie de pasos y procedimientos, por lo que es menester reiterar los mismos:</w:t>
      </w:r>
    </w:p>
    <w:p w14:paraId="2019EC65" w14:textId="77777777" w:rsidR="00383E54" w:rsidRPr="00236777" w:rsidRDefault="00383E54" w:rsidP="009C36C0">
      <w:pPr>
        <w:tabs>
          <w:tab w:val="left" w:pos="284"/>
        </w:tabs>
        <w:spacing w:line="360" w:lineRule="auto"/>
        <w:jc w:val="both"/>
        <w:rPr>
          <w:rFonts w:ascii="Palatino Linotype" w:eastAsia="Palatino Linotype" w:hAnsi="Palatino Linotype" w:cs="Palatino Linotype"/>
          <w:color w:val="000000" w:themeColor="text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513"/>
      </w:tblGrid>
      <w:tr w:rsidR="009C36C0" w:rsidRPr="00236777" w14:paraId="53578893" w14:textId="77777777" w:rsidTr="00EB7330">
        <w:tc>
          <w:tcPr>
            <w:tcW w:w="1838" w:type="dxa"/>
          </w:tcPr>
          <w:p w14:paraId="1D8EAA72" w14:textId="77777777" w:rsidR="00383E54" w:rsidRPr="00236777" w:rsidRDefault="00383E54" w:rsidP="009C36C0">
            <w:pPr>
              <w:tabs>
                <w:tab w:val="left" w:pos="284"/>
              </w:tabs>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a) Requisitos previos.</w:t>
            </w:r>
          </w:p>
        </w:tc>
        <w:tc>
          <w:tcPr>
            <w:tcW w:w="7513" w:type="dxa"/>
          </w:tcPr>
          <w:p w14:paraId="052DA365"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2E21436"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Al hacerlo tienen que precisar de qué información se trata, señalando el supuesto de clasificación (confidencialidad o reserva).</w:t>
            </w:r>
          </w:p>
          <w:p w14:paraId="762E3022"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Además, se debe señalar el procedimiento, de los tres que establecen los artículos 132 y 106 de la Ley Estatal y General, respectivamente.</w:t>
            </w:r>
          </w:p>
          <w:p w14:paraId="64F9845B"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El último de estos requisitos previos consiste en que no se pueden emitir acuerdos de carácter general ni particular, esto es, </w:t>
            </w:r>
            <w:r w:rsidRPr="00236777">
              <w:rPr>
                <w:rFonts w:ascii="Palatino Linotype" w:eastAsia="Palatino Linotype" w:hAnsi="Palatino Linotype" w:cs="Palatino Linotype"/>
                <w:color w:val="000000" w:themeColor="text1"/>
                <w:u w:val="single"/>
                <w:lang w:val="es-MX"/>
              </w:rPr>
              <w:t>no se puede hacer un acuerdo para clasificar de manera general todos los documentos de un expediente o área, sin</w:t>
            </w:r>
            <w:r w:rsidRPr="00236777">
              <w:rPr>
                <w:rFonts w:ascii="Palatino Linotype" w:eastAsia="Palatino Linotype" w:hAnsi="Palatino Linotype" w:cs="Palatino Linotype"/>
                <w:color w:val="000000" w:themeColor="text1"/>
                <w:lang w:val="es-MX"/>
              </w:rPr>
              <w:t xml:space="preserve"> individualizar su análisis y tampoco se puede hacer un acuerdo por cada dato que se vaya a clasificar dentro de un documento con diez datos, por ejemplo, susceptibles de ser clasificados.</w:t>
            </w:r>
          </w:p>
        </w:tc>
      </w:tr>
      <w:tr w:rsidR="009C36C0" w:rsidRPr="00236777" w14:paraId="3CC6F85F" w14:textId="77777777" w:rsidTr="00EB7330">
        <w:tc>
          <w:tcPr>
            <w:tcW w:w="1838" w:type="dxa"/>
          </w:tcPr>
          <w:p w14:paraId="601F505C" w14:textId="77777777" w:rsidR="00383E54" w:rsidRPr="00236777" w:rsidRDefault="00383E54" w:rsidP="009C36C0">
            <w:pPr>
              <w:tabs>
                <w:tab w:val="left" w:pos="284"/>
              </w:tabs>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b) Supuestos de clasificación.</w:t>
            </w:r>
          </w:p>
        </w:tc>
        <w:tc>
          <w:tcPr>
            <w:tcW w:w="7513" w:type="dxa"/>
          </w:tcPr>
          <w:p w14:paraId="2C5AB4E9"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Las disposiciones constitucionales y legales en la materia establecen los dos supuestos generales para clasificar la información: por reserva y por confidencialidad.</w:t>
            </w:r>
          </w:p>
          <w:p w14:paraId="2EDB202B"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76DDD13"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El </w:t>
            </w:r>
            <w:r w:rsidRPr="00236777">
              <w:rPr>
                <w:rFonts w:ascii="Palatino Linotype" w:eastAsia="Palatino Linotype" w:hAnsi="Palatino Linotype" w:cs="Palatino Linotype"/>
                <w:b/>
                <w:color w:val="000000" w:themeColor="text1"/>
                <w:lang w:val="es-MX"/>
              </w:rPr>
              <w:t>Sujeto Obligado</w:t>
            </w:r>
            <w:r w:rsidRPr="00236777">
              <w:rPr>
                <w:rFonts w:ascii="Palatino Linotype" w:eastAsia="Palatino Linotype" w:hAnsi="Palatino Linotype" w:cs="Palatino Linotype"/>
                <w:color w:val="000000" w:themeColor="text1"/>
                <w:lang w:val="es-MX"/>
              </w:rPr>
              <w:t xml:space="preserve"> debe identificar claramente el tipo de información y hacer un juicio de subsunción o encaje para acreditar que el supuesto de hecho corresponde estrictamente con la hipótesis </w:t>
            </w:r>
            <w:r w:rsidRPr="00236777">
              <w:rPr>
                <w:rFonts w:ascii="Palatino Linotype" w:eastAsia="Palatino Linotype" w:hAnsi="Palatino Linotype" w:cs="Palatino Linotype"/>
                <w:color w:val="000000" w:themeColor="text1"/>
                <w:lang w:val="es-MX"/>
              </w:rPr>
              <w:lastRenderedPageBreak/>
              <w:t>jurídica. Esto también lo debe de realizar el servidor público habilitado y el titular del área que administra la información.</w:t>
            </w:r>
          </w:p>
        </w:tc>
      </w:tr>
      <w:tr w:rsidR="009C36C0" w:rsidRPr="00236777" w14:paraId="619CC91D" w14:textId="77777777" w:rsidTr="00EB7330">
        <w:tc>
          <w:tcPr>
            <w:tcW w:w="1838" w:type="dxa"/>
          </w:tcPr>
          <w:p w14:paraId="38331F84" w14:textId="77777777" w:rsidR="00383E54" w:rsidRPr="00236777" w:rsidRDefault="00383E54" w:rsidP="009C36C0">
            <w:pPr>
              <w:tabs>
                <w:tab w:val="left" w:pos="284"/>
              </w:tabs>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lastRenderedPageBreak/>
              <w:t>c) Formalidades para emitir el acuerdo de clasificación.</w:t>
            </w:r>
          </w:p>
        </w:tc>
        <w:tc>
          <w:tcPr>
            <w:tcW w:w="7513" w:type="dxa"/>
          </w:tcPr>
          <w:p w14:paraId="1C4CDDFA"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El Comité de Transparencia, según lo dispuesto en los artículos cuenta con las facultades para aprobar, modificar o revocar la clasificación de la información que haya propuesto. </w:t>
            </w:r>
          </w:p>
          <w:p w14:paraId="4BEC7D30"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Es necesario que </w:t>
            </w:r>
            <w:r w:rsidRPr="00236777">
              <w:rPr>
                <w:rFonts w:ascii="Palatino Linotype" w:eastAsia="Palatino Linotype" w:hAnsi="Palatino Linotype" w:cs="Palatino Linotype"/>
                <w:b/>
                <w:color w:val="000000" w:themeColor="text1"/>
                <w:u w:val="single"/>
                <w:lang w:val="es-MX"/>
              </w:rPr>
              <w:t>el acto reúna con los requisitos elementales</w:t>
            </w:r>
            <w:r w:rsidRPr="00236777">
              <w:rPr>
                <w:rFonts w:ascii="Palatino Linotype" w:eastAsia="Palatino Linotype" w:hAnsi="Palatino Linotype" w:cs="Palatino Linotype"/>
                <w:color w:val="000000" w:themeColor="text1"/>
                <w:lang w:val="es-MX"/>
              </w:rPr>
              <w:t>, entre ellos, que la autoridad que va a emitir el acto de autoridad sea la legalmente facultada para ello.</w:t>
            </w:r>
          </w:p>
          <w:p w14:paraId="4A8B6B36"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C36C0" w:rsidRPr="00236777" w14:paraId="71A99DD1" w14:textId="77777777" w:rsidTr="00EB7330">
        <w:tc>
          <w:tcPr>
            <w:tcW w:w="1838" w:type="dxa"/>
          </w:tcPr>
          <w:p w14:paraId="56DC36D9" w14:textId="77777777" w:rsidR="00383E54" w:rsidRPr="00236777" w:rsidRDefault="00383E54" w:rsidP="009C36C0">
            <w:pPr>
              <w:tabs>
                <w:tab w:val="left" w:pos="284"/>
              </w:tabs>
              <w:rPr>
                <w:rFonts w:ascii="Palatino Linotype" w:eastAsia="Palatino Linotype" w:hAnsi="Palatino Linotype" w:cs="Palatino Linotype"/>
                <w:color w:val="000000" w:themeColor="text1"/>
                <w:lang w:val="es-MX"/>
              </w:rPr>
            </w:pPr>
          </w:p>
          <w:p w14:paraId="59311073"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d) Requisitos de fondo del acuerdo de clasificación. </w:t>
            </w:r>
          </w:p>
        </w:tc>
        <w:tc>
          <w:tcPr>
            <w:tcW w:w="7513" w:type="dxa"/>
          </w:tcPr>
          <w:p w14:paraId="4A510204"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36777">
              <w:rPr>
                <w:rFonts w:ascii="Palatino Linotype" w:eastAsia="Palatino Linotype" w:hAnsi="Palatino Linotype" w:cs="Palatino Linotype"/>
                <w:b/>
                <w:color w:val="000000" w:themeColor="text1"/>
                <w:lang w:val="es-MX"/>
              </w:rPr>
              <w:t>Sujetos Obligados</w:t>
            </w:r>
            <w:r w:rsidRPr="00236777">
              <w:rPr>
                <w:rFonts w:ascii="Palatino Linotype" w:eastAsia="Palatino Linotype" w:hAnsi="Palatino Linotype" w:cs="Palatino Linotype"/>
                <w:color w:val="000000" w:themeColor="text1"/>
                <w:lang w:val="es-MX"/>
              </w:rPr>
              <w:t xml:space="preserve">, por lo que deberán fundar y motivar debidamente la clasificación. </w:t>
            </w:r>
          </w:p>
          <w:p w14:paraId="20C71F0F"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De lo anterior, se desprende que para una correcta </w:t>
            </w:r>
            <w:r w:rsidRPr="00236777">
              <w:rPr>
                <w:rFonts w:ascii="Palatino Linotype" w:eastAsia="Palatino Linotype" w:hAnsi="Palatino Linotype" w:cs="Palatino Linotype"/>
                <w:b/>
                <w:color w:val="000000" w:themeColor="text1"/>
                <w:lang w:val="es-MX"/>
              </w:rPr>
              <w:t>clasificación total o parcial</w:t>
            </w:r>
            <w:r w:rsidRPr="00236777">
              <w:rPr>
                <w:rFonts w:ascii="Palatino Linotype" w:eastAsia="Palatino Linotype" w:hAnsi="Palatino Linotype" w:cs="Palatino Linotype"/>
                <w:color w:val="000000" w:themeColor="text1"/>
                <w:lang w:val="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FF407E"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w:t>
            </w:r>
            <w:r w:rsidRPr="00236777">
              <w:rPr>
                <w:rFonts w:ascii="Palatino Linotype" w:eastAsia="Palatino Linotype" w:hAnsi="Palatino Linotype" w:cs="Palatino Linotype"/>
                <w:color w:val="000000" w:themeColor="text1"/>
                <w:lang w:val="es-MX"/>
              </w:rPr>
              <w:lastRenderedPageBreak/>
              <w:t>afectada pueda impugnar la decisión, permitiéndole una real y auténtica defensa.</w:t>
            </w:r>
          </w:p>
          <w:p w14:paraId="0859E48A"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En ese mismo sentido, el numeral trigésimo tercero fracción V de los Lineamientos Generales, precisa que para motivar la clasificación se deben acreditar las circunstancias de tiempo, modo y lugar.</w:t>
            </w:r>
          </w:p>
          <w:p w14:paraId="7BA12F89"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Ahora bien, </w:t>
            </w:r>
            <w:r w:rsidRPr="00236777">
              <w:rPr>
                <w:rFonts w:ascii="Palatino Linotype" w:eastAsia="Palatino Linotype" w:hAnsi="Palatino Linotype" w:cs="Palatino Linotype"/>
                <w:b/>
                <w:color w:val="000000" w:themeColor="text1"/>
                <w:u w:val="single"/>
                <w:lang w:val="es-MX"/>
              </w:rPr>
              <w:t>para cada caso además de fundar y motivar</w:t>
            </w:r>
            <w:r w:rsidRPr="00236777">
              <w:rPr>
                <w:rFonts w:ascii="Palatino Linotype" w:eastAsia="Palatino Linotype" w:hAnsi="Palatino Linotype" w:cs="Palatino Linotype"/>
                <w:color w:val="000000" w:themeColor="text1"/>
                <w:lang w:val="es-MX"/>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83E54" w:rsidRPr="00236777" w14:paraId="7C885F8A" w14:textId="77777777" w:rsidTr="00EB7330">
        <w:tc>
          <w:tcPr>
            <w:tcW w:w="1838" w:type="dxa"/>
          </w:tcPr>
          <w:p w14:paraId="13184F4B"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lastRenderedPageBreak/>
              <w:t xml:space="preserve">e) Condiciones especiales de la clasificación de la información como confidencial. </w:t>
            </w:r>
          </w:p>
        </w:tc>
        <w:tc>
          <w:tcPr>
            <w:tcW w:w="7513" w:type="dxa"/>
          </w:tcPr>
          <w:p w14:paraId="26A6A72C"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Los artículos 148 y 120 de la Ley Estatal y de la Ley General, respectivamente, establecen que aun tratándose de datos personales, se podrán proporcionar, incluso sin solicitar el consentimiento de su titular. </w:t>
            </w:r>
          </w:p>
          <w:p w14:paraId="6267FBEE" w14:textId="77777777" w:rsidR="00383E54" w:rsidRPr="00236777" w:rsidRDefault="00383E54" w:rsidP="009C36C0">
            <w:pPr>
              <w:tabs>
                <w:tab w:val="left" w:pos="284"/>
              </w:tabs>
              <w:jc w:val="both"/>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A38B519" w14:textId="77777777" w:rsidR="00383E54" w:rsidRPr="00236777" w:rsidRDefault="00383E54" w:rsidP="009C36C0">
            <w:pPr>
              <w:tabs>
                <w:tab w:val="left" w:pos="284"/>
              </w:tabs>
              <w:rPr>
                <w:rFonts w:ascii="Palatino Linotype" w:eastAsia="Palatino Linotype" w:hAnsi="Palatino Linotype" w:cs="Palatino Linotype"/>
                <w:color w:val="000000" w:themeColor="text1"/>
                <w:lang w:val="es-MX"/>
              </w:rPr>
            </w:pPr>
            <w:r w:rsidRPr="00236777">
              <w:rPr>
                <w:rFonts w:ascii="Palatino Linotype" w:eastAsia="Palatino Linotype" w:hAnsi="Palatino Linotype" w:cs="Palatino Linotype"/>
                <w:color w:val="000000" w:themeColor="text1"/>
                <w:lang w:val="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6C61AB6" w14:textId="77777777" w:rsidR="00383E54" w:rsidRPr="00236777" w:rsidRDefault="00383E54" w:rsidP="009C36C0">
      <w:pPr>
        <w:spacing w:line="360" w:lineRule="auto"/>
        <w:jc w:val="both"/>
        <w:rPr>
          <w:rFonts w:ascii="Palatino Linotype" w:eastAsia="Palatino Linotype" w:hAnsi="Palatino Linotype" w:cs="Palatino Linotype"/>
          <w:color w:val="000000" w:themeColor="text1"/>
        </w:rPr>
      </w:pPr>
    </w:p>
    <w:p w14:paraId="48FB690C"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6FF9BC49" w14:textId="77777777" w:rsidR="001E6BD3" w:rsidRPr="00236777" w:rsidRDefault="001E6BD3"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Debido a lo anteriormente expuesto, este Instituto estima que las razones o motivos de inconformidad hechos valer por </w:t>
      </w:r>
      <w:r w:rsidRPr="00236777">
        <w:rPr>
          <w:rFonts w:ascii="Palatino Linotype" w:eastAsia="Palatino Linotype" w:hAnsi="Palatino Linotype" w:cs="Palatino Linotype"/>
          <w:b/>
          <w:color w:val="000000" w:themeColor="text1"/>
        </w:rPr>
        <w:t>EL RECURRENTE</w:t>
      </w:r>
      <w:r w:rsidRPr="00236777">
        <w:rPr>
          <w:rFonts w:ascii="Palatino Linotype" w:eastAsia="Palatino Linotype" w:hAnsi="Palatino Linotype" w:cs="Palatino Linotype"/>
          <w:color w:val="000000" w:themeColor="text1"/>
        </w:rPr>
        <w:t xml:space="preserve"> devienen suficientes para</w:t>
      </w:r>
      <w:r w:rsidRPr="00236777">
        <w:rPr>
          <w:rFonts w:ascii="Palatino Linotype" w:eastAsia="Palatino Linotype" w:hAnsi="Palatino Linotype" w:cs="Palatino Linotype"/>
          <w:b/>
          <w:color w:val="000000" w:themeColor="text1"/>
        </w:rPr>
        <w:t xml:space="preserve"> REVOCAR</w:t>
      </w:r>
      <w:r w:rsidRPr="00236777">
        <w:rPr>
          <w:rFonts w:ascii="Palatino Linotype" w:eastAsia="Palatino Linotype" w:hAnsi="Palatino Linotype" w:cs="Palatino Linotype"/>
          <w:color w:val="000000" w:themeColor="text1"/>
        </w:rPr>
        <w:t xml:space="preserve"> la respuesta a la solicitud de acceso </w:t>
      </w:r>
      <w:r w:rsidRPr="00236777">
        <w:rPr>
          <w:rFonts w:ascii="Palatino Linotype" w:eastAsia="Palatino Linotype" w:hAnsi="Palatino Linotype" w:cs="Palatino Linotype"/>
          <w:b/>
          <w:bCs/>
          <w:color w:val="000000" w:themeColor="text1"/>
        </w:rPr>
        <w:t>00147/SECTI/IP/2025</w:t>
      </w:r>
      <w:r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color w:val="000000" w:themeColor="text1"/>
        </w:rPr>
        <w:t xml:space="preserve">que origino el Recurso de Revisión </w:t>
      </w:r>
      <w:r w:rsidRPr="00236777">
        <w:rPr>
          <w:rFonts w:ascii="Palatino Linotype" w:eastAsia="Palatino Linotype" w:hAnsi="Palatino Linotype" w:cs="Palatino Linotype"/>
          <w:b/>
          <w:bCs/>
          <w:color w:val="000000" w:themeColor="text1"/>
        </w:rPr>
        <w:t xml:space="preserve"> 01823/INFOEM/IP/RR/2025</w:t>
      </w:r>
      <w:r w:rsidRPr="00236777">
        <w:rPr>
          <w:rFonts w:ascii="Palatino Linotype" w:eastAsia="Palatino Linotype" w:hAnsi="Palatino Linotype" w:cs="Palatino Linotype"/>
          <w:b/>
          <w:color w:val="000000" w:themeColor="text1"/>
        </w:rPr>
        <w:t>.</w:t>
      </w:r>
    </w:p>
    <w:p w14:paraId="5AB92EEF" w14:textId="77777777" w:rsidR="001E6BD3" w:rsidRPr="00236777" w:rsidRDefault="001E6BD3" w:rsidP="009C36C0">
      <w:pPr>
        <w:spacing w:line="360" w:lineRule="auto"/>
        <w:contextualSpacing/>
        <w:jc w:val="both"/>
        <w:rPr>
          <w:rFonts w:ascii="Palatino Linotype" w:eastAsia="Palatino Linotype" w:hAnsi="Palatino Linotype" w:cs="Palatino Linotype"/>
          <w:color w:val="000000" w:themeColor="text1"/>
        </w:rPr>
      </w:pPr>
    </w:p>
    <w:p w14:paraId="0D4A6EC1" w14:textId="77777777" w:rsidR="001E6BD3" w:rsidRPr="00236777" w:rsidRDefault="001E6BD3" w:rsidP="009C36C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lastRenderedPageBreak/>
        <w:t xml:space="preserve">Así, con fundamento en lo previsto en los artículos 5, párrafo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7B87931D" w14:textId="77777777" w:rsidR="00A21845" w:rsidRPr="00236777" w:rsidRDefault="00A21845" w:rsidP="009C36C0">
      <w:pPr>
        <w:pBdr>
          <w:top w:val="nil"/>
          <w:left w:val="nil"/>
          <w:bottom w:val="nil"/>
          <w:right w:val="nil"/>
          <w:between w:val="nil"/>
        </w:pBdr>
        <w:rPr>
          <w:rFonts w:ascii="Palatino Linotype" w:eastAsia="Palatino Linotype" w:hAnsi="Palatino Linotype" w:cs="Palatino Linotype"/>
          <w:color w:val="000000" w:themeColor="text1"/>
        </w:rPr>
      </w:pPr>
    </w:p>
    <w:p w14:paraId="444ED51E" w14:textId="77777777" w:rsidR="001E6BD3" w:rsidRPr="00236777" w:rsidRDefault="001E6BD3" w:rsidP="009C36C0">
      <w:pPr>
        <w:keepNext/>
        <w:keepLines/>
        <w:spacing w:line="360" w:lineRule="auto"/>
        <w:jc w:val="center"/>
        <w:outlineLvl w:val="0"/>
        <w:rPr>
          <w:rFonts w:ascii="Palatino Linotype" w:eastAsia="Palatino Linotype" w:hAnsi="Palatino Linotype" w:cs="Palatino Linotype"/>
          <w:b/>
          <w:color w:val="000000" w:themeColor="text1"/>
        </w:rPr>
      </w:pPr>
      <w:r w:rsidRPr="00236777">
        <w:rPr>
          <w:rFonts w:ascii="Palatino Linotype" w:eastAsia="Palatino Linotype" w:hAnsi="Palatino Linotype" w:cs="Palatino Linotype"/>
          <w:b/>
          <w:color w:val="000000" w:themeColor="text1"/>
        </w:rPr>
        <w:t>R E S O L U T I V O S</w:t>
      </w:r>
    </w:p>
    <w:p w14:paraId="695C39BA" w14:textId="77777777" w:rsidR="006A7DEF" w:rsidRPr="00236777" w:rsidRDefault="006A7DEF" w:rsidP="00EB7330">
      <w:pPr>
        <w:pBdr>
          <w:top w:val="nil"/>
          <w:left w:val="nil"/>
          <w:bottom w:val="nil"/>
          <w:right w:val="nil"/>
          <w:between w:val="nil"/>
        </w:pBdr>
        <w:spacing w:line="360" w:lineRule="auto"/>
        <w:rPr>
          <w:rFonts w:ascii="Palatino Linotype" w:eastAsia="Palatino Linotype" w:hAnsi="Palatino Linotype" w:cs="Palatino Linotype"/>
          <w:b/>
          <w:color w:val="000000" w:themeColor="text1"/>
        </w:rPr>
      </w:pPr>
    </w:p>
    <w:p w14:paraId="7D7C0616" w14:textId="77777777" w:rsidR="001E6BD3" w:rsidRPr="00236777" w:rsidRDefault="001E6BD3"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b/>
          <w:color w:val="000000" w:themeColor="text1"/>
        </w:rPr>
        <w:t>PRIMERO</w:t>
      </w:r>
      <w:r w:rsidRPr="00236777">
        <w:rPr>
          <w:rFonts w:ascii="Palatino Linotype" w:eastAsia="Palatino Linotype" w:hAnsi="Palatino Linotype" w:cs="Palatino Linotype"/>
          <w:color w:val="000000" w:themeColor="text1"/>
        </w:rPr>
        <w:t xml:space="preserve">. Resultan </w:t>
      </w:r>
      <w:r w:rsidRPr="00236777">
        <w:rPr>
          <w:rFonts w:ascii="Palatino Linotype" w:eastAsia="Palatino Linotype" w:hAnsi="Palatino Linotype" w:cs="Palatino Linotype"/>
          <w:b/>
          <w:color w:val="000000" w:themeColor="text1"/>
        </w:rPr>
        <w:t>fundadas</w:t>
      </w:r>
      <w:r w:rsidRPr="00236777">
        <w:rPr>
          <w:rFonts w:ascii="Palatino Linotype" w:eastAsia="Palatino Linotype" w:hAnsi="Palatino Linotype" w:cs="Palatino Linotype"/>
          <w:color w:val="000000" w:themeColor="text1"/>
        </w:rPr>
        <w:t xml:space="preserve"> las razones o motivos de inconformidad planteadas por </w:t>
      </w:r>
      <w:r w:rsidRPr="00236777">
        <w:rPr>
          <w:rFonts w:ascii="Palatino Linotype" w:eastAsia="Palatino Linotype" w:hAnsi="Palatino Linotype" w:cs="Palatino Linotype"/>
          <w:b/>
          <w:color w:val="000000" w:themeColor="text1"/>
        </w:rPr>
        <w:t>EL RECURRENTE</w:t>
      </w:r>
      <w:r w:rsidRPr="00236777">
        <w:rPr>
          <w:rFonts w:ascii="Palatino Linotype" w:eastAsia="Palatino Linotype" w:hAnsi="Palatino Linotype" w:cs="Palatino Linotype"/>
          <w:color w:val="000000" w:themeColor="text1"/>
        </w:rPr>
        <w:t xml:space="preserve">, en términos del Considerando </w:t>
      </w:r>
      <w:r w:rsidRPr="00236777">
        <w:rPr>
          <w:rFonts w:ascii="Palatino Linotype" w:eastAsia="Palatino Linotype" w:hAnsi="Palatino Linotype" w:cs="Palatino Linotype"/>
          <w:b/>
          <w:color w:val="000000" w:themeColor="text1"/>
        </w:rPr>
        <w:t>CUARTO</w:t>
      </w:r>
      <w:r w:rsidRPr="00236777">
        <w:rPr>
          <w:rFonts w:ascii="Palatino Linotype" w:eastAsia="Palatino Linotype" w:hAnsi="Palatino Linotype" w:cs="Palatino Linotype"/>
          <w:color w:val="000000" w:themeColor="text1"/>
        </w:rPr>
        <w:t xml:space="preserve"> de la presente resolución.</w:t>
      </w:r>
    </w:p>
    <w:p w14:paraId="1A026644"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691A044F" w14:textId="77777777" w:rsidR="001E6BD3" w:rsidRPr="00236777" w:rsidRDefault="001E6BD3"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b/>
          <w:color w:val="000000" w:themeColor="text1"/>
        </w:rPr>
        <w:t>SEGUNDO</w:t>
      </w:r>
      <w:r w:rsidRPr="00236777">
        <w:rPr>
          <w:rFonts w:ascii="Palatino Linotype" w:eastAsia="Palatino Linotype" w:hAnsi="Palatino Linotype" w:cs="Palatino Linotype"/>
          <w:color w:val="000000" w:themeColor="text1"/>
        </w:rPr>
        <w:t xml:space="preserve">. Se </w:t>
      </w:r>
      <w:r w:rsidRPr="00236777">
        <w:rPr>
          <w:rFonts w:ascii="Palatino Linotype" w:eastAsia="Palatino Linotype" w:hAnsi="Palatino Linotype" w:cs="Palatino Linotype"/>
          <w:b/>
          <w:color w:val="000000" w:themeColor="text1"/>
        </w:rPr>
        <w:t xml:space="preserve">REVOCA </w:t>
      </w:r>
      <w:r w:rsidRPr="00236777">
        <w:rPr>
          <w:rFonts w:ascii="Palatino Linotype" w:eastAsia="Palatino Linotype" w:hAnsi="Palatino Linotype" w:cs="Palatino Linotype"/>
          <w:color w:val="000000" w:themeColor="text1"/>
        </w:rPr>
        <w:t>la respuesta proporcionada por la</w:t>
      </w:r>
      <w:r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b/>
          <w:bCs/>
          <w:color w:val="000000" w:themeColor="text1"/>
        </w:rPr>
        <w:t>Secretaría de Educación, Ciencia, Tecnología e Innovación</w:t>
      </w:r>
      <w:r w:rsidRPr="00236777">
        <w:rPr>
          <w:rFonts w:ascii="Palatino Linotype" w:eastAsia="Palatino Linotype" w:hAnsi="Palatino Linotype" w:cs="Palatino Linotype"/>
          <w:color w:val="000000" w:themeColor="text1"/>
        </w:rPr>
        <w:t xml:space="preserve"> a la solicitud de información </w:t>
      </w:r>
      <w:r w:rsidRPr="00236777">
        <w:rPr>
          <w:rFonts w:ascii="Palatino Linotype" w:eastAsia="Palatino Linotype" w:hAnsi="Palatino Linotype" w:cs="Palatino Linotype"/>
          <w:b/>
          <w:bCs/>
          <w:color w:val="000000" w:themeColor="text1"/>
        </w:rPr>
        <w:t>00147/SECTI/IP/2025</w:t>
      </w:r>
      <w:r w:rsidRPr="00236777">
        <w:rPr>
          <w:rFonts w:ascii="Palatino Linotype" w:eastAsia="Palatino Linotype" w:hAnsi="Palatino Linotype" w:cs="Palatino Linotype"/>
          <w:b/>
          <w:color w:val="000000" w:themeColor="text1"/>
        </w:rPr>
        <w:t xml:space="preserve">, </w:t>
      </w:r>
      <w:r w:rsidRPr="00236777">
        <w:rPr>
          <w:rFonts w:ascii="Palatino Linotype" w:eastAsia="Palatino Linotype" w:hAnsi="Palatino Linotype" w:cs="Palatino Linotype"/>
          <w:color w:val="000000" w:themeColor="text1"/>
        </w:rPr>
        <w:t>en términos del considerando</w:t>
      </w:r>
      <w:r w:rsidRPr="00236777">
        <w:rPr>
          <w:rFonts w:ascii="Palatino Linotype" w:eastAsia="Palatino Linotype" w:hAnsi="Palatino Linotype" w:cs="Palatino Linotype"/>
          <w:b/>
          <w:color w:val="000000" w:themeColor="text1"/>
        </w:rPr>
        <w:t xml:space="preserve"> CUARTO </w:t>
      </w:r>
      <w:r w:rsidRPr="00236777">
        <w:rPr>
          <w:rFonts w:ascii="Palatino Linotype" w:eastAsia="Palatino Linotype" w:hAnsi="Palatino Linotype" w:cs="Palatino Linotype"/>
          <w:color w:val="000000" w:themeColor="text1"/>
        </w:rPr>
        <w:t xml:space="preserve">de la presente resolución y se </w:t>
      </w:r>
      <w:r w:rsidRPr="00236777">
        <w:rPr>
          <w:rFonts w:ascii="Palatino Linotype" w:eastAsia="Palatino Linotype" w:hAnsi="Palatino Linotype" w:cs="Palatino Linotype"/>
          <w:b/>
          <w:color w:val="000000" w:themeColor="text1"/>
        </w:rPr>
        <w:t>ORDENA</w:t>
      </w:r>
      <w:r w:rsidRPr="00236777">
        <w:rPr>
          <w:rFonts w:ascii="Palatino Linotype" w:eastAsia="Palatino Linotype" w:hAnsi="Palatino Linotype" w:cs="Palatino Linotype"/>
          <w:color w:val="000000" w:themeColor="text1"/>
        </w:rPr>
        <w:t xml:space="preserve"> entregue al</w:t>
      </w:r>
      <w:r w:rsidRPr="00236777">
        <w:rPr>
          <w:rFonts w:ascii="Palatino Linotype" w:eastAsia="Palatino Linotype" w:hAnsi="Palatino Linotype" w:cs="Palatino Linotype"/>
          <w:b/>
          <w:color w:val="000000" w:themeColor="text1"/>
        </w:rPr>
        <w:t xml:space="preserve"> RECURRENTE, </w:t>
      </w:r>
      <w:r w:rsidRPr="00236777">
        <w:rPr>
          <w:rFonts w:ascii="Palatino Linotype" w:eastAsia="Palatino Linotype" w:hAnsi="Palatino Linotype" w:cs="Palatino Linotype"/>
          <w:color w:val="000000" w:themeColor="text1"/>
        </w:rPr>
        <w:t xml:space="preserve">a través del Sistema de Acceso a la Información Mexiquense </w:t>
      </w:r>
      <w:r w:rsidRPr="00236777">
        <w:rPr>
          <w:rFonts w:ascii="Palatino Linotype" w:eastAsia="Palatino Linotype" w:hAnsi="Palatino Linotype" w:cs="Palatino Linotype"/>
          <w:b/>
          <w:color w:val="000000" w:themeColor="text1"/>
        </w:rPr>
        <w:t>(SAIMEX)</w:t>
      </w:r>
      <w:r w:rsidRPr="00236777">
        <w:rPr>
          <w:rFonts w:ascii="Palatino Linotype" w:eastAsia="Palatino Linotype" w:hAnsi="Palatino Linotype" w:cs="Palatino Linotype"/>
          <w:color w:val="000000" w:themeColor="text1"/>
        </w:rPr>
        <w:t xml:space="preserve">, </w:t>
      </w:r>
      <w:r w:rsidR="00383E54" w:rsidRPr="00236777">
        <w:rPr>
          <w:rFonts w:ascii="Palatino Linotype" w:eastAsia="Palatino Linotype" w:hAnsi="Palatino Linotype" w:cs="Palatino Linotype"/>
          <w:color w:val="000000" w:themeColor="text1"/>
        </w:rPr>
        <w:t xml:space="preserve">de ser procedente en versión pública, </w:t>
      </w:r>
      <w:r w:rsidRPr="00236777">
        <w:rPr>
          <w:rFonts w:ascii="Palatino Linotype" w:eastAsia="Palatino Linotype" w:hAnsi="Palatino Linotype" w:cs="Palatino Linotype"/>
          <w:color w:val="000000" w:themeColor="text1"/>
        </w:rPr>
        <w:t xml:space="preserve">lo siguiente: </w:t>
      </w:r>
    </w:p>
    <w:p w14:paraId="26244116"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4195C106" w14:textId="77777777" w:rsidR="00FE2313" w:rsidRPr="00236777" w:rsidRDefault="00FE2313" w:rsidP="009C36C0">
      <w:pPr>
        <w:numPr>
          <w:ilvl w:val="0"/>
          <w:numId w:val="3"/>
        </w:numPr>
        <w:spacing w:line="360" w:lineRule="auto"/>
        <w:ind w:left="0"/>
        <w:jc w:val="both"/>
        <w:rPr>
          <w:rFonts w:ascii="Palatino Linotype" w:eastAsia="Palatino Linotype" w:hAnsi="Palatino Linotype" w:cs="Palatino Linotype"/>
          <w:b/>
          <w:color w:val="000000" w:themeColor="text1"/>
        </w:rPr>
      </w:pPr>
      <w:r w:rsidRPr="00236777">
        <w:rPr>
          <w:rFonts w:ascii="Palatino Linotype" w:eastAsia="Palatino Linotype" w:hAnsi="Palatino Linotype" w:cs="Palatino Linotype"/>
          <w:b/>
          <w:color w:val="000000" w:themeColor="text1"/>
        </w:rPr>
        <w:t>Documento en donde conste o se advierta el Presupuesto Asignado al Plantel Educativo con Clave de Centro de Trabajo 15EPR4772L de los ejercicios fiscales 2018, 2019, 2020, 2021, 2022, 2023 y 2024.</w:t>
      </w:r>
    </w:p>
    <w:p w14:paraId="4FBF1F8C" w14:textId="77777777" w:rsidR="00383E54" w:rsidRPr="00236777" w:rsidRDefault="00383E54" w:rsidP="009C36C0">
      <w:pPr>
        <w:spacing w:line="360" w:lineRule="auto"/>
        <w:jc w:val="both"/>
        <w:rPr>
          <w:rFonts w:ascii="Palatino Linotype" w:hAnsi="Palatino Linotype" w:cs="Arial"/>
          <w:color w:val="000000" w:themeColor="text1"/>
        </w:rPr>
      </w:pPr>
    </w:p>
    <w:p w14:paraId="722A30F2" w14:textId="77777777" w:rsidR="00383E54" w:rsidRPr="00236777" w:rsidRDefault="00383E54"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236777">
        <w:rPr>
          <w:rFonts w:ascii="Palatino Linotype" w:eastAsia="Palatino Linotype" w:hAnsi="Palatino Linotype" w:cs="Palatino Linotype"/>
          <w:color w:val="000000" w:themeColor="text1"/>
        </w:rPr>
        <w:lastRenderedPageBreak/>
        <w:t>documental respectivo objeto de las versiones públicas que se formulen y se ponga a disposición de la parte recurrente.</w:t>
      </w:r>
    </w:p>
    <w:p w14:paraId="612CF0BD" w14:textId="77777777" w:rsidR="00FE2313" w:rsidRPr="00236777" w:rsidRDefault="00FE2313" w:rsidP="009C36C0">
      <w:pPr>
        <w:spacing w:line="360" w:lineRule="auto"/>
        <w:jc w:val="both"/>
        <w:rPr>
          <w:rFonts w:ascii="Palatino Linotype" w:eastAsia="Palatino Linotype" w:hAnsi="Palatino Linotype" w:cs="Palatino Linotype"/>
          <w:color w:val="000000" w:themeColor="text1"/>
        </w:rPr>
      </w:pPr>
    </w:p>
    <w:p w14:paraId="3784FE4D" w14:textId="77777777" w:rsidR="00A21845" w:rsidRPr="00236777" w:rsidRDefault="009D61B8"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b/>
          <w:color w:val="000000" w:themeColor="text1"/>
        </w:rPr>
        <w:t>TERCERO. NOTIFÍQUESE</w:t>
      </w:r>
      <w:r w:rsidRPr="00236777">
        <w:rPr>
          <w:rFonts w:ascii="Palatino Linotype" w:eastAsia="Palatino Linotype" w:hAnsi="Palatino Linotype" w:cs="Palatino Linotype"/>
          <w:color w:val="000000" w:themeColor="text1"/>
        </w:rPr>
        <w:t xml:space="preserve"> la presente resolución al Titular de la Unidad de Transparencia del Sujeto Obligado </w:t>
      </w:r>
      <w:r w:rsidRPr="00236777">
        <w:rPr>
          <w:rFonts w:ascii="Palatino Linotype" w:eastAsia="Palatino Linotype" w:hAnsi="Palatino Linotype" w:cs="Palatino Linotype"/>
          <w:b/>
          <w:color w:val="000000" w:themeColor="text1"/>
        </w:rPr>
        <w:t>vía SAIMEX</w:t>
      </w:r>
      <w:r w:rsidRPr="00236777">
        <w:rPr>
          <w:rFonts w:ascii="Palatino Linotype" w:eastAsia="Palatino Linotype" w:hAnsi="Palatino Linotype" w:cs="Palatino Linotype"/>
          <w:color w:val="000000" w:themeColor="text1"/>
        </w:rPr>
        <w:t xml:space="preserve">, para que conforme al artículo 186 último párrafo, 189 segundo párrafo y 194 de la Ley de Transparencia y Acceso a la Información Pública del Estado de México y Municipios; </w:t>
      </w:r>
      <w:r w:rsidRPr="00236777">
        <w:rPr>
          <w:rFonts w:ascii="Palatino Linotype" w:eastAsia="Palatino Linotype" w:hAnsi="Palatino Linotype" w:cs="Palatino Linotype"/>
          <w:b/>
          <w:color w:val="000000" w:themeColor="text1"/>
        </w:rPr>
        <w:t>dé cumplimiento a lo ordenado dentro del plazo de diez días hábiles</w:t>
      </w:r>
      <w:r w:rsidRPr="00236777">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1C9A15"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584FBD64" w14:textId="77777777" w:rsidR="00A21845" w:rsidRPr="00236777" w:rsidRDefault="009D61B8" w:rsidP="009C36C0">
      <w:pPr>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b/>
          <w:color w:val="000000" w:themeColor="text1"/>
        </w:rPr>
        <w:t xml:space="preserve">CUARTO. </w:t>
      </w:r>
      <w:r w:rsidRPr="00236777">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236777">
        <w:rPr>
          <w:rFonts w:ascii="Palatino Linotype" w:eastAsia="Palatino Linotype" w:hAnsi="Palatino Linotype" w:cs="Palatino Linotype"/>
          <w:b/>
          <w:color w:val="000000" w:themeColor="text1"/>
        </w:rPr>
        <w:t>SUJETO OBLIGADO</w:t>
      </w:r>
      <w:r w:rsidRPr="00236777">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06219427"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513D4215" w14:textId="77777777" w:rsidR="00A21845" w:rsidRPr="00236777" w:rsidRDefault="009D61B8" w:rsidP="009C36C0">
      <w:pPr>
        <w:spacing w:line="360" w:lineRule="auto"/>
        <w:jc w:val="both"/>
        <w:rPr>
          <w:rFonts w:ascii="Palatino Linotype" w:eastAsia="Palatino Linotype" w:hAnsi="Palatino Linotype" w:cs="Palatino Linotype"/>
          <w:b/>
          <w:color w:val="000000" w:themeColor="text1"/>
        </w:rPr>
      </w:pPr>
      <w:bookmarkStart w:id="9" w:name="_heading=h.lnxbz9" w:colFirst="0" w:colLast="0"/>
      <w:bookmarkEnd w:id="9"/>
      <w:r w:rsidRPr="00236777">
        <w:rPr>
          <w:rFonts w:ascii="Palatino Linotype" w:eastAsia="Palatino Linotype" w:hAnsi="Palatino Linotype" w:cs="Palatino Linotype"/>
          <w:b/>
          <w:color w:val="000000" w:themeColor="text1"/>
        </w:rPr>
        <w:t xml:space="preserve">QUINTO. </w:t>
      </w:r>
      <w:r w:rsidRPr="00236777">
        <w:rPr>
          <w:rFonts w:ascii="Palatino Linotype" w:eastAsia="Palatino Linotype" w:hAnsi="Palatino Linotype" w:cs="Palatino Linotype"/>
          <w:color w:val="000000" w:themeColor="text1"/>
        </w:rPr>
        <w:t xml:space="preserve">Notifíquese a </w:t>
      </w:r>
      <w:r w:rsidRPr="00236777">
        <w:rPr>
          <w:rFonts w:ascii="Palatino Linotype" w:eastAsia="Palatino Linotype" w:hAnsi="Palatino Linotype" w:cs="Palatino Linotype"/>
          <w:b/>
          <w:color w:val="000000" w:themeColor="text1"/>
        </w:rPr>
        <w:t>EL RECURRENTE</w:t>
      </w:r>
      <w:r w:rsidRPr="00236777">
        <w:rPr>
          <w:rFonts w:ascii="Palatino Linotype" w:eastAsia="Palatino Linotype" w:hAnsi="Palatino Linotype" w:cs="Palatino Linotype"/>
          <w:color w:val="000000" w:themeColor="text1"/>
        </w:rPr>
        <w:t xml:space="preserve"> la presente resolución, </w:t>
      </w:r>
      <w:r w:rsidRPr="00236777">
        <w:rPr>
          <w:rFonts w:ascii="Palatino Linotype" w:eastAsia="Palatino Linotype" w:hAnsi="Palatino Linotype" w:cs="Palatino Linotype"/>
          <w:b/>
          <w:color w:val="000000" w:themeColor="text1"/>
        </w:rPr>
        <w:t>vía SAIMEX.</w:t>
      </w:r>
    </w:p>
    <w:p w14:paraId="361CF606" w14:textId="77777777" w:rsidR="00A21845" w:rsidRPr="00236777" w:rsidRDefault="00A21845" w:rsidP="009C36C0">
      <w:pPr>
        <w:spacing w:line="360" w:lineRule="auto"/>
        <w:jc w:val="both"/>
        <w:rPr>
          <w:rFonts w:ascii="Palatino Linotype" w:eastAsia="Palatino Linotype" w:hAnsi="Palatino Linotype" w:cs="Palatino Linotype"/>
          <w:color w:val="000000" w:themeColor="text1"/>
        </w:rPr>
      </w:pPr>
    </w:p>
    <w:p w14:paraId="2DD5719E" w14:textId="331A0A8C" w:rsidR="00A21845" w:rsidRPr="00236777" w:rsidRDefault="009D61B8" w:rsidP="006A7DEF">
      <w:pPr>
        <w:tabs>
          <w:tab w:val="left" w:pos="8080"/>
        </w:tabs>
        <w:spacing w:line="360" w:lineRule="auto"/>
        <w:jc w:val="both"/>
        <w:rPr>
          <w:rFonts w:ascii="Palatino Linotype" w:eastAsia="Palatino Linotype" w:hAnsi="Palatino Linotype" w:cs="Palatino Linotype"/>
          <w:color w:val="000000" w:themeColor="text1"/>
        </w:rPr>
      </w:pPr>
      <w:r w:rsidRPr="00236777">
        <w:rPr>
          <w:rFonts w:ascii="Palatino Linotype" w:eastAsia="Palatino Linotype" w:hAnsi="Palatino Linotype" w:cs="Palatino Linotype"/>
          <w:b/>
          <w:color w:val="000000" w:themeColor="text1"/>
        </w:rPr>
        <w:t>SEXTO.</w:t>
      </w:r>
      <w:r w:rsidRPr="00236777">
        <w:rPr>
          <w:rFonts w:ascii="Palatino Linotype" w:eastAsia="Palatino Linotype" w:hAnsi="Palatino Linotype" w:cs="Palatino Linotype"/>
          <w:color w:val="000000" w:themeColor="text1"/>
        </w:rPr>
        <w:t xml:space="preserve"> Se hace del conocimiento del </w:t>
      </w:r>
      <w:r w:rsidRPr="00236777">
        <w:rPr>
          <w:rFonts w:ascii="Palatino Linotype" w:eastAsia="Palatino Linotype" w:hAnsi="Palatino Linotype" w:cs="Palatino Linotype"/>
          <w:b/>
          <w:color w:val="000000" w:themeColor="text1"/>
        </w:rPr>
        <w:t>RECURRENTE</w:t>
      </w:r>
      <w:r w:rsidRPr="00236777">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w:t>
      </w:r>
      <w:r w:rsidR="006A7DEF" w:rsidRPr="00236777">
        <w:rPr>
          <w:rFonts w:ascii="Palatino Linotype" w:eastAsia="Palatino Linotype" w:hAnsi="Palatino Linotype" w:cs="Palatino Linotype"/>
          <w:color w:val="000000" w:themeColor="text1"/>
        </w:rPr>
        <w:t xml:space="preserve"> </w:t>
      </w:r>
      <w:r w:rsidRPr="00236777">
        <w:rPr>
          <w:rFonts w:ascii="Palatino Linotype" w:eastAsia="Palatino Linotype" w:hAnsi="Palatino Linotype" w:cs="Palatino Linotype"/>
          <w:color w:val="000000" w:themeColor="text1"/>
        </w:rPr>
        <w:t xml:space="preserve">Pública del Estado de México y Municipios, en caso de que considere que la resolución le </w:t>
      </w:r>
      <w:r w:rsidRPr="00236777">
        <w:rPr>
          <w:rFonts w:ascii="Palatino Linotype" w:eastAsia="Palatino Linotype" w:hAnsi="Palatino Linotype" w:cs="Palatino Linotype"/>
          <w:color w:val="000000" w:themeColor="text1"/>
        </w:rPr>
        <w:lastRenderedPageBreak/>
        <w:t>cause algún perjuicio podrá impugnarla, vía juicio de amparo en los</w:t>
      </w:r>
      <w:r w:rsidR="006A7DEF" w:rsidRPr="00236777">
        <w:rPr>
          <w:rFonts w:ascii="Palatino Linotype" w:eastAsia="Palatino Linotype" w:hAnsi="Palatino Linotype" w:cs="Palatino Linotype"/>
          <w:color w:val="000000" w:themeColor="text1"/>
        </w:rPr>
        <w:t xml:space="preserve"> </w:t>
      </w:r>
      <w:r w:rsidRPr="00236777">
        <w:rPr>
          <w:rFonts w:ascii="Palatino Linotype" w:eastAsia="Palatino Linotype" w:hAnsi="Palatino Linotype" w:cs="Palatino Linotype"/>
          <w:color w:val="000000" w:themeColor="text1"/>
        </w:rPr>
        <w:t>Términos de las Leyes aplicables.</w:t>
      </w:r>
    </w:p>
    <w:p w14:paraId="70748EB1" w14:textId="77777777" w:rsidR="00A21845" w:rsidRPr="00236777" w:rsidRDefault="00A21845" w:rsidP="009C36C0">
      <w:pPr>
        <w:shd w:val="clear" w:color="auto" w:fill="FFFFFF"/>
        <w:spacing w:line="360" w:lineRule="auto"/>
        <w:jc w:val="both"/>
        <w:rPr>
          <w:rFonts w:ascii="Palatino Linotype" w:eastAsia="Palatino Linotype" w:hAnsi="Palatino Linotype" w:cs="Palatino Linotype"/>
          <w:color w:val="000000" w:themeColor="text1"/>
        </w:rPr>
      </w:pPr>
    </w:p>
    <w:p w14:paraId="2842E48C" w14:textId="77777777" w:rsidR="00236777" w:rsidRDefault="00236777" w:rsidP="00236777">
      <w:pPr>
        <w:spacing w:line="360" w:lineRule="auto"/>
        <w:jc w:val="both"/>
        <w:rPr>
          <w:rFonts w:ascii="Palatino Linotype" w:eastAsia="Palatino Linotype" w:hAnsi="Palatino Linotype" w:cs="Palatino Linotype"/>
          <w:color w:val="000000" w:themeColor="text1"/>
        </w:rPr>
      </w:pPr>
      <w:bookmarkStart w:id="10" w:name="_heading=h.35nkun2" w:colFirst="0" w:colLast="0"/>
      <w:bookmarkEnd w:id="10"/>
      <w:r w:rsidRPr="00236777">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(18) DE JUNIO DE DOS MIL VEINTICINCO, ANTE EL SECRETARIO TÉCNICO DEL PLENO ALEXIS TAPIA RAMÍREZ.</w:t>
      </w:r>
    </w:p>
    <w:p w14:paraId="2F73063C" w14:textId="77777777" w:rsidR="00EB7330" w:rsidRDefault="00EB7330" w:rsidP="00236777">
      <w:pPr>
        <w:spacing w:line="360" w:lineRule="auto"/>
        <w:jc w:val="both"/>
        <w:rPr>
          <w:rFonts w:ascii="Palatino Linotype" w:eastAsia="Palatino Linotype" w:hAnsi="Palatino Linotype" w:cs="Palatino Linotype"/>
          <w:color w:val="000000" w:themeColor="text1"/>
        </w:rPr>
      </w:pPr>
    </w:p>
    <w:p w14:paraId="6AC306AF" w14:textId="77777777" w:rsidR="00EB7330" w:rsidRDefault="00EB7330" w:rsidP="00236777">
      <w:pPr>
        <w:spacing w:line="360" w:lineRule="auto"/>
        <w:jc w:val="both"/>
        <w:rPr>
          <w:rFonts w:ascii="Palatino Linotype" w:eastAsia="Palatino Linotype" w:hAnsi="Palatino Linotype" w:cs="Palatino Linotype"/>
          <w:color w:val="000000" w:themeColor="text1"/>
        </w:rPr>
      </w:pPr>
    </w:p>
    <w:p w14:paraId="56E44E13" w14:textId="77777777" w:rsidR="00EB7330" w:rsidRDefault="00EB7330" w:rsidP="00236777">
      <w:pPr>
        <w:spacing w:line="360" w:lineRule="auto"/>
        <w:jc w:val="both"/>
        <w:rPr>
          <w:rFonts w:ascii="Palatino Linotype" w:eastAsia="Palatino Linotype" w:hAnsi="Palatino Linotype" w:cs="Palatino Linotype"/>
          <w:color w:val="000000" w:themeColor="text1"/>
        </w:rPr>
      </w:pPr>
    </w:p>
    <w:p w14:paraId="0F941B54" w14:textId="77777777" w:rsidR="00EB7330" w:rsidRDefault="00EB7330" w:rsidP="00236777">
      <w:pPr>
        <w:spacing w:line="360" w:lineRule="auto"/>
        <w:jc w:val="both"/>
        <w:rPr>
          <w:rFonts w:ascii="Palatino Linotype" w:eastAsia="Palatino Linotype" w:hAnsi="Palatino Linotype" w:cs="Palatino Linotype"/>
          <w:color w:val="000000" w:themeColor="text1"/>
        </w:rPr>
      </w:pPr>
    </w:p>
    <w:p w14:paraId="3FE9129F" w14:textId="77777777" w:rsidR="00EB7330" w:rsidRDefault="00EB7330" w:rsidP="00236777">
      <w:pPr>
        <w:spacing w:line="360" w:lineRule="auto"/>
        <w:jc w:val="both"/>
        <w:rPr>
          <w:rFonts w:ascii="Palatino Linotype" w:eastAsia="Palatino Linotype" w:hAnsi="Palatino Linotype" w:cs="Palatino Linotype"/>
          <w:color w:val="000000" w:themeColor="text1"/>
        </w:rPr>
      </w:pPr>
    </w:p>
    <w:p w14:paraId="6B7C44F0" w14:textId="77777777" w:rsidR="00EB7330" w:rsidRDefault="00EB7330" w:rsidP="00236777">
      <w:pPr>
        <w:spacing w:line="360" w:lineRule="auto"/>
        <w:jc w:val="both"/>
        <w:rPr>
          <w:rFonts w:ascii="Palatino Linotype" w:eastAsia="Palatino Linotype" w:hAnsi="Palatino Linotype" w:cs="Palatino Linotype"/>
          <w:color w:val="000000" w:themeColor="text1"/>
        </w:rPr>
      </w:pPr>
    </w:p>
    <w:p w14:paraId="196D899A" w14:textId="77777777" w:rsidR="00EB7330" w:rsidRDefault="00EB7330" w:rsidP="00236777">
      <w:pPr>
        <w:spacing w:line="360" w:lineRule="auto"/>
        <w:jc w:val="both"/>
        <w:rPr>
          <w:rFonts w:ascii="Palatino Linotype" w:eastAsia="Palatino Linotype" w:hAnsi="Palatino Linotype" w:cs="Palatino Linotype"/>
          <w:color w:val="000000" w:themeColor="text1"/>
        </w:rPr>
      </w:pPr>
    </w:p>
    <w:p w14:paraId="1A448754" w14:textId="77777777" w:rsidR="00EB7330" w:rsidRPr="00847053" w:rsidRDefault="00EB7330" w:rsidP="00236777">
      <w:pPr>
        <w:spacing w:line="360" w:lineRule="auto"/>
        <w:jc w:val="both"/>
        <w:rPr>
          <w:rFonts w:ascii="Palatino Linotype" w:eastAsia="Palatino Linotype" w:hAnsi="Palatino Linotype" w:cs="Palatino Linotype"/>
          <w:color w:val="000000" w:themeColor="text1"/>
        </w:rPr>
      </w:pPr>
    </w:p>
    <w:p w14:paraId="327B99CA" w14:textId="77777777" w:rsidR="00A21845" w:rsidRPr="009C36C0" w:rsidRDefault="00A21845" w:rsidP="009C36C0">
      <w:pPr>
        <w:tabs>
          <w:tab w:val="left" w:pos="3374"/>
        </w:tabs>
        <w:rPr>
          <w:rFonts w:ascii="Palatino Linotype" w:eastAsia="Palatino Linotype" w:hAnsi="Palatino Linotype" w:cs="Palatino Linotype"/>
          <w:color w:val="000000" w:themeColor="text1"/>
        </w:rPr>
      </w:pPr>
    </w:p>
    <w:p w14:paraId="4AC79E31" w14:textId="77777777" w:rsidR="000E30F5" w:rsidRDefault="000E30F5" w:rsidP="009C36C0">
      <w:pPr>
        <w:tabs>
          <w:tab w:val="left" w:pos="3374"/>
        </w:tabs>
        <w:rPr>
          <w:rFonts w:ascii="Palatino Linotype" w:eastAsia="Palatino Linotype" w:hAnsi="Palatino Linotype" w:cs="Palatino Linotype"/>
          <w:color w:val="000000" w:themeColor="text1"/>
        </w:rPr>
      </w:pPr>
    </w:p>
    <w:p w14:paraId="26610C95" w14:textId="77777777" w:rsidR="00CB23C6" w:rsidRDefault="00CB23C6" w:rsidP="009C36C0">
      <w:pPr>
        <w:tabs>
          <w:tab w:val="left" w:pos="3374"/>
        </w:tabs>
        <w:rPr>
          <w:rFonts w:ascii="Palatino Linotype" w:eastAsia="Palatino Linotype" w:hAnsi="Palatino Linotype" w:cs="Palatino Linotype"/>
          <w:color w:val="000000" w:themeColor="text1"/>
        </w:rPr>
      </w:pPr>
    </w:p>
    <w:p w14:paraId="742C88D7" w14:textId="77777777" w:rsidR="00CB23C6" w:rsidRDefault="00CB23C6" w:rsidP="009C36C0">
      <w:pPr>
        <w:tabs>
          <w:tab w:val="left" w:pos="3374"/>
        </w:tabs>
        <w:rPr>
          <w:rFonts w:ascii="Palatino Linotype" w:eastAsia="Palatino Linotype" w:hAnsi="Palatino Linotype" w:cs="Palatino Linotype"/>
          <w:color w:val="000000" w:themeColor="text1"/>
        </w:rPr>
      </w:pPr>
    </w:p>
    <w:p w14:paraId="6B8AA2B4" w14:textId="77777777" w:rsidR="00CB23C6" w:rsidRDefault="00CB23C6" w:rsidP="009C36C0">
      <w:pPr>
        <w:tabs>
          <w:tab w:val="left" w:pos="3374"/>
        </w:tabs>
        <w:rPr>
          <w:rFonts w:ascii="Palatino Linotype" w:eastAsia="Palatino Linotype" w:hAnsi="Palatino Linotype" w:cs="Palatino Linotype"/>
          <w:color w:val="000000" w:themeColor="text1"/>
        </w:rPr>
      </w:pPr>
    </w:p>
    <w:p w14:paraId="4090C44F" w14:textId="77777777" w:rsidR="00CB23C6" w:rsidRDefault="00CB23C6" w:rsidP="009C36C0">
      <w:pPr>
        <w:tabs>
          <w:tab w:val="left" w:pos="3374"/>
        </w:tabs>
        <w:rPr>
          <w:rFonts w:ascii="Palatino Linotype" w:eastAsia="Palatino Linotype" w:hAnsi="Palatino Linotype" w:cs="Palatino Linotype"/>
          <w:color w:val="000000" w:themeColor="text1"/>
        </w:rPr>
      </w:pPr>
    </w:p>
    <w:p w14:paraId="0CC7DA5A" w14:textId="77777777" w:rsidR="00CB23C6" w:rsidRDefault="00CB23C6" w:rsidP="009C36C0">
      <w:pPr>
        <w:tabs>
          <w:tab w:val="left" w:pos="3374"/>
        </w:tabs>
        <w:rPr>
          <w:rFonts w:ascii="Palatino Linotype" w:eastAsia="Palatino Linotype" w:hAnsi="Palatino Linotype" w:cs="Palatino Linotype"/>
          <w:color w:val="000000" w:themeColor="text1"/>
        </w:rPr>
      </w:pPr>
    </w:p>
    <w:p w14:paraId="6A106564" w14:textId="77777777" w:rsidR="00CB23C6" w:rsidRDefault="00CB23C6" w:rsidP="009C36C0">
      <w:pPr>
        <w:tabs>
          <w:tab w:val="left" w:pos="3374"/>
        </w:tabs>
        <w:rPr>
          <w:rFonts w:ascii="Palatino Linotype" w:eastAsia="Palatino Linotype" w:hAnsi="Palatino Linotype" w:cs="Palatino Linotype"/>
          <w:color w:val="000000" w:themeColor="text1"/>
        </w:rPr>
      </w:pPr>
    </w:p>
    <w:p w14:paraId="120E9E19" w14:textId="77777777" w:rsidR="00CB23C6" w:rsidRDefault="00CB23C6" w:rsidP="009C36C0">
      <w:pPr>
        <w:tabs>
          <w:tab w:val="left" w:pos="3374"/>
        </w:tabs>
        <w:rPr>
          <w:rFonts w:ascii="Palatino Linotype" w:eastAsia="Palatino Linotype" w:hAnsi="Palatino Linotype" w:cs="Palatino Linotype"/>
          <w:color w:val="000000" w:themeColor="text1"/>
        </w:rPr>
      </w:pPr>
    </w:p>
    <w:p w14:paraId="55D3E6B8" w14:textId="77777777" w:rsidR="00CB23C6" w:rsidRDefault="00CB23C6" w:rsidP="009C36C0">
      <w:pPr>
        <w:tabs>
          <w:tab w:val="left" w:pos="3374"/>
        </w:tabs>
        <w:rPr>
          <w:rFonts w:ascii="Palatino Linotype" w:eastAsia="Palatino Linotype" w:hAnsi="Palatino Linotype" w:cs="Palatino Linotype"/>
          <w:color w:val="000000" w:themeColor="text1"/>
        </w:rPr>
      </w:pPr>
    </w:p>
    <w:p w14:paraId="3D46FF2E" w14:textId="77777777" w:rsidR="00CB23C6" w:rsidRPr="009C36C0" w:rsidRDefault="00CB23C6" w:rsidP="009C36C0">
      <w:pPr>
        <w:tabs>
          <w:tab w:val="left" w:pos="3374"/>
        </w:tabs>
        <w:rPr>
          <w:rFonts w:ascii="Palatino Linotype" w:eastAsia="Palatino Linotype" w:hAnsi="Palatino Linotype" w:cs="Palatino Linotype"/>
          <w:color w:val="000000" w:themeColor="text1"/>
        </w:rPr>
      </w:pPr>
    </w:p>
    <w:sectPr w:rsidR="00CB23C6" w:rsidRPr="009C36C0" w:rsidSect="009C36C0">
      <w:headerReference w:type="even" r:id="rId14"/>
      <w:headerReference w:type="default" r:id="rId15"/>
      <w:footerReference w:type="default" r:id="rId16"/>
      <w:headerReference w:type="first" r:id="rId17"/>
      <w:footerReference w:type="first" r:id="rId18"/>
      <w:pgSz w:w="12240" w:h="15840"/>
      <w:pgMar w:top="2268" w:right="1183"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5C963" w14:textId="77777777" w:rsidR="002F4134" w:rsidRDefault="002F4134">
      <w:r>
        <w:separator/>
      </w:r>
    </w:p>
  </w:endnote>
  <w:endnote w:type="continuationSeparator" w:id="0">
    <w:p w14:paraId="630B2406" w14:textId="77777777" w:rsidR="002F4134" w:rsidRDefault="002F4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BBBDA" w14:textId="77777777" w:rsidR="000E30F5" w:rsidRDefault="000E30F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B7330">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B7330">
      <w:rPr>
        <w:rFonts w:ascii="Palatino Linotype" w:eastAsia="Palatino Linotype" w:hAnsi="Palatino Linotype" w:cs="Palatino Linotype"/>
        <w:noProof/>
        <w:color w:val="000000"/>
        <w:sz w:val="20"/>
        <w:szCs w:val="20"/>
      </w:rPr>
      <w:t>30</w:t>
    </w:r>
    <w:r>
      <w:rPr>
        <w:rFonts w:ascii="Palatino Linotype" w:eastAsia="Palatino Linotype" w:hAnsi="Palatino Linotype" w:cs="Palatino Linotype"/>
        <w:color w:val="000000"/>
        <w:sz w:val="20"/>
        <w:szCs w:val="20"/>
      </w:rPr>
      <w:fldChar w:fldCharType="end"/>
    </w:r>
  </w:p>
  <w:p w14:paraId="13529588" w14:textId="77777777" w:rsidR="000E30F5" w:rsidRDefault="000E30F5">
    <w:pPr>
      <w:pBdr>
        <w:top w:val="nil"/>
        <w:left w:val="nil"/>
        <w:bottom w:val="nil"/>
        <w:right w:val="nil"/>
        <w:between w:val="nil"/>
      </w:pBdr>
      <w:tabs>
        <w:tab w:val="center" w:pos="4419"/>
        <w:tab w:val="right" w:pos="8838"/>
        <w:tab w:val="left" w:pos="5055"/>
      </w:tabs>
      <w:rPr>
        <w:rFonts w:eastAsia="Calibri"/>
        <w:color w:val="000000"/>
      </w:rPr>
    </w:pPr>
    <w:r>
      <w:rPr>
        <w:rFonts w:eastAsia="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3CC4D" w14:textId="77777777" w:rsidR="000E30F5" w:rsidRDefault="000E30F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B7330">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B7330">
      <w:rPr>
        <w:rFonts w:ascii="Palatino Linotype" w:eastAsia="Palatino Linotype" w:hAnsi="Palatino Linotype" w:cs="Palatino Linotype"/>
        <w:noProof/>
        <w:color w:val="000000"/>
        <w:sz w:val="20"/>
        <w:szCs w:val="20"/>
      </w:rPr>
      <w:t>30</w:t>
    </w:r>
    <w:r>
      <w:rPr>
        <w:rFonts w:ascii="Palatino Linotype" w:eastAsia="Palatino Linotype" w:hAnsi="Palatino Linotype" w:cs="Palatino Linotype"/>
        <w:color w:val="000000"/>
        <w:sz w:val="20"/>
        <w:szCs w:val="20"/>
      </w:rPr>
      <w:fldChar w:fldCharType="end"/>
    </w:r>
  </w:p>
  <w:p w14:paraId="73919B3C" w14:textId="77777777" w:rsidR="000E30F5" w:rsidRDefault="000E30F5">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B177F" w14:textId="77777777" w:rsidR="002F4134" w:rsidRDefault="002F4134">
      <w:r>
        <w:separator/>
      </w:r>
    </w:p>
  </w:footnote>
  <w:footnote w:type="continuationSeparator" w:id="0">
    <w:p w14:paraId="1438B516" w14:textId="77777777" w:rsidR="002F4134" w:rsidRDefault="002F4134">
      <w:r>
        <w:continuationSeparator/>
      </w:r>
    </w:p>
  </w:footnote>
  <w:footnote w:id="1">
    <w:p w14:paraId="4B9C3C17" w14:textId="77777777" w:rsidR="000E30F5" w:rsidRDefault="000E30F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Ley de Transparencia y Acceso a la Información Pública del Estado de México y Municipios. Artículo 9. …</w:t>
      </w:r>
    </w:p>
    <w:p w14:paraId="43BA1353" w14:textId="77777777" w:rsidR="000E30F5" w:rsidRDefault="000E30F5">
      <w:pPr>
        <w:pBdr>
          <w:top w:val="nil"/>
          <w:left w:val="nil"/>
          <w:bottom w:val="nil"/>
          <w:right w:val="nil"/>
          <w:between w:val="nil"/>
        </w:pBdr>
        <w:rPr>
          <w:rFonts w:eastAsia="Calibri"/>
          <w:color w:val="000000"/>
          <w:sz w:val="20"/>
          <w:szCs w:val="20"/>
        </w:rPr>
      </w:pPr>
      <w:r>
        <w:rPr>
          <w:rFonts w:eastAsia="Calibri"/>
          <w:color w:val="000000"/>
          <w:sz w:val="20"/>
          <w:szCs w:val="20"/>
        </w:rPr>
        <w:t>II. Eficacia: Obligación del Instituto para tutelar, de manera efectiva, el derecho de acceso a la información;</w:t>
      </w:r>
    </w:p>
    <w:p w14:paraId="5484303E" w14:textId="77777777" w:rsidR="000E30F5" w:rsidRDefault="000E30F5">
      <w:pPr>
        <w:pBdr>
          <w:top w:val="nil"/>
          <w:left w:val="nil"/>
          <w:bottom w:val="nil"/>
          <w:right w:val="nil"/>
          <w:between w:val="nil"/>
        </w:pBdr>
        <w:rPr>
          <w:rFonts w:eastAsia="Calibri"/>
          <w:color w:val="000000"/>
          <w:sz w:val="20"/>
          <w:szCs w:val="20"/>
        </w:rPr>
      </w:pPr>
      <w:r>
        <w:rPr>
          <w:rFonts w:eastAsia="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407D5" w14:textId="77777777" w:rsidR="000E30F5" w:rsidRDefault="002F4134">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1369E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512" w:type="dxa"/>
      <w:tblInd w:w="2694" w:type="dxa"/>
      <w:tblLayout w:type="fixed"/>
      <w:tblLook w:val="0400" w:firstRow="0" w:lastRow="0" w:firstColumn="0" w:lastColumn="0" w:noHBand="0" w:noVBand="1"/>
    </w:tblPr>
    <w:tblGrid>
      <w:gridCol w:w="2976"/>
      <w:gridCol w:w="4536"/>
    </w:tblGrid>
    <w:tr w:rsidR="000E30F5" w:rsidRPr="009C36C0" w14:paraId="591AFF3D" w14:textId="77777777" w:rsidTr="009C36C0">
      <w:trPr>
        <w:trHeight w:val="227"/>
      </w:trPr>
      <w:tc>
        <w:tcPr>
          <w:tcW w:w="2976" w:type="dxa"/>
          <w:vAlign w:val="center"/>
        </w:tcPr>
        <w:p w14:paraId="6B00908B" w14:textId="77777777" w:rsidR="000E30F5" w:rsidRPr="009C36C0" w:rsidRDefault="000E30F5" w:rsidP="009C36C0">
          <w:pPr>
            <w:ind w:right="34"/>
            <w:jc w:val="right"/>
            <w:rPr>
              <w:rFonts w:ascii="Palatino Linotype" w:eastAsia="Palatino Linotype" w:hAnsi="Palatino Linotype" w:cs="Palatino Linotype"/>
              <w:b/>
            </w:rPr>
          </w:pPr>
          <w:r w:rsidRPr="009C36C0">
            <w:rPr>
              <w:rFonts w:ascii="Palatino Linotype" w:eastAsia="Palatino Linotype" w:hAnsi="Palatino Linotype" w:cs="Palatino Linotype"/>
              <w:b/>
            </w:rPr>
            <w:t>Recurso de Revisión:</w:t>
          </w:r>
        </w:p>
      </w:tc>
      <w:tc>
        <w:tcPr>
          <w:tcW w:w="4536" w:type="dxa"/>
          <w:vAlign w:val="center"/>
        </w:tcPr>
        <w:p w14:paraId="0FB620F5" w14:textId="77777777" w:rsidR="000E30F5" w:rsidRPr="009C36C0" w:rsidRDefault="000E30F5" w:rsidP="00EB733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9C36C0">
            <w:rPr>
              <w:rFonts w:ascii="Palatino Linotype" w:eastAsia="Palatino Linotype" w:hAnsi="Palatino Linotype" w:cs="Palatino Linotype"/>
              <w:color w:val="000000"/>
            </w:rPr>
            <w:t>01823/INFOEM/IP/RR/2025</w:t>
          </w:r>
        </w:p>
      </w:tc>
    </w:tr>
    <w:tr w:rsidR="000E30F5" w:rsidRPr="009C36C0" w14:paraId="2C8E89AA" w14:textId="77777777" w:rsidTr="009C36C0">
      <w:trPr>
        <w:trHeight w:val="242"/>
      </w:trPr>
      <w:tc>
        <w:tcPr>
          <w:tcW w:w="2976" w:type="dxa"/>
          <w:vAlign w:val="center"/>
        </w:tcPr>
        <w:p w14:paraId="25BC3DC4" w14:textId="77777777" w:rsidR="000E30F5" w:rsidRDefault="000E30F5" w:rsidP="009C36C0">
          <w:pPr>
            <w:ind w:right="34"/>
            <w:jc w:val="right"/>
            <w:rPr>
              <w:rFonts w:ascii="Palatino Linotype" w:eastAsia="Palatino Linotype" w:hAnsi="Palatino Linotype" w:cs="Palatino Linotype"/>
              <w:b/>
            </w:rPr>
          </w:pPr>
          <w:r w:rsidRPr="009C36C0">
            <w:rPr>
              <w:rFonts w:ascii="Palatino Linotype" w:eastAsia="Palatino Linotype" w:hAnsi="Palatino Linotype" w:cs="Palatino Linotype"/>
              <w:b/>
            </w:rPr>
            <w:t>Sujeto Obligado:</w:t>
          </w:r>
        </w:p>
        <w:p w14:paraId="7BBEB5C0" w14:textId="77777777" w:rsidR="009C36C0" w:rsidRPr="009C36C0" w:rsidRDefault="009C36C0" w:rsidP="009C36C0">
          <w:pPr>
            <w:ind w:right="34"/>
            <w:jc w:val="right"/>
            <w:rPr>
              <w:rFonts w:ascii="Palatino Linotype" w:eastAsia="Palatino Linotype" w:hAnsi="Palatino Linotype" w:cs="Palatino Linotype"/>
              <w:b/>
            </w:rPr>
          </w:pPr>
        </w:p>
      </w:tc>
      <w:tc>
        <w:tcPr>
          <w:tcW w:w="4536" w:type="dxa"/>
          <w:vAlign w:val="center"/>
        </w:tcPr>
        <w:p w14:paraId="5E4F8AD9" w14:textId="77777777" w:rsidR="000E30F5" w:rsidRPr="009C36C0" w:rsidRDefault="000E30F5" w:rsidP="00EB733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9C36C0">
            <w:rPr>
              <w:rFonts w:ascii="Palatino Linotype" w:eastAsia="Palatino Linotype" w:hAnsi="Palatino Linotype" w:cs="Palatino Linotype"/>
              <w:color w:val="000000"/>
            </w:rPr>
            <w:t>Secretaría de Educación, Ciencia, Tecnología e Innovación</w:t>
          </w:r>
        </w:p>
      </w:tc>
    </w:tr>
    <w:tr w:rsidR="000E30F5" w:rsidRPr="009C36C0" w14:paraId="3305B75E" w14:textId="77777777" w:rsidTr="009C36C0">
      <w:trPr>
        <w:trHeight w:val="342"/>
      </w:trPr>
      <w:tc>
        <w:tcPr>
          <w:tcW w:w="2976" w:type="dxa"/>
          <w:vAlign w:val="center"/>
        </w:tcPr>
        <w:p w14:paraId="734408A2" w14:textId="77777777" w:rsidR="000E30F5" w:rsidRPr="009C36C0" w:rsidRDefault="000E30F5" w:rsidP="009C36C0">
          <w:pPr>
            <w:ind w:right="34"/>
            <w:jc w:val="right"/>
            <w:rPr>
              <w:rFonts w:ascii="Palatino Linotype" w:eastAsia="Palatino Linotype" w:hAnsi="Palatino Linotype" w:cs="Palatino Linotype"/>
              <w:b/>
            </w:rPr>
          </w:pPr>
          <w:r w:rsidRPr="009C36C0">
            <w:rPr>
              <w:rFonts w:ascii="Palatino Linotype" w:eastAsia="Palatino Linotype" w:hAnsi="Palatino Linotype" w:cs="Palatino Linotype"/>
              <w:b/>
            </w:rPr>
            <w:t>Comisionado Ponente:</w:t>
          </w:r>
        </w:p>
      </w:tc>
      <w:tc>
        <w:tcPr>
          <w:tcW w:w="4536" w:type="dxa"/>
          <w:vAlign w:val="center"/>
        </w:tcPr>
        <w:p w14:paraId="140C32CE" w14:textId="77777777" w:rsidR="000E30F5" w:rsidRPr="009C36C0" w:rsidRDefault="000E30F5" w:rsidP="00EB733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9C36C0">
            <w:rPr>
              <w:rFonts w:ascii="Palatino Linotype" w:eastAsia="Palatino Linotype" w:hAnsi="Palatino Linotype" w:cs="Palatino Linotype"/>
              <w:color w:val="000000"/>
            </w:rPr>
            <w:t>María del Rosario Mejía Ayala</w:t>
          </w:r>
        </w:p>
      </w:tc>
    </w:tr>
  </w:tbl>
  <w:p w14:paraId="7D586344" w14:textId="77777777" w:rsidR="000E30F5" w:rsidRDefault="002F4134">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607E4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654" w:type="dxa"/>
      <w:tblInd w:w="2552" w:type="dxa"/>
      <w:tblLayout w:type="fixed"/>
      <w:tblLook w:val="0400" w:firstRow="0" w:lastRow="0" w:firstColumn="0" w:lastColumn="0" w:noHBand="0" w:noVBand="1"/>
    </w:tblPr>
    <w:tblGrid>
      <w:gridCol w:w="2977"/>
      <w:gridCol w:w="4677"/>
    </w:tblGrid>
    <w:tr w:rsidR="000E30F5" w:rsidRPr="009C36C0" w14:paraId="6CD67F40" w14:textId="77777777" w:rsidTr="009C36C0">
      <w:trPr>
        <w:trHeight w:val="227"/>
      </w:trPr>
      <w:tc>
        <w:tcPr>
          <w:tcW w:w="2977" w:type="dxa"/>
          <w:vAlign w:val="center"/>
        </w:tcPr>
        <w:p w14:paraId="4FA86631" w14:textId="77777777" w:rsidR="000E30F5" w:rsidRPr="009C36C0" w:rsidRDefault="000E30F5" w:rsidP="009C36C0">
          <w:pPr>
            <w:jc w:val="right"/>
            <w:rPr>
              <w:rFonts w:ascii="Palatino Linotype" w:eastAsia="Palatino Linotype" w:hAnsi="Palatino Linotype" w:cs="Palatino Linotype"/>
              <w:b/>
            </w:rPr>
          </w:pPr>
          <w:r w:rsidRPr="009C36C0">
            <w:rPr>
              <w:rFonts w:ascii="Palatino Linotype" w:eastAsia="Palatino Linotype" w:hAnsi="Palatino Linotype" w:cs="Palatino Linotype"/>
              <w:b/>
            </w:rPr>
            <w:t>Recurso de Revisión:</w:t>
          </w:r>
        </w:p>
      </w:tc>
      <w:tc>
        <w:tcPr>
          <w:tcW w:w="4677" w:type="dxa"/>
          <w:vAlign w:val="center"/>
        </w:tcPr>
        <w:p w14:paraId="0A655765" w14:textId="77777777" w:rsidR="000E30F5" w:rsidRPr="009C36C0" w:rsidRDefault="000E30F5" w:rsidP="00EB733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9C36C0">
            <w:rPr>
              <w:rFonts w:ascii="Palatino Linotype" w:eastAsia="Palatino Linotype" w:hAnsi="Palatino Linotype" w:cs="Palatino Linotype"/>
              <w:color w:val="000000"/>
            </w:rPr>
            <w:t xml:space="preserve"> 01823/INFOEM/IP/RR/2025</w:t>
          </w:r>
        </w:p>
      </w:tc>
    </w:tr>
    <w:tr w:rsidR="000E30F5" w:rsidRPr="009C36C0" w14:paraId="3548AF61" w14:textId="77777777" w:rsidTr="009C36C0">
      <w:trPr>
        <w:trHeight w:val="242"/>
      </w:trPr>
      <w:tc>
        <w:tcPr>
          <w:tcW w:w="2977" w:type="dxa"/>
          <w:vAlign w:val="center"/>
        </w:tcPr>
        <w:p w14:paraId="7BDCB7FA" w14:textId="77777777" w:rsidR="000E30F5" w:rsidRPr="009C36C0" w:rsidRDefault="000E30F5" w:rsidP="009C36C0">
          <w:pPr>
            <w:jc w:val="right"/>
            <w:rPr>
              <w:rFonts w:ascii="Palatino Linotype" w:eastAsia="Palatino Linotype" w:hAnsi="Palatino Linotype" w:cs="Palatino Linotype"/>
              <w:b/>
            </w:rPr>
          </w:pPr>
          <w:r w:rsidRPr="009C36C0">
            <w:rPr>
              <w:rFonts w:ascii="Palatino Linotype" w:eastAsia="Palatino Linotype" w:hAnsi="Palatino Linotype" w:cs="Palatino Linotype"/>
              <w:b/>
            </w:rPr>
            <w:t>Recurrente:</w:t>
          </w:r>
        </w:p>
      </w:tc>
      <w:tc>
        <w:tcPr>
          <w:tcW w:w="4677" w:type="dxa"/>
        </w:tcPr>
        <w:p w14:paraId="5D8AEA3B" w14:textId="6B91502C" w:rsidR="000E30F5" w:rsidRPr="009C36C0" w:rsidRDefault="000E30F5" w:rsidP="00EB7330">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rPr>
          </w:pPr>
          <w:r w:rsidRPr="009C36C0">
            <w:rPr>
              <w:rFonts w:ascii="Palatino Linotype" w:eastAsia="Palatino Linotype" w:hAnsi="Palatino Linotype" w:cs="Palatino Linotype"/>
              <w:color w:val="000000"/>
            </w:rPr>
            <w:t> </w:t>
          </w:r>
          <w:r w:rsidR="00EB7330">
            <w:rPr>
              <w:rFonts w:ascii="Palatino Linotype" w:eastAsia="Palatino Linotype" w:hAnsi="Palatino Linotype" w:cs="Palatino Linotype"/>
              <w:color w:val="000000"/>
            </w:rPr>
            <w:t>XXXX</w:t>
          </w:r>
        </w:p>
      </w:tc>
    </w:tr>
    <w:tr w:rsidR="000E30F5" w:rsidRPr="009C36C0" w14:paraId="0BD9216D" w14:textId="77777777" w:rsidTr="009C36C0">
      <w:trPr>
        <w:trHeight w:val="342"/>
      </w:trPr>
      <w:tc>
        <w:tcPr>
          <w:tcW w:w="2977" w:type="dxa"/>
          <w:vAlign w:val="center"/>
        </w:tcPr>
        <w:p w14:paraId="6C8993A5" w14:textId="77777777" w:rsidR="000E30F5" w:rsidRDefault="000E30F5" w:rsidP="009C36C0">
          <w:pPr>
            <w:jc w:val="right"/>
            <w:rPr>
              <w:rFonts w:ascii="Palatino Linotype" w:eastAsia="Palatino Linotype" w:hAnsi="Palatino Linotype" w:cs="Palatino Linotype"/>
              <w:b/>
            </w:rPr>
          </w:pPr>
          <w:r w:rsidRPr="009C36C0">
            <w:rPr>
              <w:rFonts w:ascii="Palatino Linotype" w:eastAsia="Palatino Linotype" w:hAnsi="Palatino Linotype" w:cs="Palatino Linotype"/>
              <w:b/>
            </w:rPr>
            <w:t>Sujeto Obligado:</w:t>
          </w:r>
        </w:p>
        <w:p w14:paraId="407CDCD4" w14:textId="77777777" w:rsidR="009C36C0" w:rsidRPr="009C36C0" w:rsidRDefault="009C36C0" w:rsidP="009C36C0">
          <w:pPr>
            <w:jc w:val="right"/>
            <w:rPr>
              <w:rFonts w:ascii="Palatino Linotype" w:eastAsia="Palatino Linotype" w:hAnsi="Palatino Linotype" w:cs="Palatino Linotype"/>
              <w:b/>
            </w:rPr>
          </w:pPr>
        </w:p>
      </w:tc>
      <w:tc>
        <w:tcPr>
          <w:tcW w:w="4677" w:type="dxa"/>
          <w:vAlign w:val="center"/>
        </w:tcPr>
        <w:p w14:paraId="11307A86" w14:textId="77777777" w:rsidR="000E30F5" w:rsidRPr="009C36C0" w:rsidRDefault="000E30F5" w:rsidP="00EB733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9C36C0">
            <w:rPr>
              <w:rFonts w:ascii="Palatino Linotype" w:eastAsia="Palatino Linotype" w:hAnsi="Palatino Linotype" w:cs="Palatino Linotype"/>
              <w:color w:val="000000"/>
            </w:rPr>
            <w:t>Secretaría de Educación, Ciencia, Tecnología e Innovación</w:t>
          </w:r>
        </w:p>
      </w:tc>
    </w:tr>
    <w:tr w:rsidR="000E30F5" w:rsidRPr="009C36C0" w14:paraId="5CBC620C" w14:textId="77777777" w:rsidTr="009C36C0">
      <w:trPr>
        <w:trHeight w:val="342"/>
      </w:trPr>
      <w:tc>
        <w:tcPr>
          <w:tcW w:w="2977" w:type="dxa"/>
          <w:vAlign w:val="center"/>
        </w:tcPr>
        <w:p w14:paraId="23E415A9" w14:textId="77777777" w:rsidR="000E30F5" w:rsidRPr="009C36C0" w:rsidRDefault="000E30F5" w:rsidP="009C36C0">
          <w:pPr>
            <w:jc w:val="right"/>
            <w:rPr>
              <w:rFonts w:ascii="Palatino Linotype" w:eastAsia="Palatino Linotype" w:hAnsi="Palatino Linotype" w:cs="Palatino Linotype"/>
              <w:b/>
            </w:rPr>
          </w:pPr>
          <w:r w:rsidRPr="009C36C0">
            <w:rPr>
              <w:rFonts w:ascii="Palatino Linotype" w:eastAsia="Palatino Linotype" w:hAnsi="Palatino Linotype" w:cs="Palatino Linotype"/>
              <w:b/>
            </w:rPr>
            <w:t>Comisionada Ponente:</w:t>
          </w:r>
        </w:p>
      </w:tc>
      <w:tc>
        <w:tcPr>
          <w:tcW w:w="4677" w:type="dxa"/>
          <w:vAlign w:val="center"/>
        </w:tcPr>
        <w:p w14:paraId="001FBDAE" w14:textId="77777777" w:rsidR="000E30F5" w:rsidRPr="009C36C0" w:rsidRDefault="000E30F5" w:rsidP="00EB733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9C36C0">
            <w:rPr>
              <w:rFonts w:ascii="Palatino Linotype" w:eastAsia="Palatino Linotype" w:hAnsi="Palatino Linotype" w:cs="Palatino Linotype"/>
              <w:color w:val="000000"/>
            </w:rPr>
            <w:t>María del Rosario Mejía Ayala</w:t>
          </w:r>
        </w:p>
      </w:tc>
    </w:tr>
  </w:tbl>
  <w:p w14:paraId="420A5C26" w14:textId="77777777" w:rsidR="000E30F5" w:rsidRDefault="002F4134">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667FB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B7F"/>
    <w:multiLevelType w:val="multilevel"/>
    <w:tmpl w:val="09B6DDE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06092A13"/>
    <w:multiLevelType w:val="multilevel"/>
    <w:tmpl w:val="A46C455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6B7FE5"/>
    <w:multiLevelType w:val="multilevel"/>
    <w:tmpl w:val="A1F0101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B1E300A"/>
    <w:multiLevelType w:val="multilevel"/>
    <w:tmpl w:val="7540A28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D160E48"/>
    <w:multiLevelType w:val="multilevel"/>
    <w:tmpl w:val="2EBE7B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6A4616"/>
    <w:multiLevelType w:val="multilevel"/>
    <w:tmpl w:val="15909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527B59"/>
    <w:multiLevelType w:val="multilevel"/>
    <w:tmpl w:val="C5A83602"/>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150AE0"/>
    <w:multiLevelType w:val="multilevel"/>
    <w:tmpl w:val="DBE6BA5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283AAC"/>
    <w:multiLevelType w:val="multilevel"/>
    <w:tmpl w:val="226AC7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0"/>
  </w:num>
  <w:num w:numId="3">
    <w:abstractNumId w:val="5"/>
  </w:num>
  <w:num w:numId="4">
    <w:abstractNumId w:val="3"/>
  </w:num>
  <w:num w:numId="5">
    <w:abstractNumId w:val="6"/>
  </w:num>
  <w:num w:numId="6">
    <w:abstractNumId w:val="1"/>
  </w:num>
  <w:num w:numId="7">
    <w:abstractNumId w:val="2"/>
  </w:num>
  <w:num w:numId="8">
    <w:abstractNumId w:val="8"/>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845"/>
    <w:rsid w:val="00084357"/>
    <w:rsid w:val="000E30F5"/>
    <w:rsid w:val="0013655F"/>
    <w:rsid w:val="001E6BD3"/>
    <w:rsid w:val="00236777"/>
    <w:rsid w:val="002F4134"/>
    <w:rsid w:val="00383E54"/>
    <w:rsid w:val="003D41C0"/>
    <w:rsid w:val="004178CA"/>
    <w:rsid w:val="00473FC5"/>
    <w:rsid w:val="00593E15"/>
    <w:rsid w:val="005E3996"/>
    <w:rsid w:val="006A7DEF"/>
    <w:rsid w:val="006F4A80"/>
    <w:rsid w:val="00847603"/>
    <w:rsid w:val="00957179"/>
    <w:rsid w:val="009C36C0"/>
    <w:rsid w:val="009D61B8"/>
    <w:rsid w:val="00A1510E"/>
    <w:rsid w:val="00A21845"/>
    <w:rsid w:val="00A367C0"/>
    <w:rsid w:val="00AC2470"/>
    <w:rsid w:val="00AF4582"/>
    <w:rsid w:val="00C47381"/>
    <w:rsid w:val="00CB23C6"/>
    <w:rsid w:val="00D02990"/>
    <w:rsid w:val="00D17A57"/>
    <w:rsid w:val="00EB7330"/>
    <w:rsid w:val="00F427F9"/>
    <w:rsid w:val="00F970B7"/>
    <w:rsid w:val="00FE23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677E9B"/>
  <w15:docId w15:val="{8E74743A-FCDC-417C-B2B4-302FE706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297"/>
    <w:rPr>
      <w:rFonts w:eastAsiaTheme="minorEastAsia"/>
      <w:lang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6144F"/>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rPr>
      <w:rFonts w:eastAsiaTheme="minorEastAsia"/>
      <w:lang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pPr>
    <w:rPr>
      <w:rFonts w:ascii="Arial" w:hAnsi="Arial" w:cs="Arial"/>
      <w:color w:val="000000"/>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rPr>
      <w:rFonts w:eastAsiaTheme="minorEastAsia"/>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rPr>
      <w:rFonts w:eastAsiaTheme="minorEastAsia"/>
      <w:lang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2">
    <w:name w:val="List Bullet 2"/>
    <w:basedOn w:val="Normal"/>
    <w:uiPriority w:val="99"/>
    <w:unhideWhenUsed/>
    <w:qFormat/>
    <w:rsid w:val="00B60977"/>
    <w:pPr>
      <w:numPr>
        <w:numId w:val="4"/>
      </w:numPr>
      <w:contextualSpacing/>
    </w:pPr>
    <w:rPr>
      <w:rFonts w:ascii="Times New Roman" w:eastAsia="Times New Roman" w:hAnsi="Times New Roman" w:cs="Times New Roman"/>
      <w:sz w:val="20"/>
      <w:szCs w:val="20"/>
    </w:rPr>
  </w:style>
  <w:style w:type="character" w:customStyle="1" w:styleId="uv3um">
    <w:name w:val="uv3um"/>
    <w:basedOn w:val="Fuentedeprrafopredeter"/>
    <w:rsid w:val="00C12DF1"/>
  </w:style>
  <w:style w:type="character" w:customStyle="1" w:styleId="Ttulo5Car">
    <w:name w:val="Título 5 Car"/>
    <w:basedOn w:val="Fuentedeprrafopredeter"/>
    <w:link w:val="Ttulo5"/>
    <w:uiPriority w:val="9"/>
    <w:rsid w:val="00C6144F"/>
    <w:rPr>
      <w:rFonts w:asciiTheme="majorHAnsi" w:eastAsiaTheme="majorEastAsia" w:hAnsiTheme="majorHAnsi" w:cstheme="majorBidi"/>
      <w:color w:val="2E74B5" w:themeColor="accent1" w:themeShade="BF"/>
      <w:sz w:val="24"/>
      <w:szCs w:val="24"/>
      <w:lang w:val="es-ES_tradnl" w:eastAsia="es-ES"/>
    </w:rPr>
  </w:style>
  <w:style w:type="paragraph" w:styleId="Lista">
    <w:name w:val="List"/>
    <w:basedOn w:val="Normal"/>
    <w:uiPriority w:val="99"/>
    <w:unhideWhenUsed/>
    <w:rsid w:val="00C6144F"/>
    <w:pPr>
      <w:ind w:left="283" w:hanging="283"/>
      <w:contextualSpacing/>
    </w:pPr>
  </w:style>
  <w:style w:type="paragraph" w:styleId="Lista2">
    <w:name w:val="List 2"/>
    <w:basedOn w:val="Normal"/>
    <w:uiPriority w:val="99"/>
    <w:unhideWhenUsed/>
    <w:rsid w:val="00C6144F"/>
    <w:pPr>
      <w:ind w:left="566" w:hanging="283"/>
      <w:contextualSpacing/>
    </w:pPr>
  </w:style>
  <w:style w:type="paragraph" w:styleId="Lista3">
    <w:name w:val="List 3"/>
    <w:basedOn w:val="Normal"/>
    <w:uiPriority w:val="99"/>
    <w:unhideWhenUsed/>
    <w:rsid w:val="00C6144F"/>
    <w:pPr>
      <w:ind w:left="849" w:hanging="283"/>
      <w:contextualSpacing/>
    </w:pPr>
  </w:style>
  <w:style w:type="paragraph" w:styleId="Continuarlista">
    <w:name w:val="List Continue"/>
    <w:basedOn w:val="Normal"/>
    <w:uiPriority w:val="99"/>
    <w:unhideWhenUsed/>
    <w:rsid w:val="00C6144F"/>
    <w:pPr>
      <w:spacing w:after="120"/>
      <w:ind w:left="283"/>
      <w:contextualSpacing/>
    </w:pPr>
  </w:style>
  <w:style w:type="paragraph" w:styleId="Sangradetextonormal">
    <w:name w:val="Body Text Indent"/>
    <w:basedOn w:val="Normal"/>
    <w:link w:val="SangradetextonormalCar"/>
    <w:uiPriority w:val="99"/>
    <w:unhideWhenUsed/>
    <w:rsid w:val="00C6144F"/>
    <w:pPr>
      <w:spacing w:after="120"/>
      <w:ind w:left="283"/>
    </w:pPr>
  </w:style>
  <w:style w:type="character" w:customStyle="1" w:styleId="SangradetextonormalCar">
    <w:name w:val="Sangría de texto normal Car"/>
    <w:basedOn w:val="Fuentedeprrafopredeter"/>
    <w:link w:val="Sangradetextonormal"/>
    <w:uiPriority w:val="99"/>
    <w:rsid w:val="00C6144F"/>
    <w:rPr>
      <w:rFonts w:eastAsiaTheme="minorEastAsia"/>
      <w:sz w:val="24"/>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C6144F"/>
    <w:pPr>
      <w:ind w:firstLine="360"/>
      <w:jc w:val="left"/>
    </w:pPr>
    <w:rPr>
      <w:rFonts w:asciiTheme="minorHAnsi" w:eastAsiaTheme="minorEastAsia" w:hAnsiTheme="minorHAnsi" w:cstheme="minorBidi"/>
      <w:szCs w:val="24"/>
    </w:rPr>
  </w:style>
  <w:style w:type="character" w:customStyle="1" w:styleId="TextoindependienteprimerasangraCar">
    <w:name w:val="Texto independiente primera sangría Car"/>
    <w:basedOn w:val="TextoindependienteCar"/>
    <w:link w:val="Textoindependienteprimerasangra"/>
    <w:uiPriority w:val="99"/>
    <w:rsid w:val="00C6144F"/>
    <w:rPr>
      <w:rFonts w:ascii="Arial" w:eastAsiaTheme="minorEastAsia" w:hAnsi="Arial" w:cs="Times New Roman"/>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C614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6144F"/>
    <w:rPr>
      <w:rFonts w:eastAsiaTheme="minorEastAsia"/>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ocmHixCG8T8tiwi+rIDSkFVEvw==">CgMxLjAyDmgucWw4MHBzY3pkajZ0Mg5oLnZyZjVmb2YzajBjazIOaC5nNzVibDJzbDl4MHkyDmguYmRoem1vc21kbTMzMg5oLms5dGdkdW5vdGFuMjIOaC5pdjkyODV5bWNneDMyDmguaHk4dHJucXV2bTU3Mg5oLm5neXE3c3Q1dDVsYTIIaC5sbnhiejkyCWguMzVua3VuMjgAciExT1JhRVRaX1ZDbDN4NDJGR0lZc1dVdDJiWmdwX0o0WVY=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6346</Words>
  <Characters>34904</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dc:creator>
  <cp:lastModifiedBy>Cuenta Microsoft</cp:lastModifiedBy>
  <cp:revision>6</cp:revision>
  <cp:lastPrinted>2025-06-20T16:11:00Z</cp:lastPrinted>
  <dcterms:created xsi:type="dcterms:W3CDTF">2025-06-19T16:03:00Z</dcterms:created>
  <dcterms:modified xsi:type="dcterms:W3CDTF">2025-06-23T23:49:00Z</dcterms:modified>
</cp:coreProperties>
</file>