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77514" w14:textId="77777777" w:rsidR="00E91A0F" w:rsidRPr="0096360E" w:rsidRDefault="00D21C94">
      <w:pPr>
        <w:spacing w:before="240" w:after="240" w:line="360" w:lineRule="auto"/>
        <w:jc w:val="both"/>
        <w:rPr>
          <w:rFonts w:ascii="Palatino Linotype" w:eastAsia="Palatino Linotype" w:hAnsi="Palatino Linotype" w:cs="Palatino Linotype"/>
          <w:b/>
          <w:bCs/>
          <w:sz w:val="22"/>
          <w:szCs w:val="22"/>
        </w:rPr>
      </w:pPr>
      <w:bookmarkStart w:id="0" w:name="_heading=h.1fob9te" w:colFirst="0" w:colLast="0"/>
      <w:bookmarkStart w:id="1" w:name="_GoBack"/>
      <w:bookmarkEnd w:id="0"/>
      <w:bookmarkEnd w:id="1"/>
      <w:r w:rsidRPr="0096360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96360E">
        <w:rPr>
          <w:rFonts w:ascii="Palatino Linotype" w:eastAsia="Palatino Linotype" w:hAnsi="Palatino Linotype" w:cs="Palatino Linotype"/>
          <w:b/>
          <w:bCs/>
          <w:sz w:val="22"/>
          <w:szCs w:val="22"/>
        </w:rPr>
        <w:t>a tres de diciembre de dos mil veinticinco</w:t>
      </w:r>
      <w:r w:rsidRPr="0096360E">
        <w:rPr>
          <w:rFonts w:ascii="Palatino Linotype" w:eastAsia="Palatino Linotype" w:hAnsi="Palatino Linotype" w:cs="Palatino Linotype"/>
          <w:sz w:val="22"/>
          <w:szCs w:val="22"/>
        </w:rPr>
        <w:t xml:space="preserve">. </w:t>
      </w:r>
    </w:p>
    <w:p w14:paraId="53734A38" w14:textId="77777777" w:rsidR="00E91A0F" w:rsidRPr="0096360E" w:rsidRDefault="00D21C94">
      <w:pPr>
        <w:spacing w:before="240" w:after="240" w:line="360" w:lineRule="auto"/>
        <w:jc w:val="both"/>
        <w:rPr>
          <w:rFonts w:ascii="Palatino Linotype" w:eastAsia="Palatino Linotype" w:hAnsi="Palatino Linotype" w:cs="Palatino Linotype"/>
          <w:sz w:val="22"/>
          <w:szCs w:val="22"/>
        </w:rPr>
      </w:pPr>
      <w:bookmarkStart w:id="2" w:name="_heading=h.4d34og8" w:colFirst="0" w:colLast="0"/>
      <w:bookmarkEnd w:id="2"/>
      <w:r w:rsidRPr="0096360E">
        <w:rPr>
          <w:rFonts w:ascii="Palatino Linotype" w:eastAsia="Palatino Linotype" w:hAnsi="Palatino Linotype" w:cs="Palatino Linotype"/>
          <w:b/>
          <w:bCs/>
          <w:sz w:val="22"/>
          <w:szCs w:val="22"/>
        </w:rPr>
        <w:t>Visto</w:t>
      </w:r>
      <w:r w:rsidRPr="0096360E">
        <w:rPr>
          <w:rFonts w:ascii="Palatino Linotype" w:eastAsia="Palatino Linotype" w:hAnsi="Palatino Linotype" w:cs="Palatino Linotype"/>
          <w:sz w:val="22"/>
          <w:szCs w:val="22"/>
        </w:rPr>
        <w:t xml:space="preserve"> el expediente formado con motivo del recurso de revisión </w:t>
      </w:r>
      <w:r w:rsidRPr="0096360E">
        <w:rPr>
          <w:rFonts w:ascii="Palatino Linotype" w:eastAsia="Palatino Linotype" w:hAnsi="Palatino Linotype" w:cs="Palatino Linotype"/>
          <w:b/>
          <w:bCs/>
          <w:sz w:val="22"/>
          <w:szCs w:val="22"/>
        </w:rPr>
        <w:t>11559/INFOEM/IP/RR/2025</w:t>
      </w:r>
      <w:r w:rsidRPr="0096360E">
        <w:rPr>
          <w:rFonts w:ascii="Palatino Linotype" w:eastAsia="Palatino Linotype" w:hAnsi="Palatino Linotype" w:cs="Palatino Linotype"/>
          <w:sz w:val="22"/>
          <w:szCs w:val="22"/>
        </w:rPr>
        <w:t>, interpuesto por</w:t>
      </w:r>
      <w:r w:rsidRPr="0096360E">
        <w:t xml:space="preserve"> </w:t>
      </w:r>
      <w:r w:rsidRPr="0096360E">
        <w:rPr>
          <w:rFonts w:ascii="Palatino Linotype" w:eastAsia="Palatino Linotype" w:hAnsi="Palatino Linotype" w:cs="Palatino Linotype"/>
          <w:b/>
          <w:bCs/>
          <w:sz w:val="22"/>
          <w:szCs w:val="22"/>
        </w:rPr>
        <w:t>una persona usuaria del Sistema de Acceso a la Información Mexiquense que no proporcionó nombre,</w:t>
      </w:r>
      <w:r w:rsidRPr="0096360E">
        <w:rPr>
          <w:rFonts w:ascii="Palatino Linotype" w:eastAsia="Palatino Linotype" w:hAnsi="Palatino Linotype" w:cs="Palatino Linotype"/>
          <w:sz w:val="22"/>
          <w:szCs w:val="22"/>
        </w:rPr>
        <w:t xml:space="preserve"> en lo sucesivo</w:t>
      </w:r>
      <w:r w:rsidRPr="0096360E">
        <w:rPr>
          <w:rFonts w:ascii="Palatino Linotype" w:eastAsia="Palatino Linotype" w:hAnsi="Palatino Linotype" w:cs="Palatino Linotype"/>
          <w:b/>
          <w:bCs/>
          <w:sz w:val="22"/>
          <w:szCs w:val="22"/>
        </w:rPr>
        <w:t xml:space="preserve"> la parte</w:t>
      </w:r>
      <w:r w:rsidRPr="0096360E">
        <w:rPr>
          <w:rFonts w:ascii="Palatino Linotype" w:eastAsia="Palatino Linotype" w:hAnsi="Palatino Linotype" w:cs="Palatino Linotype"/>
          <w:sz w:val="22"/>
          <w:szCs w:val="22"/>
        </w:rPr>
        <w:t xml:space="preserve"> </w:t>
      </w:r>
      <w:r w:rsidRPr="0096360E">
        <w:rPr>
          <w:rFonts w:ascii="Palatino Linotype" w:eastAsia="Palatino Linotype" w:hAnsi="Palatino Linotype" w:cs="Palatino Linotype"/>
          <w:b/>
          <w:bCs/>
          <w:sz w:val="22"/>
          <w:szCs w:val="22"/>
        </w:rPr>
        <w:t>Recurrente,</w:t>
      </w:r>
      <w:r w:rsidRPr="0096360E">
        <w:rPr>
          <w:rFonts w:ascii="Palatino Linotype" w:eastAsia="Palatino Linotype" w:hAnsi="Palatino Linotype" w:cs="Palatino Linotype"/>
          <w:sz w:val="22"/>
          <w:szCs w:val="22"/>
        </w:rPr>
        <w:t xml:space="preserve"> en contra de la respuesta a su solicitud por parte del</w:t>
      </w:r>
      <w:r w:rsidRPr="0096360E">
        <w:rPr>
          <w:rFonts w:ascii="Verdana" w:eastAsia="Verdana" w:hAnsi="Verdana" w:cs="Verdana"/>
          <w:b/>
          <w:bCs/>
          <w:sz w:val="14"/>
          <w:szCs w:val="14"/>
        </w:rPr>
        <w:t xml:space="preserve"> </w:t>
      </w:r>
      <w:r w:rsidRPr="0096360E">
        <w:rPr>
          <w:rFonts w:ascii="Palatino Linotype" w:eastAsia="Palatino Linotype" w:hAnsi="Palatino Linotype" w:cs="Palatino Linotype"/>
          <w:b/>
          <w:bCs/>
          <w:sz w:val="22"/>
          <w:szCs w:val="22"/>
        </w:rPr>
        <w:t xml:space="preserve">Sistema Municipal para el Desarrollo Integral de la Familia Municipio de Atenco, </w:t>
      </w:r>
      <w:r w:rsidRPr="0096360E">
        <w:rPr>
          <w:rFonts w:ascii="Palatino Linotype" w:eastAsia="Palatino Linotype" w:hAnsi="Palatino Linotype" w:cs="Palatino Linotype"/>
          <w:sz w:val="22"/>
          <w:szCs w:val="22"/>
        </w:rPr>
        <w:t xml:space="preserve">en lo sucesivo el </w:t>
      </w:r>
      <w:r w:rsidRPr="0096360E">
        <w:rPr>
          <w:rFonts w:ascii="Palatino Linotype" w:eastAsia="Palatino Linotype" w:hAnsi="Palatino Linotype" w:cs="Palatino Linotype"/>
          <w:b/>
          <w:bCs/>
          <w:sz w:val="22"/>
          <w:szCs w:val="22"/>
        </w:rPr>
        <w:t xml:space="preserve">Sujeto Obligado, </w:t>
      </w:r>
      <w:r w:rsidRPr="0096360E">
        <w:rPr>
          <w:rFonts w:ascii="Palatino Linotype" w:eastAsia="Palatino Linotype" w:hAnsi="Palatino Linotype" w:cs="Palatino Linotype"/>
          <w:sz w:val="22"/>
          <w:szCs w:val="22"/>
        </w:rPr>
        <w:t xml:space="preserve">se procede a dictar la presente resolución con base en los siguientes: </w:t>
      </w:r>
    </w:p>
    <w:p w14:paraId="08F32AE7" w14:textId="77777777" w:rsidR="00E91A0F" w:rsidRPr="0096360E" w:rsidRDefault="00D21C94">
      <w:pPr>
        <w:spacing w:before="240" w:after="240" w:line="360" w:lineRule="auto"/>
        <w:jc w:val="center"/>
        <w:rPr>
          <w:rFonts w:ascii="Palatino Linotype" w:eastAsia="Palatino Linotype" w:hAnsi="Palatino Linotype" w:cs="Palatino Linotype"/>
          <w:b/>
          <w:bCs/>
          <w:sz w:val="22"/>
          <w:szCs w:val="22"/>
        </w:rPr>
      </w:pPr>
      <w:r w:rsidRPr="0096360E">
        <w:rPr>
          <w:rFonts w:ascii="Palatino Linotype" w:eastAsia="Palatino Linotype" w:hAnsi="Palatino Linotype" w:cs="Palatino Linotype"/>
          <w:b/>
          <w:bCs/>
          <w:sz w:val="22"/>
          <w:szCs w:val="22"/>
        </w:rPr>
        <w:t>I. A N T E C E D E N T E S</w:t>
      </w:r>
    </w:p>
    <w:p w14:paraId="73C18A40" w14:textId="77777777" w:rsidR="00E91A0F" w:rsidRPr="0096360E" w:rsidRDefault="00D21C94">
      <w:pPr>
        <w:spacing w:before="240" w:after="240"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b/>
          <w:bCs/>
          <w:sz w:val="22"/>
          <w:szCs w:val="22"/>
        </w:rPr>
        <w:t>1. Solicitud de acceso a la información.</w:t>
      </w:r>
      <w:r w:rsidRPr="0096360E">
        <w:rPr>
          <w:rFonts w:ascii="Palatino Linotype" w:eastAsia="Palatino Linotype" w:hAnsi="Palatino Linotype" w:cs="Palatino Linotype"/>
          <w:sz w:val="22"/>
          <w:szCs w:val="22"/>
        </w:rPr>
        <w:t xml:space="preserve"> El </w:t>
      </w:r>
      <w:r w:rsidRPr="0096360E">
        <w:rPr>
          <w:rFonts w:ascii="Palatino Linotype" w:eastAsia="Palatino Linotype" w:hAnsi="Palatino Linotype" w:cs="Palatino Linotype"/>
          <w:b/>
          <w:bCs/>
          <w:sz w:val="22"/>
          <w:szCs w:val="22"/>
        </w:rPr>
        <w:t>once de septiembre de dos mil veinticinco,</w:t>
      </w:r>
      <w:r w:rsidRPr="0096360E">
        <w:rPr>
          <w:rFonts w:ascii="Palatino Linotype" w:eastAsia="Palatino Linotype" w:hAnsi="Palatino Linotype" w:cs="Palatino Linotype"/>
          <w:sz w:val="22"/>
          <w:szCs w:val="22"/>
        </w:rPr>
        <w:t xml:space="preserve"> </w:t>
      </w:r>
      <w:r w:rsidRPr="0096360E">
        <w:rPr>
          <w:rFonts w:ascii="Palatino Linotype" w:eastAsia="Palatino Linotype" w:hAnsi="Palatino Linotype" w:cs="Palatino Linotype"/>
          <w:b/>
          <w:bCs/>
          <w:sz w:val="22"/>
          <w:szCs w:val="22"/>
        </w:rPr>
        <w:t>la parte</w:t>
      </w:r>
      <w:r w:rsidRPr="0096360E">
        <w:rPr>
          <w:rFonts w:ascii="Palatino Linotype" w:eastAsia="Palatino Linotype" w:hAnsi="Palatino Linotype" w:cs="Palatino Linotype"/>
          <w:sz w:val="22"/>
          <w:szCs w:val="22"/>
        </w:rPr>
        <w:t xml:space="preserve"> </w:t>
      </w:r>
      <w:r w:rsidRPr="0096360E">
        <w:rPr>
          <w:rFonts w:ascii="Palatino Linotype" w:eastAsia="Palatino Linotype" w:hAnsi="Palatino Linotype" w:cs="Palatino Linotype"/>
          <w:b/>
          <w:bCs/>
          <w:sz w:val="22"/>
          <w:szCs w:val="22"/>
        </w:rPr>
        <w:t xml:space="preserve">Recurrente </w:t>
      </w:r>
      <w:r w:rsidRPr="0096360E">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96360E">
        <w:rPr>
          <w:rFonts w:ascii="Palatino Linotype" w:eastAsia="Palatino Linotype" w:hAnsi="Palatino Linotype" w:cs="Palatino Linotype"/>
          <w:b/>
          <w:bCs/>
          <w:sz w:val="22"/>
          <w:szCs w:val="22"/>
        </w:rPr>
        <w:t>Sujeto Obligado</w:t>
      </w:r>
      <w:r w:rsidRPr="0096360E">
        <w:rPr>
          <w:rFonts w:ascii="Palatino Linotype" w:eastAsia="Palatino Linotype" w:hAnsi="Palatino Linotype" w:cs="Palatino Linotype"/>
          <w:sz w:val="22"/>
          <w:szCs w:val="22"/>
        </w:rPr>
        <w:t>, la solicitud de acceso a la información pública a la que se le asignó el número</w:t>
      </w:r>
      <w:r w:rsidRPr="0096360E">
        <w:t xml:space="preserve"> </w:t>
      </w:r>
      <w:r w:rsidRPr="0096360E">
        <w:rPr>
          <w:rFonts w:ascii="Palatino Linotype" w:eastAsia="Palatino Linotype" w:hAnsi="Palatino Linotype" w:cs="Palatino Linotype"/>
          <w:b/>
          <w:bCs/>
          <w:sz w:val="22"/>
          <w:szCs w:val="22"/>
        </w:rPr>
        <w:t>00047/DIFATENCO/IP/2025;</w:t>
      </w:r>
      <w:r w:rsidRPr="0096360E">
        <w:rPr>
          <w:rFonts w:ascii="Palatino Linotype" w:eastAsia="Palatino Linotype" w:hAnsi="Palatino Linotype" w:cs="Palatino Linotype"/>
          <w:sz w:val="22"/>
          <w:szCs w:val="22"/>
        </w:rPr>
        <w:t xml:space="preserve"> mediante la cual requirió la información siguiente: </w:t>
      </w:r>
    </w:p>
    <w:p w14:paraId="62E1AB24" w14:textId="77777777" w:rsidR="00E91A0F" w:rsidRPr="0096360E" w:rsidRDefault="00D21C94">
      <w:pPr>
        <w:spacing w:before="240" w:after="240"/>
        <w:ind w:left="567" w:right="474"/>
        <w:jc w:val="both"/>
        <w:rPr>
          <w:rFonts w:ascii="Palatino Linotype" w:eastAsia="Palatino Linotype" w:hAnsi="Palatino Linotype" w:cs="Palatino Linotype"/>
          <w:i/>
          <w:iCs/>
          <w:sz w:val="22"/>
          <w:szCs w:val="22"/>
        </w:rPr>
      </w:pPr>
      <w:bookmarkStart w:id="3" w:name="_heading=h.gjdgxs" w:colFirst="0" w:colLast="0"/>
      <w:bookmarkEnd w:id="3"/>
      <w:r w:rsidRPr="0096360E">
        <w:rPr>
          <w:rFonts w:ascii="Palatino Linotype" w:eastAsia="Palatino Linotype" w:hAnsi="Palatino Linotype" w:cs="Palatino Linotype"/>
          <w:i/>
          <w:iCs/>
          <w:sz w:val="22"/>
          <w:szCs w:val="22"/>
        </w:rPr>
        <w:t xml:space="preserve">“solicito el inventario dle parque vehicular” (Sic) </w:t>
      </w:r>
    </w:p>
    <w:p w14:paraId="066F6184" w14:textId="77777777" w:rsidR="00E91A0F" w:rsidRPr="0096360E" w:rsidRDefault="00D21C94">
      <w:pPr>
        <w:spacing w:before="240" w:after="240" w:line="360" w:lineRule="auto"/>
        <w:ind w:right="49"/>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b/>
          <w:bCs/>
          <w:sz w:val="22"/>
          <w:szCs w:val="22"/>
        </w:rPr>
        <w:t>Modalidad de Entrega:</w:t>
      </w:r>
      <w:r w:rsidRPr="0096360E">
        <w:rPr>
          <w:rFonts w:ascii="Palatino Linotype" w:eastAsia="Palatino Linotype" w:hAnsi="Palatino Linotype" w:cs="Palatino Linotype"/>
          <w:sz w:val="22"/>
          <w:szCs w:val="22"/>
        </w:rPr>
        <w:t xml:space="preserve"> a través del Sistema de Acceso a la Información Mexiquense (SAIMEX).</w:t>
      </w:r>
    </w:p>
    <w:p w14:paraId="79FCCBD5" w14:textId="77777777" w:rsidR="00E91A0F" w:rsidRPr="0096360E" w:rsidRDefault="00D21C94">
      <w:pPr>
        <w:spacing w:line="360" w:lineRule="auto"/>
        <w:jc w:val="both"/>
        <w:rPr>
          <w:rFonts w:ascii="Palatino Linotype" w:eastAsia="Palatino Linotype" w:hAnsi="Palatino Linotype" w:cs="Palatino Linotype"/>
          <w:b/>
          <w:bCs/>
          <w:sz w:val="22"/>
          <w:szCs w:val="22"/>
        </w:rPr>
      </w:pPr>
      <w:bookmarkStart w:id="4" w:name="_heading=h.3dy6vkm" w:colFirst="0" w:colLast="0"/>
      <w:bookmarkEnd w:id="4"/>
      <w:r w:rsidRPr="0096360E">
        <w:rPr>
          <w:rFonts w:ascii="Palatino Linotype" w:eastAsia="Palatino Linotype" w:hAnsi="Palatino Linotype" w:cs="Palatino Linotype"/>
          <w:b/>
          <w:bCs/>
          <w:sz w:val="22"/>
          <w:szCs w:val="22"/>
        </w:rPr>
        <w:lastRenderedPageBreak/>
        <w:t>2.</w:t>
      </w:r>
      <w:r w:rsidRPr="0096360E">
        <w:t xml:space="preserve"> </w:t>
      </w:r>
      <w:r w:rsidRPr="0096360E">
        <w:rPr>
          <w:rFonts w:ascii="Palatino Linotype" w:eastAsia="Palatino Linotype" w:hAnsi="Palatino Linotype" w:cs="Palatino Linotype"/>
          <w:b/>
          <w:bCs/>
          <w:sz w:val="22"/>
          <w:szCs w:val="22"/>
        </w:rPr>
        <w:t xml:space="preserve">Respuesta. </w:t>
      </w:r>
      <w:r w:rsidRPr="0096360E">
        <w:rPr>
          <w:rFonts w:ascii="Palatino Linotype" w:eastAsia="Palatino Linotype" w:hAnsi="Palatino Linotype" w:cs="Palatino Linotype"/>
          <w:sz w:val="22"/>
          <w:szCs w:val="22"/>
        </w:rPr>
        <w:t xml:space="preserve">El </w:t>
      </w:r>
      <w:r w:rsidRPr="0096360E">
        <w:rPr>
          <w:rFonts w:ascii="Palatino Linotype" w:eastAsia="Palatino Linotype" w:hAnsi="Palatino Linotype" w:cs="Palatino Linotype"/>
          <w:b/>
          <w:bCs/>
          <w:sz w:val="22"/>
          <w:szCs w:val="22"/>
        </w:rPr>
        <w:t>tres de octubre de dos mil veinticinco</w:t>
      </w:r>
      <w:r w:rsidRPr="0096360E">
        <w:rPr>
          <w:rFonts w:ascii="Palatino Linotype" w:eastAsia="Palatino Linotype" w:hAnsi="Palatino Linotype" w:cs="Palatino Linotype"/>
          <w:sz w:val="22"/>
          <w:szCs w:val="22"/>
        </w:rPr>
        <w:t xml:space="preserve">, el </w:t>
      </w:r>
      <w:r w:rsidRPr="0096360E">
        <w:rPr>
          <w:rFonts w:ascii="Palatino Linotype" w:eastAsia="Palatino Linotype" w:hAnsi="Palatino Linotype" w:cs="Palatino Linotype"/>
          <w:b/>
          <w:bCs/>
          <w:sz w:val="22"/>
          <w:szCs w:val="22"/>
        </w:rPr>
        <w:t xml:space="preserve">Sujeto Obligado </w:t>
      </w:r>
      <w:r w:rsidRPr="0096360E">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7224A422" w14:textId="77777777" w:rsidR="00E91A0F" w:rsidRPr="0096360E" w:rsidRDefault="00D21C94">
      <w:pPr>
        <w:spacing w:before="240" w:after="240"/>
        <w:ind w:left="567" w:right="902"/>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i/>
          <w:iCs/>
          <w:sz w:val="22"/>
          <w:szCs w:val="22"/>
        </w:rPr>
        <w:t>“En virtud de lo dispuesto por los artículos 1, 2, 3 fracción XLIV, 4, 12, 16, 23 fracción IV, 24 fracción XI y último párrafo, 50, 51, 53 fracciones II, IV, V y VI y 160 de la Ley de Transparencia y Acceso a la Información Pública del Estado de México y Municipios; en atención a su solicitud con número de folio 00047/DIFATENCO/IP/2025, generada a través de la plataforma digital denominada SAIMEX (Sistema De Acceso a la Información Mexiquense) Al respecto me permito hacerle de su conocimiento que dentro del presente se encuentra adjunta la respuesta otorgada por la C. Brenda Aguilar Pajaro, coordinadora de recursos humanos y control patrimonial del Sistema Municipal para el Desarrollo Integral de la Familia de Atenco, a través del oficio numero SMDIF/RH/OF/023/2025de fecha veintidós de septiembre del año en curso, con la información respecto a su solicitud. Esperando que la información proporcionada por este Sujeto Obligado sea de conformidad, se le informa que el Sistema de Acceso a la Información Mexiquense "SAIMEX" es para proporcionar información pública contenida en los documentos que los sujetos obligados posean, archiven, generen o administren, esto de conformidad con el arábigo 12 párrafo segundo de la Ley de Transparencia y Acceso a la Información Pública del Estado de México y Municipios” (Sic)</w:t>
      </w:r>
    </w:p>
    <w:p w14:paraId="02B9B300" w14:textId="77777777" w:rsidR="00E91A0F" w:rsidRPr="0096360E" w:rsidRDefault="00D21C9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 xml:space="preserve">Adjunto a la respuesta, el </w:t>
      </w:r>
      <w:r w:rsidRPr="0096360E">
        <w:rPr>
          <w:rFonts w:ascii="Palatino Linotype" w:eastAsia="Palatino Linotype" w:hAnsi="Palatino Linotype" w:cs="Palatino Linotype"/>
          <w:b/>
          <w:bCs/>
          <w:sz w:val="22"/>
          <w:szCs w:val="22"/>
        </w:rPr>
        <w:t xml:space="preserve">Sujeto Obligado </w:t>
      </w:r>
      <w:r w:rsidRPr="0096360E">
        <w:rPr>
          <w:rFonts w:ascii="Palatino Linotype" w:eastAsia="Palatino Linotype" w:hAnsi="Palatino Linotype" w:cs="Palatino Linotype"/>
          <w:sz w:val="22"/>
          <w:szCs w:val="22"/>
        </w:rPr>
        <w:t>hizo entrega de la siguiente información:</w:t>
      </w:r>
    </w:p>
    <w:p w14:paraId="2914CA36" w14:textId="77777777" w:rsidR="00E91A0F" w:rsidRPr="0096360E" w:rsidRDefault="00E91A0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D9E50D7" w14:textId="77777777" w:rsidR="00E91A0F" w:rsidRPr="0096360E" w:rsidRDefault="00D21C94">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Oficio del 22 de septiembre de 2025, a través del cual la Titular de la Unidad de Transparencia turnó la solicitud de información a la Coordinadora de Recursos Humanos y Control Patrimonial.</w:t>
      </w:r>
    </w:p>
    <w:p w14:paraId="5D8FFCB4" w14:textId="77777777" w:rsidR="00E91A0F" w:rsidRPr="0096360E" w:rsidRDefault="00D21C94">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Oficio del 22 de septiembre de 2025, a través del cual la Coordinadora de Recursos Humanos remitió el inventario del parque vehicular requerido, indicando que consiste en el siguiente:</w:t>
      </w:r>
    </w:p>
    <w:p w14:paraId="77DE72DC" w14:textId="77777777" w:rsidR="00E91A0F" w:rsidRPr="0096360E" w:rsidRDefault="00E91A0F">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2BE94A39" w14:textId="77777777" w:rsidR="00E91A0F" w:rsidRPr="0096360E" w:rsidRDefault="00D21C94">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noProof/>
          <w:sz w:val="22"/>
          <w:szCs w:val="22"/>
        </w:rPr>
        <w:lastRenderedPageBreak/>
        <w:drawing>
          <wp:inline distT="0" distB="0" distL="0" distR="0" wp14:anchorId="296FF28D" wp14:editId="46B8E1B1">
            <wp:extent cx="5134692" cy="2314898"/>
            <wp:effectExtent l="0" t="0" r="0" b="0"/>
            <wp:docPr id="20832964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134692" cy="2314898"/>
                    </a:xfrm>
                    <a:prstGeom prst="rect">
                      <a:avLst/>
                    </a:prstGeom>
                    <a:ln/>
                  </pic:spPr>
                </pic:pic>
              </a:graphicData>
            </a:graphic>
          </wp:inline>
        </w:drawing>
      </w:r>
    </w:p>
    <w:p w14:paraId="2FD1408E" w14:textId="77777777" w:rsidR="00E91A0F" w:rsidRPr="0096360E" w:rsidRDefault="00E91A0F">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09A644E2" w14:textId="77777777" w:rsidR="00E91A0F" w:rsidRPr="0096360E" w:rsidRDefault="00D21C94">
      <w:pPr>
        <w:numPr>
          <w:ilvl w:val="0"/>
          <w:numId w:val="3"/>
        </w:num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Oficio del 03 de octubre de 2025 a través del cual el Titular de la Unidad de Transparencia hizo del conocimiento de la persona solicitante la respuesta del servidor público habilitado de la Coordinación de Recursos Humanos y Control Patrimonial.</w:t>
      </w:r>
    </w:p>
    <w:p w14:paraId="4AAD358B" w14:textId="77777777" w:rsidR="00E91A0F" w:rsidRPr="0096360E" w:rsidRDefault="00E91A0F">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71EBEC1C" w14:textId="77777777" w:rsidR="00E91A0F" w:rsidRPr="0096360E" w:rsidRDefault="00D21C94">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96360E">
        <w:rPr>
          <w:rFonts w:ascii="Palatino Linotype" w:eastAsia="Palatino Linotype" w:hAnsi="Palatino Linotype" w:cs="Palatino Linotype"/>
          <w:b/>
          <w:bCs/>
          <w:sz w:val="22"/>
          <w:szCs w:val="22"/>
        </w:rPr>
        <w:t xml:space="preserve">4. Interposición del recurso de revisión. </w:t>
      </w:r>
      <w:r w:rsidRPr="0096360E">
        <w:rPr>
          <w:rFonts w:ascii="Palatino Linotype" w:eastAsia="Palatino Linotype" w:hAnsi="Palatino Linotype" w:cs="Palatino Linotype"/>
          <w:sz w:val="22"/>
          <w:szCs w:val="22"/>
        </w:rPr>
        <w:t xml:space="preserve">Inconforme con los términos de la respuesta emitida por parte del </w:t>
      </w:r>
      <w:r w:rsidRPr="0096360E">
        <w:rPr>
          <w:rFonts w:ascii="Palatino Linotype" w:eastAsia="Palatino Linotype" w:hAnsi="Palatino Linotype" w:cs="Palatino Linotype"/>
          <w:b/>
          <w:bCs/>
          <w:sz w:val="22"/>
          <w:szCs w:val="22"/>
        </w:rPr>
        <w:t>Sujeto Obligado</w:t>
      </w:r>
      <w:r w:rsidRPr="0096360E">
        <w:rPr>
          <w:rFonts w:ascii="Palatino Linotype" w:eastAsia="Palatino Linotype" w:hAnsi="Palatino Linotype" w:cs="Palatino Linotype"/>
          <w:sz w:val="22"/>
          <w:szCs w:val="22"/>
        </w:rPr>
        <w:t>, el</w:t>
      </w:r>
      <w:r w:rsidRPr="0096360E">
        <w:rPr>
          <w:rFonts w:ascii="Palatino Linotype" w:eastAsia="Palatino Linotype" w:hAnsi="Palatino Linotype" w:cs="Palatino Linotype"/>
          <w:b/>
          <w:bCs/>
          <w:sz w:val="22"/>
          <w:szCs w:val="22"/>
        </w:rPr>
        <w:t xml:space="preserve"> seis de octubre de dos mil veinticinco,</w:t>
      </w:r>
      <w:r w:rsidRPr="0096360E">
        <w:rPr>
          <w:rFonts w:ascii="Palatino Linotype" w:eastAsia="Palatino Linotype" w:hAnsi="Palatino Linotype" w:cs="Palatino Linotype"/>
          <w:sz w:val="22"/>
          <w:szCs w:val="22"/>
        </w:rPr>
        <w:t xml:space="preserve"> </w:t>
      </w:r>
      <w:r w:rsidRPr="0096360E">
        <w:rPr>
          <w:rFonts w:ascii="Palatino Linotype" w:eastAsia="Palatino Linotype" w:hAnsi="Palatino Linotype" w:cs="Palatino Linotype"/>
          <w:b/>
          <w:bCs/>
          <w:sz w:val="22"/>
          <w:szCs w:val="22"/>
        </w:rPr>
        <w:t>la parte</w:t>
      </w:r>
      <w:r w:rsidRPr="0096360E">
        <w:rPr>
          <w:rFonts w:ascii="Palatino Linotype" w:eastAsia="Palatino Linotype" w:hAnsi="Palatino Linotype" w:cs="Palatino Linotype"/>
          <w:sz w:val="22"/>
          <w:szCs w:val="22"/>
        </w:rPr>
        <w:t xml:space="preserve"> </w:t>
      </w:r>
      <w:r w:rsidRPr="0096360E">
        <w:rPr>
          <w:rFonts w:ascii="Palatino Linotype" w:eastAsia="Palatino Linotype" w:hAnsi="Palatino Linotype" w:cs="Palatino Linotype"/>
          <w:b/>
          <w:bCs/>
          <w:sz w:val="22"/>
          <w:szCs w:val="22"/>
        </w:rPr>
        <w:t>Recurrente</w:t>
      </w:r>
      <w:r w:rsidRPr="0096360E">
        <w:rPr>
          <w:rFonts w:ascii="Palatino Linotype" w:eastAsia="Palatino Linotype" w:hAnsi="Palatino Linotype" w:cs="Palatino Linotype"/>
          <w:sz w:val="22"/>
          <w:szCs w:val="22"/>
        </w:rPr>
        <w:t xml:space="preserve"> interpuso el recurso de revisión a través de </w:t>
      </w:r>
      <w:r w:rsidRPr="0096360E">
        <w:rPr>
          <w:rFonts w:ascii="Palatino Linotype" w:eastAsia="Palatino Linotype" w:hAnsi="Palatino Linotype" w:cs="Palatino Linotype"/>
          <w:b/>
          <w:bCs/>
          <w:sz w:val="22"/>
          <w:szCs w:val="22"/>
        </w:rPr>
        <w:t xml:space="preserve">SAIMEX; </w:t>
      </w:r>
      <w:r w:rsidRPr="0096360E">
        <w:rPr>
          <w:rFonts w:ascii="Palatino Linotype" w:eastAsia="Palatino Linotype" w:hAnsi="Palatino Linotype" w:cs="Palatino Linotype"/>
          <w:sz w:val="22"/>
          <w:szCs w:val="22"/>
        </w:rPr>
        <w:t>en donde se manifestó de la siguiente manera:</w:t>
      </w:r>
    </w:p>
    <w:p w14:paraId="02CDED7B" w14:textId="77777777" w:rsidR="00E91A0F" w:rsidRPr="0096360E" w:rsidRDefault="00D21C94">
      <w:pPr>
        <w:tabs>
          <w:tab w:val="left" w:pos="2745"/>
        </w:tabs>
        <w:spacing w:before="240" w:after="240" w:line="276" w:lineRule="auto"/>
        <w:ind w:left="567" w:right="900"/>
        <w:jc w:val="both"/>
        <w:rPr>
          <w:rFonts w:ascii="Palatino Linotype" w:eastAsia="Palatino Linotype" w:hAnsi="Palatino Linotype" w:cs="Palatino Linotype"/>
          <w:b/>
          <w:bCs/>
          <w:sz w:val="22"/>
          <w:szCs w:val="22"/>
        </w:rPr>
      </w:pPr>
      <w:r w:rsidRPr="0096360E">
        <w:rPr>
          <w:rFonts w:ascii="Palatino Linotype" w:eastAsia="Palatino Linotype" w:hAnsi="Palatino Linotype" w:cs="Palatino Linotype"/>
          <w:b/>
          <w:bCs/>
          <w:sz w:val="22"/>
          <w:szCs w:val="22"/>
        </w:rPr>
        <w:t xml:space="preserve">a) Acto impugnado: </w:t>
      </w:r>
      <w:r w:rsidRPr="0096360E">
        <w:rPr>
          <w:rFonts w:ascii="Palatino Linotype" w:eastAsia="Palatino Linotype" w:hAnsi="Palatino Linotype" w:cs="Palatino Linotype"/>
          <w:i/>
          <w:iCs/>
          <w:sz w:val="22"/>
          <w:szCs w:val="22"/>
        </w:rPr>
        <w:t>“La informacion que se entrega mediante oficio y no en el formato correspondiente como lo marca la reglamentacion” (Sic)</w:t>
      </w:r>
    </w:p>
    <w:p w14:paraId="311C2C2D" w14:textId="77777777" w:rsidR="00E91A0F" w:rsidRPr="0096360E" w:rsidRDefault="00D21C94">
      <w:pPr>
        <w:spacing w:line="276" w:lineRule="auto"/>
        <w:ind w:left="567" w:right="900"/>
        <w:jc w:val="both"/>
        <w:rPr>
          <w:rFonts w:ascii="Palatino Linotype" w:eastAsia="Palatino Linotype" w:hAnsi="Palatino Linotype" w:cs="Palatino Linotype"/>
          <w:i/>
          <w:iCs/>
          <w:sz w:val="22"/>
          <w:szCs w:val="22"/>
        </w:rPr>
      </w:pPr>
      <w:bookmarkStart w:id="5" w:name="_heading=h.30j0zll" w:colFirst="0" w:colLast="0"/>
      <w:bookmarkEnd w:id="5"/>
      <w:r w:rsidRPr="0096360E">
        <w:rPr>
          <w:rFonts w:ascii="Palatino Linotype" w:eastAsia="Palatino Linotype" w:hAnsi="Palatino Linotype" w:cs="Palatino Linotype"/>
          <w:b/>
          <w:bCs/>
          <w:sz w:val="22"/>
          <w:szCs w:val="22"/>
        </w:rPr>
        <w:t>b) Razones o motivos de inconformidad</w:t>
      </w:r>
      <w:r w:rsidRPr="0096360E">
        <w:rPr>
          <w:rFonts w:ascii="Palatino Linotype" w:eastAsia="Palatino Linotype" w:hAnsi="Palatino Linotype" w:cs="Palatino Linotype"/>
          <w:sz w:val="22"/>
          <w:szCs w:val="22"/>
        </w:rPr>
        <w:t xml:space="preserve">: </w:t>
      </w:r>
      <w:r w:rsidRPr="0096360E">
        <w:rPr>
          <w:rFonts w:ascii="Palatino Linotype" w:eastAsia="Palatino Linotype" w:hAnsi="Palatino Linotype" w:cs="Palatino Linotype"/>
          <w:i/>
          <w:iCs/>
          <w:sz w:val="22"/>
          <w:szCs w:val="22"/>
        </w:rPr>
        <w:t>“La informacion que se entrega mediante oficio y no en el formato correspondiente como lo marca la reglamentacion” (Sic)</w:t>
      </w:r>
    </w:p>
    <w:p w14:paraId="20D77F70" w14:textId="77777777" w:rsidR="00E91A0F" w:rsidRPr="0096360E" w:rsidRDefault="00E91A0F">
      <w:pPr>
        <w:spacing w:line="276" w:lineRule="auto"/>
        <w:ind w:left="567" w:right="900"/>
        <w:jc w:val="both"/>
        <w:rPr>
          <w:rFonts w:ascii="Palatino Linotype" w:eastAsia="Palatino Linotype" w:hAnsi="Palatino Linotype" w:cs="Palatino Linotype"/>
          <w:i/>
          <w:iCs/>
          <w:sz w:val="22"/>
          <w:szCs w:val="22"/>
        </w:rPr>
      </w:pPr>
    </w:p>
    <w:p w14:paraId="0640A1F0" w14:textId="77777777" w:rsidR="00E91A0F" w:rsidRPr="0096360E" w:rsidRDefault="00E91A0F">
      <w:pPr>
        <w:spacing w:line="276" w:lineRule="auto"/>
        <w:ind w:left="567" w:right="900"/>
        <w:jc w:val="both"/>
        <w:rPr>
          <w:rFonts w:ascii="Palatino Linotype" w:eastAsia="Palatino Linotype" w:hAnsi="Palatino Linotype" w:cs="Palatino Linotype"/>
          <w:i/>
          <w:iCs/>
          <w:sz w:val="22"/>
          <w:szCs w:val="22"/>
        </w:rPr>
      </w:pPr>
    </w:p>
    <w:p w14:paraId="78913B24" w14:textId="77777777" w:rsidR="00E91A0F" w:rsidRPr="0096360E" w:rsidRDefault="00D21C94">
      <w:pPr>
        <w:spacing w:line="360" w:lineRule="auto"/>
        <w:ind w:right="51"/>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b/>
          <w:bCs/>
          <w:sz w:val="22"/>
          <w:szCs w:val="22"/>
        </w:rPr>
        <w:t xml:space="preserve">5. Turno. </w:t>
      </w:r>
      <w:r w:rsidRPr="0096360E">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6360E">
        <w:rPr>
          <w:rFonts w:ascii="Palatino Linotype" w:eastAsia="Palatino Linotype" w:hAnsi="Palatino Linotype" w:cs="Palatino Linotype"/>
          <w:b/>
          <w:bCs/>
          <w:sz w:val="22"/>
          <w:szCs w:val="22"/>
        </w:rPr>
        <w:t xml:space="preserve">Guadalupe Ramírez Peña, </w:t>
      </w:r>
      <w:r w:rsidRPr="0096360E">
        <w:rPr>
          <w:rFonts w:ascii="Palatino Linotype" w:eastAsia="Palatino Linotype" w:hAnsi="Palatino Linotype" w:cs="Palatino Linotype"/>
          <w:sz w:val="22"/>
          <w:szCs w:val="22"/>
        </w:rPr>
        <w:t>a efecto de que analizara sobre su admisión o su desechamiento.</w:t>
      </w:r>
    </w:p>
    <w:p w14:paraId="7696D4CD" w14:textId="77777777" w:rsidR="00E91A0F" w:rsidRPr="0096360E" w:rsidRDefault="00E91A0F">
      <w:pPr>
        <w:spacing w:line="360" w:lineRule="auto"/>
        <w:ind w:right="51"/>
        <w:jc w:val="both"/>
        <w:rPr>
          <w:rFonts w:ascii="Palatino Linotype" w:eastAsia="Palatino Linotype" w:hAnsi="Palatino Linotype" w:cs="Palatino Linotype"/>
          <w:sz w:val="22"/>
          <w:szCs w:val="22"/>
        </w:rPr>
      </w:pPr>
    </w:p>
    <w:p w14:paraId="136EBF13" w14:textId="77777777" w:rsidR="00E91A0F" w:rsidRPr="0096360E"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b/>
          <w:bCs/>
          <w:sz w:val="22"/>
          <w:szCs w:val="22"/>
        </w:rPr>
        <w:t>6. Admisión del Recurso de revisión.</w:t>
      </w:r>
      <w:r w:rsidRPr="0096360E">
        <w:rPr>
          <w:rFonts w:ascii="Palatino Linotype" w:eastAsia="Palatino Linotype" w:hAnsi="Palatino Linotype" w:cs="Palatino Linotype"/>
          <w:sz w:val="22"/>
          <w:szCs w:val="22"/>
        </w:rPr>
        <w:t xml:space="preserve"> El </w:t>
      </w:r>
      <w:r w:rsidRPr="0096360E">
        <w:rPr>
          <w:rFonts w:ascii="Palatino Linotype" w:eastAsia="Palatino Linotype" w:hAnsi="Palatino Linotype" w:cs="Palatino Linotype"/>
          <w:b/>
          <w:bCs/>
          <w:sz w:val="22"/>
          <w:szCs w:val="22"/>
        </w:rPr>
        <w:t xml:space="preserve">nueve de octubre de dos mil veinticinco, </w:t>
      </w:r>
      <w:r w:rsidRPr="0096360E">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6360E">
        <w:rPr>
          <w:rFonts w:ascii="Palatino Linotype" w:eastAsia="Palatino Linotype" w:hAnsi="Palatino Linotype" w:cs="Palatino Linotype"/>
          <w:b/>
          <w:bCs/>
          <w:sz w:val="22"/>
          <w:szCs w:val="22"/>
        </w:rPr>
        <w:t xml:space="preserve">Sujeto Obligado </w:t>
      </w:r>
      <w:r w:rsidRPr="0096360E">
        <w:rPr>
          <w:rFonts w:ascii="Palatino Linotype" w:eastAsia="Palatino Linotype" w:hAnsi="Palatino Linotype" w:cs="Palatino Linotype"/>
          <w:sz w:val="22"/>
          <w:szCs w:val="22"/>
        </w:rPr>
        <w:t>presentara su informe justificado.</w:t>
      </w:r>
    </w:p>
    <w:p w14:paraId="1AA50675"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47F58614" w14:textId="77777777" w:rsidR="00E91A0F" w:rsidRPr="0096360E" w:rsidRDefault="00D21C9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96360E">
        <w:rPr>
          <w:rFonts w:ascii="Palatino Linotype" w:eastAsia="Palatino Linotype" w:hAnsi="Palatino Linotype" w:cs="Palatino Linotype"/>
          <w:b/>
          <w:bCs/>
          <w:sz w:val="22"/>
          <w:szCs w:val="22"/>
        </w:rPr>
        <w:t>7. Manifestaciones</w:t>
      </w:r>
      <w:r w:rsidRPr="0096360E">
        <w:rPr>
          <w:rFonts w:ascii="Palatino Linotype" w:eastAsia="Palatino Linotype" w:hAnsi="Palatino Linotype" w:cs="Palatino Linotype"/>
          <w:sz w:val="22"/>
          <w:szCs w:val="22"/>
        </w:rPr>
        <w:t>. De las constancias que integran el expediente en que se actúa se advierte que las partes fueron omisas en hacer valer manifestaciones como se muestra:</w:t>
      </w:r>
    </w:p>
    <w:p w14:paraId="3125835C" w14:textId="77777777" w:rsidR="00E91A0F" w:rsidRPr="0096360E" w:rsidRDefault="00D21C9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noProof/>
          <w:sz w:val="22"/>
          <w:szCs w:val="22"/>
        </w:rPr>
        <w:drawing>
          <wp:inline distT="0" distB="0" distL="0" distR="0" wp14:anchorId="3DB70E4E" wp14:editId="32AC995C">
            <wp:extent cx="5612130" cy="1496695"/>
            <wp:effectExtent l="0" t="0" r="0" b="0"/>
            <wp:docPr id="20832964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2130" cy="1496695"/>
                    </a:xfrm>
                    <a:prstGeom prst="rect">
                      <a:avLst/>
                    </a:prstGeom>
                    <a:ln/>
                  </pic:spPr>
                </pic:pic>
              </a:graphicData>
            </a:graphic>
          </wp:inline>
        </w:drawing>
      </w:r>
    </w:p>
    <w:p w14:paraId="6B6EE18A" w14:textId="7EB87EEA" w:rsidR="00E91A0F" w:rsidRPr="0096360E" w:rsidRDefault="00D21C94">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b/>
          <w:bCs/>
          <w:sz w:val="22"/>
          <w:szCs w:val="22"/>
        </w:rPr>
        <w:t xml:space="preserve">8. Cierre de instrucción. </w:t>
      </w:r>
      <w:r w:rsidRPr="0096360E">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E4680F" w:rsidRPr="0096360E">
        <w:rPr>
          <w:rFonts w:ascii="Palatino Linotype" w:eastAsia="Palatino Linotype" w:hAnsi="Palatino Linotype" w:cs="Palatino Linotype"/>
          <w:b/>
          <w:bCs/>
          <w:sz w:val="22"/>
          <w:szCs w:val="22"/>
        </w:rPr>
        <w:t>veintiséis</w:t>
      </w:r>
      <w:r w:rsidRPr="0096360E">
        <w:rPr>
          <w:rFonts w:ascii="Palatino Linotype" w:eastAsia="Palatino Linotype" w:hAnsi="Palatino Linotype" w:cs="Palatino Linotype"/>
          <w:b/>
          <w:bCs/>
          <w:sz w:val="22"/>
          <w:szCs w:val="22"/>
        </w:rPr>
        <w:t xml:space="preserve"> de noviembre de dos mil veinticinco,</w:t>
      </w:r>
      <w:r w:rsidRPr="0096360E">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7CF4CFE" w14:textId="77777777" w:rsidR="00E91A0F" w:rsidRPr="0096360E" w:rsidRDefault="00E91A0F">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06C96872" w14:textId="77777777" w:rsidR="00E91A0F" w:rsidRPr="0096360E" w:rsidRDefault="00D21C94">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b/>
          <w:bCs/>
          <w:sz w:val="22"/>
          <w:szCs w:val="22"/>
        </w:rPr>
        <w:t xml:space="preserve">9. Ampliación del término para resolver. </w:t>
      </w:r>
      <w:r w:rsidRPr="0096360E">
        <w:rPr>
          <w:rFonts w:ascii="Palatino Linotype" w:eastAsia="Palatino Linotype" w:hAnsi="Palatino Linotype" w:cs="Palatino Linotype"/>
          <w:sz w:val="22"/>
          <w:szCs w:val="22"/>
        </w:rPr>
        <w:t xml:space="preserve">Mediante acuerdo del </w:t>
      </w:r>
      <w:r w:rsidRPr="0096360E">
        <w:rPr>
          <w:rFonts w:ascii="Palatino Linotype" w:eastAsia="Palatino Linotype" w:hAnsi="Palatino Linotype" w:cs="Palatino Linotype"/>
          <w:b/>
          <w:bCs/>
          <w:sz w:val="22"/>
          <w:szCs w:val="22"/>
        </w:rPr>
        <w:t>veintiseis de noviembre de dos mil veinticinco</w:t>
      </w:r>
      <w:r w:rsidRPr="0096360E">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77B88B6B" w14:textId="77777777" w:rsidR="00E91A0F" w:rsidRPr="0096360E" w:rsidRDefault="00E91A0F">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7DC975F0" w14:textId="77777777" w:rsidR="00E91A0F" w:rsidRPr="0096360E" w:rsidRDefault="00D21C9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4BE71F2" w14:textId="77777777" w:rsidR="00E91A0F" w:rsidRPr="0096360E" w:rsidRDefault="00D21C94">
      <w:pPr>
        <w:widowControl w:val="0"/>
        <w:spacing w:before="240" w:after="240" w:line="360" w:lineRule="auto"/>
        <w:jc w:val="center"/>
        <w:rPr>
          <w:rFonts w:ascii="Palatino Linotype" w:eastAsia="Palatino Linotype" w:hAnsi="Palatino Linotype" w:cs="Palatino Linotype"/>
          <w:b/>
          <w:bCs/>
          <w:sz w:val="22"/>
          <w:szCs w:val="22"/>
        </w:rPr>
      </w:pPr>
      <w:r w:rsidRPr="0096360E">
        <w:rPr>
          <w:rFonts w:ascii="Palatino Linotype" w:eastAsia="Palatino Linotype" w:hAnsi="Palatino Linotype" w:cs="Palatino Linotype"/>
          <w:b/>
          <w:bCs/>
          <w:sz w:val="22"/>
          <w:szCs w:val="22"/>
        </w:rPr>
        <w:t>II. C O N S I D E R A N D O S</w:t>
      </w:r>
    </w:p>
    <w:p w14:paraId="09263133" w14:textId="77777777" w:rsidR="00E91A0F" w:rsidRPr="0096360E"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b/>
          <w:bCs/>
          <w:sz w:val="22"/>
          <w:szCs w:val="22"/>
        </w:rPr>
        <w:t>Primero. Competencia.</w:t>
      </w:r>
      <w:r w:rsidRPr="0096360E">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93A34AA"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69032E01" w14:textId="77777777" w:rsidR="00E91A0F" w:rsidRPr="0096360E" w:rsidRDefault="00D21C94">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96360E">
        <w:rPr>
          <w:rFonts w:ascii="Palatino Linotype" w:eastAsia="Palatino Linotype" w:hAnsi="Palatino Linotype" w:cs="Palatino Linotype"/>
          <w:b/>
          <w:bCs/>
          <w:sz w:val="22"/>
          <w:szCs w:val="22"/>
        </w:rPr>
        <w:t>Segundo. Oportunidad y Procedibilidad del Recurso de Revisión</w:t>
      </w:r>
      <w:r w:rsidRPr="0096360E">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A08CACF"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7E5936FF" w14:textId="77777777" w:rsidR="00E91A0F" w:rsidRPr="0096360E"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96360E">
        <w:rPr>
          <w:rFonts w:ascii="Palatino Linotype" w:eastAsia="Palatino Linotype" w:hAnsi="Palatino Linotype" w:cs="Palatino Linotype"/>
          <w:b/>
          <w:bCs/>
          <w:sz w:val="22"/>
          <w:szCs w:val="22"/>
        </w:rPr>
        <w:t xml:space="preserve">Sujeto Obligado </w:t>
      </w:r>
      <w:r w:rsidRPr="0096360E">
        <w:rPr>
          <w:rFonts w:ascii="Palatino Linotype" w:eastAsia="Palatino Linotype" w:hAnsi="Palatino Linotype" w:cs="Palatino Linotype"/>
          <w:sz w:val="22"/>
          <w:szCs w:val="22"/>
        </w:rPr>
        <w:t>remitió la respuesta a la solicitud de información el</w:t>
      </w:r>
      <w:r w:rsidRPr="0096360E">
        <w:t xml:space="preserve"> </w:t>
      </w:r>
      <w:r w:rsidRPr="0096360E">
        <w:rPr>
          <w:rFonts w:ascii="Palatino Linotype" w:eastAsia="Palatino Linotype" w:hAnsi="Palatino Linotype" w:cs="Palatino Linotype"/>
          <w:b/>
          <w:bCs/>
          <w:sz w:val="22"/>
          <w:szCs w:val="22"/>
        </w:rPr>
        <w:t xml:space="preserve">tres de octubre de dos mil veinticinco, </w:t>
      </w:r>
      <w:r w:rsidRPr="0096360E">
        <w:rPr>
          <w:rFonts w:ascii="Palatino Linotype" w:eastAsia="Palatino Linotype" w:hAnsi="Palatino Linotype" w:cs="Palatino Linotype"/>
          <w:sz w:val="22"/>
          <w:szCs w:val="22"/>
        </w:rPr>
        <w:t xml:space="preserve">mientras que el recurso de revisión interpuesto por </w:t>
      </w:r>
      <w:r w:rsidRPr="0096360E">
        <w:rPr>
          <w:rFonts w:ascii="Palatino Linotype" w:eastAsia="Palatino Linotype" w:hAnsi="Palatino Linotype" w:cs="Palatino Linotype"/>
          <w:b/>
          <w:bCs/>
          <w:sz w:val="22"/>
          <w:szCs w:val="22"/>
        </w:rPr>
        <w:t>la parte</w:t>
      </w:r>
      <w:r w:rsidRPr="0096360E">
        <w:rPr>
          <w:rFonts w:ascii="Palatino Linotype" w:eastAsia="Palatino Linotype" w:hAnsi="Palatino Linotype" w:cs="Palatino Linotype"/>
          <w:sz w:val="22"/>
          <w:szCs w:val="22"/>
        </w:rPr>
        <w:t xml:space="preserve"> </w:t>
      </w:r>
      <w:r w:rsidRPr="0096360E">
        <w:rPr>
          <w:rFonts w:ascii="Palatino Linotype" w:eastAsia="Palatino Linotype" w:hAnsi="Palatino Linotype" w:cs="Palatino Linotype"/>
          <w:b/>
          <w:bCs/>
          <w:sz w:val="22"/>
          <w:szCs w:val="22"/>
        </w:rPr>
        <w:t>Recurrente</w:t>
      </w:r>
      <w:r w:rsidRPr="0096360E">
        <w:rPr>
          <w:rFonts w:ascii="Palatino Linotype" w:eastAsia="Palatino Linotype" w:hAnsi="Palatino Linotype" w:cs="Palatino Linotype"/>
          <w:sz w:val="22"/>
          <w:szCs w:val="22"/>
        </w:rPr>
        <w:t xml:space="preserve">, se tuvo por presentado el </w:t>
      </w:r>
      <w:r w:rsidRPr="0096360E">
        <w:rPr>
          <w:rFonts w:ascii="Palatino Linotype" w:eastAsia="Palatino Linotype" w:hAnsi="Palatino Linotype" w:cs="Palatino Linotype"/>
          <w:b/>
          <w:bCs/>
          <w:sz w:val="22"/>
          <w:szCs w:val="22"/>
        </w:rPr>
        <w:t>seis de octubre de dos mil veinticinco</w:t>
      </w:r>
      <w:r w:rsidRPr="0096360E">
        <w:rPr>
          <w:rFonts w:ascii="Palatino Linotype" w:eastAsia="Palatino Linotype" w:hAnsi="Palatino Linotype" w:cs="Palatino Linotype"/>
          <w:sz w:val="22"/>
          <w:szCs w:val="22"/>
        </w:rPr>
        <w:t xml:space="preserve"> esto es, al </w:t>
      </w:r>
      <w:r w:rsidRPr="0096360E">
        <w:rPr>
          <w:rFonts w:ascii="Palatino Linotype" w:eastAsia="Palatino Linotype" w:hAnsi="Palatino Linotype" w:cs="Palatino Linotype"/>
          <w:b/>
          <w:bCs/>
          <w:sz w:val="22"/>
          <w:szCs w:val="22"/>
        </w:rPr>
        <w:t>primer</w:t>
      </w:r>
      <w:r w:rsidRPr="0096360E">
        <w:rPr>
          <w:rFonts w:ascii="Palatino Linotype" w:eastAsia="Palatino Linotype" w:hAnsi="Palatino Linotype" w:cs="Palatino Linotype"/>
          <w:sz w:val="22"/>
          <w:szCs w:val="22"/>
        </w:rPr>
        <w:t xml:space="preserve"> día hábil siguiente a aquel en que </w:t>
      </w:r>
      <w:r w:rsidRPr="0096360E">
        <w:rPr>
          <w:rFonts w:ascii="Palatino Linotype" w:eastAsia="Palatino Linotype" w:hAnsi="Palatino Linotype" w:cs="Palatino Linotype"/>
          <w:b/>
          <w:bCs/>
          <w:sz w:val="22"/>
          <w:szCs w:val="22"/>
        </w:rPr>
        <w:t>se tuvo conocimiento de la respuesta impugnada</w:t>
      </w:r>
      <w:r w:rsidRPr="0096360E">
        <w:rPr>
          <w:rFonts w:ascii="Palatino Linotype" w:eastAsia="Palatino Linotype" w:hAnsi="Palatino Linotype" w:cs="Palatino Linotype"/>
          <w:sz w:val="22"/>
          <w:szCs w:val="22"/>
        </w:rPr>
        <w:t xml:space="preserve">. </w:t>
      </w:r>
    </w:p>
    <w:p w14:paraId="3F9FBFA2"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6E879260" w14:textId="77777777" w:rsidR="00E91A0F" w:rsidRPr="0096360E"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07559F"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4E6CB291" w14:textId="77777777" w:rsidR="00E91A0F" w:rsidRPr="0096360E" w:rsidRDefault="00D21C94">
      <w:pPr>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96360E">
        <w:rPr>
          <w:rFonts w:ascii="Palatino Linotype" w:eastAsia="Palatino Linotype" w:hAnsi="Palatino Linotype" w:cs="Palatino Linotype"/>
          <w:sz w:val="22"/>
          <w:szCs w:val="22"/>
        </w:rPr>
        <w:t>Por otro lado, es de suma importancia mencionar que, si bien la parte</w:t>
      </w:r>
      <w:r w:rsidRPr="0096360E">
        <w:rPr>
          <w:rFonts w:ascii="Palatino Linotype" w:eastAsia="Palatino Linotype" w:hAnsi="Palatino Linotype" w:cs="Palatino Linotype"/>
          <w:b/>
          <w:bCs/>
          <w:sz w:val="22"/>
          <w:szCs w:val="22"/>
        </w:rPr>
        <w:t xml:space="preserve"> Recurrente</w:t>
      </w:r>
      <w:r w:rsidRPr="0096360E">
        <w:rPr>
          <w:rFonts w:ascii="Palatino Linotype" w:eastAsia="Palatino Linotype" w:hAnsi="Palatino Linotype" w:cs="Palatino Linotype"/>
          <w:sz w:val="22"/>
          <w:szCs w:val="22"/>
        </w:rPr>
        <w:t xml:space="preserve"> no </w:t>
      </w:r>
      <w:r w:rsidRPr="0096360E">
        <w:rPr>
          <w:rFonts w:ascii="Palatino Linotype" w:eastAsia="Palatino Linotype" w:hAnsi="Palatino Linotype" w:cs="Palatino Linotype"/>
          <w:b/>
          <w:bCs/>
          <w:sz w:val="22"/>
          <w:szCs w:val="22"/>
        </w:rPr>
        <w:t>proporcionó nombre,</w:t>
      </w:r>
      <w:r w:rsidRPr="0096360E">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B0B3D8B"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3944C14F" w14:textId="77777777" w:rsidR="00E91A0F" w:rsidRPr="0096360E" w:rsidRDefault="00D21C94">
      <w:pPr>
        <w:spacing w:line="276" w:lineRule="auto"/>
        <w:ind w:left="851" w:right="902"/>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i/>
          <w:iCs/>
          <w:sz w:val="22"/>
          <w:szCs w:val="22"/>
        </w:rPr>
        <w:t>"</w:t>
      </w:r>
      <w:r w:rsidRPr="0096360E">
        <w:rPr>
          <w:rFonts w:ascii="Palatino Linotype" w:eastAsia="Palatino Linotype" w:hAnsi="Palatino Linotype" w:cs="Palatino Linotype"/>
          <w:b/>
          <w:bCs/>
          <w:i/>
          <w:iCs/>
          <w:sz w:val="22"/>
          <w:szCs w:val="22"/>
        </w:rPr>
        <w:t>Las solicitudes anónimas</w:t>
      </w:r>
      <w:r w:rsidRPr="0096360E">
        <w:rPr>
          <w:rFonts w:ascii="Palatino Linotype" w:eastAsia="Palatino Linotype" w:hAnsi="Palatino Linotype" w:cs="Palatino Linotype"/>
          <w:i/>
          <w:iCs/>
          <w:sz w:val="22"/>
          <w:szCs w:val="22"/>
        </w:rPr>
        <w:t>, con nombre incompleto o seudónimo</w:t>
      </w:r>
      <w:r w:rsidRPr="0096360E">
        <w:rPr>
          <w:rFonts w:ascii="Palatino Linotype" w:eastAsia="Palatino Linotype" w:hAnsi="Palatino Linotype" w:cs="Palatino Linotype"/>
          <w:b/>
          <w:bCs/>
          <w:i/>
          <w:iCs/>
          <w:sz w:val="22"/>
          <w:szCs w:val="22"/>
        </w:rPr>
        <w:t> serán procedentes para su trámite por parte del sujeto obligado ante quien se presente</w:t>
      </w:r>
      <w:r w:rsidRPr="0096360E">
        <w:rPr>
          <w:rFonts w:ascii="Palatino Linotype" w:eastAsia="Palatino Linotype" w:hAnsi="Palatino Linotype" w:cs="Palatino Linotype"/>
          <w:i/>
          <w:iCs/>
          <w:sz w:val="22"/>
          <w:szCs w:val="22"/>
        </w:rPr>
        <w:t>. No podrá requerirse información adicional con motivo del nombre proporcionado por el solicitante."</w:t>
      </w:r>
    </w:p>
    <w:p w14:paraId="1DB8B5F0" w14:textId="77777777" w:rsidR="00E91A0F" w:rsidRPr="0096360E" w:rsidRDefault="00E91A0F">
      <w:pPr>
        <w:tabs>
          <w:tab w:val="left" w:pos="7938"/>
        </w:tabs>
        <w:spacing w:line="360" w:lineRule="auto"/>
        <w:jc w:val="both"/>
        <w:rPr>
          <w:rFonts w:ascii="Palatino Linotype" w:eastAsia="Palatino Linotype" w:hAnsi="Palatino Linotype" w:cs="Palatino Linotype"/>
          <w:sz w:val="22"/>
          <w:szCs w:val="22"/>
        </w:rPr>
      </w:pPr>
    </w:p>
    <w:p w14:paraId="5228818B" w14:textId="77777777" w:rsidR="00E91A0F" w:rsidRPr="0096360E" w:rsidRDefault="00D21C94">
      <w:pPr>
        <w:tabs>
          <w:tab w:val="left" w:pos="7938"/>
        </w:tabs>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6FE84AA" w14:textId="77777777" w:rsidR="00E91A0F" w:rsidRPr="0096360E" w:rsidRDefault="00E91A0F">
      <w:pPr>
        <w:tabs>
          <w:tab w:val="left" w:pos="7938"/>
        </w:tabs>
        <w:spacing w:line="360" w:lineRule="auto"/>
        <w:jc w:val="both"/>
        <w:rPr>
          <w:rFonts w:ascii="Palatino Linotype" w:eastAsia="Palatino Linotype" w:hAnsi="Palatino Linotype" w:cs="Palatino Linotype"/>
          <w:sz w:val="22"/>
          <w:szCs w:val="22"/>
        </w:rPr>
      </w:pPr>
    </w:p>
    <w:p w14:paraId="1D345F6D" w14:textId="77777777" w:rsidR="00E91A0F" w:rsidRPr="0096360E"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 xml:space="preserve">Finalmente, se advierte que resulta procedente la interposición del recurso, según lo manifestado por </w:t>
      </w:r>
      <w:r w:rsidRPr="0096360E">
        <w:rPr>
          <w:rFonts w:ascii="Palatino Linotype" w:eastAsia="Palatino Linotype" w:hAnsi="Palatino Linotype" w:cs="Palatino Linotype"/>
          <w:b/>
          <w:bCs/>
          <w:sz w:val="22"/>
          <w:szCs w:val="22"/>
        </w:rPr>
        <w:t>la parte</w:t>
      </w:r>
      <w:r w:rsidRPr="0096360E">
        <w:rPr>
          <w:rFonts w:ascii="Palatino Linotype" w:eastAsia="Palatino Linotype" w:hAnsi="Palatino Linotype" w:cs="Palatino Linotype"/>
          <w:sz w:val="22"/>
          <w:szCs w:val="22"/>
        </w:rPr>
        <w:t xml:space="preserve"> </w:t>
      </w:r>
      <w:r w:rsidRPr="0096360E">
        <w:rPr>
          <w:rFonts w:ascii="Palatino Linotype" w:eastAsia="Palatino Linotype" w:hAnsi="Palatino Linotype" w:cs="Palatino Linotype"/>
          <w:b/>
          <w:bCs/>
          <w:sz w:val="22"/>
          <w:szCs w:val="22"/>
        </w:rPr>
        <w:t>Recurrente</w:t>
      </w:r>
      <w:r w:rsidRPr="0096360E">
        <w:rPr>
          <w:rFonts w:ascii="Palatino Linotype" w:eastAsia="Palatino Linotype" w:hAnsi="Palatino Linotype" w:cs="Palatino Linotype"/>
          <w:sz w:val="22"/>
          <w:szCs w:val="22"/>
        </w:rPr>
        <w:t xml:space="preserve"> en sus motivos de inconformidad, de acuerdo al artículo 179, fracción VIII del ordenamiento legal citado, que a la letra dice: </w:t>
      </w:r>
    </w:p>
    <w:p w14:paraId="7D3DA133"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405E221B" w14:textId="77777777" w:rsidR="00E91A0F" w:rsidRPr="0096360E" w:rsidRDefault="00D21C94">
      <w:pPr>
        <w:ind w:left="567" w:right="902"/>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i/>
          <w:iCs/>
          <w:sz w:val="22"/>
          <w:szCs w:val="22"/>
        </w:rPr>
        <w:t>“</w:t>
      </w:r>
      <w:r w:rsidRPr="0096360E">
        <w:rPr>
          <w:rFonts w:ascii="Palatino Linotype" w:eastAsia="Palatino Linotype" w:hAnsi="Palatino Linotype" w:cs="Palatino Linotype"/>
          <w:b/>
          <w:bCs/>
          <w:i/>
          <w:iCs/>
          <w:sz w:val="22"/>
          <w:szCs w:val="22"/>
        </w:rPr>
        <w:t>Artículo 179.</w:t>
      </w:r>
      <w:r w:rsidRPr="0096360E">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764F33F5" w14:textId="77777777" w:rsidR="00E91A0F" w:rsidRPr="0096360E" w:rsidRDefault="00D21C94">
      <w:pPr>
        <w:ind w:left="567" w:right="902"/>
        <w:jc w:val="both"/>
        <w:rPr>
          <w:rFonts w:ascii="Palatino Linotype" w:eastAsia="Palatino Linotype" w:hAnsi="Palatino Linotype" w:cs="Palatino Linotype"/>
          <w:b/>
          <w:bCs/>
          <w:i/>
          <w:iCs/>
          <w:sz w:val="22"/>
          <w:szCs w:val="22"/>
        </w:rPr>
      </w:pPr>
      <w:r w:rsidRPr="0096360E">
        <w:rPr>
          <w:rFonts w:ascii="Palatino Linotype" w:eastAsia="Palatino Linotype" w:hAnsi="Palatino Linotype" w:cs="Palatino Linotype"/>
          <w:b/>
          <w:bCs/>
          <w:i/>
          <w:iCs/>
          <w:sz w:val="22"/>
          <w:szCs w:val="22"/>
        </w:rPr>
        <w:t>[…]</w:t>
      </w:r>
    </w:p>
    <w:p w14:paraId="57892926" w14:textId="77777777" w:rsidR="00E91A0F" w:rsidRPr="0096360E" w:rsidRDefault="00D21C94">
      <w:pPr>
        <w:ind w:left="567" w:right="902"/>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i/>
          <w:iCs/>
          <w:sz w:val="22"/>
          <w:szCs w:val="22"/>
        </w:rPr>
        <w:t xml:space="preserve">VIII. </w:t>
      </w:r>
      <w:r w:rsidRPr="0096360E">
        <w:rPr>
          <w:rFonts w:ascii="Palatino Linotype" w:eastAsia="Palatino Linotype" w:hAnsi="Palatino Linotype" w:cs="Palatino Linotype"/>
          <w:b/>
          <w:bCs/>
          <w:i/>
          <w:iCs/>
          <w:sz w:val="22"/>
          <w:szCs w:val="22"/>
        </w:rPr>
        <w:t>La notificación, entrega o puesta a disposición de información</w:t>
      </w:r>
      <w:r w:rsidRPr="0096360E">
        <w:rPr>
          <w:rFonts w:ascii="Palatino Linotype" w:eastAsia="Palatino Linotype" w:hAnsi="Palatino Linotype" w:cs="Palatino Linotype"/>
          <w:i/>
          <w:iCs/>
          <w:sz w:val="22"/>
          <w:szCs w:val="22"/>
        </w:rPr>
        <w:t xml:space="preserve"> </w:t>
      </w:r>
      <w:r w:rsidRPr="0096360E">
        <w:rPr>
          <w:rFonts w:ascii="Palatino Linotype" w:eastAsia="Palatino Linotype" w:hAnsi="Palatino Linotype" w:cs="Palatino Linotype"/>
          <w:b/>
          <w:bCs/>
          <w:i/>
          <w:iCs/>
          <w:sz w:val="22"/>
          <w:szCs w:val="22"/>
        </w:rPr>
        <w:t>en</w:t>
      </w:r>
      <w:r w:rsidRPr="0096360E">
        <w:rPr>
          <w:rFonts w:ascii="Palatino Linotype" w:eastAsia="Palatino Linotype" w:hAnsi="Palatino Linotype" w:cs="Palatino Linotype"/>
          <w:i/>
          <w:iCs/>
          <w:sz w:val="22"/>
          <w:szCs w:val="22"/>
        </w:rPr>
        <w:t xml:space="preserve"> una modalidad o </w:t>
      </w:r>
      <w:r w:rsidRPr="0096360E">
        <w:rPr>
          <w:rFonts w:ascii="Palatino Linotype" w:eastAsia="Palatino Linotype" w:hAnsi="Palatino Linotype" w:cs="Palatino Linotype"/>
          <w:b/>
          <w:bCs/>
          <w:i/>
          <w:iCs/>
          <w:sz w:val="22"/>
          <w:szCs w:val="22"/>
        </w:rPr>
        <w:t>formato distinto al solicitado</w:t>
      </w:r>
      <w:r w:rsidRPr="0096360E">
        <w:rPr>
          <w:rFonts w:ascii="Palatino Linotype" w:eastAsia="Palatino Linotype" w:hAnsi="Palatino Linotype" w:cs="Palatino Linotype"/>
          <w:i/>
          <w:iCs/>
          <w:sz w:val="22"/>
          <w:szCs w:val="22"/>
        </w:rPr>
        <w:t>;</w:t>
      </w:r>
    </w:p>
    <w:p w14:paraId="43FC8D6B" w14:textId="77777777" w:rsidR="00E91A0F" w:rsidRPr="0096360E" w:rsidRDefault="00D21C94">
      <w:pPr>
        <w:ind w:left="567" w:right="902"/>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i/>
          <w:iCs/>
          <w:sz w:val="22"/>
          <w:szCs w:val="22"/>
        </w:rPr>
        <w:t>[….]”</w:t>
      </w:r>
    </w:p>
    <w:p w14:paraId="4ACA09F4" w14:textId="77777777" w:rsidR="00E91A0F" w:rsidRPr="0096360E" w:rsidRDefault="00E91A0F">
      <w:pPr>
        <w:ind w:left="567"/>
        <w:rPr>
          <w:rFonts w:ascii="Palatino Linotype" w:eastAsia="Palatino Linotype" w:hAnsi="Palatino Linotype" w:cs="Palatino Linotype"/>
          <w:b/>
          <w:bCs/>
          <w:i/>
          <w:iCs/>
          <w:sz w:val="22"/>
          <w:szCs w:val="22"/>
        </w:rPr>
      </w:pPr>
    </w:p>
    <w:p w14:paraId="43ECA570" w14:textId="77777777" w:rsidR="00E91A0F" w:rsidRPr="0096360E" w:rsidRDefault="00D21C94">
      <w:pPr>
        <w:ind w:left="567" w:right="900"/>
        <w:jc w:val="right"/>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b/>
          <w:bCs/>
          <w:i/>
          <w:iCs/>
          <w:sz w:val="22"/>
          <w:szCs w:val="22"/>
        </w:rPr>
        <w:t xml:space="preserve"> </w:t>
      </w:r>
      <w:r w:rsidRPr="0096360E">
        <w:rPr>
          <w:rFonts w:ascii="Palatino Linotype" w:eastAsia="Palatino Linotype" w:hAnsi="Palatino Linotype" w:cs="Palatino Linotype"/>
          <w:i/>
          <w:iCs/>
          <w:sz w:val="22"/>
          <w:szCs w:val="22"/>
        </w:rPr>
        <w:t>(Énfasis añadido)</w:t>
      </w:r>
    </w:p>
    <w:p w14:paraId="6893A4AF" w14:textId="77777777" w:rsidR="00E91A0F" w:rsidRPr="0096360E" w:rsidRDefault="00E91A0F">
      <w:pPr>
        <w:ind w:left="567" w:right="900"/>
        <w:jc w:val="right"/>
        <w:rPr>
          <w:rFonts w:ascii="Palatino Linotype" w:eastAsia="Palatino Linotype" w:hAnsi="Palatino Linotype" w:cs="Palatino Linotype"/>
          <w:b/>
          <w:bCs/>
          <w:i/>
          <w:iCs/>
          <w:sz w:val="22"/>
          <w:szCs w:val="22"/>
        </w:rPr>
      </w:pPr>
    </w:p>
    <w:p w14:paraId="0321B61A" w14:textId="77777777" w:rsidR="00E91A0F" w:rsidRPr="0096360E" w:rsidRDefault="00D21C94">
      <w:pPr>
        <w:spacing w:line="360" w:lineRule="auto"/>
        <w:jc w:val="both"/>
        <w:rPr>
          <w:rFonts w:ascii="Palatino Linotype" w:eastAsia="Palatino Linotype" w:hAnsi="Palatino Linotype" w:cs="Palatino Linotype"/>
          <w:b/>
          <w:bCs/>
          <w:sz w:val="22"/>
          <w:szCs w:val="22"/>
        </w:rPr>
      </w:pPr>
      <w:r w:rsidRPr="0096360E">
        <w:rPr>
          <w:rFonts w:ascii="Palatino Linotype" w:eastAsia="Palatino Linotype" w:hAnsi="Palatino Linotype" w:cs="Palatino Linotype"/>
          <w:b/>
          <w:bCs/>
          <w:sz w:val="22"/>
          <w:szCs w:val="22"/>
        </w:rPr>
        <w:t xml:space="preserve">Tercero. Materia de la revisión. </w:t>
      </w:r>
      <w:r w:rsidRPr="0096360E">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96360E">
        <w:rPr>
          <w:rFonts w:ascii="Palatino Linotype" w:eastAsia="Palatino Linotype" w:hAnsi="Palatino Linotype" w:cs="Palatino Linotype"/>
          <w:b/>
          <w:bCs/>
          <w:sz w:val="22"/>
          <w:szCs w:val="22"/>
        </w:rPr>
        <w:t>verificar si la información otorgada por el Sujeto Obligado es adecuada y suficiente para satisfacer el derecho de acceso a la información pública de la parte Recurrente,</w:t>
      </w:r>
      <w:r w:rsidRPr="0096360E">
        <w:rPr>
          <w:rFonts w:ascii="Palatino Linotype" w:eastAsia="Palatino Linotype" w:hAnsi="Palatino Linotype" w:cs="Palatino Linotype"/>
          <w:sz w:val="22"/>
          <w:szCs w:val="22"/>
        </w:rPr>
        <w:t xml:space="preserve"> o en su defecto, en caso de ser procedente, ordenar la entrega de la información oportuna.</w:t>
      </w:r>
    </w:p>
    <w:p w14:paraId="3F53C5D5"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0BD953AD" w14:textId="77777777" w:rsidR="00E91A0F" w:rsidRPr="0096360E"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b/>
          <w:bCs/>
          <w:sz w:val="22"/>
          <w:szCs w:val="22"/>
        </w:rPr>
        <w:t xml:space="preserve">Cuarto. Estudio del asunto. </w:t>
      </w:r>
      <w:r w:rsidRPr="0096360E">
        <w:rPr>
          <w:rFonts w:ascii="Palatino Linotype" w:eastAsia="Palatino Linotype" w:hAnsi="Palatino Linotype" w:cs="Palatino Linotype"/>
          <w:sz w:val="22"/>
          <w:szCs w:val="22"/>
        </w:rPr>
        <w:t xml:space="preserve">Antes de entrar al análisis de los pronunciamientos del </w:t>
      </w:r>
      <w:r w:rsidRPr="0096360E">
        <w:rPr>
          <w:rFonts w:ascii="Palatino Linotype" w:eastAsia="Palatino Linotype" w:hAnsi="Palatino Linotype" w:cs="Palatino Linotype"/>
          <w:b/>
          <w:bCs/>
          <w:sz w:val="22"/>
          <w:szCs w:val="22"/>
        </w:rPr>
        <w:t>Sujeto Obligado</w:t>
      </w:r>
      <w:r w:rsidRPr="0096360E">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B6BCF6B"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6200FEDB" w14:textId="77777777" w:rsidR="00E91A0F" w:rsidRPr="0096360E" w:rsidRDefault="00D21C94">
      <w:pPr>
        <w:spacing w:line="276" w:lineRule="auto"/>
        <w:ind w:left="851" w:right="850"/>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96360E">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5B3E003B" w14:textId="77777777" w:rsidR="00E91A0F" w:rsidRPr="0096360E" w:rsidRDefault="00D21C94">
      <w:pPr>
        <w:spacing w:line="276" w:lineRule="auto"/>
        <w:ind w:left="851" w:right="850"/>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749BCE1E" w14:textId="77777777" w:rsidR="00E91A0F" w:rsidRPr="0096360E" w:rsidRDefault="00D21C94">
      <w:pPr>
        <w:spacing w:line="276" w:lineRule="auto"/>
        <w:ind w:left="851" w:right="850"/>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6360E">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183F4A50" w14:textId="77777777" w:rsidR="00E91A0F" w:rsidRPr="0096360E" w:rsidRDefault="00D21C94">
      <w:pPr>
        <w:spacing w:line="276" w:lineRule="auto"/>
        <w:ind w:left="851" w:right="850"/>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i/>
          <w:iCs/>
          <w:sz w:val="22"/>
          <w:szCs w:val="22"/>
        </w:rPr>
        <w:t>[…]</w:t>
      </w:r>
    </w:p>
    <w:p w14:paraId="4F12AAD0" w14:textId="77777777" w:rsidR="00E91A0F" w:rsidRPr="0096360E" w:rsidRDefault="00D21C94">
      <w:pPr>
        <w:spacing w:line="276" w:lineRule="auto"/>
        <w:ind w:left="851" w:right="901"/>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b/>
          <w:bCs/>
          <w:i/>
          <w:iCs/>
          <w:sz w:val="22"/>
          <w:szCs w:val="22"/>
        </w:rPr>
        <w:t>“Artículo 6o.</w:t>
      </w:r>
    </w:p>
    <w:p w14:paraId="1A2FDFE8" w14:textId="77777777" w:rsidR="00E91A0F" w:rsidRPr="0096360E" w:rsidRDefault="00D21C94">
      <w:pPr>
        <w:spacing w:line="276" w:lineRule="auto"/>
        <w:ind w:left="851" w:right="901"/>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i/>
          <w:iCs/>
          <w:sz w:val="22"/>
          <w:szCs w:val="22"/>
        </w:rPr>
        <w:t>[...]</w:t>
      </w:r>
    </w:p>
    <w:p w14:paraId="39AD81CD" w14:textId="77777777" w:rsidR="00E91A0F" w:rsidRPr="0096360E" w:rsidRDefault="00D21C94">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b/>
          <w:bCs/>
          <w:i/>
          <w:iCs/>
          <w:sz w:val="22"/>
          <w:szCs w:val="22"/>
        </w:rPr>
        <w:t xml:space="preserve">A. Para el ejercicio del derecho de acceso a la información, la Federación y </w:t>
      </w:r>
      <w:r w:rsidRPr="0096360E">
        <w:rPr>
          <w:rFonts w:ascii="Palatino Linotype" w:eastAsia="Palatino Linotype" w:hAnsi="Palatino Linotype" w:cs="Palatino Linotype"/>
          <w:b/>
          <w:bCs/>
          <w:i/>
          <w:iCs/>
          <w:sz w:val="22"/>
          <w:szCs w:val="22"/>
          <w:u w:val="single"/>
        </w:rPr>
        <w:t>las entidades federativas</w:t>
      </w:r>
      <w:r w:rsidRPr="0096360E">
        <w:rPr>
          <w:rFonts w:ascii="Palatino Linotype" w:eastAsia="Palatino Linotype" w:hAnsi="Palatino Linotype" w:cs="Palatino Linotype"/>
          <w:b/>
          <w:bCs/>
          <w:i/>
          <w:iCs/>
          <w:sz w:val="22"/>
          <w:szCs w:val="22"/>
        </w:rPr>
        <w:t>,</w:t>
      </w:r>
      <w:r w:rsidRPr="0096360E">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505969FE" w14:textId="77777777" w:rsidR="00E91A0F" w:rsidRPr="0096360E" w:rsidRDefault="00D21C94">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i/>
          <w:iCs/>
          <w:sz w:val="22"/>
          <w:szCs w:val="22"/>
        </w:rPr>
        <w:t> </w:t>
      </w:r>
      <w:r w:rsidRPr="0096360E">
        <w:rPr>
          <w:rFonts w:ascii="Palatino Linotype" w:eastAsia="Palatino Linotype" w:hAnsi="Palatino Linotype" w:cs="Palatino Linotype"/>
          <w:b/>
          <w:bCs/>
          <w:i/>
          <w:iCs/>
          <w:sz w:val="22"/>
          <w:szCs w:val="22"/>
        </w:rPr>
        <w:t xml:space="preserve">I. </w:t>
      </w:r>
      <w:r w:rsidRPr="0096360E">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96360E">
        <w:rPr>
          <w:rFonts w:ascii="Palatino Linotype" w:eastAsia="Palatino Linotype" w:hAnsi="Palatino Linotype" w:cs="Palatino Linotype"/>
          <w:i/>
          <w:iCs/>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96360E">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96360E">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1440AEB" w14:textId="77777777" w:rsidR="00E91A0F" w:rsidRPr="0096360E" w:rsidRDefault="00D21C94">
      <w:pPr>
        <w:pBdr>
          <w:top w:val="nil"/>
          <w:left w:val="nil"/>
          <w:bottom w:val="nil"/>
          <w:right w:val="nil"/>
          <w:between w:val="nil"/>
        </w:pBdr>
        <w:spacing w:before="240" w:after="240"/>
        <w:ind w:left="851" w:right="851"/>
        <w:jc w:val="both"/>
        <w:rPr>
          <w:rFonts w:ascii="Palatino Linotype" w:eastAsia="Palatino Linotype" w:hAnsi="Palatino Linotype" w:cs="Palatino Linotype"/>
          <w:b/>
          <w:bCs/>
          <w:i/>
          <w:iCs/>
          <w:sz w:val="22"/>
          <w:szCs w:val="22"/>
        </w:rPr>
      </w:pPr>
      <w:r w:rsidRPr="0096360E">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7A63A472" w14:textId="77777777" w:rsidR="00E91A0F" w:rsidRPr="0096360E" w:rsidRDefault="00D21C94">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i/>
          <w:iCs/>
          <w:sz w:val="22"/>
          <w:szCs w:val="22"/>
        </w:rPr>
        <w:t> </w:t>
      </w:r>
      <w:r w:rsidRPr="0096360E">
        <w:rPr>
          <w:rFonts w:ascii="Palatino Linotype" w:eastAsia="Palatino Linotype" w:hAnsi="Palatino Linotype" w:cs="Palatino Linotype"/>
          <w:b/>
          <w:bCs/>
          <w:i/>
          <w:iCs/>
          <w:sz w:val="22"/>
          <w:szCs w:val="22"/>
        </w:rPr>
        <w:t xml:space="preserve">III. </w:t>
      </w:r>
      <w:r w:rsidRPr="0096360E">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96360E">
        <w:rPr>
          <w:rFonts w:ascii="Palatino Linotype" w:eastAsia="Palatino Linotype" w:hAnsi="Palatino Linotype" w:cs="Palatino Linotype"/>
          <w:i/>
          <w:iCs/>
          <w:sz w:val="22"/>
          <w:szCs w:val="22"/>
        </w:rPr>
        <w:t xml:space="preserve"> a sus datos personales o a la rectificación de éstos.</w:t>
      </w:r>
    </w:p>
    <w:p w14:paraId="5BA8A9C4" w14:textId="77777777" w:rsidR="00E91A0F" w:rsidRPr="0096360E" w:rsidRDefault="00D21C94">
      <w:pPr>
        <w:pBdr>
          <w:top w:val="nil"/>
          <w:left w:val="nil"/>
          <w:bottom w:val="nil"/>
          <w:right w:val="nil"/>
          <w:between w:val="nil"/>
        </w:pBdr>
        <w:spacing w:before="240" w:after="240"/>
        <w:ind w:left="851" w:right="851"/>
        <w:jc w:val="both"/>
      </w:pPr>
      <w:r w:rsidRPr="0096360E">
        <w:rPr>
          <w:rFonts w:ascii="Palatino Linotype" w:eastAsia="Palatino Linotype" w:hAnsi="Palatino Linotype" w:cs="Palatino Linotype"/>
          <w:b/>
          <w:bCs/>
          <w:i/>
          <w:iCs/>
          <w:sz w:val="22"/>
          <w:szCs w:val="22"/>
        </w:rPr>
        <w:t>…</w:t>
      </w:r>
    </w:p>
    <w:p w14:paraId="7085A3E2" w14:textId="77777777" w:rsidR="00E91A0F" w:rsidRPr="0096360E" w:rsidRDefault="00D21C94">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b/>
          <w:bCs/>
          <w:i/>
          <w:iCs/>
          <w:sz w:val="22"/>
          <w:szCs w:val="22"/>
        </w:rPr>
        <w:t>IV.</w:t>
      </w:r>
      <w:r w:rsidRPr="0096360E">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51ED1394" w14:textId="77777777" w:rsidR="00E91A0F" w:rsidRPr="0096360E" w:rsidRDefault="00D21C94">
      <w:pPr>
        <w:pBdr>
          <w:top w:val="nil"/>
          <w:left w:val="nil"/>
          <w:bottom w:val="nil"/>
          <w:right w:val="nil"/>
          <w:between w:val="nil"/>
        </w:pBdr>
        <w:spacing w:before="240" w:after="240"/>
        <w:ind w:left="851" w:right="851"/>
        <w:jc w:val="both"/>
      </w:pPr>
      <w:r w:rsidRPr="0096360E">
        <w:rPr>
          <w:rFonts w:ascii="Palatino Linotype" w:eastAsia="Palatino Linotype" w:hAnsi="Palatino Linotype" w:cs="Palatino Linotype"/>
          <w:b/>
          <w:bCs/>
          <w:i/>
          <w:iCs/>
          <w:sz w:val="22"/>
          <w:szCs w:val="22"/>
        </w:rPr>
        <w:t xml:space="preserve">V. </w:t>
      </w:r>
      <w:r w:rsidRPr="0096360E">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F1505FC" w14:textId="77777777" w:rsidR="00E91A0F" w:rsidRPr="0096360E" w:rsidRDefault="00D21C94">
      <w:pPr>
        <w:pBdr>
          <w:top w:val="nil"/>
          <w:left w:val="nil"/>
          <w:bottom w:val="nil"/>
          <w:right w:val="nil"/>
          <w:between w:val="nil"/>
        </w:pBdr>
        <w:spacing w:before="240" w:after="240"/>
        <w:ind w:left="851" w:right="851"/>
        <w:jc w:val="both"/>
      </w:pPr>
      <w:r w:rsidRPr="0096360E">
        <w:rPr>
          <w:rFonts w:ascii="Palatino Linotype" w:eastAsia="Palatino Linotype" w:hAnsi="Palatino Linotype" w:cs="Palatino Linotype"/>
          <w:i/>
          <w:iCs/>
          <w:sz w:val="22"/>
          <w:szCs w:val="22"/>
        </w:rPr>
        <w:t> </w:t>
      </w:r>
      <w:r w:rsidRPr="0096360E">
        <w:rPr>
          <w:rFonts w:ascii="Palatino Linotype" w:eastAsia="Palatino Linotype" w:hAnsi="Palatino Linotype" w:cs="Palatino Linotype"/>
          <w:b/>
          <w:bCs/>
          <w:i/>
          <w:iCs/>
          <w:sz w:val="22"/>
          <w:szCs w:val="22"/>
        </w:rPr>
        <w:t xml:space="preserve">VI. </w:t>
      </w:r>
      <w:r w:rsidRPr="0096360E">
        <w:rPr>
          <w:rFonts w:ascii="Palatino Linotype" w:eastAsia="Palatino Linotype" w:hAnsi="Palatino Linotype" w:cs="Palatino Linotype"/>
          <w:i/>
          <w:iCs/>
          <w:sz w:val="22"/>
          <w:szCs w:val="22"/>
        </w:rPr>
        <w:t>Las leyes determinarán la manera en que los sujetos obligados deberán hacer pública la información relativa a los recursos públicos que entreguen a personas físicas o morales.</w:t>
      </w:r>
    </w:p>
    <w:p w14:paraId="349359A2" w14:textId="77777777" w:rsidR="00E91A0F" w:rsidRPr="0096360E" w:rsidRDefault="00D21C94">
      <w:pPr>
        <w:pBdr>
          <w:top w:val="nil"/>
          <w:left w:val="nil"/>
          <w:bottom w:val="nil"/>
          <w:right w:val="nil"/>
          <w:between w:val="nil"/>
        </w:pBdr>
        <w:spacing w:before="240" w:after="240"/>
        <w:ind w:left="851" w:right="851"/>
        <w:jc w:val="both"/>
      </w:pPr>
      <w:r w:rsidRPr="0096360E">
        <w:rPr>
          <w:rFonts w:ascii="Palatino Linotype" w:eastAsia="Palatino Linotype" w:hAnsi="Palatino Linotype" w:cs="Palatino Linotype"/>
          <w:i/>
          <w:iCs/>
          <w:sz w:val="22"/>
          <w:szCs w:val="22"/>
        </w:rPr>
        <w:t> </w:t>
      </w:r>
      <w:r w:rsidRPr="0096360E">
        <w:rPr>
          <w:rFonts w:ascii="Palatino Linotype" w:eastAsia="Palatino Linotype" w:hAnsi="Palatino Linotype" w:cs="Palatino Linotype"/>
          <w:b/>
          <w:bCs/>
          <w:i/>
          <w:iCs/>
          <w:sz w:val="22"/>
          <w:szCs w:val="22"/>
        </w:rPr>
        <w:t xml:space="preserve">VII. </w:t>
      </w:r>
      <w:r w:rsidRPr="0096360E">
        <w:rPr>
          <w:rFonts w:ascii="Palatino Linotype" w:eastAsia="Palatino Linotype" w:hAnsi="Palatino Linotype" w:cs="Palatino Linotype"/>
          <w:i/>
          <w:iCs/>
          <w:sz w:val="22"/>
          <w:szCs w:val="22"/>
        </w:rPr>
        <w:t>La inobservancia a las disposiciones en materia de acceso a la información pública será sancionada en los términos que dispongan las leyes. [...]”</w:t>
      </w:r>
    </w:p>
    <w:p w14:paraId="13E26177" w14:textId="77777777" w:rsidR="00E91A0F" w:rsidRPr="0096360E" w:rsidRDefault="00E91A0F">
      <w:pPr>
        <w:spacing w:line="276" w:lineRule="auto"/>
        <w:ind w:left="851" w:right="851"/>
        <w:jc w:val="both"/>
        <w:rPr>
          <w:rFonts w:ascii="Palatino Linotype" w:eastAsia="Palatino Linotype" w:hAnsi="Palatino Linotype" w:cs="Palatino Linotype"/>
          <w:sz w:val="22"/>
          <w:szCs w:val="22"/>
        </w:rPr>
      </w:pPr>
    </w:p>
    <w:p w14:paraId="6EC1BBE3" w14:textId="77777777" w:rsidR="00E91A0F" w:rsidRPr="0096360E"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951F35F"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77F23962" w14:textId="77777777" w:rsidR="00E91A0F" w:rsidRPr="0096360E" w:rsidRDefault="00D21C94">
      <w:pPr>
        <w:spacing w:line="276" w:lineRule="auto"/>
        <w:ind w:left="567" w:right="616"/>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i/>
          <w:iCs/>
          <w:sz w:val="22"/>
          <w:szCs w:val="22"/>
        </w:rPr>
        <w:t>“</w:t>
      </w:r>
      <w:r w:rsidRPr="0096360E">
        <w:rPr>
          <w:rFonts w:ascii="Palatino Linotype" w:eastAsia="Palatino Linotype" w:hAnsi="Palatino Linotype" w:cs="Palatino Linotype"/>
          <w:b/>
          <w:bCs/>
          <w:i/>
          <w:iCs/>
          <w:sz w:val="22"/>
          <w:szCs w:val="22"/>
        </w:rPr>
        <w:t>Artículo 4</w:t>
      </w:r>
      <w:r w:rsidRPr="0096360E">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2905572" w14:textId="77777777" w:rsidR="00E91A0F" w:rsidRPr="0096360E" w:rsidRDefault="00E91A0F">
      <w:pPr>
        <w:spacing w:line="276" w:lineRule="auto"/>
        <w:ind w:left="567" w:right="616"/>
        <w:jc w:val="both"/>
        <w:rPr>
          <w:rFonts w:ascii="Palatino Linotype" w:eastAsia="Palatino Linotype" w:hAnsi="Palatino Linotype" w:cs="Palatino Linotype"/>
          <w:i/>
          <w:iCs/>
          <w:sz w:val="22"/>
          <w:szCs w:val="22"/>
        </w:rPr>
      </w:pPr>
    </w:p>
    <w:p w14:paraId="162ABF2C" w14:textId="77777777" w:rsidR="00E91A0F" w:rsidRPr="0096360E" w:rsidRDefault="00D21C94">
      <w:pPr>
        <w:spacing w:line="276" w:lineRule="auto"/>
        <w:ind w:left="567" w:right="616"/>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96360E">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0F4BCC7" w14:textId="77777777" w:rsidR="00E91A0F" w:rsidRPr="0096360E" w:rsidRDefault="00E91A0F">
      <w:pPr>
        <w:spacing w:line="276" w:lineRule="auto"/>
        <w:ind w:left="567" w:right="616"/>
        <w:jc w:val="both"/>
        <w:rPr>
          <w:rFonts w:ascii="Palatino Linotype" w:eastAsia="Palatino Linotype" w:hAnsi="Palatino Linotype" w:cs="Palatino Linotype"/>
          <w:i/>
          <w:iCs/>
          <w:sz w:val="22"/>
          <w:szCs w:val="22"/>
        </w:rPr>
      </w:pPr>
    </w:p>
    <w:p w14:paraId="47FABDD6" w14:textId="77777777" w:rsidR="00E91A0F" w:rsidRPr="0096360E" w:rsidRDefault="00D21C94">
      <w:pPr>
        <w:spacing w:line="276" w:lineRule="auto"/>
        <w:ind w:left="567" w:right="616"/>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96360E">
        <w:rPr>
          <w:rFonts w:ascii="Palatino Linotype" w:eastAsia="Palatino Linotype" w:hAnsi="Palatino Linotype" w:cs="Palatino Linotype"/>
          <w:i/>
          <w:iCs/>
          <w:sz w:val="22"/>
          <w:szCs w:val="22"/>
        </w:rPr>
        <w:t>.”</w:t>
      </w:r>
    </w:p>
    <w:p w14:paraId="7951A6A3"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4C72B619" w14:textId="77777777" w:rsidR="00E91A0F" w:rsidRPr="0096360E"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7C0B2B9"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669554A5" w14:textId="77777777" w:rsidR="00E91A0F" w:rsidRPr="0096360E" w:rsidRDefault="00D21C94">
      <w:pPr>
        <w:spacing w:line="276" w:lineRule="auto"/>
        <w:ind w:left="567" w:right="616"/>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b/>
          <w:bCs/>
          <w:i/>
          <w:iCs/>
          <w:sz w:val="22"/>
          <w:szCs w:val="22"/>
        </w:rPr>
        <w:t>“Artículo 12.-</w:t>
      </w:r>
      <w:r w:rsidRPr="0096360E">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09DD3E4C" w14:textId="77777777" w:rsidR="00E91A0F" w:rsidRPr="0096360E" w:rsidRDefault="00E91A0F">
      <w:pPr>
        <w:spacing w:line="276" w:lineRule="auto"/>
        <w:ind w:left="567" w:right="616"/>
        <w:jc w:val="both"/>
        <w:rPr>
          <w:rFonts w:ascii="Palatino Linotype" w:eastAsia="Palatino Linotype" w:hAnsi="Palatino Linotype" w:cs="Palatino Linotype"/>
          <w:i/>
          <w:iCs/>
          <w:sz w:val="22"/>
          <w:szCs w:val="22"/>
        </w:rPr>
      </w:pPr>
    </w:p>
    <w:p w14:paraId="07ABA2DC" w14:textId="77777777" w:rsidR="00E91A0F" w:rsidRPr="0096360E" w:rsidRDefault="00D21C94">
      <w:pPr>
        <w:spacing w:line="276" w:lineRule="auto"/>
        <w:ind w:left="567" w:right="616"/>
        <w:jc w:val="both"/>
        <w:rPr>
          <w:rFonts w:ascii="Palatino Linotype" w:eastAsia="Palatino Linotype" w:hAnsi="Palatino Linotype" w:cs="Palatino Linotype"/>
          <w:b/>
          <w:bCs/>
          <w:i/>
          <w:iCs/>
          <w:sz w:val="22"/>
          <w:szCs w:val="22"/>
        </w:rPr>
      </w:pPr>
      <w:r w:rsidRPr="0096360E">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96360E">
        <w:rPr>
          <w:rFonts w:ascii="Palatino Linotype" w:eastAsia="Palatino Linotype" w:hAnsi="Palatino Linotype" w:cs="Palatino Linotype"/>
          <w:i/>
          <w:iCs/>
          <w:sz w:val="22"/>
          <w:szCs w:val="22"/>
        </w:rPr>
        <w:t xml:space="preserve">. </w:t>
      </w:r>
      <w:r w:rsidRPr="0096360E">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E937CB4" w14:textId="77777777" w:rsidR="00E91A0F" w:rsidRPr="0096360E" w:rsidRDefault="00E91A0F">
      <w:pPr>
        <w:spacing w:line="360" w:lineRule="auto"/>
        <w:ind w:left="567" w:right="616"/>
        <w:jc w:val="both"/>
        <w:rPr>
          <w:rFonts w:ascii="Palatino Linotype" w:eastAsia="Palatino Linotype" w:hAnsi="Palatino Linotype" w:cs="Palatino Linotype"/>
          <w:i/>
          <w:iCs/>
          <w:sz w:val="22"/>
          <w:szCs w:val="22"/>
        </w:rPr>
      </w:pPr>
    </w:p>
    <w:p w14:paraId="5B23FABA" w14:textId="77777777" w:rsidR="00E91A0F" w:rsidRPr="0096360E" w:rsidRDefault="00D21C94">
      <w:pPr>
        <w:spacing w:line="360" w:lineRule="auto"/>
        <w:ind w:right="-93"/>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0E569CA5" w14:textId="77777777" w:rsidR="00E91A0F" w:rsidRPr="0096360E" w:rsidRDefault="00E91A0F">
      <w:pPr>
        <w:spacing w:line="360" w:lineRule="auto"/>
        <w:ind w:right="-93"/>
        <w:jc w:val="both"/>
        <w:rPr>
          <w:rFonts w:ascii="Palatino Linotype" w:eastAsia="Palatino Linotype" w:hAnsi="Palatino Linotype" w:cs="Palatino Linotype"/>
          <w:sz w:val="22"/>
          <w:szCs w:val="22"/>
        </w:rPr>
      </w:pPr>
    </w:p>
    <w:p w14:paraId="2BC42F13" w14:textId="77777777" w:rsidR="00E91A0F" w:rsidRPr="0096360E" w:rsidRDefault="00D21C94">
      <w:pPr>
        <w:spacing w:line="360" w:lineRule="auto"/>
        <w:jc w:val="both"/>
        <w:rPr>
          <w:rFonts w:ascii="Palatino Linotype" w:eastAsia="Palatino Linotype" w:hAnsi="Palatino Linotype" w:cs="Palatino Linotype"/>
          <w:b/>
          <w:bCs/>
          <w:sz w:val="22"/>
          <w:szCs w:val="22"/>
        </w:rPr>
      </w:pPr>
      <w:r w:rsidRPr="0096360E">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96360E">
        <w:rPr>
          <w:rFonts w:ascii="Palatino Linotype" w:eastAsia="Palatino Linotype" w:hAnsi="Palatino Linotype" w:cs="Palatino Linotype"/>
          <w:b/>
          <w:bCs/>
          <w:sz w:val="22"/>
          <w:szCs w:val="22"/>
        </w:rPr>
        <w:t xml:space="preserve"> </w:t>
      </w:r>
    </w:p>
    <w:p w14:paraId="204EAA2C" w14:textId="77777777" w:rsidR="00E91A0F" w:rsidRPr="0096360E" w:rsidRDefault="00D21C94">
      <w:pPr>
        <w:spacing w:line="276" w:lineRule="auto"/>
        <w:ind w:left="567" w:right="616"/>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i/>
          <w:iCs/>
          <w:sz w:val="22"/>
          <w:szCs w:val="22"/>
        </w:rPr>
        <w:t>“</w:t>
      </w:r>
      <w:r w:rsidRPr="0096360E">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96360E">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4E30B4B" w14:textId="77777777" w:rsidR="00E91A0F" w:rsidRPr="0096360E" w:rsidRDefault="00E91A0F">
      <w:pPr>
        <w:spacing w:line="360" w:lineRule="auto"/>
        <w:ind w:right="-93"/>
        <w:jc w:val="both"/>
        <w:rPr>
          <w:rFonts w:ascii="Palatino Linotype" w:eastAsia="Palatino Linotype" w:hAnsi="Palatino Linotype" w:cs="Palatino Linotype"/>
          <w:sz w:val="22"/>
          <w:szCs w:val="22"/>
        </w:rPr>
      </w:pPr>
    </w:p>
    <w:p w14:paraId="1534DD4B" w14:textId="77777777" w:rsidR="00E91A0F" w:rsidRPr="0096360E"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81A3DB2"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11BD9907" w14:textId="77777777" w:rsidR="00E91A0F" w:rsidRPr="0096360E" w:rsidRDefault="00D21C94">
      <w:pPr>
        <w:spacing w:line="360" w:lineRule="auto"/>
        <w:ind w:right="49"/>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1A46056" w14:textId="77777777" w:rsidR="00E91A0F" w:rsidRPr="0096360E" w:rsidRDefault="00E91A0F">
      <w:pPr>
        <w:spacing w:line="360" w:lineRule="auto"/>
        <w:ind w:right="49"/>
        <w:jc w:val="both"/>
        <w:rPr>
          <w:rFonts w:ascii="Palatino Linotype" w:eastAsia="Palatino Linotype" w:hAnsi="Palatino Linotype" w:cs="Palatino Linotype"/>
          <w:sz w:val="22"/>
          <w:szCs w:val="22"/>
        </w:rPr>
      </w:pPr>
    </w:p>
    <w:p w14:paraId="0A107EF7" w14:textId="77777777" w:rsidR="00E91A0F" w:rsidRPr="0096360E"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5E3744A" w14:textId="77777777" w:rsidR="00E91A0F" w:rsidRPr="0096360E" w:rsidRDefault="00E91A0F">
      <w:pPr>
        <w:spacing w:line="360" w:lineRule="auto"/>
        <w:ind w:left="851" w:right="899"/>
        <w:jc w:val="both"/>
        <w:rPr>
          <w:rFonts w:ascii="Palatino Linotype" w:eastAsia="Palatino Linotype" w:hAnsi="Palatino Linotype" w:cs="Palatino Linotype"/>
          <w:i/>
          <w:iCs/>
          <w:sz w:val="22"/>
          <w:szCs w:val="22"/>
        </w:rPr>
      </w:pPr>
    </w:p>
    <w:p w14:paraId="71F11B50" w14:textId="77777777" w:rsidR="00E91A0F" w:rsidRPr="0096360E" w:rsidRDefault="00D21C94">
      <w:pPr>
        <w:spacing w:line="276" w:lineRule="auto"/>
        <w:ind w:left="567" w:right="616"/>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i/>
          <w:iCs/>
          <w:sz w:val="22"/>
          <w:szCs w:val="22"/>
        </w:rPr>
        <w:t>“</w:t>
      </w:r>
      <w:r w:rsidRPr="0096360E">
        <w:rPr>
          <w:rFonts w:ascii="Palatino Linotype" w:eastAsia="Palatino Linotype" w:hAnsi="Palatino Linotype" w:cs="Palatino Linotype"/>
          <w:b/>
          <w:bCs/>
          <w:i/>
          <w:iCs/>
          <w:sz w:val="22"/>
          <w:szCs w:val="22"/>
        </w:rPr>
        <w:t xml:space="preserve">Artículo 3. </w:t>
      </w:r>
      <w:r w:rsidRPr="0096360E">
        <w:rPr>
          <w:rFonts w:ascii="Palatino Linotype" w:eastAsia="Palatino Linotype" w:hAnsi="Palatino Linotype" w:cs="Palatino Linotype"/>
          <w:i/>
          <w:iCs/>
          <w:sz w:val="22"/>
          <w:szCs w:val="22"/>
        </w:rPr>
        <w:t>Para los efectos de la presente Ley se entenderá por:</w:t>
      </w:r>
    </w:p>
    <w:p w14:paraId="49B1C37F" w14:textId="77777777" w:rsidR="00E91A0F" w:rsidRPr="0096360E" w:rsidRDefault="00D21C94">
      <w:pPr>
        <w:spacing w:line="276" w:lineRule="auto"/>
        <w:ind w:left="567" w:right="616"/>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i/>
          <w:iCs/>
          <w:sz w:val="22"/>
          <w:szCs w:val="22"/>
        </w:rPr>
        <w:t>…</w:t>
      </w:r>
    </w:p>
    <w:p w14:paraId="43A5CDA8" w14:textId="77777777" w:rsidR="00E91A0F" w:rsidRPr="0096360E" w:rsidRDefault="00D21C94">
      <w:pPr>
        <w:spacing w:line="276" w:lineRule="auto"/>
        <w:ind w:left="567" w:right="616"/>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b/>
          <w:bCs/>
          <w:i/>
          <w:iCs/>
          <w:sz w:val="22"/>
          <w:szCs w:val="22"/>
        </w:rPr>
        <w:t>XI. Documento:</w:t>
      </w:r>
      <w:r w:rsidRPr="0096360E">
        <w:rPr>
          <w:rFonts w:ascii="Palatino Linotype" w:eastAsia="Palatino Linotype" w:hAnsi="Palatino Linotype" w:cs="Palatino Linotype"/>
          <w:i/>
          <w:iCs/>
          <w:sz w:val="22"/>
          <w:szCs w:val="22"/>
        </w:rPr>
        <w:t xml:space="preserve"> Los expedientes, reportes, estudios, actas</w:t>
      </w:r>
      <w:r w:rsidRPr="0096360E">
        <w:rPr>
          <w:rFonts w:ascii="Palatino Linotype" w:eastAsia="Palatino Linotype" w:hAnsi="Palatino Linotype" w:cs="Palatino Linotype"/>
          <w:b/>
          <w:bCs/>
          <w:i/>
          <w:iCs/>
          <w:sz w:val="22"/>
          <w:szCs w:val="22"/>
        </w:rPr>
        <w:t>,</w:t>
      </w:r>
      <w:r w:rsidRPr="0096360E">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ACF7CCC" w14:textId="77777777" w:rsidR="00E91A0F" w:rsidRPr="0096360E" w:rsidRDefault="00E91A0F">
      <w:pPr>
        <w:spacing w:line="360" w:lineRule="auto"/>
        <w:ind w:left="851" w:right="899"/>
        <w:jc w:val="both"/>
        <w:rPr>
          <w:rFonts w:ascii="Palatino Linotype" w:eastAsia="Palatino Linotype" w:hAnsi="Palatino Linotype" w:cs="Palatino Linotype"/>
          <w:sz w:val="22"/>
          <w:szCs w:val="22"/>
        </w:rPr>
      </w:pPr>
    </w:p>
    <w:p w14:paraId="14F384FD" w14:textId="77777777" w:rsidR="00E91A0F" w:rsidRPr="0096360E"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D41A072"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39B51AA5" w14:textId="77777777" w:rsidR="00E91A0F" w:rsidRPr="0096360E" w:rsidRDefault="00D21C94">
      <w:pPr>
        <w:spacing w:line="276" w:lineRule="auto"/>
        <w:ind w:left="567" w:right="616"/>
        <w:jc w:val="both"/>
        <w:rPr>
          <w:rFonts w:ascii="Palatino Linotype" w:eastAsia="Palatino Linotype" w:hAnsi="Palatino Linotype" w:cs="Palatino Linotype"/>
          <w:b/>
          <w:bCs/>
          <w:i/>
          <w:iCs/>
          <w:sz w:val="22"/>
          <w:szCs w:val="22"/>
        </w:rPr>
      </w:pPr>
      <w:r w:rsidRPr="0096360E">
        <w:rPr>
          <w:rFonts w:ascii="Palatino Linotype" w:eastAsia="Palatino Linotype" w:hAnsi="Palatino Linotype" w:cs="Palatino Linotype"/>
          <w:b/>
          <w:bCs/>
          <w:sz w:val="22"/>
          <w:szCs w:val="22"/>
        </w:rPr>
        <w:t>“</w:t>
      </w:r>
      <w:r w:rsidRPr="0096360E">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96360E">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3CBEEA0" w14:textId="77777777" w:rsidR="00E91A0F" w:rsidRPr="0096360E" w:rsidRDefault="00D21C94">
      <w:pPr>
        <w:spacing w:line="276" w:lineRule="auto"/>
        <w:ind w:left="567" w:right="616"/>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718E6349" w14:textId="77777777" w:rsidR="00E91A0F" w:rsidRPr="0096360E" w:rsidRDefault="00D21C94">
      <w:pPr>
        <w:spacing w:line="276" w:lineRule="auto"/>
        <w:ind w:left="567" w:right="616"/>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7E83EEC3" w14:textId="77777777" w:rsidR="00E91A0F" w:rsidRPr="0096360E" w:rsidRDefault="00D21C94">
      <w:pPr>
        <w:spacing w:line="276" w:lineRule="auto"/>
        <w:ind w:left="567" w:right="616"/>
        <w:jc w:val="both"/>
        <w:rPr>
          <w:rFonts w:ascii="Palatino Linotype" w:eastAsia="Palatino Linotype" w:hAnsi="Palatino Linotype" w:cs="Palatino Linotype"/>
          <w:b/>
          <w:bCs/>
          <w:i/>
          <w:iCs/>
          <w:sz w:val="22"/>
          <w:szCs w:val="22"/>
        </w:rPr>
      </w:pPr>
      <w:r w:rsidRPr="0096360E">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266BA9CD" w14:textId="77777777" w:rsidR="00E91A0F" w:rsidRPr="0096360E" w:rsidRDefault="00D21C94">
      <w:pPr>
        <w:spacing w:line="276" w:lineRule="auto"/>
        <w:ind w:left="567" w:right="616"/>
        <w:jc w:val="both"/>
        <w:rPr>
          <w:rFonts w:ascii="Palatino Linotype" w:eastAsia="Palatino Linotype" w:hAnsi="Palatino Linotype" w:cs="Palatino Linotype"/>
          <w:b/>
          <w:bCs/>
          <w:i/>
          <w:iCs/>
          <w:sz w:val="22"/>
          <w:szCs w:val="22"/>
        </w:rPr>
      </w:pPr>
      <w:r w:rsidRPr="0096360E">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0B5DD3CD" w14:textId="77777777" w:rsidR="00E91A0F" w:rsidRPr="0096360E" w:rsidRDefault="00E91A0F">
      <w:pPr>
        <w:spacing w:line="276" w:lineRule="auto"/>
        <w:ind w:left="567" w:right="616"/>
        <w:jc w:val="both"/>
        <w:rPr>
          <w:rFonts w:ascii="Palatino Linotype" w:eastAsia="Palatino Linotype" w:hAnsi="Palatino Linotype" w:cs="Palatino Linotype"/>
          <w:b/>
          <w:bCs/>
          <w:i/>
          <w:iCs/>
          <w:sz w:val="22"/>
          <w:szCs w:val="22"/>
        </w:rPr>
      </w:pPr>
    </w:p>
    <w:p w14:paraId="29930709" w14:textId="77777777" w:rsidR="00E91A0F" w:rsidRPr="0096360E"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 xml:space="preserve">De ahí que el </w:t>
      </w:r>
      <w:r w:rsidRPr="0096360E">
        <w:rPr>
          <w:rFonts w:ascii="Palatino Linotype" w:eastAsia="Palatino Linotype" w:hAnsi="Palatino Linotype" w:cs="Palatino Linotype"/>
          <w:b/>
          <w:bCs/>
          <w:sz w:val="22"/>
          <w:szCs w:val="22"/>
        </w:rPr>
        <w:t>Sujeto Obligado</w:t>
      </w:r>
      <w:r w:rsidRPr="0096360E">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96360E">
        <w:rPr>
          <w:rFonts w:ascii="Palatino Linotype" w:eastAsia="Palatino Linotype" w:hAnsi="Palatino Linotype" w:cs="Palatino Linotype"/>
          <w:sz w:val="22"/>
          <w:szCs w:val="22"/>
          <w:vertAlign w:val="superscript"/>
        </w:rPr>
        <w:footnoteReference w:id="1"/>
      </w:r>
      <w:r w:rsidRPr="0096360E">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96360E">
        <w:rPr>
          <w:rFonts w:ascii="Palatino Linotype" w:eastAsia="Palatino Linotype" w:hAnsi="Palatino Linotype" w:cs="Palatino Linotype"/>
          <w:sz w:val="22"/>
          <w:szCs w:val="22"/>
          <w:vertAlign w:val="superscript"/>
        </w:rPr>
        <w:footnoteReference w:id="2"/>
      </w:r>
      <w:r w:rsidRPr="0096360E">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0881BA84" w14:textId="77777777" w:rsidR="00E91A0F" w:rsidRPr="0096360E" w:rsidRDefault="00E91A0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3DD100C" w14:textId="77777777" w:rsidR="00E91A0F" w:rsidRPr="0096360E" w:rsidRDefault="00D21C9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96360E">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96360E">
        <w:rPr>
          <w:rFonts w:ascii="Palatino Linotype" w:eastAsia="Palatino Linotype" w:hAnsi="Palatino Linotype" w:cs="Palatino Linotype"/>
          <w:b/>
          <w:bCs/>
          <w:sz w:val="22"/>
          <w:szCs w:val="22"/>
        </w:rPr>
        <w:t xml:space="preserve">Sujeto Obligado, </w:t>
      </w:r>
      <w:r w:rsidRPr="0096360E">
        <w:rPr>
          <w:rFonts w:ascii="Palatino Linotype" w:eastAsia="Palatino Linotype" w:hAnsi="Palatino Linotype" w:cs="Palatino Linotype"/>
          <w:sz w:val="22"/>
          <w:szCs w:val="22"/>
        </w:rPr>
        <w:t>medularmente, lo siguiente:</w:t>
      </w:r>
    </w:p>
    <w:p w14:paraId="02BDA21C" w14:textId="77777777" w:rsidR="00E91A0F" w:rsidRPr="0096360E" w:rsidRDefault="00E91A0F">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p>
    <w:p w14:paraId="4000C87D" w14:textId="77777777" w:rsidR="00E91A0F" w:rsidRPr="0096360E" w:rsidRDefault="00D21C94">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96360E">
        <w:rPr>
          <w:rFonts w:ascii="Palatino Linotype" w:eastAsia="Palatino Linotype" w:hAnsi="Palatino Linotype" w:cs="Palatino Linotype"/>
          <w:b/>
          <w:bCs/>
          <w:sz w:val="22"/>
          <w:szCs w:val="22"/>
        </w:rPr>
        <w:t>El inventario del parque vehicular del Sujeto Obligado vigente al 11 de septiembre de 2025.</w:t>
      </w:r>
    </w:p>
    <w:p w14:paraId="791845B7" w14:textId="77777777" w:rsidR="00E91A0F" w:rsidRPr="0096360E" w:rsidRDefault="00E91A0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3377A50" w14:textId="77777777" w:rsidR="00E91A0F" w:rsidRPr="0096360E" w:rsidRDefault="00D21C9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En respuesta, el Sujeto Obligado por conducto de la Coordinadora de Recursos Humanos mediante oficio remitió el inventario del parque vehicular requerido, indicando que consiste en el siguiente:</w:t>
      </w:r>
    </w:p>
    <w:p w14:paraId="725C1A36" w14:textId="77777777" w:rsidR="00E91A0F" w:rsidRPr="0096360E" w:rsidRDefault="00E91A0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26690F0" w14:textId="77777777" w:rsidR="00E91A0F" w:rsidRPr="0096360E" w:rsidRDefault="00D21C94">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96360E">
        <w:rPr>
          <w:rFonts w:ascii="Palatino Linotype" w:eastAsia="Palatino Linotype" w:hAnsi="Palatino Linotype" w:cs="Palatino Linotype"/>
          <w:noProof/>
          <w:sz w:val="22"/>
          <w:szCs w:val="22"/>
        </w:rPr>
        <w:drawing>
          <wp:inline distT="0" distB="0" distL="0" distR="0" wp14:anchorId="22841BCA" wp14:editId="412AE528">
            <wp:extent cx="5134692" cy="2314898"/>
            <wp:effectExtent l="0" t="0" r="0" b="0"/>
            <wp:docPr id="20832964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134692" cy="2314898"/>
                    </a:xfrm>
                    <a:prstGeom prst="rect">
                      <a:avLst/>
                    </a:prstGeom>
                    <a:ln/>
                  </pic:spPr>
                </pic:pic>
              </a:graphicData>
            </a:graphic>
          </wp:inline>
        </w:drawing>
      </w:r>
    </w:p>
    <w:p w14:paraId="43D322D3" w14:textId="77777777" w:rsidR="00E91A0F" w:rsidRPr="0096360E" w:rsidRDefault="00E91A0F">
      <w:pPr>
        <w:spacing w:line="360" w:lineRule="auto"/>
        <w:ind w:right="49"/>
        <w:jc w:val="both"/>
        <w:rPr>
          <w:rFonts w:ascii="Palatino Linotype" w:eastAsia="Palatino Linotype" w:hAnsi="Palatino Linotype" w:cs="Palatino Linotype"/>
          <w:sz w:val="22"/>
          <w:szCs w:val="22"/>
        </w:rPr>
      </w:pPr>
    </w:p>
    <w:p w14:paraId="15EBD81D" w14:textId="77777777" w:rsidR="00E91A0F" w:rsidRPr="0096360E" w:rsidRDefault="00D21C94">
      <w:pPr>
        <w:spacing w:line="360" w:lineRule="auto"/>
        <w:ind w:right="49"/>
        <w:jc w:val="both"/>
        <w:rPr>
          <w:rFonts w:ascii="Palatino Linotype" w:eastAsia="Palatino Linotype" w:hAnsi="Palatino Linotype" w:cs="Palatino Linotype"/>
          <w:b/>
          <w:bCs/>
          <w:sz w:val="22"/>
          <w:szCs w:val="22"/>
        </w:rPr>
      </w:pPr>
      <w:r w:rsidRPr="0096360E">
        <w:rPr>
          <w:rFonts w:ascii="Palatino Linotype" w:eastAsia="Palatino Linotype" w:hAnsi="Palatino Linotype" w:cs="Palatino Linotype"/>
          <w:sz w:val="22"/>
          <w:szCs w:val="22"/>
        </w:rPr>
        <w:t xml:space="preserve">Inconforme con la respuesta, la parte </w:t>
      </w:r>
      <w:r w:rsidRPr="0096360E">
        <w:rPr>
          <w:rFonts w:ascii="Palatino Linotype" w:eastAsia="Palatino Linotype" w:hAnsi="Palatino Linotype" w:cs="Palatino Linotype"/>
          <w:b/>
          <w:bCs/>
          <w:sz w:val="22"/>
          <w:szCs w:val="22"/>
        </w:rPr>
        <w:t xml:space="preserve">Recurrente </w:t>
      </w:r>
      <w:r w:rsidRPr="0096360E">
        <w:rPr>
          <w:rFonts w:ascii="Palatino Linotype" w:eastAsia="Palatino Linotype" w:hAnsi="Palatino Linotype" w:cs="Palatino Linotype"/>
          <w:sz w:val="22"/>
          <w:szCs w:val="22"/>
        </w:rPr>
        <w:t xml:space="preserve">promovió el presente recurso de revisión en el que a manera de motivos de inconformidad </w:t>
      </w:r>
      <w:r w:rsidRPr="0096360E">
        <w:rPr>
          <w:rFonts w:ascii="Palatino Linotype" w:eastAsia="Palatino Linotype" w:hAnsi="Palatino Linotype" w:cs="Palatino Linotype"/>
          <w:b/>
          <w:bCs/>
          <w:sz w:val="22"/>
          <w:szCs w:val="22"/>
        </w:rPr>
        <w:t xml:space="preserve">se adolece medularmente de que la entrega de la información se realizó mediante oficio y no en el formato que marca la reglamentación. </w:t>
      </w:r>
    </w:p>
    <w:p w14:paraId="13CE93C0" w14:textId="77777777" w:rsidR="00E91A0F" w:rsidRPr="0096360E" w:rsidRDefault="00E91A0F">
      <w:pPr>
        <w:spacing w:line="360" w:lineRule="auto"/>
        <w:ind w:right="49"/>
        <w:jc w:val="both"/>
        <w:rPr>
          <w:rFonts w:ascii="Palatino Linotype" w:eastAsia="Palatino Linotype" w:hAnsi="Palatino Linotype" w:cs="Palatino Linotype"/>
          <w:sz w:val="22"/>
          <w:szCs w:val="22"/>
        </w:rPr>
      </w:pPr>
    </w:p>
    <w:p w14:paraId="7706DD9A" w14:textId="77777777" w:rsidR="00E91A0F" w:rsidRPr="0096360E"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Admitido el presente recurso de revisión, en términos del artículo 185 fracción II</w:t>
      </w:r>
      <w:r w:rsidRPr="0096360E">
        <w:rPr>
          <w:rFonts w:ascii="Palatino Linotype" w:eastAsia="Palatino Linotype" w:hAnsi="Palatino Linotype" w:cs="Palatino Linotype"/>
          <w:sz w:val="22"/>
          <w:szCs w:val="22"/>
          <w:vertAlign w:val="superscript"/>
        </w:rPr>
        <w:footnoteReference w:id="3"/>
      </w:r>
      <w:r w:rsidRPr="0096360E">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5D704744"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376AF251" w14:textId="77777777" w:rsidR="00E91A0F" w:rsidRPr="0096360E"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Cabe resaltar que, de las constancias que obran en el expediente electrónico en que se actúa, se advierte que las partes fueron omisas en hacer valer manifestaciones o rendir alegatos que conforme a derecho resulten procedentes.</w:t>
      </w:r>
    </w:p>
    <w:p w14:paraId="44B3E992" w14:textId="77777777" w:rsidR="00E91A0F" w:rsidRPr="0096360E" w:rsidRDefault="00D21C9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Una vez expuestas las posturas de las partes, resulta necesario iniciar el presente análisis, recordando que la unidad administrativa que se pronunció fue la Coordinación de Recursos Humanos y Control Patrimonial, la cual se presume el área competente para conocer de la información requerida en virtud de que tiene a su cargo la supervisión y control de los bienes muebles e inmuebles del Organismo.</w:t>
      </w:r>
    </w:p>
    <w:p w14:paraId="45146E1D" w14:textId="77777777" w:rsidR="00E91A0F" w:rsidRPr="0096360E" w:rsidRDefault="00E91A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BD133D7" w14:textId="77777777" w:rsidR="00E91A0F" w:rsidRPr="0096360E" w:rsidRDefault="00D21C94">
      <w:pPr>
        <w:pBdr>
          <w:top w:val="nil"/>
          <w:left w:val="nil"/>
          <w:bottom w:val="nil"/>
          <w:right w:val="nil"/>
          <w:between w:val="nil"/>
        </w:pBdr>
        <w:spacing w:line="360" w:lineRule="auto"/>
        <w:jc w:val="both"/>
        <w:rPr>
          <w:rFonts w:ascii="Palatino Linotype" w:eastAsia="Palatino Linotype" w:hAnsi="Palatino Linotype" w:cs="Palatino Linotype"/>
          <w:b/>
          <w:bCs/>
          <w:i/>
          <w:iCs/>
          <w:sz w:val="22"/>
          <w:szCs w:val="22"/>
        </w:rPr>
      </w:pPr>
      <w:r w:rsidRPr="0096360E">
        <w:rPr>
          <w:rFonts w:ascii="Palatino Linotype" w:eastAsia="Palatino Linotype" w:hAnsi="Palatino Linotype" w:cs="Palatino Linotype"/>
          <w:sz w:val="22"/>
          <w:szCs w:val="22"/>
        </w:rPr>
        <w:t>Máxime que, en el presente asunto el servidor público de la referida unidad administrativa asumió contar con la información requerida, tan es así que se pronunció respecto de la misma vía respuesta.</w:t>
      </w:r>
    </w:p>
    <w:p w14:paraId="63BE88C2" w14:textId="77777777" w:rsidR="00E91A0F" w:rsidRPr="0096360E" w:rsidRDefault="00E91A0F">
      <w:pPr>
        <w:pBdr>
          <w:top w:val="nil"/>
          <w:left w:val="nil"/>
          <w:bottom w:val="nil"/>
          <w:right w:val="nil"/>
          <w:between w:val="nil"/>
        </w:pBdr>
        <w:spacing w:line="276" w:lineRule="auto"/>
        <w:ind w:right="900"/>
        <w:jc w:val="both"/>
        <w:rPr>
          <w:rFonts w:ascii="Palatino Linotype" w:eastAsia="Palatino Linotype" w:hAnsi="Palatino Linotype" w:cs="Palatino Linotype"/>
          <w:sz w:val="22"/>
          <w:szCs w:val="22"/>
        </w:rPr>
      </w:pPr>
    </w:p>
    <w:p w14:paraId="1F916986" w14:textId="77777777" w:rsidR="00E91A0F" w:rsidRPr="0096360E" w:rsidRDefault="00D21C94">
      <w:pPr>
        <w:spacing w:line="360" w:lineRule="auto"/>
        <w:ind w:right="141"/>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 xml:space="preserve">En tal tesitura, se tiene que obra un pronunciamiento de la unidad administrativa encargada de intervenir en la elaboración del inventario general de los bienes muebles e inmuebles del organismo, por consiguiente, es dable afirmar que en el presente asunto obra un pronunciamiento de la unidad administrativa competente, por lo que se determina que el </w:t>
      </w:r>
      <w:r w:rsidRPr="0096360E">
        <w:rPr>
          <w:rFonts w:ascii="Palatino Linotype" w:eastAsia="Palatino Linotype" w:hAnsi="Palatino Linotype" w:cs="Palatino Linotype"/>
          <w:b/>
          <w:bCs/>
          <w:sz w:val="22"/>
          <w:szCs w:val="22"/>
        </w:rPr>
        <w:t>Sujeto Obligado</w:t>
      </w:r>
      <w:r w:rsidRPr="0096360E">
        <w:rPr>
          <w:rFonts w:ascii="Palatino Linotype" w:eastAsia="Palatino Linotype" w:hAnsi="Palatino Linotype" w:cs="Palatino Linotype"/>
          <w:sz w:val="22"/>
          <w:szCs w:val="22"/>
        </w:rPr>
        <w:t xml:space="preserv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2889F480" w14:textId="77777777" w:rsidR="00E91A0F" w:rsidRPr="0096360E" w:rsidRDefault="00E91A0F">
      <w:pPr>
        <w:spacing w:line="360" w:lineRule="auto"/>
        <w:ind w:right="141"/>
        <w:jc w:val="both"/>
        <w:rPr>
          <w:rFonts w:ascii="Palatino Linotype" w:eastAsia="Palatino Linotype" w:hAnsi="Palatino Linotype" w:cs="Palatino Linotype"/>
          <w:sz w:val="22"/>
          <w:szCs w:val="22"/>
        </w:rPr>
      </w:pPr>
    </w:p>
    <w:p w14:paraId="4F759C87" w14:textId="77777777" w:rsidR="00E91A0F" w:rsidRPr="0096360E" w:rsidRDefault="00D21C94">
      <w:pPr>
        <w:pBdr>
          <w:top w:val="nil"/>
          <w:left w:val="nil"/>
          <w:bottom w:val="nil"/>
          <w:right w:val="nil"/>
          <w:between w:val="nil"/>
        </w:pBdr>
        <w:ind w:left="864" w:right="864"/>
        <w:jc w:val="both"/>
      </w:pPr>
      <w:r w:rsidRPr="0096360E">
        <w:rPr>
          <w:rFonts w:ascii="Palatino Linotype" w:eastAsia="Palatino Linotype" w:hAnsi="Palatino Linotype" w:cs="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E02D290" w14:textId="77777777" w:rsidR="00E91A0F" w:rsidRPr="0096360E" w:rsidRDefault="00E91A0F"/>
    <w:p w14:paraId="7D54D140" w14:textId="77777777" w:rsidR="00E91A0F" w:rsidRPr="0096360E" w:rsidRDefault="00D21C94">
      <w:pPr>
        <w:spacing w:line="360" w:lineRule="auto"/>
        <w:ind w:right="51"/>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Por otro lado, cabe resaltar que la información de análisis es de interés público, toda vez que es contemplada como una obligación de transparencia común, contemplada en el artículo 92, fracción XXXVIII, relativa al inventario de bienes muebles e inmuebles:</w:t>
      </w:r>
    </w:p>
    <w:p w14:paraId="39EC76AB" w14:textId="77777777" w:rsidR="00E91A0F" w:rsidRPr="0096360E" w:rsidRDefault="00E91A0F">
      <w:pPr>
        <w:spacing w:line="360" w:lineRule="auto"/>
        <w:ind w:right="51"/>
        <w:jc w:val="both"/>
        <w:rPr>
          <w:rFonts w:ascii="Palatino Linotype" w:eastAsia="Palatino Linotype" w:hAnsi="Palatino Linotype" w:cs="Palatino Linotype"/>
          <w:sz w:val="22"/>
          <w:szCs w:val="22"/>
        </w:rPr>
      </w:pPr>
    </w:p>
    <w:p w14:paraId="3F913FAF" w14:textId="77777777" w:rsidR="00E91A0F" w:rsidRPr="0096360E" w:rsidRDefault="00D21C94">
      <w:pPr>
        <w:spacing w:line="276" w:lineRule="auto"/>
        <w:ind w:left="567" w:right="900"/>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244F3F1" w14:textId="77777777" w:rsidR="00E91A0F" w:rsidRPr="0096360E" w:rsidRDefault="00D21C94">
      <w:pPr>
        <w:spacing w:line="276" w:lineRule="auto"/>
        <w:ind w:left="567" w:right="51"/>
        <w:jc w:val="both"/>
        <w:rPr>
          <w:rFonts w:ascii="Palatino Linotype" w:eastAsia="Palatino Linotype" w:hAnsi="Palatino Linotype" w:cs="Palatino Linotype"/>
          <w:i/>
          <w:iCs/>
          <w:sz w:val="22"/>
          <w:szCs w:val="22"/>
        </w:rPr>
      </w:pPr>
      <w:r w:rsidRPr="0096360E">
        <w:rPr>
          <w:rFonts w:ascii="Palatino Linotype" w:eastAsia="Palatino Linotype" w:hAnsi="Palatino Linotype" w:cs="Palatino Linotype"/>
          <w:i/>
          <w:iCs/>
          <w:sz w:val="22"/>
          <w:szCs w:val="22"/>
        </w:rPr>
        <w:t>…</w:t>
      </w:r>
    </w:p>
    <w:p w14:paraId="6A4F3672" w14:textId="77777777" w:rsidR="00E91A0F" w:rsidRPr="0096360E" w:rsidRDefault="00D21C94">
      <w:pPr>
        <w:spacing w:line="276" w:lineRule="auto"/>
        <w:ind w:left="567" w:right="900"/>
        <w:jc w:val="both"/>
        <w:rPr>
          <w:rFonts w:ascii="Palatino Linotype" w:eastAsia="Palatino Linotype" w:hAnsi="Palatino Linotype" w:cs="Palatino Linotype"/>
          <w:b/>
          <w:bCs/>
          <w:i/>
          <w:iCs/>
          <w:sz w:val="22"/>
          <w:szCs w:val="22"/>
          <w:u w:val="single"/>
        </w:rPr>
      </w:pPr>
      <w:r w:rsidRPr="0096360E">
        <w:rPr>
          <w:rFonts w:ascii="Palatino Linotype" w:eastAsia="Palatino Linotype" w:hAnsi="Palatino Linotype" w:cs="Palatino Linotype"/>
          <w:b/>
          <w:bCs/>
          <w:i/>
          <w:iCs/>
          <w:sz w:val="22"/>
          <w:szCs w:val="22"/>
          <w:u w:val="single"/>
        </w:rPr>
        <w:t xml:space="preserve">XXXVIII. El inventario de bienes muebles e inmuebles en posesión y propiedad;” </w:t>
      </w:r>
      <w:r w:rsidRPr="0096360E">
        <w:rPr>
          <w:rFonts w:ascii="Palatino Linotype" w:eastAsia="Palatino Linotype" w:hAnsi="Palatino Linotype" w:cs="Palatino Linotype"/>
          <w:i/>
          <w:iCs/>
          <w:sz w:val="22"/>
          <w:szCs w:val="22"/>
        </w:rPr>
        <w:t>(Énfasis añadido)</w:t>
      </w:r>
    </w:p>
    <w:p w14:paraId="7BE8A1B5" w14:textId="77777777" w:rsidR="00E91A0F" w:rsidRPr="0096360E" w:rsidRDefault="00E91A0F">
      <w:pPr>
        <w:spacing w:line="276" w:lineRule="auto"/>
        <w:ind w:right="51"/>
        <w:jc w:val="both"/>
        <w:rPr>
          <w:rFonts w:ascii="Palatino Linotype" w:eastAsia="Palatino Linotype" w:hAnsi="Palatino Linotype" w:cs="Palatino Linotype"/>
          <w:i/>
          <w:iCs/>
          <w:sz w:val="22"/>
          <w:szCs w:val="22"/>
        </w:rPr>
      </w:pPr>
    </w:p>
    <w:p w14:paraId="269084FB" w14:textId="77777777" w:rsidR="00E91A0F" w:rsidRPr="0096360E" w:rsidRDefault="00D21C94">
      <w:pPr>
        <w:spacing w:line="360" w:lineRule="auto"/>
        <w:ind w:right="51"/>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Por otra parte, resulta importante observar el contenido de los Lineamientos para la entrega de los Informes Trimestrales, emitidos por el Órgano Superior de Fiscalización del Estado de México (OSFEM), en cuyo Módulo 4, disponen en cuanto a la periodicidad en la que se genera la información relativa al inventario de bienes que es de manera semestral, tal como se acredita en la siguiente ilustración:</w:t>
      </w:r>
    </w:p>
    <w:p w14:paraId="114A5E23" w14:textId="77777777" w:rsidR="00E91A0F" w:rsidRPr="0096360E" w:rsidRDefault="00E91A0F">
      <w:pPr>
        <w:spacing w:line="360" w:lineRule="auto"/>
        <w:ind w:right="51"/>
        <w:jc w:val="both"/>
        <w:rPr>
          <w:rFonts w:ascii="Palatino Linotype" w:eastAsia="Palatino Linotype" w:hAnsi="Palatino Linotype" w:cs="Palatino Linotype"/>
          <w:sz w:val="22"/>
          <w:szCs w:val="22"/>
        </w:rPr>
      </w:pPr>
    </w:p>
    <w:p w14:paraId="6D0A2D18" w14:textId="77777777" w:rsidR="00E91A0F" w:rsidRPr="0096360E" w:rsidRDefault="00D21C94">
      <w:pPr>
        <w:spacing w:line="360" w:lineRule="auto"/>
        <w:ind w:right="51"/>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noProof/>
          <w:sz w:val="22"/>
          <w:szCs w:val="22"/>
        </w:rPr>
        <w:drawing>
          <wp:inline distT="0" distB="0" distL="0" distR="0" wp14:anchorId="25A60207" wp14:editId="62D63D28">
            <wp:extent cx="5524500" cy="1847850"/>
            <wp:effectExtent l="0" t="0" r="0" b="0"/>
            <wp:docPr id="20832964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525278" cy="1848110"/>
                    </a:xfrm>
                    <a:prstGeom prst="rect">
                      <a:avLst/>
                    </a:prstGeom>
                    <a:ln/>
                  </pic:spPr>
                </pic:pic>
              </a:graphicData>
            </a:graphic>
          </wp:inline>
        </w:drawing>
      </w:r>
    </w:p>
    <w:p w14:paraId="3A70DD64" w14:textId="77777777" w:rsidR="00E91A0F" w:rsidRPr="0096360E" w:rsidRDefault="00D21C94">
      <w:pPr>
        <w:spacing w:line="360" w:lineRule="auto"/>
        <w:ind w:right="51"/>
        <w:jc w:val="center"/>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w:t>
      </w:r>
    </w:p>
    <w:p w14:paraId="16EA1FEB" w14:textId="77777777" w:rsidR="00E91A0F" w:rsidRPr="0096360E" w:rsidRDefault="00D21C94">
      <w:pPr>
        <w:spacing w:line="360" w:lineRule="auto"/>
        <w:ind w:right="51"/>
        <w:jc w:val="center"/>
        <w:rPr>
          <w:rFonts w:ascii="Palatino Linotype" w:eastAsia="Palatino Linotype" w:hAnsi="Palatino Linotype" w:cs="Palatino Linotype"/>
          <w:sz w:val="22"/>
          <w:szCs w:val="22"/>
        </w:rPr>
      </w:pPr>
      <w:r w:rsidRPr="0096360E">
        <w:rPr>
          <w:rFonts w:ascii="Palatino Linotype" w:eastAsia="Palatino Linotype" w:hAnsi="Palatino Linotype" w:cs="Palatino Linotype"/>
          <w:noProof/>
          <w:sz w:val="22"/>
          <w:szCs w:val="22"/>
        </w:rPr>
        <w:drawing>
          <wp:inline distT="0" distB="0" distL="0" distR="0" wp14:anchorId="1C09822E" wp14:editId="33D3EEA9">
            <wp:extent cx="5525271" cy="3238952"/>
            <wp:effectExtent l="0" t="0" r="0" b="0"/>
            <wp:docPr id="20832964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525271" cy="3238952"/>
                    </a:xfrm>
                    <a:prstGeom prst="rect">
                      <a:avLst/>
                    </a:prstGeom>
                    <a:ln/>
                  </pic:spPr>
                </pic:pic>
              </a:graphicData>
            </a:graphic>
          </wp:inline>
        </w:drawing>
      </w:r>
    </w:p>
    <w:p w14:paraId="2ED74500" w14:textId="77777777" w:rsidR="00E91A0F" w:rsidRPr="0096360E" w:rsidRDefault="00E91A0F">
      <w:pPr>
        <w:spacing w:line="360" w:lineRule="auto"/>
        <w:ind w:right="51"/>
        <w:jc w:val="both"/>
        <w:rPr>
          <w:rFonts w:ascii="Palatino Linotype" w:eastAsia="Palatino Linotype" w:hAnsi="Palatino Linotype" w:cs="Palatino Linotype"/>
          <w:sz w:val="22"/>
          <w:szCs w:val="22"/>
        </w:rPr>
      </w:pPr>
    </w:p>
    <w:p w14:paraId="137EE78C" w14:textId="77777777" w:rsidR="00E91A0F" w:rsidRPr="0096360E" w:rsidRDefault="00D21C94">
      <w:pPr>
        <w:spacing w:line="360" w:lineRule="auto"/>
        <w:ind w:right="51"/>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Consecuentemente, conforme el instructivo de llenado, dichos inventarios contienen los siguientes elementos:</w:t>
      </w:r>
    </w:p>
    <w:p w14:paraId="06859179" w14:textId="77777777" w:rsidR="00E91A0F" w:rsidRPr="0096360E" w:rsidRDefault="00D21C94">
      <w:pPr>
        <w:spacing w:line="360" w:lineRule="auto"/>
        <w:ind w:right="51"/>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noProof/>
          <w:sz w:val="22"/>
          <w:szCs w:val="22"/>
        </w:rPr>
        <w:drawing>
          <wp:inline distT="0" distB="0" distL="0" distR="0" wp14:anchorId="64779BF7" wp14:editId="5BA73303">
            <wp:extent cx="5664623" cy="1950784"/>
            <wp:effectExtent l="0" t="0" r="0" b="0"/>
            <wp:docPr id="20832964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64623" cy="1950784"/>
                    </a:xfrm>
                    <a:prstGeom prst="rect">
                      <a:avLst/>
                    </a:prstGeom>
                    <a:ln/>
                  </pic:spPr>
                </pic:pic>
              </a:graphicData>
            </a:graphic>
          </wp:inline>
        </w:drawing>
      </w:r>
    </w:p>
    <w:p w14:paraId="4D2A777E" w14:textId="77777777" w:rsidR="00E91A0F" w:rsidRPr="0096360E" w:rsidRDefault="00D21C94">
      <w:pPr>
        <w:spacing w:line="360" w:lineRule="auto"/>
        <w:ind w:right="51"/>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noProof/>
          <w:sz w:val="22"/>
          <w:szCs w:val="22"/>
        </w:rPr>
        <w:drawing>
          <wp:inline distT="0" distB="0" distL="0" distR="0" wp14:anchorId="385CE397" wp14:editId="5E93E81A">
            <wp:extent cx="5619413" cy="3893234"/>
            <wp:effectExtent l="0" t="0" r="0" b="0"/>
            <wp:docPr id="20832964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619413" cy="3893234"/>
                    </a:xfrm>
                    <a:prstGeom prst="rect">
                      <a:avLst/>
                    </a:prstGeom>
                    <a:ln/>
                  </pic:spPr>
                </pic:pic>
              </a:graphicData>
            </a:graphic>
          </wp:inline>
        </w:drawing>
      </w:r>
    </w:p>
    <w:p w14:paraId="713700E0" w14:textId="77777777" w:rsidR="00E91A0F" w:rsidRPr="0096360E" w:rsidRDefault="00D21C94">
      <w:pPr>
        <w:spacing w:line="360" w:lineRule="auto"/>
        <w:ind w:right="51"/>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noProof/>
          <w:sz w:val="22"/>
          <w:szCs w:val="22"/>
        </w:rPr>
        <w:drawing>
          <wp:inline distT="0" distB="0" distL="0" distR="0" wp14:anchorId="6B3C1BE3" wp14:editId="7C06C9A0">
            <wp:extent cx="5618808" cy="2672235"/>
            <wp:effectExtent l="0" t="0" r="0" b="0"/>
            <wp:docPr id="20832964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18808" cy="2672235"/>
                    </a:xfrm>
                    <a:prstGeom prst="rect">
                      <a:avLst/>
                    </a:prstGeom>
                    <a:ln/>
                  </pic:spPr>
                </pic:pic>
              </a:graphicData>
            </a:graphic>
          </wp:inline>
        </w:drawing>
      </w:r>
    </w:p>
    <w:p w14:paraId="662984FD" w14:textId="77777777" w:rsidR="00E91A0F" w:rsidRPr="0096360E" w:rsidRDefault="00D21C94">
      <w:pPr>
        <w:spacing w:line="360" w:lineRule="auto"/>
        <w:ind w:right="51"/>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noProof/>
          <w:sz w:val="22"/>
          <w:szCs w:val="22"/>
        </w:rPr>
        <w:drawing>
          <wp:inline distT="0" distB="0" distL="0" distR="0" wp14:anchorId="2B71EA33" wp14:editId="4C326FBB">
            <wp:extent cx="5619690" cy="3745278"/>
            <wp:effectExtent l="0" t="0" r="0" b="0"/>
            <wp:docPr id="20832964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19690" cy="3745278"/>
                    </a:xfrm>
                    <a:prstGeom prst="rect">
                      <a:avLst/>
                    </a:prstGeom>
                    <a:ln/>
                  </pic:spPr>
                </pic:pic>
              </a:graphicData>
            </a:graphic>
          </wp:inline>
        </w:drawing>
      </w:r>
    </w:p>
    <w:p w14:paraId="61DFC23D"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602B8051"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7FE67B50" w14:textId="77777777" w:rsidR="00E91A0F" w:rsidRPr="0096360E" w:rsidRDefault="00D21C94">
      <w:pPr>
        <w:spacing w:line="360" w:lineRule="auto"/>
        <w:jc w:val="both"/>
        <w:rPr>
          <w:rFonts w:ascii="Palatino Linotype" w:eastAsia="Palatino Linotype" w:hAnsi="Palatino Linotype" w:cs="Palatino Linotype"/>
          <w:b/>
          <w:bCs/>
          <w:sz w:val="22"/>
          <w:szCs w:val="22"/>
        </w:rPr>
      </w:pPr>
      <w:r w:rsidRPr="0096360E">
        <w:rPr>
          <w:rFonts w:ascii="Palatino Linotype" w:eastAsia="Palatino Linotype" w:hAnsi="Palatino Linotype" w:cs="Palatino Linotype"/>
          <w:sz w:val="22"/>
          <w:szCs w:val="22"/>
        </w:rPr>
        <w:t xml:space="preserve">Conforme lo anterior, se advierte que el </w:t>
      </w:r>
      <w:r w:rsidRPr="0096360E">
        <w:rPr>
          <w:rFonts w:ascii="Palatino Linotype" w:eastAsia="Palatino Linotype" w:hAnsi="Palatino Linotype" w:cs="Palatino Linotype"/>
          <w:b/>
          <w:bCs/>
          <w:sz w:val="22"/>
          <w:szCs w:val="22"/>
        </w:rPr>
        <w:t xml:space="preserve">Sujeto Obligado </w:t>
      </w:r>
      <w:r w:rsidRPr="0096360E">
        <w:rPr>
          <w:rFonts w:ascii="Palatino Linotype" w:eastAsia="Palatino Linotype" w:hAnsi="Palatino Linotype" w:cs="Palatino Linotype"/>
          <w:sz w:val="22"/>
          <w:szCs w:val="22"/>
        </w:rPr>
        <w:t xml:space="preserve">tiene atribuciones para conocer del inventario de bienes muebles requerido, ya que es en este documento donde obra la información relativa al parque vehicular con que cuenta el </w:t>
      </w:r>
      <w:r w:rsidRPr="0096360E">
        <w:rPr>
          <w:rFonts w:ascii="Palatino Linotype" w:eastAsia="Palatino Linotype" w:hAnsi="Palatino Linotype" w:cs="Palatino Linotype"/>
          <w:b/>
          <w:bCs/>
          <w:sz w:val="22"/>
          <w:szCs w:val="22"/>
        </w:rPr>
        <w:t>Organismo.</w:t>
      </w:r>
    </w:p>
    <w:p w14:paraId="4815AEBD" w14:textId="77777777" w:rsidR="00E91A0F" w:rsidRPr="0096360E" w:rsidRDefault="00E91A0F">
      <w:pPr>
        <w:spacing w:line="360" w:lineRule="auto"/>
        <w:jc w:val="both"/>
        <w:rPr>
          <w:rFonts w:ascii="Palatino Linotype" w:eastAsia="Palatino Linotype" w:hAnsi="Palatino Linotype" w:cs="Palatino Linotype"/>
          <w:b/>
          <w:bCs/>
          <w:sz w:val="22"/>
          <w:szCs w:val="22"/>
        </w:rPr>
      </w:pPr>
    </w:p>
    <w:p w14:paraId="02DD5A1C" w14:textId="77777777" w:rsidR="00E91A0F" w:rsidRPr="0096360E"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Asimismo, es necesario destacar que, en cuanto a los formatos en los que se entrega el inventario de bienes muebles, donde obra la información relativa al parque vehicular, es en formato PDF, excel y TXT, como se muestra:</w:t>
      </w:r>
    </w:p>
    <w:p w14:paraId="00D6A8A9" w14:textId="77777777" w:rsidR="00E91A0F" w:rsidRPr="0096360E" w:rsidRDefault="00E91A0F">
      <w:pPr>
        <w:spacing w:before="240" w:after="240" w:line="360" w:lineRule="auto"/>
        <w:jc w:val="both"/>
        <w:rPr>
          <w:rFonts w:ascii="Palatino Linotype" w:eastAsia="Palatino Linotype" w:hAnsi="Palatino Linotype" w:cs="Palatino Linotype"/>
          <w:sz w:val="22"/>
          <w:szCs w:val="22"/>
        </w:rPr>
      </w:pPr>
    </w:p>
    <w:p w14:paraId="46110F9F" w14:textId="77777777" w:rsidR="00E91A0F" w:rsidRPr="0096360E" w:rsidRDefault="00D21C94">
      <w:pPr>
        <w:spacing w:before="240" w:after="240" w:line="360" w:lineRule="auto"/>
        <w:jc w:val="center"/>
        <w:rPr>
          <w:rFonts w:ascii="Palatino Linotype" w:eastAsia="Palatino Linotype" w:hAnsi="Palatino Linotype" w:cs="Palatino Linotype"/>
          <w:sz w:val="22"/>
          <w:szCs w:val="22"/>
        </w:rPr>
      </w:pPr>
      <w:r w:rsidRPr="0096360E">
        <w:rPr>
          <w:rFonts w:ascii="Palatino Linotype" w:eastAsia="Palatino Linotype" w:hAnsi="Palatino Linotype" w:cs="Palatino Linotype"/>
          <w:noProof/>
          <w:sz w:val="22"/>
          <w:szCs w:val="22"/>
        </w:rPr>
        <w:drawing>
          <wp:inline distT="0" distB="0" distL="0" distR="0" wp14:anchorId="45F54488" wp14:editId="6D52E8F3">
            <wp:extent cx="2457793" cy="466790"/>
            <wp:effectExtent l="0" t="0" r="0" b="0"/>
            <wp:docPr id="20832964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457793" cy="466790"/>
                    </a:xfrm>
                    <a:prstGeom prst="rect">
                      <a:avLst/>
                    </a:prstGeom>
                    <a:ln/>
                  </pic:spPr>
                </pic:pic>
              </a:graphicData>
            </a:graphic>
          </wp:inline>
        </w:drawing>
      </w:r>
    </w:p>
    <w:p w14:paraId="17912864" w14:textId="778505C3" w:rsidR="00E91A0F" w:rsidRPr="0096360E"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Precisado lo anterior, en el caso es de recordar que en respuesta la Coordinación de Recursos Humanos y Control Patrimonial, mediante un documento ad hoc –un oficio-, hizo entrega del inventario del parq</w:t>
      </w:r>
      <w:r w:rsidR="0098513D" w:rsidRPr="0096360E">
        <w:rPr>
          <w:rFonts w:ascii="Palatino Linotype" w:eastAsia="Palatino Linotype" w:hAnsi="Palatino Linotype" w:cs="Palatino Linotype"/>
          <w:sz w:val="22"/>
          <w:szCs w:val="22"/>
        </w:rPr>
        <w:t>ue vehicular; formato que motivó</w:t>
      </w:r>
      <w:r w:rsidRPr="0096360E">
        <w:rPr>
          <w:rFonts w:ascii="Palatino Linotype" w:eastAsia="Palatino Linotype" w:hAnsi="Palatino Linotype" w:cs="Palatino Linotype"/>
          <w:sz w:val="22"/>
          <w:szCs w:val="22"/>
        </w:rPr>
        <w:t xml:space="preserve"> que el particular promoviera el presente medio de impugnación, en razón de que considera que no se entregó la información en el formato que establece la reglamentación.</w:t>
      </w:r>
    </w:p>
    <w:p w14:paraId="36C73EB3"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14BD1F9D" w14:textId="05708520" w:rsidR="00E91A0F" w:rsidRPr="0096360E"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 xml:space="preserve">Por lo anterior, si bien en el caso, el servidor público habilitado competente hizo entrega de lo solicitado mediante un documento ad hoc –un oficio-, también lo es que </w:t>
      </w:r>
      <w:r w:rsidR="0098513D" w:rsidRPr="0096360E">
        <w:rPr>
          <w:rFonts w:ascii="Palatino Linotype" w:eastAsia="Palatino Linotype" w:hAnsi="Palatino Linotype" w:cs="Palatino Linotype"/>
          <w:sz w:val="22"/>
          <w:szCs w:val="22"/>
        </w:rPr>
        <w:t>de acuerdo a los lineamientos antes señalados el inventario de bienes muebles, como lo es el caso de vehículos del Organismo que nos ocupa, se establecen requisitos mínimos que debe contener dicho documento</w:t>
      </w:r>
      <w:r w:rsidR="00987BE7" w:rsidRPr="0096360E">
        <w:rPr>
          <w:rFonts w:ascii="Palatino Linotype" w:eastAsia="Palatino Linotype" w:hAnsi="Palatino Linotype" w:cs="Palatino Linotype"/>
          <w:sz w:val="22"/>
          <w:szCs w:val="22"/>
        </w:rPr>
        <w:t xml:space="preserve"> y el formato en que debe ser elaborado</w:t>
      </w:r>
      <w:r w:rsidR="0098513D" w:rsidRPr="0096360E">
        <w:rPr>
          <w:rFonts w:ascii="Palatino Linotype" w:eastAsia="Palatino Linotype" w:hAnsi="Palatino Linotype" w:cs="Palatino Linotype"/>
          <w:sz w:val="22"/>
          <w:szCs w:val="22"/>
        </w:rPr>
        <w:t>.</w:t>
      </w:r>
    </w:p>
    <w:p w14:paraId="619CBF66" w14:textId="77777777" w:rsidR="0098513D" w:rsidRPr="0096360E" w:rsidRDefault="0098513D">
      <w:pPr>
        <w:spacing w:line="360" w:lineRule="auto"/>
        <w:jc w:val="both"/>
        <w:rPr>
          <w:rFonts w:ascii="Palatino Linotype" w:eastAsia="Palatino Linotype" w:hAnsi="Palatino Linotype" w:cs="Palatino Linotype"/>
          <w:sz w:val="22"/>
          <w:szCs w:val="22"/>
        </w:rPr>
      </w:pPr>
    </w:p>
    <w:p w14:paraId="556785D1" w14:textId="29AC1083" w:rsidR="0098513D" w:rsidRPr="0096360E" w:rsidRDefault="0098513D">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Por tanto, se considera que lo entregado en respuesta resulta insuficiente para tener por satisfecho el derecho de acceso a la información pública del particular ya que la normatividad aplicable dispone los formatos en que debe ser entregado el inventario de bienes muebles, incluido el del parque vehicular.</w:t>
      </w:r>
    </w:p>
    <w:p w14:paraId="49024AAE" w14:textId="77777777" w:rsidR="0098513D" w:rsidRPr="0096360E" w:rsidRDefault="0098513D">
      <w:pPr>
        <w:spacing w:line="360" w:lineRule="auto"/>
        <w:jc w:val="both"/>
        <w:rPr>
          <w:rFonts w:ascii="Palatino Linotype" w:eastAsia="Palatino Linotype" w:hAnsi="Palatino Linotype" w:cs="Palatino Linotype"/>
          <w:sz w:val="22"/>
          <w:szCs w:val="22"/>
        </w:rPr>
      </w:pPr>
    </w:p>
    <w:p w14:paraId="4F3976E5" w14:textId="78CF3D1F" w:rsidR="00E91A0F" w:rsidRPr="0096360E" w:rsidRDefault="0098513D">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 xml:space="preserve">De esta manera, los motivos de inconformidad del particular resultan fundados, siendo procedente </w:t>
      </w:r>
      <w:r w:rsidRPr="0096360E">
        <w:rPr>
          <w:rFonts w:ascii="Palatino Linotype" w:eastAsia="Palatino Linotype" w:hAnsi="Palatino Linotype" w:cs="Palatino Linotype"/>
          <w:b/>
          <w:sz w:val="22"/>
          <w:szCs w:val="22"/>
        </w:rPr>
        <w:t xml:space="preserve">Modificar </w:t>
      </w:r>
      <w:r w:rsidRPr="0096360E">
        <w:rPr>
          <w:rFonts w:ascii="Palatino Linotype" w:eastAsia="Palatino Linotype" w:hAnsi="Palatino Linotype" w:cs="Palatino Linotype"/>
          <w:sz w:val="22"/>
          <w:szCs w:val="22"/>
        </w:rPr>
        <w:t xml:space="preserve">la respuesta del </w:t>
      </w:r>
      <w:r w:rsidRPr="0096360E">
        <w:rPr>
          <w:rFonts w:ascii="Palatino Linotype" w:eastAsia="Palatino Linotype" w:hAnsi="Palatino Linotype" w:cs="Palatino Linotype"/>
          <w:b/>
          <w:sz w:val="22"/>
          <w:szCs w:val="22"/>
        </w:rPr>
        <w:t xml:space="preserve">Sujeto Obligado </w:t>
      </w:r>
      <w:r w:rsidRPr="0096360E">
        <w:rPr>
          <w:rFonts w:ascii="Palatino Linotype" w:eastAsia="Palatino Linotype" w:hAnsi="Palatino Linotype" w:cs="Palatino Linotype"/>
          <w:sz w:val="22"/>
          <w:szCs w:val="22"/>
        </w:rPr>
        <w:t xml:space="preserve">y ordenar, de ser procedente en versión pública, </w:t>
      </w:r>
      <w:r w:rsidRPr="0096360E">
        <w:rPr>
          <w:rFonts w:ascii="Palatino Linotype" w:eastAsia="Palatino Linotype" w:hAnsi="Palatino Linotype" w:cs="Palatino Linotype"/>
          <w:b/>
          <w:sz w:val="22"/>
          <w:szCs w:val="22"/>
        </w:rPr>
        <w:t>el inventario del parque vehicular del Sujeto Obligado vigente al 11 de septiembre de 2025.</w:t>
      </w:r>
    </w:p>
    <w:p w14:paraId="48D0838D" w14:textId="77777777" w:rsidR="0098513D" w:rsidRPr="0096360E" w:rsidRDefault="0098513D">
      <w:pPr>
        <w:spacing w:line="360" w:lineRule="auto"/>
        <w:jc w:val="both"/>
        <w:rPr>
          <w:rFonts w:ascii="Palatino Linotype" w:eastAsia="Palatino Linotype" w:hAnsi="Palatino Linotype" w:cs="Palatino Linotype"/>
          <w:sz w:val="22"/>
          <w:szCs w:val="22"/>
        </w:rPr>
      </w:pPr>
    </w:p>
    <w:p w14:paraId="0FFC92DE" w14:textId="77777777" w:rsidR="0098513D" w:rsidRPr="0096360E" w:rsidRDefault="0098513D" w:rsidP="0098513D">
      <w:pPr>
        <w:spacing w:before="240" w:after="240" w:line="360" w:lineRule="auto"/>
        <w:ind w:right="51"/>
        <w:jc w:val="both"/>
        <w:rPr>
          <w:rFonts w:ascii="Palatino Linotype" w:eastAsia="Palatino Linotype" w:hAnsi="Palatino Linotype" w:cs="Palatino Linotype"/>
          <w:sz w:val="22"/>
          <w:szCs w:val="22"/>
          <w:lang w:eastAsia="en-US"/>
        </w:rPr>
      </w:pPr>
      <w:r w:rsidRPr="0096360E">
        <w:rPr>
          <w:rFonts w:ascii="Palatino Linotype" w:eastAsia="Palatino Linotype" w:hAnsi="Palatino Linotype" w:cs="Palatino Linotype"/>
          <w:b/>
          <w:sz w:val="22"/>
          <w:szCs w:val="22"/>
          <w:lang w:eastAsia="en-US"/>
        </w:rPr>
        <w:t xml:space="preserve">Quinto. Versión Pública. </w:t>
      </w:r>
      <w:r w:rsidRPr="0096360E">
        <w:rPr>
          <w:rFonts w:ascii="Palatino Linotype" w:eastAsia="Palatino Linotype" w:hAnsi="Palatino Linotype" w:cs="Palatino Linotype"/>
          <w:sz w:val="22"/>
          <w:szCs w:val="22"/>
          <w:lang w:eastAsia="en-US"/>
        </w:rPr>
        <w:t>Como fue debidamente apuntado, el </w:t>
      </w:r>
      <w:r w:rsidRPr="0096360E">
        <w:rPr>
          <w:rFonts w:ascii="Palatino Linotype" w:eastAsia="Palatino Linotype" w:hAnsi="Palatino Linotype" w:cs="Palatino Linotype"/>
          <w:b/>
          <w:sz w:val="22"/>
          <w:szCs w:val="22"/>
          <w:lang w:eastAsia="en-US"/>
        </w:rPr>
        <w:t>Sujeto Obligado</w:t>
      </w:r>
      <w:r w:rsidRPr="0096360E">
        <w:rPr>
          <w:rFonts w:ascii="Palatino Linotype" w:eastAsia="Palatino Linotype" w:hAnsi="Palatino Linotype" w:cs="Palatino Linotype"/>
          <w:sz w:val="22"/>
          <w:szCs w:val="22"/>
          <w:lang w:eastAsia="en-US"/>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679AFE60" w14:textId="77777777" w:rsidR="0098513D" w:rsidRPr="0096360E" w:rsidRDefault="0098513D" w:rsidP="0098513D">
      <w:pPr>
        <w:spacing w:before="240" w:after="240" w:line="360" w:lineRule="auto"/>
        <w:ind w:right="49"/>
        <w:jc w:val="both"/>
        <w:rPr>
          <w:rFonts w:ascii="Palatino Linotype" w:eastAsia="Palatino Linotype" w:hAnsi="Palatino Linotype" w:cs="Palatino Linotype"/>
          <w:sz w:val="22"/>
          <w:szCs w:val="22"/>
          <w:lang w:eastAsia="en-US"/>
        </w:rPr>
      </w:pPr>
      <w:r w:rsidRPr="0096360E">
        <w:rPr>
          <w:rFonts w:ascii="Palatino Linotype" w:eastAsia="Palatino Linotype" w:hAnsi="Palatino Linotype" w:cs="Palatino Linotype"/>
          <w:sz w:val="22"/>
          <w:szCs w:val="22"/>
          <w:lang w:eastAsia="en-US"/>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01D9DC3" w14:textId="77777777" w:rsidR="0098513D" w:rsidRPr="0096360E" w:rsidRDefault="0098513D" w:rsidP="0098513D">
      <w:pPr>
        <w:spacing w:before="240" w:after="240" w:line="360" w:lineRule="auto"/>
        <w:ind w:right="49"/>
        <w:jc w:val="both"/>
        <w:rPr>
          <w:rFonts w:ascii="Palatino Linotype" w:eastAsia="Palatino Linotype" w:hAnsi="Palatino Linotype" w:cs="Palatino Linotype"/>
          <w:sz w:val="22"/>
          <w:szCs w:val="22"/>
          <w:lang w:eastAsia="en-US"/>
        </w:rPr>
      </w:pPr>
      <w:r w:rsidRPr="0096360E">
        <w:rPr>
          <w:rFonts w:ascii="Palatino Linotype" w:eastAsia="Palatino Linotype" w:hAnsi="Palatino Linotype" w:cs="Palatino Linotype"/>
          <w:sz w:val="22"/>
          <w:szCs w:val="22"/>
          <w:lang w:eastAsia="en-US"/>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4B3A2977" w14:textId="77777777" w:rsidR="0098513D" w:rsidRPr="0096360E" w:rsidRDefault="0098513D" w:rsidP="0098513D">
      <w:pPr>
        <w:spacing w:before="240" w:after="240" w:line="360" w:lineRule="auto"/>
        <w:ind w:right="49"/>
        <w:jc w:val="both"/>
        <w:rPr>
          <w:rFonts w:ascii="Palatino Linotype" w:eastAsia="Palatino Linotype" w:hAnsi="Palatino Linotype" w:cs="Palatino Linotype"/>
          <w:sz w:val="22"/>
          <w:szCs w:val="22"/>
          <w:lang w:eastAsia="en-US"/>
        </w:rPr>
      </w:pPr>
      <w:r w:rsidRPr="0096360E">
        <w:rPr>
          <w:rFonts w:ascii="Palatino Linotype" w:eastAsia="Palatino Linotype" w:hAnsi="Palatino Linotype" w:cs="Palatino Linotype"/>
          <w:sz w:val="22"/>
          <w:szCs w:val="22"/>
          <w:lang w:eastAsia="en-US"/>
        </w:rPr>
        <w:t>Al respecto, los artículos 3, fracciones IX, XX, XXI, XXXII, XLV; 6, 91, 132, 137, 143, fracción I, de la Ley de Transparencia y Acceso a la Información Pública del Estado de México y Municipios vigente establecen:</w:t>
      </w:r>
    </w:p>
    <w:p w14:paraId="11559C17"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sz w:val="22"/>
          <w:szCs w:val="22"/>
          <w:lang w:eastAsia="en-US"/>
        </w:rPr>
        <w:t> </w:t>
      </w:r>
      <w:r w:rsidRPr="0096360E">
        <w:rPr>
          <w:rFonts w:ascii="Palatino Linotype" w:eastAsia="Palatino Linotype" w:hAnsi="Palatino Linotype" w:cs="Palatino Linotype"/>
          <w:i/>
          <w:sz w:val="22"/>
          <w:szCs w:val="22"/>
          <w:lang w:eastAsia="en-US"/>
        </w:rPr>
        <w:t>“</w:t>
      </w:r>
      <w:r w:rsidRPr="0096360E">
        <w:rPr>
          <w:rFonts w:ascii="Palatino Linotype" w:eastAsia="Palatino Linotype" w:hAnsi="Palatino Linotype" w:cs="Palatino Linotype"/>
          <w:b/>
          <w:i/>
          <w:sz w:val="22"/>
          <w:szCs w:val="22"/>
          <w:lang w:eastAsia="en-US"/>
        </w:rPr>
        <w:t>Artículo 3.</w:t>
      </w:r>
      <w:r w:rsidRPr="0096360E">
        <w:rPr>
          <w:rFonts w:ascii="Palatino Linotype" w:eastAsia="Palatino Linotype" w:hAnsi="Palatino Linotype" w:cs="Palatino Linotype"/>
          <w:i/>
          <w:sz w:val="22"/>
          <w:szCs w:val="22"/>
          <w:lang w:eastAsia="en-US"/>
        </w:rPr>
        <w:t xml:space="preserve"> Para los efectos de la presente Ley se entenderá por:</w:t>
      </w:r>
    </w:p>
    <w:p w14:paraId="1C51DA60" w14:textId="77777777" w:rsidR="0098513D" w:rsidRPr="0096360E" w:rsidRDefault="0098513D" w:rsidP="0098513D">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w:t>
      </w:r>
    </w:p>
    <w:p w14:paraId="0B335B50" w14:textId="77777777" w:rsidR="0098513D" w:rsidRPr="0096360E" w:rsidRDefault="0098513D" w:rsidP="0098513D">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IX. Datos personales</w:t>
      </w:r>
      <w:r w:rsidRPr="0096360E">
        <w:rPr>
          <w:rFonts w:ascii="Palatino Linotype" w:eastAsia="Palatino Linotype" w:hAnsi="Palatino Linotype" w:cs="Palatino Linotype"/>
          <w:i/>
          <w:sz w:val="22"/>
          <w:szCs w:val="22"/>
          <w:lang w:eastAsia="en-US"/>
        </w:rPr>
        <w:t>: La información concerniente a una persona, identificada o identificable según lo dispuesto por la Ley de Protección de Datos Personales del Estado de México;</w:t>
      </w:r>
    </w:p>
    <w:p w14:paraId="4C42B5A6" w14:textId="77777777" w:rsidR="0098513D" w:rsidRPr="0096360E" w:rsidRDefault="0098513D" w:rsidP="0098513D">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w:t>
      </w:r>
    </w:p>
    <w:p w14:paraId="363F73E0" w14:textId="77777777" w:rsidR="0098513D" w:rsidRPr="0096360E" w:rsidRDefault="0098513D" w:rsidP="0098513D">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XX. Información clasificada</w:t>
      </w:r>
      <w:r w:rsidRPr="0096360E">
        <w:rPr>
          <w:rFonts w:ascii="Palatino Linotype" w:eastAsia="Palatino Linotype" w:hAnsi="Palatino Linotype" w:cs="Palatino Linotype"/>
          <w:i/>
          <w:sz w:val="22"/>
          <w:szCs w:val="22"/>
          <w:lang w:eastAsia="en-US"/>
        </w:rPr>
        <w:t>: Aquella considerada por la presente Ley como reservada o confidencial;</w:t>
      </w:r>
    </w:p>
    <w:p w14:paraId="3B4D38A9" w14:textId="77777777" w:rsidR="0098513D" w:rsidRPr="0096360E" w:rsidRDefault="0098513D" w:rsidP="0098513D">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XXI. Información confidencial</w:t>
      </w:r>
      <w:r w:rsidRPr="0096360E">
        <w:rPr>
          <w:rFonts w:ascii="Palatino Linotype" w:eastAsia="Palatino Linotype" w:hAnsi="Palatino Linotype" w:cs="Palatino Linotype"/>
          <w:i/>
          <w:sz w:val="22"/>
          <w:szCs w:val="22"/>
          <w:lang w:eastAsia="en-US"/>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836E88" w14:textId="77777777" w:rsidR="0098513D" w:rsidRPr="0096360E" w:rsidRDefault="0098513D" w:rsidP="0098513D">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w:t>
      </w:r>
    </w:p>
    <w:p w14:paraId="793427A7" w14:textId="77777777" w:rsidR="0098513D" w:rsidRPr="0096360E" w:rsidRDefault="0098513D" w:rsidP="0098513D">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XXXII. Protección de Datos Personales</w:t>
      </w:r>
      <w:r w:rsidRPr="0096360E">
        <w:rPr>
          <w:rFonts w:ascii="Palatino Linotype" w:eastAsia="Palatino Linotype" w:hAnsi="Palatino Linotype" w:cs="Palatino Linotype"/>
          <w:i/>
          <w:sz w:val="22"/>
          <w:szCs w:val="22"/>
          <w:lang w:eastAsia="en-US"/>
        </w:rPr>
        <w:t>: Derecho humano que tutela la privacidad de datos personales en poder de los sujetos obligados y sujetos particulares;</w:t>
      </w:r>
    </w:p>
    <w:p w14:paraId="60E2201C" w14:textId="77777777" w:rsidR="0098513D" w:rsidRPr="0096360E" w:rsidRDefault="0098513D" w:rsidP="0098513D">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w:t>
      </w:r>
    </w:p>
    <w:p w14:paraId="5DF6C87B" w14:textId="77777777" w:rsidR="0098513D" w:rsidRPr="0096360E" w:rsidRDefault="0098513D" w:rsidP="0098513D">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XLV. Versión pública</w:t>
      </w:r>
      <w:r w:rsidRPr="0096360E">
        <w:rPr>
          <w:rFonts w:ascii="Palatino Linotype" w:eastAsia="Palatino Linotype" w:hAnsi="Palatino Linotype" w:cs="Palatino Linotype"/>
          <w:i/>
          <w:sz w:val="22"/>
          <w:szCs w:val="22"/>
          <w:lang w:eastAsia="en-US"/>
        </w:rPr>
        <w:t>: Documento en el que se elimine, suprime o borra la información clasificada como reservada o confidencial para permitir su acceso.</w:t>
      </w:r>
    </w:p>
    <w:p w14:paraId="5F760F9E"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 Artículo 6</w:t>
      </w:r>
      <w:r w:rsidRPr="0096360E">
        <w:rPr>
          <w:rFonts w:ascii="Palatino Linotype" w:eastAsia="Palatino Linotype" w:hAnsi="Palatino Linotype" w:cs="Palatino Linotype"/>
          <w:i/>
          <w:sz w:val="22"/>
          <w:szCs w:val="22"/>
          <w:lang w:eastAsia="en-US"/>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F4200AE"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w:t>
      </w:r>
    </w:p>
    <w:p w14:paraId="3220FCB6"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Artículo 91.</w:t>
      </w:r>
      <w:r w:rsidRPr="0096360E">
        <w:rPr>
          <w:rFonts w:ascii="Palatino Linotype" w:eastAsia="Palatino Linotype" w:hAnsi="Palatino Linotype" w:cs="Palatino Linotype"/>
          <w:i/>
          <w:sz w:val="22"/>
          <w:szCs w:val="22"/>
          <w:lang w:eastAsia="en-US"/>
        </w:rPr>
        <w:t xml:space="preserve"> El acceso a la información pública será restringido excepcionalmente, cuando ésta sea clasificada como reservada o confidencial.</w:t>
      </w:r>
      <w:r w:rsidRPr="0096360E">
        <w:rPr>
          <w:rFonts w:ascii="Palatino Linotype" w:eastAsia="Palatino Linotype" w:hAnsi="Palatino Linotype" w:cs="Palatino Linotype"/>
          <w:i/>
          <w:sz w:val="22"/>
          <w:szCs w:val="22"/>
          <w:lang w:eastAsia="en-US"/>
        </w:rPr>
        <w:br/>
        <w:t>…</w:t>
      </w:r>
    </w:p>
    <w:p w14:paraId="368BA25E"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Artículo 132.</w:t>
      </w:r>
      <w:r w:rsidRPr="0096360E">
        <w:rPr>
          <w:rFonts w:ascii="Palatino Linotype" w:eastAsia="Palatino Linotype" w:hAnsi="Palatino Linotype" w:cs="Palatino Linotype"/>
          <w:i/>
          <w:sz w:val="22"/>
          <w:szCs w:val="22"/>
          <w:lang w:eastAsia="en-US"/>
        </w:rPr>
        <w:t xml:space="preserve"> La clasificación de la información se llevará a cabo en el momento en que:</w:t>
      </w:r>
    </w:p>
    <w:p w14:paraId="25E0B83B"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w:t>
      </w:r>
      <w:r w:rsidRPr="0096360E">
        <w:rPr>
          <w:rFonts w:ascii="Palatino Linotype" w:eastAsia="Palatino Linotype" w:hAnsi="Palatino Linotype" w:cs="Palatino Linotype"/>
          <w:i/>
          <w:sz w:val="22"/>
          <w:szCs w:val="22"/>
          <w:lang w:eastAsia="en-US"/>
        </w:rPr>
        <w:t>. Se reciba una solicitud de acceso a la información;</w:t>
      </w:r>
    </w:p>
    <w:p w14:paraId="39087F3C"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II.</w:t>
      </w:r>
      <w:r w:rsidRPr="0096360E">
        <w:rPr>
          <w:rFonts w:ascii="Palatino Linotype" w:eastAsia="Palatino Linotype" w:hAnsi="Palatino Linotype" w:cs="Palatino Linotype"/>
          <w:i/>
          <w:sz w:val="22"/>
          <w:szCs w:val="22"/>
          <w:lang w:eastAsia="en-US"/>
        </w:rPr>
        <w:t xml:space="preserve"> Se determine mediante resolución de autoridad competente; o</w:t>
      </w:r>
    </w:p>
    <w:p w14:paraId="1605E56F"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III.</w:t>
      </w:r>
      <w:r w:rsidRPr="0096360E">
        <w:rPr>
          <w:rFonts w:ascii="Palatino Linotype" w:eastAsia="Palatino Linotype" w:hAnsi="Palatino Linotype" w:cs="Palatino Linotype"/>
          <w:i/>
          <w:sz w:val="22"/>
          <w:szCs w:val="22"/>
          <w:lang w:eastAsia="en-US"/>
        </w:rPr>
        <w:t xml:space="preserve"> Se generen versiones públicas para dar cumplimiento a las obligaciones de transparencia previstas en esta Ley.</w:t>
      </w:r>
    </w:p>
    <w:p w14:paraId="7B3F957C"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w:t>
      </w:r>
    </w:p>
    <w:p w14:paraId="51569ECC"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Artículo 137.</w:t>
      </w:r>
      <w:r w:rsidRPr="0096360E">
        <w:rPr>
          <w:rFonts w:ascii="Palatino Linotype" w:eastAsia="Palatino Linotype" w:hAnsi="Palatino Linotype" w:cs="Palatino Linotype"/>
          <w:i/>
          <w:sz w:val="22"/>
          <w:szCs w:val="22"/>
          <w:lang w:eastAsia="en-U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316CF8E"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 Artículo 143.</w:t>
      </w:r>
      <w:r w:rsidRPr="0096360E">
        <w:rPr>
          <w:rFonts w:ascii="Palatino Linotype" w:eastAsia="Palatino Linotype" w:hAnsi="Palatino Linotype" w:cs="Palatino Linotype"/>
          <w:i/>
          <w:sz w:val="22"/>
          <w:szCs w:val="22"/>
          <w:lang w:eastAsia="en-US"/>
        </w:rPr>
        <w:t xml:space="preserve"> Para los efectos de esta Ley se considera información confidencial, la clasificada como tal, de manera permanente, por su naturaleza, cuando:</w:t>
      </w:r>
    </w:p>
    <w:p w14:paraId="1D252D17"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w:t>
      </w:r>
      <w:r w:rsidRPr="0096360E">
        <w:rPr>
          <w:rFonts w:ascii="Palatino Linotype" w:eastAsia="Palatino Linotype" w:hAnsi="Palatino Linotype" w:cs="Palatino Linotype"/>
          <w:i/>
          <w:sz w:val="22"/>
          <w:szCs w:val="22"/>
          <w:lang w:eastAsia="en-US"/>
        </w:rPr>
        <w:t xml:space="preserve"> Se refiera a la información privada y los datos personales concernientes a una persona física o jurídico colectiva identificada o identificable...”</w:t>
      </w:r>
    </w:p>
    <w:p w14:paraId="363F8F2B" w14:textId="77777777" w:rsidR="0098513D" w:rsidRPr="0096360E" w:rsidRDefault="0098513D" w:rsidP="0098513D">
      <w:pPr>
        <w:spacing w:before="240" w:after="240" w:line="360" w:lineRule="auto"/>
        <w:ind w:right="50"/>
        <w:jc w:val="both"/>
        <w:rPr>
          <w:rFonts w:ascii="Palatino Linotype" w:eastAsia="Palatino Linotype" w:hAnsi="Palatino Linotype" w:cs="Palatino Linotype"/>
          <w:sz w:val="22"/>
          <w:szCs w:val="22"/>
          <w:lang w:eastAsia="en-US"/>
        </w:rPr>
      </w:pPr>
      <w:r w:rsidRPr="0096360E">
        <w:rPr>
          <w:rFonts w:ascii="Palatino Linotype" w:eastAsia="Palatino Linotype" w:hAnsi="Palatino Linotype" w:cs="Palatino Linotype"/>
          <w:sz w:val="22"/>
          <w:szCs w:val="22"/>
          <w:lang w:eastAsia="en-US"/>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96360E">
        <w:rPr>
          <w:rFonts w:ascii="Palatino Linotype" w:eastAsia="Palatino Linotype" w:hAnsi="Palatino Linotype" w:cs="Palatino Linotype"/>
          <w:b/>
          <w:sz w:val="22"/>
          <w:szCs w:val="22"/>
          <w:lang w:eastAsia="en-US"/>
        </w:rPr>
        <w:t>Sujeto Obligado</w:t>
      </w:r>
      <w:r w:rsidRPr="0096360E">
        <w:rPr>
          <w:rFonts w:ascii="Palatino Linotype" w:eastAsia="Palatino Linotype" w:hAnsi="Palatino Linotype" w:cs="Palatino Linotype"/>
          <w:sz w:val="22"/>
          <w:szCs w:val="22"/>
          <w:lang w:eastAsia="en-US"/>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F643DDC" w14:textId="77777777" w:rsidR="0098513D" w:rsidRPr="0096360E" w:rsidRDefault="0098513D" w:rsidP="0098513D">
      <w:pPr>
        <w:spacing w:before="240" w:after="240" w:line="360" w:lineRule="auto"/>
        <w:ind w:right="50"/>
        <w:jc w:val="both"/>
        <w:rPr>
          <w:rFonts w:ascii="Palatino Linotype" w:eastAsia="Palatino Linotype" w:hAnsi="Palatino Linotype" w:cs="Palatino Linotype"/>
          <w:sz w:val="22"/>
          <w:szCs w:val="22"/>
          <w:lang w:eastAsia="en-US"/>
        </w:rPr>
      </w:pPr>
      <w:r w:rsidRPr="0096360E">
        <w:rPr>
          <w:rFonts w:ascii="Palatino Linotype" w:eastAsia="Palatino Linotype" w:hAnsi="Palatino Linotype" w:cs="Palatino Linotype"/>
          <w:sz w:val="22"/>
          <w:szCs w:val="22"/>
          <w:lang w:eastAsia="en-U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04C23B1" w14:textId="77777777" w:rsidR="0098513D" w:rsidRPr="0096360E" w:rsidRDefault="0098513D" w:rsidP="0098513D">
      <w:pPr>
        <w:spacing w:before="240" w:after="240" w:line="360" w:lineRule="auto"/>
        <w:ind w:right="50"/>
        <w:jc w:val="both"/>
        <w:rPr>
          <w:rFonts w:ascii="Palatino Linotype" w:eastAsia="Palatino Linotype" w:hAnsi="Palatino Linotype" w:cs="Palatino Linotype"/>
          <w:sz w:val="22"/>
          <w:szCs w:val="22"/>
          <w:lang w:eastAsia="en-US"/>
        </w:rPr>
      </w:pPr>
      <w:r w:rsidRPr="0096360E">
        <w:rPr>
          <w:rFonts w:ascii="Palatino Linotype" w:eastAsia="Palatino Linotype" w:hAnsi="Palatino Linotype" w:cs="Palatino Linotype"/>
          <w:sz w:val="22"/>
          <w:szCs w:val="22"/>
          <w:lang w:eastAsia="en-US"/>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402047C"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“Artículo 49.</w:t>
      </w:r>
      <w:r w:rsidRPr="0096360E">
        <w:rPr>
          <w:rFonts w:ascii="Palatino Linotype" w:eastAsia="Palatino Linotype" w:hAnsi="Palatino Linotype" w:cs="Palatino Linotype"/>
          <w:i/>
          <w:sz w:val="22"/>
          <w:szCs w:val="22"/>
          <w:lang w:eastAsia="en-US"/>
        </w:rPr>
        <w:t xml:space="preserve"> </w:t>
      </w:r>
      <w:r w:rsidRPr="0096360E">
        <w:rPr>
          <w:rFonts w:ascii="Palatino Linotype" w:eastAsia="Palatino Linotype" w:hAnsi="Palatino Linotype" w:cs="Palatino Linotype"/>
          <w:b/>
          <w:i/>
          <w:sz w:val="22"/>
          <w:szCs w:val="22"/>
          <w:lang w:eastAsia="en-US"/>
        </w:rPr>
        <w:t>Los Comités de Transparencia</w:t>
      </w:r>
      <w:r w:rsidRPr="0096360E">
        <w:rPr>
          <w:rFonts w:ascii="Palatino Linotype" w:eastAsia="Palatino Linotype" w:hAnsi="Palatino Linotype" w:cs="Palatino Linotype"/>
          <w:i/>
          <w:sz w:val="22"/>
          <w:szCs w:val="22"/>
          <w:lang w:eastAsia="en-US"/>
        </w:rPr>
        <w:t xml:space="preserve"> tendrán las siguientes atribuciones:</w:t>
      </w:r>
    </w:p>
    <w:p w14:paraId="1C72D1F4"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VIII. Aprobar, modificar o revocar la clasificación de la información</w:t>
      </w:r>
      <w:r w:rsidRPr="0096360E">
        <w:rPr>
          <w:rFonts w:ascii="Palatino Linotype" w:eastAsia="Palatino Linotype" w:hAnsi="Palatino Linotype" w:cs="Palatino Linotype"/>
          <w:i/>
          <w:sz w:val="22"/>
          <w:szCs w:val="22"/>
          <w:lang w:eastAsia="en-US"/>
        </w:rPr>
        <w:t>…”</w:t>
      </w:r>
    </w:p>
    <w:p w14:paraId="7BED4D5C"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w:t>
      </w:r>
      <w:r w:rsidRPr="0096360E">
        <w:rPr>
          <w:rFonts w:ascii="Palatino Linotype" w:eastAsia="Palatino Linotype" w:hAnsi="Palatino Linotype" w:cs="Palatino Linotype"/>
          <w:b/>
          <w:i/>
          <w:sz w:val="22"/>
          <w:szCs w:val="22"/>
          <w:lang w:eastAsia="en-US"/>
        </w:rPr>
        <w:t>Artículo 53.</w:t>
      </w:r>
      <w:r w:rsidRPr="0096360E">
        <w:rPr>
          <w:rFonts w:ascii="Palatino Linotype" w:eastAsia="Palatino Linotype" w:hAnsi="Palatino Linotype" w:cs="Palatino Linotype"/>
          <w:i/>
          <w:sz w:val="22"/>
          <w:szCs w:val="22"/>
          <w:lang w:eastAsia="en-US"/>
        </w:rPr>
        <w:t xml:space="preserve"> Las </w:t>
      </w:r>
      <w:r w:rsidRPr="0096360E">
        <w:rPr>
          <w:rFonts w:ascii="Palatino Linotype" w:eastAsia="Palatino Linotype" w:hAnsi="Palatino Linotype" w:cs="Palatino Linotype"/>
          <w:b/>
          <w:i/>
          <w:sz w:val="22"/>
          <w:szCs w:val="22"/>
          <w:lang w:eastAsia="en-US"/>
        </w:rPr>
        <w:t>Unidades de Transparencia</w:t>
      </w:r>
      <w:r w:rsidRPr="0096360E">
        <w:rPr>
          <w:rFonts w:ascii="Palatino Linotype" w:eastAsia="Palatino Linotype" w:hAnsi="Palatino Linotype" w:cs="Palatino Linotype"/>
          <w:i/>
          <w:sz w:val="22"/>
          <w:szCs w:val="22"/>
          <w:lang w:eastAsia="en-US"/>
        </w:rPr>
        <w:t xml:space="preserve"> tendrán las siguientes </w:t>
      </w:r>
      <w:r w:rsidRPr="0096360E">
        <w:rPr>
          <w:rFonts w:ascii="Palatino Linotype" w:eastAsia="Palatino Linotype" w:hAnsi="Palatino Linotype" w:cs="Palatino Linotype"/>
          <w:b/>
          <w:i/>
          <w:sz w:val="22"/>
          <w:szCs w:val="22"/>
          <w:lang w:eastAsia="en-US"/>
        </w:rPr>
        <w:t>funciones</w:t>
      </w:r>
      <w:r w:rsidRPr="0096360E">
        <w:rPr>
          <w:rFonts w:ascii="Palatino Linotype" w:eastAsia="Palatino Linotype" w:hAnsi="Palatino Linotype" w:cs="Palatino Linotype"/>
          <w:i/>
          <w:sz w:val="22"/>
          <w:szCs w:val="22"/>
          <w:lang w:eastAsia="en-US"/>
        </w:rPr>
        <w:t>:</w:t>
      </w:r>
    </w:p>
    <w:p w14:paraId="59BDCCD0"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X. Presentar ante el Comité, el proyecto de clasificación de información</w:t>
      </w:r>
      <w:r w:rsidRPr="0096360E">
        <w:rPr>
          <w:rFonts w:ascii="Palatino Linotype" w:eastAsia="Palatino Linotype" w:hAnsi="Palatino Linotype" w:cs="Palatino Linotype"/>
          <w:i/>
          <w:sz w:val="22"/>
          <w:szCs w:val="22"/>
          <w:lang w:eastAsia="en-US"/>
        </w:rPr>
        <w:t xml:space="preserve">…” </w:t>
      </w:r>
    </w:p>
    <w:p w14:paraId="61673448"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“Artículo 59.</w:t>
      </w:r>
      <w:r w:rsidRPr="0096360E">
        <w:rPr>
          <w:rFonts w:ascii="Palatino Linotype" w:eastAsia="Palatino Linotype" w:hAnsi="Palatino Linotype" w:cs="Palatino Linotype"/>
          <w:i/>
          <w:sz w:val="22"/>
          <w:szCs w:val="22"/>
          <w:lang w:eastAsia="en-US"/>
        </w:rPr>
        <w:t xml:space="preserve"> Los </w:t>
      </w:r>
      <w:r w:rsidRPr="0096360E">
        <w:rPr>
          <w:rFonts w:ascii="Palatino Linotype" w:eastAsia="Palatino Linotype" w:hAnsi="Palatino Linotype" w:cs="Palatino Linotype"/>
          <w:b/>
          <w:i/>
          <w:sz w:val="22"/>
          <w:szCs w:val="22"/>
          <w:lang w:eastAsia="en-US"/>
        </w:rPr>
        <w:t>servidores públicos habilitados</w:t>
      </w:r>
      <w:r w:rsidRPr="0096360E">
        <w:rPr>
          <w:rFonts w:ascii="Palatino Linotype" w:eastAsia="Palatino Linotype" w:hAnsi="Palatino Linotype" w:cs="Palatino Linotype"/>
          <w:i/>
          <w:sz w:val="22"/>
          <w:szCs w:val="22"/>
          <w:lang w:eastAsia="en-US"/>
        </w:rPr>
        <w:t xml:space="preserve"> tendrán las </w:t>
      </w:r>
      <w:r w:rsidRPr="0096360E">
        <w:rPr>
          <w:rFonts w:ascii="Palatino Linotype" w:eastAsia="Palatino Linotype" w:hAnsi="Palatino Linotype" w:cs="Palatino Linotype"/>
          <w:b/>
          <w:i/>
          <w:sz w:val="22"/>
          <w:szCs w:val="22"/>
          <w:lang w:eastAsia="en-US"/>
        </w:rPr>
        <w:t>funciones</w:t>
      </w:r>
      <w:r w:rsidRPr="0096360E">
        <w:rPr>
          <w:rFonts w:ascii="Palatino Linotype" w:eastAsia="Palatino Linotype" w:hAnsi="Palatino Linotype" w:cs="Palatino Linotype"/>
          <w:i/>
          <w:sz w:val="22"/>
          <w:szCs w:val="22"/>
          <w:lang w:eastAsia="en-US"/>
        </w:rPr>
        <w:t xml:space="preserve"> siguientes:</w:t>
      </w:r>
    </w:p>
    <w:p w14:paraId="4F4D9D80"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V. Integrar y presentar al responsable de la Unidad de Transparencia la propuesta de clasificación de información</w:t>
      </w:r>
      <w:r w:rsidRPr="0096360E">
        <w:rPr>
          <w:rFonts w:ascii="Palatino Linotype" w:eastAsia="Palatino Linotype" w:hAnsi="Palatino Linotype" w:cs="Palatino Linotype"/>
          <w:i/>
          <w:sz w:val="22"/>
          <w:szCs w:val="22"/>
          <w:lang w:eastAsia="en-US"/>
        </w:rPr>
        <w:t>, la cual tendrá los fundamentos y argumentos en que se basa dicha propuesta…”</w:t>
      </w:r>
    </w:p>
    <w:p w14:paraId="6FA00E30" w14:textId="77777777" w:rsidR="0098513D" w:rsidRPr="0096360E" w:rsidRDefault="0098513D" w:rsidP="0098513D">
      <w:pPr>
        <w:spacing w:before="240" w:after="240" w:line="360" w:lineRule="auto"/>
        <w:jc w:val="both"/>
        <w:rPr>
          <w:rFonts w:ascii="Palatino Linotype" w:eastAsia="Palatino Linotype" w:hAnsi="Palatino Linotype" w:cs="Palatino Linotype"/>
          <w:sz w:val="22"/>
          <w:szCs w:val="22"/>
          <w:lang w:eastAsia="en-US"/>
        </w:rPr>
      </w:pPr>
      <w:r w:rsidRPr="0096360E">
        <w:rPr>
          <w:rFonts w:ascii="Palatino Linotype" w:eastAsia="Palatino Linotype" w:hAnsi="Palatino Linotype" w:cs="Palatino Linotype"/>
          <w:sz w:val="22"/>
          <w:szCs w:val="22"/>
          <w:lang w:eastAsia="en-US"/>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A4D4DB5" w14:textId="77777777" w:rsidR="0098513D" w:rsidRPr="0096360E" w:rsidRDefault="0098513D" w:rsidP="0098513D">
      <w:pPr>
        <w:spacing w:before="240" w:after="240" w:line="360" w:lineRule="auto"/>
        <w:jc w:val="both"/>
        <w:rPr>
          <w:rFonts w:ascii="Palatino Linotype" w:eastAsia="Palatino Linotype" w:hAnsi="Palatino Linotype" w:cs="Palatino Linotype"/>
          <w:sz w:val="22"/>
          <w:szCs w:val="22"/>
          <w:lang w:eastAsia="en-US"/>
        </w:rPr>
      </w:pPr>
      <w:r w:rsidRPr="0096360E">
        <w:rPr>
          <w:rFonts w:ascii="Palatino Linotype" w:eastAsia="Palatino Linotype" w:hAnsi="Palatino Linotype" w:cs="Palatino Linotype"/>
          <w:sz w:val="22"/>
          <w:szCs w:val="22"/>
          <w:lang w:eastAsia="en-US"/>
        </w:rPr>
        <w:t>Para lo cual, a su vez en el caso de información de carácter confidencial, se debe atender a lo que señala el artículo 149 de la Ley de Transparencia Local vigente, que se lee como sigue:</w:t>
      </w:r>
    </w:p>
    <w:p w14:paraId="32AB05C7"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w:t>
      </w:r>
      <w:r w:rsidRPr="0096360E">
        <w:rPr>
          <w:rFonts w:ascii="Palatino Linotype" w:eastAsia="Palatino Linotype" w:hAnsi="Palatino Linotype" w:cs="Palatino Linotype"/>
          <w:b/>
          <w:i/>
          <w:sz w:val="22"/>
          <w:szCs w:val="22"/>
          <w:lang w:eastAsia="en-US"/>
        </w:rPr>
        <w:t>Artículo 149.</w:t>
      </w:r>
      <w:r w:rsidRPr="0096360E">
        <w:rPr>
          <w:rFonts w:ascii="Palatino Linotype" w:eastAsia="Palatino Linotype" w:hAnsi="Palatino Linotype" w:cs="Palatino Linotype"/>
          <w:i/>
          <w:sz w:val="22"/>
          <w:szCs w:val="22"/>
          <w:lang w:eastAsia="en-US"/>
        </w:rPr>
        <w:t xml:space="preserve"> El </w:t>
      </w:r>
      <w:r w:rsidRPr="0096360E">
        <w:rPr>
          <w:rFonts w:ascii="Palatino Linotype" w:eastAsia="Palatino Linotype" w:hAnsi="Palatino Linotype" w:cs="Palatino Linotype"/>
          <w:b/>
          <w:i/>
          <w:sz w:val="22"/>
          <w:szCs w:val="22"/>
          <w:lang w:eastAsia="en-US"/>
        </w:rPr>
        <w:t>acuerdo que clasifique la información como confidencial</w:t>
      </w:r>
      <w:r w:rsidRPr="0096360E">
        <w:rPr>
          <w:rFonts w:ascii="Palatino Linotype" w:eastAsia="Palatino Linotype" w:hAnsi="Palatino Linotype" w:cs="Palatino Linotype"/>
          <w:i/>
          <w:sz w:val="22"/>
          <w:szCs w:val="22"/>
          <w:lang w:eastAsia="en-US"/>
        </w:rPr>
        <w:t xml:space="preserve"> deberá contener un razonamiento lógico en el que demuestre que la información se encuentra en alguna o algunas de las hipótesis previstas en la presente Ley.” </w:t>
      </w:r>
    </w:p>
    <w:p w14:paraId="660961C8" w14:textId="77777777" w:rsidR="0098513D" w:rsidRPr="0096360E" w:rsidRDefault="0098513D" w:rsidP="0098513D">
      <w:pPr>
        <w:spacing w:before="240" w:after="240" w:line="360" w:lineRule="auto"/>
        <w:ind w:right="51"/>
        <w:jc w:val="both"/>
        <w:rPr>
          <w:rFonts w:ascii="Palatino Linotype" w:eastAsia="Palatino Linotype" w:hAnsi="Palatino Linotype" w:cs="Palatino Linotype"/>
          <w:sz w:val="22"/>
          <w:szCs w:val="22"/>
          <w:lang w:eastAsia="en-US"/>
        </w:rPr>
      </w:pPr>
      <w:r w:rsidRPr="0096360E">
        <w:rPr>
          <w:rFonts w:ascii="Palatino Linotype" w:eastAsia="Palatino Linotype" w:hAnsi="Palatino Linotype" w:cs="Palatino Linotype"/>
          <w:sz w:val="22"/>
          <w:szCs w:val="22"/>
          <w:lang w:eastAsia="en-US"/>
        </w:rPr>
        <w:t xml:space="preserve">Es decir, el </w:t>
      </w:r>
      <w:r w:rsidRPr="0096360E">
        <w:rPr>
          <w:rFonts w:ascii="Palatino Linotype" w:eastAsia="Palatino Linotype" w:hAnsi="Palatino Linotype" w:cs="Palatino Linotype"/>
          <w:b/>
          <w:sz w:val="22"/>
          <w:szCs w:val="22"/>
          <w:lang w:eastAsia="en-US"/>
        </w:rPr>
        <w:t>Sujeto Obligado</w:t>
      </w:r>
      <w:r w:rsidRPr="0096360E">
        <w:rPr>
          <w:rFonts w:ascii="Palatino Linotype" w:eastAsia="Palatino Linotype" w:hAnsi="Palatino Linotype" w:cs="Palatino Linotype"/>
          <w:sz w:val="22"/>
          <w:szCs w:val="22"/>
          <w:lang w:eastAsia="en-US"/>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0F9223B" w14:textId="77777777" w:rsidR="0098513D" w:rsidRPr="0096360E" w:rsidRDefault="0098513D" w:rsidP="0098513D">
      <w:pPr>
        <w:spacing w:before="240" w:after="240" w:line="360" w:lineRule="auto"/>
        <w:ind w:right="49"/>
        <w:jc w:val="both"/>
        <w:rPr>
          <w:rFonts w:ascii="Palatino Linotype" w:eastAsia="Palatino Linotype" w:hAnsi="Palatino Linotype" w:cs="Palatino Linotype"/>
          <w:sz w:val="22"/>
          <w:szCs w:val="22"/>
          <w:lang w:eastAsia="en-US"/>
        </w:rPr>
      </w:pPr>
      <w:r w:rsidRPr="0096360E">
        <w:rPr>
          <w:rFonts w:ascii="Palatino Linotype" w:eastAsia="Palatino Linotype" w:hAnsi="Palatino Linotype" w:cs="Palatino Linotype"/>
          <w:sz w:val="22"/>
          <w:szCs w:val="22"/>
          <w:lang w:eastAsia="en-US"/>
        </w:rPr>
        <w:t xml:space="preserve">Atento a lo anterior, cabe señalar que el Comité de Transparencia del </w:t>
      </w:r>
      <w:r w:rsidRPr="0096360E">
        <w:rPr>
          <w:rFonts w:ascii="Palatino Linotype" w:eastAsia="Palatino Linotype" w:hAnsi="Palatino Linotype" w:cs="Palatino Linotype"/>
          <w:b/>
          <w:sz w:val="22"/>
          <w:szCs w:val="22"/>
          <w:lang w:eastAsia="en-US"/>
        </w:rPr>
        <w:t>Sujeto Obligado</w:t>
      </w:r>
      <w:r w:rsidRPr="0096360E">
        <w:rPr>
          <w:rFonts w:ascii="Palatino Linotype" w:eastAsia="Palatino Linotype" w:hAnsi="Palatino Linotype" w:cs="Palatino Linotype"/>
          <w:sz w:val="22"/>
          <w:szCs w:val="22"/>
          <w:lang w:eastAsia="en-US"/>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vigentes a la fecha de la solicitud que literalmente expresan:</w:t>
      </w:r>
    </w:p>
    <w:p w14:paraId="40A2EC7A"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 xml:space="preserve"> “</w:t>
      </w:r>
      <w:r w:rsidRPr="0096360E">
        <w:rPr>
          <w:rFonts w:ascii="Palatino Linotype" w:eastAsia="Palatino Linotype" w:hAnsi="Palatino Linotype" w:cs="Palatino Linotype"/>
          <w:b/>
          <w:i/>
          <w:sz w:val="22"/>
          <w:szCs w:val="22"/>
          <w:lang w:eastAsia="en-US"/>
        </w:rPr>
        <w:t>Segundo.-</w:t>
      </w:r>
      <w:r w:rsidRPr="0096360E">
        <w:rPr>
          <w:rFonts w:ascii="Palatino Linotype" w:eastAsia="Palatino Linotype" w:hAnsi="Palatino Linotype" w:cs="Palatino Linotype"/>
          <w:i/>
          <w:sz w:val="22"/>
          <w:szCs w:val="22"/>
          <w:lang w:eastAsia="en-US"/>
        </w:rPr>
        <w:t xml:space="preserve"> Para efectos de los presentes Lineamientos Generales, se entenderá por:</w:t>
      </w:r>
    </w:p>
    <w:p w14:paraId="4556E341"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XVIII.</w:t>
      </w:r>
      <w:r w:rsidRPr="0096360E">
        <w:rPr>
          <w:rFonts w:ascii="Palatino Linotype" w:eastAsia="Palatino Linotype" w:hAnsi="Palatino Linotype" w:cs="Palatino Linotype"/>
          <w:i/>
          <w:sz w:val="22"/>
          <w:szCs w:val="22"/>
          <w:lang w:eastAsia="en-US"/>
        </w:rPr>
        <w:t xml:space="preserve"> </w:t>
      </w:r>
      <w:r w:rsidRPr="0096360E">
        <w:rPr>
          <w:rFonts w:ascii="Palatino Linotype" w:eastAsia="Palatino Linotype" w:hAnsi="Palatino Linotype" w:cs="Palatino Linotype"/>
          <w:b/>
          <w:i/>
          <w:sz w:val="22"/>
          <w:szCs w:val="22"/>
          <w:lang w:eastAsia="en-US"/>
        </w:rPr>
        <w:t>Versión pública:</w:t>
      </w:r>
      <w:r w:rsidRPr="0096360E">
        <w:rPr>
          <w:rFonts w:ascii="Palatino Linotype" w:eastAsia="Palatino Linotype" w:hAnsi="Palatino Linotype" w:cs="Palatino Linotype"/>
          <w:i/>
          <w:sz w:val="22"/>
          <w:szCs w:val="22"/>
          <w:lang w:eastAsia="en-US"/>
        </w:rPr>
        <w:t xml:space="preserve"> El documento a partir del que se otorga acceso a la información, en el que se testan partes o secciones clasificadas, indicando el contenido de éstas de manera genérica, </w:t>
      </w:r>
      <w:r w:rsidRPr="0096360E">
        <w:rPr>
          <w:rFonts w:ascii="Palatino Linotype" w:eastAsia="Palatino Linotype" w:hAnsi="Palatino Linotype" w:cs="Palatino Linotype"/>
          <w:b/>
          <w:i/>
          <w:sz w:val="22"/>
          <w:szCs w:val="22"/>
          <w:lang w:eastAsia="en-US"/>
        </w:rPr>
        <w:t>fundando y motivando la</w:t>
      </w:r>
      <w:r w:rsidRPr="0096360E">
        <w:rPr>
          <w:rFonts w:ascii="Palatino Linotype" w:eastAsia="Palatino Linotype" w:hAnsi="Palatino Linotype" w:cs="Palatino Linotype"/>
          <w:i/>
          <w:sz w:val="22"/>
          <w:szCs w:val="22"/>
          <w:lang w:eastAsia="en-US"/>
        </w:rPr>
        <w:t xml:space="preserve"> </w:t>
      </w:r>
      <w:r w:rsidRPr="0096360E">
        <w:rPr>
          <w:rFonts w:ascii="Palatino Linotype" w:eastAsia="Palatino Linotype" w:hAnsi="Palatino Linotype" w:cs="Palatino Linotype"/>
          <w:b/>
          <w:i/>
          <w:sz w:val="22"/>
          <w:szCs w:val="22"/>
          <w:lang w:eastAsia="en-US"/>
        </w:rPr>
        <w:t>reserva o confidencialidad</w:t>
      </w:r>
      <w:r w:rsidRPr="0096360E">
        <w:rPr>
          <w:rFonts w:ascii="Palatino Linotype" w:eastAsia="Palatino Linotype" w:hAnsi="Palatino Linotype" w:cs="Palatino Linotype"/>
          <w:i/>
          <w:sz w:val="22"/>
          <w:szCs w:val="22"/>
          <w:lang w:eastAsia="en-US"/>
        </w:rPr>
        <w:t>, a través de la resolución que para tal efecto emita el Comité de Transparencia.</w:t>
      </w:r>
    </w:p>
    <w:p w14:paraId="315913C6"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b/>
          <w:i/>
          <w:sz w:val="22"/>
          <w:szCs w:val="22"/>
          <w:lang w:eastAsia="en-US"/>
        </w:rPr>
      </w:pPr>
      <w:r w:rsidRPr="0096360E">
        <w:rPr>
          <w:rFonts w:ascii="Palatino Linotype" w:eastAsia="Palatino Linotype" w:hAnsi="Palatino Linotype" w:cs="Palatino Linotype"/>
          <w:b/>
          <w:i/>
          <w:sz w:val="22"/>
          <w:szCs w:val="22"/>
          <w:lang w:eastAsia="en-US"/>
        </w:rPr>
        <w:t>...</w:t>
      </w:r>
    </w:p>
    <w:p w14:paraId="415860A1"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Cuarto.</w:t>
      </w:r>
      <w:r w:rsidRPr="0096360E">
        <w:rPr>
          <w:rFonts w:ascii="Palatino Linotype" w:eastAsia="Palatino Linotype" w:hAnsi="Palatino Linotype" w:cs="Palatino Linotype"/>
          <w:i/>
          <w:sz w:val="22"/>
          <w:szCs w:val="22"/>
          <w:lang w:eastAsia="en-US"/>
        </w:rPr>
        <w:t xml:space="preserve"> </w:t>
      </w:r>
      <w:r w:rsidRPr="0096360E">
        <w:rPr>
          <w:rFonts w:ascii="Palatino Linotype" w:eastAsia="Palatino Linotype" w:hAnsi="Palatino Linotype" w:cs="Palatino Linotype"/>
          <w:b/>
          <w:i/>
          <w:sz w:val="22"/>
          <w:szCs w:val="22"/>
          <w:lang w:eastAsia="en-US"/>
        </w:rPr>
        <w:t>Para clasificar la información como</w:t>
      </w:r>
      <w:r w:rsidRPr="0096360E">
        <w:rPr>
          <w:rFonts w:ascii="Palatino Linotype" w:eastAsia="Palatino Linotype" w:hAnsi="Palatino Linotype" w:cs="Palatino Linotype"/>
          <w:i/>
          <w:sz w:val="22"/>
          <w:szCs w:val="22"/>
          <w:lang w:eastAsia="en-US"/>
        </w:rPr>
        <w:t xml:space="preserve"> </w:t>
      </w:r>
      <w:r w:rsidRPr="0096360E">
        <w:rPr>
          <w:rFonts w:ascii="Palatino Linotype" w:eastAsia="Palatino Linotype" w:hAnsi="Palatino Linotype" w:cs="Palatino Linotype"/>
          <w:b/>
          <w:i/>
          <w:sz w:val="22"/>
          <w:szCs w:val="22"/>
          <w:lang w:eastAsia="en-US"/>
        </w:rPr>
        <w:t>reservada o</w:t>
      </w:r>
      <w:r w:rsidRPr="0096360E">
        <w:rPr>
          <w:rFonts w:ascii="Palatino Linotype" w:eastAsia="Palatino Linotype" w:hAnsi="Palatino Linotype" w:cs="Palatino Linotype"/>
          <w:i/>
          <w:sz w:val="22"/>
          <w:szCs w:val="22"/>
          <w:lang w:eastAsia="en-US"/>
        </w:rPr>
        <w:t xml:space="preserve"> </w:t>
      </w:r>
      <w:r w:rsidRPr="0096360E">
        <w:rPr>
          <w:rFonts w:ascii="Palatino Linotype" w:eastAsia="Palatino Linotype" w:hAnsi="Palatino Linotype" w:cs="Palatino Linotype"/>
          <w:b/>
          <w:i/>
          <w:sz w:val="22"/>
          <w:szCs w:val="22"/>
          <w:lang w:eastAsia="en-US"/>
        </w:rPr>
        <w:t>confidencial, de manera total o parcial, el titular del área del sujeto obligado deberá atender lo dispuesto por el Título Sexto de la Ley General</w:t>
      </w:r>
      <w:r w:rsidRPr="0096360E">
        <w:rPr>
          <w:rFonts w:ascii="Palatino Linotype" w:eastAsia="Palatino Linotype" w:hAnsi="Palatino Linotype" w:cs="Palatino Linotype"/>
          <w:i/>
          <w:sz w:val="22"/>
          <w:szCs w:val="22"/>
          <w:lang w:eastAsia="en-US"/>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67FE830"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Los sujetos obligados deberán aplicar, de manera estricta, las excepciones al derecho de acceso a la información y sólo podrán invocarlas cuando acrediten su procedencia.</w:t>
      </w:r>
    </w:p>
    <w:p w14:paraId="23FB6244"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Quinto.</w:t>
      </w:r>
      <w:r w:rsidRPr="0096360E">
        <w:rPr>
          <w:rFonts w:ascii="Palatino Linotype" w:eastAsia="Palatino Linotype" w:hAnsi="Palatino Linotype" w:cs="Palatino Linotype"/>
          <w:i/>
          <w:sz w:val="22"/>
          <w:szCs w:val="22"/>
          <w:lang w:eastAsia="en-U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DF582AC"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Sexto.</w:t>
      </w:r>
      <w:r w:rsidRPr="0096360E">
        <w:rPr>
          <w:rFonts w:ascii="Palatino Linotype" w:eastAsia="Palatino Linotype" w:hAnsi="Palatino Linotype" w:cs="Palatino Linotype"/>
          <w:i/>
          <w:sz w:val="22"/>
          <w:szCs w:val="22"/>
          <w:lang w:eastAsia="en-US"/>
        </w:rPr>
        <w:t xml:space="preserve"> Se deroga.</w:t>
      </w:r>
    </w:p>
    <w:p w14:paraId="4EA2F49F"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Séptimo.</w:t>
      </w:r>
      <w:r w:rsidRPr="0096360E">
        <w:rPr>
          <w:rFonts w:ascii="Palatino Linotype" w:eastAsia="Palatino Linotype" w:hAnsi="Palatino Linotype" w:cs="Palatino Linotype"/>
          <w:i/>
          <w:sz w:val="22"/>
          <w:szCs w:val="22"/>
          <w:lang w:eastAsia="en-US"/>
        </w:rPr>
        <w:t xml:space="preserve"> La clasificación de la información se llevará a cabo en el momento en que:</w:t>
      </w:r>
    </w:p>
    <w:p w14:paraId="5C8F6694"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w:t>
      </w:r>
      <w:r w:rsidRPr="0096360E">
        <w:rPr>
          <w:rFonts w:ascii="Palatino Linotype" w:eastAsia="Palatino Linotype" w:hAnsi="Palatino Linotype" w:cs="Palatino Linotype"/>
          <w:i/>
          <w:sz w:val="22"/>
          <w:szCs w:val="22"/>
          <w:lang w:eastAsia="en-US"/>
        </w:rPr>
        <w:t xml:space="preserve"> Se reciba una solicitud de acceso a la información;</w:t>
      </w:r>
    </w:p>
    <w:p w14:paraId="045F2E69"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II.</w:t>
      </w:r>
      <w:r w:rsidRPr="0096360E">
        <w:rPr>
          <w:rFonts w:ascii="Palatino Linotype" w:eastAsia="Palatino Linotype" w:hAnsi="Palatino Linotype" w:cs="Palatino Linotype"/>
          <w:i/>
          <w:sz w:val="22"/>
          <w:szCs w:val="22"/>
          <w:lang w:eastAsia="en-US"/>
        </w:rPr>
        <w:t xml:space="preserve"> Se determine mediante resolución del Comité de Transparencia, el órgano garante competente, o en cumplimiento a una sentencia del Poder Judicial; o</w:t>
      </w:r>
    </w:p>
    <w:p w14:paraId="5284222C"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III.</w:t>
      </w:r>
      <w:r w:rsidRPr="0096360E">
        <w:rPr>
          <w:rFonts w:ascii="Palatino Linotype" w:eastAsia="Palatino Linotype" w:hAnsi="Palatino Linotype" w:cs="Palatino Linotype"/>
          <w:i/>
          <w:sz w:val="22"/>
          <w:szCs w:val="22"/>
          <w:lang w:eastAsia="en-US"/>
        </w:rPr>
        <w:t xml:space="preserve"> Se generen versiones públicas para dar cumplimiento a las obligaciones de transparencia previstas en la Ley General, la Ley Federal y las correspondientes de las entidades federativas.</w:t>
      </w:r>
    </w:p>
    <w:p w14:paraId="321FDC62"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Los titulares de las áreas deberán revisar la clasificación al momento de la recepción de una solicitud de acceso, para verificar</w:t>
      </w:r>
      <w:r w:rsidRPr="0096360E">
        <w:rPr>
          <w:rFonts w:ascii="Palatino Linotype" w:eastAsia="Palatino Linotype" w:hAnsi="Palatino Linotype" w:cs="Palatino Linotype"/>
          <w:sz w:val="22"/>
          <w:szCs w:val="22"/>
          <w:lang w:eastAsia="en-US"/>
        </w:rPr>
        <w:t xml:space="preserve">, </w:t>
      </w:r>
      <w:r w:rsidRPr="0096360E">
        <w:rPr>
          <w:rFonts w:ascii="Palatino Linotype" w:eastAsia="Palatino Linotype" w:hAnsi="Palatino Linotype" w:cs="Palatino Linotype"/>
          <w:i/>
          <w:sz w:val="22"/>
          <w:szCs w:val="22"/>
          <w:lang w:eastAsia="en-US"/>
        </w:rPr>
        <w:t>conforme a su naturaleza, si encuadra en una causal de reserva o de confidencialidad.</w:t>
      </w:r>
    </w:p>
    <w:p w14:paraId="0B5672BF"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Octavo.</w:t>
      </w:r>
      <w:r w:rsidRPr="0096360E">
        <w:rPr>
          <w:rFonts w:ascii="Palatino Linotype" w:eastAsia="Palatino Linotype" w:hAnsi="Palatino Linotype" w:cs="Palatino Linotype"/>
          <w:i/>
          <w:sz w:val="22"/>
          <w:szCs w:val="22"/>
          <w:lang w:eastAsia="en-U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E7CC662"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Para motivar la clasificación se deberán señalar las razones o circunstancias especiales que lo llevaron a concluir que el caso particular se ajusta al supuesto previsto por la norma legal invocada como fundamento.</w:t>
      </w:r>
    </w:p>
    <w:p w14:paraId="63D34B88"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3C058782"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Noveno.</w:t>
      </w:r>
      <w:r w:rsidRPr="0096360E">
        <w:rPr>
          <w:rFonts w:ascii="Palatino Linotype" w:eastAsia="Palatino Linotype" w:hAnsi="Palatino Linotype" w:cs="Palatino Linotype"/>
          <w:i/>
          <w:sz w:val="22"/>
          <w:szCs w:val="22"/>
          <w:lang w:eastAsia="en-U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B2C5DAB"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Décimo.</w:t>
      </w:r>
      <w:r w:rsidRPr="0096360E">
        <w:rPr>
          <w:rFonts w:ascii="Palatino Linotype" w:eastAsia="Palatino Linotype" w:hAnsi="Palatino Linotype" w:cs="Palatino Linotype"/>
          <w:i/>
          <w:sz w:val="22"/>
          <w:szCs w:val="22"/>
          <w:lang w:eastAsia="en-U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01241FD"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En ausencia de los titulares de las áreas, la información será clasificada o desclasificada por la persona que lo supla, en términos de la normativa que rija la actuación del sujeto obligado.</w:t>
      </w:r>
    </w:p>
    <w:p w14:paraId="477A4AB8" w14:textId="77777777" w:rsidR="0098513D" w:rsidRPr="0096360E" w:rsidRDefault="0098513D" w:rsidP="0098513D">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Décimo primero.</w:t>
      </w:r>
      <w:r w:rsidRPr="0096360E">
        <w:rPr>
          <w:rFonts w:ascii="Palatino Linotype" w:eastAsia="Palatino Linotype" w:hAnsi="Palatino Linotype" w:cs="Palatino Linotype"/>
          <w:i/>
          <w:sz w:val="22"/>
          <w:szCs w:val="22"/>
          <w:lang w:eastAsia="en-U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39915D72" w14:textId="77777777" w:rsidR="0098513D" w:rsidRPr="0096360E" w:rsidRDefault="0098513D" w:rsidP="0098513D">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lang w:eastAsia="en-US"/>
        </w:rPr>
      </w:pPr>
      <w:r w:rsidRPr="0096360E">
        <w:rPr>
          <w:rFonts w:ascii="Palatino Linotype" w:eastAsia="Palatino Linotype" w:hAnsi="Palatino Linotype" w:cs="Palatino Linotype"/>
          <w:sz w:val="22"/>
          <w:szCs w:val="22"/>
          <w:lang w:eastAsia="en-US"/>
        </w:rPr>
        <w:t xml:space="preserve">Asimismo, respecto a las formalidades que deberá llevar el acuerdo de clasificación que deberá emitir el </w:t>
      </w:r>
      <w:r w:rsidRPr="0096360E">
        <w:rPr>
          <w:rFonts w:ascii="Palatino Linotype" w:eastAsia="Palatino Linotype" w:hAnsi="Palatino Linotype" w:cs="Palatino Linotype"/>
          <w:b/>
          <w:sz w:val="22"/>
          <w:szCs w:val="22"/>
          <w:lang w:eastAsia="en-US"/>
        </w:rPr>
        <w:t>Sujeto Obligado</w:t>
      </w:r>
      <w:r w:rsidRPr="0096360E">
        <w:rPr>
          <w:rFonts w:ascii="Palatino Linotype" w:eastAsia="Palatino Linotype" w:hAnsi="Palatino Linotype" w:cs="Palatino Linotype"/>
          <w:sz w:val="22"/>
          <w:szCs w:val="22"/>
          <w:lang w:eastAsia="en-US"/>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14:paraId="18BAA7C6" w14:textId="77777777" w:rsidR="0098513D" w:rsidRPr="0096360E" w:rsidRDefault="0098513D" w:rsidP="0098513D">
      <w:pPr>
        <w:spacing w:after="200" w:line="276" w:lineRule="auto"/>
        <w:ind w:left="851" w:right="902"/>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 xml:space="preserve">“Quincuagésimo. </w:t>
      </w:r>
      <w:r w:rsidRPr="0096360E">
        <w:rPr>
          <w:rFonts w:ascii="Palatino Linotype" w:eastAsia="Palatino Linotype" w:hAnsi="Palatino Linotype" w:cs="Palatino Linotype"/>
          <w:i/>
          <w:sz w:val="22"/>
          <w:szCs w:val="22"/>
          <w:lang w:eastAsia="en-US"/>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BC303BD" w14:textId="77777777" w:rsidR="0098513D" w:rsidRPr="0096360E" w:rsidRDefault="0098513D" w:rsidP="0098513D">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 xml:space="preserve">Quincuagésimo primero. </w:t>
      </w:r>
      <w:r w:rsidRPr="0096360E">
        <w:rPr>
          <w:rFonts w:ascii="Palatino Linotype" w:eastAsia="Palatino Linotype" w:hAnsi="Palatino Linotype" w:cs="Palatino Linotype"/>
          <w:i/>
          <w:sz w:val="22"/>
          <w:szCs w:val="22"/>
          <w:lang w:eastAsia="en-US"/>
        </w:rPr>
        <w:t xml:space="preserve">Toda acta del Comité de Transparencia deberá contener: </w:t>
      </w:r>
    </w:p>
    <w:p w14:paraId="137334F7" w14:textId="77777777" w:rsidR="0098513D" w:rsidRPr="0096360E" w:rsidRDefault="0098513D" w:rsidP="0098513D">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w:t>
      </w:r>
      <w:r w:rsidRPr="0096360E">
        <w:rPr>
          <w:rFonts w:ascii="Palatino Linotype" w:eastAsia="Palatino Linotype" w:hAnsi="Palatino Linotype" w:cs="Palatino Linotype"/>
          <w:i/>
          <w:sz w:val="22"/>
          <w:szCs w:val="22"/>
          <w:lang w:eastAsia="en-US"/>
        </w:rPr>
        <w:t xml:space="preserve"> El número de sesión y fecha; </w:t>
      </w:r>
    </w:p>
    <w:p w14:paraId="45C3B043" w14:textId="77777777" w:rsidR="0098513D" w:rsidRPr="0096360E" w:rsidRDefault="0098513D" w:rsidP="0098513D">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II</w:t>
      </w:r>
      <w:r w:rsidRPr="0096360E">
        <w:rPr>
          <w:rFonts w:ascii="Palatino Linotype" w:eastAsia="Palatino Linotype" w:hAnsi="Palatino Linotype" w:cs="Palatino Linotype"/>
          <w:i/>
          <w:sz w:val="22"/>
          <w:szCs w:val="22"/>
          <w:lang w:eastAsia="en-US"/>
        </w:rPr>
        <w:t xml:space="preserve">. El nombre del área que solicitó la clasificación de información; </w:t>
      </w:r>
    </w:p>
    <w:p w14:paraId="7F4DCD95" w14:textId="77777777" w:rsidR="0098513D" w:rsidRPr="0096360E" w:rsidRDefault="0098513D" w:rsidP="0098513D">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III</w:t>
      </w:r>
      <w:r w:rsidRPr="0096360E">
        <w:rPr>
          <w:rFonts w:ascii="Palatino Linotype" w:eastAsia="Palatino Linotype" w:hAnsi="Palatino Linotype" w:cs="Palatino Linotype"/>
          <w:i/>
          <w:sz w:val="22"/>
          <w:szCs w:val="22"/>
          <w:lang w:eastAsia="en-US"/>
        </w:rPr>
        <w:t xml:space="preserve">. La fundamentación legal y motivación correspondiente; </w:t>
      </w:r>
    </w:p>
    <w:p w14:paraId="66D4C5C3" w14:textId="77777777" w:rsidR="0098513D" w:rsidRPr="0096360E" w:rsidRDefault="0098513D" w:rsidP="0098513D">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IV</w:t>
      </w:r>
      <w:r w:rsidRPr="0096360E">
        <w:rPr>
          <w:rFonts w:ascii="Palatino Linotype" w:eastAsia="Palatino Linotype" w:hAnsi="Palatino Linotype" w:cs="Palatino Linotype"/>
          <w:i/>
          <w:sz w:val="22"/>
          <w:szCs w:val="22"/>
          <w:lang w:eastAsia="en-US"/>
        </w:rPr>
        <w:t xml:space="preserve">. La resolución o resoluciones aprobadas; y </w:t>
      </w:r>
    </w:p>
    <w:p w14:paraId="0BB3B4C4" w14:textId="77777777" w:rsidR="0098513D" w:rsidRPr="0096360E" w:rsidRDefault="0098513D" w:rsidP="0098513D">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V</w:t>
      </w:r>
      <w:r w:rsidRPr="0096360E">
        <w:rPr>
          <w:rFonts w:ascii="Palatino Linotype" w:eastAsia="Palatino Linotype" w:hAnsi="Palatino Linotype" w:cs="Palatino Linotype"/>
          <w:i/>
          <w:sz w:val="22"/>
          <w:szCs w:val="22"/>
          <w:lang w:eastAsia="en-US"/>
        </w:rPr>
        <w:t xml:space="preserve">. La rúbrica o firma digital de cada integrante del Comité de Transparencia. </w:t>
      </w:r>
    </w:p>
    <w:p w14:paraId="082A7E66" w14:textId="77777777" w:rsidR="0098513D" w:rsidRPr="0096360E" w:rsidRDefault="0098513D" w:rsidP="0098513D">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 xml:space="preserve">Las resoluciones del Comité en las que se haya determinado confirmar o modificar la clasificación de información pública como reservada, deberán incluir, cuando menos: </w:t>
      </w:r>
    </w:p>
    <w:p w14:paraId="613FD58F" w14:textId="77777777" w:rsidR="0098513D" w:rsidRPr="0096360E" w:rsidRDefault="0098513D" w:rsidP="0098513D">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w:t>
      </w:r>
      <w:r w:rsidRPr="0096360E">
        <w:rPr>
          <w:rFonts w:ascii="Palatino Linotype" w:eastAsia="Palatino Linotype" w:hAnsi="Palatino Linotype" w:cs="Palatino Linotype"/>
          <w:i/>
          <w:sz w:val="22"/>
          <w:szCs w:val="22"/>
          <w:lang w:eastAsia="en-US"/>
        </w:rPr>
        <w:t xml:space="preserve"> Los motivos y razonamientos que sustenten la confirmación o modificación de la prueba de daño;</w:t>
      </w:r>
    </w:p>
    <w:p w14:paraId="68F0CC3A" w14:textId="77777777" w:rsidR="0098513D" w:rsidRPr="0096360E" w:rsidRDefault="0098513D" w:rsidP="0098513D">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b/>
          <w:i/>
          <w:sz w:val="22"/>
          <w:szCs w:val="22"/>
          <w:lang w:eastAsia="en-US"/>
        </w:rPr>
      </w:pPr>
      <w:r w:rsidRPr="0096360E">
        <w:rPr>
          <w:rFonts w:ascii="Palatino Linotype" w:eastAsia="Palatino Linotype" w:hAnsi="Palatino Linotype" w:cs="Palatino Linotype"/>
          <w:b/>
          <w:i/>
          <w:sz w:val="22"/>
          <w:szCs w:val="22"/>
          <w:lang w:eastAsia="en-US"/>
        </w:rPr>
        <w:t>II</w:t>
      </w:r>
      <w:r w:rsidRPr="0096360E">
        <w:rPr>
          <w:rFonts w:ascii="Palatino Linotype" w:eastAsia="Palatino Linotype" w:hAnsi="Palatino Linotype" w:cs="Palatino Linotype"/>
          <w:i/>
          <w:sz w:val="22"/>
          <w:szCs w:val="22"/>
          <w:lang w:eastAsia="en-US"/>
        </w:rPr>
        <w:t>. Descripción de las partes o secciones reservadas, en caso de clasificación parcial</w:t>
      </w:r>
      <w:r w:rsidRPr="0096360E">
        <w:rPr>
          <w:rFonts w:ascii="Palatino Linotype" w:eastAsia="Palatino Linotype" w:hAnsi="Palatino Linotype" w:cs="Palatino Linotype"/>
          <w:b/>
          <w:i/>
          <w:sz w:val="22"/>
          <w:szCs w:val="22"/>
          <w:lang w:eastAsia="en-US"/>
        </w:rPr>
        <w:t xml:space="preserve">; </w:t>
      </w:r>
    </w:p>
    <w:p w14:paraId="78D7C1E1" w14:textId="77777777" w:rsidR="0098513D" w:rsidRPr="0096360E" w:rsidRDefault="0098513D" w:rsidP="0098513D">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III.</w:t>
      </w:r>
      <w:r w:rsidRPr="0096360E">
        <w:rPr>
          <w:rFonts w:ascii="Palatino Linotype" w:eastAsia="Palatino Linotype" w:hAnsi="Palatino Linotype" w:cs="Palatino Linotype"/>
          <w:i/>
          <w:sz w:val="22"/>
          <w:szCs w:val="22"/>
          <w:lang w:eastAsia="en-US"/>
        </w:rPr>
        <w:t xml:space="preserve"> El periodo por el que mantendrá su clasificación y fecha de expiración; y </w:t>
      </w:r>
    </w:p>
    <w:p w14:paraId="0835DBC3" w14:textId="77777777" w:rsidR="0098513D" w:rsidRPr="0096360E" w:rsidRDefault="0098513D" w:rsidP="0098513D">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IV.</w:t>
      </w:r>
      <w:r w:rsidRPr="0096360E">
        <w:rPr>
          <w:rFonts w:ascii="Palatino Linotype" w:eastAsia="Palatino Linotype" w:hAnsi="Palatino Linotype" w:cs="Palatino Linotype"/>
          <w:i/>
          <w:sz w:val="22"/>
          <w:szCs w:val="22"/>
          <w:lang w:eastAsia="en-US"/>
        </w:rPr>
        <w:t xml:space="preserve"> El nombre del titular y área encargada de realizar la versión pública del documento, en su caso. </w:t>
      </w:r>
    </w:p>
    <w:p w14:paraId="153C879B" w14:textId="77777777" w:rsidR="0098513D" w:rsidRPr="0096360E" w:rsidRDefault="0098513D" w:rsidP="0098513D">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 xml:space="preserve">En los casos en que se clasifique la información como reservada siempre se entregará o anexará la prueba de daño con la respuesta al solicitante. </w:t>
      </w:r>
    </w:p>
    <w:p w14:paraId="4E2B0EE3" w14:textId="77777777" w:rsidR="0098513D" w:rsidRPr="0096360E" w:rsidRDefault="0098513D" w:rsidP="0098513D">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En los casos de resoluciones del Comité de Transparencia en las que se confirme la clasificación de información confidencial solo se deberán de identificar los tipos de datos protegidos, de conformidad con el lineamiento trigésimo octavo.</w:t>
      </w:r>
    </w:p>
    <w:p w14:paraId="64E7028A" w14:textId="77777777" w:rsidR="0098513D" w:rsidRPr="0096360E" w:rsidRDefault="0098513D" w:rsidP="0098513D">
      <w:pPr>
        <w:spacing w:before="240" w:after="240" w:line="360" w:lineRule="auto"/>
        <w:jc w:val="both"/>
        <w:rPr>
          <w:rFonts w:ascii="Palatino Linotype" w:eastAsia="Palatino Linotype" w:hAnsi="Palatino Linotype" w:cs="Palatino Linotype"/>
          <w:sz w:val="22"/>
          <w:szCs w:val="22"/>
          <w:lang w:eastAsia="en-US"/>
        </w:rPr>
      </w:pPr>
      <w:r w:rsidRPr="0096360E">
        <w:rPr>
          <w:rFonts w:ascii="Palatino Linotype" w:eastAsia="Palatino Linotype" w:hAnsi="Palatino Linotype" w:cs="Palatino Linotype"/>
          <w:sz w:val="22"/>
          <w:szCs w:val="22"/>
          <w:lang w:eastAsia="en-US"/>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14:paraId="0D594D70"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w:t>
      </w:r>
      <w:r w:rsidRPr="0096360E">
        <w:rPr>
          <w:rFonts w:ascii="Palatino Linotype" w:eastAsia="Palatino Linotype" w:hAnsi="Palatino Linotype" w:cs="Palatino Linotype"/>
          <w:b/>
          <w:i/>
          <w:sz w:val="22"/>
          <w:szCs w:val="22"/>
          <w:lang w:eastAsia="en-US"/>
        </w:rPr>
        <w:t>Quincuagésimo segundo</w:t>
      </w:r>
      <w:r w:rsidRPr="0096360E">
        <w:rPr>
          <w:rFonts w:ascii="Palatino Linotype" w:eastAsia="Palatino Linotype" w:hAnsi="Palatino Linotype" w:cs="Palatino Linotype"/>
          <w:i/>
          <w:sz w:val="22"/>
          <w:szCs w:val="22"/>
          <w:lang w:eastAsia="en-US"/>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5FC8B58"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 xml:space="preserve">En el caso específico de la clasificación y elaboración de versiones públicas de documentos que contengan información confidencial, las áreas de los sujetos obligados deberán: </w:t>
      </w:r>
    </w:p>
    <w:p w14:paraId="347A77A6" w14:textId="77777777" w:rsidR="0098513D" w:rsidRPr="0096360E" w:rsidRDefault="0098513D" w:rsidP="0098513D">
      <w:pPr>
        <w:spacing w:after="200" w:line="276" w:lineRule="auto"/>
        <w:ind w:left="1134"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w:t>
      </w:r>
      <w:r w:rsidRPr="0096360E">
        <w:rPr>
          <w:rFonts w:ascii="Palatino Linotype" w:eastAsia="Palatino Linotype" w:hAnsi="Palatino Linotype" w:cs="Palatino Linotype"/>
          <w:i/>
          <w:sz w:val="22"/>
          <w:szCs w:val="22"/>
          <w:lang w:eastAsia="en-US"/>
        </w:rPr>
        <w:t xml:space="preserve"> Fijar la fecha en que se elaboró la versión pública y la fecha en la cual el Comité de Transparencia confirmó dicha versión;</w:t>
      </w:r>
    </w:p>
    <w:p w14:paraId="594CFC7C" w14:textId="77777777" w:rsidR="0098513D" w:rsidRPr="0096360E" w:rsidRDefault="0098513D" w:rsidP="0098513D">
      <w:pPr>
        <w:spacing w:after="200" w:line="276" w:lineRule="auto"/>
        <w:ind w:left="1134"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II.</w:t>
      </w:r>
      <w:r w:rsidRPr="0096360E">
        <w:rPr>
          <w:rFonts w:ascii="Palatino Linotype" w:eastAsia="Palatino Linotype" w:hAnsi="Palatino Linotype" w:cs="Palatino Linotype"/>
          <w:i/>
          <w:sz w:val="22"/>
          <w:szCs w:val="22"/>
          <w:lang w:eastAsia="en-US"/>
        </w:rPr>
        <w:t xml:space="preserve"> Señalar dentro del documento el tipo de información confidencial que fue testada en cada caso específico, de conformidad con el lineamiento trigésimo octavo; y</w:t>
      </w:r>
    </w:p>
    <w:p w14:paraId="797F1170" w14:textId="77777777" w:rsidR="0098513D" w:rsidRPr="0096360E" w:rsidRDefault="0098513D" w:rsidP="0098513D">
      <w:pPr>
        <w:spacing w:after="200" w:line="276" w:lineRule="auto"/>
        <w:ind w:left="1134"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III.</w:t>
      </w:r>
      <w:r w:rsidRPr="0096360E">
        <w:rPr>
          <w:rFonts w:ascii="Palatino Linotype" w:eastAsia="Palatino Linotype" w:hAnsi="Palatino Linotype" w:cs="Palatino Linotype"/>
          <w:i/>
          <w:sz w:val="22"/>
          <w:szCs w:val="22"/>
          <w:lang w:eastAsia="en-US"/>
        </w:rPr>
        <w:t xml:space="preserve"> Señalar las personas o instancias autorizadas a acceder a la información clasificada.</w:t>
      </w:r>
    </w:p>
    <w:p w14:paraId="1ACCE136"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En los documentos de difusión electrónica, señalar en la primera hoja y en el nombre del archivo, que la versión pública corresponde a un documento que contiene información confidencial.”</w:t>
      </w:r>
    </w:p>
    <w:p w14:paraId="40E8A145" w14:textId="77777777" w:rsidR="0098513D" w:rsidRPr="0096360E" w:rsidRDefault="0098513D" w:rsidP="0098513D">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w:t>
      </w:r>
    </w:p>
    <w:p w14:paraId="377FA6F0" w14:textId="77777777" w:rsidR="0098513D" w:rsidRPr="0096360E" w:rsidRDefault="0098513D" w:rsidP="0098513D">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b/>
          <w:i/>
          <w:sz w:val="22"/>
          <w:szCs w:val="22"/>
          <w:lang w:eastAsia="en-US"/>
        </w:rPr>
      </w:pPr>
      <w:r w:rsidRPr="0096360E">
        <w:rPr>
          <w:rFonts w:ascii="Palatino Linotype" w:eastAsia="Palatino Linotype" w:hAnsi="Palatino Linotype" w:cs="Palatino Linotype"/>
          <w:b/>
          <w:i/>
          <w:sz w:val="22"/>
          <w:szCs w:val="22"/>
          <w:lang w:eastAsia="en-US"/>
        </w:rPr>
        <w:t xml:space="preserve">Quincuagésimo cuarto. </w:t>
      </w:r>
      <w:r w:rsidRPr="0096360E">
        <w:rPr>
          <w:rFonts w:ascii="Palatino Linotype" w:eastAsia="Palatino Linotype" w:hAnsi="Palatino Linotype" w:cs="Palatino Linotype"/>
          <w:i/>
          <w:sz w:val="22"/>
          <w:szCs w:val="22"/>
          <w:lang w:eastAsia="en-US"/>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96360E">
        <w:rPr>
          <w:rFonts w:ascii="Palatino Linotype" w:eastAsia="Palatino Linotype" w:hAnsi="Palatino Linotype" w:cs="Palatino Linotype"/>
          <w:b/>
          <w:i/>
          <w:sz w:val="22"/>
          <w:szCs w:val="22"/>
          <w:lang w:eastAsia="en-US"/>
        </w:rPr>
        <w:t xml:space="preserve"> </w:t>
      </w:r>
    </w:p>
    <w:p w14:paraId="37341AFB"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 xml:space="preserve">Quincuagésimo quinto. </w:t>
      </w:r>
      <w:r w:rsidRPr="0096360E">
        <w:rPr>
          <w:rFonts w:ascii="Palatino Linotype" w:eastAsia="Palatino Linotype" w:hAnsi="Palatino Linotype" w:cs="Palatino Linotype"/>
          <w:i/>
          <w:sz w:val="22"/>
          <w:szCs w:val="22"/>
          <w:lang w:eastAsia="en-US"/>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4FBE832"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b/>
          <w:i/>
          <w:sz w:val="22"/>
          <w:szCs w:val="22"/>
          <w:lang w:eastAsia="en-US"/>
        </w:rPr>
      </w:pPr>
      <w:r w:rsidRPr="0096360E">
        <w:rPr>
          <w:rFonts w:ascii="Palatino Linotype" w:eastAsia="Palatino Linotype" w:hAnsi="Palatino Linotype" w:cs="Palatino Linotype"/>
          <w:b/>
          <w:i/>
          <w:sz w:val="22"/>
          <w:szCs w:val="22"/>
          <w:lang w:eastAsia="en-US"/>
        </w:rPr>
        <w:t>...</w:t>
      </w:r>
    </w:p>
    <w:p w14:paraId="2F07BE47"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Quincuagésimo séptimo</w:t>
      </w:r>
      <w:r w:rsidRPr="0096360E">
        <w:rPr>
          <w:rFonts w:ascii="Palatino Linotype" w:eastAsia="Palatino Linotype" w:hAnsi="Palatino Linotype" w:cs="Palatino Linotype"/>
          <w:i/>
          <w:sz w:val="22"/>
          <w:szCs w:val="22"/>
          <w:lang w:eastAsia="en-US"/>
        </w:rPr>
        <w:t xml:space="preserve">. Se considera, en principio, como información pública y no podrá omitirse de las versiones públicas la siguiente: </w:t>
      </w:r>
    </w:p>
    <w:p w14:paraId="571B63C9" w14:textId="77777777" w:rsidR="0098513D" w:rsidRPr="0096360E" w:rsidRDefault="0098513D" w:rsidP="0098513D">
      <w:pPr>
        <w:spacing w:after="200" w:line="276" w:lineRule="auto"/>
        <w:ind w:left="1134"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w:t>
      </w:r>
      <w:r w:rsidRPr="0096360E">
        <w:rPr>
          <w:rFonts w:ascii="Palatino Linotype" w:eastAsia="Palatino Linotype" w:hAnsi="Palatino Linotype" w:cs="Palatino Linotype"/>
          <w:i/>
          <w:sz w:val="22"/>
          <w:szCs w:val="22"/>
          <w:lang w:eastAsia="en-US"/>
        </w:rPr>
        <w:t xml:space="preserve">. La relativa a las Obligaciones de Transparencia que contempla el Título V de la Ley General y las demás disposiciones legales aplicables; </w:t>
      </w:r>
    </w:p>
    <w:p w14:paraId="50D0067C" w14:textId="77777777" w:rsidR="0098513D" w:rsidRPr="0096360E" w:rsidRDefault="0098513D" w:rsidP="0098513D">
      <w:pPr>
        <w:spacing w:after="200" w:line="276" w:lineRule="auto"/>
        <w:ind w:left="1134"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II.</w:t>
      </w:r>
      <w:r w:rsidRPr="0096360E">
        <w:rPr>
          <w:rFonts w:ascii="Palatino Linotype" w:eastAsia="Palatino Linotype" w:hAnsi="Palatino Linotype" w:cs="Palatino Linotype"/>
          <w:i/>
          <w:sz w:val="22"/>
          <w:szCs w:val="22"/>
          <w:lang w:eastAsia="en-US"/>
        </w:rPr>
        <w:t xml:space="preserve"> El nombre de los integrantes de los sujetos obligados en los documentos, y sus firmas autógrafas o digitales, cuando sean utilizados en el ejercicio de las facultades conferidas para el desempeño del servicio público, y</w:t>
      </w:r>
    </w:p>
    <w:p w14:paraId="5795B589" w14:textId="77777777" w:rsidR="0098513D" w:rsidRPr="0096360E" w:rsidRDefault="0098513D" w:rsidP="0098513D">
      <w:pPr>
        <w:spacing w:after="200" w:line="276" w:lineRule="auto"/>
        <w:ind w:left="1134"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III</w:t>
      </w:r>
      <w:r w:rsidRPr="0096360E">
        <w:rPr>
          <w:rFonts w:ascii="Palatino Linotype" w:eastAsia="Palatino Linotype" w:hAnsi="Palatino Linotype" w:cs="Palatino Linotype"/>
          <w:i/>
          <w:sz w:val="22"/>
          <w:szCs w:val="22"/>
          <w:lang w:eastAsia="en-US"/>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5623797"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i/>
          <w:sz w:val="22"/>
          <w:szCs w:val="22"/>
          <w:lang w:eastAsia="en-US"/>
        </w:rPr>
        <w:t xml:space="preserve">Lo anterior, siempre y cuando no se acredite alguna causal de clasificación, prevista en las leyes o en los tratados internacionales suscritas por el Estado mexicano.  </w:t>
      </w:r>
    </w:p>
    <w:p w14:paraId="43FB6822" w14:textId="77777777" w:rsidR="0098513D" w:rsidRPr="0096360E" w:rsidRDefault="0098513D" w:rsidP="0098513D">
      <w:pPr>
        <w:spacing w:after="200" w:line="276" w:lineRule="auto"/>
        <w:ind w:left="851" w:right="616"/>
        <w:jc w:val="both"/>
        <w:rPr>
          <w:rFonts w:ascii="Palatino Linotype" w:eastAsia="Palatino Linotype" w:hAnsi="Palatino Linotype" w:cs="Palatino Linotype"/>
          <w:i/>
          <w:sz w:val="22"/>
          <w:szCs w:val="22"/>
          <w:lang w:eastAsia="en-US"/>
        </w:rPr>
      </w:pPr>
      <w:r w:rsidRPr="0096360E">
        <w:rPr>
          <w:rFonts w:ascii="Palatino Linotype" w:eastAsia="Palatino Linotype" w:hAnsi="Palatino Linotype" w:cs="Palatino Linotype"/>
          <w:b/>
          <w:i/>
          <w:sz w:val="22"/>
          <w:szCs w:val="22"/>
          <w:lang w:eastAsia="en-US"/>
        </w:rPr>
        <w:t>Quincuagésimo octavo</w:t>
      </w:r>
      <w:r w:rsidRPr="0096360E">
        <w:rPr>
          <w:rFonts w:ascii="Palatino Linotype" w:eastAsia="Palatino Linotype" w:hAnsi="Palatino Linotype" w:cs="Palatino Linotype"/>
          <w:i/>
          <w:sz w:val="22"/>
          <w:szCs w:val="22"/>
          <w:lang w:eastAsia="en-US"/>
        </w:rPr>
        <w:t>. Los sujetos obligados garantizarán que los sistemas o medios empleados para eliminar la información en las versiones públicas sean irreversibles, de tal forma que no permitan su recuperación o la visualización de la misma.”</w:t>
      </w:r>
    </w:p>
    <w:p w14:paraId="1ED6B6BF" w14:textId="77777777" w:rsidR="0098513D" w:rsidRPr="0096360E" w:rsidRDefault="0098513D" w:rsidP="0098513D">
      <w:pPr>
        <w:shd w:val="clear" w:color="auto" w:fill="FFFFFF"/>
        <w:spacing w:line="360" w:lineRule="auto"/>
        <w:ind w:right="51"/>
        <w:jc w:val="both"/>
        <w:rPr>
          <w:rFonts w:ascii="Palatino Linotype" w:eastAsia="Palatino Linotype" w:hAnsi="Palatino Linotype" w:cs="Palatino Linotype"/>
          <w:sz w:val="22"/>
          <w:szCs w:val="22"/>
          <w:lang w:eastAsia="en-US"/>
        </w:rPr>
      </w:pPr>
      <w:r w:rsidRPr="0096360E">
        <w:rPr>
          <w:rFonts w:ascii="Palatino Linotype" w:eastAsia="Palatino Linotype" w:hAnsi="Palatino Linotype" w:cs="Palatino Linotype"/>
          <w:sz w:val="22"/>
          <w:szCs w:val="22"/>
          <w:lang w:eastAsia="en-US"/>
        </w:rPr>
        <w:t xml:space="preserve">Por lo tanto, la entrega de documentos en su versión pública debe acompañarse necesariamente del Acuerdo del Comité de Transparencia que la sustente, en el que se expongan los fundamentos y razonamientos que llevaron al </w:t>
      </w:r>
      <w:r w:rsidRPr="0096360E">
        <w:rPr>
          <w:rFonts w:ascii="Palatino Linotype" w:eastAsia="Palatino Linotype" w:hAnsi="Palatino Linotype" w:cs="Palatino Linotype"/>
          <w:b/>
          <w:sz w:val="22"/>
          <w:szCs w:val="22"/>
          <w:lang w:eastAsia="en-US"/>
        </w:rPr>
        <w:t>Sujeto Obligado</w:t>
      </w:r>
      <w:r w:rsidRPr="0096360E">
        <w:rPr>
          <w:rFonts w:ascii="Palatino Linotype" w:eastAsia="Palatino Linotype" w:hAnsi="Palatino Linotype" w:cs="Palatino Linotype"/>
          <w:sz w:val="22"/>
          <w:szCs w:val="22"/>
          <w:lang w:eastAsia="en-US"/>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96360E">
        <w:rPr>
          <w:rFonts w:ascii="Palatino Linotype" w:eastAsia="Palatino Linotype" w:hAnsi="Palatino Linotype" w:cs="Palatino Linotype"/>
          <w:b/>
          <w:sz w:val="22"/>
          <w:szCs w:val="22"/>
          <w:lang w:eastAsia="en-US"/>
        </w:rPr>
        <w:t>Recurrente</w:t>
      </w:r>
      <w:r w:rsidRPr="0096360E">
        <w:rPr>
          <w:rFonts w:ascii="Palatino Linotype" w:eastAsia="Palatino Linotype" w:hAnsi="Palatino Linotype" w:cs="Palatino Linotype"/>
          <w:sz w:val="22"/>
          <w:szCs w:val="22"/>
          <w:lang w:eastAsia="en-US"/>
        </w:rPr>
        <w:t>.</w:t>
      </w:r>
    </w:p>
    <w:p w14:paraId="6AEAD6EA" w14:textId="77777777" w:rsidR="00E91A0F" w:rsidRPr="0096360E" w:rsidRDefault="00E91A0F">
      <w:pPr>
        <w:spacing w:line="360" w:lineRule="auto"/>
        <w:jc w:val="both"/>
        <w:rPr>
          <w:rFonts w:ascii="Palatino Linotype" w:eastAsia="Palatino Linotype" w:hAnsi="Palatino Linotype" w:cs="Palatino Linotype"/>
          <w:sz w:val="22"/>
          <w:szCs w:val="22"/>
        </w:rPr>
      </w:pPr>
    </w:p>
    <w:p w14:paraId="4E43BC41" w14:textId="4168B464" w:rsidR="00E91A0F" w:rsidRPr="0096360E" w:rsidRDefault="00D21C9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10" w:name="_heading=h.9cqaamjmtdgp" w:colFirst="0" w:colLast="0"/>
      <w:bookmarkEnd w:id="10"/>
      <w:r w:rsidRPr="0096360E">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w:t>
      </w:r>
      <w:r w:rsidR="0098513D" w:rsidRPr="0096360E">
        <w:rPr>
          <w:rFonts w:ascii="Palatino Linotype" w:eastAsia="Palatino Linotype" w:hAnsi="Palatino Linotype" w:cs="Palatino Linotype"/>
          <w:sz w:val="22"/>
          <w:szCs w:val="22"/>
        </w:rPr>
        <w:t>I</w:t>
      </w:r>
      <w:r w:rsidRPr="0096360E">
        <w:rPr>
          <w:rFonts w:ascii="Palatino Linotype" w:eastAsia="Palatino Linotype" w:hAnsi="Palatino Linotype" w:cs="Palatino Linotype"/>
          <w:sz w:val="22"/>
          <w:szCs w:val="22"/>
        </w:rPr>
        <w:t>I, así como 188 de la Ley de Transparencia y Acceso a la Información Pública del Estado de México y Municipios, este Pleno:</w:t>
      </w:r>
    </w:p>
    <w:p w14:paraId="1799DD29" w14:textId="77777777" w:rsidR="00E91A0F" w:rsidRPr="0096360E" w:rsidRDefault="00E91A0F">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04C635AE" w14:textId="77777777" w:rsidR="00E91A0F" w:rsidRPr="0096360E" w:rsidRDefault="00D21C94">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11" w:name="_heading=h.ijv98pntcd5s" w:colFirst="0" w:colLast="0"/>
      <w:bookmarkEnd w:id="11"/>
      <w:r w:rsidRPr="0096360E">
        <w:rPr>
          <w:rFonts w:ascii="Palatino Linotype" w:eastAsia="Palatino Linotype" w:hAnsi="Palatino Linotype" w:cs="Palatino Linotype"/>
          <w:b/>
          <w:bCs/>
          <w:sz w:val="22"/>
          <w:szCs w:val="22"/>
        </w:rPr>
        <w:t>III. R E S U E L V E</w:t>
      </w:r>
    </w:p>
    <w:p w14:paraId="43060823" w14:textId="77777777" w:rsidR="00E91A0F" w:rsidRPr="0096360E" w:rsidRDefault="00E91A0F">
      <w:pPr>
        <w:spacing w:line="360" w:lineRule="auto"/>
        <w:jc w:val="both"/>
        <w:rPr>
          <w:rFonts w:ascii="Palatino Linotype" w:eastAsia="Palatino Linotype" w:hAnsi="Palatino Linotype" w:cs="Palatino Linotype"/>
          <w:b/>
          <w:bCs/>
          <w:sz w:val="22"/>
          <w:szCs w:val="22"/>
        </w:rPr>
      </w:pPr>
      <w:bookmarkStart w:id="12" w:name="_heading=h.26in1rg" w:colFirst="0" w:colLast="0"/>
      <w:bookmarkEnd w:id="12"/>
    </w:p>
    <w:p w14:paraId="39F29566" w14:textId="49ECE880" w:rsidR="0098513D" w:rsidRPr="0096360E" w:rsidRDefault="0098513D" w:rsidP="0098513D">
      <w:pPr>
        <w:spacing w:line="360" w:lineRule="auto"/>
        <w:jc w:val="both"/>
        <w:rPr>
          <w:rFonts w:ascii="Palatino Linotype" w:eastAsia="Palatino Linotype" w:hAnsi="Palatino Linotype" w:cs="Palatino Linotype"/>
          <w:b/>
          <w:sz w:val="22"/>
          <w:szCs w:val="22"/>
        </w:rPr>
      </w:pPr>
      <w:bookmarkStart w:id="13" w:name="_heading=h.h7nzb79wlra" w:colFirst="0" w:colLast="0"/>
      <w:bookmarkEnd w:id="13"/>
      <w:r w:rsidRPr="0096360E">
        <w:rPr>
          <w:rFonts w:ascii="Palatino Linotype" w:eastAsia="Palatino Linotype" w:hAnsi="Palatino Linotype" w:cs="Palatino Linotype"/>
          <w:b/>
          <w:sz w:val="22"/>
          <w:szCs w:val="22"/>
        </w:rPr>
        <w:t xml:space="preserve">Primero. </w:t>
      </w:r>
      <w:r w:rsidRPr="0096360E">
        <w:rPr>
          <w:rFonts w:ascii="Palatino Linotype" w:eastAsia="Palatino Linotype" w:hAnsi="Palatino Linotype" w:cs="Palatino Linotype"/>
          <w:sz w:val="22"/>
          <w:szCs w:val="22"/>
        </w:rPr>
        <w:t xml:space="preserve">Resultan </w:t>
      </w:r>
      <w:r w:rsidRPr="0096360E">
        <w:rPr>
          <w:rFonts w:ascii="Palatino Linotype" w:eastAsia="Palatino Linotype" w:hAnsi="Palatino Linotype" w:cs="Palatino Linotype"/>
          <w:b/>
          <w:sz w:val="22"/>
          <w:szCs w:val="22"/>
        </w:rPr>
        <w:t>fundadas</w:t>
      </w:r>
      <w:r w:rsidRPr="0096360E">
        <w:rPr>
          <w:rFonts w:ascii="Palatino Linotype" w:eastAsia="Palatino Linotype" w:hAnsi="Palatino Linotype" w:cs="Palatino Linotype"/>
          <w:sz w:val="22"/>
          <w:szCs w:val="22"/>
        </w:rPr>
        <w:t xml:space="preserve"> las razones o motivos de inconformidad hechos valer por la parte</w:t>
      </w:r>
      <w:r w:rsidRPr="0096360E">
        <w:rPr>
          <w:rFonts w:ascii="Palatino Linotype" w:eastAsia="Palatino Linotype" w:hAnsi="Palatino Linotype" w:cs="Palatino Linotype"/>
          <w:b/>
          <w:sz w:val="22"/>
          <w:szCs w:val="22"/>
        </w:rPr>
        <w:t xml:space="preserve"> Recurrente</w:t>
      </w:r>
      <w:r w:rsidRPr="0096360E">
        <w:rPr>
          <w:rFonts w:ascii="Palatino Linotype" w:eastAsia="Palatino Linotype" w:hAnsi="Palatino Linotype" w:cs="Palatino Linotype"/>
          <w:sz w:val="22"/>
          <w:szCs w:val="22"/>
        </w:rPr>
        <w:t xml:space="preserve"> en el recurso de revisión </w:t>
      </w:r>
      <w:r w:rsidRPr="0096360E">
        <w:rPr>
          <w:rFonts w:ascii="Palatino Linotype" w:eastAsia="Palatino Linotype" w:hAnsi="Palatino Linotype" w:cs="Palatino Linotype"/>
          <w:b/>
          <w:sz w:val="22"/>
          <w:szCs w:val="22"/>
        </w:rPr>
        <w:t>11559/INFOEM/IP/RR/2025</w:t>
      </w:r>
      <w:r w:rsidRPr="0096360E">
        <w:rPr>
          <w:rFonts w:ascii="Palatino Linotype" w:eastAsia="Palatino Linotype" w:hAnsi="Palatino Linotype" w:cs="Palatino Linotype"/>
          <w:sz w:val="22"/>
          <w:szCs w:val="22"/>
        </w:rPr>
        <w:t xml:space="preserve">; por lo que, en términos del </w:t>
      </w:r>
      <w:r w:rsidRPr="0096360E">
        <w:rPr>
          <w:rFonts w:ascii="Palatino Linotype" w:eastAsia="Palatino Linotype" w:hAnsi="Palatino Linotype" w:cs="Palatino Linotype"/>
          <w:b/>
          <w:sz w:val="22"/>
          <w:szCs w:val="22"/>
        </w:rPr>
        <w:t>Considerando</w:t>
      </w:r>
      <w:r w:rsidRPr="0096360E">
        <w:rPr>
          <w:rFonts w:ascii="Palatino Linotype" w:eastAsia="Palatino Linotype" w:hAnsi="Palatino Linotype" w:cs="Palatino Linotype"/>
          <w:sz w:val="22"/>
          <w:szCs w:val="22"/>
        </w:rPr>
        <w:t xml:space="preserve"> </w:t>
      </w:r>
      <w:r w:rsidRPr="0096360E">
        <w:rPr>
          <w:rFonts w:ascii="Palatino Linotype" w:eastAsia="Palatino Linotype" w:hAnsi="Palatino Linotype" w:cs="Palatino Linotype"/>
          <w:b/>
          <w:sz w:val="22"/>
          <w:szCs w:val="22"/>
        </w:rPr>
        <w:t xml:space="preserve">Cuarto </w:t>
      </w:r>
      <w:r w:rsidRPr="0096360E">
        <w:rPr>
          <w:rFonts w:ascii="Palatino Linotype" w:eastAsia="Palatino Linotype" w:hAnsi="Palatino Linotype" w:cs="Palatino Linotype"/>
          <w:sz w:val="22"/>
          <w:szCs w:val="22"/>
        </w:rPr>
        <w:t xml:space="preserve">de esta resolución, se </w:t>
      </w:r>
      <w:r w:rsidRPr="0096360E">
        <w:rPr>
          <w:rFonts w:ascii="Palatino Linotype" w:eastAsia="Palatino Linotype" w:hAnsi="Palatino Linotype" w:cs="Palatino Linotype"/>
          <w:b/>
          <w:sz w:val="22"/>
          <w:szCs w:val="22"/>
        </w:rPr>
        <w:t xml:space="preserve">Modifica </w:t>
      </w:r>
      <w:r w:rsidRPr="0096360E">
        <w:rPr>
          <w:rFonts w:ascii="Palatino Linotype" w:eastAsia="Palatino Linotype" w:hAnsi="Palatino Linotype" w:cs="Palatino Linotype"/>
          <w:sz w:val="22"/>
          <w:szCs w:val="22"/>
        </w:rPr>
        <w:t xml:space="preserve">la respuesta emitida por el </w:t>
      </w:r>
      <w:r w:rsidRPr="0096360E">
        <w:rPr>
          <w:rFonts w:ascii="Palatino Linotype" w:eastAsia="Palatino Linotype" w:hAnsi="Palatino Linotype" w:cs="Palatino Linotype"/>
          <w:b/>
          <w:sz w:val="22"/>
          <w:szCs w:val="22"/>
        </w:rPr>
        <w:t>Sujeto Obligado.</w:t>
      </w:r>
    </w:p>
    <w:p w14:paraId="2A5A39EE" w14:textId="77777777" w:rsidR="0098513D" w:rsidRPr="0096360E" w:rsidRDefault="0098513D" w:rsidP="0098513D">
      <w:pPr>
        <w:spacing w:line="360" w:lineRule="auto"/>
        <w:jc w:val="both"/>
        <w:rPr>
          <w:rFonts w:ascii="Palatino Linotype" w:eastAsia="Palatino Linotype" w:hAnsi="Palatino Linotype" w:cs="Palatino Linotype"/>
          <w:b/>
          <w:sz w:val="22"/>
          <w:szCs w:val="22"/>
        </w:rPr>
      </w:pPr>
    </w:p>
    <w:p w14:paraId="626D2B10" w14:textId="77777777" w:rsidR="0098513D" w:rsidRPr="0096360E" w:rsidRDefault="0098513D" w:rsidP="0098513D">
      <w:pPr>
        <w:spacing w:line="360" w:lineRule="auto"/>
        <w:jc w:val="both"/>
        <w:rPr>
          <w:rFonts w:ascii="Palatino Linotype" w:eastAsia="Palatino Linotype" w:hAnsi="Palatino Linotype" w:cs="Palatino Linotype"/>
          <w:sz w:val="22"/>
          <w:szCs w:val="22"/>
        </w:rPr>
      </w:pPr>
      <w:bookmarkStart w:id="14" w:name="_heading=h.2et92p0" w:colFirst="0" w:colLast="0"/>
      <w:bookmarkEnd w:id="14"/>
      <w:r w:rsidRPr="0096360E">
        <w:rPr>
          <w:rFonts w:ascii="Palatino Linotype" w:eastAsia="Palatino Linotype" w:hAnsi="Palatino Linotype" w:cs="Palatino Linotype"/>
          <w:b/>
          <w:sz w:val="22"/>
          <w:szCs w:val="22"/>
        </w:rPr>
        <w:t xml:space="preserve">Segundo. </w:t>
      </w:r>
      <w:r w:rsidRPr="0096360E">
        <w:rPr>
          <w:rFonts w:ascii="Palatino Linotype" w:eastAsia="Palatino Linotype" w:hAnsi="Palatino Linotype" w:cs="Palatino Linotype"/>
          <w:sz w:val="22"/>
          <w:szCs w:val="22"/>
        </w:rPr>
        <w:t xml:space="preserve">Se </w:t>
      </w:r>
      <w:r w:rsidRPr="0096360E">
        <w:rPr>
          <w:rFonts w:ascii="Palatino Linotype" w:eastAsia="Palatino Linotype" w:hAnsi="Palatino Linotype" w:cs="Palatino Linotype"/>
          <w:b/>
          <w:sz w:val="22"/>
          <w:szCs w:val="22"/>
        </w:rPr>
        <w:t>Ordena</w:t>
      </w:r>
      <w:r w:rsidRPr="0096360E">
        <w:rPr>
          <w:rFonts w:ascii="Palatino Linotype" w:eastAsia="Palatino Linotype" w:hAnsi="Palatino Linotype" w:cs="Palatino Linotype"/>
          <w:sz w:val="22"/>
          <w:szCs w:val="22"/>
        </w:rPr>
        <w:t xml:space="preserve"> al </w:t>
      </w:r>
      <w:r w:rsidRPr="0096360E">
        <w:rPr>
          <w:rFonts w:ascii="Palatino Linotype" w:eastAsia="Palatino Linotype" w:hAnsi="Palatino Linotype" w:cs="Palatino Linotype"/>
          <w:b/>
          <w:sz w:val="22"/>
          <w:szCs w:val="22"/>
        </w:rPr>
        <w:t>Sujeto Obligado</w:t>
      </w:r>
      <w:r w:rsidRPr="0096360E">
        <w:rPr>
          <w:rFonts w:ascii="Palatino Linotype" w:eastAsia="Palatino Linotype" w:hAnsi="Palatino Linotype" w:cs="Palatino Linotype"/>
          <w:sz w:val="22"/>
          <w:szCs w:val="22"/>
        </w:rPr>
        <w:t xml:space="preserve">, en términos de los considerandos </w:t>
      </w:r>
      <w:r w:rsidRPr="0096360E">
        <w:rPr>
          <w:rFonts w:ascii="Palatino Linotype" w:eastAsia="Palatino Linotype" w:hAnsi="Palatino Linotype" w:cs="Palatino Linotype"/>
          <w:b/>
          <w:sz w:val="22"/>
          <w:szCs w:val="22"/>
        </w:rPr>
        <w:t xml:space="preserve">Cuarto y Quinto </w:t>
      </w:r>
      <w:r w:rsidRPr="0096360E">
        <w:rPr>
          <w:rFonts w:ascii="Palatino Linotype" w:eastAsia="Palatino Linotype" w:hAnsi="Palatino Linotype" w:cs="Palatino Linotype"/>
          <w:sz w:val="22"/>
          <w:szCs w:val="22"/>
        </w:rPr>
        <w:t xml:space="preserve">de esta resolución, </w:t>
      </w:r>
      <w:r w:rsidRPr="0096360E">
        <w:rPr>
          <w:rFonts w:ascii="Palatino Linotype" w:eastAsia="Palatino Linotype" w:hAnsi="Palatino Linotype" w:cs="Palatino Linotype"/>
          <w:b/>
          <w:sz w:val="22"/>
          <w:szCs w:val="22"/>
        </w:rPr>
        <w:t>haga entrega vía Sistema de Acceso a la Información Mexiquense (SAIMEX)</w:t>
      </w:r>
      <w:r w:rsidRPr="0096360E">
        <w:rPr>
          <w:rFonts w:ascii="Palatino Linotype" w:eastAsia="Palatino Linotype" w:hAnsi="Palatino Linotype" w:cs="Palatino Linotype"/>
          <w:b/>
          <w:sz w:val="22"/>
          <w:szCs w:val="22"/>
          <w:u w:val="single"/>
        </w:rPr>
        <w:t>, de ser procedente en versión pública, el o los documentos donde conste o se advierta lo siguiente</w:t>
      </w:r>
      <w:r w:rsidRPr="0096360E">
        <w:rPr>
          <w:rFonts w:ascii="Palatino Linotype" w:eastAsia="Palatino Linotype" w:hAnsi="Palatino Linotype" w:cs="Palatino Linotype"/>
          <w:sz w:val="22"/>
          <w:szCs w:val="22"/>
        </w:rPr>
        <w:t>:</w:t>
      </w:r>
    </w:p>
    <w:p w14:paraId="1119E938" w14:textId="77777777" w:rsidR="0098513D" w:rsidRPr="0096360E" w:rsidRDefault="0098513D" w:rsidP="0098513D">
      <w:pPr>
        <w:spacing w:line="360" w:lineRule="auto"/>
        <w:jc w:val="both"/>
        <w:rPr>
          <w:rFonts w:ascii="Palatino Linotype" w:eastAsia="Palatino Linotype" w:hAnsi="Palatino Linotype" w:cs="Palatino Linotype"/>
          <w:sz w:val="22"/>
          <w:szCs w:val="22"/>
        </w:rPr>
      </w:pPr>
    </w:p>
    <w:p w14:paraId="7AE6FB93" w14:textId="751E36C7" w:rsidR="0098513D" w:rsidRPr="0096360E" w:rsidRDefault="0098513D" w:rsidP="0098513D">
      <w:pPr>
        <w:pStyle w:val="Prrafodelista"/>
        <w:numPr>
          <w:ilvl w:val="0"/>
          <w:numId w:val="5"/>
        </w:numPr>
        <w:spacing w:line="360" w:lineRule="auto"/>
        <w:jc w:val="both"/>
        <w:rPr>
          <w:rFonts w:ascii="Palatino Linotype" w:eastAsia="Palatino Linotype" w:hAnsi="Palatino Linotype" w:cs="Palatino Linotype"/>
          <w:b/>
          <w:sz w:val="22"/>
          <w:szCs w:val="22"/>
        </w:rPr>
      </w:pPr>
      <w:bookmarkStart w:id="15" w:name="_heading=h.59npxyxpomjd" w:colFirst="0" w:colLast="0"/>
      <w:bookmarkEnd w:id="15"/>
      <w:r w:rsidRPr="0096360E">
        <w:rPr>
          <w:rFonts w:ascii="Palatino Linotype" w:eastAsia="Palatino Linotype" w:hAnsi="Palatino Linotype" w:cs="Palatino Linotype"/>
          <w:b/>
          <w:sz w:val="22"/>
          <w:szCs w:val="22"/>
        </w:rPr>
        <w:t>El inventario del parque vehicular del Sujeto Obligado vigente al 11 de septiembre de 2025.</w:t>
      </w:r>
    </w:p>
    <w:p w14:paraId="0A4E3975" w14:textId="77777777" w:rsidR="0098513D" w:rsidRPr="0096360E" w:rsidRDefault="0098513D" w:rsidP="0098513D">
      <w:pPr>
        <w:pStyle w:val="Prrafodelista"/>
        <w:spacing w:line="276" w:lineRule="auto"/>
        <w:ind w:left="360"/>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i/>
          <w:sz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96360E">
        <w:rPr>
          <w:rFonts w:ascii="Palatino Linotype" w:eastAsia="Palatino Linotype" w:hAnsi="Palatino Linotype" w:cs="Palatino Linotype"/>
          <w:b/>
          <w:i/>
          <w:sz w:val="22"/>
        </w:rPr>
        <w:t>Recurrente</w:t>
      </w:r>
      <w:r w:rsidRPr="0096360E">
        <w:rPr>
          <w:rFonts w:ascii="Palatino Linotype" w:eastAsia="Palatino Linotype" w:hAnsi="Palatino Linotype" w:cs="Palatino Linotype"/>
          <w:i/>
          <w:sz w:val="22"/>
        </w:rPr>
        <w:t>, mismo que igualmente hará de su conocimiento.</w:t>
      </w:r>
      <w:r w:rsidRPr="0096360E">
        <w:rPr>
          <w:rFonts w:ascii="Palatino Linotype" w:eastAsia="Palatino Linotype" w:hAnsi="Palatino Linotype" w:cs="Palatino Linotype"/>
          <w:sz w:val="22"/>
          <w:szCs w:val="22"/>
        </w:rPr>
        <w:t xml:space="preserve"> </w:t>
      </w:r>
    </w:p>
    <w:p w14:paraId="75FEE523" w14:textId="77777777" w:rsidR="0098513D" w:rsidRPr="0096360E" w:rsidRDefault="0098513D" w:rsidP="0098513D">
      <w:pPr>
        <w:pStyle w:val="Prrafodelista"/>
        <w:spacing w:line="276" w:lineRule="auto"/>
        <w:ind w:left="360"/>
        <w:jc w:val="both"/>
        <w:rPr>
          <w:rFonts w:ascii="Palatino Linotype" w:eastAsia="Palatino Linotype" w:hAnsi="Palatino Linotype" w:cs="Palatino Linotype"/>
          <w:sz w:val="22"/>
          <w:szCs w:val="22"/>
        </w:rPr>
      </w:pPr>
    </w:p>
    <w:p w14:paraId="4EA9734A" w14:textId="77777777" w:rsidR="0098513D" w:rsidRPr="0096360E" w:rsidRDefault="0098513D" w:rsidP="0098513D">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b/>
          <w:sz w:val="22"/>
          <w:szCs w:val="22"/>
        </w:rPr>
        <w:t xml:space="preserve">Tercero. Notifíquese, </w:t>
      </w:r>
      <w:r w:rsidRPr="0096360E">
        <w:rPr>
          <w:rFonts w:ascii="Palatino Linotype" w:eastAsia="Palatino Linotype" w:hAnsi="Palatino Linotype" w:cs="Palatino Linotype"/>
          <w:sz w:val="22"/>
          <w:szCs w:val="22"/>
        </w:rPr>
        <w:t xml:space="preserve">vía </w:t>
      </w:r>
      <w:r w:rsidRPr="0096360E">
        <w:rPr>
          <w:rFonts w:ascii="Palatino Linotype" w:eastAsia="Palatino Linotype" w:hAnsi="Palatino Linotype" w:cs="Palatino Linotype"/>
          <w:b/>
          <w:sz w:val="22"/>
          <w:szCs w:val="22"/>
        </w:rPr>
        <w:t>SAIMEX</w:t>
      </w:r>
      <w:r w:rsidRPr="0096360E">
        <w:rPr>
          <w:rFonts w:ascii="Palatino Linotype" w:eastAsia="Palatino Linotype" w:hAnsi="Palatino Linotype" w:cs="Palatino Linotype"/>
          <w:sz w:val="22"/>
          <w:szCs w:val="22"/>
        </w:rPr>
        <w:t xml:space="preserve">, al Titular de la Unidad de Transparencia del </w:t>
      </w:r>
      <w:r w:rsidRPr="0096360E">
        <w:rPr>
          <w:rFonts w:ascii="Palatino Linotype" w:eastAsia="Palatino Linotype" w:hAnsi="Palatino Linotype" w:cs="Palatino Linotype"/>
          <w:b/>
          <w:sz w:val="22"/>
          <w:szCs w:val="22"/>
        </w:rPr>
        <w:t>Sujeto Obligado,</w:t>
      </w:r>
      <w:r w:rsidRPr="0096360E">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5B8B639" w14:textId="77777777" w:rsidR="0098513D" w:rsidRPr="0096360E" w:rsidRDefault="0098513D" w:rsidP="0098513D">
      <w:pPr>
        <w:spacing w:line="360" w:lineRule="auto"/>
        <w:jc w:val="both"/>
        <w:rPr>
          <w:rFonts w:ascii="Palatino Linotype" w:eastAsia="Palatino Linotype" w:hAnsi="Palatino Linotype" w:cs="Palatino Linotype"/>
          <w:sz w:val="22"/>
          <w:szCs w:val="22"/>
        </w:rPr>
      </w:pPr>
    </w:p>
    <w:p w14:paraId="2A338878" w14:textId="77777777" w:rsidR="0098513D" w:rsidRPr="0096360E" w:rsidRDefault="0098513D" w:rsidP="0098513D">
      <w:pPr>
        <w:spacing w:line="360" w:lineRule="auto"/>
        <w:ind w:right="49"/>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b/>
          <w:sz w:val="22"/>
          <w:szCs w:val="22"/>
        </w:rPr>
        <w:t>Cuarto.</w:t>
      </w:r>
      <w:r w:rsidRPr="0096360E">
        <w:rPr>
          <w:rFonts w:ascii="Palatino Linotype" w:eastAsia="Palatino Linotype" w:hAnsi="Palatino Linotype" w:cs="Palatino Linotype"/>
          <w:sz w:val="22"/>
          <w:szCs w:val="22"/>
        </w:rPr>
        <w:t xml:space="preserve"> </w:t>
      </w:r>
      <w:r w:rsidRPr="0096360E">
        <w:rPr>
          <w:rFonts w:ascii="Palatino Linotype" w:eastAsia="Palatino Linotype" w:hAnsi="Palatino Linotype" w:cs="Palatino Linotype"/>
          <w:b/>
          <w:sz w:val="22"/>
          <w:szCs w:val="22"/>
        </w:rPr>
        <w:t xml:space="preserve">Notifíquese, </w:t>
      </w:r>
      <w:r w:rsidRPr="0096360E">
        <w:rPr>
          <w:rFonts w:ascii="Palatino Linotype" w:eastAsia="Palatino Linotype" w:hAnsi="Palatino Linotype" w:cs="Palatino Linotype"/>
          <w:sz w:val="22"/>
          <w:szCs w:val="22"/>
        </w:rPr>
        <w:t xml:space="preserve">vía </w:t>
      </w:r>
      <w:r w:rsidRPr="0096360E">
        <w:rPr>
          <w:rFonts w:ascii="Palatino Linotype" w:eastAsia="Palatino Linotype" w:hAnsi="Palatino Linotype" w:cs="Palatino Linotype"/>
          <w:b/>
          <w:sz w:val="22"/>
          <w:szCs w:val="22"/>
        </w:rPr>
        <w:t>SAIMEX</w:t>
      </w:r>
      <w:r w:rsidRPr="0096360E">
        <w:rPr>
          <w:rFonts w:ascii="Palatino Linotype" w:eastAsia="Palatino Linotype" w:hAnsi="Palatino Linotype" w:cs="Palatino Linotype"/>
          <w:sz w:val="22"/>
          <w:szCs w:val="22"/>
        </w:rPr>
        <w:t xml:space="preserve">, al Titular de la Unidad de Transparencia del </w:t>
      </w:r>
      <w:r w:rsidRPr="0096360E">
        <w:rPr>
          <w:rFonts w:ascii="Palatino Linotype" w:eastAsia="Palatino Linotype" w:hAnsi="Palatino Linotype" w:cs="Palatino Linotype"/>
          <w:b/>
          <w:sz w:val="22"/>
          <w:szCs w:val="22"/>
        </w:rPr>
        <w:t>Sujeto Obligado,</w:t>
      </w:r>
      <w:r w:rsidRPr="0096360E">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16071C51" w14:textId="77777777" w:rsidR="0098513D" w:rsidRPr="0096360E" w:rsidRDefault="0098513D" w:rsidP="0098513D">
      <w:pPr>
        <w:spacing w:line="360" w:lineRule="auto"/>
        <w:ind w:right="49"/>
        <w:jc w:val="both"/>
        <w:rPr>
          <w:rFonts w:ascii="Palatino Linotype" w:eastAsia="Palatino Linotype" w:hAnsi="Palatino Linotype" w:cs="Palatino Linotype"/>
          <w:sz w:val="22"/>
          <w:szCs w:val="22"/>
        </w:rPr>
      </w:pPr>
    </w:p>
    <w:p w14:paraId="29D61629" w14:textId="77777777" w:rsidR="0098513D" w:rsidRPr="0096360E" w:rsidRDefault="0098513D" w:rsidP="0098513D">
      <w:pPr>
        <w:spacing w:line="360" w:lineRule="auto"/>
        <w:ind w:right="49"/>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b/>
          <w:sz w:val="22"/>
          <w:szCs w:val="22"/>
        </w:rPr>
        <w:t xml:space="preserve">Quinto. Notifíquese vía SAIMEX, </w:t>
      </w:r>
      <w:r w:rsidRPr="0096360E">
        <w:rPr>
          <w:rFonts w:ascii="Palatino Linotype" w:eastAsia="Palatino Linotype" w:hAnsi="Palatino Linotype" w:cs="Palatino Linotype"/>
          <w:sz w:val="22"/>
          <w:szCs w:val="22"/>
        </w:rPr>
        <w:t xml:space="preserve">la presente resolución a la parte </w:t>
      </w:r>
      <w:r w:rsidRPr="0096360E">
        <w:rPr>
          <w:rFonts w:ascii="Palatino Linotype" w:eastAsia="Palatino Linotype" w:hAnsi="Palatino Linotype" w:cs="Palatino Linotype"/>
          <w:b/>
          <w:sz w:val="22"/>
          <w:szCs w:val="22"/>
        </w:rPr>
        <w:t>Recurrente</w:t>
      </w:r>
      <w:r w:rsidRPr="0096360E">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51CE85B" w14:textId="77777777" w:rsidR="0098513D" w:rsidRPr="0096360E" w:rsidRDefault="0098513D">
      <w:pPr>
        <w:spacing w:line="360" w:lineRule="auto"/>
        <w:jc w:val="both"/>
        <w:rPr>
          <w:rFonts w:ascii="Palatino Linotype" w:eastAsia="Palatino Linotype" w:hAnsi="Palatino Linotype" w:cs="Palatino Linotype"/>
          <w:sz w:val="22"/>
          <w:szCs w:val="22"/>
        </w:rPr>
      </w:pPr>
    </w:p>
    <w:p w14:paraId="3B1D719A" w14:textId="0BD554C4" w:rsidR="00E91A0F" w:rsidRPr="00E4680F" w:rsidRDefault="00D21C94">
      <w:pPr>
        <w:spacing w:line="360" w:lineRule="auto"/>
        <w:jc w:val="both"/>
        <w:rPr>
          <w:rFonts w:ascii="Palatino Linotype" w:eastAsia="Palatino Linotype" w:hAnsi="Palatino Linotype" w:cs="Palatino Linotype"/>
          <w:sz w:val="22"/>
          <w:szCs w:val="22"/>
        </w:rPr>
      </w:pPr>
      <w:r w:rsidRPr="0096360E">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E4680F" w:rsidRPr="0096360E">
        <w:rPr>
          <w:rFonts w:ascii="Palatino Linotype" w:eastAsia="Palatino Linotype" w:hAnsi="Palatino Linotype" w:cs="Palatino Linotype"/>
          <w:sz w:val="22"/>
          <w:szCs w:val="22"/>
        </w:rPr>
        <w:t>, EMITIENDO VOTO PARTICULAR</w:t>
      </w:r>
      <w:r w:rsidRPr="0096360E">
        <w:rPr>
          <w:rFonts w:ascii="Palatino Linotype" w:eastAsia="Palatino Linotype" w:hAnsi="Palatino Linotype" w:cs="Palatino Linotype"/>
          <w:sz w:val="22"/>
          <w:szCs w:val="22"/>
        </w:rPr>
        <w:t>; EN LA CUADRAGÉSIMA TERCERA SESIÓN ORDINARIA, CELEBRADA EL TRES DE DICIEMBRE DE DOS MIL VEINTICINCO, ANTE EL SECRETARIO TÉCNICO DEL PLENO ALEXIS TAPIA RAMÍREZ.</w:t>
      </w:r>
      <w:r w:rsidRPr="00E4680F">
        <w:rPr>
          <w:rFonts w:ascii="Palatino Linotype" w:eastAsia="Palatino Linotype" w:hAnsi="Palatino Linotype" w:cs="Palatino Linotype"/>
          <w:sz w:val="22"/>
          <w:szCs w:val="22"/>
        </w:rPr>
        <w:t xml:space="preserve"> </w:t>
      </w:r>
    </w:p>
    <w:p w14:paraId="739BE461"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3E95495C" w14:textId="77777777" w:rsidR="00E91A0F" w:rsidRPr="00E4680F" w:rsidRDefault="00E91A0F">
      <w:pPr>
        <w:rPr>
          <w:rFonts w:ascii="Palatino Linotype" w:eastAsia="Palatino Linotype" w:hAnsi="Palatino Linotype" w:cs="Palatino Linotype"/>
          <w:sz w:val="22"/>
          <w:szCs w:val="22"/>
        </w:rPr>
      </w:pPr>
      <w:bookmarkStart w:id="16" w:name="_heading=h.17dp8vu" w:colFirst="0" w:colLast="0"/>
      <w:bookmarkEnd w:id="16"/>
    </w:p>
    <w:p w14:paraId="002C2C76" w14:textId="77777777" w:rsidR="00E91A0F" w:rsidRPr="00E4680F" w:rsidRDefault="00E91A0F">
      <w:pPr>
        <w:rPr>
          <w:rFonts w:ascii="Palatino Linotype" w:eastAsia="Palatino Linotype" w:hAnsi="Palatino Linotype" w:cs="Palatino Linotype"/>
          <w:sz w:val="22"/>
          <w:szCs w:val="22"/>
        </w:rPr>
      </w:pPr>
    </w:p>
    <w:p w14:paraId="39B25CC5" w14:textId="77777777" w:rsidR="00E91A0F" w:rsidRPr="00E4680F" w:rsidRDefault="00E91A0F">
      <w:pPr>
        <w:spacing w:line="360" w:lineRule="auto"/>
        <w:jc w:val="both"/>
        <w:rPr>
          <w:rFonts w:ascii="Palatino Linotype" w:eastAsia="Palatino Linotype" w:hAnsi="Palatino Linotype" w:cs="Palatino Linotype"/>
          <w:sz w:val="22"/>
          <w:szCs w:val="22"/>
        </w:rPr>
      </w:pPr>
      <w:bookmarkStart w:id="17" w:name="_heading=h.3rdcrjn" w:colFirst="0" w:colLast="0"/>
      <w:bookmarkEnd w:id="17"/>
    </w:p>
    <w:p w14:paraId="0A9DCA5D"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6268F6A6"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6FCB263A" w14:textId="77777777" w:rsidR="00E91A0F" w:rsidRPr="00E4680F" w:rsidRDefault="00E91A0F">
      <w:pPr>
        <w:spacing w:line="360" w:lineRule="auto"/>
        <w:jc w:val="both"/>
        <w:rPr>
          <w:rFonts w:ascii="Palatino Linotype" w:eastAsia="Palatino Linotype" w:hAnsi="Palatino Linotype" w:cs="Palatino Linotype"/>
          <w:sz w:val="22"/>
          <w:szCs w:val="22"/>
        </w:rPr>
      </w:pPr>
      <w:bookmarkStart w:id="18" w:name="_heading=h.1t3h5sf" w:colFirst="0" w:colLast="0"/>
      <w:bookmarkEnd w:id="18"/>
    </w:p>
    <w:p w14:paraId="5F867CCC"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456E9685"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3E91422F"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65A4E50E"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01F43E14"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11FE3FA3"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61DC16CC"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536384FF"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2BF21244"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00B37633"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7FCA3E8B"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0CCE474C"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6091E3BB"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57DA74D1"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72C067BD"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5A58BA7D"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18F73EEE"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6035EB0E"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0F875394" w14:textId="77777777" w:rsidR="00E91A0F" w:rsidRPr="00E4680F" w:rsidRDefault="00E91A0F">
      <w:pPr>
        <w:spacing w:line="360" w:lineRule="auto"/>
        <w:jc w:val="both"/>
        <w:rPr>
          <w:rFonts w:ascii="Palatino Linotype" w:eastAsia="Palatino Linotype" w:hAnsi="Palatino Linotype" w:cs="Palatino Linotype"/>
          <w:sz w:val="22"/>
          <w:szCs w:val="22"/>
        </w:rPr>
      </w:pPr>
    </w:p>
    <w:p w14:paraId="559DFFEC" w14:textId="77777777" w:rsidR="00E91A0F" w:rsidRPr="00E4680F" w:rsidRDefault="00E91A0F">
      <w:pPr>
        <w:spacing w:line="360" w:lineRule="auto"/>
        <w:jc w:val="both"/>
        <w:rPr>
          <w:rFonts w:ascii="Palatino Linotype" w:eastAsia="Palatino Linotype" w:hAnsi="Palatino Linotype" w:cs="Palatino Linotype"/>
          <w:sz w:val="22"/>
          <w:szCs w:val="22"/>
        </w:rPr>
      </w:pPr>
    </w:p>
    <w:sectPr w:rsidR="00E91A0F" w:rsidRPr="00E4680F">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A9088" w14:textId="77777777" w:rsidR="00B7349B" w:rsidRDefault="00B7349B">
      <w:r>
        <w:separator/>
      </w:r>
    </w:p>
  </w:endnote>
  <w:endnote w:type="continuationSeparator" w:id="0">
    <w:p w14:paraId="0B0FFD92" w14:textId="77777777" w:rsidR="00B7349B" w:rsidRDefault="00B73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0BEB96DF-DE2F-4980-A9D7-DFE0A20432F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7DF2F272-78F0-406C-9BCA-0322E1E97DD9}"/>
    <w:embedBold r:id="rId3" w:fontKey="{9107CCF9-2327-453A-9CB3-C426D134B283}"/>
    <w:embedItalic r:id="rId4" w:fontKey="{A5570C2D-FC36-4635-9415-4C2512DD8BFC}"/>
    <w:embedBoldItalic r:id="rId5" w:fontKey="{1A5B0332-5868-4982-9BDA-6CE675B011A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ABEC7870-E7F0-4230-AF9E-1720EE76168E}"/>
    <w:embedBold r:id="rId7" w:fontKey="{6AB4380C-A168-463C-A410-9B7ED5FC032D}"/>
  </w:font>
  <w:font w:name="Cambria">
    <w:panose1 w:val="02040503050406030204"/>
    <w:charset w:val="00"/>
    <w:family w:val="roman"/>
    <w:pitch w:val="variable"/>
    <w:sig w:usb0="E00006FF" w:usb1="420024FF" w:usb2="02000000" w:usb3="00000000" w:csb0="0000019F" w:csb1="00000000"/>
    <w:embedRegular r:id="rId8" w:fontKey="{0AD5B6BE-3DD4-4190-B3B3-403EBD4BE70F}"/>
    <w:embedBold r:id="rId9" w:fontKey="{4640526A-87A4-4BF7-8ADC-77EB314594A3}"/>
    <w:embedBoldItalic r:id="rId10" w:fontKey="{D882456E-C81B-400F-8E7D-274B83EA98AD}"/>
  </w:font>
  <w:font w:name="Segoe UI">
    <w:panose1 w:val="020B0502040204020203"/>
    <w:charset w:val="00"/>
    <w:family w:val="swiss"/>
    <w:pitch w:val="variable"/>
    <w:sig w:usb0="E4002EFF" w:usb1="C000E47F" w:usb2="00000009" w:usb3="00000000" w:csb0="000001FF" w:csb1="00000000"/>
    <w:embedRegular r:id="rId11" w:fontKey="{E335056C-F2F8-4082-AA97-FFD6BED172A5}"/>
  </w:font>
  <w:font w:name="Georgia">
    <w:panose1 w:val="02040502050405020303"/>
    <w:charset w:val="00"/>
    <w:family w:val="roman"/>
    <w:pitch w:val="variable"/>
    <w:sig w:usb0="00000287" w:usb1="00000000" w:usb2="00000000" w:usb3="00000000" w:csb0="0000009F" w:csb1="00000000"/>
    <w:embedItalic r:id="rId12" w:fontKey="{50004C4B-C599-491F-A15A-185D2D95A672}"/>
  </w:font>
  <w:font w:name="Verdana">
    <w:panose1 w:val="020B0604030504040204"/>
    <w:charset w:val="00"/>
    <w:family w:val="swiss"/>
    <w:pitch w:val="variable"/>
    <w:sig w:usb0="A00006FF" w:usb1="4000205B" w:usb2="00000010" w:usb3="00000000" w:csb0="0000019F" w:csb1="00000000"/>
    <w:embedBold r:id="rId13" w:fontKey="{E88A10B4-2D69-49B9-9216-BFE4917B9FE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4953D" w14:textId="3E1A4CA3" w:rsidR="00E91A0F" w:rsidRDefault="00D21C9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603885">
      <w:rPr>
        <w:rFonts w:ascii="Palatino Linotype" w:eastAsia="Palatino Linotype" w:hAnsi="Palatino Linotype" w:cs="Palatino Linotype"/>
        <w:b/>
        <w:bCs/>
        <w:noProof/>
        <w:color w:val="000000"/>
        <w:sz w:val="20"/>
        <w:szCs w:val="20"/>
      </w:rPr>
      <w:t>36</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603885">
      <w:rPr>
        <w:rFonts w:ascii="Palatino Linotype" w:eastAsia="Palatino Linotype" w:hAnsi="Palatino Linotype" w:cs="Palatino Linotype"/>
        <w:b/>
        <w:bCs/>
        <w:noProof/>
        <w:color w:val="000000"/>
        <w:sz w:val="20"/>
        <w:szCs w:val="20"/>
      </w:rPr>
      <w:t>37</w:t>
    </w:r>
    <w:r>
      <w:rPr>
        <w:rFonts w:ascii="Palatino Linotype" w:eastAsia="Palatino Linotype" w:hAnsi="Palatino Linotype" w:cs="Palatino Linotype"/>
        <w:b/>
        <w:bCs/>
        <w:color w:val="000000"/>
        <w:sz w:val="20"/>
        <w:szCs w:val="20"/>
      </w:rPr>
      <w:fldChar w:fldCharType="end"/>
    </w:r>
  </w:p>
  <w:p w14:paraId="402E33AE" w14:textId="77777777" w:rsidR="00E91A0F" w:rsidRDefault="00E91A0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22DB7" w14:textId="382A3F7D" w:rsidR="00E91A0F" w:rsidRDefault="00D21C9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603885">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603885">
      <w:rPr>
        <w:rFonts w:ascii="Palatino Linotype" w:eastAsia="Palatino Linotype" w:hAnsi="Palatino Linotype" w:cs="Palatino Linotype"/>
        <w:b/>
        <w:bCs/>
        <w:noProof/>
        <w:color w:val="000000"/>
        <w:sz w:val="20"/>
        <w:szCs w:val="20"/>
      </w:rPr>
      <w:t>37</w:t>
    </w:r>
    <w:r>
      <w:rPr>
        <w:rFonts w:ascii="Palatino Linotype" w:eastAsia="Palatino Linotype" w:hAnsi="Palatino Linotype" w:cs="Palatino Linotype"/>
        <w:b/>
        <w:bCs/>
        <w:color w:val="000000"/>
        <w:sz w:val="20"/>
        <w:szCs w:val="20"/>
      </w:rPr>
      <w:fldChar w:fldCharType="end"/>
    </w:r>
  </w:p>
  <w:p w14:paraId="2AD0864C" w14:textId="77777777" w:rsidR="00E91A0F" w:rsidRDefault="00E91A0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8B006" w14:textId="77777777" w:rsidR="00B7349B" w:rsidRDefault="00B7349B">
      <w:r>
        <w:separator/>
      </w:r>
    </w:p>
  </w:footnote>
  <w:footnote w:type="continuationSeparator" w:id="0">
    <w:p w14:paraId="308CDAB1" w14:textId="77777777" w:rsidR="00B7349B" w:rsidRDefault="00B7349B">
      <w:r>
        <w:continuationSeparator/>
      </w:r>
    </w:p>
  </w:footnote>
  <w:footnote w:id="1">
    <w:p w14:paraId="1AC3F0D2" w14:textId="77777777" w:rsidR="00E91A0F" w:rsidRDefault="00D21C94">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9FA5685" w14:textId="77777777" w:rsidR="00E91A0F" w:rsidRDefault="00D21C94">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3D608EE" w14:textId="77777777" w:rsidR="00E91A0F" w:rsidRDefault="00D21C94">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521596C" w14:textId="77777777" w:rsidR="00E91A0F" w:rsidRDefault="00D21C94">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25037" w14:textId="77777777" w:rsidR="00E91A0F" w:rsidRDefault="00E91A0F">
    <w:pPr>
      <w:rPr>
        <w:rFonts w:ascii="Cambria" w:eastAsia="Cambria" w:hAnsi="Cambria" w:cs="Cambria"/>
        <w:color w:val="000000"/>
      </w:rPr>
    </w:pPr>
  </w:p>
  <w:tbl>
    <w:tblPr>
      <w:tblStyle w:val="a9"/>
      <w:tblW w:w="7087" w:type="dxa"/>
      <w:tblInd w:w="3261" w:type="dxa"/>
      <w:tblLayout w:type="fixed"/>
      <w:tblLook w:val="0400" w:firstRow="0" w:lastRow="0" w:firstColumn="0" w:lastColumn="0" w:noHBand="0" w:noVBand="1"/>
    </w:tblPr>
    <w:tblGrid>
      <w:gridCol w:w="2489"/>
      <w:gridCol w:w="4598"/>
    </w:tblGrid>
    <w:tr w:rsidR="00E91A0F" w14:paraId="3E5729E2" w14:textId="77777777">
      <w:tc>
        <w:tcPr>
          <w:tcW w:w="2489" w:type="dxa"/>
        </w:tcPr>
        <w:p w14:paraId="1E3C286C" w14:textId="77777777" w:rsidR="00E91A0F" w:rsidRDefault="00D21C9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vAlign w:val="center"/>
        </w:tcPr>
        <w:p w14:paraId="04E773EE" w14:textId="77777777" w:rsidR="00E91A0F" w:rsidRDefault="00D21C94">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11559/INFOEM/IP/RR/2025</w:t>
          </w:r>
          <w:r>
            <w:rPr>
              <w:noProof/>
            </w:rPr>
            <w:drawing>
              <wp:anchor distT="0" distB="0" distL="0" distR="0" simplePos="0" relativeHeight="251658240" behindDoc="1" locked="0" layoutInCell="1" hidden="0" allowOverlap="1" wp14:anchorId="03BDC47B" wp14:editId="22276167">
                <wp:simplePos x="0" y="0"/>
                <wp:positionH relativeFrom="column">
                  <wp:posOffset>-4305298</wp:posOffset>
                </wp:positionH>
                <wp:positionV relativeFrom="paragraph">
                  <wp:posOffset>-666113</wp:posOffset>
                </wp:positionV>
                <wp:extent cx="7809865" cy="10165715"/>
                <wp:effectExtent l="0" t="0" r="0" b="0"/>
                <wp:wrapNone/>
                <wp:docPr id="20832964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E91A0F" w14:paraId="2E3921AC" w14:textId="77777777">
      <w:trPr>
        <w:trHeight w:val="228"/>
      </w:trPr>
      <w:tc>
        <w:tcPr>
          <w:tcW w:w="2489" w:type="dxa"/>
          <w:vAlign w:val="center"/>
        </w:tcPr>
        <w:p w14:paraId="30EE9453" w14:textId="77777777" w:rsidR="00E91A0F" w:rsidRDefault="00D21C9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vAlign w:val="center"/>
        </w:tcPr>
        <w:p w14:paraId="4BBD0A18" w14:textId="77777777" w:rsidR="00E91A0F" w:rsidRDefault="00D21C94">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Sistema Municipal para el Desarrollo Integral de la Familia Municipio de Atenco</w:t>
          </w:r>
        </w:p>
      </w:tc>
    </w:tr>
    <w:tr w:rsidR="00E91A0F" w14:paraId="3C622DE1" w14:textId="77777777">
      <w:tc>
        <w:tcPr>
          <w:tcW w:w="2489" w:type="dxa"/>
          <w:vAlign w:val="center"/>
        </w:tcPr>
        <w:p w14:paraId="60CD8CFD" w14:textId="77777777" w:rsidR="00E91A0F" w:rsidRDefault="00D21C94">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vAlign w:val="center"/>
        </w:tcPr>
        <w:p w14:paraId="48A6A704" w14:textId="77777777" w:rsidR="00E91A0F" w:rsidRDefault="00D21C94">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1D86DA05" w14:textId="77777777" w:rsidR="00E91A0F" w:rsidRDefault="00D21C9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80DB2" w14:textId="77777777" w:rsidR="00E91A0F" w:rsidRDefault="00D21C9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BD0612B" wp14:editId="642C83AA">
          <wp:simplePos x="0" y="0"/>
          <wp:positionH relativeFrom="column">
            <wp:posOffset>-1079483</wp:posOffset>
          </wp:positionH>
          <wp:positionV relativeFrom="paragraph">
            <wp:posOffset>-328910</wp:posOffset>
          </wp:positionV>
          <wp:extent cx="7809865" cy="10165715"/>
          <wp:effectExtent l="0" t="0" r="0" b="0"/>
          <wp:wrapNone/>
          <wp:docPr id="20832964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6945" w:type="dxa"/>
      <w:tblInd w:w="3261" w:type="dxa"/>
      <w:tblLayout w:type="fixed"/>
      <w:tblLook w:val="0400" w:firstRow="0" w:lastRow="0" w:firstColumn="0" w:lastColumn="0" w:noHBand="0" w:noVBand="1"/>
    </w:tblPr>
    <w:tblGrid>
      <w:gridCol w:w="2551"/>
      <w:gridCol w:w="4394"/>
    </w:tblGrid>
    <w:tr w:rsidR="00E91A0F" w14:paraId="4712CA2F" w14:textId="77777777">
      <w:tc>
        <w:tcPr>
          <w:tcW w:w="2551" w:type="dxa"/>
          <w:vAlign w:val="center"/>
        </w:tcPr>
        <w:p w14:paraId="3A924E90" w14:textId="77777777" w:rsidR="00E91A0F" w:rsidRDefault="00D21C9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vAlign w:val="center"/>
        </w:tcPr>
        <w:p w14:paraId="19DCCF8B" w14:textId="1FD1BED6" w:rsidR="00E91A0F" w:rsidRDefault="00D21C94">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11559/INFOEM/IP/RR/2025</w:t>
          </w:r>
        </w:p>
      </w:tc>
    </w:tr>
    <w:tr w:rsidR="00E91A0F" w14:paraId="405C03A0" w14:textId="77777777">
      <w:trPr>
        <w:trHeight w:val="130"/>
      </w:trPr>
      <w:tc>
        <w:tcPr>
          <w:tcW w:w="2551" w:type="dxa"/>
          <w:vAlign w:val="center"/>
        </w:tcPr>
        <w:p w14:paraId="36E339E0" w14:textId="77777777" w:rsidR="00E91A0F" w:rsidRDefault="00D21C9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vAlign w:val="center"/>
        </w:tcPr>
        <w:p w14:paraId="4630272F" w14:textId="77777777" w:rsidR="00E91A0F" w:rsidRDefault="00E91A0F">
          <w:pPr>
            <w:ind w:left="-45" w:right="1444"/>
            <w:jc w:val="both"/>
            <w:rPr>
              <w:rFonts w:ascii="Palatino Linotype" w:eastAsia="Palatino Linotype" w:hAnsi="Palatino Linotype" w:cs="Palatino Linotype"/>
              <w:b/>
              <w:bCs/>
              <w:sz w:val="22"/>
              <w:szCs w:val="22"/>
            </w:rPr>
          </w:pPr>
        </w:p>
      </w:tc>
    </w:tr>
    <w:tr w:rsidR="00E91A0F" w14:paraId="7D62F9EA" w14:textId="77777777">
      <w:trPr>
        <w:trHeight w:val="228"/>
      </w:trPr>
      <w:tc>
        <w:tcPr>
          <w:tcW w:w="2551" w:type="dxa"/>
          <w:vAlign w:val="center"/>
        </w:tcPr>
        <w:p w14:paraId="2503EAE4" w14:textId="77777777" w:rsidR="00E91A0F" w:rsidRDefault="00D21C9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vAlign w:val="center"/>
        </w:tcPr>
        <w:p w14:paraId="2256F789" w14:textId="77777777" w:rsidR="00E91A0F" w:rsidRDefault="00D21C94">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Sistema Municipal para el Desarrollo Integral de la Familia Municipio de Atenco</w:t>
          </w:r>
        </w:p>
      </w:tc>
    </w:tr>
    <w:tr w:rsidR="00E91A0F" w14:paraId="25087CA4" w14:textId="77777777">
      <w:tc>
        <w:tcPr>
          <w:tcW w:w="2551" w:type="dxa"/>
          <w:vAlign w:val="center"/>
        </w:tcPr>
        <w:p w14:paraId="591A7A38" w14:textId="77777777" w:rsidR="00E91A0F" w:rsidRDefault="00D21C9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vAlign w:val="center"/>
        </w:tcPr>
        <w:p w14:paraId="67CFAC0E" w14:textId="77777777" w:rsidR="00E91A0F" w:rsidRDefault="00D21C94">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51A2541A" w14:textId="77777777" w:rsidR="00E91A0F" w:rsidRDefault="00E91A0F">
    <w:pPr>
      <w:pBdr>
        <w:top w:val="nil"/>
        <w:left w:val="nil"/>
        <w:bottom w:val="nil"/>
        <w:right w:val="nil"/>
        <w:between w:val="nil"/>
      </w:pBdr>
      <w:tabs>
        <w:tab w:val="center" w:pos="4252"/>
        <w:tab w:val="right" w:pos="8504"/>
      </w:tabs>
      <w:rPr>
        <w:rFonts w:ascii="Cambria" w:eastAsia="Cambria" w:hAnsi="Cambria" w:cs="Cambria"/>
        <w:color w:val="000000"/>
      </w:rPr>
    </w:pPr>
  </w:p>
  <w:p w14:paraId="5B814FF2" w14:textId="77777777" w:rsidR="00E91A0F" w:rsidRDefault="00E91A0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2026F"/>
    <w:multiLevelType w:val="multilevel"/>
    <w:tmpl w:val="327668F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285FBD"/>
    <w:multiLevelType w:val="hybridMultilevel"/>
    <w:tmpl w:val="05D40E72"/>
    <w:lvl w:ilvl="0" w:tplc="D0363AD2">
      <w:start w:val="3"/>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822F14"/>
    <w:multiLevelType w:val="hybridMultilevel"/>
    <w:tmpl w:val="5546E2B2"/>
    <w:lvl w:ilvl="0" w:tplc="3404E28A">
      <w:start w:val="9"/>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0A1056"/>
    <w:multiLevelType w:val="multilevel"/>
    <w:tmpl w:val="D2C2F230"/>
    <w:lvl w:ilvl="0">
      <w:start w:val="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534E2C"/>
    <w:multiLevelType w:val="multilevel"/>
    <w:tmpl w:val="7C566830"/>
    <w:lvl w:ilvl="0">
      <w:start w:val="2"/>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A0F"/>
    <w:rsid w:val="00325DF5"/>
    <w:rsid w:val="003B2DAF"/>
    <w:rsid w:val="0045455A"/>
    <w:rsid w:val="00603885"/>
    <w:rsid w:val="006675BF"/>
    <w:rsid w:val="0096360E"/>
    <w:rsid w:val="0098513D"/>
    <w:rsid w:val="00987BE7"/>
    <w:rsid w:val="009D1375"/>
    <w:rsid w:val="00B7349B"/>
    <w:rsid w:val="00CF2942"/>
    <w:rsid w:val="00D21C94"/>
    <w:rsid w:val="00E4680F"/>
    <w:rsid w:val="00E91A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88E15"/>
  <w15:docId w15:val="{BA63C578-322A-4C59-9428-A74D6A0B9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0"/>
    <w:tblPr>
      <w:tblStyleRowBandSize w:val="1"/>
      <w:tblStyleColBandSize w:val="1"/>
      <w:tblCellMar>
        <w:left w:w="115" w:type="dxa"/>
        <w:right w:w="115" w:type="dxa"/>
      </w:tblCellMar>
    </w:tblPr>
  </w:style>
  <w:style w:type="table" w:customStyle="1" w:styleId="5">
    <w:name w:val="5"/>
    <w:basedOn w:val="TableNormal5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n+bZUJU2DZ6Os9RDcpY9MLJZAw==">CgMxLjAyCWguMWZvYjl0ZTIJaC40ZDM0b2c4MghoLmdqZGd4czIJaC4zZHk2dmttMgloLjMwajB6bGwyCWguMnM4ZXlvMTIIaC50eWpjd3QyCWguM3pueXNoNzIJaC4xeTgxMHR3Mg5oLjljcWFhbWptdGRncDIOaC5panY5OHBudGNkNXMyCWguMjZpbjFyZzINaC5oN256Yjc5d2xyYTIIaC5sbnhiejkyCWguMTdkcDh2dTIJaC4zcmRjcmpuMgloLjF0M2g1c2Y4AHIhMWdMd2xhLS1lNU1hbXphLTBTa3hlc1JqQ1VYM0JnX2h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8235</Words>
  <Characters>45296</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2025-12-05T19:09:00Z</cp:lastPrinted>
  <dcterms:created xsi:type="dcterms:W3CDTF">2026-01-19T19:30:00Z</dcterms:created>
  <dcterms:modified xsi:type="dcterms:W3CDTF">2026-01-19T19:30:00Z</dcterms:modified>
</cp:coreProperties>
</file>