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9832B"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8A60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veintisiete de agosto de dos mil veinticinco. </w:t>
      </w:r>
    </w:p>
    <w:p w14:paraId="26A9D9FF" w14:textId="77777777" w:rsidR="00414811" w:rsidRPr="008A6047" w:rsidRDefault="008408AC">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8A6047">
        <w:rPr>
          <w:rFonts w:ascii="Palatino Linotype" w:eastAsia="Palatino Linotype" w:hAnsi="Palatino Linotype" w:cs="Palatino Linotype"/>
          <w:b/>
        </w:rPr>
        <w:t>VISTO</w:t>
      </w:r>
      <w:r w:rsidRPr="008A6047">
        <w:rPr>
          <w:rFonts w:ascii="Palatino Linotype" w:eastAsia="Palatino Linotype" w:hAnsi="Palatino Linotype" w:cs="Palatino Linotype"/>
        </w:rPr>
        <w:t xml:space="preserve"> el expediente formado con motivo del recurso de revisión </w:t>
      </w:r>
      <w:r w:rsidRPr="008A6047">
        <w:rPr>
          <w:rFonts w:ascii="Palatino Linotype" w:eastAsia="Palatino Linotype" w:hAnsi="Palatino Linotype" w:cs="Palatino Linotype"/>
          <w:b/>
        </w:rPr>
        <w:t>06784/INFOEM/IP/RR/2025</w:t>
      </w:r>
      <w:r w:rsidRPr="008A6047">
        <w:rPr>
          <w:rFonts w:ascii="Palatino Linotype" w:eastAsia="Palatino Linotype" w:hAnsi="Palatino Linotype" w:cs="Palatino Linotype"/>
        </w:rPr>
        <w:t>, interpuesto por</w:t>
      </w:r>
      <w:r w:rsidRPr="008A6047">
        <w:rPr>
          <w:rFonts w:ascii="Palatino Linotype" w:eastAsia="Palatino Linotype" w:hAnsi="Palatino Linotype" w:cs="Palatino Linotype"/>
          <w:b/>
        </w:rPr>
        <w:t xml:space="preserve"> una persona que no proporcionó nombre o seudónimo,</w:t>
      </w:r>
      <w:r w:rsidRPr="008A6047">
        <w:rPr>
          <w:rFonts w:ascii="Palatino Linotype" w:eastAsia="Palatino Linotype" w:hAnsi="Palatino Linotype" w:cs="Palatino Linotype"/>
        </w:rPr>
        <w:t xml:space="preserve"> en lo sucesivo</w:t>
      </w:r>
      <w:r w:rsidRPr="008A6047">
        <w:rPr>
          <w:rFonts w:ascii="Palatino Linotype" w:eastAsia="Palatino Linotype" w:hAnsi="Palatino Linotype" w:cs="Palatino Linotype"/>
          <w:b/>
        </w:rPr>
        <w:t xml:space="preserve"> </w:t>
      </w:r>
      <w:r w:rsidRPr="008A6047">
        <w:rPr>
          <w:rFonts w:ascii="Palatino Linotype" w:eastAsia="Palatino Linotype" w:hAnsi="Palatino Linotype" w:cs="Palatino Linotype"/>
        </w:rPr>
        <w:t xml:space="preserve">la parte </w:t>
      </w:r>
      <w:r w:rsidRPr="008A6047">
        <w:rPr>
          <w:rFonts w:ascii="Palatino Linotype" w:eastAsia="Palatino Linotype" w:hAnsi="Palatino Linotype" w:cs="Palatino Linotype"/>
          <w:b/>
        </w:rPr>
        <w:t>Recurrente,</w:t>
      </w:r>
      <w:r w:rsidRPr="008A6047">
        <w:rPr>
          <w:rFonts w:ascii="Palatino Linotype" w:eastAsia="Palatino Linotype" w:hAnsi="Palatino Linotype" w:cs="Palatino Linotype"/>
        </w:rPr>
        <w:t xml:space="preserve"> en contra de la respuesta a la solicitud de información con número de folio</w:t>
      </w:r>
      <w:r w:rsidRPr="008A6047">
        <w:rPr>
          <w:rFonts w:ascii="Palatino Linotype" w:eastAsia="Palatino Linotype" w:hAnsi="Palatino Linotype" w:cs="Palatino Linotype"/>
          <w:b/>
        </w:rPr>
        <w:t xml:space="preserve"> 00117/DIFHUEHUET/IP/2025, </w:t>
      </w:r>
      <w:r w:rsidRPr="008A6047">
        <w:rPr>
          <w:rFonts w:ascii="Palatino Linotype" w:eastAsia="Palatino Linotype" w:hAnsi="Palatino Linotype" w:cs="Palatino Linotype"/>
        </w:rPr>
        <w:t xml:space="preserve">por parte del </w:t>
      </w:r>
      <w:r w:rsidRPr="008A6047">
        <w:rPr>
          <w:rFonts w:ascii="Palatino Linotype" w:eastAsia="Palatino Linotype" w:hAnsi="Palatino Linotype" w:cs="Palatino Linotype"/>
          <w:b/>
        </w:rPr>
        <w:t xml:space="preserve">Sistema Municipal Para el Desarrollo Integral de la Familia de Huehuetoca, </w:t>
      </w:r>
      <w:r w:rsidRPr="008A6047">
        <w:rPr>
          <w:rFonts w:ascii="Palatino Linotype" w:eastAsia="Palatino Linotype" w:hAnsi="Palatino Linotype" w:cs="Palatino Linotype"/>
        </w:rPr>
        <w:t xml:space="preserve">en lo sucesivo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 xml:space="preserve">se procede a dictar la presente resolución con base en los siguientes: </w:t>
      </w:r>
    </w:p>
    <w:p w14:paraId="5D1CC927" w14:textId="77777777" w:rsidR="00414811" w:rsidRPr="008A6047" w:rsidRDefault="008408AC">
      <w:pPr>
        <w:spacing w:before="240" w:after="240" w:line="360" w:lineRule="auto"/>
        <w:jc w:val="center"/>
        <w:rPr>
          <w:rFonts w:ascii="Palatino Linotype" w:eastAsia="Palatino Linotype" w:hAnsi="Palatino Linotype" w:cs="Palatino Linotype"/>
          <w:b/>
        </w:rPr>
      </w:pPr>
      <w:r w:rsidRPr="008A6047">
        <w:rPr>
          <w:rFonts w:ascii="Palatino Linotype" w:eastAsia="Palatino Linotype" w:hAnsi="Palatino Linotype" w:cs="Palatino Linotype"/>
          <w:b/>
        </w:rPr>
        <w:t>I. A N T E C E D E N T E S</w:t>
      </w:r>
    </w:p>
    <w:p w14:paraId="345DBBE1"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8A6047">
        <w:rPr>
          <w:rFonts w:ascii="Palatino Linotype" w:eastAsia="Palatino Linotype" w:hAnsi="Palatino Linotype" w:cs="Palatino Linotype"/>
          <w:b/>
        </w:rPr>
        <w:t>1. Solicitud de acceso a la información.</w:t>
      </w:r>
      <w:r w:rsidRPr="008A6047">
        <w:rPr>
          <w:rFonts w:ascii="Palatino Linotype" w:eastAsia="Palatino Linotype" w:hAnsi="Palatino Linotype" w:cs="Palatino Linotype"/>
        </w:rPr>
        <w:t xml:space="preserve"> El </w:t>
      </w:r>
      <w:r w:rsidRPr="008A6047">
        <w:rPr>
          <w:rFonts w:ascii="Palatino Linotype" w:eastAsia="Palatino Linotype" w:hAnsi="Palatino Linotype" w:cs="Palatino Linotype"/>
          <w:b/>
        </w:rPr>
        <w:t>veintidós de mayo de dos mil veinticinco,</w:t>
      </w:r>
      <w:r w:rsidRPr="008A6047">
        <w:rPr>
          <w:rFonts w:ascii="Palatino Linotype" w:eastAsia="Palatino Linotype" w:hAnsi="Palatino Linotype" w:cs="Palatino Linotype"/>
        </w:rPr>
        <w:t xml:space="preserve"> la parte </w:t>
      </w:r>
      <w:r w:rsidRPr="008A6047">
        <w:rPr>
          <w:rFonts w:ascii="Palatino Linotype" w:eastAsia="Palatino Linotype" w:hAnsi="Palatino Linotype" w:cs="Palatino Linotype"/>
          <w:b/>
        </w:rPr>
        <w:t xml:space="preserve">Recurrente </w:t>
      </w:r>
      <w:r w:rsidRPr="008A6047">
        <w:rPr>
          <w:rFonts w:ascii="Palatino Linotype" w:eastAsia="Palatino Linotype" w:hAnsi="Palatino Linotype" w:cs="Palatino Linotype"/>
        </w:rPr>
        <w:t xml:space="preserve">presentó la solicitud de acceso a la información pública ante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a través del Sistema de Acceso a la Información Mexiquense, en lo subsecuente el </w:t>
      </w:r>
      <w:r w:rsidRPr="008A6047">
        <w:rPr>
          <w:rFonts w:ascii="Palatino Linotype" w:eastAsia="Palatino Linotype" w:hAnsi="Palatino Linotype" w:cs="Palatino Linotype"/>
          <w:b/>
        </w:rPr>
        <w:t>SAIMEX,</w:t>
      </w:r>
      <w:r w:rsidRPr="008A6047">
        <w:rPr>
          <w:rFonts w:ascii="Palatino Linotype" w:eastAsia="Palatino Linotype" w:hAnsi="Palatino Linotype" w:cs="Palatino Linotype"/>
        </w:rPr>
        <w:t xml:space="preserve"> mediante la cual requirió lo siguiente:</w:t>
      </w:r>
    </w:p>
    <w:p w14:paraId="0AFD70FF" w14:textId="77777777" w:rsidR="00414811" w:rsidRPr="008A6047" w:rsidRDefault="008408AC">
      <w:pPr>
        <w:spacing w:before="120" w:after="120"/>
        <w:ind w:left="851" w:right="902"/>
        <w:jc w:val="both"/>
        <w:rPr>
          <w:rFonts w:ascii="Palatino Linotype" w:eastAsia="Palatino Linotype" w:hAnsi="Palatino Linotype" w:cs="Palatino Linotype"/>
          <w:b/>
          <w:i/>
          <w:sz w:val="22"/>
          <w:szCs w:val="22"/>
        </w:rPr>
      </w:pPr>
      <w:r w:rsidRPr="008A6047">
        <w:rPr>
          <w:rFonts w:ascii="Palatino Linotype" w:eastAsia="Palatino Linotype" w:hAnsi="Palatino Linotype" w:cs="Palatino Linotype"/>
          <w:i/>
          <w:sz w:val="22"/>
          <w:szCs w:val="22"/>
        </w:rPr>
        <w:t xml:space="preserve"> “SOLICITO SABER EL ULTIMO GRADO DE ESTUDIOS, EMITIENDO EL DOCUMENTO RESPECTIVO (CERTIFICADO DE ESTUDIOS, TITULO O CEDULA PROFESIONAL) DEL AREA RESPONSABLE DE RECURSOS HUMANOS, DE LA DIRECCION GENERAL, DEL AREA DE TRANSPARENCIA, DE LA UIPPE Y DEL AREA DE ADQUISICIONES.</w:t>
      </w:r>
      <w:r w:rsidRPr="008A6047">
        <w:rPr>
          <w:rFonts w:ascii="Palatino Linotype" w:eastAsia="Palatino Linotype" w:hAnsi="Palatino Linotype" w:cs="Palatino Linotype"/>
          <w:b/>
          <w:i/>
          <w:sz w:val="22"/>
          <w:szCs w:val="22"/>
        </w:rPr>
        <w:t>”</w:t>
      </w:r>
      <w:r w:rsidRPr="008A6047">
        <w:rPr>
          <w:rFonts w:ascii="Palatino Linotype" w:eastAsia="Palatino Linotype" w:hAnsi="Palatino Linotype" w:cs="Palatino Linotype"/>
          <w:i/>
          <w:sz w:val="22"/>
          <w:szCs w:val="22"/>
        </w:rPr>
        <w:t xml:space="preserve"> (sic) </w:t>
      </w:r>
    </w:p>
    <w:p w14:paraId="37E49A57"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8A6047">
        <w:rPr>
          <w:rFonts w:ascii="Palatino Linotype" w:eastAsia="Palatino Linotype" w:hAnsi="Palatino Linotype" w:cs="Palatino Linotype"/>
          <w:b/>
        </w:rPr>
        <w:t>Modalidad de Entrega:</w:t>
      </w:r>
      <w:r w:rsidRPr="008A6047">
        <w:rPr>
          <w:rFonts w:ascii="Palatino Linotype" w:eastAsia="Palatino Linotype" w:hAnsi="Palatino Linotype" w:cs="Palatino Linotype"/>
        </w:rPr>
        <w:t xml:space="preserve"> a través del</w:t>
      </w:r>
      <w:r w:rsidRPr="008A6047">
        <w:rPr>
          <w:rFonts w:ascii="Palatino Linotype" w:eastAsia="Palatino Linotype" w:hAnsi="Palatino Linotype" w:cs="Palatino Linotype"/>
          <w:b/>
        </w:rPr>
        <w:t xml:space="preserve"> SAIMEX.</w:t>
      </w:r>
    </w:p>
    <w:p w14:paraId="5801BBD1"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b/>
        </w:rPr>
        <w:lastRenderedPageBreak/>
        <w:t xml:space="preserve">2. Respuesta. </w:t>
      </w:r>
      <w:r w:rsidRPr="008A6047">
        <w:rPr>
          <w:rFonts w:ascii="Palatino Linotype" w:eastAsia="Palatino Linotype" w:hAnsi="Palatino Linotype" w:cs="Palatino Linotype"/>
        </w:rPr>
        <w:t xml:space="preserve">El </w:t>
      </w:r>
      <w:r w:rsidRPr="008A6047">
        <w:rPr>
          <w:rFonts w:ascii="Palatino Linotype" w:eastAsia="Palatino Linotype" w:hAnsi="Palatino Linotype" w:cs="Palatino Linotype"/>
          <w:b/>
        </w:rPr>
        <w:t>nueve de junio de dos mil veinticinco,</w:t>
      </w:r>
      <w:r w:rsidRPr="008A6047">
        <w:rPr>
          <w:rFonts w:ascii="Palatino Linotype" w:eastAsia="Palatino Linotype" w:hAnsi="Palatino Linotype" w:cs="Palatino Linotype"/>
        </w:rPr>
        <w:t xml:space="preserve">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558F3450" w14:textId="77777777" w:rsidR="00414811" w:rsidRPr="008A6047" w:rsidRDefault="008408AC">
      <w:pPr>
        <w:spacing w:before="240" w:after="24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“…SE ENVIA RESPUESTA A SU SOLICITUD...” (sic)</w:t>
      </w:r>
    </w:p>
    <w:p w14:paraId="71D6D6C6" w14:textId="77777777" w:rsidR="00414811" w:rsidRPr="008A6047" w:rsidRDefault="008408AC">
      <w:pPr>
        <w:spacing w:before="240" w:after="240" w:line="360" w:lineRule="auto"/>
        <w:ind w:right="49"/>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adjuntó el oficio número 0043/SMDIFHUEHUE/RH/2025, mediante el cual la Jefa de Recursos Humanos, manifestó que la información solicitada sería entregada en las oficinas centrales del Sistema Municipal DIF de Huehuetoca una vez cubriendo el costo de estas.</w:t>
      </w:r>
    </w:p>
    <w:p w14:paraId="59FA517B" w14:textId="77777777" w:rsidR="00414811" w:rsidRPr="008A6047" w:rsidRDefault="008408AC">
      <w:pPr>
        <w:spacing w:before="240" w:after="240" w:line="360" w:lineRule="auto"/>
        <w:ind w:right="49"/>
        <w:jc w:val="both"/>
        <w:rPr>
          <w:rFonts w:ascii="Palatino Linotype" w:eastAsia="Palatino Linotype" w:hAnsi="Palatino Linotype" w:cs="Palatino Linotype"/>
        </w:rPr>
      </w:pPr>
      <w:r w:rsidRPr="008A6047">
        <w:rPr>
          <w:rFonts w:ascii="Palatino Linotype" w:eastAsia="Palatino Linotype" w:hAnsi="Palatino Linotype" w:cs="Palatino Linotype"/>
          <w:b/>
        </w:rPr>
        <w:t xml:space="preserve">3. Interposición del recurso de revisión. </w:t>
      </w:r>
      <w:r w:rsidRPr="008A6047">
        <w:rPr>
          <w:rFonts w:ascii="Palatino Linotype" w:eastAsia="Palatino Linotype" w:hAnsi="Palatino Linotype" w:cs="Palatino Linotype"/>
        </w:rPr>
        <w:t xml:space="preserve">Inconforme con los términos de la respuesta emitida por parte del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el </w:t>
      </w:r>
      <w:r w:rsidRPr="008A6047">
        <w:rPr>
          <w:rFonts w:ascii="Palatino Linotype" w:eastAsia="Palatino Linotype" w:hAnsi="Palatino Linotype" w:cs="Palatino Linotype"/>
          <w:b/>
        </w:rPr>
        <w:t>diez de junio de dos mil veinticinco,</w:t>
      </w:r>
      <w:r w:rsidRPr="008A6047">
        <w:rPr>
          <w:rFonts w:ascii="Palatino Linotype" w:eastAsia="Palatino Linotype" w:hAnsi="Palatino Linotype" w:cs="Palatino Linotype"/>
        </w:rPr>
        <w:t xml:space="preserve"> la parte </w:t>
      </w:r>
      <w:r w:rsidRPr="008A6047">
        <w:rPr>
          <w:rFonts w:ascii="Palatino Linotype" w:eastAsia="Palatino Linotype" w:hAnsi="Palatino Linotype" w:cs="Palatino Linotype"/>
          <w:b/>
        </w:rPr>
        <w:t>Recurrente</w:t>
      </w:r>
      <w:r w:rsidRPr="008A6047">
        <w:rPr>
          <w:rFonts w:ascii="Palatino Linotype" w:eastAsia="Palatino Linotype" w:hAnsi="Palatino Linotype" w:cs="Palatino Linotype"/>
        </w:rPr>
        <w:t xml:space="preserve"> interpuso el recurso de revisión a través de </w:t>
      </w:r>
      <w:r w:rsidRPr="008A6047">
        <w:rPr>
          <w:rFonts w:ascii="Palatino Linotype" w:eastAsia="Palatino Linotype" w:hAnsi="Palatino Linotype" w:cs="Palatino Linotype"/>
          <w:b/>
        </w:rPr>
        <w:t xml:space="preserve">SAIMEX, </w:t>
      </w:r>
      <w:r w:rsidRPr="008A6047">
        <w:rPr>
          <w:rFonts w:ascii="Palatino Linotype" w:eastAsia="Palatino Linotype" w:hAnsi="Palatino Linotype" w:cs="Palatino Linotype"/>
        </w:rPr>
        <w:t>en donde se manifestó de la siguiente manera:</w:t>
      </w:r>
    </w:p>
    <w:p w14:paraId="7314B6B8" w14:textId="77777777" w:rsidR="00414811" w:rsidRPr="008A6047" w:rsidRDefault="008408AC">
      <w:pPr>
        <w:spacing w:before="240" w:after="240" w:line="360" w:lineRule="auto"/>
        <w:ind w:right="49"/>
        <w:jc w:val="both"/>
        <w:rPr>
          <w:rFonts w:ascii="Palatino Linotype" w:eastAsia="Palatino Linotype" w:hAnsi="Palatino Linotype" w:cs="Palatino Linotype"/>
          <w:b/>
        </w:rPr>
      </w:pPr>
      <w:r w:rsidRPr="008A6047">
        <w:rPr>
          <w:rFonts w:ascii="Palatino Linotype" w:eastAsia="Palatino Linotype" w:hAnsi="Palatino Linotype" w:cs="Palatino Linotype"/>
          <w:b/>
        </w:rPr>
        <w:t xml:space="preserve">Acto impugnado: </w:t>
      </w:r>
    </w:p>
    <w:p w14:paraId="7CB2A547" w14:textId="77777777" w:rsidR="00414811" w:rsidRPr="008A6047" w:rsidRDefault="008408AC">
      <w:pPr>
        <w:tabs>
          <w:tab w:val="left" w:pos="2745"/>
        </w:tabs>
        <w:spacing w:before="240" w:after="24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“Se negaron a proporcionar lo solicitado por la vía que se requirió, Vía Sistema de Acceso a la Información Mexiquense (SAIMEX), no tienen </w:t>
      </w:r>
      <w:proofErr w:type="spellStart"/>
      <w:r w:rsidRPr="008A6047">
        <w:rPr>
          <w:rFonts w:ascii="Palatino Linotype" w:eastAsia="Palatino Linotype" w:hAnsi="Palatino Linotype" w:cs="Palatino Linotype"/>
          <w:i/>
          <w:sz w:val="22"/>
          <w:szCs w:val="22"/>
        </w:rPr>
        <w:t>porque</w:t>
      </w:r>
      <w:proofErr w:type="spellEnd"/>
      <w:r w:rsidRPr="008A6047">
        <w:rPr>
          <w:rFonts w:ascii="Palatino Linotype" w:eastAsia="Palatino Linotype" w:hAnsi="Palatino Linotype" w:cs="Palatino Linotype"/>
          <w:i/>
          <w:sz w:val="22"/>
          <w:szCs w:val="22"/>
        </w:rPr>
        <w:t xml:space="preserve"> entregar la respuesta por la vía que ellos digan. el titular dela unidad de transparencia debe de revisar los </w:t>
      </w:r>
      <w:proofErr w:type="gramStart"/>
      <w:r w:rsidRPr="008A6047">
        <w:rPr>
          <w:rFonts w:ascii="Palatino Linotype" w:eastAsia="Palatino Linotype" w:hAnsi="Palatino Linotype" w:cs="Palatino Linotype"/>
          <w:i/>
          <w:sz w:val="22"/>
          <w:szCs w:val="22"/>
        </w:rPr>
        <w:t>oficios(</w:t>
      </w:r>
      <w:proofErr w:type="gramEnd"/>
      <w:r w:rsidRPr="008A6047">
        <w:rPr>
          <w:rFonts w:ascii="Palatino Linotype" w:eastAsia="Palatino Linotype" w:hAnsi="Palatino Linotype" w:cs="Palatino Linotype"/>
          <w:i/>
          <w:sz w:val="22"/>
          <w:szCs w:val="22"/>
        </w:rPr>
        <w:t>cosa que dudo) que le contestan sus servidores públicos, y si son correctos enviarlos al ciudadano, de lo contrario no los debe enviar. Es por ello que solicito se me entregue la información en el formato que se requirió, (Sistema de Acceso a la Información Mexiquense (SAIMEX))” (sic)</w:t>
      </w:r>
    </w:p>
    <w:p w14:paraId="6C7B9F7C" w14:textId="77777777" w:rsidR="00414811" w:rsidRPr="008A6047" w:rsidRDefault="008408AC">
      <w:pPr>
        <w:spacing w:line="360" w:lineRule="auto"/>
        <w:jc w:val="both"/>
        <w:rPr>
          <w:rFonts w:ascii="Palatino Linotype" w:eastAsia="Palatino Linotype" w:hAnsi="Palatino Linotype" w:cs="Palatino Linotype"/>
        </w:rPr>
      </w:pPr>
      <w:bookmarkStart w:id="4" w:name="_heading=h.30j0zll" w:colFirst="0" w:colLast="0"/>
      <w:bookmarkEnd w:id="4"/>
      <w:r w:rsidRPr="008A6047">
        <w:rPr>
          <w:rFonts w:ascii="Palatino Linotype" w:eastAsia="Palatino Linotype" w:hAnsi="Palatino Linotype" w:cs="Palatino Linotype"/>
          <w:b/>
        </w:rPr>
        <w:t>Y, Razones o motivos de inconformidad</w:t>
      </w:r>
      <w:r w:rsidRPr="008A6047">
        <w:rPr>
          <w:rFonts w:ascii="Palatino Linotype" w:eastAsia="Palatino Linotype" w:hAnsi="Palatino Linotype" w:cs="Palatino Linotype"/>
        </w:rPr>
        <w:t>:</w:t>
      </w:r>
    </w:p>
    <w:p w14:paraId="5DA23A47" w14:textId="77777777" w:rsidR="00414811" w:rsidRPr="008A6047" w:rsidRDefault="008408AC">
      <w:pPr>
        <w:tabs>
          <w:tab w:val="left" w:pos="2745"/>
        </w:tabs>
        <w:spacing w:before="240" w:after="24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“Se negaron a proporcionar lo solicitado por la vía que se requirió, Vía Sistema de Acceso a la Información Mexiquense (SAIMEX), no tienen </w:t>
      </w:r>
      <w:proofErr w:type="spellStart"/>
      <w:r w:rsidRPr="008A6047">
        <w:rPr>
          <w:rFonts w:ascii="Palatino Linotype" w:eastAsia="Palatino Linotype" w:hAnsi="Palatino Linotype" w:cs="Palatino Linotype"/>
          <w:i/>
          <w:sz w:val="22"/>
          <w:szCs w:val="22"/>
        </w:rPr>
        <w:t>porque</w:t>
      </w:r>
      <w:proofErr w:type="spellEnd"/>
      <w:r w:rsidRPr="008A6047">
        <w:rPr>
          <w:rFonts w:ascii="Palatino Linotype" w:eastAsia="Palatino Linotype" w:hAnsi="Palatino Linotype" w:cs="Palatino Linotype"/>
          <w:i/>
          <w:sz w:val="22"/>
          <w:szCs w:val="22"/>
        </w:rPr>
        <w:t xml:space="preserve"> entregar la respuesta por la vía que ellos digan. el titular dela unidad de transparencia debe </w:t>
      </w:r>
      <w:r w:rsidRPr="008A6047">
        <w:rPr>
          <w:rFonts w:ascii="Palatino Linotype" w:eastAsia="Palatino Linotype" w:hAnsi="Palatino Linotype" w:cs="Palatino Linotype"/>
          <w:i/>
          <w:sz w:val="22"/>
          <w:szCs w:val="22"/>
        </w:rPr>
        <w:lastRenderedPageBreak/>
        <w:t xml:space="preserve">de revisar los </w:t>
      </w:r>
      <w:proofErr w:type="gramStart"/>
      <w:r w:rsidRPr="008A6047">
        <w:rPr>
          <w:rFonts w:ascii="Palatino Linotype" w:eastAsia="Palatino Linotype" w:hAnsi="Palatino Linotype" w:cs="Palatino Linotype"/>
          <w:i/>
          <w:sz w:val="22"/>
          <w:szCs w:val="22"/>
        </w:rPr>
        <w:t>oficios(</w:t>
      </w:r>
      <w:proofErr w:type="gramEnd"/>
      <w:r w:rsidRPr="008A6047">
        <w:rPr>
          <w:rFonts w:ascii="Palatino Linotype" w:eastAsia="Palatino Linotype" w:hAnsi="Palatino Linotype" w:cs="Palatino Linotype"/>
          <w:i/>
          <w:sz w:val="22"/>
          <w:szCs w:val="22"/>
        </w:rPr>
        <w:t>cosa que dudo) que le contestan sus servidores públicos, y si son correctos enviarlos al ciudadano, de lo contrario no los debe enviar. Es por ello que solicito se me entregue la información en el formato que se requirió, (Sistema de Acceso a la Información Mexiquense (SAIMEX))” (sic)</w:t>
      </w:r>
    </w:p>
    <w:p w14:paraId="33A294BA" w14:textId="77777777" w:rsidR="00414811" w:rsidRPr="008A6047" w:rsidRDefault="008408AC">
      <w:pPr>
        <w:spacing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b/>
        </w:rPr>
        <w:t xml:space="preserve">4. Turno. </w:t>
      </w:r>
      <w:r w:rsidRPr="008A60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A6047">
        <w:rPr>
          <w:rFonts w:ascii="Palatino Linotype" w:eastAsia="Palatino Linotype" w:hAnsi="Palatino Linotype" w:cs="Palatino Linotype"/>
          <w:b/>
        </w:rPr>
        <w:t xml:space="preserve">Guadalupe Ramírez Peña, </w:t>
      </w:r>
      <w:r w:rsidRPr="008A6047">
        <w:rPr>
          <w:rFonts w:ascii="Palatino Linotype" w:eastAsia="Palatino Linotype" w:hAnsi="Palatino Linotype" w:cs="Palatino Linotype"/>
        </w:rPr>
        <w:t xml:space="preserve">a efecto de que analizara sobre su admisión o su </w:t>
      </w:r>
      <w:proofErr w:type="spellStart"/>
      <w:r w:rsidRPr="008A6047">
        <w:rPr>
          <w:rFonts w:ascii="Palatino Linotype" w:eastAsia="Palatino Linotype" w:hAnsi="Palatino Linotype" w:cs="Palatino Linotype"/>
        </w:rPr>
        <w:t>desechamiento</w:t>
      </w:r>
      <w:proofErr w:type="spellEnd"/>
      <w:r w:rsidRPr="008A6047">
        <w:rPr>
          <w:rFonts w:ascii="Palatino Linotype" w:eastAsia="Palatino Linotype" w:hAnsi="Palatino Linotype" w:cs="Palatino Linotype"/>
        </w:rPr>
        <w:t>.</w:t>
      </w:r>
    </w:p>
    <w:p w14:paraId="7F3082BA" w14:textId="77777777" w:rsidR="00414811" w:rsidRPr="008A6047" w:rsidRDefault="008408AC">
      <w:pPr>
        <w:spacing w:before="240" w:after="240" w:line="360" w:lineRule="auto"/>
        <w:jc w:val="both"/>
        <w:rPr>
          <w:rFonts w:ascii="Palatino Linotype" w:eastAsia="Palatino Linotype" w:hAnsi="Palatino Linotype" w:cs="Palatino Linotype"/>
          <w:b/>
        </w:rPr>
      </w:pPr>
      <w:r w:rsidRPr="008A6047">
        <w:rPr>
          <w:rFonts w:ascii="Palatino Linotype" w:eastAsia="Palatino Linotype" w:hAnsi="Palatino Linotype" w:cs="Palatino Linotype"/>
          <w:b/>
        </w:rPr>
        <w:t>5. Admisión del Recurso de revisión.</w:t>
      </w:r>
      <w:r w:rsidRPr="008A6047">
        <w:rPr>
          <w:rFonts w:ascii="Palatino Linotype" w:eastAsia="Palatino Linotype" w:hAnsi="Palatino Linotype" w:cs="Palatino Linotype"/>
        </w:rPr>
        <w:t xml:space="preserve"> El</w:t>
      </w:r>
      <w:r w:rsidRPr="008A6047">
        <w:rPr>
          <w:rFonts w:ascii="Palatino Linotype" w:eastAsia="Palatino Linotype" w:hAnsi="Palatino Linotype" w:cs="Palatino Linotype"/>
          <w:b/>
        </w:rPr>
        <w:t xml:space="preserve"> trece de junio de dos mil veinticinco, </w:t>
      </w:r>
      <w:r w:rsidRPr="008A60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presentara su informe justificado.</w:t>
      </w:r>
    </w:p>
    <w:p w14:paraId="03140DA3"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8A6047">
        <w:rPr>
          <w:rFonts w:ascii="Palatino Linotype" w:eastAsia="Palatino Linotype" w:hAnsi="Palatino Linotype" w:cs="Palatino Linotype"/>
          <w:b/>
        </w:rPr>
        <w:t>6. Manifestaciones</w:t>
      </w:r>
      <w:r w:rsidRPr="008A6047">
        <w:rPr>
          <w:rFonts w:ascii="Palatino Linotype" w:eastAsia="Palatino Linotype" w:hAnsi="Palatino Linotype" w:cs="Palatino Linotype"/>
        </w:rPr>
        <w:t xml:space="preserve">. De las constancias que obran en el expediente electrónico del SAIMEX se desprende que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no rindió su Informe Justificado, del mismo modo la parte</w:t>
      </w:r>
      <w:r w:rsidRPr="008A6047">
        <w:rPr>
          <w:rFonts w:ascii="Palatino Linotype" w:eastAsia="Palatino Linotype" w:hAnsi="Palatino Linotype" w:cs="Palatino Linotype"/>
          <w:b/>
        </w:rPr>
        <w:t xml:space="preserve"> Recurrente</w:t>
      </w:r>
      <w:r w:rsidRPr="008A6047">
        <w:rPr>
          <w:rFonts w:ascii="Palatino Linotype" w:eastAsia="Palatino Linotype" w:hAnsi="Palatino Linotype" w:cs="Palatino Linotype"/>
        </w:rPr>
        <w:t xml:space="preserve"> omitió realizar manifestaciones, como se observa a continuación:</w:t>
      </w:r>
    </w:p>
    <w:p w14:paraId="335BE7A1"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noProof/>
        </w:rPr>
        <w:lastRenderedPageBreak/>
        <w:drawing>
          <wp:inline distT="0" distB="0" distL="0" distR="0" wp14:anchorId="177AECDA" wp14:editId="61DD21DD">
            <wp:extent cx="5612130" cy="1574165"/>
            <wp:effectExtent l="0" t="0" r="0" b="0"/>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574165"/>
                    </a:xfrm>
                    <a:prstGeom prst="rect">
                      <a:avLst/>
                    </a:prstGeom>
                    <a:ln/>
                  </pic:spPr>
                </pic:pic>
              </a:graphicData>
            </a:graphic>
          </wp:inline>
        </w:drawing>
      </w:r>
      <w:r w:rsidRPr="008A6047">
        <w:rPr>
          <w:rFonts w:ascii="Palatino Linotype" w:eastAsia="Palatino Linotype" w:hAnsi="Palatino Linotype" w:cs="Palatino Linotype"/>
        </w:rPr>
        <w:t xml:space="preserve"> </w:t>
      </w:r>
    </w:p>
    <w:p w14:paraId="67D1D4EB"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b/>
        </w:rPr>
        <w:t xml:space="preserve">7. Cierre de instrucción. </w:t>
      </w:r>
      <w:r w:rsidRPr="008A604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8A6047">
        <w:rPr>
          <w:rFonts w:ascii="Palatino Linotype" w:eastAsia="Palatino Linotype" w:hAnsi="Palatino Linotype" w:cs="Palatino Linotype"/>
          <w:b/>
        </w:rPr>
        <w:t>cinco de agosto de dos mil veinticinco</w:t>
      </w:r>
      <w:r w:rsidRPr="008A604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7E22C82" w14:textId="77777777" w:rsidR="00414811" w:rsidRPr="008A6047" w:rsidRDefault="008408AC">
      <w:pPr>
        <w:spacing w:before="240" w:after="240" w:line="360" w:lineRule="auto"/>
        <w:jc w:val="both"/>
        <w:rPr>
          <w:rFonts w:ascii="Palatino Linotype" w:eastAsia="Palatino Linotype" w:hAnsi="Palatino Linotype" w:cs="Palatino Linotype"/>
          <w:b/>
        </w:rPr>
      </w:pPr>
      <w:r w:rsidRPr="008A6047">
        <w:rPr>
          <w:rFonts w:ascii="Palatino Linotype" w:eastAsia="Palatino Linotype" w:hAnsi="Palatino Linotype" w:cs="Palatino Linotype"/>
          <w:b/>
        </w:rPr>
        <w:t>8</w:t>
      </w:r>
      <w:r w:rsidRPr="008A6047">
        <w:rPr>
          <w:rFonts w:ascii="Palatino Linotype" w:eastAsia="Palatino Linotype" w:hAnsi="Palatino Linotype" w:cs="Palatino Linotype"/>
        </w:rPr>
        <w:t xml:space="preserve">. </w:t>
      </w:r>
      <w:r w:rsidRPr="008A6047">
        <w:rPr>
          <w:rFonts w:ascii="Palatino Linotype" w:eastAsia="Palatino Linotype" w:hAnsi="Palatino Linotype" w:cs="Palatino Linotype"/>
          <w:b/>
        </w:rPr>
        <w:t>Ampliación del término para resolver</w:t>
      </w:r>
      <w:r w:rsidRPr="008A6047">
        <w:rPr>
          <w:rFonts w:ascii="Palatino Linotype" w:eastAsia="Palatino Linotype" w:hAnsi="Palatino Linotype" w:cs="Palatino Linotype"/>
        </w:rPr>
        <w:t xml:space="preserve">. El </w:t>
      </w:r>
      <w:r w:rsidRPr="008A6047">
        <w:rPr>
          <w:rFonts w:ascii="Palatino Linotype" w:eastAsia="Palatino Linotype" w:hAnsi="Palatino Linotype" w:cs="Palatino Linotype"/>
          <w:b/>
        </w:rPr>
        <w:t>dieciocho de agosto de dos mil veinticinco</w:t>
      </w:r>
      <w:r w:rsidRPr="008A604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AD28212"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D4B658"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8A6047">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3642496"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DC676F"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978D819" w14:textId="77777777" w:rsidR="00414811" w:rsidRPr="008A6047" w:rsidRDefault="008408AC">
      <w:pPr>
        <w:spacing w:before="240" w:after="240" w:line="360" w:lineRule="auto"/>
        <w:jc w:val="both"/>
        <w:rPr>
          <w:rFonts w:ascii="Palatino Linotype" w:eastAsia="Palatino Linotype" w:hAnsi="Palatino Linotype" w:cs="Palatino Linotype"/>
          <w:strike/>
        </w:rPr>
      </w:pPr>
      <w:r w:rsidRPr="008A604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C0741ED" w14:textId="77777777" w:rsidR="00414811" w:rsidRPr="008A6047" w:rsidRDefault="008408AC">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D78EAE7" w14:textId="77777777" w:rsidR="00414811" w:rsidRPr="008A6047" w:rsidRDefault="008408AC">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A6047">
        <w:rPr>
          <w:rFonts w:ascii="Palatino Linotype" w:eastAsia="Palatino Linotype" w:hAnsi="Palatino Linotype" w:cs="Palatino Linotype"/>
        </w:rPr>
        <w:t>Actividad Procesal del interesado. Acciones u omisiones del interesado.</w:t>
      </w:r>
    </w:p>
    <w:p w14:paraId="12D8768A" w14:textId="77777777" w:rsidR="00414811" w:rsidRPr="008A6047" w:rsidRDefault="008408AC">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A6047">
        <w:rPr>
          <w:rFonts w:ascii="Palatino Linotype" w:eastAsia="Palatino Linotype" w:hAnsi="Palatino Linotype" w:cs="Palatino Linotype"/>
        </w:rPr>
        <w:t>Conducta de la Autoridad: Las Acciones u omisiones realizadas en el procedimiento. Así como si la autoridad actuó con la debida diligencia.</w:t>
      </w:r>
    </w:p>
    <w:p w14:paraId="15483EB6" w14:textId="77777777" w:rsidR="00414811" w:rsidRPr="008A6047" w:rsidRDefault="008408AC">
      <w:pPr>
        <w:tabs>
          <w:tab w:val="left" w:pos="567"/>
        </w:tabs>
        <w:spacing w:before="240" w:after="240" w:line="360" w:lineRule="auto"/>
        <w:ind w:left="284"/>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0F9A96E6"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9BB3AC" w14:textId="77777777" w:rsidR="00414811" w:rsidRPr="008A6047" w:rsidRDefault="008408AC">
      <w:pPr>
        <w:spacing w:before="240" w:after="240" w:line="360" w:lineRule="auto"/>
        <w:jc w:val="both"/>
        <w:rPr>
          <w:rFonts w:ascii="Palatino Linotype" w:eastAsia="Palatino Linotype" w:hAnsi="Palatino Linotype" w:cs="Palatino Linotype"/>
          <w:b/>
        </w:rPr>
      </w:pPr>
      <w:r w:rsidRPr="008A604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A604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A6047">
        <w:rPr>
          <w:rFonts w:ascii="Palatino Linotype" w:eastAsia="Palatino Linotype" w:hAnsi="Palatino Linotype" w:cs="Palatino Linotype"/>
        </w:rPr>
        <w:t>, visible en la Gaceta del Seminario Judicial de la Federación con el registro digital 205635.</w:t>
      </w:r>
    </w:p>
    <w:p w14:paraId="48489737"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8A6047">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23DDE8A2"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332458D" w14:textId="77777777" w:rsidR="00414811" w:rsidRPr="008A6047" w:rsidRDefault="008408AC">
      <w:pPr>
        <w:spacing w:before="120" w:after="120"/>
        <w:ind w:left="851" w:right="902"/>
        <w:jc w:val="both"/>
        <w:rPr>
          <w:rFonts w:ascii="Palatino Linotype" w:eastAsia="Palatino Linotype" w:hAnsi="Palatino Linotype" w:cs="Palatino Linotype"/>
          <w:sz w:val="22"/>
          <w:szCs w:val="22"/>
        </w:rPr>
      </w:pPr>
      <w:r w:rsidRPr="008A6047">
        <w:rPr>
          <w:rFonts w:ascii="Palatino Linotype" w:eastAsia="Palatino Linotype" w:hAnsi="Palatino Linotype" w:cs="Palatino Linotype"/>
          <w:sz w:val="22"/>
          <w:szCs w:val="22"/>
        </w:rPr>
        <w:t xml:space="preserve"> </w:t>
      </w: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PLAZO RAZONABLE PARA RESOLVER. DIMENSIÓN Y EFECTOS DE ESTE CONCEPTO CUANDO SE ADUCE EXCESIVA CARGA DE TRABAJO</w:t>
      </w: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sz w:val="22"/>
          <w:szCs w:val="22"/>
        </w:rPr>
        <w:t xml:space="preserve"> consultable en el Seminario Judicial de la Federación y su gaceta, con el registro digital 2002351.</w:t>
      </w:r>
    </w:p>
    <w:p w14:paraId="0AA2FCA1" w14:textId="77777777" w:rsidR="00414811" w:rsidRPr="008A6047" w:rsidRDefault="008408AC">
      <w:pPr>
        <w:spacing w:before="120" w:after="120"/>
        <w:ind w:left="851" w:right="902"/>
        <w:jc w:val="both"/>
        <w:rPr>
          <w:rFonts w:ascii="Palatino Linotype" w:eastAsia="Palatino Linotype" w:hAnsi="Palatino Linotype" w:cs="Palatino Linotype"/>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sz w:val="22"/>
          <w:szCs w:val="22"/>
        </w:rPr>
        <w:t>, visible en el Seminario Judicial de la Federación y su gaceta, con el registro digital 2002350.</w:t>
      </w:r>
    </w:p>
    <w:p w14:paraId="29C26E21"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3079FF6"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6906E24" w14:textId="77777777" w:rsidR="00414811" w:rsidRPr="008A6047" w:rsidRDefault="008408AC">
      <w:pPr>
        <w:widowControl w:val="0"/>
        <w:spacing w:before="240" w:after="240" w:line="360" w:lineRule="auto"/>
        <w:jc w:val="center"/>
        <w:rPr>
          <w:rFonts w:ascii="Palatino Linotype" w:eastAsia="Palatino Linotype" w:hAnsi="Palatino Linotype" w:cs="Palatino Linotype"/>
          <w:b/>
        </w:rPr>
      </w:pPr>
      <w:r w:rsidRPr="008A6047">
        <w:rPr>
          <w:rFonts w:ascii="Palatino Linotype" w:eastAsia="Palatino Linotype" w:hAnsi="Palatino Linotype" w:cs="Palatino Linotype"/>
          <w:b/>
        </w:rPr>
        <w:t>II. C O N S I D E R A N D O S</w:t>
      </w:r>
    </w:p>
    <w:p w14:paraId="1DDE49C0"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b/>
        </w:rPr>
        <w:t>Primero. Competencia.</w:t>
      </w:r>
      <w:r w:rsidRPr="008A6047">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8A6047">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3C0092A"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8A6047">
        <w:rPr>
          <w:rFonts w:ascii="Palatino Linotype" w:eastAsia="Palatino Linotype" w:hAnsi="Palatino Linotype" w:cs="Palatino Linotype"/>
          <w:b/>
        </w:rPr>
        <w:t>Segundo. Oportunidad y Procedibilidad del Recurso de Revisión</w:t>
      </w:r>
      <w:r w:rsidRPr="008A604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92C75DD"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 xml:space="preserve">remitió la respuesta a la solicitud de información el día </w:t>
      </w:r>
      <w:r w:rsidRPr="008A6047">
        <w:rPr>
          <w:rFonts w:ascii="Palatino Linotype" w:eastAsia="Palatino Linotype" w:hAnsi="Palatino Linotype" w:cs="Palatino Linotype"/>
          <w:b/>
        </w:rPr>
        <w:t xml:space="preserve">nueve de junio de mayo de dos mil veinticinco, </w:t>
      </w:r>
      <w:r w:rsidRPr="008A6047">
        <w:rPr>
          <w:rFonts w:ascii="Palatino Linotype" w:eastAsia="Palatino Linotype" w:hAnsi="Palatino Linotype" w:cs="Palatino Linotype"/>
        </w:rPr>
        <w:t xml:space="preserve">mientras que el recurso de revisión interpuesto por la parte </w:t>
      </w:r>
      <w:r w:rsidRPr="008A6047">
        <w:rPr>
          <w:rFonts w:ascii="Palatino Linotype" w:eastAsia="Palatino Linotype" w:hAnsi="Palatino Linotype" w:cs="Palatino Linotype"/>
          <w:b/>
        </w:rPr>
        <w:t xml:space="preserve">Recurrente, </w:t>
      </w:r>
      <w:r w:rsidRPr="008A6047">
        <w:rPr>
          <w:rFonts w:ascii="Palatino Linotype" w:eastAsia="Palatino Linotype" w:hAnsi="Palatino Linotype" w:cs="Palatino Linotype"/>
        </w:rPr>
        <w:t>se tuvo por presentado el día</w:t>
      </w:r>
      <w:r w:rsidRPr="008A6047">
        <w:rPr>
          <w:rFonts w:ascii="Palatino Linotype" w:eastAsia="Palatino Linotype" w:hAnsi="Palatino Linotype" w:cs="Palatino Linotype"/>
          <w:b/>
        </w:rPr>
        <w:t xml:space="preserve"> diez de junio de dos mil veinticinco, </w:t>
      </w:r>
      <w:r w:rsidRPr="008A6047">
        <w:rPr>
          <w:rFonts w:ascii="Palatino Linotype" w:eastAsia="Palatino Linotype" w:hAnsi="Palatino Linotype" w:cs="Palatino Linotype"/>
        </w:rPr>
        <w:t xml:space="preserve">esto es, al siguiente día hábil posterior a aquel en el que tuvo conocimiento de la respuesta impugnada. En este sentido, se concluye que el presente recurso de revisión se </w:t>
      </w:r>
      <w:r w:rsidRPr="008A6047">
        <w:rPr>
          <w:rFonts w:ascii="Palatino Linotype" w:eastAsia="Palatino Linotype" w:hAnsi="Palatino Linotype" w:cs="Palatino Linotype"/>
        </w:rPr>
        <w:lastRenderedPageBreak/>
        <w:t>encuentra dentro de los márgenes temporales previstos en las disposiciones legales referidas.</w:t>
      </w:r>
    </w:p>
    <w:p w14:paraId="29B25E74" w14:textId="77777777" w:rsidR="00414811" w:rsidRPr="008A6047" w:rsidRDefault="008408AC">
      <w:pPr>
        <w:spacing w:line="360" w:lineRule="auto"/>
        <w:jc w:val="both"/>
        <w:rPr>
          <w:rFonts w:ascii="Palatino Linotype" w:eastAsia="Palatino Linotype" w:hAnsi="Palatino Linotype" w:cs="Palatino Linotype"/>
        </w:rPr>
      </w:pPr>
      <w:bookmarkStart w:id="7" w:name="_heading=h.3znysh7" w:colFirst="0" w:colLast="0"/>
      <w:bookmarkEnd w:id="7"/>
      <w:r w:rsidRPr="008A6047">
        <w:rPr>
          <w:rFonts w:ascii="Palatino Linotype" w:eastAsia="Palatino Linotype" w:hAnsi="Palatino Linotype" w:cs="Palatino Linotype"/>
        </w:rPr>
        <w:t>Además, por cuanto hace a la procedibilidad del recurso de revisión, es de suma importancia señalar que la parte</w:t>
      </w:r>
      <w:r w:rsidRPr="008A6047">
        <w:rPr>
          <w:rFonts w:ascii="Palatino Linotype" w:eastAsia="Palatino Linotype" w:hAnsi="Palatino Linotype" w:cs="Palatino Linotype"/>
          <w:b/>
        </w:rPr>
        <w:t xml:space="preserve"> Recurrente</w:t>
      </w:r>
      <w:r w:rsidRPr="008A6047">
        <w:rPr>
          <w:rFonts w:ascii="Palatino Linotype" w:eastAsia="Palatino Linotype" w:hAnsi="Palatino Linotype" w:cs="Palatino Linotype"/>
        </w:rPr>
        <w:t xml:space="preserve">, no señaló </w:t>
      </w:r>
      <w:r w:rsidRPr="008A6047">
        <w:rPr>
          <w:rFonts w:ascii="Palatino Linotype" w:eastAsia="Palatino Linotype" w:hAnsi="Palatino Linotype" w:cs="Palatino Linotype"/>
          <w:b/>
        </w:rPr>
        <w:t>nombre,</w:t>
      </w:r>
      <w:r w:rsidRPr="008A6047">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ADE4056"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Las solicitudes anónimas</w:t>
      </w:r>
      <w:r w:rsidRPr="008A6047">
        <w:rPr>
          <w:rFonts w:ascii="Palatino Linotype" w:eastAsia="Palatino Linotype" w:hAnsi="Palatino Linotype" w:cs="Palatino Linotype"/>
          <w:i/>
          <w:sz w:val="22"/>
          <w:szCs w:val="22"/>
        </w:rPr>
        <w:t xml:space="preserve">, con nombre incompleto o </w:t>
      </w:r>
      <w:r w:rsidRPr="008A6047">
        <w:rPr>
          <w:rFonts w:ascii="Palatino Linotype" w:eastAsia="Palatino Linotype" w:hAnsi="Palatino Linotype" w:cs="Palatino Linotype"/>
          <w:b/>
          <w:i/>
          <w:sz w:val="22"/>
          <w:szCs w:val="22"/>
        </w:rPr>
        <w:t>seudónimo</w:t>
      </w:r>
      <w:r w:rsidRPr="008A6047">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B5705EB" w14:textId="77777777" w:rsidR="00414811" w:rsidRPr="008A6047" w:rsidRDefault="008408AC">
      <w:pPr>
        <w:spacing w:before="240" w:after="240" w:line="360" w:lineRule="auto"/>
        <w:jc w:val="both"/>
        <w:rPr>
          <w:rFonts w:ascii="Palatino Linotype" w:eastAsia="Palatino Linotype" w:hAnsi="Palatino Linotype" w:cs="Palatino Linotype"/>
          <w:b/>
        </w:rPr>
      </w:pPr>
      <w:r w:rsidRPr="008A6047">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A6047">
        <w:rPr>
          <w:rFonts w:ascii="Palatino Linotype" w:eastAsia="Palatino Linotype" w:hAnsi="Palatino Linotype" w:cs="Palatino Linotype"/>
          <w:b/>
        </w:rPr>
        <w:t xml:space="preserve"> SAIMEX.</w:t>
      </w:r>
    </w:p>
    <w:p w14:paraId="548B110A"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Finalmente, se advierte que resulta procedente la interposición del recurso, según lo manifestado por la parte </w:t>
      </w:r>
      <w:r w:rsidRPr="008A6047">
        <w:rPr>
          <w:rFonts w:ascii="Palatino Linotype" w:eastAsia="Palatino Linotype" w:hAnsi="Palatino Linotype" w:cs="Palatino Linotype"/>
          <w:b/>
        </w:rPr>
        <w:t>Recurrente</w:t>
      </w:r>
      <w:r w:rsidRPr="008A6047">
        <w:rPr>
          <w:rFonts w:ascii="Palatino Linotype" w:eastAsia="Palatino Linotype" w:hAnsi="Palatino Linotype" w:cs="Palatino Linotype"/>
        </w:rPr>
        <w:t xml:space="preserve"> en sus motivos de inconformidad, de acuerdo al artículo 179, fracciones I y X del ordenamiento legal citado, que a la letra dice: </w:t>
      </w:r>
    </w:p>
    <w:p w14:paraId="76199275" w14:textId="77777777" w:rsidR="00414811" w:rsidRPr="008A6047" w:rsidRDefault="008408AC">
      <w:pPr>
        <w:tabs>
          <w:tab w:val="left" w:pos="7938"/>
        </w:tabs>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lastRenderedPageBreak/>
        <w:t>“</w:t>
      </w:r>
      <w:r w:rsidRPr="008A6047">
        <w:rPr>
          <w:rFonts w:ascii="Palatino Linotype" w:eastAsia="Palatino Linotype" w:hAnsi="Palatino Linotype" w:cs="Palatino Linotype"/>
          <w:b/>
          <w:i/>
          <w:sz w:val="22"/>
          <w:szCs w:val="22"/>
        </w:rPr>
        <w:t>Artículo 179.</w:t>
      </w:r>
      <w:r w:rsidRPr="008A604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E148CF0" w14:textId="77777777" w:rsidR="00414811" w:rsidRPr="008A6047" w:rsidRDefault="008408AC">
      <w:pPr>
        <w:tabs>
          <w:tab w:val="left" w:pos="7938"/>
        </w:tabs>
        <w:spacing w:before="120" w:after="120"/>
        <w:ind w:left="1134"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w:t>
      </w:r>
      <w:r w:rsidRPr="008A6047">
        <w:rPr>
          <w:rFonts w:ascii="Palatino Linotype" w:eastAsia="Palatino Linotype" w:hAnsi="Palatino Linotype" w:cs="Palatino Linotype"/>
          <w:i/>
          <w:sz w:val="22"/>
          <w:szCs w:val="22"/>
        </w:rPr>
        <w:t xml:space="preserve">. La negativa a la información solicitada; </w:t>
      </w:r>
      <w:r w:rsidRPr="008A6047">
        <w:rPr>
          <w:rFonts w:ascii="Palatino Linotype" w:eastAsia="Palatino Linotype" w:hAnsi="Palatino Linotype" w:cs="Palatino Linotype"/>
          <w:i/>
          <w:sz w:val="22"/>
          <w:szCs w:val="22"/>
        </w:rPr>
        <w:br/>
        <w:t>...</w:t>
      </w:r>
    </w:p>
    <w:p w14:paraId="056FA58A" w14:textId="77777777" w:rsidR="00414811" w:rsidRPr="008A6047" w:rsidRDefault="008408AC">
      <w:pPr>
        <w:tabs>
          <w:tab w:val="left" w:pos="7938"/>
        </w:tabs>
        <w:spacing w:before="120" w:after="120"/>
        <w:ind w:left="1134"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X.</w:t>
      </w:r>
      <w:r w:rsidRPr="008A6047">
        <w:rPr>
          <w:rFonts w:ascii="Palatino Linotype" w:eastAsia="Palatino Linotype" w:hAnsi="Palatino Linotype" w:cs="Palatino Linotype"/>
          <w:i/>
          <w:sz w:val="22"/>
          <w:szCs w:val="22"/>
        </w:rPr>
        <w:t xml:space="preserve"> Los costos o tiempos de entrega de la información;”</w:t>
      </w:r>
    </w:p>
    <w:p w14:paraId="272E4426" w14:textId="77777777" w:rsidR="00414811" w:rsidRPr="008A6047" w:rsidRDefault="008408AC">
      <w:pPr>
        <w:spacing w:before="240" w:after="240" w:line="360" w:lineRule="auto"/>
        <w:jc w:val="both"/>
        <w:rPr>
          <w:rFonts w:ascii="Palatino Linotype" w:eastAsia="Palatino Linotype" w:hAnsi="Palatino Linotype" w:cs="Palatino Linotype"/>
          <w:b/>
        </w:rPr>
      </w:pPr>
      <w:r w:rsidRPr="008A6047">
        <w:rPr>
          <w:rFonts w:ascii="Palatino Linotype" w:eastAsia="Palatino Linotype" w:hAnsi="Palatino Linotype" w:cs="Palatino Linotype"/>
          <w:b/>
        </w:rPr>
        <w:t xml:space="preserve">Tercero. Materia de la revisión. </w:t>
      </w:r>
      <w:r w:rsidRPr="008A604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A6047">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8A6047">
        <w:rPr>
          <w:rFonts w:ascii="Palatino Linotype" w:eastAsia="Palatino Linotype" w:hAnsi="Palatino Linotype" w:cs="Palatino Linotype"/>
        </w:rPr>
        <w:t xml:space="preserve">de la parte </w:t>
      </w:r>
      <w:r w:rsidRPr="008A6047">
        <w:rPr>
          <w:rFonts w:ascii="Palatino Linotype" w:eastAsia="Palatino Linotype" w:hAnsi="Palatino Linotype" w:cs="Palatino Linotype"/>
          <w:b/>
        </w:rPr>
        <w:t>Recurrente</w:t>
      </w:r>
      <w:r w:rsidRPr="008A6047">
        <w:rPr>
          <w:rFonts w:ascii="Palatino Linotype" w:eastAsia="Palatino Linotype" w:hAnsi="Palatino Linotype" w:cs="Palatino Linotype"/>
        </w:rPr>
        <w:t>, o en su defecto, en caso de ser procedente, ordenar la entrega de información.</w:t>
      </w:r>
    </w:p>
    <w:p w14:paraId="34F9354E"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8A6047">
        <w:rPr>
          <w:rFonts w:ascii="Palatino Linotype" w:eastAsia="Palatino Linotype" w:hAnsi="Palatino Linotype" w:cs="Palatino Linotype"/>
          <w:b/>
        </w:rPr>
        <w:t xml:space="preserve">Cuarto. Estudio del asunto. </w:t>
      </w:r>
      <w:r w:rsidRPr="008A6047">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77EC076"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Artículo 4</w:t>
      </w:r>
      <w:r w:rsidRPr="008A604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4AA4184"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8A604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A025D8"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A6047">
        <w:rPr>
          <w:rFonts w:ascii="Palatino Linotype" w:eastAsia="Palatino Linotype" w:hAnsi="Palatino Linotype" w:cs="Palatino Linotype"/>
          <w:i/>
          <w:sz w:val="22"/>
          <w:szCs w:val="22"/>
        </w:rPr>
        <w:t>.”</w:t>
      </w:r>
    </w:p>
    <w:p w14:paraId="54D88E7C"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DEFBAD"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“Artículo 12.-</w:t>
      </w:r>
      <w:r w:rsidRPr="008A604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69D10D"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A6047">
        <w:rPr>
          <w:rFonts w:ascii="Palatino Linotype" w:eastAsia="Palatino Linotype" w:hAnsi="Palatino Linotype" w:cs="Palatino Linotype"/>
          <w:i/>
          <w:sz w:val="22"/>
          <w:szCs w:val="22"/>
        </w:rPr>
        <w:t xml:space="preserve">. </w:t>
      </w:r>
      <w:r w:rsidRPr="008A604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98591D9" w14:textId="77777777" w:rsidR="00414811" w:rsidRPr="008A6047" w:rsidRDefault="008408AC">
      <w:pPr>
        <w:spacing w:before="240" w:after="240" w:line="360" w:lineRule="auto"/>
        <w:ind w:right="-93"/>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4391F87" w14:textId="77777777" w:rsidR="00414811" w:rsidRPr="008A6047" w:rsidRDefault="008408AC">
      <w:pPr>
        <w:spacing w:before="240" w:after="240" w:line="360" w:lineRule="auto"/>
        <w:jc w:val="both"/>
        <w:rPr>
          <w:rFonts w:ascii="Palatino Linotype" w:eastAsia="Palatino Linotype" w:hAnsi="Palatino Linotype" w:cs="Palatino Linotype"/>
          <w:b/>
        </w:rPr>
      </w:pPr>
      <w:r w:rsidRPr="008A6047">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8A6047">
        <w:rPr>
          <w:rFonts w:ascii="Palatino Linotype" w:eastAsia="Palatino Linotype" w:hAnsi="Palatino Linotype" w:cs="Palatino Linotype"/>
          <w:b/>
        </w:rPr>
        <w:t xml:space="preserve"> </w:t>
      </w:r>
    </w:p>
    <w:p w14:paraId="5E7B54E2"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 “</w:t>
      </w:r>
      <w:r w:rsidRPr="008A6047">
        <w:rPr>
          <w:rFonts w:ascii="Palatino Linotype" w:eastAsia="Palatino Linotype" w:hAnsi="Palatino Linotype" w:cs="Palatino Linotype"/>
          <w:b/>
          <w:i/>
          <w:sz w:val="22"/>
          <w:szCs w:val="22"/>
        </w:rPr>
        <w:t>No existe obligación de elaborar documentos ad hoc para atender las solicitudes de acceso a la información.</w:t>
      </w:r>
      <w:r w:rsidRPr="008A604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C744FF2" w14:textId="77777777" w:rsidR="00414811" w:rsidRPr="008A6047" w:rsidRDefault="008408AC">
      <w:pPr>
        <w:spacing w:before="120" w:after="12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8A6047">
        <w:rPr>
          <w:rFonts w:ascii="Palatino Linotype" w:eastAsia="Palatino Linotype" w:hAnsi="Palatino Linotype" w:cs="Palatino Linotype"/>
        </w:rPr>
        <w:lastRenderedPageBreak/>
        <w:t>que es deber de los Sujetos Obligados, garantizar el Derecho de Acceso a la Información Pública.</w:t>
      </w:r>
    </w:p>
    <w:p w14:paraId="552BDBB1" w14:textId="77777777" w:rsidR="00414811" w:rsidRPr="008A6047" w:rsidRDefault="008408AC">
      <w:pPr>
        <w:spacing w:before="120" w:after="12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E97FAE8"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 xml:space="preserve">Artículo 3. </w:t>
      </w:r>
      <w:r w:rsidRPr="008A6047">
        <w:rPr>
          <w:rFonts w:ascii="Palatino Linotype" w:eastAsia="Palatino Linotype" w:hAnsi="Palatino Linotype" w:cs="Palatino Linotype"/>
          <w:i/>
          <w:sz w:val="22"/>
          <w:szCs w:val="22"/>
        </w:rPr>
        <w:t>Para los efectos de la presente Ley se entenderá por:</w:t>
      </w:r>
    </w:p>
    <w:p w14:paraId="77815571"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37B7D4F9"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XI. Documento:</w:t>
      </w:r>
      <w:r w:rsidRPr="008A6047">
        <w:rPr>
          <w:rFonts w:ascii="Palatino Linotype" w:eastAsia="Palatino Linotype" w:hAnsi="Palatino Linotype" w:cs="Palatino Linotype"/>
          <w:i/>
          <w:sz w:val="22"/>
          <w:szCs w:val="22"/>
        </w:rPr>
        <w:t xml:space="preserve"> Los expedientes, reportes, estudios, actas</w:t>
      </w:r>
      <w:r w:rsidRPr="008A6047">
        <w:rPr>
          <w:rFonts w:ascii="Palatino Linotype" w:eastAsia="Palatino Linotype" w:hAnsi="Palatino Linotype" w:cs="Palatino Linotype"/>
          <w:b/>
          <w:i/>
          <w:sz w:val="22"/>
          <w:szCs w:val="22"/>
        </w:rPr>
        <w:t>,</w:t>
      </w:r>
      <w:r w:rsidRPr="008A604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272374A"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2BFDBC4"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sz w:val="22"/>
          <w:szCs w:val="22"/>
        </w:rPr>
        <w:lastRenderedPageBreak/>
        <w:t>“</w:t>
      </w:r>
      <w:r w:rsidRPr="008A604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A604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5EA56C"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FD1B6A"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B11A306"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EA7FE36"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DD04013" w14:textId="77777777" w:rsidR="00414811" w:rsidRPr="008A6047" w:rsidRDefault="008408AC">
      <w:pPr>
        <w:spacing w:before="240" w:after="240" w:line="360" w:lineRule="auto"/>
        <w:ind w:right="51"/>
        <w:jc w:val="both"/>
        <w:rPr>
          <w:rFonts w:ascii="Palatino Linotype" w:eastAsia="Palatino Linotype" w:hAnsi="Palatino Linotype" w:cs="Palatino Linotype"/>
        </w:rPr>
      </w:pPr>
      <w:r w:rsidRPr="008A6047">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936E64D"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w:t>
      </w:r>
      <w:r w:rsidRPr="008A6047">
        <w:rPr>
          <w:rFonts w:ascii="Palatino Linotype" w:eastAsia="Palatino Linotype" w:hAnsi="Palatino Linotype" w:cs="Palatino Linotype"/>
        </w:rPr>
        <w:lastRenderedPageBreak/>
        <w:t>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A2E0A2A" w14:textId="77777777" w:rsidR="00414811" w:rsidRPr="008A6047" w:rsidRDefault="008408AC">
      <w:pPr>
        <w:spacing w:before="240" w:after="240" w:line="360" w:lineRule="auto"/>
        <w:ind w:right="51"/>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8A6047">
        <w:rPr>
          <w:rFonts w:ascii="Palatino Linotype" w:eastAsia="Palatino Linotype" w:hAnsi="Palatino Linotype" w:cs="Palatino Linotype"/>
          <w:b/>
        </w:rPr>
        <w:t>Recurrente</w:t>
      </w:r>
      <w:r w:rsidRPr="008A6047">
        <w:rPr>
          <w:rFonts w:ascii="Palatino Linotype" w:eastAsia="Palatino Linotype" w:hAnsi="Palatino Linotype" w:cs="Palatino Linotype"/>
        </w:rPr>
        <w:t xml:space="preserve"> requirió al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le proporcione, información consistente en lo siguiente:</w:t>
      </w:r>
    </w:p>
    <w:p w14:paraId="4348C034" w14:textId="77777777" w:rsidR="00414811" w:rsidRPr="008A6047" w:rsidRDefault="008408AC">
      <w:pPr>
        <w:spacing w:before="240" w:after="240" w:line="360" w:lineRule="auto"/>
        <w:ind w:left="284" w:right="51"/>
        <w:jc w:val="both"/>
        <w:rPr>
          <w:rFonts w:ascii="Palatino Linotype" w:eastAsia="Palatino Linotype" w:hAnsi="Palatino Linotype" w:cs="Palatino Linotype"/>
        </w:rPr>
      </w:pPr>
      <w:r w:rsidRPr="008A6047">
        <w:rPr>
          <w:rFonts w:ascii="Palatino Linotype" w:eastAsia="Palatino Linotype" w:hAnsi="Palatino Linotype" w:cs="Palatino Linotype"/>
        </w:rPr>
        <w:t>1. Documento comprobatorio del último grado de estudios (certificado de estudios, título o cédula profesional) del área responsable de Recursos Humanos, de la Dirección General, del área de Transparencia, de la UIPPE, y del área de Adquisiciones.</w:t>
      </w:r>
    </w:p>
    <w:p w14:paraId="590267A7" w14:textId="77777777" w:rsidR="00414811" w:rsidRPr="008A6047" w:rsidRDefault="008408AC">
      <w:pPr>
        <w:spacing w:before="240" w:after="240" w:line="360" w:lineRule="auto"/>
        <w:ind w:right="49"/>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respuesta,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por conducto de la Jefa de Recursos Humanos, manifestó que la información solicitada sería entregada en las oficinas centrales del Sistema Municipal DIF de Huehuetoca una vez cubriendo el costo de estas.</w:t>
      </w:r>
    </w:p>
    <w:p w14:paraId="4C4F4690" w14:textId="77777777" w:rsidR="00414811" w:rsidRPr="008A6047" w:rsidRDefault="008408AC">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Al no estar conforme con los términos de la respuesta proporcionada por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 xml:space="preserve">la persona solicitante interpuso el recurso de revisión que se resuelve, </w:t>
      </w:r>
      <w:r w:rsidRPr="008A6047">
        <w:rPr>
          <w:rFonts w:ascii="Palatino Linotype" w:eastAsia="Palatino Linotype" w:hAnsi="Palatino Linotype" w:cs="Palatino Linotype"/>
        </w:rPr>
        <w:lastRenderedPageBreak/>
        <w:t>mediante el cual alegó, en lo medular, que le fue negada la información por la vía que fue requerida, reiterando que se solicitó vía Sistema de Acceso a la Información Mexiquense (SAIMEX).</w:t>
      </w:r>
    </w:p>
    <w:p w14:paraId="1852D470"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Durante el periodo de manifestaciones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 xml:space="preserve">fue omiso en rendir su informe justificado, y la parte </w:t>
      </w:r>
      <w:r w:rsidRPr="008A6047">
        <w:rPr>
          <w:rFonts w:ascii="Palatino Linotype" w:eastAsia="Palatino Linotype" w:hAnsi="Palatino Linotype" w:cs="Palatino Linotype"/>
          <w:b/>
        </w:rPr>
        <w:t xml:space="preserve">Recurrente </w:t>
      </w:r>
      <w:r w:rsidRPr="008A6047">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3CAC8329" w14:textId="77777777" w:rsidR="00414811" w:rsidRPr="008A6047" w:rsidRDefault="008408AC">
      <w:pPr>
        <w:spacing w:before="280" w:after="28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 xml:space="preserve">en contraposición con el motivo de inconformidad alegado por la parte </w:t>
      </w:r>
      <w:r w:rsidRPr="008A6047">
        <w:rPr>
          <w:rFonts w:ascii="Palatino Linotype" w:eastAsia="Palatino Linotype" w:hAnsi="Palatino Linotype" w:cs="Palatino Linotype"/>
          <w:b/>
        </w:rPr>
        <w:t xml:space="preserve">Recurrente, </w:t>
      </w:r>
      <w:r w:rsidRPr="008A6047">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13097C2" w14:textId="77777777" w:rsidR="00414811" w:rsidRPr="008A6047" w:rsidRDefault="008408AC">
      <w:pPr>
        <w:spacing w:before="240" w:after="240" w:line="360" w:lineRule="auto"/>
        <w:ind w:right="49"/>
        <w:jc w:val="both"/>
        <w:rPr>
          <w:rFonts w:ascii="Palatino Linotype" w:eastAsia="Palatino Linotype" w:hAnsi="Palatino Linotype" w:cs="Palatino Linotype"/>
        </w:rPr>
      </w:pPr>
      <w:bookmarkStart w:id="9" w:name="_heading=h.xx1os89buw7k" w:colFirst="0" w:colLast="0"/>
      <w:bookmarkEnd w:id="9"/>
      <w:r w:rsidRPr="008A6047">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w:t>
      </w:r>
      <w:r w:rsidRPr="008A6047">
        <w:rPr>
          <w:rFonts w:ascii="Palatino Linotype" w:eastAsia="Palatino Linotype" w:hAnsi="Palatino Linotype" w:cs="Palatino Linotype"/>
          <w:b/>
        </w:rPr>
        <w:t>el Sujeto Obligado</w:t>
      </w:r>
      <w:r w:rsidRPr="008A6047">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8A6047">
        <w:rPr>
          <w:rFonts w:ascii="Palatino Linotype" w:eastAsia="Palatino Linotype" w:hAnsi="Palatino Linotype" w:cs="Palatino Linotype"/>
          <w:i/>
          <w:sz w:val="20"/>
          <w:szCs w:val="20"/>
        </w:rPr>
        <w:t xml:space="preserve">, </w:t>
      </w:r>
      <w:r w:rsidRPr="008A6047">
        <w:rPr>
          <w:rFonts w:ascii="Palatino Linotype" w:eastAsia="Palatino Linotype" w:hAnsi="Palatino Linotype" w:cs="Palatino Linotype"/>
        </w:rPr>
        <w:t xml:space="preserve">lo anterior es así, ya que el estudio enunciado tiene por objeto determinar si </w:t>
      </w:r>
      <w:r w:rsidRPr="008A6047">
        <w:t>los</w:t>
      </w:r>
      <w:r w:rsidRPr="008A6047">
        <w:rPr>
          <w:rFonts w:ascii="Palatino Linotype" w:eastAsia="Palatino Linotype" w:hAnsi="Palatino Linotype" w:cs="Palatino Linotype"/>
        </w:rPr>
        <w:t xml:space="preserve"> Sujeto</w:t>
      </w:r>
      <w:r w:rsidRPr="008A6047">
        <w:t>s</w:t>
      </w:r>
      <w:r w:rsidRPr="008A6047">
        <w:rPr>
          <w:rFonts w:ascii="Palatino Linotype" w:eastAsia="Palatino Linotype" w:hAnsi="Palatino Linotype" w:cs="Palatino Linotype"/>
        </w:rPr>
        <w:t xml:space="preserve"> Obligado</w:t>
      </w:r>
      <w:r w:rsidRPr="008A6047">
        <w:t>s</w:t>
      </w:r>
      <w:r w:rsidRPr="008A6047">
        <w:rPr>
          <w:rFonts w:ascii="Palatino Linotype" w:eastAsia="Palatino Linotype" w:hAnsi="Palatino Linotype" w:cs="Palatino Linotype"/>
        </w:rPr>
        <w:t xml:space="preserve"> generan, poseen o administran  la información solicitada, sin embargo, en aquellos casos en que </w:t>
      </w:r>
      <w:r w:rsidRPr="008A6047">
        <w:t>e</w:t>
      </w:r>
      <w:r w:rsidRPr="008A6047">
        <w:rPr>
          <w:rFonts w:ascii="Palatino Linotype" w:eastAsia="Palatino Linotype" w:hAnsi="Palatino Linotype" w:cs="Palatino Linotype"/>
        </w:rPr>
        <w:t>st</w:t>
      </w:r>
      <w:r w:rsidRPr="008A6047">
        <w:t xml:space="preserve">os </w:t>
      </w:r>
      <w:r w:rsidRPr="008A6047">
        <w:rPr>
          <w:rFonts w:ascii="Palatino Linotype" w:eastAsia="Palatino Linotype" w:hAnsi="Palatino Linotype" w:cs="Palatino Linotype"/>
        </w:rPr>
        <w:t>ha</w:t>
      </w:r>
      <w:r w:rsidRPr="008A6047">
        <w:t>n</w:t>
      </w:r>
      <w:r w:rsidRPr="008A6047">
        <w:rPr>
          <w:rFonts w:ascii="Palatino Linotype" w:eastAsia="Palatino Linotype" w:hAnsi="Palatino Linotype" w:cs="Palatino Linotype"/>
        </w:rPr>
        <w:t xml:space="preserve"> asumido </w:t>
      </w:r>
      <w:r w:rsidRPr="008A6047">
        <w:rPr>
          <w:rFonts w:ascii="Palatino Linotype" w:eastAsia="Palatino Linotype" w:hAnsi="Palatino Linotype" w:cs="Palatino Linotype"/>
          <w:b/>
        </w:rPr>
        <w:t>la competencia</w:t>
      </w:r>
      <w:r w:rsidRPr="008A6047">
        <w:rPr>
          <w:rFonts w:ascii="Palatino Linotype" w:eastAsia="Palatino Linotype" w:hAnsi="Palatino Linotype" w:cs="Palatino Linotype"/>
        </w:rPr>
        <w:t xml:space="preserve">, sería ocioso y a nada práctico nos conduciría su estudio, ya que, se </w:t>
      </w:r>
      <w:r w:rsidRPr="008A6047">
        <w:rPr>
          <w:rFonts w:ascii="Palatino Linotype" w:eastAsia="Palatino Linotype" w:hAnsi="Palatino Linotype" w:cs="Palatino Linotype"/>
        </w:rPr>
        <w:lastRenderedPageBreak/>
        <w:t xml:space="preserve">insiste, el ente obligado </w:t>
      </w:r>
      <w:r w:rsidRPr="008A6047">
        <w:rPr>
          <w:rFonts w:ascii="Palatino Linotype" w:eastAsia="Palatino Linotype" w:hAnsi="Palatino Linotype" w:cs="Palatino Linotype"/>
          <w:b/>
          <w:u w:val="single"/>
        </w:rPr>
        <w:t>asumió la competencia referida</w:t>
      </w:r>
      <w:r w:rsidRPr="008A6047">
        <w:rPr>
          <w:rFonts w:ascii="Palatino Linotype" w:eastAsia="Palatino Linotype" w:hAnsi="Palatino Linotype" w:cs="Palatino Linotype"/>
        </w:rPr>
        <w:t>, motivo por el cual se actualiza el supuesto previsto en el artículo 12 de la legislación aplicable en la materia, citado con antelación.</w:t>
      </w:r>
    </w:p>
    <w:p w14:paraId="003ABB7B" w14:textId="77777777" w:rsidR="00414811" w:rsidRPr="008A6047" w:rsidRDefault="008408AC">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Asimismo, es imprescindible mencionar que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 xml:space="preserve">por conducto de la Jefa de Recursos Humanos, como el área responsable de integrar y resguardar los expedientes de personal de los servidores públicos, asumió la existencia de la información peticionada, tan es así que solicitó a la persona solicitante realizar el pago de derechos correspondientes a efecto de entregar información, en consecuencia, se asume que cuenta con la información y por ende se obvia el análisis de las atribuciones del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para contar con la misma.</w:t>
      </w:r>
    </w:p>
    <w:p w14:paraId="68371487"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En segundo término, resulta indispensable consultar el formato de solicitud de acceso a la información pública para determinar la modalidad a través de la cual se eligió la entrega de la información por parte de la persona solicitante, por lo que en el expediente electrónico se halló lo siguiente:</w:t>
      </w:r>
    </w:p>
    <w:p w14:paraId="241B7DC0" w14:textId="77777777" w:rsidR="00414811" w:rsidRPr="008A6047" w:rsidRDefault="008408AC">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noProof/>
        </w:rPr>
        <w:drawing>
          <wp:inline distT="0" distB="0" distL="0" distR="0" wp14:anchorId="7B68FDBD" wp14:editId="05DB2F6E">
            <wp:extent cx="5612130" cy="1907540"/>
            <wp:effectExtent l="0" t="0" r="0" b="0"/>
            <wp:docPr id="21401318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1907540"/>
                    </a:xfrm>
                    <a:prstGeom prst="rect">
                      <a:avLst/>
                    </a:prstGeom>
                    <a:ln/>
                  </pic:spPr>
                </pic:pic>
              </a:graphicData>
            </a:graphic>
          </wp:inline>
        </w:drawing>
      </w:r>
    </w:p>
    <w:p w14:paraId="4DB3F688"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 xml:space="preserve">Como se puede observar de la imagen inserta, la persona solicitante requirió la entrega del soporte documental información a través del sistema SAIMEX, por lo tanto, es evidente que las razones o motivos de inconformidad alegados devienen fundados en razón de que no le fue proporcionada la información que requirió, a pesar de haber reconocido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de manera expresa, que cuenta con ella, por tal motivo el Derecho de acceso no pude tenerse por colmado, toda vez que se condicionó la entrega de dicha información a la realización de un pago.</w:t>
      </w:r>
    </w:p>
    <w:p w14:paraId="0C0599B3" w14:textId="79EA7291"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Atento a lo anterior, es oportuno referir que la Ley de Transparencia y Acceso a la Información Pública del Estado de México y Municipios, en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8A6047">
        <w:rPr>
          <w:rFonts w:ascii="Palatino Linotype" w:eastAsia="Palatino Linotype" w:hAnsi="Palatino Linotype" w:cs="Palatino Linotype"/>
        </w:rPr>
        <w:t>CD-Rom</w:t>
      </w:r>
      <w:proofErr w:type="spellEnd"/>
      <w:r w:rsidRPr="008A6047">
        <w:rPr>
          <w:rFonts w:ascii="Palatino Linotype" w:eastAsia="Palatino Linotype" w:hAnsi="Palatino Linotype" w:cs="Palatino Linotype"/>
        </w:rPr>
        <w:t xml:space="preserve"> (con costo), copias simples (con costo), copias certificadas (con costo), consulta directa (sin costo), o bien, cualquier otro que determine el particular.</w:t>
      </w:r>
    </w:p>
    <w:p w14:paraId="4DE616C8"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Por su parte, el artículo 164 de la Ley de Transparencia y Acceso a la Información Pública del Estado de México y Municipios, establece lo que es de la literalidad siguiente:</w:t>
      </w:r>
    </w:p>
    <w:p w14:paraId="0F04DDB0"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lastRenderedPageBreak/>
        <w:t xml:space="preserve"> “</w:t>
      </w:r>
      <w:r w:rsidRPr="008A6047">
        <w:rPr>
          <w:rFonts w:ascii="Palatino Linotype" w:eastAsia="Palatino Linotype" w:hAnsi="Palatino Linotype" w:cs="Palatino Linotype"/>
          <w:b/>
          <w:i/>
          <w:sz w:val="22"/>
          <w:szCs w:val="22"/>
        </w:rPr>
        <w:t>Artículo 164</w:t>
      </w:r>
      <w:r w:rsidRPr="008A6047">
        <w:rPr>
          <w:rFonts w:ascii="Palatino Linotype" w:eastAsia="Palatino Linotype" w:hAnsi="Palatino Linotype" w:cs="Palatino Linotype"/>
          <w:i/>
          <w:sz w:val="22"/>
          <w:szCs w:val="22"/>
        </w:rPr>
        <w:t xml:space="preserve">. </w:t>
      </w:r>
      <w:r w:rsidRPr="008A6047">
        <w:rPr>
          <w:rFonts w:ascii="Palatino Linotype" w:eastAsia="Palatino Linotype" w:hAnsi="Palatino Linotype" w:cs="Palatino Linotype"/>
          <w:b/>
          <w:i/>
          <w:sz w:val="22"/>
          <w:szCs w:val="22"/>
        </w:rPr>
        <w:t>El acceso se dará en la modalidad de entrega y, en su caso, de envío elegidos por el solicitante</w:t>
      </w:r>
      <w:r w:rsidRPr="008A6047">
        <w:rPr>
          <w:rFonts w:ascii="Palatino Linotype" w:eastAsia="Palatino Linotype" w:hAnsi="Palatino Linotype" w:cs="Palatino Linotype"/>
          <w:i/>
          <w:sz w:val="22"/>
          <w:szCs w:val="22"/>
        </w:rPr>
        <w:t>. Cuando la información no pueda entregarse o enviarse en la modalidad solicitada, el sujeto obligado deberá ofrecer otra u otras modalidades de entrega.</w:t>
      </w:r>
    </w:p>
    <w:p w14:paraId="48B9530C"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En cualquier caso, se deberá fundar y motivar la necesidad de ofrecer otras modalidades.”</w:t>
      </w:r>
    </w:p>
    <w:p w14:paraId="08B3D059"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De modo, que el acceso a la información debe darse en la modalidad de entrega elegida por la persona solicitante,  y sólo para los casos en que se encuentren impedidos los Sujetos Obligados podrán ofrecer otra u otras modalidades debiendo fundar y motivar adecuadamente el cambio de modalidad en la entrega de la información.</w:t>
      </w:r>
    </w:p>
    <w:p w14:paraId="754CA9C4"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los mismos términos, el artículo 16 de la Constitución Política de los Estados Unidos Mexicanos, exige que todo acto de autoridad debe de estar debidamente fundado y motivado, en el que se exprese el precepto legal aplicable al caso, además de señalarse las circunstancias, razones particulares o causas inmediatas que se hayan tenido en cuenta para la emisión del acto. </w:t>
      </w:r>
    </w:p>
    <w:p w14:paraId="1919B054"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Asimismo,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8A6047">
        <w:rPr>
          <w:rFonts w:ascii="Palatino Linotype" w:eastAsia="Palatino Linotype" w:hAnsi="Palatino Linotype" w:cs="Palatino Linotype"/>
          <w:b/>
          <w:i/>
        </w:rPr>
        <w:t xml:space="preserve"> gratuidad</w:t>
      </w:r>
      <w:r w:rsidRPr="008A6047">
        <w:rPr>
          <w:rFonts w:ascii="Palatino Linotype" w:eastAsia="Palatino Linotype" w:hAnsi="Palatino Linotype" w:cs="Palatino Linotype"/>
        </w:rPr>
        <w:t>, de certeza, de celeridad, de objetividad,  entre otros.</w:t>
      </w:r>
    </w:p>
    <w:p w14:paraId="098E3E31"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30F48FB4"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8A6047">
        <w:rPr>
          <w:rFonts w:ascii="Palatino Linotype" w:eastAsia="Palatino Linotype" w:hAnsi="Palatino Linotype" w:cs="Palatino Linotype"/>
          <w:b/>
          <w:i/>
        </w:rPr>
        <w:t xml:space="preserve">reproducción </w:t>
      </w:r>
      <w:r w:rsidRPr="008A6047">
        <w:rPr>
          <w:rFonts w:ascii="Palatino Linotype" w:eastAsia="Palatino Linotype" w:hAnsi="Palatino Linotype" w:cs="Palatino Linotype"/>
        </w:rPr>
        <w:t xml:space="preserve">de la información, y en su caso del costo de </w:t>
      </w:r>
      <w:r w:rsidRPr="008A6047">
        <w:rPr>
          <w:rFonts w:ascii="Palatino Linotype" w:eastAsia="Palatino Linotype" w:hAnsi="Palatino Linotype" w:cs="Palatino Linotype"/>
          <w:b/>
          <w:i/>
        </w:rPr>
        <w:t>envío</w:t>
      </w:r>
      <w:r w:rsidRPr="008A6047">
        <w:rPr>
          <w:rFonts w:ascii="Palatino Linotype" w:eastAsia="Palatino Linotype" w:hAnsi="Palatino Linotype" w:cs="Palatino Linotype"/>
        </w:rPr>
        <w:t>, finalmente, conlleva implícitamente un esfuerzo por parte de los Sujetos Obligados para reducir los costos de entrega de la información.</w:t>
      </w:r>
    </w:p>
    <w:p w14:paraId="3139C52F"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104E58EB"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w:t>
      </w:r>
      <w:r w:rsidRPr="008A6047">
        <w:rPr>
          <w:rFonts w:ascii="Palatino Linotype" w:eastAsia="Palatino Linotype" w:hAnsi="Palatino Linotype" w:cs="Palatino Linotype"/>
        </w:rPr>
        <w:lastRenderedPageBreak/>
        <w:t xml:space="preserve">garantizar a toda persona el derecho de acceso a la información pública, a través de procedimientos sencillos, expeditos, oportunos y </w:t>
      </w:r>
      <w:r w:rsidRPr="008A6047">
        <w:rPr>
          <w:rFonts w:ascii="Palatino Linotype" w:eastAsia="Palatino Linotype" w:hAnsi="Palatino Linotype" w:cs="Palatino Linotype"/>
          <w:b/>
          <w:i/>
        </w:rPr>
        <w:t>gratuitos</w:t>
      </w:r>
      <w:r w:rsidRPr="008A6047">
        <w:rPr>
          <w:rFonts w:ascii="Palatino Linotype" w:eastAsia="Palatino Linotype" w:hAnsi="Palatino Linotype" w:cs="Palatino Linotype"/>
          <w:b/>
        </w:rPr>
        <w:t xml:space="preserve">, </w:t>
      </w:r>
      <w:r w:rsidRPr="008A6047">
        <w:rPr>
          <w:rFonts w:ascii="Palatino Linotype" w:eastAsia="Palatino Linotype" w:hAnsi="Palatino Linotype" w:cs="Palatino Linotype"/>
        </w:rPr>
        <w:t xml:space="preserve"> refiere en los artículos 17 y 150, que la búsqueda y acceso a la información es gratuita y </w:t>
      </w:r>
      <w:r w:rsidRPr="008A6047">
        <w:rPr>
          <w:rFonts w:ascii="Palatino Linotype" w:eastAsia="Palatino Linotype" w:hAnsi="Palatino Linotype" w:cs="Palatino Linotype"/>
          <w:b/>
          <w:i/>
        </w:rPr>
        <w:t>sólo se cubrirá en su caso, los gastos de reproducción</w:t>
      </w:r>
      <w:r w:rsidRPr="008A6047">
        <w:rPr>
          <w:rFonts w:ascii="Palatino Linotype" w:eastAsia="Palatino Linotype" w:hAnsi="Palatino Linotype" w:cs="Palatino Linotype"/>
        </w:rPr>
        <w:t xml:space="preserve">, </w:t>
      </w:r>
      <w:r w:rsidRPr="008A6047">
        <w:rPr>
          <w:rFonts w:ascii="Palatino Linotype" w:eastAsia="Palatino Linotype" w:hAnsi="Palatino Linotype" w:cs="Palatino Linotype"/>
          <w:b/>
          <w:i/>
          <w:u w:val="single"/>
        </w:rPr>
        <w:t>por la modalidad de entrega solicitada</w:t>
      </w:r>
      <w:r w:rsidRPr="008A6047">
        <w:rPr>
          <w:rFonts w:ascii="Palatino Linotype" w:eastAsia="Palatino Linotype" w:hAnsi="Palatino Linotype" w:cs="Palatino Linotype"/>
          <w:u w:val="single"/>
        </w:rPr>
        <w:t xml:space="preserve">, </w:t>
      </w:r>
      <w:r w:rsidRPr="008A6047">
        <w:rPr>
          <w:rFonts w:ascii="Palatino Linotype" w:eastAsia="Palatino Linotype" w:hAnsi="Palatino Linotype" w:cs="Palatino Linotype"/>
          <w:b/>
          <w:i/>
          <w:u w:val="single"/>
        </w:rPr>
        <w:t xml:space="preserve">o por </w:t>
      </w:r>
      <w:proofErr w:type="spellStart"/>
      <w:r w:rsidRPr="008A6047">
        <w:rPr>
          <w:rFonts w:ascii="Palatino Linotype" w:eastAsia="Palatino Linotype" w:hAnsi="Palatino Linotype" w:cs="Palatino Linotype"/>
          <w:b/>
          <w:i/>
          <w:u w:val="single"/>
        </w:rPr>
        <w:t>el</w:t>
      </w:r>
      <w:proofErr w:type="spellEnd"/>
      <w:r w:rsidRPr="008A6047">
        <w:rPr>
          <w:rFonts w:ascii="Palatino Linotype" w:eastAsia="Palatino Linotype" w:hAnsi="Palatino Linotype" w:cs="Palatino Linotype"/>
          <w:b/>
          <w:i/>
          <w:u w:val="single"/>
        </w:rPr>
        <w:t xml:space="preserve"> envió</w:t>
      </w:r>
      <w:r w:rsidRPr="008A6047">
        <w:rPr>
          <w:rFonts w:ascii="Palatino Linotype" w:eastAsia="Palatino Linotype" w:hAnsi="Palatino Linotype" w:cs="Palatino Linotype"/>
          <w:u w:val="single"/>
        </w:rPr>
        <w:t xml:space="preserve"> </w:t>
      </w:r>
      <w:r w:rsidRPr="008A6047">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sidRPr="008A6047">
        <w:rPr>
          <w:rFonts w:ascii="Palatino Linotype" w:eastAsia="Palatino Linotype" w:hAnsi="Palatino Linotype" w:cs="Palatino Linotype"/>
          <w:i/>
        </w:rPr>
        <w:t>se rige por los principios de simplicidad, rapidez, gratuidad,</w:t>
      </w:r>
      <w:r w:rsidRPr="008A6047">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28B5F5BB"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8A6047">
        <w:rPr>
          <w:rFonts w:ascii="Palatino Linotype" w:eastAsia="Palatino Linotype" w:hAnsi="Palatino Linotype" w:cs="Palatino Linotype"/>
          <w:b/>
          <w:i/>
        </w:rPr>
        <w:t>en caso de que se tenga que generar un gasto por la reproducción, por el envío, o por la modalidad de entrega solicitada,</w:t>
      </w:r>
      <w:r w:rsidRPr="008A6047">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México y Municipios, así como el artículo 4.22 de su Reglamento.</w:t>
      </w:r>
    </w:p>
    <w:p w14:paraId="67A0CFE9"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 xml:space="preserve">No obstante, en el caso concreto, dichos preceptos son interpretados en perjuicio de la solicitante, como se explica enseguida, para lo cual es necesario hacer referencia a los mismos en su parte conducente: </w:t>
      </w:r>
    </w:p>
    <w:p w14:paraId="1F551AB4"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xml:space="preserve">“Artículo 9. </w:t>
      </w:r>
      <w:r w:rsidRPr="008A6047">
        <w:rPr>
          <w:rFonts w:ascii="Palatino Linotype" w:eastAsia="Palatino Linotype" w:hAnsi="Palatino Linotype" w:cs="Palatino Linotype"/>
          <w:i/>
          <w:sz w:val="22"/>
          <w:szCs w:val="22"/>
        </w:rPr>
        <w:t>El Instituto deberá regir su funcionamiento de acuerdo a los siguientes principios:</w:t>
      </w:r>
    </w:p>
    <w:p w14:paraId="1EEE24F0" w14:textId="77777777" w:rsidR="00414811" w:rsidRPr="008A6047" w:rsidRDefault="008408AC">
      <w:pPr>
        <w:spacing w:before="120" w:after="120"/>
        <w:ind w:left="851" w:right="902"/>
        <w:jc w:val="both"/>
        <w:rPr>
          <w:rFonts w:ascii="Palatino Linotype" w:eastAsia="Palatino Linotype" w:hAnsi="Palatino Linotype" w:cs="Palatino Linotype"/>
          <w:b/>
          <w:i/>
          <w:sz w:val="22"/>
          <w:szCs w:val="22"/>
        </w:rPr>
      </w:pPr>
      <w:r w:rsidRPr="008A6047">
        <w:rPr>
          <w:rFonts w:ascii="Palatino Linotype" w:eastAsia="Palatino Linotype" w:hAnsi="Palatino Linotype" w:cs="Palatino Linotype"/>
          <w:b/>
          <w:i/>
          <w:sz w:val="22"/>
          <w:szCs w:val="22"/>
        </w:rPr>
        <w:t>...</w:t>
      </w:r>
    </w:p>
    <w:p w14:paraId="310BD1D9"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xml:space="preserve">III. Gratuidad: </w:t>
      </w:r>
      <w:r w:rsidRPr="008A6047">
        <w:rPr>
          <w:rFonts w:ascii="Palatino Linotype" w:eastAsia="Palatino Linotype" w:hAnsi="Palatino Linotype" w:cs="Palatino Linotype"/>
          <w:i/>
          <w:sz w:val="22"/>
          <w:szCs w:val="22"/>
        </w:rPr>
        <w:t xml:space="preserve">Consiste en que el acceso a la información pública no genera costo alguno para los solicitantes, </w:t>
      </w:r>
      <w:r w:rsidRPr="008A6047">
        <w:rPr>
          <w:rFonts w:ascii="Palatino Linotype" w:eastAsia="Palatino Linotype" w:hAnsi="Palatino Linotype" w:cs="Palatino Linotype"/>
          <w:b/>
          <w:i/>
          <w:sz w:val="22"/>
          <w:szCs w:val="22"/>
        </w:rPr>
        <w:t xml:space="preserve">sólo podrá requerirse el cobro correspondiente a la modalidad de reproducción y entrega solicitada </w:t>
      </w:r>
      <w:r w:rsidRPr="008A6047">
        <w:rPr>
          <w:rFonts w:ascii="Palatino Linotype" w:eastAsia="Palatino Linotype" w:hAnsi="Palatino Linotype" w:cs="Palatino Linotype"/>
          <w:i/>
          <w:sz w:val="22"/>
          <w:szCs w:val="22"/>
        </w:rPr>
        <w:t>conforme a lo establecido en la presente Ley y demás disposiciones jurídicas aplicables;</w:t>
      </w:r>
    </w:p>
    <w:p w14:paraId="2D7E3053"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5D10A65C"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xml:space="preserve">Artículo 17. </w:t>
      </w:r>
      <w:r w:rsidRPr="008A6047">
        <w:rPr>
          <w:rFonts w:ascii="Palatino Linotype" w:eastAsia="Palatino Linotype" w:hAnsi="Palatino Linotype" w:cs="Palatino Linotype"/>
          <w:i/>
          <w:sz w:val="22"/>
          <w:szCs w:val="22"/>
        </w:rPr>
        <w:t xml:space="preserve">La búsqueda y acceso a la información es gratuita y </w:t>
      </w:r>
      <w:r w:rsidRPr="008A6047">
        <w:rPr>
          <w:rFonts w:ascii="Palatino Linotype" w:eastAsia="Palatino Linotype" w:hAnsi="Palatino Linotype" w:cs="Palatino Linotype"/>
          <w:b/>
          <w:i/>
          <w:sz w:val="22"/>
          <w:szCs w:val="22"/>
        </w:rPr>
        <w:t>solo se cubrirán los gastos de reproducción, o por la modalidad de entrega solicitada</w:t>
      </w:r>
      <w:r w:rsidRPr="008A6047">
        <w:rPr>
          <w:rFonts w:ascii="Palatino Linotype" w:eastAsia="Palatino Linotype" w:hAnsi="Palatino Linotype" w:cs="Palatino Linotype"/>
          <w:i/>
          <w:sz w:val="22"/>
          <w:szCs w:val="22"/>
        </w:rPr>
        <w:t xml:space="preserve">, </w:t>
      </w:r>
      <w:r w:rsidRPr="008A6047">
        <w:rPr>
          <w:rFonts w:ascii="Palatino Linotype" w:eastAsia="Palatino Linotype" w:hAnsi="Palatino Linotype" w:cs="Palatino Linotype"/>
          <w:b/>
          <w:i/>
          <w:sz w:val="22"/>
          <w:szCs w:val="22"/>
        </w:rPr>
        <w:t>así como por el envío</w:t>
      </w:r>
      <w:r w:rsidRPr="008A6047">
        <w:rPr>
          <w:rFonts w:ascii="Palatino Linotype" w:eastAsia="Palatino Linotype" w:hAnsi="Palatino Linotype" w:cs="Palatino Linotype"/>
          <w:i/>
          <w:sz w:val="22"/>
          <w:szCs w:val="22"/>
        </w:rPr>
        <w:t>, que en su caso se genere, de conformidad con los derechos, productos y aprovechamientos establecidos en la legislación aplicable, sin que exceda de los límites establecidos en la presente Ley.</w:t>
      </w:r>
    </w:p>
    <w:p w14:paraId="62CAF8D4"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1FB8BBF4"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Artículo 165. …</w:t>
      </w:r>
    </w:p>
    <w:p w14:paraId="0D0F3871"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La información que se entregue en versión pública, </w:t>
      </w:r>
      <w:r w:rsidRPr="008A6047">
        <w:rPr>
          <w:rFonts w:ascii="Palatino Linotype" w:eastAsia="Palatino Linotype" w:hAnsi="Palatino Linotype" w:cs="Palatino Linotype"/>
          <w:b/>
          <w:i/>
          <w:sz w:val="22"/>
          <w:szCs w:val="22"/>
        </w:rPr>
        <w:t xml:space="preserve">cuya modalidad de reproducción o envío tenga un costo, </w:t>
      </w:r>
      <w:r w:rsidRPr="008A6047">
        <w:rPr>
          <w:rFonts w:ascii="Palatino Linotype" w:eastAsia="Palatino Linotype" w:hAnsi="Palatino Linotype" w:cs="Palatino Linotype"/>
          <w:i/>
          <w:sz w:val="22"/>
          <w:szCs w:val="22"/>
        </w:rPr>
        <w:t>procederá una vez que se acredite el pago respectivo. No puede entenderse como reproducción la elaboración de la misma.</w:t>
      </w:r>
    </w:p>
    <w:p w14:paraId="1BF4EE64"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1E6A33AB"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xml:space="preserve"> Artículo 174. En caso de existir costos para obtener la información</w:t>
      </w:r>
      <w:r w:rsidRPr="008A6047">
        <w:rPr>
          <w:rFonts w:ascii="Palatino Linotype" w:eastAsia="Palatino Linotype" w:hAnsi="Palatino Linotype" w:cs="Palatino Linotype"/>
          <w:i/>
          <w:sz w:val="22"/>
          <w:szCs w:val="22"/>
        </w:rPr>
        <w:t xml:space="preserve"> deberán cubrirse de manera previa a la entrega y </w:t>
      </w:r>
      <w:r w:rsidRPr="008A6047">
        <w:rPr>
          <w:rFonts w:ascii="Palatino Linotype" w:eastAsia="Palatino Linotype" w:hAnsi="Palatino Linotype" w:cs="Palatino Linotype"/>
          <w:b/>
          <w:i/>
          <w:sz w:val="22"/>
          <w:szCs w:val="22"/>
        </w:rPr>
        <w:t>no podrán ser superiores a la suma de</w:t>
      </w:r>
      <w:r w:rsidRPr="008A6047">
        <w:rPr>
          <w:rFonts w:ascii="Palatino Linotype" w:eastAsia="Palatino Linotype" w:hAnsi="Palatino Linotype" w:cs="Palatino Linotype"/>
          <w:i/>
          <w:sz w:val="22"/>
          <w:szCs w:val="22"/>
        </w:rPr>
        <w:t>:</w:t>
      </w:r>
    </w:p>
    <w:p w14:paraId="6B4CE995" w14:textId="77777777" w:rsidR="00414811" w:rsidRPr="008A6047" w:rsidRDefault="00414811">
      <w:pPr>
        <w:spacing w:before="120" w:after="120"/>
        <w:ind w:left="851" w:right="902"/>
        <w:jc w:val="both"/>
        <w:rPr>
          <w:rFonts w:ascii="Palatino Linotype" w:eastAsia="Palatino Linotype" w:hAnsi="Palatino Linotype" w:cs="Palatino Linotype"/>
          <w:i/>
          <w:sz w:val="22"/>
          <w:szCs w:val="22"/>
        </w:rPr>
      </w:pPr>
    </w:p>
    <w:p w14:paraId="00A9D765"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w:t>
      </w:r>
      <w:r w:rsidRPr="008A6047">
        <w:rPr>
          <w:rFonts w:ascii="Palatino Linotype" w:eastAsia="Palatino Linotype" w:hAnsi="Palatino Linotype" w:cs="Palatino Linotype"/>
          <w:i/>
          <w:sz w:val="22"/>
          <w:szCs w:val="22"/>
        </w:rPr>
        <w:t xml:space="preserve"> </w:t>
      </w:r>
      <w:r w:rsidRPr="008A6047">
        <w:rPr>
          <w:rFonts w:ascii="Palatino Linotype" w:eastAsia="Palatino Linotype" w:hAnsi="Palatino Linotype" w:cs="Palatino Linotype"/>
          <w:b/>
          <w:i/>
          <w:sz w:val="22"/>
          <w:szCs w:val="22"/>
        </w:rPr>
        <w:t>El costo de los materiales utilizados en la reproducción</w:t>
      </w:r>
      <w:r w:rsidRPr="008A6047">
        <w:rPr>
          <w:rFonts w:ascii="Palatino Linotype" w:eastAsia="Palatino Linotype" w:hAnsi="Palatino Linotype" w:cs="Palatino Linotype"/>
          <w:i/>
          <w:sz w:val="22"/>
          <w:szCs w:val="22"/>
        </w:rPr>
        <w:t xml:space="preserve"> de la información;</w:t>
      </w:r>
    </w:p>
    <w:p w14:paraId="0EB8DE4A"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w:t>
      </w:r>
      <w:r w:rsidRPr="008A6047">
        <w:rPr>
          <w:rFonts w:ascii="Palatino Linotype" w:eastAsia="Palatino Linotype" w:hAnsi="Palatino Linotype" w:cs="Palatino Linotype"/>
          <w:i/>
          <w:sz w:val="22"/>
          <w:szCs w:val="22"/>
        </w:rPr>
        <w:t xml:space="preserve"> </w:t>
      </w:r>
      <w:r w:rsidRPr="008A6047">
        <w:rPr>
          <w:rFonts w:ascii="Palatino Linotype" w:eastAsia="Palatino Linotype" w:hAnsi="Palatino Linotype" w:cs="Palatino Linotype"/>
          <w:b/>
          <w:i/>
          <w:sz w:val="22"/>
          <w:szCs w:val="22"/>
        </w:rPr>
        <w:t>El costo de envío</w:t>
      </w:r>
      <w:r w:rsidRPr="008A6047">
        <w:rPr>
          <w:rFonts w:ascii="Palatino Linotype" w:eastAsia="Palatino Linotype" w:hAnsi="Palatino Linotype" w:cs="Palatino Linotype"/>
          <w:i/>
          <w:sz w:val="22"/>
          <w:szCs w:val="22"/>
        </w:rPr>
        <w:t>, en su caso; y</w:t>
      </w:r>
    </w:p>
    <w:p w14:paraId="653470E2"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lastRenderedPageBreak/>
        <w:t>III.</w:t>
      </w:r>
      <w:r w:rsidRPr="008A6047">
        <w:rPr>
          <w:rFonts w:ascii="Palatino Linotype" w:eastAsia="Palatino Linotype" w:hAnsi="Palatino Linotype" w:cs="Palatino Linotype"/>
          <w:i/>
          <w:sz w:val="22"/>
          <w:szCs w:val="22"/>
        </w:rPr>
        <w:t xml:space="preserve"> </w:t>
      </w:r>
      <w:r w:rsidRPr="008A6047">
        <w:rPr>
          <w:rFonts w:ascii="Palatino Linotype" w:eastAsia="Palatino Linotype" w:hAnsi="Palatino Linotype" w:cs="Palatino Linotype"/>
          <w:b/>
          <w:i/>
          <w:sz w:val="22"/>
          <w:szCs w:val="22"/>
        </w:rPr>
        <w:t>El pago de la certificación de los documentos</w:t>
      </w:r>
      <w:r w:rsidRPr="008A6047">
        <w:rPr>
          <w:rFonts w:ascii="Palatino Linotype" w:eastAsia="Palatino Linotype" w:hAnsi="Palatino Linotype" w:cs="Palatino Linotype"/>
          <w:i/>
          <w:sz w:val="22"/>
          <w:szCs w:val="22"/>
        </w:rPr>
        <w:t>, cuando proceda.</w:t>
      </w:r>
    </w:p>
    <w:p w14:paraId="27DB75B1"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Las cuotas de los derechos aplicables deberán establecerse, en su caso, en el </w:t>
      </w:r>
      <w:r w:rsidRPr="008A6047">
        <w:rPr>
          <w:rFonts w:ascii="Palatino Linotype" w:eastAsia="Palatino Linotype" w:hAnsi="Palatino Linotype" w:cs="Palatino Linotype"/>
          <w:b/>
          <w:i/>
          <w:sz w:val="22"/>
          <w:szCs w:val="22"/>
        </w:rPr>
        <w:t>Código Financiero del Estado de México y Municipios</w:t>
      </w:r>
      <w:r w:rsidRPr="008A6047">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14:paraId="293ED288"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6A1F6CF7"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xml:space="preserve">Artículo 175. </w:t>
      </w:r>
      <w:r w:rsidRPr="008A6047">
        <w:rPr>
          <w:rFonts w:ascii="Palatino Linotype" w:eastAsia="Palatino Linotype" w:hAnsi="Palatino Linotype" w:cs="Palatino Linotype"/>
          <w:i/>
          <w:sz w:val="22"/>
          <w:szCs w:val="22"/>
        </w:rPr>
        <w:t>…</w:t>
      </w:r>
    </w:p>
    <w:p w14:paraId="52A43D76"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En ningún caso, el pago de derechos deberá exceder el</w:t>
      </w:r>
      <w:r w:rsidRPr="008A6047">
        <w:rPr>
          <w:rFonts w:ascii="Palatino Linotype" w:eastAsia="Palatino Linotype" w:hAnsi="Palatino Linotype" w:cs="Palatino Linotype"/>
          <w:b/>
          <w:i/>
          <w:sz w:val="22"/>
          <w:szCs w:val="22"/>
        </w:rPr>
        <w:t xml:space="preserve"> costo de reproducción de la información en el material solicitado</w:t>
      </w:r>
      <w:r w:rsidRPr="008A6047">
        <w:rPr>
          <w:rFonts w:ascii="Palatino Linotype" w:eastAsia="Palatino Linotype" w:hAnsi="Palatino Linotype" w:cs="Palatino Linotype"/>
          <w:i/>
          <w:sz w:val="22"/>
          <w:szCs w:val="22"/>
        </w:rPr>
        <w:t>.”</w:t>
      </w:r>
    </w:p>
    <w:p w14:paraId="01D6A9C5"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Artículo 4.22</w:t>
      </w:r>
      <w:r w:rsidRPr="008A6047">
        <w:rPr>
          <w:rFonts w:ascii="Palatino Linotype" w:eastAsia="Palatino Linotype" w:hAnsi="Palatino Linotype" w:cs="Palatino Linotype"/>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233B8C23"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w:t>
      </w:r>
      <w:proofErr w:type="spellStart"/>
      <w:r w:rsidRPr="008A6047">
        <w:rPr>
          <w:rFonts w:ascii="Palatino Linotype" w:eastAsia="Palatino Linotype" w:hAnsi="Palatino Linotype" w:cs="Palatino Linotype"/>
        </w:rPr>
        <w:t>el</w:t>
      </w:r>
      <w:proofErr w:type="spellEnd"/>
      <w:r w:rsidRPr="008A6047">
        <w:rPr>
          <w:rFonts w:ascii="Palatino Linotype" w:eastAsia="Palatino Linotype" w:hAnsi="Palatino Linotype" w:cs="Palatino Linotype"/>
        </w:rPr>
        <w:t xml:space="preserve"> envió de la misma o el pago por la certificación, sin embargo, en el caso que nos ocupa, no se estima que se actualice alguno de los supuestos previstos en la norma, toda vez que la persona solicitante requirió la información a través del sistema SAIMEX, por lo tanto no se le está requiriendo al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8A6047">
        <w:rPr>
          <w:rFonts w:ascii="Palatino Linotype" w:eastAsia="Palatino Linotype" w:hAnsi="Palatino Linotype" w:cs="Palatino Linotype"/>
          <w:b/>
        </w:rPr>
        <w:t xml:space="preserve">no es </w:t>
      </w:r>
      <w:r w:rsidRPr="008A6047">
        <w:rPr>
          <w:rFonts w:ascii="Palatino Linotype" w:eastAsia="Palatino Linotype" w:hAnsi="Palatino Linotype" w:cs="Palatino Linotype"/>
          <w:b/>
        </w:rPr>
        <w:lastRenderedPageBreak/>
        <w:t>necesario que el Sujeto Obligado realice una reproducción física de la información que conserva en sus archivos,</w:t>
      </w:r>
      <w:r w:rsidRPr="008A6047">
        <w:rPr>
          <w:rFonts w:ascii="Palatino Linotype" w:eastAsia="Palatino Linotype" w:hAnsi="Palatino Linotype" w:cs="Palatino Linotype"/>
        </w:rPr>
        <w:t xml:space="preserve"> más bien implicaría realizar una digitalización o escaneo de aquellos documentos que por su naturaleza pudieran encontrarse en medio físico.</w:t>
      </w:r>
    </w:p>
    <w:p w14:paraId="3E7BDC94"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10" w:name="_heading=h.rru06gqfnrbq" w:colFirst="0" w:colLast="0"/>
      <w:bookmarkEnd w:id="10"/>
      <w:r w:rsidRPr="008A6047">
        <w:rPr>
          <w:rFonts w:ascii="Palatino Linotype" w:eastAsia="Palatino Linotype" w:hAnsi="Palatino Linotype" w:cs="Palatino Linotype"/>
        </w:rPr>
        <w:t xml:space="preserve">Además, es necesario resaltar que </w:t>
      </w:r>
      <w:r w:rsidRPr="008A6047">
        <w:rPr>
          <w:rFonts w:ascii="Palatino Linotype" w:eastAsia="Palatino Linotype" w:hAnsi="Palatino Linotype" w:cs="Palatino Linotype"/>
          <w:b/>
          <w:u w:val="single"/>
        </w:rPr>
        <w:t>la digitalización o escaneo de la información, no conlleva la utilización de materiales que generen un costo</w:t>
      </w:r>
      <w:r w:rsidRPr="008A6047">
        <w:rPr>
          <w:rFonts w:ascii="Palatino Linotype" w:eastAsia="Palatino Linotype" w:hAnsi="Palatino Linotype" w:cs="Palatino Linotype"/>
        </w:rPr>
        <w:t xml:space="preserve">, como podría serlo por ejemplo hojas de papel para la emisión de copias; de igual manera, tampoco se actualiza el cobro por certificación, ya que la parte solicitante no requirió la entrega en dicha modalidad, así tampoco se genera un gasto por </w:t>
      </w:r>
      <w:proofErr w:type="spellStart"/>
      <w:r w:rsidRPr="008A6047">
        <w:rPr>
          <w:rFonts w:ascii="Palatino Linotype" w:eastAsia="Palatino Linotype" w:hAnsi="Palatino Linotype" w:cs="Palatino Linotype"/>
        </w:rPr>
        <w:t>el</w:t>
      </w:r>
      <w:proofErr w:type="spellEnd"/>
      <w:r w:rsidRPr="008A6047">
        <w:rPr>
          <w:rFonts w:ascii="Palatino Linotype" w:eastAsia="Palatino Linotype" w:hAnsi="Palatino Linotype" w:cs="Palatino Linotype"/>
        </w:rPr>
        <w:t xml:space="preserve">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 por ello, </w:t>
      </w:r>
      <w:r w:rsidRPr="008A6047">
        <w:rPr>
          <w:rFonts w:ascii="Palatino Linotype" w:eastAsia="Palatino Linotype" w:hAnsi="Palatino Linotype" w:cs="Palatino Linotype"/>
          <w:b/>
          <w:u w:val="single"/>
        </w:rPr>
        <w:t>en materia de transparencia no es procedente el pago de derechos por concepto de escaneo o digitalización</w:t>
      </w:r>
      <w:r w:rsidRPr="008A6047">
        <w:rPr>
          <w:rFonts w:ascii="Palatino Linotype" w:eastAsia="Palatino Linotype" w:hAnsi="Palatino Linotype" w:cs="Palatino Linotype"/>
        </w:rPr>
        <w:t>, pues se asume que los Sujetos Obligados cuenten con los medios para realizar dichas acciones sin costo alguno.</w:t>
      </w:r>
    </w:p>
    <w:p w14:paraId="30C9FDA5" w14:textId="77777777" w:rsidR="00414811" w:rsidRPr="008A6047" w:rsidRDefault="008408AC">
      <w:pPr>
        <w:spacing w:before="280" w:after="28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w:t>
      </w:r>
      <w:r w:rsidRPr="008A6047">
        <w:rPr>
          <w:rFonts w:ascii="Palatino Linotype" w:eastAsia="Palatino Linotype" w:hAnsi="Palatino Linotype" w:cs="Palatino Linotype"/>
        </w:rPr>
        <w:lastRenderedPageBreak/>
        <w:t xml:space="preserve">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8A6047">
        <w:rPr>
          <w:rFonts w:ascii="Palatino Linotype" w:eastAsia="Palatino Linotype" w:hAnsi="Palatino Linotype" w:cs="Palatino Linotype"/>
          <w:b/>
          <w:i/>
        </w:rPr>
        <w:t>ningún costo</w:t>
      </w:r>
      <w:r w:rsidRPr="008A6047">
        <w:rPr>
          <w:rFonts w:ascii="Palatino Linotype" w:eastAsia="Palatino Linotype" w:hAnsi="Palatino Linotype" w:cs="Palatino Linotype"/>
          <w:i/>
        </w:rPr>
        <w:t>,</w:t>
      </w:r>
      <w:r w:rsidRPr="008A6047">
        <w:rPr>
          <w:rFonts w:ascii="Palatino Linotype" w:eastAsia="Palatino Linotype" w:hAnsi="Palatino Linotype" w:cs="Palatino Linotype"/>
        </w:rPr>
        <w:t xml:space="preserve"> incluyendo aquella que se hubiera digitalizado previamente por cualquier motivo, y aún menos en aquellos casos en que la modalidad de entrega sea por medio de la plataforma o vía electrónica.</w:t>
      </w:r>
    </w:p>
    <w:p w14:paraId="501481A6" w14:textId="77777777" w:rsidR="00414811" w:rsidRPr="008A6047" w:rsidRDefault="008408AC">
      <w:pPr>
        <w:spacing w:before="280" w:after="28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Por lo que no existe presupuesto jurídico que autorice al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3DBEADEC" w14:textId="77777777" w:rsidR="00414811" w:rsidRPr="008A6047" w:rsidRDefault="008408AC">
      <w:pPr>
        <w:spacing w:before="280" w:after="28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572310CC" w14:textId="77777777" w:rsidR="00414811" w:rsidRPr="008A6047" w:rsidRDefault="008408AC">
      <w:pPr>
        <w:spacing w:before="240" w:after="240" w:line="360" w:lineRule="auto"/>
        <w:ind w:right="51"/>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 xml:space="preserve">En el presente caso, dado que no se está solicitando la reproducción de la información a través de copias simples o certificadas, o el envío a través de una modalidad que genere gastos, sino que se solicita la información de manera digital a través del SAIMEX, se estima que no es procedente el cobro que pretende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pues se insiste, la entrega de información a través de referido sistema no conlleva el uso de materiales, como pudieran ser hojas para expedir copias simples o certificadas, así como tampoco gastos de envío.</w:t>
      </w:r>
    </w:p>
    <w:p w14:paraId="774848AF" w14:textId="77777777" w:rsidR="00414811" w:rsidRPr="008A6047" w:rsidRDefault="008408AC">
      <w:pPr>
        <w:spacing w:before="240" w:after="240" w:line="360" w:lineRule="auto"/>
        <w:ind w:right="51"/>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Sin perder de vista que durante la sustanciación del recurso de revisión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en ningún momento</w:t>
      </w:r>
      <w:r w:rsidRPr="008A6047">
        <w:rPr>
          <w:rFonts w:ascii="Palatino Linotype" w:eastAsia="Palatino Linotype" w:hAnsi="Palatino Linotype" w:cs="Palatino Linotype"/>
          <w:b/>
        </w:rPr>
        <w:t xml:space="preserve"> </w:t>
      </w:r>
      <w:r w:rsidRPr="008A6047">
        <w:rPr>
          <w:rFonts w:ascii="Palatino Linotype" w:eastAsia="Palatino Linotype" w:hAnsi="Palatino Linotype" w:cs="Palatino Linotype"/>
        </w:rPr>
        <w:t>alego o manifestó alguna imposibilidad para entregar la información requerida a través de la modalidad solicitada derivado de la capacidad técnica, administrativa y/o humana del área competente, o bien la capacidad técnica del sistema SAIMEX, sino que por cuenta propia, y de manera injustificada requirió un pago para hacer entregar la información.</w:t>
      </w:r>
    </w:p>
    <w:p w14:paraId="2B1954F7"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11" w:name="_heading=h.9owa0mkskn9u" w:colFirst="0" w:colLast="0"/>
      <w:bookmarkEnd w:id="11"/>
      <w:r w:rsidRPr="008A6047">
        <w:rPr>
          <w:rFonts w:ascii="Palatino Linotype" w:eastAsia="Palatino Linotype" w:hAnsi="Palatino Linotype" w:cs="Palatino Linotype"/>
        </w:rPr>
        <w:t>Bajo tales argumentos, la entrega de la información solicitada, es decir, los documentos comprobatorios del último grado de estudios de los servidores públicos adscritos a la Dirección General, así como la Jefatura de Recursos Humanos, la Jefatura de Adquisiciones, la Unidad de Información, Planeación, Programación y Evaluación, UIPPE; y la Unidad de Transparencia, debe realizarse mediante el sistema SAIMEX, sin costo para la persona solicitante, pudiendo ser de manera enunciativa, el certificado de estudios, el título profesional o la cédula profesional, en versión pública de ser procedente.</w:t>
      </w:r>
    </w:p>
    <w:p w14:paraId="05DD5715" w14:textId="77777777" w:rsidR="00414811" w:rsidRPr="008A6047" w:rsidRDefault="008408A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 xml:space="preserve">De lo hasta aquí expuesto, se concluye que los motivos de inconformidad de la parte </w:t>
      </w:r>
      <w:r w:rsidRPr="008A6047">
        <w:rPr>
          <w:rFonts w:ascii="Palatino Linotype" w:eastAsia="Palatino Linotype" w:hAnsi="Palatino Linotype" w:cs="Palatino Linotype"/>
          <w:b/>
        </w:rPr>
        <w:t xml:space="preserve">Recurrente </w:t>
      </w:r>
      <w:r w:rsidRPr="008A6047">
        <w:rPr>
          <w:rFonts w:ascii="Palatino Linotype" w:eastAsia="Palatino Linotype" w:hAnsi="Palatino Linotype" w:cs="Palatino Linotype"/>
        </w:rPr>
        <w:t xml:space="preserve">devienen fundados, siendo procedente </w:t>
      </w:r>
      <w:r w:rsidRPr="008A6047">
        <w:rPr>
          <w:rFonts w:ascii="Palatino Linotype" w:eastAsia="Palatino Linotype" w:hAnsi="Palatino Linotype" w:cs="Palatino Linotype"/>
          <w:i/>
        </w:rPr>
        <w:t xml:space="preserve">Revocar </w:t>
      </w:r>
      <w:r w:rsidRPr="008A6047">
        <w:rPr>
          <w:rFonts w:ascii="Palatino Linotype" w:eastAsia="Palatino Linotype" w:hAnsi="Palatino Linotype" w:cs="Palatino Linotype"/>
        </w:rPr>
        <w:t xml:space="preserve">la respuesta proporcionada por el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76281D2" w14:textId="77777777" w:rsidR="00414811" w:rsidRPr="008A6047" w:rsidRDefault="008408AC">
      <w:pPr>
        <w:spacing w:before="240" w:after="240" w:line="360" w:lineRule="auto"/>
        <w:ind w:right="51"/>
        <w:jc w:val="both"/>
        <w:rPr>
          <w:rFonts w:ascii="Palatino Linotype" w:eastAsia="Palatino Linotype" w:hAnsi="Palatino Linotype" w:cs="Palatino Linotype"/>
        </w:rPr>
      </w:pPr>
      <w:r w:rsidRPr="008A6047">
        <w:rPr>
          <w:rFonts w:ascii="Palatino Linotype" w:eastAsia="Palatino Linotype" w:hAnsi="Palatino Linotype" w:cs="Palatino Linotype"/>
          <w:b/>
        </w:rPr>
        <w:t xml:space="preserve">Quinto. Versión Pública. </w:t>
      </w:r>
      <w:r w:rsidRPr="008A6047">
        <w:rPr>
          <w:rFonts w:ascii="Palatino Linotype" w:eastAsia="Palatino Linotype" w:hAnsi="Palatino Linotype" w:cs="Palatino Linotype"/>
        </w:rPr>
        <w:t>Como fue debidamente apuntado,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1B09D1" w14:textId="77777777" w:rsidR="00414811" w:rsidRPr="008A6047" w:rsidRDefault="008408AC">
      <w:pPr>
        <w:spacing w:before="240" w:after="240" w:line="360" w:lineRule="auto"/>
        <w:ind w:right="49"/>
        <w:jc w:val="both"/>
        <w:rPr>
          <w:rFonts w:ascii="Palatino Linotype" w:eastAsia="Palatino Linotype" w:hAnsi="Palatino Linotype" w:cs="Palatino Linotype"/>
        </w:rPr>
      </w:pPr>
      <w:r w:rsidRPr="008A6047">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D545710" w14:textId="77777777" w:rsidR="00414811" w:rsidRPr="008A6047" w:rsidRDefault="008408AC">
      <w:pPr>
        <w:spacing w:before="240" w:after="240" w:line="360" w:lineRule="auto"/>
        <w:ind w:right="49"/>
        <w:jc w:val="both"/>
        <w:rPr>
          <w:rFonts w:ascii="Palatino Linotype" w:eastAsia="Palatino Linotype" w:hAnsi="Palatino Linotype" w:cs="Palatino Linotype"/>
        </w:rPr>
      </w:pPr>
      <w:r w:rsidRPr="008A604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79CED3D" w14:textId="77777777" w:rsidR="00414811" w:rsidRPr="008A6047" w:rsidRDefault="008408AC">
      <w:pPr>
        <w:spacing w:before="240" w:after="240" w:line="360" w:lineRule="auto"/>
        <w:ind w:right="49"/>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Al respecto, los artículos 3, fracciones IX, XX, XXI, XXXII, XLV; 6, 91, 132, 137, 143, fracción I, de la Ley de Transparencia y Acceso a la Información Pública del Estado de México y Municipios vigente establecen:</w:t>
      </w:r>
    </w:p>
    <w:p w14:paraId="2A45EA45"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rPr>
        <w:t> </w:t>
      </w: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Artículo 3.</w:t>
      </w:r>
      <w:r w:rsidRPr="008A6047">
        <w:rPr>
          <w:rFonts w:ascii="Palatino Linotype" w:eastAsia="Palatino Linotype" w:hAnsi="Palatino Linotype" w:cs="Palatino Linotype"/>
          <w:i/>
          <w:sz w:val="22"/>
          <w:szCs w:val="22"/>
        </w:rPr>
        <w:t xml:space="preserve"> Para los efectos de la presente Ley se entenderá por:</w:t>
      </w:r>
    </w:p>
    <w:p w14:paraId="573919E1"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44A2AB26"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IX. Datos personales</w:t>
      </w:r>
      <w:r w:rsidRPr="008A6047">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F8CA58D"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41B7D668"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XX. Información clasificada</w:t>
      </w:r>
      <w:r w:rsidRPr="008A6047">
        <w:rPr>
          <w:rFonts w:ascii="Palatino Linotype" w:eastAsia="Palatino Linotype" w:hAnsi="Palatino Linotype" w:cs="Palatino Linotype"/>
          <w:i/>
          <w:sz w:val="22"/>
          <w:szCs w:val="22"/>
        </w:rPr>
        <w:t>: Aquella considerada por la presente Ley como reservada o confidencial;</w:t>
      </w:r>
    </w:p>
    <w:p w14:paraId="44A938DC"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XXI. Información confidencial</w:t>
      </w:r>
      <w:r w:rsidRPr="008A6047">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F72B09"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673ACD50"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XXXII. Protección de Datos Personales</w:t>
      </w:r>
      <w:r w:rsidRPr="008A6047">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5E3561F"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0D6BB7DC" w14:textId="77777777" w:rsidR="00414811" w:rsidRPr="008A6047" w:rsidRDefault="008408AC">
      <w:pPr>
        <w:tabs>
          <w:tab w:val="left" w:pos="1276"/>
        </w:tabs>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XLV. Versión pública</w:t>
      </w:r>
      <w:r w:rsidRPr="008A604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879292B"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Artículo 6</w:t>
      </w:r>
      <w:r w:rsidRPr="008A6047">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B2D43F1"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lastRenderedPageBreak/>
        <w:t>(…</w:t>
      </w:r>
    </w:p>
    <w:p w14:paraId="72944EFD"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Artículo 91.</w:t>
      </w:r>
      <w:r w:rsidRPr="008A604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A6047">
        <w:rPr>
          <w:rFonts w:ascii="Palatino Linotype" w:eastAsia="Palatino Linotype" w:hAnsi="Palatino Linotype" w:cs="Palatino Linotype"/>
          <w:i/>
          <w:sz w:val="22"/>
          <w:szCs w:val="22"/>
        </w:rPr>
        <w:br/>
        <w:t>…</w:t>
      </w:r>
    </w:p>
    <w:p w14:paraId="3EA722F7"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Artículo 132.</w:t>
      </w:r>
      <w:r w:rsidRPr="008A6047">
        <w:rPr>
          <w:rFonts w:ascii="Palatino Linotype" w:eastAsia="Palatino Linotype" w:hAnsi="Palatino Linotype" w:cs="Palatino Linotype"/>
          <w:i/>
          <w:sz w:val="22"/>
          <w:szCs w:val="22"/>
        </w:rPr>
        <w:t xml:space="preserve"> La clasificación de la información se llevará a cabo en el momento en que:</w:t>
      </w:r>
    </w:p>
    <w:p w14:paraId="2CF53CAB"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w:t>
      </w:r>
      <w:r w:rsidRPr="008A6047">
        <w:rPr>
          <w:rFonts w:ascii="Palatino Linotype" w:eastAsia="Palatino Linotype" w:hAnsi="Palatino Linotype" w:cs="Palatino Linotype"/>
          <w:i/>
          <w:sz w:val="22"/>
          <w:szCs w:val="22"/>
        </w:rPr>
        <w:t>. Se reciba una solicitud de acceso a la información;</w:t>
      </w:r>
    </w:p>
    <w:p w14:paraId="572524EA"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w:t>
      </w:r>
      <w:r w:rsidRPr="008A6047">
        <w:rPr>
          <w:rFonts w:ascii="Palatino Linotype" w:eastAsia="Palatino Linotype" w:hAnsi="Palatino Linotype" w:cs="Palatino Linotype"/>
          <w:i/>
          <w:sz w:val="22"/>
          <w:szCs w:val="22"/>
        </w:rPr>
        <w:t xml:space="preserve"> Se determine mediante resolución de autoridad competente; o</w:t>
      </w:r>
    </w:p>
    <w:p w14:paraId="47061912"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III.</w:t>
      </w:r>
      <w:r w:rsidRPr="008A604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FFCAF3D"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w:t>
      </w:r>
    </w:p>
    <w:p w14:paraId="2BDB9FFD"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Artículo 137.</w:t>
      </w:r>
      <w:r w:rsidRPr="008A604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39564CF"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Artículo 143.</w:t>
      </w:r>
      <w:r w:rsidRPr="008A6047">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5492002"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w:t>
      </w:r>
      <w:r w:rsidRPr="008A604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15DB927" w14:textId="77777777" w:rsidR="00414811" w:rsidRPr="008A6047" w:rsidRDefault="008408AC">
      <w:pPr>
        <w:spacing w:before="240" w:after="240" w:line="360" w:lineRule="auto"/>
        <w:ind w:right="50"/>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w:t>
      </w:r>
      <w:r w:rsidRPr="008A6047">
        <w:rPr>
          <w:rFonts w:ascii="Palatino Linotype" w:eastAsia="Palatino Linotype" w:hAnsi="Palatino Linotype" w:cs="Palatino Linotype"/>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394F180" w14:textId="77777777" w:rsidR="00414811" w:rsidRPr="008A6047" w:rsidRDefault="008408AC">
      <w:pPr>
        <w:spacing w:before="240" w:after="240" w:line="360" w:lineRule="auto"/>
        <w:ind w:right="50"/>
        <w:jc w:val="both"/>
        <w:rPr>
          <w:rFonts w:ascii="Palatino Linotype" w:eastAsia="Palatino Linotype" w:hAnsi="Palatino Linotype" w:cs="Palatino Linotype"/>
        </w:rPr>
      </w:pPr>
      <w:r w:rsidRPr="008A604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401774B" w14:textId="77777777" w:rsidR="00414811" w:rsidRPr="008A6047" w:rsidRDefault="008408AC">
      <w:pPr>
        <w:spacing w:before="240" w:after="240" w:line="360" w:lineRule="auto"/>
        <w:ind w:right="50"/>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Clave Única de Registro de Población (CURP), firma y cadenas de firmas electrónica de los servidores públicos en su calidad de particulares, código QR, datos académicos, entre otros.</w:t>
      </w:r>
    </w:p>
    <w:p w14:paraId="574A5023" w14:textId="77777777" w:rsidR="00414811" w:rsidRPr="008A6047" w:rsidRDefault="008408AC">
      <w:pPr>
        <w:spacing w:before="240" w:after="240" w:line="360" w:lineRule="auto"/>
        <w:ind w:right="50"/>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8A6047">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58F12B06" w14:textId="77777777" w:rsidR="00414811" w:rsidRPr="008A6047" w:rsidRDefault="008408A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Por lo que respecta a la Clave Única de Registro de Población, (CURP)</w:t>
      </w:r>
      <w:r w:rsidRPr="008A6047">
        <w:rPr>
          <w:rFonts w:ascii="Palatino Linotype" w:eastAsia="Palatino Linotype" w:hAnsi="Palatino Linotype" w:cs="Palatino Linotype"/>
          <w:b/>
        </w:rPr>
        <w:t>,</w:t>
      </w:r>
      <w:r w:rsidRPr="008A6047">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70C7CFE"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Argumento se apoya del criterio orientador con Clave de control SO/018/2017, emitido por el entonces Instituto Nacional de Transparencia, Acceso a la Información y Protección de Datos Personales, INAI, el cual refiere:</w:t>
      </w:r>
    </w:p>
    <w:p w14:paraId="7523E0C1" w14:textId="77777777" w:rsidR="00414811" w:rsidRPr="008A6047" w:rsidRDefault="008408AC">
      <w:pPr>
        <w:ind w:left="851" w:right="851"/>
        <w:jc w:val="both"/>
        <w:rPr>
          <w:rFonts w:ascii="Palatino Linotype" w:eastAsia="Palatino Linotype" w:hAnsi="Palatino Linotype" w:cs="Palatino Linotype"/>
          <w:i/>
          <w:sz w:val="21"/>
          <w:szCs w:val="21"/>
        </w:rPr>
      </w:pPr>
      <w:r w:rsidRPr="008A6047">
        <w:rPr>
          <w:rFonts w:ascii="Palatino Linotype" w:eastAsia="Palatino Linotype" w:hAnsi="Palatino Linotype" w:cs="Palatino Linotype"/>
          <w:b/>
          <w:i/>
          <w:sz w:val="21"/>
          <w:szCs w:val="21"/>
        </w:rPr>
        <w:t xml:space="preserve">“Clave Única de Registro de Población (CURP). </w:t>
      </w:r>
      <w:r w:rsidRPr="008A6047">
        <w:rPr>
          <w:rFonts w:ascii="Palatino Linotype" w:eastAsia="Palatino Linotype" w:hAnsi="Palatino Linotype" w:cs="Palatino Linotype"/>
          <w:i/>
          <w:sz w:val="21"/>
          <w:szCs w:val="2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C724D10"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Sobre la </w:t>
      </w:r>
      <w:r w:rsidRPr="008A6047">
        <w:rPr>
          <w:rFonts w:ascii="Palatino Linotype" w:eastAsia="Palatino Linotype" w:hAnsi="Palatino Linotype" w:cs="Palatino Linotype"/>
          <w:b/>
        </w:rPr>
        <w:t xml:space="preserve">firma de servidores públicos </w:t>
      </w:r>
      <w:r w:rsidRPr="008A6047">
        <w:rPr>
          <w:rFonts w:ascii="Palatino Linotype" w:eastAsia="Palatino Linotype" w:hAnsi="Palatino Linotype" w:cs="Palatino Linotype"/>
        </w:rPr>
        <w:t>titulares de los documentos comprobatorios del grado de estudios</w:t>
      </w:r>
      <w:r w:rsidRPr="008A6047">
        <w:rPr>
          <w:rFonts w:ascii="Palatino Linotype" w:eastAsia="Palatino Linotype" w:hAnsi="Palatino Linotype" w:cs="Palatino Linotype"/>
          <w:b/>
        </w:rPr>
        <w:t>,</w:t>
      </w:r>
      <w:r w:rsidRPr="008A6047">
        <w:rPr>
          <w:rFonts w:ascii="Palatino Linotype" w:eastAsia="Palatino Linotype" w:hAnsi="Palatino Linotype" w:cs="Palatino Linotype"/>
        </w:rPr>
        <w:t xml:space="preserve"> es de señalar que se trata de un dato personal concerniente a una persona física identificada o identificable, al tratarse de información gráfica a través de la cual su titular exterioriza su voluntad en actos públicos y privados.</w:t>
      </w:r>
    </w:p>
    <w:p w14:paraId="48034FE1"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 xml:space="preserve">Ahora bien, aún y cuando la firma en cuestión sea de un servidor público, se advierte que en los documentos comprobatorios del grado de estudios, ésta no fue estampada en virtud de actos que se realizan por sus atribuciones, por lo que es un dato susceptible de clasificación, dado que éste </w:t>
      </w:r>
      <w:r w:rsidRPr="008A6047">
        <w:rPr>
          <w:rFonts w:ascii="Palatino Linotype" w:eastAsia="Palatino Linotype" w:hAnsi="Palatino Linotype" w:cs="Palatino Linotype"/>
          <w:b/>
        </w:rPr>
        <w:t>únicamente es público cuando sirva para la emisión de un acto de autoridad</w:t>
      </w:r>
      <w:r w:rsidRPr="008A6047">
        <w:rPr>
          <w:rFonts w:ascii="Palatino Linotype" w:eastAsia="Palatino Linotype" w:hAnsi="Palatino Linotype" w:cs="Palatino Linotype"/>
        </w:rPr>
        <w:t>, en ejercicio de sus funciones.</w:t>
      </w:r>
    </w:p>
    <w:p w14:paraId="421C4853"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En otras palabras, la firma de servidores públicos es información de naturaleza pública cuando se vincula al ejercicio de la función pública, pues documenta y rinde cuentas sobre el debido ejercicio de sus atribuciones, lo cual acontece en el presente caso únicamente respecto de las autoridades escolares, pues otorgan validez a los documentos comprobatorios del grado de estudios, no así respecto de los servidores públicos titulares de dichos documentos, en el entendido de que dicho documento fue obtenido en su carácter de particulares.</w:t>
      </w:r>
    </w:p>
    <w:p w14:paraId="520F6CF8" w14:textId="77777777" w:rsidR="00414811" w:rsidRPr="008A6047" w:rsidRDefault="008408AC">
      <w:pPr>
        <w:spacing w:before="240" w:after="240" w:line="360" w:lineRule="auto"/>
        <w:ind w:right="40"/>
        <w:jc w:val="both"/>
        <w:rPr>
          <w:rFonts w:ascii="Palatino Linotype" w:eastAsia="Palatino Linotype" w:hAnsi="Palatino Linotype" w:cs="Palatino Linotype"/>
        </w:rPr>
      </w:pPr>
      <w:r w:rsidRPr="008A6047">
        <w:rPr>
          <w:rFonts w:ascii="Palatino Linotype" w:eastAsia="Palatino Linotype" w:hAnsi="Palatino Linotype" w:cs="Palatino Linotype"/>
        </w:rPr>
        <w:t>Sirve de apoyo a lo anterior el criterio de interpretación con clave de control SO/002/2019, emitido por el entonces Instituto Nacional de Transparencia, Acceso a la Información y Protección de Datos Personales, cuyo rubro y texto establecen lo siguiente:</w:t>
      </w:r>
    </w:p>
    <w:p w14:paraId="34D4579C" w14:textId="77777777" w:rsidR="00414811" w:rsidRPr="008A6047" w:rsidRDefault="008408AC" w:rsidP="00AC6DC0">
      <w:pPr>
        <w:spacing w:before="120" w:after="120"/>
        <w:ind w:left="860"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Firma y rúbrica de servidores públicos.</w:t>
      </w:r>
      <w:r w:rsidRPr="008A6047">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131DCA1"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Conforme a lo expuesto, en el presente caso, procede la clasificación de la firma de los servidores públicos titulares del documento comprobatorio del nivel de estudios, en términos del artículo 143, fracción I de la Ley de Transparencia y Acceso a la </w:t>
      </w:r>
      <w:r w:rsidRPr="008A6047">
        <w:rPr>
          <w:rFonts w:ascii="Palatino Linotype" w:eastAsia="Palatino Linotype" w:hAnsi="Palatino Linotype" w:cs="Palatino Linotype"/>
        </w:rPr>
        <w:lastRenderedPageBreak/>
        <w:t>Información Pública del Estado de México y Municipios, en virtud de que dicho dato únicamente da cuenta de la aceptación de un grado ante la Secretaría de Educación Pública.</w:t>
      </w:r>
    </w:p>
    <w:p w14:paraId="00E9E7FB"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Por lo que se refiere a las </w:t>
      </w:r>
      <w:r w:rsidRPr="008A6047">
        <w:rPr>
          <w:rFonts w:ascii="Palatino Linotype" w:eastAsia="Palatino Linotype" w:hAnsi="Palatino Linotype" w:cs="Palatino Linotype"/>
          <w:b/>
        </w:rPr>
        <w:t>cadenas de firmas electrónicas</w:t>
      </w:r>
      <w:r w:rsidRPr="008A6047">
        <w:rPr>
          <w:rFonts w:ascii="Palatino Linotype" w:eastAsia="Palatino Linotype" w:hAnsi="Palatino Linotype" w:cs="Palatino Linotype"/>
        </w:rPr>
        <w:t>, en las cédulas profesionales electrónicas, son elementos de seguridad, de verificación y autenticidad de la cédula profesional electrónica, en las que de su acceso se podrá verificar el contenido del documento.</w:t>
      </w:r>
    </w:p>
    <w:p w14:paraId="28753358"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En ese sentido, se considera que dicho dato actualiza la causal de clasificación prevista en el artículo 143, fracción I de la Ley de la materia, toda vez que da acceso a la Clave Única de Registro de Población de los servidores públicos, dato que como se señaló previamente, es clasificado.</w:t>
      </w:r>
    </w:p>
    <w:p w14:paraId="333F826C"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Por otro lado, respecto  al </w:t>
      </w:r>
      <w:r w:rsidRPr="008A6047">
        <w:rPr>
          <w:rFonts w:ascii="Palatino Linotype" w:eastAsia="Palatino Linotype" w:hAnsi="Palatino Linotype" w:cs="Palatino Linotype"/>
          <w:b/>
        </w:rPr>
        <w:t xml:space="preserve">Código QR </w:t>
      </w:r>
      <w:r w:rsidRPr="008A6047">
        <w:rPr>
          <w:rFonts w:ascii="Palatino Linotype" w:eastAsia="Palatino Linotype" w:hAnsi="Palatino Linotype" w:cs="Palatino Linotype"/>
        </w:rPr>
        <w:t>contenido en la cédula profesional electrónica</w:t>
      </w:r>
      <w:r w:rsidRPr="008A6047">
        <w:rPr>
          <w:rFonts w:ascii="Palatino Linotype" w:eastAsia="Palatino Linotype" w:hAnsi="Palatino Linotype" w:cs="Palatino Linotype"/>
          <w:b/>
        </w:rPr>
        <w:t>,</w:t>
      </w:r>
      <w:r w:rsidRPr="008A6047">
        <w:rPr>
          <w:rFonts w:ascii="Palatino Linotype" w:eastAsia="Palatino Linotype" w:hAnsi="Palatino Linotype" w:cs="Palatino Linotype"/>
        </w:rPr>
        <w:t xml:space="preserve"> en principio, resulta necesario señalar que este código es capaz de almacenar determinado tipo de información, como una URL, SMS, Email, Texto, </w:t>
      </w:r>
      <w:proofErr w:type="spellStart"/>
      <w:r w:rsidRPr="008A6047">
        <w:rPr>
          <w:rFonts w:ascii="Palatino Linotype" w:eastAsia="Palatino Linotype" w:hAnsi="Palatino Linotype" w:cs="Palatino Linotype"/>
        </w:rPr>
        <w:t>etc</w:t>
      </w:r>
      <w:proofErr w:type="spellEnd"/>
      <w:r w:rsidRPr="008A6047">
        <w:rPr>
          <w:rFonts w:ascii="Palatino Linotype" w:eastAsia="Palatino Linotype" w:hAnsi="Palatino Linotype" w:cs="Palatino Linotype"/>
        </w:rPr>
        <w:t xml:space="preserve">, siendo que, para el presente caso, la cédula profesional electrónica contiene una URL en el que se pueden consultar diversa información, como; datos de la institución de procedencia, datos del profesionista, nombre, primer y segundo apellido y los datos de programa cursado. </w:t>
      </w:r>
    </w:p>
    <w:p w14:paraId="267B4B34"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De tales circunstancias, se considera que dicho dato no actualiza la causal de clasificación prevista en el artículo 143, fracción I de la Ley de la materia, por lo tanto, no es susceptible de clasificación.</w:t>
      </w:r>
    </w:p>
    <w:p w14:paraId="6300E38A"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En lo que concierne a los datos académicos</w:t>
      </w:r>
      <w:r w:rsidRPr="008A6047">
        <w:rPr>
          <w:rFonts w:ascii="Palatino Linotype" w:eastAsia="Palatino Linotype" w:hAnsi="Palatino Linotype" w:cs="Palatino Linotype"/>
          <w:b/>
        </w:rPr>
        <w:t xml:space="preserve">, </w:t>
      </w:r>
      <w:r w:rsidRPr="008A6047">
        <w:rPr>
          <w:rFonts w:ascii="Palatino Linotype" w:eastAsia="Palatino Linotype" w:hAnsi="Palatino Linotype" w:cs="Palatino Linotype"/>
        </w:rPr>
        <w:t>se refieren a todos aquellos datos relacionados con la trayectoria educativa de una persona, los cuales pueden ser números de registro, cuenta, matrículas, calificaciones, promedios, porcentajes de aprendizaje o dominio sobre un tema o materia, créditos, números de certificados, y cualquier otro dato que se relacione con la preparación académica de una persona, que para el caso que nos ocupa, no se relacionan con el servicio público y que más bien tienen comunión con aspectos de la vida privada, ya que no se advierte que formen parte de requisitos o elementos con los que la normatividad exija contar para el desempeño del cargo, en cada caso en específico, por lo que constituyen datos personales que conciernen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4261EEE" w14:textId="77777777" w:rsidR="00414811" w:rsidRPr="008A6047" w:rsidRDefault="008408AC">
      <w:pPr>
        <w:tabs>
          <w:tab w:val="left" w:pos="4962"/>
        </w:tabs>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Finalmente, respecto a la </w:t>
      </w:r>
      <w:r w:rsidRPr="008A6047">
        <w:rPr>
          <w:rFonts w:ascii="Palatino Linotype" w:eastAsia="Palatino Linotype" w:hAnsi="Palatino Linotype" w:cs="Palatino Linotype"/>
          <w:b/>
        </w:rPr>
        <w:t xml:space="preserve">fotografía </w:t>
      </w:r>
      <w:r w:rsidRPr="008A6047">
        <w:rPr>
          <w:rFonts w:ascii="Palatino Linotype" w:eastAsia="Palatino Linotype" w:hAnsi="Palatino Linotype" w:cs="Palatino Linotype"/>
        </w:rPr>
        <w:t xml:space="preserve">contenida en los documentos comprobatorios de nivel de estudios, 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w:t>
      </w:r>
      <w:r w:rsidRPr="008A6047">
        <w:rPr>
          <w:rFonts w:ascii="Palatino Linotype" w:eastAsia="Palatino Linotype" w:hAnsi="Palatino Linotype" w:cs="Palatino Linotype"/>
        </w:rPr>
        <w:lastRenderedPageBreak/>
        <w:t>Ley de Protección de Datos Personales en Posesión de Sujetos Obligados del Estado de México y Municipios.</w:t>
      </w:r>
    </w:p>
    <w:p w14:paraId="357D60EF" w14:textId="77777777" w:rsidR="00414811" w:rsidRPr="008A6047" w:rsidRDefault="008408AC">
      <w:pPr>
        <w:tabs>
          <w:tab w:val="left" w:pos="4962"/>
        </w:tabs>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25FC8DD0" w14:textId="77777777" w:rsidR="00414811" w:rsidRPr="008A6047" w:rsidRDefault="008408AC">
      <w:pPr>
        <w:tabs>
          <w:tab w:val="left" w:pos="4962"/>
        </w:tabs>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64D927FF" w14:textId="77777777" w:rsidR="00414811" w:rsidRPr="008A6047" w:rsidRDefault="008408AC">
      <w:pPr>
        <w:tabs>
          <w:tab w:val="left" w:pos="4962"/>
        </w:tabs>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79E04DC1" w14:textId="77777777" w:rsidR="00414811" w:rsidRPr="008A6047" w:rsidRDefault="008408AC">
      <w:pPr>
        <w:spacing w:before="240" w:after="240" w:line="360" w:lineRule="auto"/>
        <w:ind w:right="50"/>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Responsable de la </w:t>
      </w:r>
      <w:r w:rsidRPr="008A6047">
        <w:rPr>
          <w:rFonts w:ascii="Palatino Linotype" w:eastAsia="Palatino Linotype" w:hAnsi="Palatino Linotype" w:cs="Palatino Linotype"/>
        </w:rPr>
        <w:lastRenderedPageBreak/>
        <w:t>Unidad de Transparencia del Sujeto Obligado, sino que ello deberá realizarse en términos de lo que disponen los artículos 49 fracción VIII, 53, fracción X y 59, fracción V, de la Ley en consulta, cuyo sentido literal es el siguiente:</w:t>
      </w:r>
    </w:p>
    <w:p w14:paraId="2D13E970" w14:textId="77777777" w:rsidR="00414811" w:rsidRPr="008A6047" w:rsidRDefault="008408AC">
      <w:pPr>
        <w:spacing w:before="120" w:after="12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“Artículo 49.</w:t>
      </w:r>
      <w:r w:rsidRPr="008A6047">
        <w:rPr>
          <w:rFonts w:ascii="Palatino Linotype" w:eastAsia="Palatino Linotype" w:hAnsi="Palatino Linotype" w:cs="Palatino Linotype"/>
          <w:i/>
          <w:sz w:val="22"/>
          <w:szCs w:val="22"/>
        </w:rPr>
        <w:t xml:space="preserve"> </w:t>
      </w:r>
      <w:r w:rsidRPr="008A6047">
        <w:rPr>
          <w:rFonts w:ascii="Palatino Linotype" w:eastAsia="Palatino Linotype" w:hAnsi="Palatino Linotype" w:cs="Palatino Linotype"/>
          <w:b/>
          <w:i/>
          <w:sz w:val="22"/>
          <w:szCs w:val="22"/>
        </w:rPr>
        <w:t>Los Comités de Transparencia</w:t>
      </w:r>
      <w:r w:rsidRPr="008A6047">
        <w:rPr>
          <w:rFonts w:ascii="Palatino Linotype" w:eastAsia="Palatino Linotype" w:hAnsi="Palatino Linotype" w:cs="Palatino Linotype"/>
          <w:i/>
          <w:sz w:val="22"/>
          <w:szCs w:val="22"/>
        </w:rPr>
        <w:t xml:space="preserve"> tendrán las siguientes atribuciones:</w:t>
      </w:r>
    </w:p>
    <w:p w14:paraId="6FEF3F22" w14:textId="77777777" w:rsidR="00414811" w:rsidRPr="008A6047" w:rsidRDefault="008408AC">
      <w:pPr>
        <w:spacing w:before="120" w:after="120"/>
        <w:ind w:left="1134"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VIII. Aprobar, modificar o revocar la clasificación de la información</w:t>
      </w:r>
      <w:r w:rsidRPr="008A6047">
        <w:rPr>
          <w:rFonts w:ascii="Palatino Linotype" w:eastAsia="Palatino Linotype" w:hAnsi="Palatino Linotype" w:cs="Palatino Linotype"/>
          <w:i/>
          <w:sz w:val="22"/>
          <w:szCs w:val="22"/>
        </w:rPr>
        <w:t>…”</w:t>
      </w:r>
    </w:p>
    <w:p w14:paraId="4855E633" w14:textId="77777777" w:rsidR="00414811" w:rsidRPr="008A6047" w:rsidRDefault="008408AC">
      <w:pPr>
        <w:spacing w:before="120" w:after="12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Artículo 53.</w:t>
      </w:r>
      <w:r w:rsidRPr="008A6047">
        <w:rPr>
          <w:rFonts w:ascii="Palatino Linotype" w:eastAsia="Palatino Linotype" w:hAnsi="Palatino Linotype" w:cs="Palatino Linotype"/>
          <w:i/>
          <w:sz w:val="22"/>
          <w:szCs w:val="22"/>
        </w:rPr>
        <w:t xml:space="preserve"> Las </w:t>
      </w:r>
      <w:r w:rsidRPr="008A6047">
        <w:rPr>
          <w:rFonts w:ascii="Palatino Linotype" w:eastAsia="Palatino Linotype" w:hAnsi="Palatino Linotype" w:cs="Palatino Linotype"/>
          <w:b/>
          <w:i/>
          <w:sz w:val="22"/>
          <w:szCs w:val="22"/>
        </w:rPr>
        <w:t>Unidades de Transparencia</w:t>
      </w:r>
      <w:r w:rsidRPr="008A6047">
        <w:rPr>
          <w:rFonts w:ascii="Palatino Linotype" w:eastAsia="Palatino Linotype" w:hAnsi="Palatino Linotype" w:cs="Palatino Linotype"/>
          <w:i/>
          <w:sz w:val="22"/>
          <w:szCs w:val="22"/>
        </w:rPr>
        <w:t xml:space="preserve"> tendrán las siguientes </w:t>
      </w:r>
      <w:r w:rsidRPr="008A6047">
        <w:rPr>
          <w:rFonts w:ascii="Palatino Linotype" w:eastAsia="Palatino Linotype" w:hAnsi="Palatino Linotype" w:cs="Palatino Linotype"/>
          <w:b/>
          <w:i/>
          <w:sz w:val="22"/>
          <w:szCs w:val="22"/>
        </w:rPr>
        <w:t>funciones</w:t>
      </w:r>
      <w:r w:rsidRPr="008A6047">
        <w:rPr>
          <w:rFonts w:ascii="Palatino Linotype" w:eastAsia="Palatino Linotype" w:hAnsi="Palatino Linotype" w:cs="Palatino Linotype"/>
          <w:i/>
          <w:sz w:val="22"/>
          <w:szCs w:val="22"/>
        </w:rPr>
        <w:t>:</w:t>
      </w:r>
    </w:p>
    <w:p w14:paraId="226D0D45" w14:textId="77777777" w:rsidR="00414811" w:rsidRPr="008A6047" w:rsidRDefault="008408AC">
      <w:pPr>
        <w:spacing w:before="120" w:after="120"/>
        <w:ind w:left="1134"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X. Presentar ante el Comité, el proyecto de clasificación de información</w:t>
      </w:r>
      <w:r w:rsidRPr="008A6047">
        <w:rPr>
          <w:rFonts w:ascii="Palatino Linotype" w:eastAsia="Palatino Linotype" w:hAnsi="Palatino Linotype" w:cs="Palatino Linotype"/>
          <w:i/>
          <w:sz w:val="22"/>
          <w:szCs w:val="22"/>
        </w:rPr>
        <w:t xml:space="preserve">…” </w:t>
      </w:r>
    </w:p>
    <w:p w14:paraId="4CA2C245" w14:textId="77777777" w:rsidR="00414811" w:rsidRPr="008A6047" w:rsidRDefault="008408AC">
      <w:pPr>
        <w:spacing w:before="120" w:after="12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“Artículo 59.</w:t>
      </w:r>
      <w:r w:rsidRPr="008A6047">
        <w:rPr>
          <w:rFonts w:ascii="Palatino Linotype" w:eastAsia="Palatino Linotype" w:hAnsi="Palatino Linotype" w:cs="Palatino Linotype"/>
          <w:i/>
          <w:sz w:val="22"/>
          <w:szCs w:val="22"/>
        </w:rPr>
        <w:t xml:space="preserve"> Los </w:t>
      </w:r>
      <w:r w:rsidRPr="008A6047">
        <w:rPr>
          <w:rFonts w:ascii="Palatino Linotype" w:eastAsia="Palatino Linotype" w:hAnsi="Palatino Linotype" w:cs="Palatino Linotype"/>
          <w:b/>
          <w:i/>
          <w:sz w:val="22"/>
          <w:szCs w:val="22"/>
        </w:rPr>
        <w:t>servidores públicos habilitados</w:t>
      </w:r>
      <w:r w:rsidRPr="008A6047">
        <w:rPr>
          <w:rFonts w:ascii="Palatino Linotype" w:eastAsia="Palatino Linotype" w:hAnsi="Palatino Linotype" w:cs="Palatino Linotype"/>
          <w:i/>
          <w:sz w:val="22"/>
          <w:szCs w:val="22"/>
        </w:rPr>
        <w:t xml:space="preserve"> tendrán las </w:t>
      </w:r>
      <w:r w:rsidRPr="008A6047">
        <w:rPr>
          <w:rFonts w:ascii="Palatino Linotype" w:eastAsia="Palatino Linotype" w:hAnsi="Palatino Linotype" w:cs="Palatino Linotype"/>
          <w:b/>
          <w:i/>
          <w:sz w:val="22"/>
          <w:szCs w:val="22"/>
        </w:rPr>
        <w:t>funciones</w:t>
      </w:r>
      <w:r w:rsidRPr="008A6047">
        <w:rPr>
          <w:rFonts w:ascii="Palatino Linotype" w:eastAsia="Palatino Linotype" w:hAnsi="Palatino Linotype" w:cs="Palatino Linotype"/>
          <w:i/>
          <w:sz w:val="22"/>
          <w:szCs w:val="22"/>
        </w:rPr>
        <w:t xml:space="preserve"> siguientes:</w:t>
      </w:r>
    </w:p>
    <w:p w14:paraId="1B039F5E" w14:textId="77777777" w:rsidR="00414811" w:rsidRPr="008A6047" w:rsidRDefault="008408AC">
      <w:pPr>
        <w:spacing w:before="120" w:after="120"/>
        <w:ind w:left="1134" w:right="900"/>
        <w:jc w:val="both"/>
        <w:rPr>
          <w:rFonts w:ascii="Palatino Linotype" w:eastAsia="Palatino Linotype" w:hAnsi="Palatino Linotype" w:cs="Palatino Linotype"/>
          <w:i/>
        </w:rPr>
      </w:pPr>
      <w:r w:rsidRPr="008A604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A6047">
        <w:rPr>
          <w:rFonts w:ascii="Palatino Linotype" w:eastAsia="Palatino Linotype" w:hAnsi="Palatino Linotype" w:cs="Palatino Linotype"/>
          <w:i/>
          <w:sz w:val="22"/>
          <w:szCs w:val="22"/>
        </w:rPr>
        <w:t xml:space="preserve">, la cual </w:t>
      </w:r>
      <w:r w:rsidRPr="008A6047">
        <w:rPr>
          <w:rFonts w:ascii="Palatino Linotype" w:eastAsia="Palatino Linotype" w:hAnsi="Palatino Linotype" w:cs="Palatino Linotype"/>
          <w:i/>
        </w:rPr>
        <w:t>tendrá los fundamentos y argumentos en que se basa dicha propuesta…”</w:t>
      </w:r>
    </w:p>
    <w:p w14:paraId="7505ABDE"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59F51DD"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7C1492FA"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Artículo 149.</w:t>
      </w:r>
      <w:r w:rsidRPr="008A6047">
        <w:rPr>
          <w:rFonts w:ascii="Palatino Linotype" w:eastAsia="Palatino Linotype" w:hAnsi="Palatino Linotype" w:cs="Palatino Linotype"/>
          <w:i/>
          <w:sz w:val="22"/>
          <w:szCs w:val="22"/>
        </w:rPr>
        <w:t xml:space="preserve"> El </w:t>
      </w:r>
      <w:r w:rsidRPr="008A6047">
        <w:rPr>
          <w:rFonts w:ascii="Palatino Linotype" w:eastAsia="Palatino Linotype" w:hAnsi="Palatino Linotype" w:cs="Palatino Linotype"/>
          <w:b/>
          <w:i/>
          <w:sz w:val="22"/>
          <w:szCs w:val="22"/>
        </w:rPr>
        <w:t>acuerdo que clasifique la información como confidencial</w:t>
      </w:r>
      <w:r w:rsidRPr="008A604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C577F3A" w14:textId="77777777" w:rsidR="00414811" w:rsidRPr="008A6047" w:rsidRDefault="008408AC">
      <w:pPr>
        <w:spacing w:before="240" w:after="240" w:line="360" w:lineRule="auto"/>
        <w:ind w:right="51"/>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Es decir,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3B89809" w14:textId="77777777" w:rsidR="00414811" w:rsidRPr="008A6047" w:rsidRDefault="008408A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8A6047">
        <w:rPr>
          <w:rFonts w:ascii="Palatino Linotype" w:eastAsia="Palatino Linotype" w:hAnsi="Palatino Linotype" w:cs="Palatino Linotype"/>
        </w:rPr>
        <w:t xml:space="preserve">Asimismo, respecto a las formalidades que deberá llevar el acuerdo de clasificación que deberá emitir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5BAD3B14"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xml:space="preserve"> “Quincuagésimo. </w:t>
      </w:r>
      <w:r w:rsidRPr="008A6047">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FC055BE" w14:textId="77777777" w:rsidR="00414811" w:rsidRPr="008A6047" w:rsidRDefault="008408A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lastRenderedPageBreak/>
        <w:t xml:space="preserve">Quincuagésimo primero. </w:t>
      </w:r>
      <w:r w:rsidRPr="008A6047">
        <w:rPr>
          <w:rFonts w:ascii="Palatino Linotype" w:eastAsia="Palatino Linotype" w:hAnsi="Palatino Linotype" w:cs="Palatino Linotype"/>
          <w:i/>
          <w:sz w:val="22"/>
          <w:szCs w:val="22"/>
        </w:rPr>
        <w:t xml:space="preserve">Toda acta del Comité de Transparencia deberá contener: </w:t>
      </w:r>
    </w:p>
    <w:p w14:paraId="30A62DF2"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w:t>
      </w:r>
      <w:r w:rsidRPr="008A6047">
        <w:rPr>
          <w:rFonts w:ascii="Palatino Linotype" w:eastAsia="Palatino Linotype" w:hAnsi="Palatino Linotype" w:cs="Palatino Linotype"/>
          <w:i/>
          <w:sz w:val="22"/>
          <w:szCs w:val="22"/>
        </w:rPr>
        <w:t xml:space="preserve"> El número de sesión y fecha; </w:t>
      </w:r>
    </w:p>
    <w:p w14:paraId="723D612C"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w:t>
      </w:r>
      <w:r w:rsidRPr="008A6047">
        <w:rPr>
          <w:rFonts w:ascii="Palatino Linotype" w:eastAsia="Palatino Linotype" w:hAnsi="Palatino Linotype" w:cs="Palatino Linotype"/>
          <w:i/>
          <w:sz w:val="22"/>
          <w:szCs w:val="22"/>
        </w:rPr>
        <w:t xml:space="preserve">. El nombre del área que solicitó la clasificación de información; </w:t>
      </w:r>
    </w:p>
    <w:p w14:paraId="37C5C108"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III</w:t>
      </w:r>
      <w:r w:rsidRPr="008A6047">
        <w:rPr>
          <w:rFonts w:ascii="Palatino Linotype" w:eastAsia="Palatino Linotype" w:hAnsi="Palatino Linotype" w:cs="Palatino Linotype"/>
          <w:i/>
          <w:sz w:val="22"/>
          <w:szCs w:val="22"/>
        </w:rPr>
        <w:t xml:space="preserve">. La fundamentación legal y motivación correspondiente; </w:t>
      </w:r>
    </w:p>
    <w:p w14:paraId="388B270C"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IV</w:t>
      </w:r>
      <w:r w:rsidRPr="008A6047">
        <w:rPr>
          <w:rFonts w:ascii="Palatino Linotype" w:eastAsia="Palatino Linotype" w:hAnsi="Palatino Linotype" w:cs="Palatino Linotype"/>
          <w:i/>
          <w:sz w:val="22"/>
          <w:szCs w:val="22"/>
        </w:rPr>
        <w:t xml:space="preserve">. La resolución o resoluciones aprobadas; y </w:t>
      </w:r>
    </w:p>
    <w:p w14:paraId="4D65DAB7"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V</w:t>
      </w:r>
      <w:r w:rsidRPr="008A6047">
        <w:rPr>
          <w:rFonts w:ascii="Palatino Linotype" w:eastAsia="Palatino Linotype" w:hAnsi="Palatino Linotype" w:cs="Palatino Linotype"/>
          <w:i/>
          <w:sz w:val="22"/>
          <w:szCs w:val="22"/>
        </w:rPr>
        <w:t xml:space="preserve">. La rúbrica o firma digital de cada integrante del Comité de Transparencia. </w:t>
      </w:r>
    </w:p>
    <w:p w14:paraId="578472C6" w14:textId="77777777" w:rsidR="00414811" w:rsidRPr="008A6047" w:rsidRDefault="008408A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F33FD09"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w:t>
      </w:r>
      <w:r w:rsidRPr="008A6047">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87EF359"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A6047">
        <w:rPr>
          <w:rFonts w:ascii="Palatino Linotype" w:eastAsia="Palatino Linotype" w:hAnsi="Palatino Linotype" w:cs="Palatino Linotype"/>
          <w:b/>
          <w:i/>
          <w:sz w:val="22"/>
          <w:szCs w:val="22"/>
        </w:rPr>
        <w:t>II</w:t>
      </w:r>
      <w:r w:rsidRPr="008A6047">
        <w:rPr>
          <w:rFonts w:ascii="Palatino Linotype" w:eastAsia="Palatino Linotype" w:hAnsi="Palatino Linotype" w:cs="Palatino Linotype"/>
          <w:i/>
          <w:sz w:val="22"/>
          <w:szCs w:val="22"/>
        </w:rPr>
        <w:t>. Descripción de las partes o secciones reservadas, en caso de clasificación parcial</w:t>
      </w:r>
      <w:r w:rsidRPr="008A6047">
        <w:rPr>
          <w:rFonts w:ascii="Palatino Linotype" w:eastAsia="Palatino Linotype" w:hAnsi="Palatino Linotype" w:cs="Palatino Linotype"/>
          <w:b/>
          <w:i/>
          <w:sz w:val="22"/>
          <w:szCs w:val="22"/>
        </w:rPr>
        <w:t xml:space="preserve">; </w:t>
      </w:r>
    </w:p>
    <w:p w14:paraId="194A7633"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III.</w:t>
      </w:r>
      <w:r w:rsidRPr="008A6047">
        <w:rPr>
          <w:rFonts w:ascii="Palatino Linotype" w:eastAsia="Palatino Linotype" w:hAnsi="Palatino Linotype" w:cs="Palatino Linotype"/>
          <w:i/>
          <w:sz w:val="22"/>
          <w:szCs w:val="22"/>
        </w:rPr>
        <w:t xml:space="preserve"> El periodo por el que mantendrá su clasificación y fecha de expiración; y </w:t>
      </w:r>
    </w:p>
    <w:p w14:paraId="58A54656" w14:textId="77777777" w:rsidR="00414811" w:rsidRPr="008A6047" w:rsidRDefault="008408A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IV.</w:t>
      </w:r>
      <w:r w:rsidRPr="008A6047">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78839D7" w14:textId="77777777" w:rsidR="00414811" w:rsidRPr="008A6047" w:rsidRDefault="008408A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01FDCD3" w14:textId="77777777" w:rsidR="00414811" w:rsidRPr="008A6047" w:rsidRDefault="008408A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1675DD4"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58732F4" w14:textId="77777777" w:rsidR="00414811" w:rsidRPr="008A6047" w:rsidRDefault="008408AC">
      <w:pPr>
        <w:spacing w:before="120" w:after="12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r w:rsidRPr="008A6047">
        <w:rPr>
          <w:rFonts w:ascii="Palatino Linotype" w:eastAsia="Palatino Linotype" w:hAnsi="Palatino Linotype" w:cs="Palatino Linotype"/>
          <w:b/>
          <w:i/>
          <w:sz w:val="22"/>
          <w:szCs w:val="22"/>
        </w:rPr>
        <w:t>Quincuagésimo segundo</w:t>
      </w:r>
      <w:r w:rsidRPr="008A604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w:t>
      </w:r>
      <w:r w:rsidRPr="008A6047">
        <w:rPr>
          <w:rFonts w:ascii="Palatino Linotype" w:eastAsia="Palatino Linotype" w:hAnsi="Palatino Linotype" w:cs="Palatino Linotype"/>
          <w:i/>
          <w:sz w:val="22"/>
          <w:szCs w:val="22"/>
        </w:rPr>
        <w:lastRenderedPageBreak/>
        <w:t>pertinentes tendientes a asegurar que el espacio utilizado para testar la información no podrá ser empleado para la sobreposición de contenido distinto al autorizado por el Comité.</w:t>
      </w:r>
    </w:p>
    <w:p w14:paraId="5EBAA989" w14:textId="77777777" w:rsidR="00414811" w:rsidRPr="008A6047" w:rsidRDefault="008408AC">
      <w:pPr>
        <w:spacing w:before="120" w:after="12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A06CB8E" w14:textId="77777777" w:rsidR="00414811" w:rsidRPr="008A6047" w:rsidRDefault="008408AC">
      <w:pPr>
        <w:spacing w:before="120" w:after="120"/>
        <w:ind w:left="1134"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w:t>
      </w:r>
      <w:r w:rsidRPr="008A6047">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1BBD7CF" w14:textId="77777777" w:rsidR="00414811" w:rsidRPr="008A6047" w:rsidRDefault="008408AC">
      <w:pPr>
        <w:spacing w:before="120" w:after="120"/>
        <w:ind w:left="1134"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w:t>
      </w:r>
      <w:r w:rsidRPr="008A6047">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E52F625" w14:textId="77777777" w:rsidR="00414811" w:rsidRPr="008A6047" w:rsidRDefault="008408AC">
      <w:pPr>
        <w:spacing w:before="120" w:after="120"/>
        <w:ind w:left="1134"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III.</w:t>
      </w:r>
      <w:r w:rsidRPr="008A6047">
        <w:rPr>
          <w:rFonts w:ascii="Palatino Linotype" w:eastAsia="Palatino Linotype" w:hAnsi="Palatino Linotype" w:cs="Palatino Linotype"/>
          <w:i/>
          <w:sz w:val="22"/>
          <w:szCs w:val="22"/>
        </w:rPr>
        <w:t xml:space="preserve"> Señalar las personas o instancias autorizadas a acceder a la información clasificada.</w:t>
      </w:r>
    </w:p>
    <w:p w14:paraId="1FB9AA08" w14:textId="77777777" w:rsidR="00414811" w:rsidRPr="008A6047" w:rsidRDefault="008408AC">
      <w:pPr>
        <w:spacing w:before="120" w:after="12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0BCBE6A" w14:textId="77777777" w:rsidR="00414811" w:rsidRPr="008A6047" w:rsidRDefault="008408A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w:t>
      </w:r>
    </w:p>
    <w:p w14:paraId="53E1A340" w14:textId="77777777" w:rsidR="00414811" w:rsidRPr="008A6047" w:rsidRDefault="008408A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A6047">
        <w:rPr>
          <w:rFonts w:ascii="Palatino Linotype" w:eastAsia="Palatino Linotype" w:hAnsi="Palatino Linotype" w:cs="Palatino Linotype"/>
          <w:b/>
          <w:i/>
          <w:sz w:val="22"/>
          <w:szCs w:val="22"/>
        </w:rPr>
        <w:t xml:space="preserve">Quincuagésimo cuarto. </w:t>
      </w:r>
      <w:r w:rsidRPr="008A6047">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A6047">
        <w:rPr>
          <w:rFonts w:ascii="Palatino Linotype" w:eastAsia="Palatino Linotype" w:hAnsi="Palatino Linotype" w:cs="Palatino Linotype"/>
          <w:b/>
          <w:i/>
          <w:sz w:val="22"/>
          <w:szCs w:val="22"/>
        </w:rPr>
        <w:t xml:space="preserve"> </w:t>
      </w:r>
    </w:p>
    <w:p w14:paraId="1240B7AD"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 xml:space="preserve">Quincuagésimo quinto. </w:t>
      </w:r>
      <w:r w:rsidRPr="008A604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A6047">
        <w:rPr>
          <w:rFonts w:ascii="Palatino Linotype" w:eastAsia="Palatino Linotype" w:hAnsi="Palatino Linotype" w:cs="Palatino Linotype"/>
          <w:i/>
          <w:sz w:val="22"/>
          <w:szCs w:val="22"/>
        </w:rPr>
        <w:t>testado</w:t>
      </w:r>
      <w:proofErr w:type="spellEnd"/>
      <w:r w:rsidRPr="008A604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7D33120" w14:textId="77777777" w:rsidR="00414811" w:rsidRPr="008A6047" w:rsidRDefault="008408AC">
      <w:pPr>
        <w:spacing w:before="120" w:after="120"/>
        <w:ind w:left="851" w:right="902"/>
        <w:jc w:val="both"/>
        <w:rPr>
          <w:rFonts w:ascii="Palatino Linotype" w:eastAsia="Palatino Linotype" w:hAnsi="Palatino Linotype" w:cs="Palatino Linotype"/>
          <w:b/>
          <w:i/>
          <w:sz w:val="22"/>
          <w:szCs w:val="22"/>
        </w:rPr>
      </w:pPr>
      <w:r w:rsidRPr="008A6047">
        <w:rPr>
          <w:rFonts w:ascii="Palatino Linotype" w:eastAsia="Palatino Linotype" w:hAnsi="Palatino Linotype" w:cs="Palatino Linotype"/>
          <w:b/>
          <w:i/>
          <w:sz w:val="22"/>
          <w:szCs w:val="22"/>
        </w:rPr>
        <w:t>...</w:t>
      </w:r>
    </w:p>
    <w:p w14:paraId="5C108B30"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Quincuagésimo séptimo</w:t>
      </w:r>
      <w:r w:rsidRPr="008A604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1B8A63B"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lastRenderedPageBreak/>
        <w:t>I</w:t>
      </w:r>
      <w:r w:rsidRPr="008A604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3CDC73A"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w:t>
      </w:r>
      <w:r w:rsidRPr="008A6047">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860D2D7" w14:textId="77777777" w:rsidR="00414811" w:rsidRPr="008A6047" w:rsidRDefault="008408AC">
      <w:pPr>
        <w:spacing w:before="120" w:after="120"/>
        <w:ind w:left="1134"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III</w:t>
      </w:r>
      <w:r w:rsidRPr="008A604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58559A0"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7CC0899" w14:textId="77777777" w:rsidR="00414811" w:rsidRPr="008A6047" w:rsidRDefault="008408AC">
      <w:pPr>
        <w:spacing w:before="120" w:after="120"/>
        <w:ind w:left="851" w:right="902"/>
        <w:jc w:val="both"/>
        <w:rPr>
          <w:rFonts w:ascii="Palatino Linotype" w:eastAsia="Palatino Linotype" w:hAnsi="Palatino Linotype" w:cs="Palatino Linotype"/>
          <w:i/>
          <w:sz w:val="22"/>
          <w:szCs w:val="22"/>
        </w:rPr>
      </w:pPr>
      <w:r w:rsidRPr="008A6047">
        <w:rPr>
          <w:rFonts w:ascii="Palatino Linotype" w:eastAsia="Palatino Linotype" w:hAnsi="Palatino Linotype" w:cs="Palatino Linotype"/>
          <w:b/>
          <w:i/>
          <w:sz w:val="22"/>
          <w:szCs w:val="22"/>
        </w:rPr>
        <w:t>Quincuagésimo octavo</w:t>
      </w:r>
      <w:r w:rsidRPr="008A6047">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9729546"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BD5610A" w14:textId="77777777" w:rsidR="00414811" w:rsidRPr="008A6047" w:rsidRDefault="008408A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A6047">
        <w:rPr>
          <w:rFonts w:ascii="Palatino Linotype" w:eastAsia="Palatino Linotype" w:hAnsi="Palatino Linotype" w:cs="Palatino Linotype"/>
          <w:b/>
        </w:rPr>
        <w:t>III. R E S U E L V E</w:t>
      </w:r>
    </w:p>
    <w:p w14:paraId="43F8A8D4"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12" w:name="_heading=h.1t3h5sf" w:colFirst="0" w:colLast="0"/>
      <w:bookmarkEnd w:id="12"/>
      <w:r w:rsidRPr="008A6047">
        <w:rPr>
          <w:rFonts w:ascii="Palatino Linotype" w:eastAsia="Palatino Linotype" w:hAnsi="Palatino Linotype" w:cs="Palatino Linotype"/>
          <w:b/>
        </w:rPr>
        <w:t xml:space="preserve">Primero. </w:t>
      </w:r>
      <w:r w:rsidRPr="008A6047">
        <w:rPr>
          <w:rFonts w:ascii="Palatino Linotype" w:eastAsia="Palatino Linotype" w:hAnsi="Palatino Linotype" w:cs="Palatino Linotype"/>
        </w:rPr>
        <w:t>Resultan</w:t>
      </w:r>
      <w:r w:rsidRPr="008A6047">
        <w:rPr>
          <w:rFonts w:ascii="Palatino Linotype" w:eastAsia="Palatino Linotype" w:hAnsi="Palatino Linotype" w:cs="Palatino Linotype"/>
          <w:b/>
        </w:rPr>
        <w:t xml:space="preserve"> fundadas</w:t>
      </w:r>
      <w:r w:rsidRPr="008A6047">
        <w:rPr>
          <w:rFonts w:ascii="Palatino Linotype" w:eastAsia="Palatino Linotype" w:hAnsi="Palatino Linotype" w:cs="Palatino Linotype"/>
        </w:rPr>
        <w:t xml:space="preserve"> las razones o motivos de inconformidad hechos valer por la parte</w:t>
      </w:r>
      <w:r w:rsidRPr="008A6047">
        <w:rPr>
          <w:rFonts w:ascii="Palatino Linotype" w:eastAsia="Palatino Linotype" w:hAnsi="Palatino Linotype" w:cs="Palatino Linotype"/>
          <w:b/>
        </w:rPr>
        <w:t xml:space="preserve"> Recurrente</w:t>
      </w:r>
      <w:r w:rsidRPr="008A6047">
        <w:rPr>
          <w:rFonts w:ascii="Palatino Linotype" w:eastAsia="Palatino Linotype" w:hAnsi="Palatino Linotype" w:cs="Palatino Linotype"/>
        </w:rPr>
        <w:t xml:space="preserve"> en el recurso de revisión </w:t>
      </w:r>
      <w:r w:rsidRPr="008A6047">
        <w:rPr>
          <w:rFonts w:ascii="Palatino Linotype" w:eastAsia="Palatino Linotype" w:hAnsi="Palatino Linotype" w:cs="Palatino Linotype"/>
          <w:b/>
        </w:rPr>
        <w:t>06784/INFOEM/IP/RR/2025</w:t>
      </w:r>
      <w:r w:rsidRPr="008A6047">
        <w:rPr>
          <w:rFonts w:ascii="Palatino Linotype" w:eastAsia="Palatino Linotype" w:hAnsi="Palatino Linotype" w:cs="Palatino Linotype"/>
        </w:rPr>
        <w:t xml:space="preserve">; por lo que, en términos del </w:t>
      </w:r>
      <w:r w:rsidRPr="008A6047">
        <w:rPr>
          <w:rFonts w:ascii="Palatino Linotype" w:eastAsia="Palatino Linotype" w:hAnsi="Palatino Linotype" w:cs="Palatino Linotype"/>
          <w:b/>
        </w:rPr>
        <w:t>Considerando</w:t>
      </w:r>
      <w:r w:rsidRPr="008A6047">
        <w:rPr>
          <w:rFonts w:ascii="Palatino Linotype" w:eastAsia="Palatino Linotype" w:hAnsi="Palatino Linotype" w:cs="Palatino Linotype"/>
        </w:rPr>
        <w:t xml:space="preserve"> </w:t>
      </w:r>
      <w:r w:rsidRPr="008A6047">
        <w:rPr>
          <w:rFonts w:ascii="Palatino Linotype" w:eastAsia="Palatino Linotype" w:hAnsi="Palatino Linotype" w:cs="Palatino Linotype"/>
          <w:b/>
        </w:rPr>
        <w:t xml:space="preserve">Cuarto </w:t>
      </w:r>
      <w:r w:rsidRPr="008A6047">
        <w:rPr>
          <w:rFonts w:ascii="Palatino Linotype" w:eastAsia="Palatino Linotype" w:hAnsi="Palatino Linotype" w:cs="Palatino Linotype"/>
        </w:rPr>
        <w:t xml:space="preserve">de esta resolución, se </w:t>
      </w:r>
      <w:r w:rsidRPr="008A6047">
        <w:rPr>
          <w:rFonts w:ascii="Palatino Linotype" w:eastAsia="Palatino Linotype" w:hAnsi="Palatino Linotype" w:cs="Palatino Linotype"/>
          <w:b/>
        </w:rPr>
        <w:t>Revoca</w:t>
      </w:r>
      <w:r w:rsidRPr="008A6047">
        <w:rPr>
          <w:rFonts w:ascii="Palatino Linotype" w:eastAsia="Palatino Linotype" w:hAnsi="Palatino Linotype" w:cs="Palatino Linotype"/>
        </w:rPr>
        <w:t xml:space="preserve"> la respuesta emitida por el </w:t>
      </w:r>
      <w:r w:rsidRPr="008A6047">
        <w:rPr>
          <w:rFonts w:ascii="Palatino Linotype" w:eastAsia="Palatino Linotype" w:hAnsi="Palatino Linotype" w:cs="Palatino Linotype"/>
          <w:b/>
        </w:rPr>
        <w:t xml:space="preserve">Sujeto Obligado. </w:t>
      </w:r>
    </w:p>
    <w:p w14:paraId="3571B1F2" w14:textId="77777777" w:rsidR="00414811" w:rsidRPr="008A6047" w:rsidRDefault="008408AC">
      <w:pPr>
        <w:spacing w:before="240" w:after="240" w:line="360" w:lineRule="auto"/>
        <w:ind w:right="49"/>
        <w:jc w:val="both"/>
        <w:rPr>
          <w:rFonts w:ascii="Palatino Linotype" w:eastAsia="Palatino Linotype" w:hAnsi="Palatino Linotype" w:cs="Palatino Linotype"/>
        </w:rPr>
      </w:pPr>
      <w:r w:rsidRPr="008A6047">
        <w:rPr>
          <w:rFonts w:ascii="Palatino Linotype" w:eastAsia="Palatino Linotype" w:hAnsi="Palatino Linotype" w:cs="Palatino Linotype"/>
          <w:b/>
        </w:rPr>
        <w:lastRenderedPageBreak/>
        <w:t xml:space="preserve">Segundo. </w:t>
      </w:r>
      <w:r w:rsidRPr="008A6047">
        <w:rPr>
          <w:rFonts w:ascii="Palatino Linotype" w:eastAsia="Palatino Linotype" w:hAnsi="Palatino Linotype" w:cs="Palatino Linotype"/>
        </w:rPr>
        <w:t xml:space="preserve">Se </w:t>
      </w:r>
      <w:r w:rsidRPr="008A6047">
        <w:rPr>
          <w:rFonts w:ascii="Palatino Linotype" w:eastAsia="Palatino Linotype" w:hAnsi="Palatino Linotype" w:cs="Palatino Linotype"/>
          <w:b/>
        </w:rPr>
        <w:t xml:space="preserve">Ordena </w:t>
      </w:r>
      <w:r w:rsidRPr="008A6047">
        <w:rPr>
          <w:rFonts w:ascii="Palatino Linotype" w:eastAsia="Palatino Linotype" w:hAnsi="Palatino Linotype" w:cs="Palatino Linotype"/>
        </w:rPr>
        <w:t xml:space="preserve">al </w:t>
      </w:r>
      <w:r w:rsidRPr="008A6047">
        <w:rPr>
          <w:rFonts w:ascii="Palatino Linotype" w:eastAsia="Palatino Linotype" w:hAnsi="Palatino Linotype" w:cs="Palatino Linotype"/>
          <w:b/>
        </w:rPr>
        <w:t xml:space="preserve">Sujeto Obligado, </w:t>
      </w:r>
      <w:r w:rsidRPr="008A6047">
        <w:rPr>
          <w:rFonts w:ascii="Palatino Linotype" w:eastAsia="Palatino Linotype" w:hAnsi="Palatino Linotype" w:cs="Palatino Linotype"/>
        </w:rPr>
        <w:t xml:space="preserve">en términos de los </w:t>
      </w:r>
      <w:r w:rsidRPr="008A6047">
        <w:rPr>
          <w:rFonts w:ascii="Palatino Linotype" w:eastAsia="Palatino Linotype" w:hAnsi="Palatino Linotype" w:cs="Palatino Linotype"/>
          <w:b/>
        </w:rPr>
        <w:t>Considerandos</w:t>
      </w:r>
      <w:r w:rsidRPr="008A6047">
        <w:rPr>
          <w:rFonts w:ascii="Palatino Linotype" w:eastAsia="Palatino Linotype" w:hAnsi="Palatino Linotype" w:cs="Palatino Linotype"/>
        </w:rPr>
        <w:t xml:space="preserve"> </w:t>
      </w:r>
      <w:r w:rsidRPr="008A6047">
        <w:rPr>
          <w:rFonts w:ascii="Palatino Linotype" w:eastAsia="Palatino Linotype" w:hAnsi="Palatino Linotype" w:cs="Palatino Linotype"/>
          <w:b/>
        </w:rPr>
        <w:t xml:space="preserve">Cuarto </w:t>
      </w:r>
      <w:r w:rsidRPr="008A6047">
        <w:rPr>
          <w:rFonts w:ascii="Palatino Linotype" w:eastAsia="Palatino Linotype" w:hAnsi="Palatino Linotype" w:cs="Palatino Linotype"/>
        </w:rPr>
        <w:t xml:space="preserve">y </w:t>
      </w:r>
      <w:r w:rsidRPr="008A6047">
        <w:rPr>
          <w:rFonts w:ascii="Palatino Linotype" w:eastAsia="Palatino Linotype" w:hAnsi="Palatino Linotype" w:cs="Palatino Linotype"/>
          <w:b/>
        </w:rPr>
        <w:t xml:space="preserve">Quinto </w:t>
      </w:r>
      <w:r w:rsidRPr="008A6047">
        <w:rPr>
          <w:rFonts w:ascii="Palatino Linotype" w:eastAsia="Palatino Linotype" w:hAnsi="Palatino Linotype" w:cs="Palatino Linotype"/>
        </w:rPr>
        <w:t xml:space="preserve">de esta resolución, haga entrega, vía </w:t>
      </w:r>
      <w:r w:rsidRPr="008A6047">
        <w:rPr>
          <w:rFonts w:ascii="Palatino Linotype" w:eastAsia="Palatino Linotype" w:hAnsi="Palatino Linotype" w:cs="Palatino Linotype"/>
          <w:b/>
        </w:rPr>
        <w:t>SAIMEX</w:t>
      </w:r>
      <w:r w:rsidRPr="008A6047">
        <w:rPr>
          <w:rFonts w:ascii="Palatino Linotype" w:eastAsia="Palatino Linotype" w:hAnsi="Palatino Linotype" w:cs="Palatino Linotype"/>
        </w:rPr>
        <w:t>, en versión pública de ser procedente, de lo siguiente:</w:t>
      </w:r>
    </w:p>
    <w:p w14:paraId="65C45E17" w14:textId="4DAF0ECD" w:rsidR="00414811" w:rsidRPr="008A6047" w:rsidRDefault="008408AC">
      <w:pPr>
        <w:spacing w:before="240" w:after="240" w:line="360" w:lineRule="auto"/>
        <w:ind w:left="284"/>
        <w:jc w:val="both"/>
        <w:rPr>
          <w:rFonts w:ascii="Palatino Linotype" w:eastAsia="Palatino Linotype" w:hAnsi="Palatino Linotype" w:cs="Palatino Linotype"/>
        </w:rPr>
      </w:pPr>
      <w:bookmarkStart w:id="13" w:name="_heading=h.1fob9te" w:colFirst="0" w:colLast="0"/>
      <w:bookmarkEnd w:id="13"/>
      <w:r w:rsidRPr="008A6047">
        <w:rPr>
          <w:rFonts w:ascii="Palatino Linotype" w:eastAsia="Palatino Linotype" w:hAnsi="Palatino Linotype" w:cs="Palatino Linotype"/>
        </w:rPr>
        <w:t xml:space="preserve">1. Comprobante del último grado de estudios de los servidores públicos </w:t>
      </w:r>
      <w:r w:rsidR="00F5653E" w:rsidRPr="008A6047">
        <w:rPr>
          <w:rFonts w:ascii="Palatino Linotype" w:eastAsia="Palatino Linotype" w:hAnsi="Palatino Linotype" w:cs="Palatino Linotype"/>
        </w:rPr>
        <w:t>responsables de</w:t>
      </w:r>
      <w:r w:rsidRPr="008A6047">
        <w:rPr>
          <w:rFonts w:ascii="Palatino Linotype" w:eastAsia="Palatino Linotype" w:hAnsi="Palatino Linotype" w:cs="Palatino Linotype"/>
        </w:rPr>
        <w:t xml:space="preserve"> la Dirección General, la Jefatura de Recursos Humanos, la Jefatura de Adquisiciones, la Unidad de Información, Planeación, Programación y Evaluación, UIPPE; y la Unidad de Transparencia, </w:t>
      </w:r>
      <w:r w:rsidR="00F5653E" w:rsidRPr="008A6047">
        <w:rPr>
          <w:rFonts w:ascii="Palatino Linotype" w:eastAsia="Palatino Linotype" w:hAnsi="Palatino Linotype" w:cs="Palatino Linotype"/>
        </w:rPr>
        <w:t xml:space="preserve">en funciones </w:t>
      </w:r>
      <w:r w:rsidRPr="008A6047">
        <w:rPr>
          <w:rFonts w:ascii="Palatino Linotype" w:eastAsia="Palatino Linotype" w:hAnsi="Palatino Linotype" w:cs="Palatino Linotype"/>
        </w:rPr>
        <w:t>al veintidós de mayo de dos mil veinticinco.</w:t>
      </w:r>
    </w:p>
    <w:p w14:paraId="395A75A4" w14:textId="77777777" w:rsidR="00414811" w:rsidRPr="008A6047" w:rsidRDefault="008408AC">
      <w:pPr>
        <w:spacing w:before="280" w:after="280"/>
        <w:ind w:left="360" w:right="49"/>
        <w:jc w:val="both"/>
        <w:rPr>
          <w:rFonts w:ascii="Palatino Linotype" w:eastAsia="Palatino Linotype" w:hAnsi="Palatino Linotype" w:cs="Palatino Linotype"/>
          <w:i/>
          <w:sz w:val="20"/>
          <w:szCs w:val="20"/>
        </w:rPr>
      </w:pPr>
      <w:bookmarkStart w:id="14" w:name="_heading=h.hnzxsch5gysz" w:colFirst="0" w:colLast="0"/>
      <w:bookmarkEnd w:id="14"/>
      <w:r w:rsidRPr="008A6047">
        <w:rPr>
          <w:rFonts w:ascii="Palatino Linotype" w:eastAsia="Palatino Linotype" w:hAnsi="Palatino Linotype" w:cs="Palatino Linotype"/>
          <w:i/>
          <w:sz w:val="20"/>
          <w:szCs w:val="20"/>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5E5FF3E3"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b/>
        </w:rPr>
        <w:t xml:space="preserve">Tercero. Notifíquese, </w:t>
      </w:r>
      <w:r w:rsidRPr="008A6047">
        <w:rPr>
          <w:rFonts w:ascii="Palatino Linotype" w:eastAsia="Palatino Linotype" w:hAnsi="Palatino Linotype" w:cs="Palatino Linotype"/>
        </w:rPr>
        <w:t xml:space="preserve">vía </w:t>
      </w:r>
      <w:r w:rsidRPr="008A6047">
        <w:rPr>
          <w:rFonts w:ascii="Palatino Linotype" w:eastAsia="Palatino Linotype" w:hAnsi="Palatino Linotype" w:cs="Palatino Linotype"/>
          <w:b/>
        </w:rPr>
        <w:t>SAIMEX</w:t>
      </w:r>
      <w:r w:rsidRPr="008A6047">
        <w:rPr>
          <w:rFonts w:ascii="Palatino Linotype" w:eastAsia="Palatino Linotype" w:hAnsi="Palatino Linotype" w:cs="Palatino Linotype"/>
        </w:rPr>
        <w:t xml:space="preserve">, al Titular de la Unidad de Transparencia del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1C271B" w14:textId="77777777" w:rsidR="00414811" w:rsidRPr="008A6047" w:rsidRDefault="008408AC">
      <w:pPr>
        <w:spacing w:before="240" w:after="240" w:line="360" w:lineRule="auto"/>
        <w:jc w:val="both"/>
        <w:rPr>
          <w:rFonts w:ascii="Palatino Linotype" w:eastAsia="Palatino Linotype" w:hAnsi="Palatino Linotype" w:cs="Palatino Linotype"/>
        </w:rPr>
      </w:pPr>
      <w:r w:rsidRPr="008A6047">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8A6047">
        <w:rPr>
          <w:rFonts w:ascii="Palatino Linotype" w:eastAsia="Palatino Linotype" w:hAnsi="Palatino Linotype" w:cs="Palatino Linotype"/>
          <w:b/>
        </w:rPr>
        <w:t>Sujeto Obligado</w:t>
      </w:r>
      <w:r w:rsidRPr="008A6047">
        <w:rPr>
          <w:rFonts w:ascii="Palatino Linotype" w:eastAsia="Palatino Linotype" w:hAnsi="Palatino Linotype" w:cs="Palatino Linotype"/>
        </w:rPr>
        <w:t xml:space="preserve"> de manera fundada y motivada, podrá solicitar una ampliación de plazo para el cumplimiento de la presente resolución.</w:t>
      </w:r>
    </w:p>
    <w:p w14:paraId="2D14EFE8" w14:textId="77777777" w:rsidR="00414811" w:rsidRPr="008A6047" w:rsidRDefault="008408AC">
      <w:pPr>
        <w:spacing w:before="240" w:after="240" w:line="360" w:lineRule="auto"/>
        <w:jc w:val="both"/>
        <w:rPr>
          <w:rFonts w:ascii="Palatino Linotype" w:eastAsia="Palatino Linotype" w:hAnsi="Palatino Linotype" w:cs="Palatino Linotype"/>
        </w:rPr>
      </w:pPr>
      <w:bookmarkStart w:id="15" w:name="_heading=h.ot3qq6vxa08f" w:colFirst="0" w:colLast="0"/>
      <w:bookmarkEnd w:id="15"/>
      <w:r w:rsidRPr="008A6047">
        <w:rPr>
          <w:rFonts w:ascii="Palatino Linotype" w:eastAsia="Palatino Linotype" w:hAnsi="Palatino Linotype" w:cs="Palatino Linotype"/>
          <w:b/>
        </w:rPr>
        <w:t xml:space="preserve">Cuarto.  Notifíquese, </w:t>
      </w:r>
      <w:r w:rsidRPr="008A6047">
        <w:rPr>
          <w:rFonts w:ascii="Palatino Linotype" w:eastAsia="Palatino Linotype" w:hAnsi="Palatino Linotype" w:cs="Palatino Linotype"/>
        </w:rPr>
        <w:t xml:space="preserve">vía </w:t>
      </w:r>
      <w:r w:rsidRPr="008A6047">
        <w:rPr>
          <w:rFonts w:ascii="Palatino Linotype" w:eastAsia="Palatino Linotype" w:hAnsi="Palatino Linotype" w:cs="Palatino Linotype"/>
          <w:b/>
        </w:rPr>
        <w:t>SAIMEX</w:t>
      </w:r>
      <w:r w:rsidRPr="008A6047">
        <w:rPr>
          <w:rFonts w:ascii="Palatino Linotype" w:eastAsia="Palatino Linotype" w:hAnsi="Palatino Linotype" w:cs="Palatino Linotype"/>
        </w:rPr>
        <w:t xml:space="preserve"> a la parte </w:t>
      </w:r>
      <w:r w:rsidRPr="008A6047">
        <w:rPr>
          <w:rFonts w:ascii="Palatino Linotype" w:eastAsia="Palatino Linotype" w:hAnsi="Palatino Linotype" w:cs="Palatino Linotype"/>
          <w:b/>
        </w:rPr>
        <w:t>Recurrente</w:t>
      </w:r>
      <w:r w:rsidRPr="008A604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7445A7F" w14:textId="192BF369" w:rsidR="00414811" w:rsidRPr="00D2506B" w:rsidRDefault="008408AC">
      <w:pPr>
        <w:tabs>
          <w:tab w:val="left" w:pos="8647"/>
        </w:tabs>
        <w:spacing w:before="240" w:after="240" w:line="360" w:lineRule="auto"/>
        <w:ind w:right="51"/>
        <w:jc w:val="both"/>
        <w:rPr>
          <w:rFonts w:ascii="Palatino Linotype" w:eastAsia="Palatino Linotype" w:hAnsi="Palatino Linotype" w:cs="Palatino Linotype"/>
        </w:rPr>
      </w:pPr>
      <w:bookmarkStart w:id="16" w:name="_heading=h.lnxbz9" w:colFirst="0" w:colLast="0"/>
      <w:bookmarkEnd w:id="16"/>
      <w:r w:rsidRPr="008A60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2506B" w:rsidRPr="008A6047">
        <w:rPr>
          <w:rFonts w:ascii="Palatino Linotype" w:eastAsia="Palatino Linotype" w:hAnsi="Palatino Linotype" w:cs="Palatino Linotype"/>
        </w:rPr>
        <w:t xml:space="preserve"> EMITIENDO VOTO PARTICULAR CONCURRENTE,</w:t>
      </w:r>
      <w:r w:rsidRPr="008A6047">
        <w:rPr>
          <w:rFonts w:ascii="Palatino Linotype" w:eastAsia="Palatino Linotype" w:hAnsi="Palatino Linotype" w:cs="Palatino Linotype"/>
        </w:rPr>
        <w:t xml:space="preserve"> SHARON CRISTINA MORALES MARTÍNEZ, LUIS GUSTAVO PARRA NORIEGA,</w:t>
      </w:r>
      <w:r w:rsidR="00D2506B" w:rsidRPr="008A6047">
        <w:rPr>
          <w:rFonts w:ascii="Palatino Linotype" w:eastAsia="Palatino Linotype" w:hAnsi="Palatino Linotype" w:cs="Palatino Linotype"/>
        </w:rPr>
        <w:t xml:space="preserve"> EMITIENDO VOTO PARTICULAR CONCURRENTE</w:t>
      </w:r>
      <w:r w:rsidRPr="008A6047">
        <w:rPr>
          <w:rFonts w:ascii="Palatino Linotype" w:eastAsia="Palatino Linotype" w:hAnsi="Palatino Linotype" w:cs="Palatino Linotype"/>
        </w:rPr>
        <w:t xml:space="preserve"> Y GUADALUPE RAMÍREZ PEÑA,</w:t>
      </w:r>
      <w:r w:rsidR="00D2506B" w:rsidRPr="008A6047">
        <w:rPr>
          <w:rFonts w:ascii="Palatino Linotype" w:eastAsia="Palatino Linotype" w:hAnsi="Palatino Linotype" w:cs="Palatino Linotype"/>
        </w:rPr>
        <w:t xml:space="preserve"> EMITIENDO VOTO PARTICULAR,</w:t>
      </w:r>
      <w:r w:rsidRPr="008A6047">
        <w:rPr>
          <w:rFonts w:ascii="Palatino Linotype" w:eastAsia="Palatino Linotype" w:hAnsi="Palatino Linotype" w:cs="Palatino Linotype"/>
        </w:rPr>
        <w:t xml:space="preserve"> EN LA TRIGÉSIMA SESIÓN ORDINARIA CELEBRADA EL VEINTISIETE DE AGOSTO DE DOS MIL VEINTICINCO, ANTE EL SECRETARIO TÉCNICO DEL PLENO ALEXIS TAPIA RAMÍREZ.</w:t>
      </w:r>
    </w:p>
    <w:p w14:paraId="34506AFE" w14:textId="77777777" w:rsidR="00414811" w:rsidRPr="00D2506B" w:rsidRDefault="00414811">
      <w:pPr>
        <w:spacing w:line="360" w:lineRule="auto"/>
        <w:jc w:val="both"/>
        <w:rPr>
          <w:rFonts w:ascii="Palatino Linotype" w:eastAsia="Palatino Linotype" w:hAnsi="Palatino Linotype" w:cs="Palatino Linotype"/>
        </w:rPr>
      </w:pPr>
    </w:p>
    <w:p w14:paraId="0C25563D" w14:textId="77777777" w:rsidR="00414811" w:rsidRPr="00D2506B" w:rsidRDefault="00414811">
      <w:pPr>
        <w:spacing w:line="360" w:lineRule="auto"/>
        <w:jc w:val="center"/>
        <w:rPr>
          <w:rFonts w:ascii="Palatino Linotype" w:eastAsia="Palatino Linotype" w:hAnsi="Palatino Linotype" w:cs="Palatino Linotype"/>
        </w:rPr>
      </w:pPr>
    </w:p>
    <w:p w14:paraId="0F6A0BF9" w14:textId="77777777" w:rsidR="00414811" w:rsidRPr="00D2506B" w:rsidRDefault="00414811">
      <w:pPr>
        <w:spacing w:line="360" w:lineRule="auto"/>
        <w:jc w:val="both"/>
        <w:rPr>
          <w:rFonts w:ascii="Palatino Linotype" w:eastAsia="Palatino Linotype" w:hAnsi="Palatino Linotype" w:cs="Palatino Linotype"/>
        </w:rPr>
      </w:pPr>
    </w:p>
    <w:p w14:paraId="73EB1DB2" w14:textId="77777777" w:rsidR="00414811" w:rsidRPr="00D2506B" w:rsidRDefault="00414811">
      <w:pPr>
        <w:spacing w:line="360" w:lineRule="auto"/>
        <w:jc w:val="both"/>
        <w:rPr>
          <w:rFonts w:ascii="Palatino Linotype" w:eastAsia="Palatino Linotype" w:hAnsi="Palatino Linotype" w:cs="Palatino Linotype"/>
        </w:rPr>
      </w:pPr>
    </w:p>
    <w:p w14:paraId="1DDF1C18" w14:textId="77777777" w:rsidR="00414811" w:rsidRPr="00D2506B" w:rsidRDefault="00414811">
      <w:pPr>
        <w:spacing w:line="360" w:lineRule="auto"/>
        <w:jc w:val="both"/>
        <w:rPr>
          <w:rFonts w:ascii="Palatino Linotype" w:eastAsia="Palatino Linotype" w:hAnsi="Palatino Linotype" w:cs="Palatino Linotype"/>
        </w:rPr>
      </w:pPr>
    </w:p>
    <w:p w14:paraId="134583E3" w14:textId="77777777" w:rsidR="00414811" w:rsidRPr="00D2506B" w:rsidRDefault="00414811">
      <w:pPr>
        <w:spacing w:line="360" w:lineRule="auto"/>
        <w:jc w:val="both"/>
        <w:rPr>
          <w:rFonts w:ascii="Palatino Linotype" w:eastAsia="Palatino Linotype" w:hAnsi="Palatino Linotype" w:cs="Palatino Linotype"/>
        </w:rPr>
      </w:pPr>
    </w:p>
    <w:p w14:paraId="6CE153A9" w14:textId="77777777" w:rsidR="00414811" w:rsidRPr="00D2506B" w:rsidRDefault="00414811">
      <w:pPr>
        <w:spacing w:line="360" w:lineRule="auto"/>
        <w:jc w:val="both"/>
        <w:rPr>
          <w:rFonts w:ascii="Palatino Linotype" w:eastAsia="Palatino Linotype" w:hAnsi="Palatino Linotype" w:cs="Palatino Linotype"/>
        </w:rPr>
      </w:pPr>
    </w:p>
    <w:p w14:paraId="1B535D14" w14:textId="77777777" w:rsidR="00414811" w:rsidRPr="00D2506B" w:rsidRDefault="00414811">
      <w:pPr>
        <w:spacing w:line="360" w:lineRule="auto"/>
        <w:jc w:val="both"/>
        <w:rPr>
          <w:rFonts w:ascii="Palatino Linotype" w:eastAsia="Palatino Linotype" w:hAnsi="Palatino Linotype" w:cs="Palatino Linotype"/>
        </w:rPr>
      </w:pPr>
    </w:p>
    <w:p w14:paraId="68268448" w14:textId="77777777" w:rsidR="00414811" w:rsidRPr="00D2506B" w:rsidRDefault="00414811">
      <w:pPr>
        <w:spacing w:line="360" w:lineRule="auto"/>
        <w:jc w:val="both"/>
        <w:rPr>
          <w:rFonts w:ascii="Palatino Linotype" w:eastAsia="Palatino Linotype" w:hAnsi="Palatino Linotype" w:cs="Palatino Linotype"/>
        </w:rPr>
      </w:pPr>
    </w:p>
    <w:p w14:paraId="28ADAAF4" w14:textId="77777777" w:rsidR="00414811" w:rsidRPr="00D2506B" w:rsidRDefault="00414811">
      <w:pPr>
        <w:spacing w:line="360" w:lineRule="auto"/>
        <w:jc w:val="both"/>
        <w:rPr>
          <w:rFonts w:ascii="Palatino Linotype" w:eastAsia="Palatino Linotype" w:hAnsi="Palatino Linotype" w:cs="Palatino Linotype"/>
        </w:rPr>
      </w:pPr>
    </w:p>
    <w:p w14:paraId="29842297" w14:textId="77777777" w:rsidR="00414811" w:rsidRPr="00D2506B" w:rsidRDefault="00414811">
      <w:pPr>
        <w:spacing w:line="360" w:lineRule="auto"/>
        <w:jc w:val="both"/>
        <w:rPr>
          <w:rFonts w:ascii="Palatino Linotype" w:eastAsia="Palatino Linotype" w:hAnsi="Palatino Linotype" w:cs="Palatino Linotype"/>
        </w:rPr>
      </w:pPr>
    </w:p>
    <w:p w14:paraId="4D2FCD6D" w14:textId="77777777" w:rsidR="00414811" w:rsidRPr="00D2506B" w:rsidRDefault="00414811">
      <w:pPr>
        <w:spacing w:line="360" w:lineRule="auto"/>
        <w:jc w:val="both"/>
        <w:rPr>
          <w:rFonts w:ascii="Palatino Linotype" w:eastAsia="Palatino Linotype" w:hAnsi="Palatino Linotype" w:cs="Palatino Linotype"/>
        </w:rPr>
      </w:pPr>
    </w:p>
    <w:p w14:paraId="3DE8AEE2" w14:textId="77777777" w:rsidR="00414811" w:rsidRPr="00D2506B" w:rsidRDefault="00414811">
      <w:pPr>
        <w:spacing w:line="360" w:lineRule="auto"/>
        <w:jc w:val="both"/>
        <w:rPr>
          <w:rFonts w:ascii="Palatino Linotype" w:eastAsia="Palatino Linotype" w:hAnsi="Palatino Linotype" w:cs="Palatino Linotype"/>
        </w:rPr>
      </w:pPr>
    </w:p>
    <w:p w14:paraId="2289D73D" w14:textId="77777777" w:rsidR="00414811" w:rsidRPr="00D2506B" w:rsidRDefault="00414811">
      <w:pPr>
        <w:spacing w:line="360" w:lineRule="auto"/>
        <w:jc w:val="both"/>
        <w:rPr>
          <w:rFonts w:ascii="Palatino Linotype" w:eastAsia="Palatino Linotype" w:hAnsi="Palatino Linotype" w:cs="Palatino Linotype"/>
        </w:rPr>
      </w:pPr>
    </w:p>
    <w:p w14:paraId="1D130F69" w14:textId="77777777" w:rsidR="00414811" w:rsidRPr="00D2506B" w:rsidRDefault="00414811">
      <w:pPr>
        <w:spacing w:line="360" w:lineRule="auto"/>
        <w:jc w:val="both"/>
        <w:rPr>
          <w:rFonts w:ascii="Palatino Linotype" w:eastAsia="Palatino Linotype" w:hAnsi="Palatino Linotype" w:cs="Palatino Linotype"/>
        </w:rPr>
      </w:pPr>
    </w:p>
    <w:p w14:paraId="7F42F739" w14:textId="77777777" w:rsidR="00414811" w:rsidRPr="00D2506B" w:rsidRDefault="00414811">
      <w:pPr>
        <w:spacing w:line="360" w:lineRule="auto"/>
        <w:jc w:val="both"/>
        <w:rPr>
          <w:rFonts w:ascii="Palatino Linotype" w:eastAsia="Palatino Linotype" w:hAnsi="Palatino Linotype" w:cs="Palatino Linotype"/>
        </w:rPr>
      </w:pPr>
    </w:p>
    <w:p w14:paraId="47133BDE" w14:textId="77777777" w:rsidR="00414811" w:rsidRPr="00D2506B" w:rsidRDefault="00414811">
      <w:pPr>
        <w:spacing w:line="360" w:lineRule="auto"/>
        <w:jc w:val="both"/>
        <w:rPr>
          <w:rFonts w:ascii="Palatino Linotype" w:eastAsia="Palatino Linotype" w:hAnsi="Palatino Linotype" w:cs="Palatino Linotype"/>
        </w:rPr>
      </w:pPr>
    </w:p>
    <w:p w14:paraId="47EC9EB9" w14:textId="77777777" w:rsidR="00414811" w:rsidRPr="00D2506B" w:rsidRDefault="00414811">
      <w:pPr>
        <w:spacing w:line="360" w:lineRule="auto"/>
        <w:jc w:val="both"/>
        <w:rPr>
          <w:rFonts w:ascii="Palatino Linotype" w:eastAsia="Palatino Linotype" w:hAnsi="Palatino Linotype" w:cs="Palatino Linotype"/>
        </w:rPr>
      </w:pPr>
    </w:p>
    <w:p w14:paraId="5B91E856" w14:textId="77777777" w:rsidR="00414811" w:rsidRPr="00D2506B" w:rsidRDefault="00414811">
      <w:pPr>
        <w:spacing w:line="360" w:lineRule="auto"/>
        <w:jc w:val="both"/>
        <w:rPr>
          <w:rFonts w:ascii="Palatino Linotype" w:eastAsia="Palatino Linotype" w:hAnsi="Palatino Linotype" w:cs="Palatino Linotype"/>
        </w:rPr>
      </w:pPr>
    </w:p>
    <w:p w14:paraId="078B0FE0" w14:textId="77777777" w:rsidR="00414811" w:rsidRPr="00D2506B" w:rsidRDefault="00414811">
      <w:pPr>
        <w:spacing w:line="360" w:lineRule="auto"/>
        <w:jc w:val="both"/>
        <w:rPr>
          <w:rFonts w:ascii="Palatino Linotype" w:eastAsia="Palatino Linotype" w:hAnsi="Palatino Linotype" w:cs="Palatino Linotype"/>
        </w:rPr>
      </w:pPr>
    </w:p>
    <w:p w14:paraId="7CECB5AD" w14:textId="77777777" w:rsidR="00414811" w:rsidRPr="00D2506B" w:rsidRDefault="00414811">
      <w:pPr>
        <w:spacing w:line="360" w:lineRule="auto"/>
        <w:jc w:val="both"/>
        <w:rPr>
          <w:rFonts w:ascii="Palatino Linotype" w:eastAsia="Palatino Linotype" w:hAnsi="Palatino Linotype" w:cs="Palatino Linotype"/>
        </w:rPr>
      </w:pPr>
    </w:p>
    <w:p w14:paraId="20029B9F" w14:textId="77777777" w:rsidR="00414811" w:rsidRPr="00D2506B" w:rsidRDefault="00414811">
      <w:pPr>
        <w:spacing w:line="360" w:lineRule="auto"/>
        <w:jc w:val="both"/>
        <w:rPr>
          <w:rFonts w:ascii="Palatino Linotype" w:eastAsia="Palatino Linotype" w:hAnsi="Palatino Linotype" w:cs="Palatino Linotype"/>
        </w:rPr>
      </w:pPr>
    </w:p>
    <w:p w14:paraId="1F18DA49" w14:textId="77777777" w:rsidR="00414811" w:rsidRPr="00D2506B" w:rsidRDefault="00414811">
      <w:pPr>
        <w:spacing w:line="360" w:lineRule="auto"/>
        <w:jc w:val="both"/>
        <w:rPr>
          <w:rFonts w:ascii="Palatino Linotype" w:eastAsia="Palatino Linotype" w:hAnsi="Palatino Linotype" w:cs="Palatino Linotype"/>
        </w:rPr>
      </w:pPr>
    </w:p>
    <w:sectPr w:rsidR="00414811" w:rsidRPr="00D2506B">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8871" w14:textId="77777777" w:rsidR="002D49C4" w:rsidRDefault="002D49C4">
      <w:r>
        <w:separator/>
      </w:r>
    </w:p>
  </w:endnote>
  <w:endnote w:type="continuationSeparator" w:id="0">
    <w:p w14:paraId="0C32DA74" w14:textId="77777777" w:rsidR="002D49C4" w:rsidRDefault="002D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484E" w14:textId="77777777" w:rsidR="00414811" w:rsidRDefault="008408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A6047">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A6047">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2FBDC835" w14:textId="77777777" w:rsidR="00414811" w:rsidRDefault="0041481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E18A" w14:textId="77777777" w:rsidR="00414811" w:rsidRDefault="008408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A604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A6047">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4CFD1ADD" w14:textId="77777777" w:rsidR="00414811" w:rsidRDefault="0041481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BF31" w14:textId="77777777" w:rsidR="002D49C4" w:rsidRDefault="002D49C4">
      <w:r>
        <w:separator/>
      </w:r>
    </w:p>
  </w:footnote>
  <w:footnote w:type="continuationSeparator" w:id="0">
    <w:p w14:paraId="7FB022ED" w14:textId="77777777" w:rsidR="002D49C4" w:rsidRDefault="002D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66AB" w14:textId="77777777" w:rsidR="00414811" w:rsidRDefault="008408AC">
    <w:pPr>
      <w:rPr>
        <w:rFonts w:ascii="Cambria" w:eastAsia="Cambria" w:hAnsi="Cambria" w:cs="Cambria"/>
        <w:color w:val="000000"/>
      </w:rPr>
    </w:pPr>
    <w:r>
      <w:rPr>
        <w:noProof/>
      </w:rPr>
      <w:drawing>
        <wp:anchor distT="0" distB="0" distL="0" distR="0" simplePos="0" relativeHeight="251658240" behindDoc="1" locked="0" layoutInCell="1" hidden="0" allowOverlap="1" wp14:anchorId="7CB50A81" wp14:editId="4860FF9C">
          <wp:simplePos x="0" y="0"/>
          <wp:positionH relativeFrom="column">
            <wp:posOffset>-1080132</wp:posOffset>
          </wp:positionH>
          <wp:positionV relativeFrom="paragraph">
            <wp:posOffset>-488259</wp:posOffset>
          </wp:positionV>
          <wp:extent cx="7809865" cy="10165715"/>
          <wp:effectExtent l="0" t="0" r="0" b="0"/>
          <wp:wrapNone/>
          <wp:docPr id="21401318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414811" w14:paraId="67B7E8AE" w14:textId="77777777">
      <w:tc>
        <w:tcPr>
          <w:tcW w:w="2489" w:type="dxa"/>
        </w:tcPr>
        <w:p w14:paraId="22CA8C4F" w14:textId="77777777" w:rsidR="00414811" w:rsidRDefault="00840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F75728A" w14:textId="77777777" w:rsidR="00414811" w:rsidRDefault="008408A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06784/INFOEM/IP/RR/2025</w:t>
          </w:r>
        </w:p>
      </w:tc>
    </w:tr>
    <w:tr w:rsidR="00414811" w14:paraId="1513A453" w14:textId="77777777">
      <w:trPr>
        <w:trHeight w:val="228"/>
      </w:trPr>
      <w:tc>
        <w:tcPr>
          <w:tcW w:w="2489" w:type="dxa"/>
          <w:vAlign w:val="center"/>
        </w:tcPr>
        <w:p w14:paraId="15663F2B" w14:textId="77777777" w:rsidR="00414811" w:rsidRDefault="00840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E9213F0" w14:textId="77777777" w:rsidR="00414811" w:rsidRDefault="008408A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414811" w14:paraId="45B3E669" w14:textId="77777777">
      <w:tc>
        <w:tcPr>
          <w:tcW w:w="2489" w:type="dxa"/>
          <w:vAlign w:val="center"/>
        </w:tcPr>
        <w:p w14:paraId="2D93B83B" w14:textId="77777777" w:rsidR="00414811" w:rsidRDefault="008408A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70F6C21" w14:textId="77777777" w:rsidR="00414811" w:rsidRDefault="008408A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19B1B5E" w14:textId="77777777" w:rsidR="00414811" w:rsidRDefault="008408A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26EE" w14:textId="77777777" w:rsidR="00414811" w:rsidRDefault="008408A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C3AD5B8" wp14:editId="0825C9B7">
          <wp:simplePos x="0" y="0"/>
          <wp:positionH relativeFrom="column">
            <wp:posOffset>-1080131</wp:posOffset>
          </wp:positionH>
          <wp:positionV relativeFrom="paragraph">
            <wp:posOffset>-369890</wp:posOffset>
          </wp:positionV>
          <wp:extent cx="7809865" cy="10165715"/>
          <wp:effectExtent l="0" t="0" r="0" b="0"/>
          <wp:wrapNone/>
          <wp:docPr id="2140131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414811" w14:paraId="127AA288" w14:textId="77777777">
      <w:tc>
        <w:tcPr>
          <w:tcW w:w="2489" w:type="dxa"/>
        </w:tcPr>
        <w:p w14:paraId="271663FC" w14:textId="77777777" w:rsidR="00414811" w:rsidRDefault="00840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1068720" w14:textId="77777777" w:rsidR="00414811" w:rsidRDefault="008408A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06784/INFOEM/IP/RR/2025</w:t>
          </w:r>
        </w:p>
      </w:tc>
    </w:tr>
    <w:tr w:rsidR="00414811" w14:paraId="2D126036" w14:textId="77777777">
      <w:tc>
        <w:tcPr>
          <w:tcW w:w="2489" w:type="dxa"/>
        </w:tcPr>
        <w:p w14:paraId="05B9EEF6" w14:textId="77777777" w:rsidR="00414811" w:rsidRDefault="00840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491105A5" w14:textId="77777777" w:rsidR="00414811" w:rsidRDefault="00414811">
          <w:pPr>
            <w:ind w:right="175"/>
            <w:jc w:val="both"/>
            <w:rPr>
              <w:rFonts w:ascii="Palatino Linotype" w:eastAsia="Palatino Linotype" w:hAnsi="Palatino Linotype" w:cs="Palatino Linotype"/>
              <w:b/>
              <w:color w:val="FF0000"/>
              <w:sz w:val="22"/>
              <w:szCs w:val="22"/>
              <w:highlight w:val="yellow"/>
            </w:rPr>
          </w:pPr>
        </w:p>
      </w:tc>
    </w:tr>
    <w:tr w:rsidR="00414811" w14:paraId="3DEE5723" w14:textId="77777777">
      <w:trPr>
        <w:trHeight w:val="228"/>
      </w:trPr>
      <w:tc>
        <w:tcPr>
          <w:tcW w:w="2489" w:type="dxa"/>
          <w:vAlign w:val="center"/>
        </w:tcPr>
        <w:p w14:paraId="3501C638" w14:textId="77777777" w:rsidR="00414811" w:rsidRDefault="00840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01E1A94" w14:textId="77777777" w:rsidR="00414811" w:rsidRDefault="008408A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414811" w14:paraId="6C77966D" w14:textId="77777777">
      <w:tc>
        <w:tcPr>
          <w:tcW w:w="2489" w:type="dxa"/>
          <w:vAlign w:val="center"/>
        </w:tcPr>
        <w:p w14:paraId="7B91BC78" w14:textId="77777777" w:rsidR="00414811" w:rsidRDefault="008408A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0F830DF" w14:textId="77777777" w:rsidR="00414811" w:rsidRDefault="008408A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D2D560" w14:textId="77777777" w:rsidR="00414811" w:rsidRDefault="004148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6F75"/>
    <w:multiLevelType w:val="multilevel"/>
    <w:tmpl w:val="5478E6A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11"/>
    <w:rsid w:val="002D49C4"/>
    <w:rsid w:val="00414811"/>
    <w:rsid w:val="006A53A9"/>
    <w:rsid w:val="008408AC"/>
    <w:rsid w:val="008A6047"/>
    <w:rsid w:val="00AC6DC0"/>
    <w:rsid w:val="00B94D7C"/>
    <w:rsid w:val="00D2506B"/>
    <w:rsid w:val="00F565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5213"/>
  <w15:docId w15:val="{A4300F46-5BCA-4A6C-AD6D-4F205BF8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80/GL+rsJJX69DnNrQqQULnfpg==">CgMxLjAyCWguM3JkY3JqbjIOaC5kYWozajJ4bzZxNjYyCGguZ2pkZ3hzMgloLjNkeTZ2a20yCWguMzBqMHpsbDIJaC4yczhleW8xMghoLnR5amN3dDIJaC4zem55c2g3MgloLjJldDkycDAyDmgueHgxb3M4OWJ1dzdrMg5oLnJydTA2Z3FmbnJicTIOaC45b3dhMG1rc2tuOXUyCWguMXQzaDVzZjIJaC4xZm9iOXRlMg5oLmhuenhzY2g1Z3lzejIOaC5vdDNxcTZ2eGEwOGYyCGgubG54Yno5OAByITF5VkhTck5HN1dkbjBVblJ1a0NibVZ5aF93UzZmdFlq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C568D7-3A7A-4407-9C10-879F7D3F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10622</Words>
  <Characters>58423</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2025-08-29T19:23:00Z</cp:lastPrinted>
  <dcterms:created xsi:type="dcterms:W3CDTF">2025-09-05T23:44:00Z</dcterms:created>
  <dcterms:modified xsi:type="dcterms:W3CDTF">2025-09-05T23:44:00Z</dcterms:modified>
</cp:coreProperties>
</file>