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3A4EF" w14:textId="77777777" w:rsidR="00C3173E" w:rsidRDefault="00C3173E">
      <w:pPr>
        <w:widowControl w:val="0"/>
        <w:pBdr>
          <w:top w:val="nil"/>
          <w:left w:val="nil"/>
          <w:bottom w:val="nil"/>
          <w:right w:val="nil"/>
          <w:between w:val="nil"/>
        </w:pBdr>
        <w:spacing w:after="0" w:line="276" w:lineRule="auto"/>
        <w:jc w:val="left"/>
      </w:pPr>
      <w:bookmarkStart w:id="0" w:name="_GoBack"/>
      <w:bookmarkEnd w:id="0"/>
    </w:p>
    <w:p w14:paraId="330B2F74" w14:textId="77777777" w:rsidR="00C3173E" w:rsidRDefault="00C3173E">
      <w:pPr>
        <w:widowControl w:val="0"/>
        <w:pBdr>
          <w:top w:val="nil"/>
          <w:left w:val="nil"/>
          <w:bottom w:val="nil"/>
          <w:right w:val="nil"/>
          <w:between w:val="nil"/>
        </w:pBdr>
        <w:spacing w:after="0" w:line="360" w:lineRule="auto"/>
        <w:jc w:val="left"/>
      </w:pPr>
    </w:p>
    <w:p w14:paraId="4F284BAF" w14:textId="77777777" w:rsidR="00C3173E" w:rsidRDefault="00C3173E">
      <w:pPr>
        <w:widowControl w:val="0"/>
        <w:pBdr>
          <w:top w:val="nil"/>
          <w:left w:val="nil"/>
          <w:bottom w:val="nil"/>
          <w:right w:val="nil"/>
          <w:between w:val="nil"/>
        </w:pBdr>
        <w:spacing w:after="0" w:line="360" w:lineRule="auto"/>
        <w:jc w:val="left"/>
      </w:pPr>
    </w:p>
    <w:p w14:paraId="57EC4A8B" w14:textId="77777777" w:rsidR="00C3173E" w:rsidRDefault="00C3173E">
      <w:pPr>
        <w:widowControl w:val="0"/>
        <w:pBdr>
          <w:top w:val="nil"/>
          <w:left w:val="nil"/>
          <w:bottom w:val="nil"/>
          <w:right w:val="nil"/>
          <w:between w:val="nil"/>
        </w:pBdr>
        <w:spacing w:after="0" w:line="360" w:lineRule="auto"/>
        <w:jc w:val="left"/>
      </w:pPr>
    </w:p>
    <w:sdt>
      <w:sdtPr>
        <w:rPr>
          <w:rFonts w:ascii="Palatino Linotype" w:eastAsia="Palatino Linotype" w:hAnsi="Palatino Linotype" w:cs="Palatino Linotype"/>
          <w:color w:val="auto"/>
          <w:sz w:val="22"/>
          <w:szCs w:val="22"/>
          <w:lang w:val="es-ES"/>
        </w:rPr>
        <w:id w:val="-1430186805"/>
        <w:docPartObj>
          <w:docPartGallery w:val="Table of Contents"/>
          <w:docPartUnique/>
        </w:docPartObj>
      </w:sdtPr>
      <w:sdtEndPr>
        <w:rPr>
          <w:b/>
          <w:bCs/>
        </w:rPr>
      </w:sdtEndPr>
      <w:sdtContent>
        <w:p w14:paraId="0FD9B8D6" w14:textId="69FACB96" w:rsidR="00433E4C" w:rsidRDefault="00433E4C">
          <w:pPr>
            <w:pStyle w:val="TtulodeTDC"/>
          </w:pPr>
          <w:r>
            <w:rPr>
              <w:lang w:val="es-ES"/>
            </w:rPr>
            <w:t>Tabla de contenido</w:t>
          </w:r>
        </w:p>
        <w:p w14:paraId="44DE7297" w14:textId="77777777" w:rsidR="00656978" w:rsidRDefault="00433E4C">
          <w:pPr>
            <w:pStyle w:val="TDC1"/>
            <w:tabs>
              <w:tab w:val="right" w:leader="dot" w:pos="9204"/>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206685966" w:history="1">
            <w:r w:rsidR="00656978" w:rsidRPr="006F4062">
              <w:rPr>
                <w:rStyle w:val="Hipervnculo"/>
                <w:noProof/>
              </w:rPr>
              <w:t>A N T E C E D E N T E S</w:t>
            </w:r>
            <w:r w:rsidR="00656978">
              <w:rPr>
                <w:noProof/>
                <w:webHidden/>
              </w:rPr>
              <w:tab/>
            </w:r>
            <w:r w:rsidR="00656978">
              <w:rPr>
                <w:noProof/>
                <w:webHidden/>
              </w:rPr>
              <w:fldChar w:fldCharType="begin"/>
            </w:r>
            <w:r w:rsidR="00656978">
              <w:rPr>
                <w:noProof/>
                <w:webHidden/>
              </w:rPr>
              <w:instrText xml:space="preserve"> PAGEREF _Toc206685966 \h </w:instrText>
            </w:r>
            <w:r w:rsidR="00656978">
              <w:rPr>
                <w:noProof/>
                <w:webHidden/>
              </w:rPr>
            </w:r>
            <w:r w:rsidR="00656978">
              <w:rPr>
                <w:noProof/>
                <w:webHidden/>
              </w:rPr>
              <w:fldChar w:fldCharType="separate"/>
            </w:r>
            <w:r w:rsidR="00E56ACA">
              <w:rPr>
                <w:noProof/>
                <w:webHidden/>
              </w:rPr>
              <w:t>2</w:t>
            </w:r>
            <w:r w:rsidR="00656978">
              <w:rPr>
                <w:noProof/>
                <w:webHidden/>
              </w:rPr>
              <w:fldChar w:fldCharType="end"/>
            </w:r>
          </w:hyperlink>
        </w:p>
        <w:p w14:paraId="24DEE5F8" w14:textId="77777777" w:rsidR="00656978" w:rsidRDefault="00E62B73">
          <w:pPr>
            <w:pStyle w:val="TDC2"/>
            <w:tabs>
              <w:tab w:val="right" w:leader="dot" w:pos="9204"/>
            </w:tabs>
            <w:rPr>
              <w:rFonts w:asciiTheme="minorHAnsi" w:eastAsiaTheme="minorEastAsia" w:hAnsiTheme="minorHAnsi" w:cstheme="minorBidi"/>
              <w:noProof/>
            </w:rPr>
          </w:pPr>
          <w:hyperlink w:anchor="_Toc206685967" w:history="1">
            <w:r w:rsidR="00656978" w:rsidRPr="006F4062">
              <w:rPr>
                <w:rStyle w:val="Hipervnculo"/>
                <w:noProof/>
              </w:rPr>
              <w:t>I. Presentación de la solicitud de información</w:t>
            </w:r>
            <w:r w:rsidR="00656978">
              <w:rPr>
                <w:noProof/>
                <w:webHidden/>
              </w:rPr>
              <w:tab/>
            </w:r>
            <w:r w:rsidR="00656978">
              <w:rPr>
                <w:noProof/>
                <w:webHidden/>
              </w:rPr>
              <w:fldChar w:fldCharType="begin"/>
            </w:r>
            <w:r w:rsidR="00656978">
              <w:rPr>
                <w:noProof/>
                <w:webHidden/>
              </w:rPr>
              <w:instrText xml:space="preserve"> PAGEREF _Toc206685967 \h </w:instrText>
            </w:r>
            <w:r w:rsidR="00656978">
              <w:rPr>
                <w:noProof/>
                <w:webHidden/>
              </w:rPr>
            </w:r>
            <w:r w:rsidR="00656978">
              <w:rPr>
                <w:noProof/>
                <w:webHidden/>
              </w:rPr>
              <w:fldChar w:fldCharType="separate"/>
            </w:r>
            <w:r w:rsidR="00E56ACA">
              <w:rPr>
                <w:noProof/>
                <w:webHidden/>
              </w:rPr>
              <w:t>2</w:t>
            </w:r>
            <w:r w:rsidR="00656978">
              <w:rPr>
                <w:noProof/>
                <w:webHidden/>
              </w:rPr>
              <w:fldChar w:fldCharType="end"/>
            </w:r>
          </w:hyperlink>
        </w:p>
        <w:p w14:paraId="16293024" w14:textId="77777777" w:rsidR="00656978" w:rsidRDefault="00E62B73">
          <w:pPr>
            <w:pStyle w:val="TDC2"/>
            <w:tabs>
              <w:tab w:val="right" w:leader="dot" w:pos="9204"/>
            </w:tabs>
            <w:rPr>
              <w:rFonts w:asciiTheme="minorHAnsi" w:eastAsiaTheme="minorEastAsia" w:hAnsiTheme="minorHAnsi" w:cstheme="minorBidi"/>
              <w:noProof/>
            </w:rPr>
          </w:pPr>
          <w:hyperlink w:anchor="_Toc206685968" w:history="1">
            <w:r w:rsidR="00656978" w:rsidRPr="006F4062">
              <w:rPr>
                <w:rStyle w:val="Hipervnculo"/>
                <w:noProof/>
              </w:rPr>
              <w:t>II. Información que Puede estar en Poder de Otro Sujeto Obligado</w:t>
            </w:r>
            <w:r w:rsidR="00656978">
              <w:rPr>
                <w:noProof/>
                <w:webHidden/>
              </w:rPr>
              <w:tab/>
            </w:r>
            <w:r w:rsidR="00656978">
              <w:rPr>
                <w:noProof/>
                <w:webHidden/>
              </w:rPr>
              <w:fldChar w:fldCharType="begin"/>
            </w:r>
            <w:r w:rsidR="00656978">
              <w:rPr>
                <w:noProof/>
                <w:webHidden/>
              </w:rPr>
              <w:instrText xml:space="preserve"> PAGEREF _Toc206685968 \h </w:instrText>
            </w:r>
            <w:r w:rsidR="00656978">
              <w:rPr>
                <w:noProof/>
                <w:webHidden/>
              </w:rPr>
            </w:r>
            <w:r w:rsidR="00656978">
              <w:rPr>
                <w:noProof/>
                <w:webHidden/>
              </w:rPr>
              <w:fldChar w:fldCharType="separate"/>
            </w:r>
            <w:r w:rsidR="00E56ACA">
              <w:rPr>
                <w:noProof/>
                <w:webHidden/>
              </w:rPr>
              <w:t>3</w:t>
            </w:r>
            <w:r w:rsidR="00656978">
              <w:rPr>
                <w:noProof/>
                <w:webHidden/>
              </w:rPr>
              <w:fldChar w:fldCharType="end"/>
            </w:r>
          </w:hyperlink>
        </w:p>
        <w:p w14:paraId="45288EC6" w14:textId="77777777" w:rsidR="00656978" w:rsidRDefault="00E62B73">
          <w:pPr>
            <w:pStyle w:val="TDC2"/>
            <w:tabs>
              <w:tab w:val="right" w:leader="dot" w:pos="9204"/>
            </w:tabs>
            <w:rPr>
              <w:rFonts w:asciiTheme="minorHAnsi" w:eastAsiaTheme="minorEastAsia" w:hAnsiTheme="minorHAnsi" w:cstheme="minorBidi"/>
              <w:noProof/>
            </w:rPr>
          </w:pPr>
          <w:hyperlink w:anchor="_Toc206685969" w:history="1">
            <w:r w:rsidR="00656978" w:rsidRPr="006F4062">
              <w:rPr>
                <w:rStyle w:val="Hipervnculo"/>
                <w:noProof/>
              </w:rPr>
              <w:t>III. Interposición del Recurso de Revisión</w:t>
            </w:r>
            <w:r w:rsidR="00656978">
              <w:rPr>
                <w:noProof/>
                <w:webHidden/>
              </w:rPr>
              <w:tab/>
            </w:r>
            <w:r w:rsidR="00656978">
              <w:rPr>
                <w:noProof/>
                <w:webHidden/>
              </w:rPr>
              <w:fldChar w:fldCharType="begin"/>
            </w:r>
            <w:r w:rsidR="00656978">
              <w:rPr>
                <w:noProof/>
                <w:webHidden/>
              </w:rPr>
              <w:instrText xml:space="preserve"> PAGEREF _Toc206685969 \h </w:instrText>
            </w:r>
            <w:r w:rsidR="00656978">
              <w:rPr>
                <w:noProof/>
                <w:webHidden/>
              </w:rPr>
            </w:r>
            <w:r w:rsidR="00656978">
              <w:rPr>
                <w:noProof/>
                <w:webHidden/>
              </w:rPr>
              <w:fldChar w:fldCharType="separate"/>
            </w:r>
            <w:r w:rsidR="00E56ACA">
              <w:rPr>
                <w:noProof/>
                <w:webHidden/>
              </w:rPr>
              <w:t>3</w:t>
            </w:r>
            <w:r w:rsidR="00656978">
              <w:rPr>
                <w:noProof/>
                <w:webHidden/>
              </w:rPr>
              <w:fldChar w:fldCharType="end"/>
            </w:r>
          </w:hyperlink>
        </w:p>
        <w:p w14:paraId="3FFA1686" w14:textId="77777777" w:rsidR="00656978" w:rsidRDefault="00E62B73">
          <w:pPr>
            <w:pStyle w:val="TDC2"/>
            <w:tabs>
              <w:tab w:val="right" w:leader="dot" w:pos="9204"/>
            </w:tabs>
            <w:rPr>
              <w:rFonts w:asciiTheme="minorHAnsi" w:eastAsiaTheme="minorEastAsia" w:hAnsiTheme="minorHAnsi" w:cstheme="minorBidi"/>
              <w:noProof/>
            </w:rPr>
          </w:pPr>
          <w:hyperlink w:anchor="_Toc206685970" w:history="1">
            <w:r w:rsidR="00656978" w:rsidRPr="006F4062">
              <w:rPr>
                <w:rStyle w:val="Hipervnculo"/>
                <w:noProof/>
              </w:rPr>
              <w:t>IV. Trámite del Recurso de Revisión ante este Instituto</w:t>
            </w:r>
            <w:r w:rsidR="00656978">
              <w:rPr>
                <w:noProof/>
                <w:webHidden/>
              </w:rPr>
              <w:tab/>
            </w:r>
            <w:r w:rsidR="00656978">
              <w:rPr>
                <w:noProof/>
                <w:webHidden/>
              </w:rPr>
              <w:fldChar w:fldCharType="begin"/>
            </w:r>
            <w:r w:rsidR="00656978">
              <w:rPr>
                <w:noProof/>
                <w:webHidden/>
              </w:rPr>
              <w:instrText xml:space="preserve"> PAGEREF _Toc206685970 \h </w:instrText>
            </w:r>
            <w:r w:rsidR="00656978">
              <w:rPr>
                <w:noProof/>
                <w:webHidden/>
              </w:rPr>
            </w:r>
            <w:r w:rsidR="00656978">
              <w:rPr>
                <w:noProof/>
                <w:webHidden/>
              </w:rPr>
              <w:fldChar w:fldCharType="separate"/>
            </w:r>
            <w:r w:rsidR="00E56ACA">
              <w:rPr>
                <w:noProof/>
                <w:webHidden/>
              </w:rPr>
              <w:t>4</w:t>
            </w:r>
            <w:r w:rsidR="00656978">
              <w:rPr>
                <w:noProof/>
                <w:webHidden/>
              </w:rPr>
              <w:fldChar w:fldCharType="end"/>
            </w:r>
          </w:hyperlink>
        </w:p>
        <w:p w14:paraId="783EEF4A" w14:textId="77777777" w:rsidR="00656978" w:rsidRDefault="00E62B73">
          <w:pPr>
            <w:pStyle w:val="TDC1"/>
            <w:tabs>
              <w:tab w:val="right" w:leader="dot" w:pos="9204"/>
            </w:tabs>
            <w:rPr>
              <w:rFonts w:asciiTheme="minorHAnsi" w:eastAsiaTheme="minorEastAsia" w:hAnsiTheme="minorHAnsi" w:cstheme="minorBidi"/>
              <w:noProof/>
            </w:rPr>
          </w:pPr>
          <w:hyperlink w:anchor="_Toc206685971" w:history="1">
            <w:r w:rsidR="00656978" w:rsidRPr="006F4062">
              <w:rPr>
                <w:rStyle w:val="Hipervnculo"/>
                <w:noProof/>
              </w:rPr>
              <w:t>C O N S I D E R A N D O S</w:t>
            </w:r>
            <w:r w:rsidR="00656978">
              <w:rPr>
                <w:noProof/>
                <w:webHidden/>
              </w:rPr>
              <w:tab/>
            </w:r>
            <w:r w:rsidR="00656978">
              <w:rPr>
                <w:noProof/>
                <w:webHidden/>
              </w:rPr>
              <w:fldChar w:fldCharType="begin"/>
            </w:r>
            <w:r w:rsidR="00656978">
              <w:rPr>
                <w:noProof/>
                <w:webHidden/>
              </w:rPr>
              <w:instrText xml:space="preserve"> PAGEREF _Toc206685971 \h </w:instrText>
            </w:r>
            <w:r w:rsidR="00656978">
              <w:rPr>
                <w:noProof/>
                <w:webHidden/>
              </w:rPr>
            </w:r>
            <w:r w:rsidR="00656978">
              <w:rPr>
                <w:noProof/>
                <w:webHidden/>
              </w:rPr>
              <w:fldChar w:fldCharType="separate"/>
            </w:r>
            <w:r w:rsidR="00E56ACA">
              <w:rPr>
                <w:noProof/>
                <w:webHidden/>
              </w:rPr>
              <w:t>6</w:t>
            </w:r>
            <w:r w:rsidR="00656978">
              <w:rPr>
                <w:noProof/>
                <w:webHidden/>
              </w:rPr>
              <w:fldChar w:fldCharType="end"/>
            </w:r>
          </w:hyperlink>
        </w:p>
        <w:p w14:paraId="216ED735" w14:textId="77777777" w:rsidR="00656978" w:rsidRDefault="00E62B73">
          <w:pPr>
            <w:pStyle w:val="TDC2"/>
            <w:tabs>
              <w:tab w:val="right" w:leader="dot" w:pos="9204"/>
            </w:tabs>
            <w:rPr>
              <w:rFonts w:asciiTheme="minorHAnsi" w:eastAsiaTheme="minorEastAsia" w:hAnsiTheme="minorHAnsi" w:cstheme="minorBidi"/>
              <w:noProof/>
            </w:rPr>
          </w:pPr>
          <w:hyperlink w:anchor="_Toc206685972" w:history="1">
            <w:r w:rsidR="00656978" w:rsidRPr="006F4062">
              <w:rPr>
                <w:rStyle w:val="Hipervnculo"/>
                <w:noProof/>
              </w:rPr>
              <w:t>PRIMERO. Competencia</w:t>
            </w:r>
            <w:r w:rsidR="00656978">
              <w:rPr>
                <w:noProof/>
                <w:webHidden/>
              </w:rPr>
              <w:tab/>
            </w:r>
            <w:r w:rsidR="00656978">
              <w:rPr>
                <w:noProof/>
                <w:webHidden/>
              </w:rPr>
              <w:fldChar w:fldCharType="begin"/>
            </w:r>
            <w:r w:rsidR="00656978">
              <w:rPr>
                <w:noProof/>
                <w:webHidden/>
              </w:rPr>
              <w:instrText xml:space="preserve"> PAGEREF _Toc206685972 \h </w:instrText>
            </w:r>
            <w:r w:rsidR="00656978">
              <w:rPr>
                <w:noProof/>
                <w:webHidden/>
              </w:rPr>
            </w:r>
            <w:r w:rsidR="00656978">
              <w:rPr>
                <w:noProof/>
                <w:webHidden/>
              </w:rPr>
              <w:fldChar w:fldCharType="separate"/>
            </w:r>
            <w:r w:rsidR="00E56ACA">
              <w:rPr>
                <w:noProof/>
                <w:webHidden/>
              </w:rPr>
              <w:t>6</w:t>
            </w:r>
            <w:r w:rsidR="00656978">
              <w:rPr>
                <w:noProof/>
                <w:webHidden/>
              </w:rPr>
              <w:fldChar w:fldCharType="end"/>
            </w:r>
          </w:hyperlink>
        </w:p>
        <w:p w14:paraId="3442C055" w14:textId="77777777" w:rsidR="00656978" w:rsidRDefault="00E62B73">
          <w:pPr>
            <w:pStyle w:val="TDC2"/>
            <w:tabs>
              <w:tab w:val="right" w:leader="dot" w:pos="9204"/>
            </w:tabs>
            <w:rPr>
              <w:rFonts w:asciiTheme="minorHAnsi" w:eastAsiaTheme="minorEastAsia" w:hAnsiTheme="minorHAnsi" w:cstheme="minorBidi"/>
              <w:noProof/>
            </w:rPr>
          </w:pPr>
          <w:hyperlink w:anchor="_Toc206685973" w:history="1">
            <w:r w:rsidR="00656978" w:rsidRPr="006F4062">
              <w:rPr>
                <w:rStyle w:val="Hipervnculo"/>
                <w:noProof/>
              </w:rPr>
              <w:t>SEGUNDO. Causales de improcedencia y sobreseimiento</w:t>
            </w:r>
            <w:r w:rsidR="00656978">
              <w:rPr>
                <w:noProof/>
                <w:webHidden/>
              </w:rPr>
              <w:tab/>
            </w:r>
            <w:r w:rsidR="00656978">
              <w:rPr>
                <w:noProof/>
                <w:webHidden/>
              </w:rPr>
              <w:fldChar w:fldCharType="begin"/>
            </w:r>
            <w:r w:rsidR="00656978">
              <w:rPr>
                <w:noProof/>
                <w:webHidden/>
              </w:rPr>
              <w:instrText xml:space="preserve"> PAGEREF _Toc206685973 \h </w:instrText>
            </w:r>
            <w:r w:rsidR="00656978">
              <w:rPr>
                <w:noProof/>
                <w:webHidden/>
              </w:rPr>
            </w:r>
            <w:r w:rsidR="00656978">
              <w:rPr>
                <w:noProof/>
                <w:webHidden/>
              </w:rPr>
              <w:fldChar w:fldCharType="separate"/>
            </w:r>
            <w:r w:rsidR="00E56ACA">
              <w:rPr>
                <w:noProof/>
                <w:webHidden/>
              </w:rPr>
              <w:t>6</w:t>
            </w:r>
            <w:r w:rsidR="00656978">
              <w:rPr>
                <w:noProof/>
                <w:webHidden/>
              </w:rPr>
              <w:fldChar w:fldCharType="end"/>
            </w:r>
          </w:hyperlink>
        </w:p>
        <w:p w14:paraId="7FD93991" w14:textId="77777777" w:rsidR="00656978" w:rsidRDefault="00E62B73">
          <w:pPr>
            <w:pStyle w:val="TDC2"/>
            <w:tabs>
              <w:tab w:val="right" w:leader="dot" w:pos="9204"/>
            </w:tabs>
            <w:rPr>
              <w:rFonts w:asciiTheme="minorHAnsi" w:eastAsiaTheme="minorEastAsia" w:hAnsiTheme="minorHAnsi" w:cstheme="minorBidi"/>
              <w:noProof/>
            </w:rPr>
          </w:pPr>
          <w:hyperlink w:anchor="_Toc206685974" w:history="1">
            <w:r w:rsidR="00656978" w:rsidRPr="006F4062">
              <w:rPr>
                <w:rStyle w:val="Hipervnculo"/>
                <w:noProof/>
              </w:rPr>
              <w:t>TERCERO. Determinación de la Controversia</w:t>
            </w:r>
            <w:r w:rsidR="00656978">
              <w:rPr>
                <w:noProof/>
                <w:webHidden/>
              </w:rPr>
              <w:tab/>
            </w:r>
            <w:r w:rsidR="00656978">
              <w:rPr>
                <w:noProof/>
                <w:webHidden/>
              </w:rPr>
              <w:fldChar w:fldCharType="begin"/>
            </w:r>
            <w:r w:rsidR="00656978">
              <w:rPr>
                <w:noProof/>
                <w:webHidden/>
              </w:rPr>
              <w:instrText xml:space="preserve"> PAGEREF _Toc206685974 \h </w:instrText>
            </w:r>
            <w:r w:rsidR="00656978">
              <w:rPr>
                <w:noProof/>
                <w:webHidden/>
              </w:rPr>
            </w:r>
            <w:r w:rsidR="00656978">
              <w:rPr>
                <w:noProof/>
                <w:webHidden/>
              </w:rPr>
              <w:fldChar w:fldCharType="separate"/>
            </w:r>
            <w:r w:rsidR="00E56ACA">
              <w:rPr>
                <w:noProof/>
                <w:webHidden/>
              </w:rPr>
              <w:t>7</w:t>
            </w:r>
            <w:r w:rsidR="00656978">
              <w:rPr>
                <w:noProof/>
                <w:webHidden/>
              </w:rPr>
              <w:fldChar w:fldCharType="end"/>
            </w:r>
          </w:hyperlink>
        </w:p>
        <w:p w14:paraId="4B8274D3" w14:textId="77777777" w:rsidR="00656978" w:rsidRDefault="00E62B73">
          <w:pPr>
            <w:pStyle w:val="TDC2"/>
            <w:tabs>
              <w:tab w:val="right" w:leader="dot" w:pos="9204"/>
            </w:tabs>
            <w:rPr>
              <w:rFonts w:asciiTheme="minorHAnsi" w:eastAsiaTheme="minorEastAsia" w:hAnsiTheme="minorHAnsi" w:cstheme="minorBidi"/>
              <w:noProof/>
            </w:rPr>
          </w:pPr>
          <w:hyperlink w:anchor="_Toc206685975" w:history="1">
            <w:r w:rsidR="00656978" w:rsidRPr="006F4062">
              <w:rPr>
                <w:rStyle w:val="Hipervnculo"/>
                <w:noProof/>
              </w:rPr>
              <w:t>CUARTO. Marco normativo aplicable en materia de transparencia y acceso a la información pública</w:t>
            </w:r>
            <w:r w:rsidR="00656978">
              <w:rPr>
                <w:noProof/>
                <w:webHidden/>
              </w:rPr>
              <w:tab/>
            </w:r>
            <w:r w:rsidR="00656978">
              <w:rPr>
                <w:noProof/>
                <w:webHidden/>
              </w:rPr>
              <w:fldChar w:fldCharType="begin"/>
            </w:r>
            <w:r w:rsidR="00656978">
              <w:rPr>
                <w:noProof/>
                <w:webHidden/>
              </w:rPr>
              <w:instrText xml:space="preserve"> PAGEREF _Toc206685975 \h </w:instrText>
            </w:r>
            <w:r w:rsidR="00656978">
              <w:rPr>
                <w:noProof/>
                <w:webHidden/>
              </w:rPr>
            </w:r>
            <w:r w:rsidR="00656978">
              <w:rPr>
                <w:noProof/>
                <w:webHidden/>
              </w:rPr>
              <w:fldChar w:fldCharType="separate"/>
            </w:r>
            <w:r w:rsidR="00E56ACA">
              <w:rPr>
                <w:noProof/>
                <w:webHidden/>
              </w:rPr>
              <w:t>9</w:t>
            </w:r>
            <w:r w:rsidR="00656978">
              <w:rPr>
                <w:noProof/>
                <w:webHidden/>
              </w:rPr>
              <w:fldChar w:fldCharType="end"/>
            </w:r>
          </w:hyperlink>
        </w:p>
        <w:p w14:paraId="66C893F3" w14:textId="77777777" w:rsidR="00656978" w:rsidRDefault="00E62B73">
          <w:pPr>
            <w:pStyle w:val="TDC2"/>
            <w:tabs>
              <w:tab w:val="right" w:leader="dot" w:pos="9204"/>
            </w:tabs>
            <w:rPr>
              <w:rFonts w:asciiTheme="minorHAnsi" w:eastAsiaTheme="minorEastAsia" w:hAnsiTheme="minorHAnsi" w:cstheme="minorBidi"/>
              <w:noProof/>
            </w:rPr>
          </w:pPr>
          <w:hyperlink w:anchor="_Toc206685976" w:history="1">
            <w:r w:rsidR="00656978" w:rsidRPr="006F4062">
              <w:rPr>
                <w:rStyle w:val="Hipervnculo"/>
                <w:smallCaps/>
                <w:noProof/>
              </w:rPr>
              <w:t>QUINTO.</w:t>
            </w:r>
            <w:r w:rsidR="00656978" w:rsidRPr="006F4062">
              <w:rPr>
                <w:rStyle w:val="Hipervnculo"/>
                <w:noProof/>
              </w:rPr>
              <w:t xml:space="preserve"> Estudio de Fondo</w:t>
            </w:r>
            <w:r w:rsidR="00656978">
              <w:rPr>
                <w:noProof/>
                <w:webHidden/>
              </w:rPr>
              <w:tab/>
            </w:r>
            <w:r w:rsidR="00656978">
              <w:rPr>
                <w:noProof/>
                <w:webHidden/>
              </w:rPr>
              <w:fldChar w:fldCharType="begin"/>
            </w:r>
            <w:r w:rsidR="00656978">
              <w:rPr>
                <w:noProof/>
                <w:webHidden/>
              </w:rPr>
              <w:instrText xml:space="preserve"> PAGEREF _Toc206685976 \h </w:instrText>
            </w:r>
            <w:r w:rsidR="00656978">
              <w:rPr>
                <w:noProof/>
                <w:webHidden/>
              </w:rPr>
            </w:r>
            <w:r w:rsidR="00656978">
              <w:rPr>
                <w:noProof/>
                <w:webHidden/>
              </w:rPr>
              <w:fldChar w:fldCharType="separate"/>
            </w:r>
            <w:r w:rsidR="00E56ACA">
              <w:rPr>
                <w:noProof/>
                <w:webHidden/>
              </w:rPr>
              <w:t>10</w:t>
            </w:r>
            <w:r w:rsidR="00656978">
              <w:rPr>
                <w:noProof/>
                <w:webHidden/>
              </w:rPr>
              <w:fldChar w:fldCharType="end"/>
            </w:r>
          </w:hyperlink>
        </w:p>
        <w:p w14:paraId="37E0AE30" w14:textId="77777777" w:rsidR="00656978" w:rsidRDefault="00E62B73">
          <w:pPr>
            <w:pStyle w:val="TDC2"/>
            <w:tabs>
              <w:tab w:val="right" w:leader="dot" w:pos="9204"/>
            </w:tabs>
            <w:rPr>
              <w:rFonts w:asciiTheme="minorHAnsi" w:eastAsiaTheme="minorEastAsia" w:hAnsiTheme="minorHAnsi" w:cstheme="minorBidi"/>
              <w:noProof/>
            </w:rPr>
          </w:pPr>
          <w:hyperlink w:anchor="_Toc206685977" w:history="1">
            <w:r w:rsidR="00656978" w:rsidRPr="006F4062">
              <w:rPr>
                <w:rStyle w:val="Hipervnculo"/>
                <w:noProof/>
              </w:rPr>
              <w:t>SEXTO. Decisión</w:t>
            </w:r>
            <w:r w:rsidR="00656978">
              <w:rPr>
                <w:noProof/>
                <w:webHidden/>
              </w:rPr>
              <w:tab/>
            </w:r>
            <w:r w:rsidR="00656978">
              <w:rPr>
                <w:noProof/>
                <w:webHidden/>
              </w:rPr>
              <w:fldChar w:fldCharType="begin"/>
            </w:r>
            <w:r w:rsidR="00656978">
              <w:rPr>
                <w:noProof/>
                <w:webHidden/>
              </w:rPr>
              <w:instrText xml:space="preserve"> PAGEREF _Toc206685977 \h </w:instrText>
            </w:r>
            <w:r w:rsidR="00656978">
              <w:rPr>
                <w:noProof/>
                <w:webHidden/>
              </w:rPr>
            </w:r>
            <w:r w:rsidR="00656978">
              <w:rPr>
                <w:noProof/>
                <w:webHidden/>
              </w:rPr>
              <w:fldChar w:fldCharType="separate"/>
            </w:r>
            <w:r w:rsidR="00E56ACA">
              <w:rPr>
                <w:noProof/>
                <w:webHidden/>
              </w:rPr>
              <w:t>19</w:t>
            </w:r>
            <w:r w:rsidR="00656978">
              <w:rPr>
                <w:noProof/>
                <w:webHidden/>
              </w:rPr>
              <w:fldChar w:fldCharType="end"/>
            </w:r>
          </w:hyperlink>
        </w:p>
        <w:p w14:paraId="41874A45" w14:textId="77777777" w:rsidR="00656978" w:rsidRDefault="00E62B73">
          <w:pPr>
            <w:pStyle w:val="TDC1"/>
            <w:tabs>
              <w:tab w:val="right" w:leader="dot" w:pos="9204"/>
            </w:tabs>
            <w:rPr>
              <w:rFonts w:asciiTheme="minorHAnsi" w:eastAsiaTheme="minorEastAsia" w:hAnsiTheme="minorHAnsi" w:cstheme="minorBidi"/>
              <w:noProof/>
            </w:rPr>
          </w:pPr>
          <w:hyperlink w:anchor="_Toc206685978" w:history="1">
            <w:r w:rsidR="00656978" w:rsidRPr="006F4062">
              <w:rPr>
                <w:rStyle w:val="Hipervnculo"/>
                <w:noProof/>
              </w:rPr>
              <w:t>R E S U E L V E</w:t>
            </w:r>
            <w:r w:rsidR="00656978">
              <w:rPr>
                <w:noProof/>
                <w:webHidden/>
              </w:rPr>
              <w:tab/>
            </w:r>
            <w:r w:rsidR="00656978">
              <w:rPr>
                <w:noProof/>
                <w:webHidden/>
              </w:rPr>
              <w:fldChar w:fldCharType="begin"/>
            </w:r>
            <w:r w:rsidR="00656978">
              <w:rPr>
                <w:noProof/>
                <w:webHidden/>
              </w:rPr>
              <w:instrText xml:space="preserve"> PAGEREF _Toc206685978 \h </w:instrText>
            </w:r>
            <w:r w:rsidR="00656978">
              <w:rPr>
                <w:noProof/>
                <w:webHidden/>
              </w:rPr>
            </w:r>
            <w:r w:rsidR="00656978">
              <w:rPr>
                <w:noProof/>
                <w:webHidden/>
              </w:rPr>
              <w:fldChar w:fldCharType="separate"/>
            </w:r>
            <w:r w:rsidR="00E56ACA">
              <w:rPr>
                <w:noProof/>
                <w:webHidden/>
              </w:rPr>
              <w:t>20</w:t>
            </w:r>
            <w:r w:rsidR="00656978">
              <w:rPr>
                <w:noProof/>
                <w:webHidden/>
              </w:rPr>
              <w:fldChar w:fldCharType="end"/>
            </w:r>
          </w:hyperlink>
        </w:p>
        <w:p w14:paraId="2E94A0D1" w14:textId="616B3C72" w:rsidR="00433E4C" w:rsidRDefault="00433E4C">
          <w:r>
            <w:rPr>
              <w:b/>
              <w:bCs/>
              <w:lang w:val="es-ES"/>
            </w:rPr>
            <w:fldChar w:fldCharType="end"/>
          </w:r>
        </w:p>
      </w:sdtContent>
    </w:sdt>
    <w:p w14:paraId="52A9F003" w14:textId="77777777" w:rsidR="00C3173E" w:rsidRPr="00433E4C" w:rsidRDefault="00510FC4">
      <w:r w:rsidRPr="00433E4C">
        <w:br w:type="page"/>
      </w:r>
    </w:p>
    <w:p w14:paraId="5C6985D8" w14:textId="77777777" w:rsidR="00C3173E" w:rsidRPr="00433E4C" w:rsidRDefault="00510FC4">
      <w:pPr>
        <w:spacing w:after="0" w:line="360" w:lineRule="auto"/>
      </w:pPr>
      <w:r w:rsidRPr="00433E4C">
        <w:lastRenderedPageBreak/>
        <w:t>Resolución del Pleno del Instituto de Transparencia, Acceso a la Información Pública y Protección de Datos Personales del Estado de México y Municipios, con domicilio en Metepec, Estado de México, de fecha veinte de agosto de dos mil veinticinco.</w:t>
      </w:r>
    </w:p>
    <w:p w14:paraId="574098BE" w14:textId="77777777" w:rsidR="00C3173E" w:rsidRPr="00433E4C" w:rsidRDefault="00C3173E">
      <w:pPr>
        <w:spacing w:after="0" w:line="360" w:lineRule="auto"/>
        <w:rPr>
          <w:b/>
        </w:rPr>
      </w:pPr>
    </w:p>
    <w:p w14:paraId="643092BA" w14:textId="77777777" w:rsidR="00C3173E" w:rsidRPr="00433E4C" w:rsidRDefault="00510FC4">
      <w:pPr>
        <w:spacing w:after="0" w:line="360" w:lineRule="auto"/>
      </w:pPr>
      <w:r w:rsidRPr="00433E4C">
        <w:rPr>
          <w:b/>
        </w:rPr>
        <w:t>VISTO</w:t>
      </w:r>
      <w:r w:rsidRPr="00433E4C">
        <w:t xml:space="preserve"> el expediente conformado con motivo del Recurso de Revisión </w:t>
      </w:r>
      <w:r w:rsidRPr="00433E4C">
        <w:rPr>
          <w:b/>
        </w:rPr>
        <w:t>06366/INFOEM/IP/RR/2025</w:t>
      </w:r>
      <w:r w:rsidRPr="00433E4C">
        <w:t xml:space="preserve">, interpuesto por la persona Recurrente o Particular, en contra de la respuesta del Sujeto Obligado, </w:t>
      </w:r>
      <w:r w:rsidRPr="00433E4C">
        <w:rPr>
          <w:b/>
        </w:rPr>
        <w:t>Partido Revolucionario Institucional</w:t>
      </w:r>
      <w:r w:rsidRPr="00433E4C">
        <w:t>, se emite la presente Resolución, con base en los antecedentes y considerandos que se exponen a continuación:</w:t>
      </w:r>
    </w:p>
    <w:p w14:paraId="3679E461" w14:textId="77777777" w:rsidR="00C3173E" w:rsidRPr="00433E4C" w:rsidRDefault="00C3173E">
      <w:pPr>
        <w:spacing w:after="0" w:line="360" w:lineRule="auto"/>
      </w:pPr>
    </w:p>
    <w:p w14:paraId="7D3B2BE9" w14:textId="77777777" w:rsidR="00C3173E" w:rsidRPr="00433E4C" w:rsidRDefault="00510FC4">
      <w:pPr>
        <w:pStyle w:val="Ttulo1"/>
        <w:spacing w:before="0" w:after="0"/>
        <w:rPr>
          <w:sz w:val="22"/>
          <w:szCs w:val="22"/>
        </w:rPr>
      </w:pPr>
      <w:bookmarkStart w:id="1" w:name="_Toc206685966"/>
      <w:r w:rsidRPr="00433E4C">
        <w:rPr>
          <w:sz w:val="22"/>
          <w:szCs w:val="22"/>
        </w:rPr>
        <w:t>A N T E C E D E N T E S</w:t>
      </w:r>
      <w:bookmarkEnd w:id="1"/>
    </w:p>
    <w:p w14:paraId="62107F35" w14:textId="77777777" w:rsidR="00C3173E" w:rsidRPr="00433E4C" w:rsidRDefault="00C3173E">
      <w:pPr>
        <w:spacing w:after="0" w:line="360" w:lineRule="auto"/>
      </w:pPr>
      <w:bookmarkStart w:id="2" w:name="_heading=h.gjdgxs" w:colFirst="0" w:colLast="0"/>
      <w:bookmarkEnd w:id="2"/>
    </w:p>
    <w:p w14:paraId="2DECEDF2" w14:textId="77777777" w:rsidR="00C3173E" w:rsidRPr="00433E4C" w:rsidRDefault="00510FC4">
      <w:pPr>
        <w:pStyle w:val="Ttulo2"/>
        <w:spacing w:before="0" w:after="0"/>
      </w:pPr>
      <w:bookmarkStart w:id="3" w:name="_Toc206685967"/>
      <w:r w:rsidRPr="00433E4C">
        <w:t>I. Presentación de la solicitud de información</w:t>
      </w:r>
      <w:bookmarkEnd w:id="3"/>
    </w:p>
    <w:p w14:paraId="757120A5" w14:textId="77777777" w:rsidR="00C3173E" w:rsidRPr="00433E4C" w:rsidRDefault="00C3173E">
      <w:pPr>
        <w:tabs>
          <w:tab w:val="left" w:pos="567"/>
        </w:tabs>
        <w:spacing w:after="0" w:line="360" w:lineRule="auto"/>
      </w:pPr>
    </w:p>
    <w:p w14:paraId="0FFE61F1" w14:textId="77777777" w:rsidR="00C3173E" w:rsidRPr="00433E4C" w:rsidRDefault="00510FC4">
      <w:pPr>
        <w:spacing w:after="0" w:line="360" w:lineRule="auto"/>
        <w:rPr>
          <w:color w:val="000000"/>
        </w:rPr>
      </w:pPr>
      <w:r w:rsidRPr="00433E4C">
        <w:t xml:space="preserve">Con fecha nueve de mayo de dos mil veinticinco, </w:t>
      </w:r>
      <w:r w:rsidRPr="00433E4C">
        <w:rPr>
          <w:color w:val="000000"/>
        </w:rPr>
        <w:t>la parte Solicitante presentó una solicitud de acceso a la información pública,</w:t>
      </w:r>
      <w:r w:rsidRPr="00433E4C">
        <w:t xml:space="preserve"> a través del</w:t>
      </w:r>
      <w:r w:rsidRPr="00433E4C">
        <w:rPr>
          <w:color w:val="000000"/>
        </w:rPr>
        <w:t xml:space="preserve"> Sistema de Acceso a la Información Mexiquense, en lo sucesivo el SAIMEX, ante el </w:t>
      </w:r>
      <w:r w:rsidRPr="00433E4C">
        <w:rPr>
          <w:b/>
        </w:rPr>
        <w:t>Partido Revolucionario Institucional</w:t>
      </w:r>
      <w:r w:rsidRPr="00433E4C">
        <w:rPr>
          <w:color w:val="000000"/>
        </w:rPr>
        <w:t>, en la que requirió lo siguiente:</w:t>
      </w:r>
    </w:p>
    <w:p w14:paraId="2D0001BD" w14:textId="77777777" w:rsidR="00C3173E" w:rsidRPr="00433E4C" w:rsidRDefault="00C3173E">
      <w:pPr>
        <w:spacing w:after="0" w:line="360" w:lineRule="auto"/>
        <w:rPr>
          <w:color w:val="000000"/>
        </w:rPr>
      </w:pPr>
    </w:p>
    <w:p w14:paraId="744F896C" w14:textId="77777777" w:rsidR="00C3173E" w:rsidRPr="00433E4C" w:rsidRDefault="00510FC4">
      <w:pPr>
        <w:tabs>
          <w:tab w:val="left" w:pos="567"/>
        </w:tabs>
        <w:spacing w:after="0" w:line="360" w:lineRule="auto"/>
        <w:ind w:left="567" w:right="709"/>
        <w:rPr>
          <w:b/>
          <w:sz w:val="20"/>
          <w:szCs w:val="20"/>
        </w:rPr>
      </w:pPr>
      <w:r w:rsidRPr="00433E4C">
        <w:rPr>
          <w:b/>
          <w:sz w:val="20"/>
          <w:szCs w:val="20"/>
        </w:rPr>
        <w:t>Folio de la solicitud: 00036/PRI/IP/2025</w:t>
      </w:r>
    </w:p>
    <w:p w14:paraId="2A57E54E" w14:textId="77777777" w:rsidR="00C3173E" w:rsidRPr="00433E4C" w:rsidRDefault="00510FC4">
      <w:pPr>
        <w:tabs>
          <w:tab w:val="left" w:pos="567"/>
        </w:tabs>
        <w:spacing w:after="0" w:line="360" w:lineRule="auto"/>
        <w:ind w:left="567" w:right="709"/>
        <w:rPr>
          <w:b/>
          <w:sz w:val="20"/>
          <w:szCs w:val="20"/>
        </w:rPr>
      </w:pPr>
      <w:r w:rsidRPr="00433E4C">
        <w:rPr>
          <w:b/>
          <w:sz w:val="20"/>
          <w:szCs w:val="20"/>
        </w:rPr>
        <w:t>DESCRIPCIÓN CLARA Y PRECISA DE LA INFORMACIÓN SOLICITADA</w:t>
      </w:r>
    </w:p>
    <w:p w14:paraId="09049890" w14:textId="77777777" w:rsidR="00C3173E" w:rsidRPr="00433E4C" w:rsidRDefault="00510FC4">
      <w:pPr>
        <w:tabs>
          <w:tab w:val="left" w:pos="4667"/>
        </w:tabs>
        <w:spacing w:after="0" w:line="360" w:lineRule="auto"/>
        <w:ind w:left="567" w:right="709"/>
        <w:rPr>
          <w:i/>
          <w:sz w:val="20"/>
          <w:szCs w:val="20"/>
        </w:rPr>
      </w:pPr>
      <w:r w:rsidRPr="00433E4C">
        <w:rPr>
          <w:i/>
          <w:sz w:val="20"/>
          <w:szCs w:val="20"/>
        </w:rPr>
        <w:t>“SEGÚN LA PUBLICACIÓN DE LAS REDES OFICIALES DEL PARTIDO REVOLUCIONARIO INSTITUCIONAL EN EL LINK https://www.facebook.com/share/p/16JCHGkHo5/ EN NUESTRO MUNICIPIO DE ECATEPEC, SOLICITO ME INFORME CUANTAS BARDAS SE PINTARAN, ASI COMO SU UBICACION Y DIMENCIONES, ADEMAS DE EXHIBIR EL PERMISO CORRESPONDIENTE Y CUAL FUE EL COSTO TOTAL DE ESTA PINTA DE BARDAS” (Sic.)</w:t>
      </w:r>
    </w:p>
    <w:p w14:paraId="105D7AC5" w14:textId="77777777" w:rsidR="00C3173E" w:rsidRPr="00433E4C" w:rsidRDefault="00C3173E">
      <w:pPr>
        <w:tabs>
          <w:tab w:val="left" w:pos="4667"/>
        </w:tabs>
        <w:spacing w:after="0" w:line="360" w:lineRule="auto"/>
        <w:ind w:left="567" w:right="709"/>
        <w:rPr>
          <w:b/>
          <w:sz w:val="20"/>
          <w:szCs w:val="20"/>
        </w:rPr>
      </w:pPr>
    </w:p>
    <w:p w14:paraId="6D3BA2B8" w14:textId="77777777" w:rsidR="00C3173E" w:rsidRPr="00433E4C" w:rsidRDefault="00510FC4">
      <w:pPr>
        <w:tabs>
          <w:tab w:val="left" w:pos="4667"/>
        </w:tabs>
        <w:spacing w:after="0" w:line="360" w:lineRule="auto"/>
        <w:ind w:left="567" w:right="709"/>
        <w:rPr>
          <w:b/>
          <w:sz w:val="20"/>
          <w:szCs w:val="20"/>
        </w:rPr>
      </w:pPr>
      <w:r w:rsidRPr="00433E4C">
        <w:rPr>
          <w:b/>
          <w:sz w:val="20"/>
          <w:szCs w:val="20"/>
        </w:rPr>
        <w:t xml:space="preserve">MODALIDAD DE ENTREGA </w:t>
      </w:r>
      <w:r w:rsidRPr="00433E4C">
        <w:rPr>
          <w:i/>
          <w:sz w:val="20"/>
          <w:szCs w:val="20"/>
        </w:rPr>
        <w:t>“A través del SAIMEX.”</w:t>
      </w:r>
    </w:p>
    <w:p w14:paraId="23DE4DCE" w14:textId="77777777" w:rsidR="00C3173E" w:rsidRPr="00433E4C" w:rsidRDefault="00C3173E">
      <w:pPr>
        <w:tabs>
          <w:tab w:val="left" w:pos="4667"/>
        </w:tabs>
        <w:spacing w:after="0" w:line="360" w:lineRule="auto"/>
        <w:ind w:right="709"/>
        <w:rPr>
          <w:i/>
        </w:rPr>
      </w:pPr>
    </w:p>
    <w:p w14:paraId="225B8D1D" w14:textId="77777777" w:rsidR="00C3173E" w:rsidRPr="00433E4C" w:rsidRDefault="00510FC4">
      <w:pPr>
        <w:pStyle w:val="Ttulo2"/>
        <w:spacing w:before="0" w:after="0"/>
      </w:pPr>
      <w:bookmarkStart w:id="4" w:name="_Toc206685968"/>
      <w:r w:rsidRPr="00433E4C">
        <w:t>II. Información que Puede estar en Poder de Otro Sujeto Obligado</w:t>
      </w:r>
      <w:bookmarkEnd w:id="4"/>
    </w:p>
    <w:p w14:paraId="2D414AA2" w14:textId="77777777" w:rsidR="00C3173E" w:rsidRPr="00433E4C" w:rsidRDefault="00C3173E">
      <w:pPr>
        <w:spacing w:after="0" w:line="360" w:lineRule="auto"/>
      </w:pPr>
    </w:p>
    <w:p w14:paraId="3CD8EC10" w14:textId="77777777" w:rsidR="00C3173E" w:rsidRPr="00433E4C" w:rsidRDefault="00510FC4">
      <w:pPr>
        <w:spacing w:after="0" w:line="360" w:lineRule="auto"/>
      </w:pPr>
      <w:r w:rsidRPr="00433E4C">
        <w:t>El veintinueve de mayo de dos mil veinticinco, el Sujeto Obligado a través de SAIMEX, remitió un oficio suscrito por su Titular de la Unidad de Transparencia, en el que informó lo siguiente:</w:t>
      </w:r>
    </w:p>
    <w:p w14:paraId="68E4F907" w14:textId="77777777" w:rsidR="00C3173E" w:rsidRPr="00433E4C" w:rsidRDefault="00C3173E">
      <w:pPr>
        <w:spacing w:after="0" w:line="360" w:lineRule="auto"/>
      </w:pPr>
    </w:p>
    <w:p w14:paraId="33326BDE" w14:textId="77777777" w:rsidR="00C3173E" w:rsidRPr="00433E4C" w:rsidRDefault="00510FC4">
      <w:pPr>
        <w:spacing w:after="0" w:line="360" w:lineRule="auto"/>
        <w:ind w:left="567" w:right="709"/>
        <w:rPr>
          <w:color w:val="000000"/>
          <w:sz w:val="20"/>
          <w:szCs w:val="20"/>
        </w:rPr>
      </w:pPr>
      <w:r w:rsidRPr="00433E4C">
        <w:rPr>
          <w:i/>
          <w:sz w:val="20"/>
          <w:szCs w:val="20"/>
        </w:rPr>
        <w:t xml:space="preserve">“Me permito informarle que en atención a su solicitud “SEGÚN LA PUBLICACIÓN DE LAS REDES OFICIALES DEL PARTIDO REVOLUCIONARIO INSTITUCIONAL EN EL LINK https://www.facebook.com/share/p/16JCHGkHo5/ EN NUESTRO MUNICIPIO DE ECATEPEC, SOLICITO ME INFORME CUANTAS BARDAS SE PINTARAN, ASI COMO SU UBICACION Y DIMENCIONES, ADEMAS DE EXHIBIR EL PERMISO CORRESPONDIENTE Y CUAL FUE EL COSTO TOTAL DE ESTA PINTA DE BARDAS”, le comento que estas pintas las llevan los Comités Municipales, </w:t>
      </w:r>
      <w:r w:rsidRPr="00433E4C">
        <w:rPr>
          <w:b/>
          <w:i/>
          <w:sz w:val="20"/>
          <w:szCs w:val="20"/>
        </w:rPr>
        <w:t>por lo anterior le sugiero remitir la pregunta al Comité Municipal de Ecatepec.”</w:t>
      </w:r>
      <w:r w:rsidRPr="00433E4C">
        <w:rPr>
          <w:i/>
          <w:sz w:val="20"/>
          <w:szCs w:val="20"/>
        </w:rPr>
        <w:t xml:space="preserve">  (Énfasis añadido)</w:t>
      </w:r>
    </w:p>
    <w:p w14:paraId="3060F3D3" w14:textId="77777777" w:rsidR="00C3173E" w:rsidRPr="00433E4C" w:rsidRDefault="00C3173E">
      <w:pPr>
        <w:pBdr>
          <w:top w:val="nil"/>
          <w:left w:val="nil"/>
          <w:bottom w:val="nil"/>
          <w:right w:val="nil"/>
          <w:between w:val="nil"/>
        </w:pBdr>
        <w:spacing w:after="0" w:line="360" w:lineRule="auto"/>
        <w:rPr>
          <w:i/>
          <w:color w:val="000000"/>
        </w:rPr>
      </w:pPr>
    </w:p>
    <w:p w14:paraId="1276A6C5" w14:textId="77777777" w:rsidR="00C3173E" w:rsidRPr="00433E4C" w:rsidRDefault="00510FC4">
      <w:pPr>
        <w:pStyle w:val="Ttulo2"/>
        <w:spacing w:before="0" w:after="0"/>
      </w:pPr>
      <w:bookmarkStart w:id="5" w:name="_Toc206685969"/>
      <w:r w:rsidRPr="00433E4C">
        <w:t>III. Interposición del Recurso de Revisión</w:t>
      </w:r>
      <w:bookmarkEnd w:id="5"/>
    </w:p>
    <w:p w14:paraId="6CE8811F" w14:textId="77777777" w:rsidR="00C3173E" w:rsidRPr="00433E4C" w:rsidRDefault="00C3173E">
      <w:pPr>
        <w:spacing w:after="0" w:line="360" w:lineRule="auto"/>
        <w:rPr>
          <w:b/>
        </w:rPr>
      </w:pPr>
    </w:p>
    <w:p w14:paraId="2EAE6CE3" w14:textId="77777777" w:rsidR="00C3173E" w:rsidRPr="00433E4C" w:rsidRDefault="00510FC4">
      <w:pPr>
        <w:spacing w:after="0" w:line="360" w:lineRule="auto"/>
      </w:pPr>
      <w:bookmarkStart w:id="6" w:name="_heading=h.2et92p0" w:colFirst="0" w:colLast="0"/>
      <w:bookmarkEnd w:id="6"/>
      <w:r w:rsidRPr="00433E4C">
        <w:t>Con fecha dos de junio de dos mil veinticinco, se recibió en este Instituto, a través del SAIMEX, el Recurso de Revisión interpuesto por la persona Recurrente, en los siguientes términos:</w:t>
      </w:r>
    </w:p>
    <w:p w14:paraId="74940638" w14:textId="77777777" w:rsidR="00C3173E" w:rsidRPr="00433E4C" w:rsidRDefault="00C3173E">
      <w:pPr>
        <w:spacing w:after="0" w:line="360" w:lineRule="auto"/>
      </w:pPr>
    </w:p>
    <w:p w14:paraId="6DBF96AA" w14:textId="77777777" w:rsidR="00C3173E" w:rsidRPr="00433E4C" w:rsidRDefault="00510FC4">
      <w:pPr>
        <w:spacing w:after="0" w:line="360" w:lineRule="auto"/>
        <w:ind w:left="567" w:right="709"/>
        <w:rPr>
          <w:b/>
          <w:sz w:val="20"/>
          <w:szCs w:val="20"/>
        </w:rPr>
      </w:pPr>
      <w:r w:rsidRPr="00433E4C">
        <w:rPr>
          <w:b/>
          <w:sz w:val="20"/>
          <w:szCs w:val="20"/>
        </w:rPr>
        <w:t>ACTO IMPUGNADO</w:t>
      </w:r>
      <w:r w:rsidRPr="00433E4C">
        <w:rPr>
          <w:b/>
          <w:sz w:val="20"/>
          <w:szCs w:val="20"/>
        </w:rPr>
        <w:tab/>
      </w:r>
    </w:p>
    <w:p w14:paraId="6A03EF91" w14:textId="77777777" w:rsidR="00C3173E" w:rsidRPr="00433E4C" w:rsidRDefault="00510FC4">
      <w:pPr>
        <w:spacing w:after="0" w:line="360" w:lineRule="auto"/>
        <w:ind w:left="567" w:right="709"/>
        <w:rPr>
          <w:i/>
          <w:sz w:val="20"/>
          <w:szCs w:val="20"/>
        </w:rPr>
      </w:pPr>
      <w:r w:rsidRPr="00433E4C">
        <w:rPr>
          <w:i/>
          <w:sz w:val="20"/>
          <w:szCs w:val="20"/>
        </w:rPr>
        <w:t xml:space="preserve">“No entregan la </w:t>
      </w:r>
      <w:proofErr w:type="spellStart"/>
      <w:r w:rsidRPr="00433E4C">
        <w:rPr>
          <w:i/>
          <w:sz w:val="20"/>
          <w:szCs w:val="20"/>
        </w:rPr>
        <w:t>infomación</w:t>
      </w:r>
      <w:proofErr w:type="spellEnd"/>
      <w:r w:rsidRPr="00433E4C">
        <w:rPr>
          <w:i/>
          <w:sz w:val="20"/>
          <w:szCs w:val="20"/>
        </w:rPr>
        <w:t xml:space="preserve"> solicitada” (Sic.) </w:t>
      </w:r>
    </w:p>
    <w:p w14:paraId="340A7899" w14:textId="77777777" w:rsidR="00C3173E" w:rsidRPr="00433E4C" w:rsidRDefault="00C3173E">
      <w:pPr>
        <w:spacing w:after="0" w:line="360" w:lineRule="auto"/>
        <w:ind w:left="567" w:right="709"/>
        <w:rPr>
          <w:sz w:val="20"/>
          <w:szCs w:val="20"/>
        </w:rPr>
      </w:pPr>
    </w:p>
    <w:p w14:paraId="10C16724" w14:textId="77777777" w:rsidR="00C3173E" w:rsidRPr="00433E4C" w:rsidRDefault="00510FC4">
      <w:pPr>
        <w:spacing w:after="0" w:line="360" w:lineRule="auto"/>
        <w:ind w:left="567" w:right="709"/>
        <w:rPr>
          <w:b/>
          <w:sz w:val="20"/>
          <w:szCs w:val="20"/>
        </w:rPr>
      </w:pPr>
      <w:r w:rsidRPr="00433E4C">
        <w:rPr>
          <w:b/>
          <w:sz w:val="20"/>
          <w:szCs w:val="20"/>
        </w:rPr>
        <w:t>RAZONES O MOTIVOS DE LA INCONFORMIDAD</w:t>
      </w:r>
      <w:r w:rsidRPr="00433E4C">
        <w:rPr>
          <w:b/>
          <w:sz w:val="20"/>
          <w:szCs w:val="20"/>
        </w:rPr>
        <w:tab/>
      </w:r>
    </w:p>
    <w:p w14:paraId="669E9695" w14:textId="77777777" w:rsidR="00C3173E" w:rsidRPr="00433E4C" w:rsidRDefault="00510FC4">
      <w:pPr>
        <w:tabs>
          <w:tab w:val="left" w:pos="4667"/>
        </w:tabs>
        <w:spacing w:after="0" w:line="360" w:lineRule="auto"/>
        <w:ind w:left="567" w:right="709"/>
        <w:rPr>
          <w:i/>
          <w:sz w:val="20"/>
          <w:szCs w:val="20"/>
        </w:rPr>
      </w:pPr>
      <w:r w:rsidRPr="00433E4C">
        <w:rPr>
          <w:i/>
          <w:sz w:val="20"/>
          <w:szCs w:val="20"/>
        </w:rPr>
        <w:lastRenderedPageBreak/>
        <w:t xml:space="preserve">“Dicen que la pinta de bardas las llevan los </w:t>
      </w:r>
      <w:proofErr w:type="spellStart"/>
      <w:r w:rsidRPr="00433E4C">
        <w:rPr>
          <w:i/>
          <w:sz w:val="20"/>
          <w:szCs w:val="20"/>
        </w:rPr>
        <w:t>comites</w:t>
      </w:r>
      <w:proofErr w:type="spellEnd"/>
      <w:r w:rsidRPr="00433E4C">
        <w:rPr>
          <w:i/>
          <w:sz w:val="20"/>
          <w:szCs w:val="20"/>
        </w:rPr>
        <w:t xml:space="preserve"> municipales, la titular de transparencia dice que le pregunte al </w:t>
      </w:r>
      <w:proofErr w:type="spellStart"/>
      <w:r w:rsidRPr="00433E4C">
        <w:rPr>
          <w:i/>
          <w:sz w:val="20"/>
          <w:szCs w:val="20"/>
        </w:rPr>
        <w:t>comite</w:t>
      </w:r>
      <w:proofErr w:type="spellEnd"/>
      <w:r w:rsidRPr="00433E4C">
        <w:rPr>
          <w:i/>
          <w:sz w:val="20"/>
          <w:szCs w:val="20"/>
        </w:rPr>
        <w:t xml:space="preserve"> municipal de </w:t>
      </w:r>
      <w:proofErr w:type="spellStart"/>
      <w:r w:rsidRPr="00433E4C">
        <w:rPr>
          <w:i/>
          <w:sz w:val="20"/>
          <w:szCs w:val="20"/>
        </w:rPr>
        <w:t>ecatepec</w:t>
      </w:r>
      <w:proofErr w:type="spellEnd"/>
      <w:r w:rsidRPr="00433E4C">
        <w:rPr>
          <w:i/>
          <w:sz w:val="20"/>
          <w:szCs w:val="20"/>
        </w:rPr>
        <w:t xml:space="preserve">, </w:t>
      </w:r>
      <w:r w:rsidRPr="00433E4C">
        <w:rPr>
          <w:b/>
          <w:i/>
          <w:sz w:val="20"/>
          <w:szCs w:val="20"/>
        </w:rPr>
        <w:t>cuando los municipales se supone dependen del estatal</w:t>
      </w:r>
      <w:r w:rsidRPr="00433E4C">
        <w:rPr>
          <w:i/>
          <w:sz w:val="20"/>
          <w:szCs w:val="20"/>
        </w:rPr>
        <w:t xml:space="preserve">, los municipales ni </w:t>
      </w:r>
      <w:proofErr w:type="spellStart"/>
      <w:r w:rsidRPr="00433E4C">
        <w:rPr>
          <w:i/>
          <w:sz w:val="20"/>
          <w:szCs w:val="20"/>
        </w:rPr>
        <w:t>estan</w:t>
      </w:r>
      <w:proofErr w:type="spellEnd"/>
      <w:r w:rsidRPr="00433E4C">
        <w:rPr>
          <w:i/>
          <w:sz w:val="20"/>
          <w:szCs w:val="20"/>
        </w:rPr>
        <w:t xml:space="preserve"> como </w:t>
      </w:r>
      <w:proofErr w:type="spellStart"/>
      <w:r w:rsidRPr="00433E4C">
        <w:rPr>
          <w:i/>
          <w:sz w:val="20"/>
          <w:szCs w:val="20"/>
        </w:rPr>
        <w:t>sujtos</w:t>
      </w:r>
      <w:proofErr w:type="spellEnd"/>
      <w:r w:rsidRPr="00433E4C">
        <w:rPr>
          <w:i/>
          <w:sz w:val="20"/>
          <w:szCs w:val="20"/>
        </w:rPr>
        <w:t xml:space="preserve"> obligados en el listado de los sujetos obligados no aparece </w:t>
      </w:r>
      <w:proofErr w:type="spellStart"/>
      <w:r w:rsidRPr="00433E4C">
        <w:rPr>
          <w:i/>
          <w:sz w:val="20"/>
          <w:szCs w:val="20"/>
        </w:rPr>
        <w:t>ningun</w:t>
      </w:r>
      <w:proofErr w:type="spellEnd"/>
      <w:r w:rsidRPr="00433E4C">
        <w:rPr>
          <w:i/>
          <w:sz w:val="20"/>
          <w:szCs w:val="20"/>
        </w:rPr>
        <w:t xml:space="preserve"> </w:t>
      </w:r>
      <w:proofErr w:type="spellStart"/>
      <w:r w:rsidRPr="00433E4C">
        <w:rPr>
          <w:i/>
          <w:sz w:val="20"/>
          <w:szCs w:val="20"/>
        </w:rPr>
        <w:t>comite</w:t>
      </w:r>
      <w:proofErr w:type="spellEnd"/>
      <w:r w:rsidRPr="00433E4C">
        <w:rPr>
          <w:i/>
          <w:sz w:val="20"/>
          <w:szCs w:val="20"/>
        </w:rPr>
        <w:t xml:space="preserve"> municipal ni de este ni de </w:t>
      </w:r>
      <w:proofErr w:type="spellStart"/>
      <w:r w:rsidRPr="00433E4C">
        <w:rPr>
          <w:i/>
          <w:sz w:val="20"/>
          <w:szCs w:val="20"/>
        </w:rPr>
        <w:t>nigun</w:t>
      </w:r>
      <w:proofErr w:type="spellEnd"/>
      <w:r w:rsidRPr="00433E4C">
        <w:rPr>
          <w:i/>
          <w:sz w:val="20"/>
          <w:szCs w:val="20"/>
        </w:rPr>
        <w:t xml:space="preserve"> partido, por esto no tiene sentido lo que contestan, no quieren dar la información claramente se nota”  (Sic.) (Énfasis añadido)</w:t>
      </w:r>
    </w:p>
    <w:p w14:paraId="6D03CF68" w14:textId="77777777" w:rsidR="00C3173E" w:rsidRPr="00433E4C" w:rsidRDefault="00C3173E">
      <w:pPr>
        <w:tabs>
          <w:tab w:val="left" w:pos="4667"/>
        </w:tabs>
        <w:spacing w:after="0" w:line="360" w:lineRule="auto"/>
      </w:pPr>
    </w:p>
    <w:p w14:paraId="4638BD98" w14:textId="77777777" w:rsidR="00C3173E" w:rsidRPr="00433E4C" w:rsidRDefault="00510FC4">
      <w:pPr>
        <w:pStyle w:val="Ttulo2"/>
        <w:spacing w:before="0" w:after="0"/>
      </w:pPr>
      <w:bookmarkStart w:id="7" w:name="_Toc206685970"/>
      <w:r w:rsidRPr="00433E4C">
        <w:t>IV. Trámite del Recurso de Revisión ante este Instituto</w:t>
      </w:r>
      <w:bookmarkEnd w:id="7"/>
    </w:p>
    <w:p w14:paraId="09CE50F4" w14:textId="77777777" w:rsidR="00C3173E" w:rsidRPr="00433E4C" w:rsidRDefault="00C3173E">
      <w:pPr>
        <w:spacing w:after="0" w:line="360" w:lineRule="auto"/>
        <w:rPr>
          <w:b/>
        </w:rPr>
      </w:pPr>
    </w:p>
    <w:p w14:paraId="4B046739" w14:textId="77777777" w:rsidR="00C3173E" w:rsidRPr="00433E4C" w:rsidRDefault="00510FC4">
      <w:pPr>
        <w:spacing w:after="0" w:line="360" w:lineRule="auto"/>
        <w:rPr>
          <w:color w:val="000000"/>
        </w:rPr>
      </w:pPr>
      <w:r w:rsidRPr="00433E4C">
        <w:rPr>
          <w:b/>
        </w:rPr>
        <w:t>a) Turno del Medio de Impugnación.</w:t>
      </w:r>
      <w:r w:rsidRPr="00433E4C">
        <w:t xml:space="preserve"> </w:t>
      </w:r>
      <w:r w:rsidRPr="00433E4C">
        <w:rPr>
          <w:color w:val="000000"/>
        </w:rPr>
        <w:t>El dos de junio de dos mil veinticinco, el SAIMEX, asignó el número de expediente</w:t>
      </w:r>
      <w:r w:rsidRPr="00433E4C">
        <w:rPr>
          <w:b/>
          <w:color w:val="000000"/>
        </w:rPr>
        <w:t xml:space="preserve"> 06366/INFOEM/IP/RR/2025, </w:t>
      </w:r>
      <w:r w:rsidRPr="00433E4C">
        <w:rPr>
          <w:color w:val="000000"/>
        </w:rPr>
        <w:t>al medio de impugnación que nos ocupan, con base en el sistema aprobado por el Pleno de este Órgano Garante y se turnó al Comisionado Ponente Luis Gustavo Parra Noriega, para los efectos del artículo 185, fracción I de la Ley de Transparencia y Acceso a la Información Pública del Estado de México y Municipios.</w:t>
      </w:r>
    </w:p>
    <w:p w14:paraId="02F8D399" w14:textId="77777777" w:rsidR="00C3173E" w:rsidRPr="00433E4C" w:rsidRDefault="00C3173E">
      <w:pPr>
        <w:spacing w:after="0" w:line="360" w:lineRule="auto"/>
      </w:pPr>
    </w:p>
    <w:p w14:paraId="1EDA388D" w14:textId="77777777" w:rsidR="00C3173E" w:rsidRPr="00433E4C" w:rsidRDefault="00510FC4">
      <w:pPr>
        <w:spacing w:after="0" w:line="360" w:lineRule="auto"/>
        <w:rPr>
          <w:color w:val="000000"/>
        </w:rPr>
      </w:pPr>
      <w:r w:rsidRPr="00433E4C">
        <w:rPr>
          <w:b/>
        </w:rPr>
        <w:t>b) Admisión del Recurso de Revisión.</w:t>
      </w:r>
      <w:r w:rsidRPr="00433E4C">
        <w:t xml:space="preserve"> </w:t>
      </w:r>
      <w:r w:rsidRPr="00433E4C">
        <w:rPr>
          <w:color w:val="000000"/>
        </w:rPr>
        <w:t xml:space="preserve">El </w:t>
      </w:r>
      <w:r w:rsidRPr="00433E4C">
        <w:t>cinco de junio de dos mil veinticinco</w:t>
      </w:r>
      <w:r w:rsidRPr="00433E4C">
        <w:rPr>
          <w:color w:val="000000"/>
        </w:rPr>
        <w:t xml:space="preserve">, se notificó a través de SAIMEX y se acordó la admisión del Recurso de Revisión interpuesto por la persona Recurrente en contra del Sujeto Obligado, en términos del artículo 185, fracciones I y II de la Ley de Transparencia y Acceso a la Información Pública del Estado de México y Municipios, en el que se les otorgó un plazo de siete días hábiles posteriores a la misma, para que </w:t>
      </w:r>
      <w:r w:rsidRPr="00433E4C">
        <w:t>manifestara</w:t>
      </w:r>
      <w:r w:rsidRPr="00433E4C">
        <w:rPr>
          <w:color w:val="000000"/>
        </w:rPr>
        <w:t xml:space="preserve"> lo que a su derecho conviniera y formularan alegatos.</w:t>
      </w:r>
    </w:p>
    <w:p w14:paraId="34B833E5" w14:textId="77777777" w:rsidR="00C3173E" w:rsidRPr="00433E4C" w:rsidRDefault="00C3173E">
      <w:pPr>
        <w:spacing w:after="0" w:line="360" w:lineRule="auto"/>
        <w:rPr>
          <w:color w:val="000000"/>
        </w:rPr>
      </w:pPr>
    </w:p>
    <w:p w14:paraId="19ABAB4A" w14:textId="77777777" w:rsidR="00C3173E" w:rsidRPr="00433E4C" w:rsidRDefault="00510FC4">
      <w:pPr>
        <w:spacing w:after="0" w:line="360" w:lineRule="auto"/>
      </w:pPr>
      <w:r w:rsidRPr="00433E4C">
        <w:rPr>
          <w:b/>
          <w:color w:val="000000"/>
        </w:rPr>
        <w:t xml:space="preserve">c) Informe Justificado. </w:t>
      </w:r>
      <w:r w:rsidRPr="00433E4C">
        <w:t>De las constancias que obran en el SAIMEX, se advierte que el Sujeto Obligado no rindió informe justificado.</w:t>
      </w:r>
    </w:p>
    <w:p w14:paraId="2DE70D7E" w14:textId="77777777" w:rsidR="00A670ED" w:rsidRPr="00433E4C" w:rsidRDefault="00A670ED">
      <w:pPr>
        <w:spacing w:after="0" w:line="360" w:lineRule="auto"/>
      </w:pPr>
    </w:p>
    <w:p w14:paraId="69D6FA37" w14:textId="77777777" w:rsidR="00C3173E" w:rsidRPr="00433E4C" w:rsidRDefault="00510FC4">
      <w:pPr>
        <w:spacing w:after="0" w:line="360" w:lineRule="auto"/>
      </w:pPr>
      <w:r w:rsidRPr="00433E4C">
        <w:rPr>
          <w:b/>
        </w:rPr>
        <w:lastRenderedPageBreak/>
        <w:t xml:space="preserve">d) Manifestaciones de la parte Recurrente. </w:t>
      </w:r>
      <w:r w:rsidRPr="00433E4C">
        <w:t>En fecha diecisiete de junio de dos mil veinticinco, a través de SAIMEX, la parte Recurrente emitió los siguientes argumentos:</w:t>
      </w:r>
    </w:p>
    <w:p w14:paraId="774A02FE" w14:textId="77777777" w:rsidR="00C3173E" w:rsidRPr="00433E4C" w:rsidRDefault="00C3173E">
      <w:pPr>
        <w:spacing w:after="0" w:line="360" w:lineRule="auto"/>
      </w:pPr>
    </w:p>
    <w:p w14:paraId="6D61C381" w14:textId="77777777" w:rsidR="00C3173E" w:rsidRPr="00433E4C" w:rsidRDefault="00510FC4">
      <w:pPr>
        <w:spacing w:after="0" w:line="360" w:lineRule="auto"/>
        <w:ind w:left="567" w:right="709"/>
        <w:rPr>
          <w:i/>
        </w:rPr>
      </w:pPr>
      <w:r w:rsidRPr="00433E4C">
        <w:rPr>
          <w:i/>
          <w:sz w:val="20"/>
          <w:szCs w:val="20"/>
        </w:rPr>
        <w:t>“Dicen que las pintas de bardas las llevan los comités municipales, la titular de transparencia dice que le pregunte al comité municipal de Ecatepec, cuando los municipales se supone dependen del estatal, los municipales ni están como sujetos obligados en el listado de los sujetos obligados no aparece ningún comité municipal ni de este ni de ningún partido, ni en la plataforma nacional se enlista algún comité municipal de los partidos políticos, por esto no tiene sentido lo que contestan, no quieren dar la información.”</w:t>
      </w:r>
    </w:p>
    <w:p w14:paraId="5A96282B" w14:textId="77777777" w:rsidR="00C3173E" w:rsidRPr="00433E4C" w:rsidRDefault="00C3173E">
      <w:pPr>
        <w:spacing w:after="0" w:line="360" w:lineRule="auto"/>
        <w:rPr>
          <w:b/>
        </w:rPr>
      </w:pPr>
    </w:p>
    <w:p w14:paraId="4D8FE0A6" w14:textId="77777777" w:rsidR="00C3173E" w:rsidRPr="00433E4C" w:rsidRDefault="00510FC4">
      <w:pPr>
        <w:spacing w:after="0" w:line="360" w:lineRule="auto"/>
      </w:pPr>
      <w:r w:rsidRPr="00433E4C">
        <w:rPr>
          <w:b/>
        </w:rPr>
        <w:t>e)</w:t>
      </w:r>
      <w:r w:rsidRPr="00433E4C">
        <w:t xml:space="preserve"> </w:t>
      </w:r>
      <w:r w:rsidRPr="00433E4C">
        <w:rPr>
          <w:b/>
        </w:rPr>
        <w:t>Ampliación de plazo para resolver</w:t>
      </w:r>
      <w:r w:rsidRPr="00433E4C">
        <w:t>. El doce de agosto de dos mil veinticinco, el Comisionado Ponente, con fundamento en lo dispuesto por el artículo 181, párrafo tercero, de la Ley de Transparencia y Acceso a la Información Pública del Estado de México y Municipios, acordó ampliar por un periodo de quince días, el plazo para resolver el Recurso de Revisión que nos ocupa; acto que fue notificado a las partes el mismo día mediante el SAIMEX.</w:t>
      </w:r>
    </w:p>
    <w:p w14:paraId="23AA10C8" w14:textId="77777777" w:rsidR="00C3173E" w:rsidRPr="00433E4C" w:rsidRDefault="00C3173E">
      <w:pPr>
        <w:pBdr>
          <w:top w:val="nil"/>
          <w:left w:val="nil"/>
          <w:bottom w:val="nil"/>
          <w:right w:val="nil"/>
          <w:between w:val="nil"/>
        </w:pBdr>
        <w:tabs>
          <w:tab w:val="left" w:pos="426"/>
        </w:tabs>
        <w:spacing w:after="0" w:line="360" w:lineRule="auto"/>
        <w:rPr>
          <w:b/>
          <w:color w:val="000000"/>
        </w:rPr>
      </w:pPr>
    </w:p>
    <w:p w14:paraId="4E527F47" w14:textId="77777777" w:rsidR="00C3173E" w:rsidRPr="00433E4C" w:rsidRDefault="00510FC4">
      <w:pPr>
        <w:spacing w:after="0" w:line="360" w:lineRule="auto"/>
      </w:pPr>
      <w:r w:rsidRPr="00433E4C">
        <w:rPr>
          <w:b/>
        </w:rPr>
        <w:t>f) Cierre de instrucción.</w:t>
      </w:r>
      <w:r w:rsidRPr="00433E4C">
        <w:t xml:space="preserve"> El trece de agosto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en la misma fecha, mediante el SAIMEX.</w:t>
      </w:r>
    </w:p>
    <w:p w14:paraId="4DE9B097" w14:textId="77777777" w:rsidR="00C3173E" w:rsidRPr="00433E4C" w:rsidRDefault="00C3173E">
      <w:pPr>
        <w:spacing w:after="0" w:line="360" w:lineRule="auto"/>
      </w:pPr>
    </w:p>
    <w:p w14:paraId="19287CFB" w14:textId="77777777" w:rsidR="00C3173E" w:rsidRPr="00433E4C" w:rsidRDefault="00510FC4">
      <w:pPr>
        <w:spacing w:after="0" w:line="360" w:lineRule="auto"/>
      </w:pPr>
      <w:r w:rsidRPr="00433E4C">
        <w:t xml:space="preserve">En razón de que fue debidamente sustanciado e integrado el expediente electrónico y no existir diligencia pendiente de desahogo, se emite la resolución que conforme a Derecho proceda, de acuerdo a los siguientes: </w:t>
      </w:r>
    </w:p>
    <w:p w14:paraId="414F60C8" w14:textId="77777777" w:rsidR="00C3173E" w:rsidRPr="00433E4C" w:rsidRDefault="00C3173E">
      <w:pPr>
        <w:spacing w:after="0" w:line="360" w:lineRule="auto"/>
      </w:pPr>
    </w:p>
    <w:p w14:paraId="1D40A9F5" w14:textId="77777777" w:rsidR="00C3173E" w:rsidRPr="00433E4C" w:rsidRDefault="00510FC4">
      <w:pPr>
        <w:pStyle w:val="Ttulo1"/>
        <w:spacing w:before="0" w:after="0"/>
        <w:rPr>
          <w:sz w:val="22"/>
          <w:szCs w:val="22"/>
        </w:rPr>
      </w:pPr>
      <w:bookmarkStart w:id="8" w:name="_Toc206685971"/>
      <w:r w:rsidRPr="00433E4C">
        <w:rPr>
          <w:sz w:val="22"/>
          <w:szCs w:val="22"/>
        </w:rPr>
        <w:t>C O N S I D E R A N D O S</w:t>
      </w:r>
      <w:bookmarkEnd w:id="8"/>
    </w:p>
    <w:p w14:paraId="54C4D28D" w14:textId="77777777" w:rsidR="00C3173E" w:rsidRPr="00433E4C" w:rsidRDefault="00C3173E">
      <w:pPr>
        <w:spacing w:after="0" w:line="360" w:lineRule="auto"/>
        <w:rPr>
          <w:b/>
        </w:rPr>
      </w:pPr>
    </w:p>
    <w:p w14:paraId="1DCE4E0E" w14:textId="77777777" w:rsidR="00C3173E" w:rsidRPr="00433E4C" w:rsidRDefault="00510FC4">
      <w:pPr>
        <w:pStyle w:val="Ttulo2"/>
        <w:spacing w:before="0" w:after="0"/>
      </w:pPr>
      <w:bookmarkStart w:id="9" w:name="_Toc206685972"/>
      <w:r w:rsidRPr="00433E4C">
        <w:t>PRIMERO. Competencia</w:t>
      </w:r>
      <w:bookmarkEnd w:id="9"/>
    </w:p>
    <w:p w14:paraId="0E9538F8" w14:textId="77777777" w:rsidR="00C3173E" w:rsidRPr="00433E4C" w:rsidRDefault="00C3173E">
      <w:pPr>
        <w:spacing w:after="0" w:line="360" w:lineRule="auto"/>
      </w:pPr>
    </w:p>
    <w:p w14:paraId="491EAD3F" w14:textId="60DF169B" w:rsidR="00C3173E" w:rsidRPr="00433E4C" w:rsidRDefault="00B114B8">
      <w:pPr>
        <w:spacing w:after="0" w:line="360" w:lineRule="auto"/>
      </w:pPr>
      <w:r w:rsidRPr="00433E4C">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FFBFCEB" w14:textId="77777777" w:rsidR="00B114B8" w:rsidRPr="00433E4C" w:rsidRDefault="00B114B8">
      <w:pPr>
        <w:spacing w:after="0" w:line="360" w:lineRule="auto"/>
      </w:pPr>
    </w:p>
    <w:p w14:paraId="38E9150A" w14:textId="77777777" w:rsidR="00C3173E" w:rsidRPr="00433E4C" w:rsidRDefault="00510FC4">
      <w:pPr>
        <w:pStyle w:val="Ttulo2"/>
        <w:spacing w:before="0" w:after="0"/>
      </w:pPr>
      <w:bookmarkStart w:id="10" w:name="_Toc206685973"/>
      <w:r w:rsidRPr="00433E4C">
        <w:t>SEGUNDO. Causales de improcedencia y sobreseimiento</w:t>
      </w:r>
      <w:bookmarkEnd w:id="10"/>
    </w:p>
    <w:p w14:paraId="60D90197" w14:textId="77777777" w:rsidR="00C3173E" w:rsidRPr="00433E4C" w:rsidRDefault="00C3173E">
      <w:pPr>
        <w:spacing w:after="0" w:line="360" w:lineRule="auto"/>
      </w:pPr>
    </w:p>
    <w:p w14:paraId="001ED959" w14:textId="77777777" w:rsidR="00C3173E" w:rsidRPr="00433E4C" w:rsidRDefault="00510FC4">
      <w:pPr>
        <w:spacing w:after="0" w:line="360" w:lineRule="auto"/>
      </w:pPr>
      <w:r w:rsidRPr="00433E4C">
        <w:t xml:space="preserve">De las constancias que forman parte del Recurso de Revisión que se analiza, se advierte que previo al estudio del fondo de la </w:t>
      </w:r>
      <w:proofErr w:type="spellStart"/>
      <w:r w:rsidRPr="00433E4C">
        <w:rPr>
          <w:i/>
        </w:rPr>
        <w:t>litis</w:t>
      </w:r>
      <w:proofErr w:type="spellEnd"/>
      <w:r w:rsidRPr="00433E4C">
        <w:t>, es necesario estudiar las causales de improcedencia y sobreseimiento que se adviertan, para determinar lo que en Derecho proceda.</w:t>
      </w:r>
    </w:p>
    <w:p w14:paraId="3A84D67E" w14:textId="77777777" w:rsidR="00C3173E" w:rsidRPr="00433E4C" w:rsidRDefault="00C3173E">
      <w:pPr>
        <w:spacing w:after="0" w:line="360" w:lineRule="auto"/>
      </w:pPr>
    </w:p>
    <w:p w14:paraId="15256B3B" w14:textId="77777777" w:rsidR="00C3173E" w:rsidRPr="00433E4C" w:rsidRDefault="00510FC4">
      <w:pPr>
        <w:spacing w:after="0" w:line="360" w:lineRule="auto"/>
        <w:rPr>
          <w:b/>
        </w:rPr>
      </w:pPr>
      <w:r w:rsidRPr="00433E4C">
        <w:rPr>
          <w:b/>
        </w:rPr>
        <w:t>Causales de improcedencia</w:t>
      </w:r>
    </w:p>
    <w:p w14:paraId="578F74EC" w14:textId="77777777" w:rsidR="00C3173E" w:rsidRPr="00433E4C" w:rsidRDefault="00C3173E">
      <w:pPr>
        <w:spacing w:after="0" w:line="360" w:lineRule="auto"/>
      </w:pPr>
    </w:p>
    <w:p w14:paraId="35856E4E" w14:textId="77777777" w:rsidR="00C3173E" w:rsidRPr="00433E4C" w:rsidRDefault="00510FC4">
      <w:pPr>
        <w:spacing w:after="0" w:line="360" w:lineRule="auto"/>
      </w:pPr>
      <w:r w:rsidRPr="00433E4C">
        <w:t xml:space="preserve">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w:t>
      </w:r>
      <w:r w:rsidRPr="00433E4C">
        <w:lastRenderedPageBreak/>
        <w:t>1a</w:t>
      </w:r>
      <w:proofErr w:type="gramStart"/>
      <w:r w:rsidRPr="00433E4C">
        <w:t>./</w:t>
      </w:r>
      <w:proofErr w:type="gramEnd"/>
      <w:r w:rsidRPr="00433E4C">
        <w:t>J. 163/2005</w:t>
      </w:r>
      <w:r w:rsidRPr="00433E4C">
        <w:rPr>
          <w:b/>
        </w:rPr>
        <w:t xml:space="preserve"> </w:t>
      </w:r>
      <w:r w:rsidRPr="00433E4C">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AE587BE" w14:textId="77777777" w:rsidR="00C3173E" w:rsidRPr="00433E4C" w:rsidRDefault="00C3173E">
      <w:pPr>
        <w:spacing w:after="0" w:line="360" w:lineRule="auto"/>
      </w:pPr>
    </w:p>
    <w:p w14:paraId="329562F5" w14:textId="77777777" w:rsidR="00C3173E" w:rsidRPr="00433E4C" w:rsidRDefault="00510FC4">
      <w:pPr>
        <w:spacing w:after="0" w:line="360" w:lineRule="auto"/>
      </w:pPr>
      <w:r w:rsidRPr="00433E4C">
        <w:t xml:space="preserve">En el presente caso, </w:t>
      </w:r>
      <w:r w:rsidRPr="00433E4C">
        <w:rPr>
          <w:b/>
        </w:rPr>
        <w:t>no se actualiza ninguna de las causales de improcedencia</w:t>
      </w:r>
      <w:r w:rsidRPr="00433E4C">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2802302A" w14:textId="77777777" w:rsidR="00C3173E" w:rsidRPr="00433E4C" w:rsidRDefault="00C3173E">
      <w:pPr>
        <w:spacing w:after="0" w:line="360" w:lineRule="auto"/>
        <w:rPr>
          <w:b/>
        </w:rPr>
      </w:pPr>
    </w:p>
    <w:p w14:paraId="76FE88F5" w14:textId="77777777" w:rsidR="00C3173E" w:rsidRPr="00433E4C" w:rsidRDefault="00510FC4">
      <w:pPr>
        <w:spacing w:after="0" w:line="360" w:lineRule="auto"/>
        <w:ind w:right="-28"/>
        <w:rPr>
          <w:b/>
          <w:color w:val="000000"/>
        </w:rPr>
      </w:pPr>
      <w:r w:rsidRPr="00433E4C">
        <w:rPr>
          <w:b/>
          <w:color w:val="000000"/>
        </w:rPr>
        <w:t>Causales de sobreseimiento</w:t>
      </w:r>
    </w:p>
    <w:p w14:paraId="1DD906B5" w14:textId="77777777" w:rsidR="00C3173E" w:rsidRPr="00433E4C" w:rsidRDefault="00C3173E">
      <w:pPr>
        <w:spacing w:after="0" w:line="360" w:lineRule="auto"/>
        <w:ind w:right="-28"/>
        <w:rPr>
          <w:color w:val="000000"/>
        </w:rPr>
      </w:pPr>
    </w:p>
    <w:p w14:paraId="29E31038" w14:textId="77777777" w:rsidR="00C3173E" w:rsidRPr="00433E4C" w:rsidRDefault="00510FC4">
      <w:pPr>
        <w:spacing w:after="0" w:line="360" w:lineRule="auto"/>
        <w:rPr>
          <w:color w:val="000000"/>
        </w:rPr>
      </w:pPr>
      <w:r w:rsidRPr="00433E4C">
        <w:rPr>
          <w:color w:val="0D0D0D"/>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IV y V,</w:t>
      </w:r>
      <w:r w:rsidRPr="00433E4C">
        <w:rPr>
          <w:b/>
          <w:color w:val="0D0D0D"/>
        </w:rPr>
        <w:t xml:space="preserve"> </w:t>
      </w:r>
      <w:r w:rsidRPr="00433E4C">
        <w:rPr>
          <w:color w:val="0D0D0D"/>
        </w:rPr>
        <w:t>toda vez que no hay constancias en el expediente en que se actúa, de que la persona Recurrente se haya desistido, fallecido, que el Sujeto Obligado hubiese modificado o revocado el acto impugnado o bien,</w:t>
      </w:r>
      <w:r w:rsidRPr="00433E4C">
        <w:t xml:space="preserve"> </w:t>
      </w:r>
      <w:r w:rsidRPr="00433E4C">
        <w:rPr>
          <w:color w:val="0D0D0D"/>
        </w:rPr>
        <w:t>que admitido una vez admitido el Recurso de Revisión, aparezca alguna causal de improcedencia o haya quedado sin materia.</w:t>
      </w:r>
    </w:p>
    <w:p w14:paraId="06F1EC3E" w14:textId="77777777" w:rsidR="00C3173E" w:rsidRPr="00433E4C" w:rsidRDefault="00C3173E">
      <w:pPr>
        <w:spacing w:after="0" w:line="360" w:lineRule="auto"/>
        <w:rPr>
          <w:color w:val="000000"/>
        </w:rPr>
      </w:pPr>
    </w:p>
    <w:p w14:paraId="0A00CD56" w14:textId="77777777" w:rsidR="00C3173E" w:rsidRPr="00433E4C" w:rsidRDefault="00510FC4">
      <w:pPr>
        <w:pStyle w:val="Ttulo2"/>
        <w:spacing w:before="0" w:after="0"/>
      </w:pPr>
      <w:bookmarkStart w:id="11" w:name="_Toc206685974"/>
      <w:r w:rsidRPr="00433E4C">
        <w:t>TERCERO. Determinación de la Controversia</w:t>
      </w:r>
      <w:bookmarkEnd w:id="11"/>
    </w:p>
    <w:p w14:paraId="5BD2024E" w14:textId="77777777" w:rsidR="00C3173E" w:rsidRPr="00433E4C" w:rsidRDefault="00C3173E">
      <w:pPr>
        <w:tabs>
          <w:tab w:val="left" w:pos="4962"/>
        </w:tabs>
        <w:spacing w:after="0" w:line="360" w:lineRule="auto"/>
      </w:pPr>
    </w:p>
    <w:p w14:paraId="22AF4EAB" w14:textId="13FD664E" w:rsidR="00C3173E" w:rsidRPr="00433E4C" w:rsidRDefault="00510FC4">
      <w:pPr>
        <w:tabs>
          <w:tab w:val="left" w:pos="4962"/>
        </w:tabs>
        <w:spacing w:after="0" w:line="360" w:lineRule="auto"/>
      </w:pPr>
      <w:r w:rsidRPr="00433E4C">
        <w:lastRenderedPageBreak/>
        <w:t>La parte Solicitante requirió, respecto a una publicación realizada en redes sociales por el Sujeto Obligado, lo siguiente:</w:t>
      </w:r>
    </w:p>
    <w:p w14:paraId="3A69B1EA" w14:textId="77777777" w:rsidR="00C3173E" w:rsidRPr="00433E4C" w:rsidRDefault="00C3173E">
      <w:pPr>
        <w:tabs>
          <w:tab w:val="left" w:pos="4962"/>
        </w:tabs>
        <w:spacing w:after="0" w:line="360" w:lineRule="auto"/>
      </w:pPr>
    </w:p>
    <w:p w14:paraId="03DB35E7" w14:textId="09BBCC85" w:rsidR="00C3173E" w:rsidRPr="00433E4C" w:rsidRDefault="00510FC4">
      <w:pPr>
        <w:numPr>
          <w:ilvl w:val="0"/>
          <w:numId w:val="2"/>
        </w:numPr>
        <w:pBdr>
          <w:top w:val="nil"/>
          <w:left w:val="nil"/>
          <w:bottom w:val="nil"/>
          <w:right w:val="nil"/>
          <w:between w:val="nil"/>
        </w:pBdr>
        <w:tabs>
          <w:tab w:val="left" w:pos="4962"/>
        </w:tabs>
        <w:spacing w:after="0" w:line="360" w:lineRule="auto"/>
        <w:rPr>
          <w:color w:val="000000"/>
        </w:rPr>
      </w:pPr>
      <w:r w:rsidRPr="00433E4C">
        <w:rPr>
          <w:color w:val="000000"/>
        </w:rPr>
        <w:t>Cantidad de bardas que se pintaron y que se tien</w:t>
      </w:r>
      <w:r w:rsidR="00A670ED" w:rsidRPr="00433E4C">
        <w:rPr>
          <w:color w:val="000000"/>
        </w:rPr>
        <w:t>en</w:t>
      </w:r>
      <w:r w:rsidRPr="00433E4C">
        <w:rPr>
          <w:color w:val="000000"/>
        </w:rPr>
        <w:t xml:space="preserve"> planead</w:t>
      </w:r>
      <w:r w:rsidR="00A670ED" w:rsidRPr="00433E4C">
        <w:rPr>
          <w:color w:val="000000"/>
        </w:rPr>
        <w:t>as</w:t>
      </w:r>
      <w:r w:rsidRPr="00433E4C">
        <w:rPr>
          <w:color w:val="000000"/>
        </w:rPr>
        <w:t xml:space="preserve"> pintar</w:t>
      </w:r>
      <w:r w:rsidR="00A670ED" w:rsidRPr="00433E4C">
        <w:rPr>
          <w:color w:val="000000"/>
        </w:rPr>
        <w:t>;</w:t>
      </w:r>
    </w:p>
    <w:p w14:paraId="0BAF94DF" w14:textId="40B25417" w:rsidR="00C3173E" w:rsidRPr="00433E4C" w:rsidRDefault="00510FC4">
      <w:pPr>
        <w:numPr>
          <w:ilvl w:val="0"/>
          <w:numId w:val="2"/>
        </w:numPr>
        <w:pBdr>
          <w:top w:val="nil"/>
          <w:left w:val="nil"/>
          <w:bottom w:val="nil"/>
          <w:right w:val="nil"/>
          <w:between w:val="nil"/>
        </w:pBdr>
        <w:tabs>
          <w:tab w:val="left" w:pos="4962"/>
        </w:tabs>
        <w:spacing w:after="0" w:line="360" w:lineRule="auto"/>
        <w:rPr>
          <w:color w:val="000000"/>
        </w:rPr>
      </w:pPr>
      <w:r w:rsidRPr="00433E4C">
        <w:rPr>
          <w:color w:val="000000"/>
        </w:rPr>
        <w:t>Ubicación</w:t>
      </w:r>
      <w:r w:rsidR="00A670ED" w:rsidRPr="00433E4C">
        <w:rPr>
          <w:color w:val="000000"/>
        </w:rPr>
        <w:t>;</w:t>
      </w:r>
    </w:p>
    <w:p w14:paraId="69EEDA18" w14:textId="1450BE37" w:rsidR="00C3173E" w:rsidRPr="00433E4C" w:rsidRDefault="00510FC4">
      <w:pPr>
        <w:numPr>
          <w:ilvl w:val="0"/>
          <w:numId w:val="2"/>
        </w:numPr>
        <w:pBdr>
          <w:top w:val="nil"/>
          <w:left w:val="nil"/>
          <w:bottom w:val="nil"/>
          <w:right w:val="nil"/>
          <w:between w:val="nil"/>
        </w:pBdr>
        <w:tabs>
          <w:tab w:val="left" w:pos="4962"/>
        </w:tabs>
        <w:spacing w:after="0" w:line="360" w:lineRule="auto"/>
        <w:rPr>
          <w:color w:val="000000"/>
        </w:rPr>
      </w:pPr>
      <w:r w:rsidRPr="00433E4C">
        <w:rPr>
          <w:color w:val="000000"/>
        </w:rPr>
        <w:t>Dimensiones</w:t>
      </w:r>
      <w:r w:rsidR="00A670ED" w:rsidRPr="00433E4C">
        <w:rPr>
          <w:color w:val="000000"/>
        </w:rPr>
        <w:t>;</w:t>
      </w:r>
    </w:p>
    <w:p w14:paraId="0B31B592" w14:textId="36B5C6F3" w:rsidR="00C3173E" w:rsidRPr="00433E4C" w:rsidRDefault="00510FC4">
      <w:pPr>
        <w:numPr>
          <w:ilvl w:val="0"/>
          <w:numId w:val="2"/>
        </w:numPr>
        <w:pBdr>
          <w:top w:val="nil"/>
          <w:left w:val="nil"/>
          <w:bottom w:val="nil"/>
          <w:right w:val="nil"/>
          <w:between w:val="nil"/>
        </w:pBdr>
        <w:tabs>
          <w:tab w:val="left" w:pos="4962"/>
        </w:tabs>
        <w:spacing w:after="0" w:line="360" w:lineRule="auto"/>
        <w:rPr>
          <w:color w:val="000000"/>
        </w:rPr>
      </w:pPr>
      <w:r w:rsidRPr="00433E4C">
        <w:rPr>
          <w:color w:val="000000"/>
        </w:rPr>
        <w:t>Permiso correspondiente</w:t>
      </w:r>
      <w:r w:rsidR="00A670ED" w:rsidRPr="00433E4C">
        <w:rPr>
          <w:color w:val="000000"/>
        </w:rPr>
        <w:t>, y</w:t>
      </w:r>
    </w:p>
    <w:p w14:paraId="0D0F5644" w14:textId="4AC75441" w:rsidR="00C3173E" w:rsidRPr="00433E4C" w:rsidRDefault="00510FC4">
      <w:pPr>
        <w:numPr>
          <w:ilvl w:val="0"/>
          <w:numId w:val="2"/>
        </w:numPr>
        <w:pBdr>
          <w:top w:val="nil"/>
          <w:left w:val="nil"/>
          <w:bottom w:val="nil"/>
          <w:right w:val="nil"/>
          <w:between w:val="nil"/>
        </w:pBdr>
        <w:tabs>
          <w:tab w:val="left" w:pos="4962"/>
        </w:tabs>
        <w:spacing w:after="0" w:line="360" w:lineRule="auto"/>
        <w:rPr>
          <w:color w:val="000000"/>
        </w:rPr>
      </w:pPr>
      <w:r w:rsidRPr="00433E4C">
        <w:rPr>
          <w:color w:val="000000"/>
        </w:rPr>
        <w:t>Costo total de la pinta de bardas</w:t>
      </w:r>
      <w:r w:rsidR="00A670ED" w:rsidRPr="00433E4C">
        <w:rPr>
          <w:color w:val="000000"/>
        </w:rPr>
        <w:t>.</w:t>
      </w:r>
    </w:p>
    <w:p w14:paraId="206D3955" w14:textId="77777777" w:rsidR="00C3173E" w:rsidRPr="00433E4C" w:rsidRDefault="00C3173E">
      <w:pPr>
        <w:tabs>
          <w:tab w:val="left" w:pos="4962"/>
        </w:tabs>
        <w:spacing w:after="0" w:line="360" w:lineRule="auto"/>
        <w:rPr>
          <w:color w:val="000000"/>
        </w:rPr>
      </w:pPr>
    </w:p>
    <w:p w14:paraId="193D486C" w14:textId="4C424F52" w:rsidR="00C3173E" w:rsidRPr="00433E4C" w:rsidRDefault="00510FC4">
      <w:pPr>
        <w:tabs>
          <w:tab w:val="left" w:pos="4962"/>
        </w:tabs>
        <w:spacing w:after="0" w:line="360" w:lineRule="auto"/>
      </w:pPr>
      <w:r w:rsidRPr="00433E4C">
        <w:rPr>
          <w:color w:val="000000"/>
        </w:rPr>
        <w:t xml:space="preserve">En respuesta la </w:t>
      </w:r>
      <w:r w:rsidRPr="00433E4C">
        <w:t xml:space="preserve">Titular de la Unidad de Transparencia señaló que </w:t>
      </w:r>
      <w:r w:rsidR="00A670ED" w:rsidRPr="00433E4C">
        <w:t>el</w:t>
      </w:r>
      <w:r w:rsidRPr="00433E4C">
        <w:t xml:space="preserve"> competente para conocer </w:t>
      </w:r>
      <w:r w:rsidR="00A670ED" w:rsidRPr="00433E4C">
        <w:t xml:space="preserve">de lo solicitado era el </w:t>
      </w:r>
      <w:r w:rsidRPr="00433E4C">
        <w:t>Comité Municipal de Ecatepec</w:t>
      </w:r>
      <w:r w:rsidR="00A670ED" w:rsidRPr="00433E4C">
        <w:t>; ante dicha circunstancia</w:t>
      </w:r>
      <w:r w:rsidRPr="00433E4C">
        <w:t>, la parte Recurrente se inconformó y señaló que no le entregaron la información y que los Comités Municipales no son un Sujeto Obligado diverso, sino que depend</w:t>
      </w:r>
      <w:r w:rsidR="00A670ED" w:rsidRPr="00433E4C">
        <w:t>ía</w:t>
      </w:r>
      <w:r w:rsidRPr="00433E4C">
        <w:t>n del Sujeto Obligado</w:t>
      </w:r>
      <w:r w:rsidR="00A670ED" w:rsidRPr="00433E4C">
        <w:t>; así las cosas, durante</w:t>
      </w:r>
      <w:r w:rsidRPr="00433E4C">
        <w:t xml:space="preserve"> la sustanciación del Recurso de Revisión la parte Recurrente insistió en sus motivos de agravio y el Sujeto Obligado fue omiso en rendir informe justificado. </w:t>
      </w:r>
    </w:p>
    <w:p w14:paraId="5F102934" w14:textId="77777777" w:rsidR="00C3173E" w:rsidRPr="00433E4C" w:rsidRDefault="00C3173E">
      <w:pPr>
        <w:tabs>
          <w:tab w:val="left" w:pos="4962"/>
        </w:tabs>
        <w:spacing w:after="0" w:line="360" w:lineRule="auto"/>
      </w:pPr>
    </w:p>
    <w:p w14:paraId="0A09A528" w14:textId="77777777" w:rsidR="00C3173E" w:rsidRPr="00433E4C" w:rsidRDefault="00510FC4">
      <w:pPr>
        <w:tabs>
          <w:tab w:val="left" w:pos="4962"/>
        </w:tabs>
        <w:spacing w:after="0" w:line="360" w:lineRule="auto"/>
      </w:pPr>
      <w:r w:rsidRPr="00433E4C">
        <w:t xml:space="preserve">Así pues, de las constancias que integran el expediente, se advierte que </w:t>
      </w:r>
      <w:r w:rsidRPr="00433E4C">
        <w:rPr>
          <w:color w:val="000000"/>
        </w:rPr>
        <w:t xml:space="preserve">en el asunto que nos ocupa se actualiza la causal de procedencia señalada en el </w:t>
      </w:r>
      <w:r w:rsidRPr="00433E4C">
        <w:t>artículo 179, fracción I, de la Ley de la materia; por la negativa de la información solicitada.</w:t>
      </w:r>
    </w:p>
    <w:p w14:paraId="2F11AD46" w14:textId="77777777" w:rsidR="00C3173E" w:rsidRPr="00433E4C" w:rsidRDefault="00C3173E">
      <w:pPr>
        <w:tabs>
          <w:tab w:val="left" w:pos="4962"/>
        </w:tabs>
        <w:spacing w:after="0" w:line="360" w:lineRule="auto"/>
      </w:pPr>
    </w:p>
    <w:p w14:paraId="543123AE" w14:textId="77777777" w:rsidR="00C3173E" w:rsidRPr="00433E4C" w:rsidRDefault="00510FC4">
      <w:pPr>
        <w:tabs>
          <w:tab w:val="left" w:pos="4962"/>
        </w:tabs>
        <w:spacing w:after="0" w:line="360" w:lineRule="auto"/>
      </w:pPr>
      <w:r w:rsidRPr="00433E4C">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7C32AE76" w14:textId="77777777" w:rsidR="00C3173E" w:rsidRPr="00433E4C" w:rsidRDefault="00C3173E">
      <w:pPr>
        <w:spacing w:after="0" w:line="360" w:lineRule="auto"/>
      </w:pPr>
    </w:p>
    <w:p w14:paraId="3F5BE66B" w14:textId="77777777" w:rsidR="00C3173E" w:rsidRPr="00433E4C" w:rsidRDefault="00510FC4">
      <w:pPr>
        <w:pStyle w:val="Ttulo2"/>
        <w:spacing w:before="0" w:after="0"/>
      </w:pPr>
      <w:bookmarkStart w:id="12" w:name="_Toc206685975"/>
      <w:r w:rsidRPr="00433E4C">
        <w:lastRenderedPageBreak/>
        <w:t>CUARTO. Marco normativo aplicable en materia de transparencia y acceso a la información pública</w:t>
      </w:r>
      <w:bookmarkEnd w:id="12"/>
    </w:p>
    <w:p w14:paraId="43A372F5" w14:textId="77777777" w:rsidR="00C3173E" w:rsidRPr="00433E4C" w:rsidRDefault="00C3173E">
      <w:pPr>
        <w:spacing w:after="0" w:line="360" w:lineRule="auto"/>
        <w:rPr>
          <w:color w:val="000000"/>
        </w:rPr>
      </w:pPr>
    </w:p>
    <w:p w14:paraId="707E03E8" w14:textId="77777777" w:rsidR="00C3173E" w:rsidRPr="00433E4C" w:rsidRDefault="00510FC4">
      <w:pPr>
        <w:spacing w:after="0" w:line="360" w:lineRule="auto"/>
        <w:rPr>
          <w:color w:val="000000"/>
        </w:rPr>
      </w:pPr>
      <w:r w:rsidRPr="00433E4C">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D68D27E" w14:textId="77777777" w:rsidR="00C3173E" w:rsidRPr="00433E4C" w:rsidRDefault="00C3173E">
      <w:pPr>
        <w:spacing w:after="0" w:line="360" w:lineRule="auto"/>
        <w:rPr>
          <w:color w:val="000000"/>
        </w:rPr>
      </w:pPr>
    </w:p>
    <w:p w14:paraId="29600550" w14:textId="77777777" w:rsidR="00C3173E" w:rsidRPr="00433E4C" w:rsidRDefault="00510FC4">
      <w:pPr>
        <w:spacing w:after="0" w:line="360" w:lineRule="auto"/>
        <w:rPr>
          <w:color w:val="000000"/>
        </w:rPr>
      </w:pPr>
      <w:r w:rsidRPr="00433E4C">
        <w:rPr>
          <w:color w:val="000000"/>
        </w:rP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3B8AA39" w14:textId="77777777" w:rsidR="00C3173E" w:rsidRPr="00433E4C" w:rsidRDefault="00C3173E">
      <w:pPr>
        <w:spacing w:after="0" w:line="360" w:lineRule="auto"/>
        <w:rPr>
          <w:color w:val="000000"/>
        </w:rPr>
      </w:pPr>
    </w:p>
    <w:p w14:paraId="3E673695" w14:textId="77777777" w:rsidR="00C3173E" w:rsidRPr="00433E4C" w:rsidRDefault="00510FC4">
      <w:pPr>
        <w:spacing w:after="0" w:line="360" w:lineRule="auto"/>
        <w:rPr>
          <w:color w:val="000000"/>
        </w:rPr>
      </w:pPr>
      <w:r w:rsidRPr="00433E4C">
        <w:rPr>
          <w:color w:val="000000"/>
        </w:rPr>
        <w:t>Por su parte, la Ley de Transparencia y Acceso a la Información Pública del Estado de México y Municipios (Reglamentaria del artículo 5° de la Constitución Local), establece lo siguiente:</w:t>
      </w:r>
    </w:p>
    <w:p w14:paraId="18A5BEDC" w14:textId="77777777" w:rsidR="00C3173E" w:rsidRPr="00433E4C" w:rsidRDefault="00C3173E">
      <w:pPr>
        <w:spacing w:after="0" w:line="360" w:lineRule="auto"/>
        <w:rPr>
          <w:color w:val="000000"/>
        </w:rPr>
      </w:pPr>
    </w:p>
    <w:p w14:paraId="2997B166" w14:textId="77777777" w:rsidR="00C3173E" w:rsidRPr="00433E4C" w:rsidRDefault="00510FC4">
      <w:pPr>
        <w:spacing w:after="0" w:line="360" w:lineRule="auto"/>
        <w:rPr>
          <w:color w:val="000000"/>
        </w:rPr>
      </w:pPr>
      <w:r w:rsidRPr="00433E4C">
        <w:rPr>
          <w:color w:val="000000"/>
        </w:rPr>
        <w:t xml:space="preserve">El artículo </w:t>
      </w:r>
      <w:r w:rsidRPr="00433E4C">
        <w:t>12 dice que</w:t>
      </w:r>
      <w:r w:rsidRPr="00433E4C">
        <w:rPr>
          <w:color w:val="000000"/>
        </w:rPr>
        <w:t>, quienes generen, recopilen, administren, manejen, procesen, archiven o conserven información pública serán responsables de la misma.</w:t>
      </w:r>
    </w:p>
    <w:p w14:paraId="3B7D67BA" w14:textId="77777777" w:rsidR="00C3173E" w:rsidRPr="00433E4C" w:rsidRDefault="00C3173E">
      <w:pPr>
        <w:spacing w:after="0" w:line="360" w:lineRule="auto"/>
        <w:rPr>
          <w:color w:val="000000"/>
        </w:rPr>
      </w:pPr>
    </w:p>
    <w:p w14:paraId="550123F5" w14:textId="77777777" w:rsidR="00C3173E" w:rsidRPr="00433E4C" w:rsidRDefault="00510FC4">
      <w:pPr>
        <w:spacing w:after="0" w:line="360" w:lineRule="auto"/>
        <w:rPr>
          <w:color w:val="000000"/>
        </w:rPr>
      </w:pPr>
      <w:r w:rsidRPr="00433E4C">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27CD6298" w14:textId="77777777" w:rsidR="00C3173E" w:rsidRPr="00433E4C" w:rsidRDefault="00C3173E">
      <w:pPr>
        <w:spacing w:after="0" w:line="360" w:lineRule="auto"/>
        <w:rPr>
          <w:color w:val="000000"/>
        </w:rPr>
      </w:pPr>
    </w:p>
    <w:p w14:paraId="0D4C2CFA" w14:textId="77777777" w:rsidR="00C3173E" w:rsidRPr="00433E4C" w:rsidRDefault="00510FC4">
      <w:pPr>
        <w:spacing w:after="0" w:line="360" w:lineRule="auto"/>
        <w:rPr>
          <w:smallCaps/>
        </w:rPr>
      </w:pPr>
      <w:r w:rsidRPr="00433E4C">
        <w:rPr>
          <w:color w:val="000000"/>
        </w:rPr>
        <w:t xml:space="preserve">El artículo 19, que, se presume que la información debe existir si se refiere a las facultades, competencias y funciones que los ordenamientos jurídicos aplicables otorgan a los sujetos </w:t>
      </w:r>
      <w:r w:rsidRPr="00433E4C">
        <w:rPr>
          <w:color w:val="000000"/>
        </w:rPr>
        <w:lastRenderedPageBreak/>
        <w:t>obligados y en caso de que dichas facultades no se hayan ejercido, se deberá motivar la respuesta en función de las causas que motivaron tal circunstancia.</w:t>
      </w:r>
    </w:p>
    <w:p w14:paraId="3E66186F" w14:textId="77777777" w:rsidR="00C3173E" w:rsidRPr="00433E4C" w:rsidRDefault="00C3173E">
      <w:pPr>
        <w:pStyle w:val="Ttulo2"/>
        <w:spacing w:before="0" w:after="0"/>
        <w:rPr>
          <w:smallCaps/>
        </w:rPr>
      </w:pPr>
    </w:p>
    <w:p w14:paraId="6DC43B34" w14:textId="77777777" w:rsidR="00C3173E" w:rsidRPr="00433E4C" w:rsidRDefault="00510FC4">
      <w:pPr>
        <w:pStyle w:val="Ttulo2"/>
        <w:spacing w:before="0" w:after="0"/>
      </w:pPr>
      <w:bookmarkStart w:id="13" w:name="_Toc206685976"/>
      <w:r w:rsidRPr="00433E4C">
        <w:rPr>
          <w:smallCaps/>
        </w:rPr>
        <w:t>QUINTO.</w:t>
      </w:r>
      <w:r w:rsidRPr="00433E4C">
        <w:t xml:space="preserve"> Estudio de Fondo</w:t>
      </w:r>
      <w:bookmarkEnd w:id="13"/>
    </w:p>
    <w:p w14:paraId="1C2034C7" w14:textId="77777777" w:rsidR="00C3173E" w:rsidRPr="00433E4C" w:rsidRDefault="00C3173E">
      <w:pPr>
        <w:spacing w:after="0" w:line="360" w:lineRule="auto"/>
      </w:pPr>
    </w:p>
    <w:p w14:paraId="1A956593" w14:textId="77777777" w:rsidR="00C3173E" w:rsidRPr="00433E4C" w:rsidRDefault="00510FC4">
      <w:pPr>
        <w:spacing w:after="0" w:line="360" w:lineRule="auto"/>
      </w:pPr>
      <w:r w:rsidRPr="00433E4C">
        <w:t xml:space="preserve">Una vez expuesto lo anterior es procedente contextualizar la solicitud de información, la cual se relaciona con la pinta de unas bardas, permisos y costos. </w:t>
      </w:r>
    </w:p>
    <w:p w14:paraId="7066837A" w14:textId="77777777" w:rsidR="00C3173E" w:rsidRPr="00433E4C" w:rsidRDefault="00C3173E">
      <w:pPr>
        <w:spacing w:after="0" w:line="360" w:lineRule="auto"/>
      </w:pPr>
    </w:p>
    <w:p w14:paraId="27CEDFAD" w14:textId="1FA5532D" w:rsidR="00C3173E" w:rsidRPr="00433E4C" w:rsidRDefault="00510FC4">
      <w:pPr>
        <w:spacing w:after="0" w:line="360" w:lineRule="auto"/>
      </w:pPr>
      <w:r w:rsidRPr="00433E4C">
        <w:t xml:space="preserve">En este sentido, cabe precisar que de la liga proporcionada por </w:t>
      </w:r>
      <w:r w:rsidR="00A670ED" w:rsidRPr="00433E4C">
        <w:t>la persona Solicitante</w:t>
      </w:r>
      <w:r w:rsidRPr="00433E4C">
        <w:t xml:space="preserve"> se desprende una publicación realizada por la red social del Sujeto Obligado, en el que se advierte lo siguiente:</w:t>
      </w:r>
    </w:p>
    <w:p w14:paraId="4667A92B" w14:textId="77777777" w:rsidR="00C3173E" w:rsidRPr="00433E4C" w:rsidRDefault="00C3173E">
      <w:pPr>
        <w:spacing w:after="0" w:line="360" w:lineRule="auto"/>
      </w:pPr>
    </w:p>
    <w:p w14:paraId="11D1AEBD" w14:textId="77777777" w:rsidR="00C3173E" w:rsidRPr="00433E4C" w:rsidRDefault="00510FC4">
      <w:pPr>
        <w:spacing w:after="0" w:line="360" w:lineRule="auto"/>
        <w:jc w:val="center"/>
      </w:pPr>
      <w:r w:rsidRPr="00433E4C">
        <w:rPr>
          <w:noProof/>
        </w:rPr>
        <w:drawing>
          <wp:inline distT="0" distB="0" distL="0" distR="0" wp14:anchorId="22B0532B" wp14:editId="617360ED">
            <wp:extent cx="5850890" cy="156591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850890" cy="1565910"/>
                    </a:xfrm>
                    <a:prstGeom prst="rect">
                      <a:avLst/>
                    </a:prstGeom>
                    <a:ln/>
                  </pic:spPr>
                </pic:pic>
              </a:graphicData>
            </a:graphic>
          </wp:inline>
        </w:drawing>
      </w:r>
    </w:p>
    <w:p w14:paraId="34295384" w14:textId="77777777" w:rsidR="00C3173E" w:rsidRPr="00433E4C" w:rsidRDefault="00C3173E">
      <w:pPr>
        <w:spacing w:after="0" w:line="360" w:lineRule="auto"/>
      </w:pPr>
    </w:p>
    <w:p w14:paraId="3075B40A" w14:textId="77777777" w:rsidR="00C3173E" w:rsidRPr="00433E4C" w:rsidRDefault="00510FC4">
      <w:pPr>
        <w:spacing w:after="0" w:line="360" w:lineRule="auto"/>
      </w:pPr>
      <w:r w:rsidRPr="00433E4C">
        <w:t>Además, se advierten fotografías en las que se están pintando bardas con los logos del partido político, por lo que se advierte que debe conocer información relacionada con la pinta de dichas bardas.</w:t>
      </w:r>
    </w:p>
    <w:p w14:paraId="2E88A93E" w14:textId="77777777" w:rsidR="00C3173E" w:rsidRPr="00433E4C" w:rsidRDefault="00C3173E">
      <w:pPr>
        <w:spacing w:after="0" w:line="360" w:lineRule="auto"/>
        <w:rPr>
          <w:b/>
          <w:color w:val="000000"/>
        </w:rPr>
      </w:pPr>
    </w:p>
    <w:p w14:paraId="4BD17F8C" w14:textId="6D3F7C17" w:rsidR="00C3173E" w:rsidRPr="00433E4C" w:rsidRDefault="00A670ED">
      <w:pPr>
        <w:spacing w:after="0" w:line="360" w:lineRule="auto"/>
        <w:rPr>
          <w:color w:val="000000"/>
        </w:rPr>
      </w:pPr>
      <w:r w:rsidRPr="00433E4C">
        <w:rPr>
          <w:color w:val="000000"/>
        </w:rPr>
        <w:t xml:space="preserve">Además, cabe señalar que el artículo 138, fracción VI de los Estatutos del Sujeto Obligado, señala que los presidentes de los Comités Directivos de las entidades federativas, tienen diversas atribuciones, entre ellas, la de Coordinar actividades de los Comités Municipales, por lo que se </w:t>
      </w:r>
      <w:r w:rsidRPr="00433E4C">
        <w:rPr>
          <w:color w:val="000000"/>
        </w:rPr>
        <w:lastRenderedPageBreak/>
        <w:t>advierte que el Comité Directivo del Estado, debe conocer de las actividades de los municipales y  en consecuencia, el Sujeto Obligado puede conocer de la información realizada por este, dentro del Municipio de Ecatepec.</w:t>
      </w:r>
    </w:p>
    <w:p w14:paraId="3F16F766" w14:textId="77777777" w:rsidR="00C3173E" w:rsidRPr="00433E4C" w:rsidRDefault="00C3173E">
      <w:pPr>
        <w:spacing w:after="0" w:line="360" w:lineRule="auto"/>
        <w:rPr>
          <w:b/>
          <w:color w:val="000000"/>
        </w:rPr>
      </w:pPr>
    </w:p>
    <w:p w14:paraId="6F1DE037" w14:textId="1F3329EF" w:rsidR="00C3173E" w:rsidRPr="00433E4C" w:rsidRDefault="00A670ED">
      <w:pPr>
        <w:spacing w:after="0" w:line="360" w:lineRule="auto"/>
        <w:rPr>
          <w:color w:val="000000"/>
        </w:rPr>
      </w:pPr>
      <w:r w:rsidRPr="00433E4C">
        <w:rPr>
          <w:color w:val="000000"/>
        </w:rPr>
        <w:t>En ese orden de ideas, la Ley General de Partidos Políticos, establece en su artículo 76, numeral 1, inciso a), que se entienden como gastos de propaganda, aquellos realizados mediante diversos medios, entre ellos, sobre bardas.</w:t>
      </w:r>
    </w:p>
    <w:p w14:paraId="682F87DA" w14:textId="77777777" w:rsidR="00C3173E" w:rsidRPr="00433E4C" w:rsidRDefault="00C3173E">
      <w:pPr>
        <w:spacing w:after="0" w:line="360" w:lineRule="auto"/>
        <w:rPr>
          <w:color w:val="000000"/>
        </w:rPr>
      </w:pPr>
    </w:p>
    <w:p w14:paraId="027BA95D" w14:textId="6A6AFAEA" w:rsidR="00C3173E" w:rsidRPr="00433E4C" w:rsidRDefault="00A670ED">
      <w:pPr>
        <w:spacing w:after="0" w:line="360" w:lineRule="auto"/>
        <w:rPr>
          <w:color w:val="000000"/>
        </w:rPr>
      </w:pPr>
      <w:r w:rsidRPr="00433E4C">
        <w:rPr>
          <w:color w:val="000000"/>
        </w:rPr>
        <w:t>En ese sentido, el artículo 14 del Reglamento de Propaganda Política y Electoral del Instituto Electoral del Estado de México, prevé que la propaganda electoral, es el conjunto de imágenes, publicaciones, escritos, entre otros que difunden los partidos políticos, coaliciones, candidatos y sus simpatizantes para presentar y promover ante la ciudadanía.</w:t>
      </w:r>
    </w:p>
    <w:p w14:paraId="5D1D0F3A" w14:textId="77777777" w:rsidR="00C3173E" w:rsidRPr="00433E4C" w:rsidRDefault="00C3173E">
      <w:pPr>
        <w:spacing w:after="0" w:line="360" w:lineRule="auto"/>
        <w:rPr>
          <w:b/>
          <w:color w:val="000000"/>
        </w:rPr>
      </w:pPr>
    </w:p>
    <w:p w14:paraId="3EDE17FD" w14:textId="77777777" w:rsidR="00C3173E" w:rsidRPr="00433E4C" w:rsidRDefault="00510FC4">
      <w:pPr>
        <w:spacing w:after="0" w:line="360" w:lineRule="auto"/>
        <w:rPr>
          <w:b/>
          <w:color w:val="000000"/>
        </w:rPr>
      </w:pPr>
      <w:r w:rsidRPr="00433E4C">
        <w:rPr>
          <w:color w:val="000000"/>
        </w:rPr>
        <w:t xml:space="preserve">En este sentido, el </w:t>
      </w:r>
      <w:r w:rsidRPr="00433E4C">
        <w:t>artículo</w:t>
      </w:r>
      <w:r w:rsidRPr="00433E4C">
        <w:rPr>
          <w:color w:val="000000"/>
        </w:rPr>
        <w:t xml:space="preserve"> 17 de dicha normatividad prevé que la propaganda de los partidos políticos, coaliciones y candidatos, colocada en inmuebles de propiedad privada, deberá registrarse ante el Consejo Distrital o Municipal, adjuntando copia del permiso escrito del propietario o poseedor, </w:t>
      </w:r>
      <w:r w:rsidRPr="00433E4C">
        <w:rPr>
          <w:b/>
          <w:color w:val="000000"/>
        </w:rPr>
        <w:t xml:space="preserve">por lo que en caso de la pinta de bardas en propiedades privadas se debe contar con un permiso por escrito de la persona propietaria o poseedor del inmueble. </w:t>
      </w:r>
    </w:p>
    <w:p w14:paraId="694B0F50" w14:textId="77777777" w:rsidR="00C3173E" w:rsidRPr="00433E4C" w:rsidRDefault="00C3173E">
      <w:pPr>
        <w:spacing w:after="0" w:line="360" w:lineRule="auto"/>
        <w:rPr>
          <w:b/>
          <w:color w:val="000000"/>
        </w:rPr>
      </w:pPr>
    </w:p>
    <w:p w14:paraId="7F97580F" w14:textId="5A27F64D" w:rsidR="00C3173E" w:rsidRPr="00433E4C" w:rsidRDefault="00510FC4">
      <w:pPr>
        <w:spacing w:after="0" w:line="360" w:lineRule="auto"/>
        <w:rPr>
          <w:color w:val="000000"/>
        </w:rPr>
      </w:pPr>
      <w:r w:rsidRPr="00433E4C">
        <w:rPr>
          <w:color w:val="000000"/>
        </w:rPr>
        <w:t>Aunado a lo anterior, el artículo 21 de la misma norma, señala que la propaganda electoral también puede fijarse en lugares de uso común que determinen los Consejos Distritales o Municipales, previo acuerdo con las autoridades correspondientes y conforme a las bases que los propios Consejos establezcan</w:t>
      </w:r>
      <w:r w:rsidR="00687CFF" w:rsidRPr="00433E4C">
        <w:rPr>
          <w:color w:val="000000"/>
        </w:rPr>
        <w:t>; del tal suerte que</w:t>
      </w:r>
      <w:r w:rsidRPr="00433E4C">
        <w:rPr>
          <w:color w:val="000000"/>
        </w:rPr>
        <w:t xml:space="preserve"> el artículo 30 del mismo reglamento, señala que, en materia electoral, se entiende como lugares de uso común, todas las bardas, espectaculares o similares que pertenezcan al municipio o al Estado; por tanto, se advierte que </w:t>
      </w:r>
      <w:r w:rsidRPr="00433E4C">
        <w:rPr>
          <w:color w:val="000000"/>
        </w:rPr>
        <w:lastRenderedPageBreak/>
        <w:t xml:space="preserve">la propaganda puede colocarse en lugares de uso común como bardas pertenecientes al municipio o Estado. </w:t>
      </w:r>
    </w:p>
    <w:p w14:paraId="66D78D4D" w14:textId="77777777" w:rsidR="00687CFF" w:rsidRPr="00433E4C" w:rsidRDefault="00687CFF">
      <w:pPr>
        <w:spacing w:after="0" w:line="360" w:lineRule="auto"/>
        <w:rPr>
          <w:color w:val="000000"/>
        </w:rPr>
      </w:pPr>
    </w:p>
    <w:p w14:paraId="752B057C" w14:textId="77777777" w:rsidR="002F1AC6" w:rsidRPr="00433E4C" w:rsidRDefault="00687CFF">
      <w:pPr>
        <w:spacing w:after="0" w:line="360" w:lineRule="auto"/>
        <w:rPr>
          <w:color w:val="000000"/>
        </w:rPr>
      </w:pPr>
      <w:r w:rsidRPr="00433E4C">
        <w:rPr>
          <w:color w:val="000000"/>
        </w:rPr>
        <w:t xml:space="preserve">En ese orden de ideas, los artículos 31, 32, 33 y 34 de la misma norma, señala que los Consejos se coordinarán para integrar el inventario de los lugares de uso común; para tal efecto, solicitarán a las autoridades estatales o municipales, les proporcionen un inventario de los lugares de uso común susceptibles para la fijación de propaganda electoral, precisando con claridad el número de éstos, </w:t>
      </w:r>
      <w:r w:rsidRPr="00433E4C">
        <w:rPr>
          <w:b/>
          <w:color w:val="000000"/>
        </w:rPr>
        <w:t>señalando la ubicación y medidas respectivas de cada lugar</w:t>
      </w:r>
      <w:r w:rsidRPr="00433E4C">
        <w:rPr>
          <w:color w:val="000000"/>
        </w:rPr>
        <w:t>, además prevé, que los propios Consejos harán un inventario de los lugares de uso común en sus distritos o municipios según corresponda, los confrontarán y verificarán entre ellos, con la lista que las autoridades administrativas les proporcionen</w:t>
      </w:r>
      <w:r w:rsidR="002F1AC6" w:rsidRPr="00433E4C">
        <w:rPr>
          <w:color w:val="000000"/>
        </w:rPr>
        <w:t>, y</w:t>
      </w:r>
      <w:r w:rsidRPr="00433E4C">
        <w:rPr>
          <w:color w:val="000000"/>
        </w:rPr>
        <w:t xml:space="preserve"> que una vez integrado el inventario de lugares de uso común, </w:t>
      </w:r>
      <w:r w:rsidRPr="00433E4C">
        <w:rPr>
          <w:b/>
          <w:color w:val="000000"/>
        </w:rPr>
        <w:t xml:space="preserve">estos </w:t>
      </w:r>
      <w:r w:rsidR="002F1AC6" w:rsidRPr="00433E4C">
        <w:rPr>
          <w:b/>
          <w:color w:val="000000"/>
        </w:rPr>
        <w:t>serán</w:t>
      </w:r>
      <w:r w:rsidRPr="00433E4C">
        <w:rPr>
          <w:b/>
          <w:color w:val="000000"/>
        </w:rPr>
        <w:t xml:space="preserve"> distribuidos entre los partidos políticos</w:t>
      </w:r>
      <w:r w:rsidRPr="00433E4C">
        <w:rPr>
          <w:color w:val="000000"/>
        </w:rPr>
        <w:t xml:space="preserve">; para ello, se sortearan en términos equitativos entre los partidos políticos y coaliciones los espacios disponibles para la colocación de propaganda electoral, dicho sorteo incluye la totalidad de los lugares de uso común proporcionados o autorizados por la autoridad estatal o municipal, distribuyendo equitativamente </w:t>
      </w:r>
      <w:r w:rsidRPr="00433E4C">
        <w:rPr>
          <w:b/>
          <w:color w:val="000000"/>
        </w:rPr>
        <w:t>los espacios entre los partidos políticos y coaliciones dejando constancia en el acta respectiva.</w:t>
      </w:r>
      <w:r w:rsidRPr="00433E4C">
        <w:rPr>
          <w:color w:val="000000"/>
        </w:rPr>
        <w:t xml:space="preserve">  </w:t>
      </w:r>
    </w:p>
    <w:p w14:paraId="1FC1329F" w14:textId="77777777" w:rsidR="002F1AC6" w:rsidRPr="00433E4C" w:rsidRDefault="002F1AC6">
      <w:pPr>
        <w:spacing w:after="0" w:line="360" w:lineRule="auto"/>
        <w:rPr>
          <w:color w:val="000000"/>
        </w:rPr>
      </w:pPr>
    </w:p>
    <w:p w14:paraId="6C1A3C25" w14:textId="10E13D68" w:rsidR="00C3173E" w:rsidRPr="00433E4C" w:rsidRDefault="00510FC4">
      <w:pPr>
        <w:spacing w:after="0" w:line="360" w:lineRule="auto"/>
        <w:rPr>
          <w:color w:val="000000"/>
        </w:rPr>
      </w:pPr>
      <w:r w:rsidRPr="00433E4C">
        <w:rPr>
          <w:color w:val="000000"/>
        </w:rPr>
        <w:t xml:space="preserve">Por </w:t>
      </w:r>
      <w:r w:rsidRPr="00433E4C">
        <w:t>último</w:t>
      </w:r>
      <w:r w:rsidRPr="00433E4C">
        <w:rPr>
          <w:color w:val="000000"/>
        </w:rPr>
        <w:t xml:space="preserve"> los Presidentes de los </w:t>
      </w:r>
      <w:r w:rsidRPr="00433E4C">
        <w:t>Consejos</w:t>
      </w:r>
      <w:r w:rsidRPr="00433E4C">
        <w:rPr>
          <w:color w:val="000000"/>
        </w:rPr>
        <w:t xml:space="preserve">, </w:t>
      </w:r>
      <w:r w:rsidRPr="00433E4C">
        <w:t>certificarán</w:t>
      </w:r>
      <w:r w:rsidRPr="00433E4C">
        <w:rPr>
          <w:color w:val="000000"/>
        </w:rPr>
        <w:t xml:space="preserve"> la asignación de cada lugar de uso común con la entrega de una certificación que corresponde a un comprobante de asignación a quien se solicita</w:t>
      </w:r>
      <w:r w:rsidR="002F1AC6" w:rsidRPr="00433E4C">
        <w:rPr>
          <w:color w:val="000000"/>
        </w:rPr>
        <w:t>; por lo que</w:t>
      </w:r>
      <w:r w:rsidRPr="00433E4C">
        <w:rPr>
          <w:color w:val="000000"/>
        </w:rPr>
        <w:t xml:space="preserve">, </w:t>
      </w:r>
      <w:r w:rsidRPr="00433E4C">
        <w:rPr>
          <w:b/>
          <w:color w:val="000000"/>
        </w:rPr>
        <w:t>se advierte que los lugares de uso común, su ubicación y medidas respectivas de cada lugar puede ser del conocimiento del partido político al que se le asignó el espacio.</w:t>
      </w:r>
      <w:r w:rsidRPr="00433E4C">
        <w:rPr>
          <w:color w:val="000000"/>
        </w:rPr>
        <w:t xml:space="preserve"> </w:t>
      </w:r>
    </w:p>
    <w:p w14:paraId="45824BA8" w14:textId="77777777" w:rsidR="00C3173E" w:rsidRPr="00433E4C" w:rsidRDefault="00C3173E">
      <w:pPr>
        <w:spacing w:after="0" w:line="360" w:lineRule="auto"/>
        <w:rPr>
          <w:color w:val="000000"/>
        </w:rPr>
      </w:pPr>
    </w:p>
    <w:p w14:paraId="329D3B62" w14:textId="77777777" w:rsidR="00C3173E" w:rsidRPr="00433E4C" w:rsidRDefault="00510FC4">
      <w:pPr>
        <w:spacing w:after="0" w:line="360" w:lineRule="auto"/>
        <w:rPr>
          <w:b/>
          <w:color w:val="000000"/>
        </w:rPr>
      </w:pPr>
      <w:r w:rsidRPr="00433E4C">
        <w:rPr>
          <w:color w:val="000000"/>
        </w:rPr>
        <w:t xml:space="preserve">Por su parte, el artículo 138, fracciones VI y XVI de los Estatutos del Partido Revolucionario Institucional, precisa dentro de las atribuciones de las personas presidentes de los Comités </w:t>
      </w:r>
      <w:r w:rsidRPr="00433E4C">
        <w:rPr>
          <w:color w:val="000000"/>
        </w:rPr>
        <w:lastRenderedPageBreak/>
        <w:t xml:space="preserve">directivos de las entidades federativas, la de Coordinar las actividades de los Comités Municipales y entregar en los tiempos que determine el Comité Ejecutivo Nacional, conforme a los lineamientos emitidos por la autoridad electoral, los informes de gasto ordinario, precampaña y campaña con la documentación soporte que cumpla con los requisitos establecidos tanto por la autoridad electoral fiscalizadora, como por el propio Comité Ejecutivo Nacional, </w:t>
      </w:r>
      <w:r w:rsidRPr="00433E4C">
        <w:rPr>
          <w:b/>
          <w:color w:val="000000"/>
        </w:rPr>
        <w:t xml:space="preserve"> por lo que se advierte que el Sujeto Obligado puede conocer del gasto o recurso financiero destinado a la pinta de bardas. </w:t>
      </w:r>
    </w:p>
    <w:p w14:paraId="54FBDFCA" w14:textId="77777777" w:rsidR="00C3173E" w:rsidRPr="00433E4C" w:rsidRDefault="00C3173E">
      <w:pPr>
        <w:spacing w:after="0" w:line="360" w:lineRule="auto"/>
        <w:rPr>
          <w:color w:val="000000"/>
        </w:rPr>
      </w:pPr>
    </w:p>
    <w:p w14:paraId="5DC52345" w14:textId="77777777" w:rsidR="00C3173E" w:rsidRPr="00433E4C" w:rsidRDefault="00510FC4">
      <w:pPr>
        <w:spacing w:after="0" w:line="360" w:lineRule="auto"/>
        <w:rPr>
          <w:color w:val="000000"/>
        </w:rPr>
      </w:pPr>
      <w:r w:rsidRPr="00433E4C">
        <w:rPr>
          <w:color w:val="000000"/>
        </w:rPr>
        <w:t>Además, el artículo 100, fracción XXV de la Ley de Transparencia y Acceso a la Información Pública del Estado de México y Municipios prevé dentro de la información pública de oficio que debe ser publicada por los partidos políticos, se encuentra información financiera como lo es el estado de situación financiera y patrimonial. Por lo que se advierte que la información relacionada con los recursos destinados a la pinta de bardas debe considerarse como información pública.</w:t>
      </w:r>
    </w:p>
    <w:p w14:paraId="6EE6F491" w14:textId="77777777" w:rsidR="00C3173E" w:rsidRPr="00433E4C" w:rsidRDefault="00C3173E">
      <w:pPr>
        <w:spacing w:after="0" w:line="360" w:lineRule="auto"/>
        <w:rPr>
          <w:color w:val="000000"/>
        </w:rPr>
      </w:pPr>
    </w:p>
    <w:p w14:paraId="07D06507" w14:textId="3F5B7FA2" w:rsidR="002F1AC6" w:rsidRPr="00433E4C" w:rsidRDefault="002F1AC6" w:rsidP="002F1AC6">
      <w:pPr>
        <w:spacing w:after="0" w:line="360" w:lineRule="auto"/>
      </w:pPr>
      <w:r w:rsidRPr="00433E4C">
        <w:t>Establecido lo anterior, vale la pena reiterar que la persona Recurrente pretende respecto a las bardas que se pintaron y que se tiene planeado pintar en el Municipio de Ecatepec, lo siguiente:</w:t>
      </w:r>
    </w:p>
    <w:p w14:paraId="60C06EC5" w14:textId="77777777" w:rsidR="002F1AC6" w:rsidRPr="00433E4C" w:rsidRDefault="002F1AC6" w:rsidP="002F1AC6">
      <w:pPr>
        <w:tabs>
          <w:tab w:val="left" w:pos="4962"/>
        </w:tabs>
        <w:spacing w:after="0" w:line="360" w:lineRule="auto"/>
      </w:pPr>
    </w:p>
    <w:p w14:paraId="5166625E" w14:textId="1A84131F" w:rsidR="002F1AC6" w:rsidRPr="00433E4C" w:rsidRDefault="002F1AC6" w:rsidP="002F1AC6">
      <w:pPr>
        <w:numPr>
          <w:ilvl w:val="0"/>
          <w:numId w:val="6"/>
        </w:numPr>
        <w:pBdr>
          <w:top w:val="nil"/>
          <w:left w:val="nil"/>
          <w:bottom w:val="nil"/>
          <w:right w:val="nil"/>
          <w:between w:val="nil"/>
        </w:pBdr>
        <w:tabs>
          <w:tab w:val="left" w:pos="4962"/>
        </w:tabs>
        <w:spacing w:after="0" w:line="360" w:lineRule="auto"/>
        <w:rPr>
          <w:color w:val="000000"/>
        </w:rPr>
      </w:pPr>
      <w:r w:rsidRPr="00433E4C">
        <w:rPr>
          <w:color w:val="000000"/>
        </w:rPr>
        <w:t>Cantidad de bardas;</w:t>
      </w:r>
    </w:p>
    <w:p w14:paraId="5FD89214" w14:textId="4EA33233" w:rsidR="002F1AC6" w:rsidRPr="00433E4C" w:rsidRDefault="002F1AC6" w:rsidP="002F1AC6">
      <w:pPr>
        <w:numPr>
          <w:ilvl w:val="0"/>
          <w:numId w:val="6"/>
        </w:numPr>
        <w:pBdr>
          <w:top w:val="nil"/>
          <w:left w:val="nil"/>
          <w:bottom w:val="nil"/>
          <w:right w:val="nil"/>
          <w:between w:val="nil"/>
        </w:pBdr>
        <w:tabs>
          <w:tab w:val="left" w:pos="4962"/>
        </w:tabs>
        <w:spacing w:after="0" w:line="360" w:lineRule="auto"/>
        <w:rPr>
          <w:color w:val="000000"/>
        </w:rPr>
      </w:pPr>
      <w:r w:rsidRPr="00433E4C">
        <w:rPr>
          <w:color w:val="000000"/>
        </w:rPr>
        <w:t>Ubicación y dimensiones de las bardas;</w:t>
      </w:r>
    </w:p>
    <w:p w14:paraId="5F3059B5" w14:textId="18BE42F5" w:rsidR="002F1AC6" w:rsidRPr="00433E4C" w:rsidRDefault="002F1AC6" w:rsidP="002F1AC6">
      <w:pPr>
        <w:numPr>
          <w:ilvl w:val="0"/>
          <w:numId w:val="6"/>
        </w:numPr>
        <w:pBdr>
          <w:top w:val="nil"/>
          <w:left w:val="nil"/>
          <w:bottom w:val="nil"/>
          <w:right w:val="nil"/>
          <w:between w:val="nil"/>
        </w:pBdr>
        <w:tabs>
          <w:tab w:val="left" w:pos="4962"/>
        </w:tabs>
        <w:spacing w:after="0" w:line="360" w:lineRule="auto"/>
        <w:rPr>
          <w:color w:val="000000"/>
        </w:rPr>
      </w:pPr>
      <w:r w:rsidRPr="00433E4C">
        <w:rPr>
          <w:color w:val="000000"/>
        </w:rPr>
        <w:t>Permiso correspondiente, y</w:t>
      </w:r>
    </w:p>
    <w:p w14:paraId="5CEE6B70" w14:textId="561B8261" w:rsidR="002F1AC6" w:rsidRPr="00433E4C" w:rsidRDefault="002F1AC6" w:rsidP="002F1AC6">
      <w:pPr>
        <w:numPr>
          <w:ilvl w:val="0"/>
          <w:numId w:val="6"/>
        </w:numPr>
        <w:pBdr>
          <w:top w:val="nil"/>
          <w:left w:val="nil"/>
          <w:bottom w:val="nil"/>
          <w:right w:val="nil"/>
          <w:between w:val="nil"/>
        </w:pBdr>
        <w:tabs>
          <w:tab w:val="left" w:pos="4962"/>
        </w:tabs>
        <w:spacing w:after="0" w:line="360" w:lineRule="auto"/>
        <w:rPr>
          <w:color w:val="000000"/>
        </w:rPr>
      </w:pPr>
      <w:r w:rsidRPr="00433E4C">
        <w:rPr>
          <w:color w:val="000000"/>
        </w:rPr>
        <w:t>Costo total de la pinta de bardas.</w:t>
      </w:r>
    </w:p>
    <w:p w14:paraId="726F4558" w14:textId="77777777" w:rsidR="002F1AC6" w:rsidRPr="00433E4C" w:rsidRDefault="002F1AC6">
      <w:pPr>
        <w:spacing w:after="0" w:line="360" w:lineRule="auto"/>
        <w:rPr>
          <w:color w:val="000000"/>
        </w:rPr>
      </w:pPr>
    </w:p>
    <w:p w14:paraId="2D414B19" w14:textId="77777777" w:rsidR="00C3173E" w:rsidRPr="00433E4C" w:rsidRDefault="00510FC4">
      <w:pPr>
        <w:spacing w:after="0" w:line="360" w:lineRule="auto"/>
      </w:pPr>
      <w:r w:rsidRPr="00433E4C">
        <w:rPr>
          <w:color w:val="000000"/>
        </w:rPr>
        <w:t xml:space="preserve">Así, se procede analizar la información proporcionada por el Sujeto Obligado, para lo cual, cabe señalar que este dio respuesta a través de la </w:t>
      </w:r>
      <w:r w:rsidRPr="00433E4C">
        <w:t>Titular de la Unidad de Transparencia</w:t>
      </w:r>
      <w:r w:rsidRPr="00433E4C">
        <w:rPr>
          <w:color w:val="000000"/>
        </w:rPr>
        <w:t xml:space="preserve">; por lo que, </w:t>
      </w:r>
      <w:r w:rsidRPr="00433E4C">
        <w:t xml:space="preserve">es oportuno hacer referencia al </w:t>
      </w:r>
      <w:r w:rsidRPr="00433E4C">
        <w:rPr>
          <w:b/>
        </w:rPr>
        <w:t xml:space="preserve">procedimiento de búsqueda que deben de seguir los Sujetos </w:t>
      </w:r>
      <w:r w:rsidRPr="00433E4C">
        <w:rPr>
          <w:b/>
        </w:rPr>
        <w:lastRenderedPageBreak/>
        <w:t>Obligados para localizar la información</w:t>
      </w:r>
      <w:r w:rsidRPr="00433E4C">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con el objeto de que dichas áreas realicen una búsqueda exhaustiva y razonable de la información requerido.</w:t>
      </w:r>
    </w:p>
    <w:p w14:paraId="3CEAD1A1" w14:textId="77777777" w:rsidR="00C3173E" w:rsidRPr="00433E4C" w:rsidRDefault="00C3173E">
      <w:pPr>
        <w:spacing w:after="0" w:line="360" w:lineRule="auto"/>
      </w:pPr>
    </w:p>
    <w:p w14:paraId="560EB2E9" w14:textId="77777777" w:rsidR="002F1AC6" w:rsidRPr="00433E4C" w:rsidRDefault="00510FC4">
      <w:pPr>
        <w:spacing w:after="0" w:line="360" w:lineRule="auto"/>
      </w:pPr>
      <w:r w:rsidRPr="00433E4C">
        <w:t xml:space="preserve">Al respecto, cabe precisar que de las constancias que obran en el expediente digital en el SAIMEX no se aprecia que se haya turnado la solicitud de información a alguna área o bien al Comité Municipal que podría conocer de la información solicitada, por tanto, se aprecia que no se realizó el proceso de búsqueda exhaustiva y razonable, en términos de lo dispuesto por la Ley de Transparencia Local. </w:t>
      </w:r>
    </w:p>
    <w:p w14:paraId="3A6CDDF7" w14:textId="77777777" w:rsidR="00C3173E" w:rsidRPr="00433E4C" w:rsidRDefault="00C3173E">
      <w:pPr>
        <w:spacing w:after="0" w:line="360" w:lineRule="auto"/>
      </w:pPr>
    </w:p>
    <w:p w14:paraId="7D8C1DF3" w14:textId="77777777" w:rsidR="00C3173E" w:rsidRPr="00433E4C" w:rsidRDefault="00510FC4">
      <w:pPr>
        <w:spacing w:after="0" w:line="360" w:lineRule="auto"/>
      </w:pPr>
      <w:r w:rsidRPr="00433E4C">
        <w:t>En atención a la solicitud, el Sujeto Obligado en respuesta, se limitó a responder que el competente para conocer de la información es el Comité Municipal de Ecatepec, sin embargo, dichos Comités Municipales no corresponden a Sujetos Obligados diversos en materia de transparencia y acceso a la información pública, por tanto, el Partido Revolucionario Institucional, debió turnar la solicitud de información al Comité Municipal y dar respuesta correspondiente, sin embargo, no se tiene constancia del turno, por tanto, no se realizó la búsqueda exhaustiva y razonable de la información, en consecuencia, no se entregó la documentación que dé cuenta de lo solicitado.</w:t>
      </w:r>
    </w:p>
    <w:p w14:paraId="0365EF96" w14:textId="77777777" w:rsidR="00C3173E" w:rsidRPr="00433E4C" w:rsidRDefault="00C3173E">
      <w:pPr>
        <w:spacing w:after="0" w:line="360" w:lineRule="auto"/>
      </w:pPr>
    </w:p>
    <w:p w14:paraId="62F9476A" w14:textId="5A6D1F4F" w:rsidR="002F1AC6" w:rsidRPr="00433E4C" w:rsidRDefault="00510FC4">
      <w:pPr>
        <w:spacing w:after="0" w:line="360" w:lineRule="auto"/>
      </w:pPr>
      <w:r w:rsidRPr="00433E4C">
        <w:t xml:space="preserve">Por lo antes expuesto, resulta procedente tener por </w:t>
      </w:r>
      <w:r w:rsidRPr="00433E4C">
        <w:rPr>
          <w:b/>
        </w:rPr>
        <w:t>FUNDADOS</w:t>
      </w:r>
      <w:r w:rsidRPr="00433E4C">
        <w:t xml:space="preserve"> los motivos de inconformidad planteados por la parte Recurrente y en consecuencia se </w:t>
      </w:r>
      <w:r w:rsidRPr="00433E4C">
        <w:rPr>
          <w:b/>
        </w:rPr>
        <w:t>REVOCA</w:t>
      </w:r>
      <w:r w:rsidRPr="00433E4C">
        <w:t xml:space="preserve"> la respuesta inicial y se ordena la entrega de la información</w:t>
      </w:r>
      <w:r w:rsidR="002F1AC6" w:rsidRPr="00433E4C">
        <w:t>.</w:t>
      </w:r>
    </w:p>
    <w:p w14:paraId="4D1A6EB1" w14:textId="77777777" w:rsidR="002F1AC6" w:rsidRPr="00433E4C" w:rsidRDefault="002F1AC6">
      <w:pPr>
        <w:spacing w:after="0" w:line="360" w:lineRule="auto"/>
      </w:pPr>
    </w:p>
    <w:p w14:paraId="72B2B0ED" w14:textId="4A27039E" w:rsidR="002F1AC6" w:rsidRPr="00433E4C" w:rsidRDefault="002F1AC6">
      <w:pPr>
        <w:spacing w:after="0" w:line="360" w:lineRule="auto"/>
      </w:pPr>
      <w:r w:rsidRPr="00433E4C">
        <w:lastRenderedPageBreak/>
        <w:t xml:space="preserve">Ahora bien, para el caso de que no cuente </w:t>
      </w:r>
      <w:r w:rsidR="00CF76D0" w:rsidRPr="00433E4C">
        <w:t>con el costo total, por no haber erogado recursos para la realización o compra de materiales o bien hayan sido donados, o bien, la cantidad de bardas planeadas pintar, deberá hacerlo del conocimiento de la parte Recurrente de manera clara y precisa, en términos del artículo 19, párrafo segundo, de la Ley de Transparencia y Acceso a la Información Pública del Estado de México y Municipios.</w:t>
      </w:r>
    </w:p>
    <w:p w14:paraId="6F1CE500" w14:textId="77777777" w:rsidR="00C3173E" w:rsidRPr="00433E4C" w:rsidRDefault="00C3173E">
      <w:pPr>
        <w:spacing w:after="0" w:line="360" w:lineRule="auto"/>
      </w:pPr>
    </w:p>
    <w:p w14:paraId="428A3480" w14:textId="77777777" w:rsidR="00C3173E" w:rsidRPr="00433E4C" w:rsidRDefault="00510FC4">
      <w:pPr>
        <w:spacing w:after="0" w:line="360" w:lineRule="auto"/>
      </w:pPr>
      <w:r w:rsidRPr="00433E4C">
        <w:t xml:space="preserve">No se omite mencionar que dentro de la información que se ordena pueden existir datos personales confidenciales, en su caso, se deberá entregar la información en versión pública. </w:t>
      </w:r>
      <w:r w:rsidRPr="00433E4C">
        <w:rPr>
          <w:color w:val="000000"/>
        </w:rPr>
        <w:t xml:space="preserve">Para las versiones públicas, se deberá proporcionar el Acuerdo de Clasificación donde el Comité de Transparencia, confirme la eliminación de los datos confidenciales </w:t>
      </w:r>
      <w:r w:rsidRPr="00433E4C">
        <w:t xml:space="preserve">de acuerdo con los artículos 49, fracciones II y VIII, 132, fracción II, 143, fracción I y 149 de la Ley de Transparencia y Acceso a la Información Pública del Estado de México y Municipios. </w:t>
      </w:r>
    </w:p>
    <w:p w14:paraId="4B0CE3F2" w14:textId="77777777" w:rsidR="00C3173E" w:rsidRPr="00433E4C" w:rsidRDefault="00C3173E">
      <w:pPr>
        <w:spacing w:after="0" w:line="360" w:lineRule="auto"/>
      </w:pPr>
    </w:p>
    <w:p w14:paraId="4891A5C3" w14:textId="77777777" w:rsidR="00C3173E" w:rsidRPr="00433E4C" w:rsidRDefault="00510FC4">
      <w:pPr>
        <w:spacing w:after="0" w:line="360" w:lineRule="auto"/>
        <w:rPr>
          <w:color w:val="000000"/>
        </w:rPr>
      </w:pPr>
      <w:r w:rsidRPr="00433E4C">
        <w:rPr>
          <w:color w:val="000000"/>
        </w:rPr>
        <w:t xml:space="preserve">Ahora bien, los documentos que den cuenta de lo peticionado, pueden tener diversos datos, entre los cuales se encuentra el </w:t>
      </w:r>
      <w:r w:rsidRPr="00433E4C">
        <w:rPr>
          <w:b/>
          <w:color w:val="000000"/>
        </w:rPr>
        <w:t>nombre de particulares o domicilios particulares</w:t>
      </w:r>
      <w:r w:rsidRPr="00433E4C">
        <w:rPr>
          <w:color w:val="000000"/>
        </w:rPr>
        <w:t>, por lo cual, se procede analizar si los datos son confidenciales o públicos; en principio, cabe mencionar que el artículo 143, fracción I, de la Ley de la materia, establece que la información privada y los datos personales, concernientes a una persona física o jurídica colectiva identificada o identificable son confidenciales.</w:t>
      </w:r>
    </w:p>
    <w:p w14:paraId="1691046E" w14:textId="77777777" w:rsidR="00C3173E" w:rsidRPr="00433E4C" w:rsidRDefault="00C3173E">
      <w:pPr>
        <w:spacing w:after="0" w:line="360" w:lineRule="auto"/>
        <w:rPr>
          <w:color w:val="000000"/>
        </w:rPr>
      </w:pPr>
    </w:p>
    <w:p w14:paraId="5463BA97" w14:textId="77777777" w:rsidR="00C3173E" w:rsidRPr="00433E4C" w:rsidRDefault="00510FC4">
      <w:pPr>
        <w:spacing w:after="0" w:line="360" w:lineRule="auto"/>
        <w:rPr>
          <w:color w:val="000000"/>
        </w:rPr>
      </w:pPr>
      <w:r w:rsidRPr="00433E4C">
        <w:rPr>
          <w:color w:val="000000"/>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w:t>
      </w:r>
      <w:r w:rsidRPr="00433E4C">
        <w:rPr>
          <w:color w:val="000000"/>
        </w:rPr>
        <w:lastRenderedPageBreak/>
        <w:t xml:space="preserve">terceros o cuando se </w:t>
      </w:r>
      <w:r w:rsidRPr="00433E4C">
        <w:t>transmitan</w:t>
      </w:r>
      <w:r w:rsidRPr="00433E4C">
        <w:rPr>
          <w:color w:val="000000"/>
        </w:rPr>
        <w:t xml:space="preserve"> entre sujetos obligados en términos de los tratados y los acuerdos interinstitucionales.</w:t>
      </w:r>
    </w:p>
    <w:p w14:paraId="10FA0967" w14:textId="77777777" w:rsidR="00C3173E" w:rsidRPr="00433E4C" w:rsidRDefault="00C3173E">
      <w:pPr>
        <w:spacing w:after="0" w:line="360" w:lineRule="auto"/>
        <w:rPr>
          <w:color w:val="000000"/>
        </w:rPr>
      </w:pPr>
    </w:p>
    <w:p w14:paraId="63476006" w14:textId="77777777" w:rsidR="00C3173E" w:rsidRPr="00433E4C" w:rsidRDefault="00510FC4">
      <w:pPr>
        <w:spacing w:after="0" w:line="360" w:lineRule="auto"/>
        <w:rPr>
          <w:color w:val="000000"/>
        </w:rPr>
      </w:pPr>
      <w:r w:rsidRPr="00433E4C">
        <w:rPr>
          <w:color w:val="000000"/>
        </w:rPr>
        <w:t>En términos de lo expuesto, la documentación y aquellos datos que se consideren confidenciales, serán una limitante del derecho de acceso a la información, siempre y cuando:</w:t>
      </w:r>
    </w:p>
    <w:p w14:paraId="443BBB71" w14:textId="77777777" w:rsidR="00C3173E" w:rsidRPr="00433E4C" w:rsidRDefault="00C3173E">
      <w:pPr>
        <w:spacing w:after="0" w:line="360" w:lineRule="auto"/>
        <w:rPr>
          <w:color w:val="000000"/>
        </w:rPr>
      </w:pPr>
    </w:p>
    <w:p w14:paraId="4292C228" w14:textId="77777777" w:rsidR="00C3173E" w:rsidRPr="00433E4C" w:rsidRDefault="00510FC4">
      <w:pPr>
        <w:numPr>
          <w:ilvl w:val="0"/>
          <w:numId w:val="3"/>
        </w:numPr>
        <w:spacing w:after="0" w:line="360" w:lineRule="auto"/>
        <w:jc w:val="left"/>
        <w:rPr>
          <w:color w:val="000000"/>
        </w:rPr>
      </w:pPr>
      <w:r w:rsidRPr="00433E4C">
        <w:rPr>
          <w:color w:val="000000"/>
        </w:rPr>
        <w:t xml:space="preserve">Se trate de datos personales o información privada; esto es, información concerniente a una persona física o </w:t>
      </w:r>
      <w:r w:rsidRPr="00433E4C">
        <w:t>jurídica</w:t>
      </w:r>
      <w:r w:rsidRPr="00433E4C">
        <w:rPr>
          <w:color w:val="000000"/>
        </w:rPr>
        <w:t xml:space="preserve"> colectiva y que esta sea identificada o identificable. </w:t>
      </w:r>
    </w:p>
    <w:p w14:paraId="132F45C9" w14:textId="77777777" w:rsidR="00C3173E" w:rsidRPr="00433E4C" w:rsidRDefault="00C3173E">
      <w:pPr>
        <w:spacing w:after="0" w:line="360" w:lineRule="auto"/>
        <w:rPr>
          <w:color w:val="000000"/>
        </w:rPr>
      </w:pPr>
    </w:p>
    <w:p w14:paraId="1794EDEA" w14:textId="77777777" w:rsidR="00C3173E" w:rsidRPr="00433E4C" w:rsidRDefault="00510FC4">
      <w:pPr>
        <w:numPr>
          <w:ilvl w:val="0"/>
          <w:numId w:val="3"/>
        </w:numPr>
        <w:spacing w:after="0" w:line="360" w:lineRule="auto"/>
        <w:jc w:val="left"/>
        <w:rPr>
          <w:color w:val="000000"/>
        </w:rPr>
      </w:pPr>
      <w:r w:rsidRPr="00433E4C">
        <w:rPr>
          <w:color w:val="000000"/>
        </w:rPr>
        <w:t xml:space="preserve">Para la difusión de los datos, se </w:t>
      </w:r>
      <w:r w:rsidRPr="00433E4C">
        <w:t>requiere</w:t>
      </w:r>
      <w:r w:rsidRPr="00433E4C">
        <w:rPr>
          <w:color w:val="000000"/>
        </w:rPr>
        <w:t xml:space="preserve"> el consentimiento del titular. </w:t>
      </w:r>
    </w:p>
    <w:p w14:paraId="4777DED5" w14:textId="77777777" w:rsidR="00C3173E" w:rsidRPr="00433E4C" w:rsidRDefault="00C3173E">
      <w:pPr>
        <w:spacing w:after="0" w:line="360" w:lineRule="auto"/>
        <w:rPr>
          <w:color w:val="000000"/>
        </w:rPr>
      </w:pPr>
    </w:p>
    <w:p w14:paraId="5CAC6D64" w14:textId="77777777" w:rsidR="00C3173E" w:rsidRPr="00433E4C" w:rsidRDefault="00510FC4">
      <w:pPr>
        <w:spacing w:after="0" w:line="360" w:lineRule="auto"/>
        <w:rPr>
          <w:color w:val="000000"/>
        </w:rPr>
      </w:pPr>
      <w:r w:rsidRPr="00433E4C">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5DED7143" w14:textId="77777777" w:rsidR="00C3173E" w:rsidRPr="00433E4C" w:rsidRDefault="00C3173E">
      <w:pPr>
        <w:spacing w:after="0" w:line="360" w:lineRule="auto"/>
        <w:rPr>
          <w:color w:val="000000"/>
        </w:rPr>
      </w:pPr>
    </w:p>
    <w:p w14:paraId="791F12AB" w14:textId="77777777" w:rsidR="00C3173E" w:rsidRPr="00433E4C" w:rsidRDefault="00510FC4">
      <w:pPr>
        <w:spacing w:after="0" w:line="360" w:lineRule="auto"/>
        <w:rPr>
          <w:color w:val="000000"/>
        </w:rPr>
      </w:pPr>
      <w:r w:rsidRPr="00433E4C">
        <w:rPr>
          <w:color w:val="000000"/>
        </w:rPr>
        <w:t xml:space="preserve">Bajo ese contexto, se </w:t>
      </w:r>
      <w:r w:rsidRPr="00433E4C">
        <w:t>analizará</w:t>
      </w:r>
      <w:r w:rsidRPr="00433E4C">
        <w:rPr>
          <w:color w:val="000000"/>
        </w:rPr>
        <w:t xml:space="preserve"> si los datos que puede tener la información ordenada, deben ser considerados confidenciales, en términos del artículo 143, fracción I, de la Ley de Transparencia y Acceso a la Información Pública del Estado de México y Municipios, o públicos.</w:t>
      </w:r>
    </w:p>
    <w:p w14:paraId="381C2993" w14:textId="77777777" w:rsidR="00C3173E" w:rsidRPr="00433E4C" w:rsidRDefault="00C3173E">
      <w:pPr>
        <w:spacing w:after="0" w:line="360" w:lineRule="auto"/>
      </w:pPr>
    </w:p>
    <w:p w14:paraId="2B73C532" w14:textId="77777777" w:rsidR="00C3173E" w:rsidRPr="00433E4C" w:rsidRDefault="00510FC4">
      <w:pPr>
        <w:numPr>
          <w:ilvl w:val="0"/>
          <w:numId w:val="4"/>
        </w:numPr>
        <w:pBdr>
          <w:top w:val="nil"/>
          <w:left w:val="nil"/>
          <w:bottom w:val="nil"/>
          <w:right w:val="nil"/>
          <w:between w:val="nil"/>
        </w:pBdr>
        <w:spacing w:after="0" w:line="360" w:lineRule="auto"/>
        <w:rPr>
          <w:b/>
          <w:color w:val="000000"/>
        </w:rPr>
      </w:pPr>
      <w:r w:rsidRPr="00433E4C">
        <w:rPr>
          <w:b/>
          <w:color w:val="000000"/>
        </w:rPr>
        <w:t>Nombres de particulares</w:t>
      </w:r>
    </w:p>
    <w:p w14:paraId="1360CC02" w14:textId="77777777" w:rsidR="00C3173E" w:rsidRPr="00433E4C" w:rsidRDefault="00C3173E">
      <w:pPr>
        <w:spacing w:after="0" w:line="360" w:lineRule="auto"/>
        <w:ind w:right="-93"/>
      </w:pPr>
    </w:p>
    <w:p w14:paraId="037F2F17" w14:textId="77777777" w:rsidR="00C3173E" w:rsidRPr="00433E4C" w:rsidRDefault="00510FC4">
      <w:pPr>
        <w:spacing w:after="0" w:line="360" w:lineRule="auto"/>
        <w:ind w:right="-93"/>
        <w:rPr>
          <w:b/>
        </w:rPr>
      </w:pPr>
      <w:r w:rsidRPr="00433E4C">
        <w:lastRenderedPageBreak/>
        <w:t xml:space="preserve">Al respecto, se considera que el nombre se integra con el sustantivo propio y el primer apellido de los padres, en el orden que, de común acuerdo determinen; asimismo es la manifestación principal del derecho subjetivo a la personalidad y atributo de ésta en términos del artículo 2.3 del Código Civil del Estado de México, de tal suerte, el nombre </w:t>
      </w:r>
      <w:r w:rsidRPr="00433E4C">
        <w:rPr>
          <w:i/>
        </w:rPr>
        <w:t>per se</w:t>
      </w:r>
      <w:r w:rsidRPr="00433E4C">
        <w:t xml:space="preserve"> es un elemento que hace a una persona física identificada o identificable, por lo que, </w:t>
      </w:r>
      <w:r w:rsidRPr="00433E4C">
        <w:rPr>
          <w:b/>
        </w:rPr>
        <w:t>se considera un dato personal.</w:t>
      </w:r>
    </w:p>
    <w:p w14:paraId="413E27F9" w14:textId="77777777" w:rsidR="00C3173E" w:rsidRPr="00433E4C" w:rsidRDefault="00C3173E">
      <w:pPr>
        <w:spacing w:after="0" w:line="360" w:lineRule="auto"/>
      </w:pPr>
    </w:p>
    <w:p w14:paraId="08905227" w14:textId="77777777" w:rsidR="00C3173E" w:rsidRPr="00433E4C" w:rsidRDefault="00510FC4">
      <w:pPr>
        <w:spacing w:after="0" w:line="360" w:lineRule="auto"/>
      </w:pPr>
      <w:r w:rsidRPr="00433E4C">
        <w:t>Sobre el tema, se tiene presente que este Instituto emitió el Criterio Relevante 01/18, de la Segunda Época de este Instituto, que establece que el nombre del titular de una licencia, es información confidencial, cuando no involucra aprovechamiento de recursos públicos.</w:t>
      </w:r>
    </w:p>
    <w:p w14:paraId="23AC5BB7" w14:textId="77777777" w:rsidR="00C3173E" w:rsidRPr="00433E4C" w:rsidRDefault="00C3173E">
      <w:pPr>
        <w:spacing w:after="0" w:line="360" w:lineRule="auto"/>
      </w:pPr>
    </w:p>
    <w:p w14:paraId="26474224" w14:textId="77777777" w:rsidR="00C3173E" w:rsidRPr="00433E4C" w:rsidRDefault="00510FC4">
      <w:pPr>
        <w:spacing w:after="0" w:line="360" w:lineRule="auto"/>
        <w:ind w:left="567" w:right="567"/>
        <w:rPr>
          <w:i/>
          <w:sz w:val="20"/>
          <w:szCs w:val="20"/>
        </w:rPr>
      </w:pPr>
      <w:r w:rsidRPr="00433E4C">
        <w:rPr>
          <w:b/>
          <w:i/>
          <w:sz w:val="20"/>
          <w:szCs w:val="20"/>
        </w:rPr>
        <w:t>“Nombre del titular de una licencia que no involucre el aprovechamiento de bienes, servicios y/o recursos públicos, constituye un dato personal susceptible de clasificar como confidencial.</w:t>
      </w:r>
      <w:r w:rsidRPr="00433E4C">
        <w:rPr>
          <w:i/>
          <w:sz w:val="20"/>
          <w:szCs w:val="20"/>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w:t>
      </w:r>
      <w:r w:rsidRPr="00433E4C">
        <w:rPr>
          <w:i/>
          <w:sz w:val="20"/>
          <w:szCs w:val="20"/>
        </w:rPr>
        <w:lastRenderedPageBreak/>
        <w:t>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16C11D92" w14:textId="77777777" w:rsidR="00C3173E" w:rsidRPr="00433E4C" w:rsidRDefault="00C3173E">
      <w:pPr>
        <w:spacing w:after="0" w:line="360" w:lineRule="auto"/>
        <w:ind w:right="-93"/>
      </w:pPr>
    </w:p>
    <w:p w14:paraId="09983040" w14:textId="77777777" w:rsidR="00C3173E" w:rsidRPr="00433E4C" w:rsidRDefault="00510FC4">
      <w:pPr>
        <w:spacing w:after="0" w:line="360" w:lineRule="auto"/>
      </w:pPr>
      <w:r w:rsidRPr="00433E4C">
        <w:t>Con base en lo anterior, procede su eliminación de las versiones públicas, pues actualiza el supuesto previsto en el artículo 143 fracción I de la Ley de Transparencia y Acceso a la Información Pública del Estado de México y Municipios.</w:t>
      </w:r>
    </w:p>
    <w:p w14:paraId="2E7FC24B" w14:textId="77777777" w:rsidR="00C3173E" w:rsidRPr="00433E4C" w:rsidRDefault="00C3173E">
      <w:pPr>
        <w:spacing w:after="0" w:line="360" w:lineRule="auto"/>
      </w:pPr>
    </w:p>
    <w:p w14:paraId="764D962D" w14:textId="77777777" w:rsidR="00C3173E" w:rsidRPr="00433E4C" w:rsidRDefault="00510FC4">
      <w:pPr>
        <w:numPr>
          <w:ilvl w:val="0"/>
          <w:numId w:val="5"/>
        </w:numPr>
        <w:pBdr>
          <w:top w:val="nil"/>
          <w:left w:val="nil"/>
          <w:bottom w:val="nil"/>
          <w:right w:val="nil"/>
          <w:between w:val="nil"/>
        </w:pBdr>
        <w:spacing w:after="0" w:line="360" w:lineRule="auto"/>
        <w:rPr>
          <w:b/>
          <w:color w:val="000000"/>
        </w:rPr>
      </w:pPr>
      <w:r w:rsidRPr="00433E4C">
        <w:rPr>
          <w:b/>
          <w:color w:val="000000"/>
        </w:rPr>
        <w:t>Domicilio de particulares</w:t>
      </w:r>
    </w:p>
    <w:p w14:paraId="198741DF" w14:textId="77777777" w:rsidR="00C3173E" w:rsidRPr="00433E4C" w:rsidRDefault="00C3173E">
      <w:pPr>
        <w:spacing w:after="0" w:line="360" w:lineRule="auto"/>
      </w:pPr>
    </w:p>
    <w:p w14:paraId="74F6D5DC" w14:textId="77777777" w:rsidR="00C3173E" w:rsidRPr="00433E4C" w:rsidRDefault="00510FC4">
      <w:pPr>
        <w:spacing w:after="0" w:line="360" w:lineRule="auto"/>
      </w:pPr>
      <w:r w:rsidRPr="00433E4C">
        <w:t xml:space="preserve">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sin que esta información sea de relevancia para el interés público, así como tampoco tiene relevancia en el ejercicio de atribuciones de los servidores públicos. Por lo que se trata de un dato personal confidencial, en términos del artículo 143, fracción I de la Ley de Transparencia y Acceso a la Información Pública del Estado de México y Municipios. </w:t>
      </w:r>
    </w:p>
    <w:p w14:paraId="3C774E8F" w14:textId="77777777" w:rsidR="00C3173E" w:rsidRPr="00433E4C" w:rsidRDefault="00C3173E">
      <w:pPr>
        <w:spacing w:after="0" w:line="360" w:lineRule="auto"/>
      </w:pPr>
    </w:p>
    <w:p w14:paraId="4E739428" w14:textId="77777777" w:rsidR="00C3173E" w:rsidRPr="00433E4C" w:rsidRDefault="00510FC4">
      <w:pPr>
        <w:spacing w:after="0" w:line="360" w:lineRule="auto"/>
        <w:rPr>
          <w:color w:val="000000"/>
        </w:rPr>
      </w:pPr>
      <w:r w:rsidRPr="00433E4C">
        <w:rPr>
          <w:color w:val="000000"/>
        </w:rPr>
        <w:t xml:space="preserve">Así,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w:t>
      </w:r>
      <w:r w:rsidRPr="00433E4C">
        <w:rPr>
          <w:color w:val="000000"/>
        </w:rPr>
        <w:lastRenderedPageBreak/>
        <w:t>secciones clasificadas, indicando su contenido de manera genérica y fundando y motivando su clasificación.</w:t>
      </w:r>
    </w:p>
    <w:p w14:paraId="4307A06B" w14:textId="77777777" w:rsidR="00C3173E" w:rsidRPr="00433E4C" w:rsidRDefault="00C3173E">
      <w:pPr>
        <w:spacing w:after="0" w:line="360" w:lineRule="auto"/>
        <w:rPr>
          <w:color w:val="000000"/>
        </w:rPr>
      </w:pPr>
    </w:p>
    <w:p w14:paraId="16A1F334" w14:textId="77777777" w:rsidR="00C3173E" w:rsidRPr="00433E4C" w:rsidRDefault="00510FC4">
      <w:pPr>
        <w:spacing w:after="0" w:line="360" w:lineRule="auto"/>
        <w:rPr>
          <w:color w:val="000000"/>
        </w:rPr>
      </w:pPr>
      <w:r w:rsidRPr="00433E4C">
        <w:rPr>
          <w:color w:val="000000"/>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DFBCC8F" w14:textId="77777777" w:rsidR="00C3173E" w:rsidRPr="00433E4C" w:rsidRDefault="00C3173E">
      <w:pPr>
        <w:pStyle w:val="Ttulo2"/>
        <w:spacing w:before="0" w:after="0"/>
      </w:pPr>
      <w:bookmarkStart w:id="14" w:name="_heading=h.oi5k4k8uvdfm" w:colFirst="0" w:colLast="0"/>
      <w:bookmarkEnd w:id="14"/>
    </w:p>
    <w:p w14:paraId="1FE36C68" w14:textId="77777777" w:rsidR="00C3173E" w:rsidRPr="00433E4C" w:rsidRDefault="00510FC4">
      <w:pPr>
        <w:pStyle w:val="Ttulo2"/>
        <w:spacing w:before="0" w:after="0"/>
        <w:rPr>
          <w:b w:val="0"/>
        </w:rPr>
      </w:pPr>
      <w:bookmarkStart w:id="15" w:name="_Toc206685977"/>
      <w:r w:rsidRPr="00433E4C">
        <w:t>SEXTO. Decisión</w:t>
      </w:r>
      <w:bookmarkEnd w:id="15"/>
    </w:p>
    <w:p w14:paraId="72C29F2E" w14:textId="77777777" w:rsidR="00C3173E" w:rsidRPr="00433E4C" w:rsidRDefault="00C3173E">
      <w:pPr>
        <w:spacing w:after="0" w:line="360" w:lineRule="auto"/>
        <w:rPr>
          <w:b/>
        </w:rPr>
      </w:pPr>
    </w:p>
    <w:p w14:paraId="2F6199E7" w14:textId="77777777" w:rsidR="00C3173E" w:rsidRPr="00433E4C" w:rsidRDefault="00510FC4">
      <w:pPr>
        <w:spacing w:after="0" w:line="360" w:lineRule="auto"/>
      </w:pPr>
      <w:r w:rsidRPr="00433E4C">
        <w:t xml:space="preserve">Con fundamento en el artículo 186, fracción III, de la Ley de Transparencia y Acceso a la Información Pública del Estado de México y Municipios, este Instituto considera procedente </w:t>
      </w:r>
      <w:r w:rsidRPr="00433E4C">
        <w:rPr>
          <w:b/>
        </w:rPr>
        <w:t xml:space="preserve">REVOCAR </w:t>
      </w:r>
      <w:r w:rsidRPr="00433E4C">
        <w:t xml:space="preserve">la respuesta otorgada por el Sujeto Obligado a la solicitud de información 00036/PRI/IP/2025, por resultar fundadas las razones o motivos de inconformidad hechos valer por la parte Recurrente, en el Recurso de Revisión 06366/INFOEM/IP/RR/2025, en consecuencia procede </w:t>
      </w:r>
      <w:r w:rsidRPr="00433E4C">
        <w:rPr>
          <w:b/>
        </w:rPr>
        <w:t xml:space="preserve">ORDENAR, </w:t>
      </w:r>
      <w:r w:rsidRPr="00433E4C">
        <w:t>la entrega de la información en los términos expuestos.</w:t>
      </w:r>
    </w:p>
    <w:p w14:paraId="4E5A05DD" w14:textId="77777777" w:rsidR="00C3173E" w:rsidRPr="00433E4C" w:rsidRDefault="00C3173E">
      <w:pPr>
        <w:spacing w:after="0" w:line="360" w:lineRule="auto"/>
      </w:pPr>
    </w:p>
    <w:p w14:paraId="6E9FCC0B" w14:textId="77777777" w:rsidR="00C3173E" w:rsidRPr="00433E4C" w:rsidRDefault="00510FC4">
      <w:pPr>
        <w:spacing w:after="0" w:line="360" w:lineRule="auto"/>
        <w:rPr>
          <w:b/>
          <w:u w:val="single"/>
        </w:rPr>
      </w:pPr>
      <w:r w:rsidRPr="00433E4C">
        <w:rPr>
          <w:b/>
          <w:u w:val="single"/>
        </w:rPr>
        <w:t>Términos de la Resolución para la parte Recurrente:</w:t>
      </w:r>
    </w:p>
    <w:p w14:paraId="0363BD42" w14:textId="77777777" w:rsidR="00C3173E" w:rsidRPr="00433E4C" w:rsidRDefault="00C3173E">
      <w:pPr>
        <w:spacing w:after="0" w:line="360" w:lineRule="auto"/>
      </w:pPr>
    </w:p>
    <w:p w14:paraId="246038D0" w14:textId="77777777" w:rsidR="00C3173E" w:rsidRPr="00433E4C" w:rsidRDefault="00510FC4">
      <w:pPr>
        <w:spacing w:after="0" w:line="360" w:lineRule="auto"/>
        <w:rPr>
          <w:u w:val="single"/>
        </w:rPr>
      </w:pPr>
      <w:r w:rsidRPr="00433E4C">
        <w:rPr>
          <w:u w:val="single"/>
        </w:rPr>
        <w:t xml:space="preserve">Se hace del conocimiento de parte Recurrente que este Organismo Garante determinó concederle la razón, puesto que el Sujeto Obligado no entregó la documentación solicitada, por tanto, se ordena su entrega. </w:t>
      </w:r>
    </w:p>
    <w:p w14:paraId="1A704102" w14:textId="77777777" w:rsidR="00C3173E" w:rsidRPr="00433E4C" w:rsidRDefault="00C3173E">
      <w:pPr>
        <w:spacing w:after="0" w:line="360" w:lineRule="auto"/>
        <w:rPr>
          <w:u w:val="single"/>
        </w:rPr>
      </w:pPr>
    </w:p>
    <w:p w14:paraId="5F7A9B1A" w14:textId="77777777" w:rsidR="00C3173E" w:rsidRPr="00433E4C" w:rsidRDefault="00510FC4">
      <w:pPr>
        <w:spacing w:after="0" w:line="360" w:lineRule="auto"/>
        <w:rPr>
          <w:u w:val="single"/>
        </w:rPr>
      </w:pPr>
      <w:r w:rsidRPr="00433E4C">
        <w:rPr>
          <w:u w:val="single"/>
        </w:rPr>
        <w:t>Es necesario mencionar que para el caso de que la información tenga información confidencial o reservada, la misma debe ser testada y se entregará acompañada de un acuerdo en el que se expresen las razones por las que se protege dicha información.</w:t>
      </w:r>
    </w:p>
    <w:p w14:paraId="7D9D292E" w14:textId="77777777" w:rsidR="00C3173E" w:rsidRPr="00433E4C" w:rsidRDefault="00C3173E">
      <w:pPr>
        <w:spacing w:after="0" w:line="360" w:lineRule="auto"/>
        <w:rPr>
          <w:u w:val="single"/>
        </w:rPr>
      </w:pPr>
    </w:p>
    <w:p w14:paraId="1141C9C4" w14:textId="77777777" w:rsidR="00C3173E" w:rsidRPr="00433E4C" w:rsidRDefault="00510FC4">
      <w:pPr>
        <w:spacing w:after="0" w:line="360" w:lineRule="auto"/>
        <w:rPr>
          <w:u w:val="single"/>
        </w:rPr>
      </w:pPr>
      <w:r w:rsidRPr="00433E4C">
        <w:rPr>
          <w:u w:val="single"/>
        </w:rPr>
        <w:t>La labor del INFOEM, es apoyar a la población para acceder a la información pública y garantizar la protección de sus datos personales.</w:t>
      </w:r>
    </w:p>
    <w:p w14:paraId="23E62804" w14:textId="77777777" w:rsidR="00C3173E" w:rsidRPr="00433E4C" w:rsidRDefault="00C3173E">
      <w:pPr>
        <w:spacing w:after="0" w:line="360" w:lineRule="auto"/>
        <w:rPr>
          <w:u w:val="single"/>
        </w:rPr>
      </w:pPr>
    </w:p>
    <w:p w14:paraId="4F99E3B0" w14:textId="77777777" w:rsidR="00C3173E" w:rsidRPr="00433E4C" w:rsidRDefault="00510FC4">
      <w:pPr>
        <w:pStyle w:val="Ttulo1"/>
        <w:spacing w:before="0" w:after="0"/>
        <w:rPr>
          <w:b w:val="0"/>
          <w:sz w:val="22"/>
          <w:szCs w:val="22"/>
        </w:rPr>
      </w:pPr>
      <w:bookmarkStart w:id="16" w:name="_Toc206685978"/>
      <w:r w:rsidRPr="00433E4C">
        <w:rPr>
          <w:sz w:val="22"/>
          <w:szCs w:val="22"/>
        </w:rPr>
        <w:t>R E S U E L V E</w:t>
      </w:r>
      <w:bookmarkEnd w:id="16"/>
    </w:p>
    <w:p w14:paraId="5DC0C6A7" w14:textId="77777777" w:rsidR="00C3173E" w:rsidRPr="00433E4C" w:rsidRDefault="00C3173E">
      <w:pPr>
        <w:spacing w:after="0" w:line="360" w:lineRule="auto"/>
        <w:rPr>
          <w:b/>
        </w:rPr>
      </w:pPr>
    </w:p>
    <w:p w14:paraId="4791EE34" w14:textId="77777777" w:rsidR="00C3173E" w:rsidRPr="00433E4C" w:rsidRDefault="00510FC4">
      <w:pPr>
        <w:spacing w:after="0" w:line="360" w:lineRule="auto"/>
      </w:pPr>
      <w:r w:rsidRPr="00433E4C">
        <w:rPr>
          <w:b/>
        </w:rPr>
        <w:t xml:space="preserve">PRIMERO. </w:t>
      </w:r>
      <w:r w:rsidRPr="00433E4C">
        <w:t xml:space="preserve">Se </w:t>
      </w:r>
      <w:r w:rsidRPr="00433E4C">
        <w:rPr>
          <w:b/>
        </w:rPr>
        <w:t>REVOCA</w:t>
      </w:r>
      <w:r w:rsidRPr="00433E4C">
        <w:t xml:space="preserve"> la respuesta entregada por el Partido Revolucionario Institucional a la solicitud de información 00036/PRI/IP/2025 por resultar fundadas las razones o motivos de inconformidad hechos valer por la persona Recurrente en el Recurso de Revisión 06366/INFOEM/IP/RR/2025, en términos de los considerandos QUINTO y SEXTO de la presente Resolución.</w:t>
      </w:r>
    </w:p>
    <w:p w14:paraId="446C0C32" w14:textId="77777777" w:rsidR="00C3173E" w:rsidRPr="00433E4C" w:rsidRDefault="00C3173E">
      <w:pPr>
        <w:spacing w:after="0" w:line="360" w:lineRule="auto"/>
      </w:pPr>
    </w:p>
    <w:p w14:paraId="001CA2B3" w14:textId="093D7593" w:rsidR="00C3173E" w:rsidRPr="00433E4C" w:rsidRDefault="00510FC4" w:rsidP="00CF76D0">
      <w:pPr>
        <w:spacing w:after="0" w:line="360" w:lineRule="auto"/>
      </w:pPr>
      <w:bookmarkStart w:id="17" w:name="_heading=h.argy21qnkmhr" w:colFirst="0" w:colLast="0"/>
      <w:bookmarkEnd w:id="17"/>
      <w:r w:rsidRPr="00433E4C">
        <w:rPr>
          <w:b/>
        </w:rPr>
        <w:t xml:space="preserve">SEGUNDO. </w:t>
      </w:r>
      <w:r w:rsidRPr="00433E4C">
        <w:t xml:space="preserve">Se </w:t>
      </w:r>
      <w:r w:rsidRPr="00433E4C">
        <w:rPr>
          <w:b/>
        </w:rPr>
        <w:t>ORDENA</w:t>
      </w:r>
      <w:r w:rsidRPr="00433E4C">
        <w:t xml:space="preserve"> al Sujeto Obligado, a efecto de que previa búsqueda exhaustiva y razonable, en los archivos de las unidades administrativas competentes, entregue a través del Sistema de Acceso a la Información Mexiquense (SAIMEX), en su caso en versión pública,</w:t>
      </w:r>
      <w:r w:rsidR="00CF76D0" w:rsidRPr="00433E4C">
        <w:t xml:space="preserve"> respecto al pintado de bardas en el Municipio de Ecatepec, los documentos con los que contara el nueve de mayo de dos mil veinticinco, los documentos donde conste lo siguiente:</w:t>
      </w:r>
    </w:p>
    <w:p w14:paraId="3254372B" w14:textId="77777777" w:rsidR="00C3173E" w:rsidRPr="00433E4C" w:rsidRDefault="00C3173E">
      <w:pPr>
        <w:tabs>
          <w:tab w:val="left" w:pos="4962"/>
        </w:tabs>
        <w:spacing w:after="0" w:line="360" w:lineRule="auto"/>
      </w:pPr>
    </w:p>
    <w:p w14:paraId="07A5B3F6" w14:textId="77777777" w:rsidR="00CF76D0" w:rsidRPr="00433E4C" w:rsidRDefault="00510FC4">
      <w:pPr>
        <w:numPr>
          <w:ilvl w:val="0"/>
          <w:numId w:val="1"/>
        </w:numPr>
        <w:pBdr>
          <w:top w:val="nil"/>
          <w:left w:val="nil"/>
          <w:bottom w:val="nil"/>
          <w:right w:val="nil"/>
          <w:between w:val="nil"/>
        </w:pBdr>
        <w:tabs>
          <w:tab w:val="left" w:pos="4962"/>
        </w:tabs>
        <w:spacing w:after="0" w:line="360" w:lineRule="auto"/>
        <w:rPr>
          <w:color w:val="000000"/>
        </w:rPr>
      </w:pPr>
      <w:r w:rsidRPr="00433E4C">
        <w:rPr>
          <w:color w:val="000000"/>
        </w:rPr>
        <w:t>Cantidad de bardas que se pintaron y</w:t>
      </w:r>
    </w:p>
    <w:p w14:paraId="63D53B85" w14:textId="14D16225" w:rsidR="00C3173E" w:rsidRPr="00433E4C" w:rsidRDefault="00CF76D0">
      <w:pPr>
        <w:numPr>
          <w:ilvl w:val="0"/>
          <w:numId w:val="1"/>
        </w:numPr>
        <w:pBdr>
          <w:top w:val="nil"/>
          <w:left w:val="nil"/>
          <w:bottom w:val="nil"/>
          <w:right w:val="nil"/>
          <w:between w:val="nil"/>
        </w:pBdr>
        <w:tabs>
          <w:tab w:val="left" w:pos="4962"/>
        </w:tabs>
        <w:spacing w:after="0" w:line="360" w:lineRule="auto"/>
        <w:rPr>
          <w:color w:val="000000"/>
        </w:rPr>
      </w:pPr>
      <w:r w:rsidRPr="00433E4C">
        <w:rPr>
          <w:color w:val="000000"/>
        </w:rPr>
        <w:t>Número de bardas que tenían planeado pintar;</w:t>
      </w:r>
    </w:p>
    <w:p w14:paraId="0659416D" w14:textId="2C1A23D7" w:rsidR="00C3173E" w:rsidRPr="00433E4C" w:rsidRDefault="00510FC4">
      <w:pPr>
        <w:numPr>
          <w:ilvl w:val="0"/>
          <w:numId w:val="1"/>
        </w:numPr>
        <w:pBdr>
          <w:top w:val="nil"/>
          <w:left w:val="nil"/>
          <w:bottom w:val="nil"/>
          <w:right w:val="nil"/>
          <w:between w:val="nil"/>
        </w:pBdr>
        <w:tabs>
          <w:tab w:val="left" w:pos="4962"/>
        </w:tabs>
        <w:spacing w:after="0" w:line="360" w:lineRule="auto"/>
        <w:rPr>
          <w:color w:val="000000"/>
        </w:rPr>
      </w:pPr>
      <w:r w:rsidRPr="00433E4C">
        <w:rPr>
          <w:color w:val="000000"/>
        </w:rPr>
        <w:t xml:space="preserve">Ubicación </w:t>
      </w:r>
      <w:r w:rsidR="00CF76D0" w:rsidRPr="00433E4C">
        <w:rPr>
          <w:color w:val="000000"/>
        </w:rPr>
        <w:t>y dimensiones de cada una de las bardas;</w:t>
      </w:r>
    </w:p>
    <w:p w14:paraId="22200E4E" w14:textId="5E7B5162" w:rsidR="00C3173E" w:rsidRPr="00433E4C" w:rsidRDefault="00510FC4">
      <w:pPr>
        <w:numPr>
          <w:ilvl w:val="0"/>
          <w:numId w:val="1"/>
        </w:numPr>
        <w:pBdr>
          <w:top w:val="nil"/>
          <w:left w:val="nil"/>
          <w:bottom w:val="nil"/>
          <w:right w:val="nil"/>
          <w:between w:val="nil"/>
        </w:pBdr>
        <w:tabs>
          <w:tab w:val="left" w:pos="4962"/>
        </w:tabs>
        <w:spacing w:after="0" w:line="360" w:lineRule="auto"/>
        <w:rPr>
          <w:color w:val="000000"/>
        </w:rPr>
      </w:pPr>
      <w:r w:rsidRPr="00433E4C">
        <w:rPr>
          <w:color w:val="000000"/>
        </w:rPr>
        <w:t xml:space="preserve">Permiso </w:t>
      </w:r>
      <w:r w:rsidR="00CF76D0" w:rsidRPr="00433E4C">
        <w:rPr>
          <w:color w:val="000000"/>
        </w:rPr>
        <w:t>y autorizaciones, y</w:t>
      </w:r>
    </w:p>
    <w:p w14:paraId="42D17B29" w14:textId="77777777" w:rsidR="00C3173E" w:rsidRPr="00433E4C" w:rsidRDefault="00510FC4">
      <w:pPr>
        <w:numPr>
          <w:ilvl w:val="0"/>
          <w:numId w:val="1"/>
        </w:numPr>
        <w:pBdr>
          <w:top w:val="nil"/>
          <w:left w:val="nil"/>
          <w:bottom w:val="nil"/>
          <w:right w:val="nil"/>
          <w:between w:val="nil"/>
        </w:pBdr>
        <w:tabs>
          <w:tab w:val="left" w:pos="4962"/>
        </w:tabs>
        <w:spacing w:after="0" w:line="360" w:lineRule="auto"/>
        <w:rPr>
          <w:color w:val="000000"/>
        </w:rPr>
      </w:pPr>
      <w:r w:rsidRPr="00433E4C">
        <w:rPr>
          <w:color w:val="000000"/>
        </w:rPr>
        <w:t>Costo total de la pinta de bardas</w:t>
      </w:r>
    </w:p>
    <w:p w14:paraId="382A4424" w14:textId="77777777" w:rsidR="00CF76D0" w:rsidRPr="00433E4C" w:rsidRDefault="00CF76D0" w:rsidP="00CF76D0">
      <w:pPr>
        <w:pBdr>
          <w:top w:val="nil"/>
          <w:left w:val="nil"/>
          <w:bottom w:val="nil"/>
          <w:right w:val="nil"/>
          <w:between w:val="nil"/>
        </w:pBdr>
        <w:tabs>
          <w:tab w:val="left" w:pos="4962"/>
        </w:tabs>
        <w:spacing w:after="0" w:line="360" w:lineRule="auto"/>
        <w:ind w:left="720"/>
        <w:rPr>
          <w:color w:val="000000"/>
        </w:rPr>
      </w:pPr>
    </w:p>
    <w:p w14:paraId="796EAFE7" w14:textId="77777777" w:rsidR="00C3173E" w:rsidRPr="00433E4C" w:rsidRDefault="00510FC4">
      <w:pPr>
        <w:spacing w:after="0" w:line="360" w:lineRule="auto"/>
      </w:pPr>
      <w:r w:rsidRPr="00433E4C">
        <w:rPr>
          <w:color w:val="000000"/>
        </w:rPr>
        <w:t xml:space="preserve">Para las versiones públicas, se deberá proporcionar el Acuerdo de Clasificación donde el Comité de Transparencia, confirme la eliminación de los datos confidenciales </w:t>
      </w:r>
      <w:r w:rsidRPr="00433E4C">
        <w:t xml:space="preserve">de acuerdo con los </w:t>
      </w:r>
      <w:r w:rsidRPr="00433E4C">
        <w:lastRenderedPageBreak/>
        <w:t xml:space="preserve">artículos 49, fracciones II y VIII, 132, fracción II, 143, fracción I y 149 de la Ley de Transparencia y Acceso a la Información Pública del Estado de México y Municipios. </w:t>
      </w:r>
    </w:p>
    <w:p w14:paraId="265F3338" w14:textId="77777777" w:rsidR="00C3173E" w:rsidRPr="00433E4C" w:rsidRDefault="00C3173E">
      <w:pPr>
        <w:spacing w:after="0" w:line="360" w:lineRule="auto"/>
      </w:pPr>
    </w:p>
    <w:p w14:paraId="2D3CC064" w14:textId="627E03B2" w:rsidR="00C3173E" w:rsidRPr="00433E4C" w:rsidRDefault="00510FC4">
      <w:pPr>
        <w:spacing w:after="0" w:line="360" w:lineRule="auto"/>
      </w:pPr>
      <w:r w:rsidRPr="00433E4C">
        <w:t xml:space="preserve">Para el caso, de lo ordenado en el punto </w:t>
      </w:r>
      <w:r w:rsidR="00CF76D0" w:rsidRPr="00433E4C">
        <w:t>2 y 3</w:t>
      </w:r>
      <w:r w:rsidRPr="00433E4C">
        <w:t xml:space="preserve">, si a la fecha de la solicitud no tenía planeada </w:t>
      </w:r>
      <w:r w:rsidR="00CF76D0" w:rsidRPr="00433E4C">
        <w:t>la</w:t>
      </w:r>
      <w:r w:rsidRPr="00433E4C">
        <w:t xml:space="preserve"> cantidad de bardas que pintar</w:t>
      </w:r>
      <w:r w:rsidR="00CF76D0" w:rsidRPr="00433E4C">
        <w:t>, o bien, respecto al 5, de que no haya erogado recursos al contar con los materiales o haber sido donados</w:t>
      </w:r>
      <w:r w:rsidRPr="00433E4C">
        <w:t>, deberá hacerlo del conocimiento de la parte Recurrente de manera clara y precisa.</w:t>
      </w:r>
    </w:p>
    <w:p w14:paraId="0EAD7607" w14:textId="77777777" w:rsidR="00C3173E" w:rsidRPr="00433E4C" w:rsidRDefault="00C3173E">
      <w:pPr>
        <w:spacing w:after="0" w:line="360" w:lineRule="auto"/>
      </w:pPr>
    </w:p>
    <w:p w14:paraId="2F9598C6" w14:textId="77777777" w:rsidR="00C3173E" w:rsidRPr="00433E4C" w:rsidRDefault="00510FC4">
      <w:pPr>
        <w:spacing w:after="0" w:line="360" w:lineRule="auto"/>
      </w:pPr>
      <w:r w:rsidRPr="00433E4C">
        <w:rPr>
          <w:b/>
        </w:rPr>
        <w:t xml:space="preserve">TERCERO. NOTIFÍQUESE POR SAIMEX </w:t>
      </w:r>
      <w:r w:rsidRPr="00433E4C">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1912C08B" w14:textId="77777777" w:rsidR="00C3173E" w:rsidRPr="00433E4C" w:rsidRDefault="00C3173E">
      <w:pPr>
        <w:spacing w:after="0" w:line="360" w:lineRule="auto"/>
      </w:pPr>
    </w:p>
    <w:p w14:paraId="7F715B73" w14:textId="77777777" w:rsidR="00C3173E" w:rsidRPr="00433E4C" w:rsidRDefault="00510FC4">
      <w:pPr>
        <w:spacing w:after="0" w:line="360" w:lineRule="auto"/>
      </w:pPr>
      <w:r w:rsidRPr="00433E4C">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ACE4B81" w14:textId="77777777" w:rsidR="00C3173E" w:rsidRPr="00433E4C" w:rsidRDefault="00C3173E">
      <w:pPr>
        <w:spacing w:after="0" w:line="360" w:lineRule="auto"/>
      </w:pPr>
    </w:p>
    <w:p w14:paraId="1733701A" w14:textId="77777777" w:rsidR="00C3173E" w:rsidRPr="00433E4C" w:rsidRDefault="00510FC4">
      <w:pPr>
        <w:spacing w:after="0" w:line="360" w:lineRule="auto"/>
      </w:pPr>
      <w:r w:rsidRPr="00433E4C">
        <w:rPr>
          <w:b/>
        </w:rPr>
        <w:t>CUARTO. NOTIFÍQUESE</w:t>
      </w:r>
      <w:r w:rsidRPr="00433E4C">
        <w:t xml:space="preserve"> </w:t>
      </w:r>
      <w:r w:rsidRPr="00433E4C">
        <w:rPr>
          <w:b/>
        </w:rPr>
        <w:t xml:space="preserve">POR SAIMEX </w:t>
      </w:r>
      <w:r w:rsidRPr="00433E4C">
        <w:t>a la parte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CC9069B" w14:textId="11D7DEAF" w:rsidR="00C3173E" w:rsidRDefault="00510FC4">
      <w:pPr>
        <w:spacing w:after="0" w:line="360" w:lineRule="auto"/>
      </w:pPr>
      <w:r w:rsidRPr="00433E4C">
        <w:lastRenderedPageBreak/>
        <w:t xml:space="preserve">ASÍ LO RESUELVE, POR </w:t>
      </w:r>
      <w:r w:rsidRPr="00433E4C">
        <w:rPr>
          <w:b/>
        </w:rPr>
        <w:t>UNANIMIDAD</w:t>
      </w:r>
      <w:r w:rsidRPr="00433E4C">
        <w:t xml:space="preserve"> DE VOTOS EL PLENO DEL INSTITUTO DE TRANSPARENCIA, ACCESO A LA INFORMACIÓN PÚBLICA Y PROTECCIÓN DE DATOS PERSONALES DEL ESTADO DE MÉXICO Y MUNICIPIOS, CONFORMADO POR LOS COMISIONADOS JOSÉ MARTÍNEZ VILCHIS</w:t>
      </w:r>
      <w:r w:rsidR="00B114B8" w:rsidRPr="00433E4C">
        <w:t xml:space="preserve"> (AUSENCIA JUSTIFICADA)</w:t>
      </w:r>
      <w:r w:rsidRPr="00433E4C">
        <w:t xml:space="preserve">, MARÍA DEL ROSARIO MEJÍA AYALA, SHARON CRISTINA MORALES MARTÍNEZ, LUIS GUSTAVO PARRA NORIEGA Y GUADALUPE RAMÍREZ PEÑA, EN LA VIGÉSIMA </w:t>
      </w:r>
      <w:r w:rsidR="00656978">
        <w:t xml:space="preserve">NOVENA </w:t>
      </w:r>
      <w:r w:rsidRPr="00433E4C">
        <w:t>SESIÓN ORDINARIA, CELEBRADA EL VEINTE DE AGOSTO DE DOS MIL VEINTICINCO, ANTE EL SECRETARIO TÉCNICO DEL PLENO, ALEXIS TAPIA RAMÍREZ.</w:t>
      </w:r>
    </w:p>
    <w:p w14:paraId="070F3676" w14:textId="77777777" w:rsidR="00C3173E" w:rsidRDefault="00C3173E">
      <w:pPr>
        <w:pStyle w:val="Ttulo2"/>
        <w:spacing w:before="0" w:after="0"/>
        <w:rPr>
          <w:b w:val="0"/>
        </w:rPr>
      </w:pPr>
    </w:p>
    <w:p w14:paraId="6DA911A6" w14:textId="77777777" w:rsidR="00C3173E" w:rsidRDefault="00C3173E">
      <w:pPr>
        <w:spacing w:after="0" w:line="360" w:lineRule="auto"/>
      </w:pPr>
    </w:p>
    <w:p w14:paraId="0A1703C5" w14:textId="77777777" w:rsidR="00C3173E" w:rsidRDefault="00C3173E">
      <w:pPr>
        <w:spacing w:after="0" w:line="360" w:lineRule="auto"/>
      </w:pPr>
    </w:p>
    <w:p w14:paraId="2FF856C9" w14:textId="77777777" w:rsidR="00C3173E" w:rsidRDefault="00C3173E">
      <w:pPr>
        <w:spacing w:after="0" w:line="360" w:lineRule="auto"/>
      </w:pPr>
    </w:p>
    <w:p w14:paraId="65263C07" w14:textId="77777777" w:rsidR="00C3173E" w:rsidRDefault="00C3173E">
      <w:pPr>
        <w:spacing w:after="0" w:line="360" w:lineRule="auto"/>
      </w:pPr>
    </w:p>
    <w:p w14:paraId="06D9BEAD" w14:textId="77777777" w:rsidR="00C3173E" w:rsidRDefault="00C3173E">
      <w:pPr>
        <w:spacing w:after="0" w:line="360" w:lineRule="auto"/>
      </w:pPr>
    </w:p>
    <w:p w14:paraId="6A749610" w14:textId="77777777" w:rsidR="00C3173E" w:rsidRDefault="00C3173E">
      <w:pPr>
        <w:spacing w:after="0" w:line="360" w:lineRule="auto"/>
      </w:pPr>
    </w:p>
    <w:p w14:paraId="15ADCBE4" w14:textId="77777777" w:rsidR="00C3173E" w:rsidRDefault="00C3173E">
      <w:pPr>
        <w:spacing w:after="0" w:line="360" w:lineRule="auto"/>
      </w:pPr>
    </w:p>
    <w:p w14:paraId="4773A8C5" w14:textId="77777777" w:rsidR="00C3173E" w:rsidRDefault="00C3173E">
      <w:pPr>
        <w:spacing w:after="0" w:line="360" w:lineRule="auto"/>
      </w:pPr>
    </w:p>
    <w:p w14:paraId="3B1E5739" w14:textId="77777777" w:rsidR="00C3173E" w:rsidRDefault="00C3173E">
      <w:pPr>
        <w:spacing w:after="0" w:line="360" w:lineRule="auto"/>
      </w:pPr>
    </w:p>
    <w:p w14:paraId="1604EE64" w14:textId="77777777" w:rsidR="00C3173E" w:rsidRDefault="00C3173E">
      <w:pPr>
        <w:spacing w:after="0" w:line="360" w:lineRule="auto"/>
      </w:pPr>
    </w:p>
    <w:p w14:paraId="563A2D25" w14:textId="77777777" w:rsidR="00C3173E" w:rsidRDefault="00C3173E">
      <w:pPr>
        <w:spacing w:after="0" w:line="360" w:lineRule="auto"/>
      </w:pPr>
    </w:p>
    <w:p w14:paraId="10E2D4D6" w14:textId="77777777" w:rsidR="00C3173E" w:rsidRDefault="00C3173E">
      <w:pPr>
        <w:spacing w:after="0" w:line="360" w:lineRule="auto"/>
      </w:pPr>
    </w:p>
    <w:p w14:paraId="690BDAE6" w14:textId="77777777" w:rsidR="00C3173E" w:rsidRDefault="00C3173E">
      <w:pPr>
        <w:spacing w:after="0" w:line="360" w:lineRule="auto"/>
      </w:pPr>
    </w:p>
    <w:p w14:paraId="06D99C80" w14:textId="77777777" w:rsidR="00C3173E" w:rsidRDefault="00C3173E">
      <w:pPr>
        <w:spacing w:after="0" w:line="360" w:lineRule="auto"/>
      </w:pPr>
    </w:p>
    <w:p w14:paraId="6555800A" w14:textId="77777777" w:rsidR="00C3173E" w:rsidRDefault="00C3173E">
      <w:pPr>
        <w:spacing w:after="0" w:line="360" w:lineRule="auto"/>
      </w:pPr>
    </w:p>
    <w:p w14:paraId="1C1DD98D" w14:textId="77777777" w:rsidR="00C3173E" w:rsidRDefault="00C3173E">
      <w:pPr>
        <w:spacing w:after="0" w:line="360" w:lineRule="auto"/>
      </w:pPr>
    </w:p>
    <w:p w14:paraId="402FA880" w14:textId="77777777" w:rsidR="00C3173E" w:rsidRDefault="00C3173E">
      <w:pPr>
        <w:spacing w:after="0" w:line="360" w:lineRule="auto"/>
      </w:pPr>
    </w:p>
    <w:p w14:paraId="7F600BC4" w14:textId="77777777" w:rsidR="00C3173E" w:rsidRDefault="00C3173E">
      <w:pPr>
        <w:spacing w:after="0" w:line="360" w:lineRule="auto"/>
      </w:pPr>
    </w:p>
    <w:sectPr w:rsidR="00C3173E">
      <w:headerReference w:type="even" r:id="rId10"/>
      <w:headerReference w:type="default" r:id="rId11"/>
      <w:footerReference w:type="even" r:id="rId12"/>
      <w:footerReference w:type="default" r:id="rId13"/>
      <w:headerReference w:type="first" r:id="rId14"/>
      <w:footerReference w:type="first" r:id="rId15"/>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3C2C6" w14:textId="77777777" w:rsidR="00E62B73" w:rsidRDefault="00E62B73">
      <w:pPr>
        <w:spacing w:after="0" w:line="240" w:lineRule="auto"/>
      </w:pPr>
      <w:r>
        <w:separator/>
      </w:r>
    </w:p>
  </w:endnote>
  <w:endnote w:type="continuationSeparator" w:id="0">
    <w:p w14:paraId="68423A7F" w14:textId="77777777" w:rsidR="00E62B73" w:rsidRDefault="00E62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16CD8" w14:textId="77777777" w:rsidR="00C3173E" w:rsidRDefault="00510FC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E56ACA">
      <w:rPr>
        <w:b/>
        <w:color w:val="000000"/>
        <w:sz w:val="24"/>
        <w:szCs w:val="24"/>
      </w:rPr>
      <w:fldChar w:fldCharType="separate"/>
    </w:r>
    <w:r w:rsidR="00E56ACA">
      <w:rPr>
        <w:b/>
        <w:noProof/>
        <w:color w:val="000000"/>
        <w:sz w:val="24"/>
        <w:szCs w:val="24"/>
      </w:rPr>
      <w:t>23</w:t>
    </w:r>
    <w:r>
      <w:rPr>
        <w:b/>
        <w:color w:val="000000"/>
        <w:sz w:val="24"/>
        <w:szCs w:val="24"/>
      </w:rPr>
      <w:fldChar w:fldCharType="end"/>
    </w:r>
  </w:p>
  <w:p w14:paraId="72B969D1" w14:textId="77777777" w:rsidR="00C3173E" w:rsidRDefault="00C3173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E495B" w14:textId="77777777" w:rsidR="00C3173E" w:rsidRDefault="00510FC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56ACA">
      <w:rPr>
        <w:b/>
        <w:noProof/>
        <w:color w:val="000000"/>
        <w:sz w:val="24"/>
        <w:szCs w:val="24"/>
      </w:rPr>
      <w:t>22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56ACA">
      <w:rPr>
        <w:b/>
        <w:noProof/>
        <w:color w:val="000000"/>
        <w:sz w:val="24"/>
        <w:szCs w:val="24"/>
      </w:rPr>
      <w:t>23</w:t>
    </w:r>
    <w:r>
      <w:rPr>
        <w:b/>
        <w:color w:val="000000"/>
        <w:sz w:val="24"/>
        <w:szCs w:val="24"/>
      </w:rPr>
      <w:fldChar w:fldCharType="end"/>
    </w:r>
  </w:p>
  <w:p w14:paraId="3A111C7F" w14:textId="77777777" w:rsidR="00C3173E" w:rsidRDefault="00C3173E">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FBEA6" w14:textId="77777777" w:rsidR="00C3173E" w:rsidRDefault="00510FC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56AC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56ACA">
      <w:rPr>
        <w:b/>
        <w:noProof/>
        <w:color w:val="000000"/>
        <w:sz w:val="24"/>
        <w:szCs w:val="24"/>
      </w:rPr>
      <w:t>23</w:t>
    </w:r>
    <w:r>
      <w:rPr>
        <w:b/>
        <w:color w:val="000000"/>
        <w:sz w:val="24"/>
        <w:szCs w:val="24"/>
      </w:rPr>
      <w:fldChar w:fldCharType="end"/>
    </w:r>
  </w:p>
  <w:p w14:paraId="0CC1A194" w14:textId="77777777" w:rsidR="00C3173E" w:rsidRDefault="00C3173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4EA28" w14:textId="77777777" w:rsidR="00E62B73" w:rsidRDefault="00E62B73">
      <w:pPr>
        <w:spacing w:after="0" w:line="240" w:lineRule="auto"/>
      </w:pPr>
      <w:r>
        <w:separator/>
      </w:r>
    </w:p>
  </w:footnote>
  <w:footnote w:type="continuationSeparator" w:id="0">
    <w:p w14:paraId="189C0D61" w14:textId="77777777" w:rsidR="00E62B73" w:rsidRDefault="00E62B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9B462" w14:textId="77777777" w:rsidR="00C3173E" w:rsidRDefault="00C3173E">
    <w:pPr>
      <w:widowControl w:val="0"/>
      <w:pBdr>
        <w:top w:val="nil"/>
        <w:left w:val="nil"/>
        <w:bottom w:val="nil"/>
        <w:right w:val="nil"/>
        <w:between w:val="nil"/>
      </w:pBdr>
      <w:spacing w:after="0" w:line="276" w:lineRule="auto"/>
      <w:jc w:val="left"/>
      <w:rPr>
        <w:color w:val="000000"/>
      </w:rPr>
    </w:pPr>
  </w:p>
  <w:tbl>
    <w:tblPr>
      <w:tblStyle w:val="affffa"/>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C3173E" w14:paraId="6404AE86" w14:textId="77777777">
      <w:trPr>
        <w:trHeight w:val="141"/>
      </w:trPr>
      <w:tc>
        <w:tcPr>
          <w:tcW w:w="2404" w:type="dxa"/>
        </w:tcPr>
        <w:p w14:paraId="43C9FD40" w14:textId="77777777" w:rsidR="00C3173E" w:rsidRDefault="00510FC4">
          <w:pPr>
            <w:tabs>
              <w:tab w:val="right" w:pos="8838"/>
            </w:tabs>
            <w:ind w:right="-105"/>
            <w:rPr>
              <w:b/>
            </w:rPr>
          </w:pPr>
          <w:r>
            <w:rPr>
              <w:b/>
            </w:rPr>
            <w:t>Recurso de Revisión:</w:t>
          </w:r>
        </w:p>
      </w:tc>
      <w:tc>
        <w:tcPr>
          <w:tcW w:w="3587" w:type="dxa"/>
        </w:tcPr>
        <w:p w14:paraId="37055E70" w14:textId="77777777" w:rsidR="00C3173E" w:rsidRDefault="00510FC4">
          <w:pPr>
            <w:tabs>
              <w:tab w:val="right" w:pos="8838"/>
            </w:tabs>
            <w:ind w:left="-28" w:right="683"/>
          </w:pPr>
          <w:r>
            <w:t>04196/INFOEM/IP/RR/2020</w:t>
          </w:r>
        </w:p>
      </w:tc>
    </w:tr>
    <w:tr w:rsidR="00C3173E" w14:paraId="29C2E7E1" w14:textId="77777777">
      <w:trPr>
        <w:trHeight w:val="276"/>
      </w:trPr>
      <w:tc>
        <w:tcPr>
          <w:tcW w:w="2404" w:type="dxa"/>
        </w:tcPr>
        <w:p w14:paraId="22A84198" w14:textId="77777777" w:rsidR="00C3173E" w:rsidRDefault="00510FC4">
          <w:pPr>
            <w:tabs>
              <w:tab w:val="right" w:pos="8838"/>
            </w:tabs>
            <w:ind w:right="-105"/>
            <w:rPr>
              <w:b/>
            </w:rPr>
          </w:pPr>
          <w:r>
            <w:rPr>
              <w:b/>
            </w:rPr>
            <w:t>Sujeto Obligado:</w:t>
          </w:r>
        </w:p>
      </w:tc>
      <w:tc>
        <w:tcPr>
          <w:tcW w:w="3587" w:type="dxa"/>
        </w:tcPr>
        <w:p w14:paraId="2BE921D0" w14:textId="77777777" w:rsidR="00C3173E" w:rsidRDefault="00510FC4">
          <w:pPr>
            <w:tabs>
              <w:tab w:val="right" w:pos="8838"/>
            </w:tabs>
            <w:ind w:right="116"/>
          </w:pPr>
          <w:r>
            <w:t>Ayuntamiento de Chapultepec</w:t>
          </w:r>
        </w:p>
      </w:tc>
    </w:tr>
    <w:tr w:rsidR="00C3173E" w14:paraId="403AD7D5" w14:textId="77777777">
      <w:trPr>
        <w:trHeight w:val="276"/>
      </w:trPr>
      <w:tc>
        <w:tcPr>
          <w:tcW w:w="2404" w:type="dxa"/>
        </w:tcPr>
        <w:p w14:paraId="354668DF" w14:textId="77777777" w:rsidR="00C3173E" w:rsidRDefault="00510FC4">
          <w:pPr>
            <w:tabs>
              <w:tab w:val="right" w:pos="8838"/>
            </w:tabs>
            <w:ind w:right="-105"/>
            <w:rPr>
              <w:b/>
            </w:rPr>
          </w:pPr>
          <w:r>
            <w:rPr>
              <w:b/>
            </w:rPr>
            <w:t>Comisionado Ponente:</w:t>
          </w:r>
        </w:p>
      </w:tc>
      <w:tc>
        <w:tcPr>
          <w:tcW w:w="3587" w:type="dxa"/>
        </w:tcPr>
        <w:p w14:paraId="69320D73" w14:textId="77777777" w:rsidR="00C3173E" w:rsidRDefault="00510FC4">
          <w:pPr>
            <w:tabs>
              <w:tab w:val="right" w:pos="8838"/>
            </w:tabs>
            <w:ind w:right="-32"/>
          </w:pPr>
          <w:r>
            <w:t>Luis Gustavo Parra Noriega</w:t>
          </w:r>
        </w:p>
      </w:tc>
    </w:tr>
  </w:tbl>
  <w:p w14:paraId="2C76E52A" w14:textId="77777777" w:rsidR="00C3173E" w:rsidRDefault="00E62B73">
    <w:pPr>
      <w:pBdr>
        <w:top w:val="nil"/>
        <w:left w:val="nil"/>
        <w:bottom w:val="nil"/>
        <w:right w:val="nil"/>
        <w:between w:val="nil"/>
      </w:pBdr>
      <w:tabs>
        <w:tab w:val="center" w:pos="4419"/>
        <w:tab w:val="right" w:pos="8838"/>
      </w:tabs>
      <w:spacing w:after="0" w:line="240" w:lineRule="auto"/>
      <w:rPr>
        <w:color w:val="000000"/>
      </w:rPr>
    </w:pPr>
    <w:r>
      <w:rPr>
        <w:color w:val="000000"/>
      </w:rPr>
      <w:pict w14:anchorId="4CF211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33DA0" w14:textId="77777777" w:rsidR="00C3173E" w:rsidRDefault="00C3173E">
    <w:pPr>
      <w:rPr>
        <w:sz w:val="16"/>
        <w:szCs w:val="16"/>
      </w:rPr>
    </w:pPr>
  </w:p>
  <w:tbl>
    <w:tblPr>
      <w:tblStyle w:val="affffb"/>
      <w:tblW w:w="6095"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409"/>
      <w:gridCol w:w="3686"/>
    </w:tblGrid>
    <w:tr w:rsidR="00C3173E" w14:paraId="1C7FE8AD" w14:textId="77777777">
      <w:trPr>
        <w:trHeight w:val="141"/>
      </w:trPr>
      <w:tc>
        <w:tcPr>
          <w:tcW w:w="2409" w:type="dxa"/>
        </w:tcPr>
        <w:p w14:paraId="5B800A13" w14:textId="77777777" w:rsidR="00C3173E" w:rsidRDefault="00510FC4">
          <w:pPr>
            <w:tabs>
              <w:tab w:val="right" w:pos="8838"/>
            </w:tabs>
            <w:ind w:left="-395" w:right="-105" w:firstLine="395"/>
            <w:rPr>
              <w:b/>
            </w:rPr>
          </w:pPr>
          <w:r>
            <w:rPr>
              <w:b/>
            </w:rPr>
            <w:t>Recurso de Revisión:</w:t>
          </w:r>
        </w:p>
      </w:tc>
      <w:tc>
        <w:tcPr>
          <w:tcW w:w="3686" w:type="dxa"/>
        </w:tcPr>
        <w:p w14:paraId="5A0F6AC5" w14:textId="77777777" w:rsidR="00C3173E" w:rsidRDefault="00510FC4">
          <w:pPr>
            <w:tabs>
              <w:tab w:val="right" w:pos="8838"/>
            </w:tabs>
            <w:ind w:right="176"/>
            <w:rPr>
              <w:b/>
            </w:rPr>
          </w:pPr>
          <w:r>
            <w:rPr>
              <w:b/>
            </w:rPr>
            <w:t>06366/INFOEM/IP/RR/2025</w:t>
          </w:r>
        </w:p>
      </w:tc>
    </w:tr>
    <w:tr w:rsidR="00C3173E" w14:paraId="35684673" w14:textId="77777777">
      <w:trPr>
        <w:trHeight w:val="276"/>
      </w:trPr>
      <w:tc>
        <w:tcPr>
          <w:tcW w:w="2409" w:type="dxa"/>
        </w:tcPr>
        <w:p w14:paraId="720DF7E8" w14:textId="77777777" w:rsidR="00C3173E" w:rsidRDefault="00510FC4">
          <w:pPr>
            <w:tabs>
              <w:tab w:val="right" w:pos="8838"/>
            </w:tabs>
            <w:ind w:right="-105"/>
            <w:rPr>
              <w:b/>
            </w:rPr>
          </w:pPr>
          <w:r>
            <w:rPr>
              <w:b/>
            </w:rPr>
            <w:t>Sujeto Obligado:</w:t>
          </w:r>
        </w:p>
      </w:tc>
      <w:tc>
        <w:tcPr>
          <w:tcW w:w="3686" w:type="dxa"/>
        </w:tcPr>
        <w:p w14:paraId="1CEC6EED" w14:textId="77777777" w:rsidR="00C3173E" w:rsidRDefault="00510FC4">
          <w:pPr>
            <w:tabs>
              <w:tab w:val="left" w:pos="3158"/>
              <w:tab w:val="left" w:pos="4292"/>
              <w:tab w:val="right" w:pos="8838"/>
            </w:tabs>
            <w:ind w:right="176"/>
          </w:pPr>
          <w:r>
            <w:t>Partido Revolucionario Institucional</w:t>
          </w:r>
        </w:p>
      </w:tc>
    </w:tr>
    <w:tr w:rsidR="00C3173E" w14:paraId="0131D717" w14:textId="77777777">
      <w:trPr>
        <w:trHeight w:val="276"/>
      </w:trPr>
      <w:tc>
        <w:tcPr>
          <w:tcW w:w="2409" w:type="dxa"/>
        </w:tcPr>
        <w:p w14:paraId="7C638722" w14:textId="77777777" w:rsidR="00C3173E" w:rsidRDefault="00510FC4">
          <w:pPr>
            <w:tabs>
              <w:tab w:val="right" w:pos="8838"/>
            </w:tabs>
            <w:ind w:right="-105"/>
            <w:rPr>
              <w:b/>
            </w:rPr>
          </w:pPr>
          <w:r>
            <w:rPr>
              <w:b/>
            </w:rPr>
            <w:t>Comisionado Ponente:</w:t>
          </w:r>
        </w:p>
      </w:tc>
      <w:tc>
        <w:tcPr>
          <w:tcW w:w="3686" w:type="dxa"/>
        </w:tcPr>
        <w:p w14:paraId="11442FFF" w14:textId="77777777" w:rsidR="00C3173E" w:rsidRDefault="00510FC4">
          <w:pPr>
            <w:tabs>
              <w:tab w:val="right" w:pos="8838"/>
            </w:tabs>
            <w:ind w:right="176"/>
          </w:pPr>
          <w:r>
            <w:t>Luis Gustavo Parra Noriega</w:t>
          </w:r>
        </w:p>
        <w:p w14:paraId="7FF1FADC" w14:textId="77777777" w:rsidR="00C3173E" w:rsidRDefault="00C3173E">
          <w:pPr>
            <w:tabs>
              <w:tab w:val="right" w:pos="8838"/>
            </w:tabs>
            <w:ind w:right="176"/>
          </w:pPr>
        </w:p>
      </w:tc>
    </w:tr>
  </w:tbl>
  <w:p w14:paraId="701548EC" w14:textId="77777777" w:rsidR="00C3173E" w:rsidRDefault="00E62B73">
    <w:pPr>
      <w:pBdr>
        <w:top w:val="nil"/>
        <w:left w:val="nil"/>
        <w:bottom w:val="nil"/>
        <w:right w:val="nil"/>
        <w:between w:val="nil"/>
      </w:pBdr>
      <w:tabs>
        <w:tab w:val="center" w:pos="4419"/>
        <w:tab w:val="right" w:pos="8838"/>
      </w:tabs>
      <w:spacing w:after="0" w:line="240" w:lineRule="auto"/>
      <w:rPr>
        <w:color w:val="000000"/>
      </w:rPr>
    </w:pPr>
    <w:r>
      <w:rPr>
        <w:color w:val="000000"/>
      </w:rPr>
      <w:pict w14:anchorId="7D9CB1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MARCA DE AGUA - HOJA RESOLUCIÓN" style="position:absolute;left:0;text-align:left;margin-left:0;margin-top:0;width:663.5pt;height:12in;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4AFA5" w14:textId="77777777" w:rsidR="00C3173E" w:rsidRDefault="00C3173E">
    <w:pPr>
      <w:widowControl w:val="0"/>
      <w:pBdr>
        <w:top w:val="nil"/>
        <w:left w:val="nil"/>
        <w:bottom w:val="nil"/>
        <w:right w:val="nil"/>
        <w:between w:val="nil"/>
      </w:pBdr>
      <w:spacing w:after="0" w:line="276" w:lineRule="auto"/>
      <w:jc w:val="left"/>
      <w:rPr>
        <w:color w:val="000000"/>
      </w:rPr>
    </w:pPr>
  </w:p>
  <w:tbl>
    <w:tblPr>
      <w:tblStyle w:val="affffc"/>
      <w:tblW w:w="9214" w:type="dxa"/>
      <w:tblInd w:w="0" w:type="dxa"/>
      <w:tblLayout w:type="fixed"/>
      <w:tblLook w:val="0400" w:firstRow="0" w:lastRow="0" w:firstColumn="0" w:lastColumn="0" w:noHBand="0" w:noVBand="1"/>
    </w:tblPr>
    <w:tblGrid>
      <w:gridCol w:w="2127"/>
      <w:gridCol w:w="7087"/>
    </w:tblGrid>
    <w:tr w:rsidR="00C3173E" w14:paraId="2ACFDE0C" w14:textId="77777777">
      <w:trPr>
        <w:trHeight w:val="1546"/>
      </w:trPr>
      <w:tc>
        <w:tcPr>
          <w:tcW w:w="2127" w:type="dxa"/>
        </w:tcPr>
        <w:p w14:paraId="2D632D13" w14:textId="77777777" w:rsidR="00C3173E" w:rsidRDefault="00C3173E">
          <w:pPr>
            <w:tabs>
              <w:tab w:val="right" w:pos="4273"/>
            </w:tabs>
            <w:rPr>
              <w:rFonts w:ascii="Garamond" w:eastAsia="Garamond" w:hAnsi="Garamond" w:cs="Garamond"/>
              <w:sz w:val="16"/>
              <w:szCs w:val="16"/>
            </w:rPr>
          </w:pPr>
        </w:p>
      </w:tc>
      <w:tc>
        <w:tcPr>
          <w:tcW w:w="7087" w:type="dxa"/>
        </w:tcPr>
        <w:p w14:paraId="50C50D77" w14:textId="77777777" w:rsidR="00C3173E" w:rsidRDefault="00C3173E">
          <w:pPr>
            <w:rPr>
              <w:sz w:val="10"/>
              <w:szCs w:val="10"/>
            </w:rPr>
          </w:pPr>
        </w:p>
        <w:tbl>
          <w:tblPr>
            <w:tblStyle w:val="affffd"/>
            <w:tblW w:w="5812" w:type="dxa"/>
            <w:tblInd w:w="1167" w:type="dxa"/>
            <w:tblLayout w:type="fixed"/>
            <w:tblLook w:val="0400" w:firstRow="0" w:lastRow="0" w:firstColumn="0" w:lastColumn="0" w:noHBand="0" w:noVBand="1"/>
          </w:tblPr>
          <w:tblGrid>
            <w:gridCol w:w="2410"/>
            <w:gridCol w:w="3402"/>
          </w:tblGrid>
          <w:tr w:rsidR="00C3173E" w14:paraId="181FB04E" w14:textId="77777777">
            <w:trPr>
              <w:trHeight w:val="427"/>
            </w:trPr>
            <w:tc>
              <w:tcPr>
                <w:tcW w:w="2410" w:type="dxa"/>
                <w:vAlign w:val="bottom"/>
              </w:tcPr>
              <w:p w14:paraId="32A266B9" w14:textId="77777777" w:rsidR="00C3173E" w:rsidRDefault="00510FC4">
                <w:pPr>
                  <w:tabs>
                    <w:tab w:val="right" w:pos="8838"/>
                  </w:tabs>
                  <w:ind w:right="-105"/>
                  <w:rPr>
                    <w:b/>
                  </w:rPr>
                </w:pPr>
                <w:r>
                  <w:rPr>
                    <w:b/>
                  </w:rPr>
                  <w:t>Recurso de Revisión:</w:t>
                </w:r>
              </w:p>
            </w:tc>
            <w:tc>
              <w:tcPr>
                <w:tcW w:w="3402" w:type="dxa"/>
              </w:tcPr>
              <w:p w14:paraId="1B4B8E8B" w14:textId="77777777" w:rsidR="00C3173E" w:rsidRDefault="00C3173E">
                <w:pPr>
                  <w:tabs>
                    <w:tab w:val="right" w:pos="8838"/>
                  </w:tabs>
                  <w:ind w:left="-28" w:right="-107"/>
                  <w:rPr>
                    <w:b/>
                  </w:rPr>
                </w:pPr>
              </w:p>
              <w:p w14:paraId="3CA81AFA" w14:textId="77777777" w:rsidR="00C3173E" w:rsidRDefault="00510FC4">
                <w:pPr>
                  <w:tabs>
                    <w:tab w:val="right" w:pos="8838"/>
                  </w:tabs>
                  <w:ind w:left="-28" w:right="-107"/>
                  <w:rPr>
                    <w:b/>
                  </w:rPr>
                </w:pPr>
                <w:r>
                  <w:rPr>
                    <w:b/>
                  </w:rPr>
                  <w:t> 06366/INFOEM/IP/RR/2025</w:t>
                </w:r>
              </w:p>
            </w:tc>
          </w:tr>
          <w:tr w:rsidR="00C3173E" w14:paraId="54224F39" w14:textId="77777777">
            <w:trPr>
              <w:trHeight w:val="141"/>
            </w:trPr>
            <w:tc>
              <w:tcPr>
                <w:tcW w:w="2410" w:type="dxa"/>
              </w:tcPr>
              <w:p w14:paraId="12BB5EC1" w14:textId="77777777" w:rsidR="00C3173E" w:rsidRDefault="00510FC4">
                <w:pPr>
                  <w:tabs>
                    <w:tab w:val="right" w:pos="8838"/>
                  </w:tabs>
                  <w:ind w:right="-105"/>
                  <w:rPr>
                    <w:b/>
                  </w:rPr>
                </w:pPr>
                <w:r>
                  <w:rPr>
                    <w:b/>
                  </w:rPr>
                  <w:t>Recurrente:</w:t>
                </w:r>
              </w:p>
            </w:tc>
            <w:tc>
              <w:tcPr>
                <w:tcW w:w="3402" w:type="dxa"/>
              </w:tcPr>
              <w:p w14:paraId="392ED15A" w14:textId="77777777" w:rsidR="00C3173E" w:rsidRDefault="00C3173E">
                <w:pPr>
                  <w:tabs>
                    <w:tab w:val="right" w:pos="8838"/>
                  </w:tabs>
                  <w:ind w:right="-107"/>
                </w:pPr>
              </w:p>
            </w:tc>
          </w:tr>
          <w:tr w:rsidR="00C3173E" w14:paraId="580774E8" w14:textId="77777777">
            <w:trPr>
              <w:trHeight w:val="276"/>
            </w:trPr>
            <w:tc>
              <w:tcPr>
                <w:tcW w:w="2410" w:type="dxa"/>
              </w:tcPr>
              <w:p w14:paraId="43461C44" w14:textId="77777777" w:rsidR="00C3173E" w:rsidRDefault="00510FC4">
                <w:pPr>
                  <w:tabs>
                    <w:tab w:val="right" w:pos="8838"/>
                  </w:tabs>
                  <w:ind w:right="-105"/>
                  <w:rPr>
                    <w:b/>
                  </w:rPr>
                </w:pPr>
                <w:r>
                  <w:rPr>
                    <w:b/>
                  </w:rPr>
                  <w:t>Sujeto Obligado:</w:t>
                </w:r>
              </w:p>
            </w:tc>
            <w:tc>
              <w:tcPr>
                <w:tcW w:w="3402" w:type="dxa"/>
              </w:tcPr>
              <w:p w14:paraId="73B73F61" w14:textId="77777777" w:rsidR="00C3173E" w:rsidRDefault="00510FC4">
                <w:pPr>
                  <w:tabs>
                    <w:tab w:val="right" w:pos="8838"/>
                  </w:tabs>
                  <w:ind w:right="33"/>
                </w:pPr>
                <w:r>
                  <w:t>Partido Revolucionario Institucional</w:t>
                </w:r>
              </w:p>
            </w:tc>
          </w:tr>
          <w:tr w:rsidR="00C3173E" w14:paraId="7CDD08B7" w14:textId="77777777">
            <w:trPr>
              <w:trHeight w:val="276"/>
            </w:trPr>
            <w:tc>
              <w:tcPr>
                <w:tcW w:w="2410" w:type="dxa"/>
              </w:tcPr>
              <w:p w14:paraId="311CCE1C" w14:textId="77777777" w:rsidR="00C3173E" w:rsidRDefault="00510FC4">
                <w:pPr>
                  <w:tabs>
                    <w:tab w:val="right" w:pos="8838"/>
                  </w:tabs>
                  <w:ind w:right="-105"/>
                  <w:rPr>
                    <w:b/>
                  </w:rPr>
                </w:pPr>
                <w:r>
                  <w:rPr>
                    <w:b/>
                  </w:rPr>
                  <w:t>Comisionado Ponente:</w:t>
                </w:r>
              </w:p>
            </w:tc>
            <w:tc>
              <w:tcPr>
                <w:tcW w:w="3402" w:type="dxa"/>
              </w:tcPr>
              <w:p w14:paraId="391BDC3E" w14:textId="77777777" w:rsidR="00C3173E" w:rsidRDefault="00510FC4">
                <w:pPr>
                  <w:tabs>
                    <w:tab w:val="right" w:pos="8838"/>
                  </w:tabs>
                  <w:ind w:right="-107"/>
                </w:pPr>
                <w:r>
                  <w:t>Luis Gustavo Parra Noriega</w:t>
                </w:r>
              </w:p>
            </w:tc>
          </w:tr>
        </w:tbl>
        <w:p w14:paraId="46A45EA6" w14:textId="77777777" w:rsidR="00C3173E" w:rsidRDefault="00C3173E">
          <w:pPr>
            <w:tabs>
              <w:tab w:val="right" w:pos="8838"/>
            </w:tabs>
            <w:ind w:left="-28"/>
            <w:rPr>
              <w:rFonts w:ascii="Arial" w:eastAsia="Arial" w:hAnsi="Arial" w:cs="Arial"/>
              <w:b/>
            </w:rPr>
          </w:pPr>
        </w:p>
      </w:tc>
    </w:tr>
  </w:tbl>
  <w:p w14:paraId="038640BD" w14:textId="77777777" w:rsidR="00C3173E" w:rsidRDefault="00E62B73">
    <w:pPr>
      <w:pBdr>
        <w:top w:val="nil"/>
        <w:left w:val="nil"/>
        <w:bottom w:val="nil"/>
        <w:right w:val="nil"/>
        <w:between w:val="nil"/>
      </w:pBdr>
      <w:tabs>
        <w:tab w:val="center" w:pos="4419"/>
        <w:tab w:val="right" w:pos="8838"/>
      </w:tabs>
      <w:spacing w:after="0" w:line="240" w:lineRule="auto"/>
      <w:rPr>
        <w:color w:val="000000"/>
      </w:rPr>
    </w:pPr>
    <w:r>
      <w:rPr>
        <w:color w:val="000000"/>
      </w:rPr>
      <w:pict w14:anchorId="7F47CB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MARCA DE AGUA - HOJA RESOLUCIÓN" style="position:absolute;left:0;text-align:left;margin-left:-97.1pt;margin-top:-127.6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A97537"/>
    <w:multiLevelType w:val="multilevel"/>
    <w:tmpl w:val="3A3687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AC2991"/>
    <w:multiLevelType w:val="multilevel"/>
    <w:tmpl w:val="8AD699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FCD4872"/>
    <w:multiLevelType w:val="multilevel"/>
    <w:tmpl w:val="FAC893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11B7A9E"/>
    <w:multiLevelType w:val="multilevel"/>
    <w:tmpl w:val="8AD699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337078"/>
    <w:multiLevelType w:val="multilevel"/>
    <w:tmpl w:val="F92222B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B012B50"/>
    <w:multiLevelType w:val="multilevel"/>
    <w:tmpl w:val="C3A2C7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3E"/>
    <w:rsid w:val="002F1AC6"/>
    <w:rsid w:val="00433E4C"/>
    <w:rsid w:val="00510FC4"/>
    <w:rsid w:val="00656978"/>
    <w:rsid w:val="00687CFF"/>
    <w:rsid w:val="008D0F5F"/>
    <w:rsid w:val="009A2313"/>
    <w:rsid w:val="00A670ED"/>
    <w:rsid w:val="00B114B8"/>
    <w:rsid w:val="00C3173E"/>
    <w:rsid w:val="00CB5BB5"/>
    <w:rsid w:val="00CF76D0"/>
    <w:rsid w:val="00E56ACA"/>
    <w:rsid w:val="00E62B73"/>
    <w:rsid w:val="00EA51C5"/>
    <w:rsid w:val="00F765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487A22"/>
  <w15:docId w15:val="{28CFBEFC-F4EC-433A-A6EF-823298B6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line="360" w:lineRule="auto"/>
      <w:jc w:val="center"/>
      <w:outlineLvl w:val="0"/>
    </w:pPr>
    <w:rPr>
      <w:b/>
      <w:sz w:val="24"/>
      <w:szCs w:val="24"/>
    </w:rPr>
  </w:style>
  <w:style w:type="paragraph" w:styleId="Ttulo2">
    <w:name w:val="heading 2"/>
    <w:basedOn w:val="Normal"/>
    <w:next w:val="Normal"/>
    <w:uiPriority w:val="9"/>
    <w:unhideWhenUsed/>
    <w:qFormat/>
    <w:pPr>
      <w:keepNext/>
      <w:keepLines/>
      <w:spacing w:before="360" w:after="80" w:line="360" w:lineRule="auto"/>
      <w:jc w:val="left"/>
      <w:outlineLvl w:val="1"/>
    </w:pPr>
    <w:rPr>
      <w:b/>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qFormat/>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table" w:customStyle="1" w:styleId="a">
    <w:basedOn w:val="TableNormald"/>
    <w:pPr>
      <w:spacing w:after="0" w:line="240" w:lineRule="auto"/>
    </w:pPr>
    <w:tblPr>
      <w:tblStyleRowBandSize w:val="1"/>
      <w:tblStyleColBandSize w:val="1"/>
      <w:tblCellMar>
        <w:left w:w="108" w:type="dxa"/>
        <w:right w:w="108" w:type="dxa"/>
      </w:tblCellMar>
    </w:tblPr>
  </w:style>
  <w:style w:type="table" w:customStyle="1" w:styleId="a0">
    <w:basedOn w:val="TableNormald"/>
    <w:pPr>
      <w:spacing w:after="0" w:line="240" w:lineRule="auto"/>
    </w:pPr>
    <w:tblPr>
      <w:tblStyleRowBandSize w:val="1"/>
      <w:tblStyleColBandSize w:val="1"/>
      <w:tblCellMar>
        <w:left w:w="108" w:type="dxa"/>
        <w:right w:w="108" w:type="dxa"/>
      </w:tblCellMar>
    </w:tblPr>
  </w:style>
  <w:style w:type="table" w:customStyle="1" w:styleId="a1">
    <w:basedOn w:val="TableNormald"/>
    <w:tblPr>
      <w:tblStyleRowBandSize w:val="1"/>
      <w:tblStyleColBandSize w:val="1"/>
      <w:tblCellMar>
        <w:left w:w="115" w:type="dxa"/>
        <w:right w:w="115" w:type="dxa"/>
      </w:tblCellMar>
    </w:tblPr>
  </w:style>
  <w:style w:type="table" w:customStyle="1" w:styleId="a2">
    <w:basedOn w:val="TableNormald"/>
    <w:pPr>
      <w:spacing w:after="0" w:line="240" w:lineRule="auto"/>
    </w:pPr>
    <w:tblPr>
      <w:tblStyleRowBandSize w:val="1"/>
      <w:tblStyleColBandSize w:val="1"/>
      <w:tblCellMar>
        <w:left w:w="108" w:type="dxa"/>
        <w:right w:w="108" w:type="dxa"/>
      </w:tblCellMar>
    </w:tblPr>
  </w:style>
  <w:style w:type="paragraph" w:styleId="TtulodeTDC">
    <w:name w:val="TOC Heading"/>
    <w:next w:val="Normal"/>
    <w:uiPriority w:val="39"/>
    <w:unhideWhenUsed/>
    <w:qFormat/>
    <w:rsid w:val="00A50615"/>
    <w:pPr>
      <w:spacing w:before="240" w:after="0"/>
      <w:jc w:val="left"/>
    </w:pPr>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A50615"/>
    <w:pPr>
      <w:spacing w:after="100"/>
      <w:ind w:left="220"/>
    </w:pPr>
  </w:style>
  <w:style w:type="character" w:customStyle="1" w:styleId="Mencinsinresolver3">
    <w:name w:val="Mención sin resolver3"/>
    <w:basedOn w:val="Fuentedeprrafopredeter"/>
    <w:uiPriority w:val="99"/>
    <w:semiHidden/>
    <w:unhideWhenUsed/>
    <w:rsid w:val="00BE1DC0"/>
    <w:rPr>
      <w:color w:val="605E5C"/>
      <w:shd w:val="clear" w:color="auto" w:fill="E1DFDD"/>
    </w:rPr>
  </w:style>
  <w:style w:type="table" w:customStyle="1" w:styleId="a3">
    <w:basedOn w:val="TableNormald"/>
    <w:pPr>
      <w:spacing w:after="0" w:line="240" w:lineRule="auto"/>
    </w:pPr>
    <w:tblPr>
      <w:tblStyleRowBandSize w:val="1"/>
      <w:tblStyleColBandSize w:val="1"/>
      <w:tblCellMar>
        <w:left w:w="108" w:type="dxa"/>
        <w:right w:w="108" w:type="dxa"/>
      </w:tblCellMar>
    </w:tblPr>
  </w:style>
  <w:style w:type="table" w:customStyle="1" w:styleId="a4">
    <w:basedOn w:val="TableNormald"/>
    <w:pPr>
      <w:spacing w:after="0" w:line="240" w:lineRule="auto"/>
    </w:pPr>
    <w:tblPr>
      <w:tblStyleRowBandSize w:val="1"/>
      <w:tblStyleColBandSize w:val="1"/>
      <w:tblCellMar>
        <w:left w:w="108" w:type="dxa"/>
        <w:right w:w="108" w:type="dxa"/>
      </w:tblCellMar>
    </w:tblPr>
  </w:style>
  <w:style w:type="table" w:customStyle="1" w:styleId="a5">
    <w:basedOn w:val="TableNormald"/>
    <w:pPr>
      <w:spacing w:after="0" w:line="240" w:lineRule="auto"/>
    </w:pPr>
    <w:tblPr>
      <w:tblStyleRowBandSize w:val="1"/>
      <w:tblStyleColBandSize w:val="1"/>
      <w:tblCellMar>
        <w:left w:w="108" w:type="dxa"/>
        <w:right w:w="108" w:type="dxa"/>
      </w:tblCellMar>
    </w:tblPr>
  </w:style>
  <w:style w:type="table" w:customStyle="1" w:styleId="a6">
    <w:basedOn w:val="TableNormald"/>
    <w:pPr>
      <w:spacing w:after="0" w:line="240" w:lineRule="auto"/>
    </w:pPr>
    <w:tblPr>
      <w:tblStyleRowBandSize w:val="1"/>
      <w:tblStyleColBandSize w:val="1"/>
      <w:tblCellMar>
        <w:left w:w="108" w:type="dxa"/>
        <w:right w:w="108" w:type="dxa"/>
      </w:tblCellMar>
    </w:tblPr>
  </w:style>
  <w:style w:type="table" w:customStyle="1" w:styleId="a7">
    <w:basedOn w:val="TableNormalc"/>
    <w:pPr>
      <w:spacing w:after="0" w:line="240" w:lineRule="auto"/>
    </w:pPr>
    <w:tblPr>
      <w:tblStyleRowBandSize w:val="1"/>
      <w:tblStyleColBandSize w:val="1"/>
      <w:tblCellMar>
        <w:left w:w="108" w:type="dxa"/>
        <w:right w:w="108" w:type="dxa"/>
      </w:tblCellMar>
    </w:tblPr>
  </w:style>
  <w:style w:type="table" w:customStyle="1" w:styleId="a8">
    <w:basedOn w:val="TableNormalc"/>
    <w:pPr>
      <w:spacing w:after="0" w:line="240" w:lineRule="auto"/>
    </w:pPr>
    <w:tblPr>
      <w:tblStyleRowBandSize w:val="1"/>
      <w:tblStyleColBandSize w:val="1"/>
      <w:tblCellMar>
        <w:left w:w="108" w:type="dxa"/>
        <w:right w:w="108" w:type="dxa"/>
      </w:tblCellMar>
    </w:tblPr>
  </w:style>
  <w:style w:type="table" w:customStyle="1" w:styleId="a9">
    <w:basedOn w:val="TableNormalc"/>
    <w:pPr>
      <w:spacing w:after="0" w:line="240" w:lineRule="auto"/>
    </w:pPr>
    <w:tblPr>
      <w:tblStyleRowBandSize w:val="1"/>
      <w:tblStyleColBandSize w:val="1"/>
      <w:tblCellMar>
        <w:left w:w="108" w:type="dxa"/>
        <w:right w:w="108" w:type="dxa"/>
      </w:tblCellMar>
    </w:tblPr>
  </w:style>
  <w:style w:type="table" w:customStyle="1" w:styleId="aa">
    <w:basedOn w:val="TableNormalc"/>
    <w:pPr>
      <w:spacing w:after="0" w:line="240" w:lineRule="auto"/>
    </w:pPr>
    <w:tblPr>
      <w:tblStyleRowBandSize w:val="1"/>
      <w:tblStyleColBandSize w:val="1"/>
      <w:tblCellMar>
        <w:left w:w="108" w:type="dxa"/>
        <w:right w:w="108" w:type="dxa"/>
      </w:tblCellMar>
    </w:tblPr>
  </w:style>
  <w:style w:type="table" w:customStyle="1" w:styleId="ab">
    <w:basedOn w:val="TableNormalb"/>
    <w:pPr>
      <w:spacing w:after="0" w:line="240" w:lineRule="auto"/>
    </w:pPr>
    <w:tblPr>
      <w:tblStyleRowBandSize w:val="1"/>
      <w:tblStyleColBandSize w:val="1"/>
      <w:tblCellMar>
        <w:left w:w="108" w:type="dxa"/>
        <w:right w:w="108" w:type="dxa"/>
      </w:tblCellMar>
    </w:tblPr>
  </w:style>
  <w:style w:type="table" w:customStyle="1" w:styleId="ac">
    <w:basedOn w:val="TableNormalb"/>
    <w:pPr>
      <w:spacing w:after="0" w:line="240" w:lineRule="auto"/>
    </w:pPr>
    <w:tblPr>
      <w:tblStyleRowBandSize w:val="1"/>
      <w:tblStyleColBandSize w:val="1"/>
      <w:tblCellMar>
        <w:left w:w="108" w:type="dxa"/>
        <w:right w:w="108" w:type="dxa"/>
      </w:tblCellMar>
    </w:tblPr>
  </w:style>
  <w:style w:type="table" w:customStyle="1" w:styleId="ad">
    <w:basedOn w:val="TableNormalb"/>
    <w:pPr>
      <w:spacing w:after="0" w:line="240" w:lineRule="auto"/>
    </w:pPr>
    <w:tblPr>
      <w:tblStyleRowBandSize w:val="1"/>
      <w:tblStyleColBandSize w:val="1"/>
      <w:tblCellMar>
        <w:left w:w="108" w:type="dxa"/>
        <w:right w:w="108" w:type="dxa"/>
      </w:tblCellMar>
    </w:tblPr>
  </w:style>
  <w:style w:type="table" w:customStyle="1" w:styleId="ae">
    <w:basedOn w:val="TableNormalb"/>
    <w:pPr>
      <w:spacing w:after="0" w:line="240" w:lineRule="auto"/>
    </w:pPr>
    <w:tblPr>
      <w:tblStyleRowBandSize w:val="1"/>
      <w:tblStyleColBandSize w:val="1"/>
      <w:tblCellMar>
        <w:left w:w="108" w:type="dxa"/>
        <w:right w:w="108" w:type="dxa"/>
      </w:tblCellMar>
    </w:tblPr>
  </w:style>
  <w:style w:type="table" w:customStyle="1" w:styleId="af">
    <w:basedOn w:val="TableNormala"/>
    <w:pPr>
      <w:spacing w:after="0" w:line="240" w:lineRule="auto"/>
    </w:pPr>
    <w:tblPr>
      <w:tblStyleRowBandSize w:val="1"/>
      <w:tblStyleColBandSize w:val="1"/>
      <w:tblCellMar>
        <w:left w:w="108" w:type="dxa"/>
        <w:right w:w="108" w:type="dxa"/>
      </w:tblCellMar>
    </w:tblPr>
  </w:style>
  <w:style w:type="table" w:customStyle="1" w:styleId="af0">
    <w:basedOn w:val="TableNormala"/>
    <w:pPr>
      <w:spacing w:after="0" w:line="240" w:lineRule="auto"/>
    </w:pPr>
    <w:tblPr>
      <w:tblStyleRowBandSize w:val="1"/>
      <w:tblStyleColBandSize w:val="1"/>
      <w:tblCellMar>
        <w:left w:w="108" w:type="dxa"/>
        <w:right w:w="108" w:type="dxa"/>
      </w:tblCellMar>
    </w:tblPr>
  </w:style>
  <w:style w:type="table" w:customStyle="1" w:styleId="af1">
    <w:basedOn w:val="TableNormala"/>
    <w:pPr>
      <w:spacing w:after="0" w:line="240" w:lineRule="auto"/>
    </w:pPr>
    <w:tblPr>
      <w:tblStyleRowBandSize w:val="1"/>
      <w:tblStyleColBandSize w:val="1"/>
      <w:tblCellMar>
        <w:left w:w="108" w:type="dxa"/>
        <w:right w:w="108" w:type="dxa"/>
      </w:tblCellMar>
    </w:tblPr>
  </w:style>
  <w:style w:type="table" w:customStyle="1" w:styleId="af2">
    <w:basedOn w:val="TableNormala"/>
    <w:pPr>
      <w:spacing w:after="0" w:line="240" w:lineRule="auto"/>
    </w:pPr>
    <w:tblPr>
      <w:tblStyleRowBandSize w:val="1"/>
      <w:tblStyleColBandSize w:val="1"/>
      <w:tblCellMar>
        <w:left w:w="108" w:type="dxa"/>
        <w:right w:w="108" w:type="dxa"/>
      </w:tblCellMar>
    </w:tblPr>
  </w:style>
  <w:style w:type="table" w:customStyle="1" w:styleId="af3">
    <w:basedOn w:val="TableNormal9"/>
    <w:pPr>
      <w:spacing w:after="0" w:line="240" w:lineRule="auto"/>
    </w:pPr>
    <w:tblPr>
      <w:tblStyleRowBandSize w:val="1"/>
      <w:tblStyleColBandSize w:val="1"/>
      <w:tblCellMar>
        <w:left w:w="108" w:type="dxa"/>
        <w:right w:w="108" w:type="dxa"/>
      </w:tblCellMar>
    </w:tblPr>
  </w:style>
  <w:style w:type="table" w:customStyle="1" w:styleId="af4">
    <w:basedOn w:val="TableNormal9"/>
    <w:pPr>
      <w:spacing w:after="0" w:line="240" w:lineRule="auto"/>
    </w:pPr>
    <w:tblPr>
      <w:tblStyleRowBandSize w:val="1"/>
      <w:tblStyleColBandSize w:val="1"/>
      <w:tblCellMar>
        <w:left w:w="108" w:type="dxa"/>
        <w:right w:w="108" w:type="dxa"/>
      </w:tblCellMar>
    </w:tblPr>
  </w:style>
  <w:style w:type="table" w:customStyle="1" w:styleId="af5">
    <w:basedOn w:val="TableNormal9"/>
    <w:pPr>
      <w:spacing w:after="0" w:line="240" w:lineRule="auto"/>
    </w:pPr>
    <w:tblPr>
      <w:tblStyleRowBandSize w:val="1"/>
      <w:tblStyleColBandSize w:val="1"/>
      <w:tblCellMar>
        <w:left w:w="108" w:type="dxa"/>
        <w:right w:w="108" w:type="dxa"/>
      </w:tblCellMar>
    </w:tblPr>
  </w:style>
  <w:style w:type="table" w:customStyle="1" w:styleId="af6">
    <w:basedOn w:val="TableNormal9"/>
    <w:pPr>
      <w:spacing w:after="0" w:line="240" w:lineRule="auto"/>
    </w:pPr>
    <w:tblPr>
      <w:tblStyleRowBandSize w:val="1"/>
      <w:tblStyleColBandSize w:val="1"/>
      <w:tblCellMar>
        <w:left w:w="108" w:type="dxa"/>
        <w:right w:w="108" w:type="dxa"/>
      </w:tblCellMar>
    </w:tblPr>
  </w:style>
  <w:style w:type="table" w:customStyle="1" w:styleId="af7">
    <w:basedOn w:val="TableNormal8"/>
    <w:pPr>
      <w:spacing w:after="0" w:line="240" w:lineRule="auto"/>
    </w:pPr>
    <w:tblPr>
      <w:tblStyleRowBandSize w:val="1"/>
      <w:tblStyleColBandSize w:val="1"/>
      <w:tblCellMar>
        <w:left w:w="108" w:type="dxa"/>
        <w:right w:w="108" w:type="dxa"/>
      </w:tblCellMar>
    </w:tblPr>
  </w:style>
  <w:style w:type="table" w:customStyle="1" w:styleId="af8">
    <w:basedOn w:val="TableNormal8"/>
    <w:pPr>
      <w:spacing w:after="0" w:line="240" w:lineRule="auto"/>
    </w:pPr>
    <w:tblPr>
      <w:tblStyleRowBandSize w:val="1"/>
      <w:tblStyleColBandSize w:val="1"/>
      <w:tblCellMar>
        <w:left w:w="108" w:type="dxa"/>
        <w:right w:w="108" w:type="dxa"/>
      </w:tblCellMar>
    </w:tblPr>
  </w:style>
  <w:style w:type="table" w:customStyle="1" w:styleId="af9">
    <w:basedOn w:val="TableNormal8"/>
    <w:pPr>
      <w:spacing w:after="0" w:line="240" w:lineRule="auto"/>
    </w:pPr>
    <w:tblPr>
      <w:tblStyleRowBandSize w:val="1"/>
      <w:tblStyleColBandSize w:val="1"/>
      <w:tblCellMar>
        <w:left w:w="108" w:type="dxa"/>
        <w:right w:w="108" w:type="dxa"/>
      </w:tblCellMar>
    </w:tblPr>
  </w:style>
  <w:style w:type="table" w:customStyle="1" w:styleId="afa">
    <w:basedOn w:val="TableNormal8"/>
    <w:pPr>
      <w:spacing w:after="0" w:line="240" w:lineRule="auto"/>
    </w:pPr>
    <w:tblPr>
      <w:tblStyleRowBandSize w:val="1"/>
      <w:tblStyleColBandSize w:val="1"/>
      <w:tblCellMar>
        <w:left w:w="108" w:type="dxa"/>
        <w:right w:w="108" w:type="dxa"/>
      </w:tblCellMar>
    </w:tblPr>
  </w:style>
  <w:style w:type="table" w:customStyle="1" w:styleId="afb">
    <w:basedOn w:val="TableNormal7"/>
    <w:pPr>
      <w:spacing w:after="0" w:line="240" w:lineRule="auto"/>
    </w:pPr>
    <w:tblPr>
      <w:tblStyleRowBandSize w:val="1"/>
      <w:tblStyleColBandSize w:val="1"/>
      <w:tblCellMar>
        <w:left w:w="108" w:type="dxa"/>
        <w:right w:w="108" w:type="dxa"/>
      </w:tblCellMar>
    </w:tblPr>
  </w:style>
  <w:style w:type="table" w:customStyle="1" w:styleId="afc">
    <w:basedOn w:val="TableNormal7"/>
    <w:pPr>
      <w:spacing w:after="0" w:line="240" w:lineRule="auto"/>
    </w:pPr>
    <w:tblPr>
      <w:tblStyleRowBandSize w:val="1"/>
      <w:tblStyleColBandSize w:val="1"/>
      <w:tblCellMar>
        <w:left w:w="108" w:type="dxa"/>
        <w:right w:w="108" w:type="dxa"/>
      </w:tblCellMar>
    </w:tblPr>
  </w:style>
  <w:style w:type="table" w:customStyle="1" w:styleId="afd">
    <w:basedOn w:val="TableNormal7"/>
    <w:pPr>
      <w:spacing w:after="0" w:line="240" w:lineRule="auto"/>
    </w:pPr>
    <w:tblPr>
      <w:tblStyleRowBandSize w:val="1"/>
      <w:tblStyleColBandSize w:val="1"/>
      <w:tblCellMar>
        <w:left w:w="108" w:type="dxa"/>
        <w:right w:w="108" w:type="dxa"/>
      </w:tblCellMar>
    </w:tblPr>
  </w:style>
  <w:style w:type="table" w:customStyle="1" w:styleId="afe">
    <w:basedOn w:val="TableNormal7"/>
    <w:pPr>
      <w:spacing w:after="0" w:line="240" w:lineRule="auto"/>
    </w:pPr>
    <w:tblPr>
      <w:tblStyleRowBandSize w:val="1"/>
      <w:tblStyleColBandSize w:val="1"/>
      <w:tblCellMar>
        <w:left w:w="108" w:type="dxa"/>
        <w:right w:w="108" w:type="dxa"/>
      </w:tblCellMar>
    </w:tblPr>
  </w:style>
  <w:style w:type="table" w:customStyle="1" w:styleId="aff">
    <w:basedOn w:val="TableNormal6"/>
    <w:pPr>
      <w:spacing w:after="0" w:line="240" w:lineRule="auto"/>
    </w:pPr>
    <w:tblPr>
      <w:tblStyleRowBandSize w:val="1"/>
      <w:tblStyleColBandSize w:val="1"/>
      <w:tblCellMar>
        <w:left w:w="108" w:type="dxa"/>
        <w:right w:w="108" w:type="dxa"/>
      </w:tblCellMar>
    </w:tblPr>
  </w:style>
  <w:style w:type="table" w:customStyle="1" w:styleId="aff0">
    <w:basedOn w:val="TableNormal6"/>
    <w:pPr>
      <w:spacing w:after="0" w:line="240" w:lineRule="auto"/>
    </w:pPr>
    <w:tblPr>
      <w:tblStyleRowBandSize w:val="1"/>
      <w:tblStyleColBandSize w:val="1"/>
      <w:tblCellMar>
        <w:left w:w="108" w:type="dxa"/>
        <w:right w:w="108" w:type="dxa"/>
      </w:tblCellMar>
    </w:tblPr>
  </w:style>
  <w:style w:type="table" w:customStyle="1" w:styleId="aff1">
    <w:basedOn w:val="TableNormal6"/>
    <w:pPr>
      <w:spacing w:after="0" w:line="240" w:lineRule="auto"/>
    </w:pPr>
    <w:tblPr>
      <w:tblStyleRowBandSize w:val="1"/>
      <w:tblStyleColBandSize w:val="1"/>
      <w:tblCellMar>
        <w:left w:w="108" w:type="dxa"/>
        <w:right w:w="108" w:type="dxa"/>
      </w:tblCellMar>
    </w:tblPr>
  </w:style>
  <w:style w:type="table" w:customStyle="1" w:styleId="aff2">
    <w:basedOn w:val="TableNormal6"/>
    <w:pPr>
      <w:spacing w:after="0" w:line="240" w:lineRule="auto"/>
    </w:pPr>
    <w:tblPr>
      <w:tblStyleRowBandSize w:val="1"/>
      <w:tblStyleColBandSize w:val="1"/>
      <w:tblCellMar>
        <w:left w:w="108" w:type="dxa"/>
        <w:right w:w="108" w:type="dxa"/>
      </w:tblCellMar>
    </w:tblPr>
  </w:style>
  <w:style w:type="table" w:customStyle="1" w:styleId="aff3">
    <w:basedOn w:val="TableNormal5"/>
    <w:pPr>
      <w:spacing w:after="0" w:line="240" w:lineRule="auto"/>
    </w:pPr>
    <w:tblPr>
      <w:tblStyleRowBandSize w:val="1"/>
      <w:tblStyleColBandSize w:val="1"/>
      <w:tblCellMar>
        <w:left w:w="108" w:type="dxa"/>
        <w:right w:w="108" w:type="dxa"/>
      </w:tblCellMar>
    </w:tblPr>
  </w:style>
  <w:style w:type="table" w:customStyle="1" w:styleId="aff4">
    <w:basedOn w:val="TableNormal5"/>
    <w:pPr>
      <w:spacing w:after="0" w:line="240" w:lineRule="auto"/>
    </w:pPr>
    <w:tblPr>
      <w:tblStyleRowBandSize w:val="1"/>
      <w:tblStyleColBandSize w:val="1"/>
      <w:tblCellMar>
        <w:left w:w="108" w:type="dxa"/>
        <w:right w:w="108" w:type="dxa"/>
      </w:tblCellMar>
    </w:tblPr>
  </w:style>
  <w:style w:type="table" w:customStyle="1" w:styleId="aff5">
    <w:basedOn w:val="TableNormal5"/>
    <w:pPr>
      <w:spacing w:after="0" w:line="240" w:lineRule="auto"/>
    </w:pPr>
    <w:tblPr>
      <w:tblStyleRowBandSize w:val="1"/>
      <w:tblStyleColBandSize w:val="1"/>
      <w:tblCellMar>
        <w:left w:w="108" w:type="dxa"/>
        <w:right w:w="108" w:type="dxa"/>
      </w:tblCellMar>
    </w:tblPr>
  </w:style>
  <w:style w:type="table" w:customStyle="1" w:styleId="aff6">
    <w:basedOn w:val="TableNormal5"/>
    <w:pPr>
      <w:spacing w:after="0" w:line="240" w:lineRule="auto"/>
    </w:pPr>
    <w:tblPr>
      <w:tblStyleRowBandSize w:val="1"/>
      <w:tblStyleColBandSize w:val="1"/>
      <w:tblCellMar>
        <w:left w:w="108" w:type="dxa"/>
        <w:right w:w="108" w:type="dxa"/>
      </w:tblCellMar>
    </w:tblPr>
  </w:style>
  <w:style w:type="table" w:customStyle="1" w:styleId="aff7">
    <w:basedOn w:val="TableNormal4"/>
    <w:pPr>
      <w:spacing w:after="0" w:line="240" w:lineRule="auto"/>
    </w:pPr>
    <w:tblPr>
      <w:tblStyleRowBandSize w:val="1"/>
      <w:tblStyleColBandSize w:val="1"/>
      <w:tblCellMar>
        <w:left w:w="108" w:type="dxa"/>
        <w:right w:w="108" w:type="dxa"/>
      </w:tblCellMar>
    </w:tblPr>
  </w:style>
  <w:style w:type="table" w:customStyle="1" w:styleId="aff8">
    <w:basedOn w:val="TableNormal4"/>
    <w:pPr>
      <w:spacing w:after="0" w:line="240" w:lineRule="auto"/>
    </w:pPr>
    <w:tblPr>
      <w:tblStyleRowBandSize w:val="1"/>
      <w:tblStyleColBandSize w:val="1"/>
      <w:tblCellMar>
        <w:left w:w="108" w:type="dxa"/>
        <w:right w:w="108" w:type="dxa"/>
      </w:tblCellMar>
    </w:tblPr>
  </w:style>
  <w:style w:type="table" w:customStyle="1" w:styleId="aff9">
    <w:basedOn w:val="TableNormal4"/>
    <w:pPr>
      <w:spacing w:after="0" w:line="240" w:lineRule="auto"/>
    </w:pPr>
    <w:tblPr>
      <w:tblStyleRowBandSize w:val="1"/>
      <w:tblStyleColBandSize w:val="1"/>
      <w:tblCellMar>
        <w:left w:w="108" w:type="dxa"/>
        <w:right w:w="108" w:type="dxa"/>
      </w:tblCellMar>
    </w:tblPr>
  </w:style>
  <w:style w:type="table" w:customStyle="1" w:styleId="affa">
    <w:basedOn w:val="TableNormal4"/>
    <w:pPr>
      <w:spacing w:after="0" w:line="240" w:lineRule="auto"/>
    </w:pPr>
    <w:tblPr>
      <w:tblStyleRowBandSize w:val="1"/>
      <w:tblStyleColBandSize w:val="1"/>
      <w:tblCellMar>
        <w:left w:w="108" w:type="dxa"/>
        <w:right w:w="108" w:type="dxa"/>
      </w:tblCellMar>
    </w:tblPr>
  </w:style>
  <w:style w:type="table" w:customStyle="1" w:styleId="affb">
    <w:basedOn w:val="TableNormal4"/>
    <w:pPr>
      <w:spacing w:after="0" w:line="240" w:lineRule="auto"/>
    </w:pPr>
    <w:tblPr>
      <w:tblStyleRowBandSize w:val="1"/>
      <w:tblStyleColBandSize w:val="1"/>
      <w:tblCellMar>
        <w:left w:w="108" w:type="dxa"/>
        <w:right w:w="108" w:type="dxa"/>
      </w:tblCellMar>
    </w:tblPr>
  </w:style>
  <w:style w:type="table" w:customStyle="1" w:styleId="affc">
    <w:basedOn w:val="TableNormal4"/>
    <w:pPr>
      <w:spacing w:after="0" w:line="240" w:lineRule="auto"/>
    </w:pPr>
    <w:tblPr>
      <w:tblStyleRowBandSize w:val="1"/>
      <w:tblStyleColBandSize w:val="1"/>
      <w:tblCellMar>
        <w:left w:w="108" w:type="dxa"/>
        <w:right w:w="108" w:type="dxa"/>
      </w:tblCellMar>
    </w:tblPr>
  </w:style>
  <w:style w:type="table" w:customStyle="1" w:styleId="affd">
    <w:basedOn w:val="TableNormal4"/>
    <w:pPr>
      <w:spacing w:after="0" w:line="240" w:lineRule="auto"/>
    </w:pPr>
    <w:tblPr>
      <w:tblStyleRowBandSize w:val="1"/>
      <w:tblStyleColBandSize w:val="1"/>
      <w:tblCellMar>
        <w:left w:w="108" w:type="dxa"/>
        <w:right w:w="108" w:type="dxa"/>
      </w:tblCellMar>
    </w:tblPr>
  </w:style>
  <w:style w:type="table" w:customStyle="1" w:styleId="affe">
    <w:basedOn w:val="TableNormal4"/>
    <w:pPr>
      <w:spacing w:after="0" w:line="240" w:lineRule="auto"/>
    </w:pPr>
    <w:tblPr>
      <w:tblStyleRowBandSize w:val="1"/>
      <w:tblStyleColBandSize w:val="1"/>
      <w:tblCellMar>
        <w:left w:w="108" w:type="dxa"/>
        <w:right w:w="108" w:type="dxa"/>
      </w:tblCellMar>
    </w:tblPr>
  </w:style>
  <w:style w:type="table" w:customStyle="1" w:styleId="afff">
    <w:basedOn w:val="TableNormal4"/>
    <w:pPr>
      <w:spacing w:after="0" w:line="240" w:lineRule="auto"/>
    </w:pPr>
    <w:tblPr>
      <w:tblStyleRowBandSize w:val="1"/>
      <w:tblStyleColBandSize w:val="1"/>
      <w:tblCellMar>
        <w:left w:w="108" w:type="dxa"/>
        <w:right w:w="108" w:type="dxa"/>
      </w:tblCellMar>
    </w:tblPr>
  </w:style>
  <w:style w:type="table" w:customStyle="1" w:styleId="afff0">
    <w:basedOn w:val="TableNormal4"/>
    <w:pPr>
      <w:spacing w:after="0" w:line="240" w:lineRule="auto"/>
    </w:pPr>
    <w:tblPr>
      <w:tblStyleRowBandSize w:val="1"/>
      <w:tblStyleColBandSize w:val="1"/>
      <w:tblCellMar>
        <w:left w:w="108" w:type="dxa"/>
        <w:right w:w="108" w:type="dxa"/>
      </w:tblCellMar>
    </w:tblPr>
  </w:style>
  <w:style w:type="table" w:customStyle="1" w:styleId="afff1">
    <w:basedOn w:val="TableNormal4"/>
    <w:pPr>
      <w:spacing w:after="0" w:line="240" w:lineRule="auto"/>
    </w:pPr>
    <w:tblPr>
      <w:tblStyleRowBandSize w:val="1"/>
      <w:tblStyleColBandSize w:val="1"/>
      <w:tblCellMar>
        <w:left w:w="108" w:type="dxa"/>
        <w:right w:w="108" w:type="dxa"/>
      </w:tblCellMar>
    </w:tblPr>
  </w:style>
  <w:style w:type="table" w:customStyle="1" w:styleId="afff2">
    <w:basedOn w:val="TableNormal4"/>
    <w:pPr>
      <w:spacing w:after="0" w:line="240" w:lineRule="auto"/>
    </w:pPr>
    <w:tblPr>
      <w:tblStyleRowBandSize w:val="1"/>
      <w:tblStyleColBandSize w:val="1"/>
      <w:tblCellMar>
        <w:left w:w="108" w:type="dxa"/>
        <w:right w:w="108" w:type="dxa"/>
      </w:tblCellMar>
    </w:tblPr>
  </w:style>
  <w:style w:type="table" w:customStyle="1" w:styleId="afff3">
    <w:basedOn w:val="TableNormal4"/>
    <w:pPr>
      <w:spacing w:after="0" w:line="240" w:lineRule="auto"/>
    </w:pPr>
    <w:tblPr>
      <w:tblStyleRowBandSize w:val="1"/>
      <w:tblStyleColBandSize w:val="1"/>
      <w:tblCellMar>
        <w:left w:w="108" w:type="dxa"/>
        <w:right w:w="108" w:type="dxa"/>
      </w:tblCellMar>
    </w:tblPr>
  </w:style>
  <w:style w:type="table" w:customStyle="1" w:styleId="afff4">
    <w:basedOn w:val="TableNormal4"/>
    <w:pPr>
      <w:spacing w:after="0" w:line="240" w:lineRule="auto"/>
    </w:pPr>
    <w:tblPr>
      <w:tblStyleRowBandSize w:val="1"/>
      <w:tblStyleColBandSize w:val="1"/>
      <w:tblCellMar>
        <w:left w:w="108" w:type="dxa"/>
        <w:right w:w="108" w:type="dxa"/>
      </w:tblCellMar>
    </w:tblPr>
  </w:style>
  <w:style w:type="table" w:customStyle="1" w:styleId="afff5">
    <w:basedOn w:val="TableNormal4"/>
    <w:pPr>
      <w:spacing w:after="0" w:line="240" w:lineRule="auto"/>
    </w:pPr>
    <w:tblPr>
      <w:tblStyleRowBandSize w:val="1"/>
      <w:tblStyleColBandSize w:val="1"/>
      <w:tblCellMar>
        <w:left w:w="108" w:type="dxa"/>
        <w:right w:w="108" w:type="dxa"/>
      </w:tblCellMar>
    </w:tblPr>
  </w:style>
  <w:style w:type="table" w:customStyle="1" w:styleId="afff6">
    <w:basedOn w:val="TableNormal4"/>
    <w:pPr>
      <w:spacing w:after="0" w:line="240" w:lineRule="auto"/>
    </w:pPr>
    <w:tblPr>
      <w:tblStyleRowBandSize w:val="1"/>
      <w:tblStyleColBandSize w:val="1"/>
      <w:tblCellMar>
        <w:left w:w="108" w:type="dxa"/>
        <w:right w:w="108" w:type="dxa"/>
      </w:tblCellMar>
    </w:tblPr>
  </w:style>
  <w:style w:type="table" w:customStyle="1" w:styleId="afff7">
    <w:basedOn w:val="TableNormal4"/>
    <w:pPr>
      <w:spacing w:after="0" w:line="240" w:lineRule="auto"/>
    </w:pPr>
    <w:tblPr>
      <w:tblStyleRowBandSize w:val="1"/>
      <w:tblStyleColBandSize w:val="1"/>
      <w:tblCellMar>
        <w:left w:w="108" w:type="dxa"/>
        <w:right w:w="108" w:type="dxa"/>
      </w:tblCellMar>
    </w:tblPr>
  </w:style>
  <w:style w:type="table" w:customStyle="1" w:styleId="afff8">
    <w:basedOn w:val="TableNormal4"/>
    <w:pPr>
      <w:spacing w:after="0" w:line="240" w:lineRule="auto"/>
    </w:pPr>
    <w:tblPr>
      <w:tblStyleRowBandSize w:val="1"/>
      <w:tblStyleColBandSize w:val="1"/>
      <w:tblCellMar>
        <w:left w:w="108" w:type="dxa"/>
        <w:right w:w="108" w:type="dxa"/>
      </w:tblCellMar>
    </w:tblPr>
  </w:style>
  <w:style w:type="table" w:customStyle="1" w:styleId="afff9">
    <w:basedOn w:val="TableNormal4"/>
    <w:pPr>
      <w:spacing w:after="0" w:line="240" w:lineRule="auto"/>
    </w:pPr>
    <w:tblPr>
      <w:tblStyleRowBandSize w:val="1"/>
      <w:tblStyleColBandSize w:val="1"/>
      <w:tblCellMar>
        <w:left w:w="108" w:type="dxa"/>
        <w:right w:w="108" w:type="dxa"/>
      </w:tblCellMar>
    </w:tblPr>
  </w:style>
  <w:style w:type="table" w:customStyle="1" w:styleId="afffa">
    <w:basedOn w:val="TableNormal4"/>
    <w:pPr>
      <w:spacing w:after="0" w:line="240" w:lineRule="auto"/>
    </w:pPr>
    <w:tblPr>
      <w:tblStyleRowBandSize w:val="1"/>
      <w:tblStyleColBandSize w:val="1"/>
      <w:tblCellMar>
        <w:left w:w="108" w:type="dxa"/>
        <w:right w:w="108" w:type="dxa"/>
      </w:tblCellMar>
    </w:tblPr>
  </w:style>
  <w:style w:type="table" w:customStyle="1" w:styleId="afffb">
    <w:basedOn w:val="TableNormal4"/>
    <w:pPr>
      <w:spacing w:after="0" w:line="240" w:lineRule="auto"/>
    </w:pPr>
    <w:tblPr>
      <w:tblStyleRowBandSize w:val="1"/>
      <w:tblStyleColBandSize w:val="1"/>
      <w:tblCellMar>
        <w:left w:w="108" w:type="dxa"/>
        <w:right w:w="108" w:type="dxa"/>
      </w:tblCellMar>
    </w:tblPr>
  </w:style>
  <w:style w:type="table" w:customStyle="1" w:styleId="afffc">
    <w:basedOn w:val="TableNormal4"/>
    <w:pPr>
      <w:spacing w:after="0" w:line="240" w:lineRule="auto"/>
    </w:pPr>
    <w:tblPr>
      <w:tblStyleRowBandSize w:val="1"/>
      <w:tblStyleColBandSize w:val="1"/>
      <w:tblCellMar>
        <w:left w:w="108" w:type="dxa"/>
        <w:right w:w="108" w:type="dxa"/>
      </w:tblCellMar>
    </w:tblPr>
  </w:style>
  <w:style w:type="table" w:customStyle="1" w:styleId="afffd">
    <w:basedOn w:val="TableNormal3"/>
    <w:pPr>
      <w:spacing w:after="0" w:line="240" w:lineRule="auto"/>
    </w:pPr>
    <w:tblPr>
      <w:tblStyleRowBandSize w:val="1"/>
      <w:tblStyleColBandSize w:val="1"/>
      <w:tblCellMar>
        <w:left w:w="108" w:type="dxa"/>
        <w:right w:w="108" w:type="dxa"/>
      </w:tblCellMar>
    </w:tblPr>
  </w:style>
  <w:style w:type="table" w:customStyle="1" w:styleId="afffe">
    <w:basedOn w:val="TableNormal3"/>
    <w:pPr>
      <w:spacing w:after="0" w:line="240" w:lineRule="auto"/>
    </w:pPr>
    <w:tblPr>
      <w:tblStyleRowBandSize w:val="1"/>
      <w:tblStyleColBandSize w:val="1"/>
      <w:tblCellMar>
        <w:left w:w="108" w:type="dxa"/>
        <w:right w:w="108" w:type="dxa"/>
      </w:tblCellMar>
    </w:tblPr>
  </w:style>
  <w:style w:type="table" w:customStyle="1" w:styleId="affff">
    <w:basedOn w:val="TableNormal3"/>
    <w:pPr>
      <w:spacing w:after="0" w:line="240" w:lineRule="auto"/>
    </w:pPr>
    <w:tblPr>
      <w:tblStyleRowBandSize w:val="1"/>
      <w:tblStyleColBandSize w:val="1"/>
      <w:tblCellMar>
        <w:left w:w="108" w:type="dxa"/>
        <w:right w:w="108" w:type="dxa"/>
      </w:tblCellMar>
    </w:tblPr>
  </w:style>
  <w:style w:type="table" w:customStyle="1" w:styleId="affff0">
    <w:basedOn w:val="TableNormal3"/>
    <w:pPr>
      <w:spacing w:after="0" w:line="240" w:lineRule="auto"/>
    </w:pPr>
    <w:tblPr>
      <w:tblStyleRowBandSize w:val="1"/>
      <w:tblStyleColBandSize w:val="1"/>
      <w:tblCellMar>
        <w:left w:w="108" w:type="dxa"/>
        <w:right w:w="108" w:type="dxa"/>
      </w:tblCellMar>
    </w:tblPr>
  </w:style>
  <w:style w:type="table" w:customStyle="1" w:styleId="affff1">
    <w:basedOn w:val="TableNormal3"/>
    <w:pPr>
      <w:spacing w:after="0" w:line="240" w:lineRule="auto"/>
    </w:p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1C2C58"/>
    <w:rPr>
      <w:color w:val="605E5C"/>
      <w:shd w:val="clear" w:color="auto" w:fill="E1DFDD"/>
    </w:rPr>
  </w:style>
  <w:style w:type="table" w:customStyle="1" w:styleId="affff2">
    <w:basedOn w:val="TableNormal2"/>
    <w:pPr>
      <w:spacing w:after="0" w:line="240" w:lineRule="auto"/>
    </w:pPr>
    <w:tblPr>
      <w:tblStyleRowBandSize w:val="1"/>
      <w:tblStyleColBandSize w:val="1"/>
      <w:tblCellMar>
        <w:left w:w="108" w:type="dxa"/>
        <w:right w:w="108" w:type="dxa"/>
      </w:tblCellMar>
    </w:tblPr>
  </w:style>
  <w:style w:type="table" w:customStyle="1" w:styleId="affff3">
    <w:basedOn w:val="TableNormal2"/>
    <w:pPr>
      <w:spacing w:after="0" w:line="240" w:lineRule="auto"/>
    </w:pPr>
    <w:tblPr>
      <w:tblStyleRowBandSize w:val="1"/>
      <w:tblStyleColBandSize w:val="1"/>
      <w:tblCellMar>
        <w:left w:w="108" w:type="dxa"/>
        <w:right w:w="108" w:type="dxa"/>
      </w:tblCellMar>
    </w:tblPr>
  </w:style>
  <w:style w:type="table" w:customStyle="1" w:styleId="affff4">
    <w:basedOn w:val="TableNormal2"/>
    <w:pPr>
      <w:spacing w:after="0" w:line="240" w:lineRule="auto"/>
    </w:pPr>
    <w:tblPr>
      <w:tblStyleRowBandSize w:val="1"/>
      <w:tblStyleColBandSize w:val="1"/>
      <w:tblCellMar>
        <w:left w:w="108" w:type="dxa"/>
        <w:right w:w="108" w:type="dxa"/>
      </w:tblCellMar>
    </w:tblPr>
  </w:style>
  <w:style w:type="table" w:customStyle="1" w:styleId="affff5">
    <w:basedOn w:val="TableNormal2"/>
    <w:pPr>
      <w:spacing w:after="0" w:line="240" w:lineRule="auto"/>
    </w:pPr>
    <w:tblPr>
      <w:tblStyleRowBandSize w:val="1"/>
      <w:tblStyleColBandSize w:val="1"/>
      <w:tblCellMar>
        <w:left w:w="108" w:type="dxa"/>
        <w:right w:w="108" w:type="dxa"/>
      </w:tblCellMar>
    </w:tblPr>
  </w:style>
  <w:style w:type="table" w:customStyle="1" w:styleId="affff6">
    <w:basedOn w:val="TableNormal1"/>
    <w:pPr>
      <w:spacing w:after="0" w:line="240" w:lineRule="auto"/>
    </w:pPr>
    <w:tblPr>
      <w:tblStyleRowBandSize w:val="1"/>
      <w:tblStyleColBandSize w:val="1"/>
      <w:tblCellMar>
        <w:left w:w="108" w:type="dxa"/>
        <w:right w:w="108" w:type="dxa"/>
      </w:tblCellMar>
    </w:tblPr>
  </w:style>
  <w:style w:type="table" w:customStyle="1" w:styleId="affff7">
    <w:basedOn w:val="TableNormal1"/>
    <w:pPr>
      <w:spacing w:after="0" w:line="240" w:lineRule="auto"/>
    </w:pPr>
    <w:tblPr>
      <w:tblStyleRowBandSize w:val="1"/>
      <w:tblStyleColBandSize w:val="1"/>
      <w:tblCellMar>
        <w:left w:w="108" w:type="dxa"/>
        <w:right w:w="108" w:type="dxa"/>
      </w:tblCellMar>
    </w:tblPr>
  </w:style>
  <w:style w:type="table" w:customStyle="1" w:styleId="affff8">
    <w:basedOn w:val="TableNormal1"/>
    <w:pPr>
      <w:spacing w:after="0" w:line="240" w:lineRule="auto"/>
    </w:pPr>
    <w:tblPr>
      <w:tblStyleRowBandSize w:val="1"/>
      <w:tblStyleColBandSize w:val="1"/>
      <w:tblCellMar>
        <w:left w:w="108" w:type="dxa"/>
        <w:right w:w="108" w:type="dxa"/>
      </w:tblCellMar>
    </w:tblPr>
  </w:style>
  <w:style w:type="table" w:customStyle="1" w:styleId="affff9">
    <w:basedOn w:val="TableNormal1"/>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a">
    <w:basedOn w:val="TableNormal0"/>
    <w:pPr>
      <w:spacing w:after="0" w:line="240" w:lineRule="auto"/>
    </w:pPr>
    <w:tblPr>
      <w:tblStyleRowBandSize w:val="1"/>
      <w:tblStyleColBandSize w:val="1"/>
      <w:tblCellMar>
        <w:left w:w="108" w:type="dxa"/>
        <w:right w:w="108" w:type="dxa"/>
      </w:tblCellMar>
    </w:tblPr>
  </w:style>
  <w:style w:type="table" w:customStyle="1" w:styleId="affffb">
    <w:basedOn w:val="TableNormal0"/>
    <w:pPr>
      <w:spacing w:after="0" w:line="240" w:lineRule="auto"/>
    </w:pPr>
    <w:tblPr>
      <w:tblStyleRowBandSize w:val="1"/>
      <w:tblStyleColBandSize w:val="1"/>
      <w:tblCellMar>
        <w:left w:w="108" w:type="dxa"/>
        <w:right w:w="108" w:type="dxa"/>
      </w:tblCellMar>
    </w:tblPr>
  </w:style>
  <w:style w:type="table" w:customStyle="1" w:styleId="affffc">
    <w:basedOn w:val="TableNormal0"/>
    <w:pPr>
      <w:spacing w:after="0" w:line="240" w:lineRule="auto"/>
    </w:pPr>
    <w:tblPr>
      <w:tblStyleRowBandSize w:val="1"/>
      <w:tblStyleColBandSize w:val="1"/>
      <w:tblCellMar>
        <w:left w:w="108" w:type="dxa"/>
        <w:right w:w="108" w:type="dxa"/>
      </w:tblCellMar>
    </w:tblPr>
  </w:style>
  <w:style w:type="table" w:customStyle="1" w:styleId="affffd">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6lhPQfBvwY8FZShEPX3PJghxVA==">CgMxLjAyDmguZHRjcXZkczVoZGVmMghoLmdqZGd4czIOaC5rbzRzbHdiNDN1eTYyDmguMnZtN2R5N2d1amRpMg5oLjNidDJ2NHJlMGh6MjIJaC4yZXQ5MnAwMg5oLjFqdnkyZ2RqMjZrZzIOaC5udWlucHVzdHpoN2MyDmguZGJiZTZtYnc0NXo0Mg5oLjlreno3cDZnNXg2cTIOaC5yemU3MTV1bTNwZ2gyDmguYno1a3ZqZHBweXJ6Mg5oLjg1N3Rza3kzczNibTIOaC5vaTVrNGs4dXZkZm0yDmgubjFybmthb21majBqMg1oLmg5M2FvYnRrdHdiMg5oLmFyZ3kyMXFua21ocjgAciExQlpDOTh4SVdfc21QaWt6MUdfT0tUZ19NWjdxN1dxNW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ACF008-4555-4282-BDFB-F37D31D80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5388</Words>
  <Characters>29635</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USUARIO</cp:lastModifiedBy>
  <cp:revision>3</cp:revision>
  <cp:lastPrinted>2025-08-22T18:38:00Z</cp:lastPrinted>
  <dcterms:created xsi:type="dcterms:W3CDTF">2025-08-22T18:38:00Z</dcterms:created>
  <dcterms:modified xsi:type="dcterms:W3CDTF">2025-08-22T18:38:00Z</dcterms:modified>
</cp:coreProperties>
</file>