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quince de enero de dos mil veinticinco.</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07439/INFOEM/IP/RR/2024</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 XXXXXXXX XXXXXX</w:t>
      </w:r>
      <w:r w:rsidDel="00000000" w:rsidR="00000000" w:rsidRPr="00000000">
        <w:rPr>
          <w:rFonts w:ascii="Palatino Linotype" w:cs="Palatino Linotype" w:eastAsia="Palatino Linotype" w:hAnsi="Palatino Linotype"/>
          <w:sz w:val="22"/>
          <w:szCs w:val="22"/>
          <w:rtl w:val="0"/>
        </w:rPr>
        <w:t xml:space="preserve">, 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00153/IFR/IP/2024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Instituto de la Función Registral del Estado de México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r w:rsidDel="00000000" w:rsidR="00000000" w:rsidRPr="00000000">
        <w:rPr>
          <w:rtl w:val="0"/>
        </w:rPr>
      </w:r>
    </w:p>
    <w:p w:rsidR="00000000" w:rsidDel="00000000" w:rsidP="00000000" w:rsidRDefault="00000000" w:rsidRPr="00000000" w14:paraId="00000004">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4"/>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3"/>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treinta y uno de octubre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 que requirió lo siguiente:</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“DEL IFREM, DE MANERA CONCRETA DEL SERVIDOR PUBLICO LUIS ANTONIO SIERRA ALVAREZ JEFE DEL DEPARTAMENTO DE RECURSOS MATERIALES Y ENCARGADO DEL DPTO DE SERVICIOS GENERALES, SI SE HAN HECHO MANTENIMIENTOS CORRECTIVOS Y PREVENTIVOS A LAS PLANTAS DE LUZ Y A LAS SUBESTACIONES QUE SE ENCUENTRAN EN EL EDIFICIO CENTRAL Y EN LAS OFICINAS REGISTRALES, POR QUE MONTOS, CON QUE EMPRESAS, QUE CONCEPTOS SE HAN CONTRATADO Y QUE CRITERIOS DE ASIGNACIÓN SE HAN EMPLEADO PARA CONTRATAR A LAS EMPRESAS ADJUDICADAS Y SI LAS MISMAS SE ENCUENTRAN EN EL PADRON DE PROVEEDORES DEL GEM, DE NO SER EL CASO EXPLIQUE EL MOTIVO DEL POR QUE SE LES HA CONTRATADO”</w:t>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veinticinco de noviembre de dos mil veinticuatro</w:t>
      </w:r>
      <w:r w:rsidDel="00000000" w:rsidR="00000000" w:rsidRPr="00000000">
        <w:rPr>
          <w:rFonts w:ascii="Palatino Linotype" w:cs="Palatino Linotype" w:eastAsia="Palatino Linotype" w:hAnsi="Palatino Linotype"/>
          <w:sz w:val="22"/>
          <w:szCs w:val="22"/>
          <w:rtl w:val="0"/>
        </w:rPr>
        <w:t xml:space="preserve"> se tuvo por presentada la respuesta,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mediante la cual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señaló lo siguiente:</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XXXXXXXXXXX: Le informo que esta Unidad de Transparencia, mediante oficio número 233C0101040202L/670/2024, emite respuesta a su solicitud, mismo que se anexa en ARCHIVOS ANEXOS.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L.D. SERGIO ALFONSO BRITO MOLL MARTÍNEZ”</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adjuntó los documentos electrónicos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se describen a continuación:</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numPr>
          <w:ilvl w:val="0"/>
          <w:numId w:val="5"/>
        </w:numPr>
        <w:pBdr>
          <w:top w:space="0" w:sz="0" w:val="nil"/>
          <w:left w:space="0" w:sz="0" w:val="nil"/>
          <w:bottom w:space="0" w:sz="0" w:val="nil"/>
          <w:right w:space="0" w:sz="0" w:val="nil"/>
          <w:between w:space="0" w:sz="0" w:val="nil"/>
        </w:pBdr>
        <w:spacing w:line="360" w:lineRule="auto"/>
        <w:ind w:left="426"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Respuesta a solicitante 00153-IFR-IP-2024.pdf: </w:t>
      </w:r>
      <w:r w:rsidDel="00000000" w:rsidR="00000000" w:rsidRPr="00000000">
        <w:rPr>
          <w:rFonts w:ascii="Palatino Linotype" w:cs="Palatino Linotype" w:eastAsia="Palatino Linotype" w:hAnsi="Palatino Linotype"/>
          <w:sz w:val="22"/>
          <w:szCs w:val="22"/>
          <w:rtl w:val="0"/>
        </w:rPr>
        <w:t xml:space="preserve">Oficio 233C0101040202L/670/2024 suscrito por el Encargado del Departamento de Normatividad y Responsable de la Unidad de Transparencia en el que refiere que turnó la solicitud al Titular en Materia de Transparencia de la Dirección de Administración y Finanzas quien respondió a los cuestionamientos del particular señalando lo siguiente:</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left="426" w:right="4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8">
      <w:pPr>
        <w:numPr>
          <w:ilvl w:val="0"/>
          <w:numId w:val="5"/>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 se han hecho mantenimientos correctivos y preventivos a las plantas de luz y a las subestaciones que se encuentran en el edificio central</w:t>
      </w:r>
    </w:p>
    <w:p w:rsidR="00000000" w:rsidDel="00000000" w:rsidP="00000000" w:rsidRDefault="00000000" w:rsidRPr="00000000" w14:paraId="00000019">
      <w:pPr>
        <w:numPr>
          <w:ilvl w:val="0"/>
          <w:numId w:val="5"/>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Monto: $429,960.96;</w:t>
      </w:r>
    </w:p>
    <w:p w:rsidR="00000000" w:rsidDel="00000000" w:rsidP="00000000" w:rsidRDefault="00000000" w:rsidRPr="00000000" w14:paraId="0000001A">
      <w:pPr>
        <w:numPr>
          <w:ilvl w:val="0"/>
          <w:numId w:val="5"/>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Empresa: Daniel Sánchez Hernández (persona física);</w:t>
      </w:r>
    </w:p>
    <w:p w:rsidR="00000000" w:rsidDel="00000000" w:rsidP="00000000" w:rsidRDefault="00000000" w:rsidRPr="00000000" w14:paraId="0000001B">
      <w:pPr>
        <w:numPr>
          <w:ilvl w:val="0"/>
          <w:numId w:val="5"/>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Conceptos Contratados: Contratación de los servicios de mantenimiento preventivo;</w:t>
      </w:r>
    </w:p>
    <w:p w:rsidR="00000000" w:rsidDel="00000000" w:rsidP="00000000" w:rsidRDefault="00000000" w:rsidRPr="00000000" w14:paraId="0000001C">
      <w:pPr>
        <w:numPr>
          <w:ilvl w:val="0"/>
          <w:numId w:val="5"/>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Los criterios de asignación que se han empleado para contratar a los proveedores son los establecidos en la normatividad aplicable al caso en concreto, entre los cuales está tener mejores condiciones en cuanto a precio, calidad, financiamiento y oportunidad, no encontrarse en ningún de los supuestos que contempla el artículo 74 de la Ley de Contratación Pública del Estado de México, entre otros.</w:t>
      </w:r>
    </w:p>
    <w:p w:rsidR="00000000" w:rsidDel="00000000" w:rsidP="00000000" w:rsidRDefault="00000000" w:rsidRPr="00000000" w14:paraId="0000001D">
      <w:pPr>
        <w:numPr>
          <w:ilvl w:val="0"/>
          <w:numId w:val="5"/>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Proveedor se encuentra en el padrón, el cual puede ser consultado en la dirección electrónica que remite.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left="426" w:right="4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left="426" w:right="4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el ahora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diciembre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2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“OFICIO DE RESPUESTA CON NOMENCLATURA OFICIO/233C0101040202l/670/2024, CON NÚMERO DE FOLIO DE SOLICITUD 00153/IFR/IP/2024.”. </w:t>
      </w:r>
      <w:r w:rsidDel="00000000" w:rsidR="00000000" w:rsidRPr="00000000">
        <w:rPr>
          <w:rtl w:val="0"/>
        </w:rPr>
      </w:r>
    </w:p>
    <w:p w:rsidR="00000000" w:rsidDel="00000000" w:rsidP="00000000" w:rsidRDefault="00000000" w:rsidRPr="00000000" w14:paraId="00000023">
      <w:pPr>
        <w:spacing w:line="360" w:lineRule="auto"/>
        <w:ind w:left="567" w:right="90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4">
      <w:pPr>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EN ATENCIÓN AL OFICIO DE RESPUESTA CON NOMENCLATURA OFICIO/233C0101040202l/661/2024, CON NÚMERO DE FOLIO DE SOLICITUD 00154/IFR/IP/2024, POR EL CUAL SE DA RESPUESTA A LA INQUIETUD FORMULADA, LA CUAL A LA LETRA INDICA: DEL IFREM, DE MANERA CONCRETA DEL SERVIDOR PUBLICO LUIS ANTONIO SIERRA ALVAREZ JEFE DEL DEPARTAMENTO DE RECURSOS MATERIALES Y ENCARGADO DEL DPTO DE SERVICIOS GENERALES, SI SE HAN HECHO MANTENIMIENTOS CORRECTIVOS Y PREVENTIVOS A LAS PLANTAS DE LUZ Y A LAS SUBESTACIONES QUE SE ENCUENTRAN EN EL EDIFICIO CENTRAL Y EN LAS OFICINAS REGISTRALES, POR QUE MONTOS, CON QUE EMPRESAS, QUE CONCEPTOS SE HAN CONTRATADO Y QUE CRITERIOS DE ASIGNACIÓN SE HAN EMPLEADO PARA CONTRATAR A LAS EMPRESAS ADJUDICADAS Y SI LAS MISMAS SE ENCUENTRAN EN EL PADRON DE PROVEEDORES DEL GEM, DE NO SER EL CASO EXPLIQUE EL MOTIVO DEL POR QUE SE LES HA CONTRATADO EN TÉRMINOS DE LO DISPUESTO EN LOS ARTÍCULOS 176, 178, 179 FRACCIONES I, IV, VI, IX Y XIII, 180 DE LA LEY DE TRANSPARENCIA Y ACCESO A LA INFORMACIÓN PÚBLICA DEL ESTADO DE MÉXICO Y MUNICIPIOS, SE INTERPONE EL RECURSO DE REVISIÓN EN LOS SIGUIENTES TÉRMINOS: ARTÍCULO 180, LEY DE TRANSPARENCIA Y ACCESO A LA INFORMACIÓN PÚBLICA DEL ESTADO DE MÉXICO Y MUNICIPIOS: I. El sujeto obligado ante la cual se presentó la solicitud. LIC. LUIS ANTONIO SIERRA ÁLVAREZ, AHORA SUBDIRECTOR DE ADMINISTRACIÓN EN EL INSTITUTO DE LA FUNCIÓN REGISTRAL DEL ESTADO DE MÉXICO. . II. El nombre del solicitante que recurre o de su representante y, en su caso, del tercero interesado, así como la dirección o medio que señale para recibir notificaciones: XXXXXXXXXXXX, SOLICITANDO LA RESPUESTA SE DÉ A TRAVÉS DEL SISTEMA DE ACCESO A LA INFORMACIÓN MEXIQUENSE. III. El número de folio de respuesta de la solicitud de acceso: OFICIO DE RESPUESTA CON NOMENCLATURA OFICIO/233C0101040202l/670/2024, CON NÚMERO DE FOLIO DE SOLICITUD 00153/IFR/IP/2024. IV. La fecha en que fue notificada la respuesta al solicitante o tuvo conocimiento del acto reclamado, o de presentación de la solicitud, en caso de falta de respuesta: 25/11/2024 V. El acto que se recurre: OFICIO DE RESPUESTA CON NOMENCLATURA OFICIO/233C0101040202l/670/2024, CON NÚMERO DE FOLIO DE SOLICITUD 00153/IFR/IP/2024. VI. Las razones o motivos de inconformidad; LA FALTA DE RESPUESTA CONGRUENTE A CARGO DEL SUJETO OBLIGADO, YA QUE DE MANERA CONCRETA SE LE PREGUNTA POR MANTENIMIENTOS “CORRECTIVOS Y PREVENTIVOS” DE LAS PLANTAS DE LUZ Y SUBESTACIONES Y EN SU RESPUESTA INDICA QUE HAN SIDO LOS DOS, POR UN TOTAL DE $429,960.96, INDICANDO QUE LOS CONCEPTOS CONTRATADOS ES EL MANTENIMIENTO PREVENTIVO, LUEGO ENTONCES SU RESPUESTA NO ES CONGRUENTE O BIEN ME NIEGAN LA INFORMACIÓN CONSISTENTE EN LOS DATOS SOLICITADOS POR CUANTO HACE AL MANTENIMIENTO CORRECTIVO. (SE ANEXA TABLA DE CONTESTACIÓN: EN ESTE TENOR DE IDEAS, LA INFORMACIÓN GENERADA ESTA INCOMPLETA O DE PLANO SE ME ESTA NEGANDO, AUNADO A LO ANTERIOR, YO PEDÍ LOS CRITERIOS POR LOS CUALES SE LE ASIGNA AL PROVEEDOR EL CONTRATO O EL SERVICIO, ES DECIR “LOS RAZONAMIENTOS”, LÓGICO LEGALES POR LOS CUALES SE DETERMINÓ QUE EL PROVEEDOR ASIGNADO CUMPLE CON LOS REQUISITOS QUE LA LEY MARCA, COMO LLEGARON A LA CONCLUSIÓN DE QUE CUMPLE CON LO QUE LA LEY ESTABLECE, DE TAL MANERA QUE SE ME INDIQUE QUE SON LOS CONTENIDOS EN LA LEY DE CONTRATACIÓN PÚBLICA DEL ESTADO DE MÉXICO Y MUNICIPIOS, NO SATISFACE EN NADA MI PREGUNTA, YA QUE PARA LEER LA LEY, PUES NO SE NECESITA MAS QUE SABER HACERLO. ASÍ LAS COSAS, DEBE SER LÓGICO QUE PARA ASIGNAR A UN PROVEEDOR SE TOMEN EN CONSIDERACIÓN LOS CRITERIOS QUE LA LEY ESTABLECE, PERO, DEBE EXISTIR EN LOS ARCHIVOS DE EL DEPARTAMENTO DE RECURSOS MATERIALES ALGÚN DOCUMENTO EN QUE SE HAYA HECHO UH ANÁLISIS PUNTO A PUNTO DE DICHOS CRITERIO APLICADO AL PROVEEDOR AL CUAL SE LE ASIGNÓ EL CONTRATO. ME ACOJO AL CRITERIO NÚMERO 0002-11, EL CUAL A LA LETRA INDICA: CRITERIO 0002-11 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Precedentes: 00995/ITAIPEWIP/RR/A/2009. Universidad Autónoma del Estado de México. Sesión 3 de junio de 2009. Por Unanimidad. Comisionado Federico Guzmán Tamayo. 02360/ITAIPEWIP/RR/A/2009. Ayuntamiento de Nezahualcóyotl Sesión 3 de febrero de 2010. Por Unanimidad de los presentes. Comisionado Federico Guzmán Tamayo. 01498/INFOEM/IP/RR/2010. Ayuntamiento de Nicolás Romero Sesión 12 de enero de 2011. Por Unanimidad. Comisionada Myrna Araceli García Morón. 01402/INFOEWIP/RR/2011. Ayuntamiento de Ecatepec de Morelos. Sesión 9 de junio de 2011. Por Unanimidad. Comisionada Miroslava Carrillo Martínez. 01556/INFOEM/IP/RF4/2011, Ayuntamiento de Nezahualcóyotl. Sesión 11 Agosto 2011. Por Mayoría de 4 Votos a 1. Comisionado Rosendoevgueni Monterrey Chepov. http://legislacion.edomex.gob.mx/sites/legislacion.edomex.gob.mx/files/files/pdf/gct/2011/oct191.PDF LO ANTERIOR SE RELACIONA CON LO ESTABLECIDO EN EL MANUAL GENERAL DE ORGANIZACIÓN DEL INSTITUTO DE LA FUNCIÓN REGISTRAL DEL ESTADO DE MÉXICO EL CUAL A LA LETRA INDICA: 227B15201 DEPARTAMENTO DE RECURSOS MATERIALES OBJETIVO: Garantizar el suministro oportuno de recursos materiales del Instituto de la Función Registral del Estado de México, verificando su correcta distribución y uso, con el fin de optimizarlos en su ejercicio y coadyuvar en el cumplimiento de los planes y programas establecidos del organismo. FUNCIONES: … -Realizar estudios de mercado sobre bienes, productos o servicios, así como practicar verificaciones físicas a las empresas, oficinas, talleres, bodegas, parque vehicular, entre otras, a fin de constatar el cumplimiento de los requisitos administrativos, técnicos, patrimoniales y legales para su contratación. - Solicitar demostraciones físicas a empresas, cuando los bienes o servicios a contratar representen complejidad técnica o administrativa. DE LO ANTERIOR SE COLIGE QUE, EN ALGÚN DOCUMENTO QUE SE REALICE EN EL DEPARTAMENTO DE RECURSOS MATERIALES DEBE CONSTAR QUE SE HACE UN ESTUDIO DE LO QUE SE CONTRATA Y DEL POR QUE LOS PROVEEDORES ASIGNADOS CUMPLEN CON LOS CRITERIOS QUE LA LEY LES MARCA PARA VERSE FAVORECIDOS, ESE PRECISAMENTE ES EL DOCUMENTO QUE SOLICITO. DE MANERA CONTRARIA, SE PENSARÍA QUE EL MOTIVO POR EL CUAL SE ASIGNA A ESE PROVEEDOR O A OTROS, ES UNA SIMPLE CONJETURA DE SE CUMPLE CON LA LEY, O BIEN UNA ASIGNACIÓN DUDOSA. I. Firma del recurrente, en su caso, cuando se presente por escrito, requisito sin el cual se dará trámite al recurso. En caso de que el recurso se interponga de manera electrónica no será indispensable que contengan los requisitos establecidos en las fracciones II, IV, VII y VIII. P R U E B A S 1) LA INSTRUMENTAL DE ACTUACIONES.- EN TODO LO QUE FAVOREZCA A MIS INTERESES. 2) LA PRESUNCIONAL EN SU DOBLE ASPECTO LEGAL Y HUMANA.- EN TODO LO QUE FAVOREZCA A MIS INTERESES. . EN VIRTUD DE LO MENCIONADO EN LÍNEAS ANTERIORES, ANTE ESE INSTITUTO ATENTAMENTE SOLICITO: PRIMERO: TENERME POR PRESENTADO EN TIEMPO Y FORMA INTERPONIENDO EL RECURSO DE MÉRITO. SEGUNDO: TENERME POR OFRECIDAS LAS PRUEBAS QUE SE MENCIONAN EN EL CAPÍTULO CORRESPONDIENTE. TERCERO: RESOLVER CONFORME A DERECHO PROCEDA, VELANDO SIEMPRE POR EL ACCESO A LA INFORMACIÓN DE LOS PARTICULARES. PROTESTO LO NECESARIO XXXXXXXXXXXXXXXX TOLUCA, ESTADO DE MÉXICO A, 2 DE DICIEMBRE DE 2024 .</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5">
      <w:pPr>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line="360" w:lineRule="auto"/>
        <w:ind w:left="284"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adjuntó el documento electrónico denominado </w:t>
      </w:r>
      <w:r w:rsidDel="00000000" w:rsidR="00000000" w:rsidRPr="00000000">
        <w:rPr>
          <w:rFonts w:ascii="Palatino Linotype" w:cs="Palatino Linotype" w:eastAsia="Palatino Linotype" w:hAnsi="Palatino Linotype"/>
          <w:b w:val="1"/>
          <w:i w:val="1"/>
          <w:sz w:val="22"/>
          <w:szCs w:val="22"/>
          <w:rtl w:val="0"/>
        </w:rPr>
        <w:t xml:space="preserve">REC REV 153.pdf,</w:t>
      </w:r>
      <w:r w:rsidDel="00000000" w:rsidR="00000000" w:rsidRPr="00000000">
        <w:rPr>
          <w:rFonts w:ascii="Palatino Linotype" w:cs="Palatino Linotype" w:eastAsia="Palatino Linotype" w:hAnsi="Palatino Linotype"/>
          <w:sz w:val="22"/>
          <w:szCs w:val="22"/>
          <w:rtl w:val="0"/>
        </w:rPr>
        <w:t xml:space="preserve"> cuyo contenido es la trascripción de los motivos o razones de inconformidad.</w:t>
      </w:r>
    </w:p>
    <w:p w:rsidR="00000000" w:rsidDel="00000000" w:rsidP="00000000" w:rsidRDefault="00000000" w:rsidRPr="00000000" w14:paraId="00000027">
      <w:pPr>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07439/INFOEM/IP/RR/2024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cinco de diciembre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El dieciséis de diciembre de dos mil veinticuatro el Sujeto Obligado rindió informe justificado a través del documento electrónico denominado INFORME JUSTIFICADO RR-07439-INFOEM-IP-RR-2024.pdf, el cual se puso a la vista del Recurrente el mismo día que se presentó, cuyo contenido indica que el concepto de contratación es el que se indica; sin embargo, contempla tanto el mantenimiento preventivo como el correctivo. Asimismo, indica que el Recurrente está ampliando sus requerimientos a través del recurso de revisión.</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tabs>
          <w:tab w:val="left" w:leader="none" w:pos="360"/>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trece de enero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left="107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5">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ind w:right="49"/>
        <w:jc w:val="both"/>
        <w:rPr>
          <w:rFonts w:ascii="Palatino Linotype" w:cs="Palatino Linotype" w:eastAsia="Palatino Linotype" w:hAnsi="Palatino Linotype"/>
          <w:sz w:val="22"/>
          <w:szCs w:val="22"/>
        </w:rPr>
      </w:pPr>
      <w:bookmarkStart w:colFirst="0" w:colLast="0" w:name="_heading=h.1fob9te" w:id="2"/>
      <w:bookmarkEnd w:id="2"/>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veinticinco de noviembre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dos de diciembre de dos mil veinticuatro</w:t>
      </w:r>
      <w:r w:rsidDel="00000000" w:rsidR="00000000" w:rsidRPr="00000000">
        <w:rPr>
          <w:rFonts w:ascii="Palatino Linotype" w:cs="Palatino Linotype" w:eastAsia="Palatino Linotype" w:hAnsi="Palatino Linotype"/>
          <w:sz w:val="22"/>
          <w:szCs w:val="22"/>
          <w:rtl w:val="0"/>
        </w:rPr>
        <w:t xml:space="preserve">, es decir, al octavo día que se tuvo por presentada, por lo que se encuentra dentro de los márgenes temporales previstos para tal efecto. </w:t>
      </w:r>
    </w:p>
    <w:p w:rsidR="00000000" w:rsidDel="00000000" w:rsidP="00000000" w:rsidRDefault="00000000" w:rsidRPr="00000000" w14:paraId="0000003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la interposición del recurso de revisión al rubro anotado, toda vez que se actualiza la hipótesis prevista en el artículo 179, fracción V de la ley de la materia, que a la letra dice:</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F">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0">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 </w:t>
      </w:r>
    </w:p>
    <w:p w:rsidR="00000000" w:rsidDel="00000000" w:rsidP="00000000" w:rsidRDefault="00000000" w:rsidRPr="00000000" w14:paraId="00000041">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como el informe justificado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6">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7">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C">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4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3">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A">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B">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C">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E">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2">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3">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4">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5">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al análisis de los agravios hechos valer por la parte Recurrente que actualizan la causal de procedencia prevista en la fracción </w:t>
      </w:r>
      <w:r w:rsidDel="00000000" w:rsidR="00000000" w:rsidRPr="00000000">
        <w:rPr>
          <w:rFonts w:ascii="Palatino Linotype" w:cs="Palatino Linotype" w:eastAsia="Palatino Linotype" w:hAnsi="Palatino Linotype"/>
          <w:b w:val="1"/>
          <w:sz w:val="22"/>
          <w:szCs w:val="22"/>
          <w:rtl w:val="0"/>
        </w:rPr>
        <w:t xml:space="preserve">V del artículo 179 de la Ley de Transparencia y Acceso a la Información del Estado de México y Municipios, relativa a la entrega de información incompleta.</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principio, resulta conveniente recordar que la pretensión de la parte Recurrente, frente a la respuesta que dio el Sujeto Obligado para determinar si la información proporcionada colma el derecho del particular.</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tbl>
      <w:tblPr>
        <w:tblStyle w:val="Table1"/>
        <w:tblW w:w="870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942"/>
        <w:gridCol w:w="4141"/>
        <w:gridCol w:w="1623"/>
        <w:tblGridChange w:id="0">
          <w:tblGrid>
            <w:gridCol w:w="2942"/>
            <w:gridCol w:w="4141"/>
            <w:gridCol w:w="1623"/>
          </w:tblGrid>
        </w:tblGridChange>
      </w:tblGrid>
      <w:tr>
        <w:trPr>
          <w:cantSplit w:val="0"/>
          <w:tblHeader w:val="0"/>
        </w:trPr>
        <w:tc>
          <w:tcPr/>
          <w:p w:rsidR="00000000" w:rsidDel="00000000" w:rsidP="00000000" w:rsidRDefault="00000000" w:rsidRPr="00000000" w14:paraId="0000006C">
            <w:pPr>
              <w:spacing w:line="360" w:lineRule="auto"/>
              <w:ind w:right="4"/>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REQUERIMIENTO</w:t>
            </w:r>
          </w:p>
        </w:tc>
        <w:tc>
          <w:tcPr/>
          <w:p w:rsidR="00000000" w:rsidDel="00000000" w:rsidP="00000000" w:rsidRDefault="00000000" w:rsidRPr="00000000" w14:paraId="0000006D">
            <w:pPr>
              <w:spacing w:line="360" w:lineRule="auto"/>
              <w:ind w:right="-15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PROPORCIONADA</w:t>
            </w:r>
          </w:p>
        </w:tc>
        <w:tc>
          <w:tcPr/>
          <w:p w:rsidR="00000000" w:rsidDel="00000000" w:rsidP="00000000" w:rsidRDefault="00000000" w:rsidRPr="00000000" w14:paraId="0000006E">
            <w:pPr>
              <w:spacing w:line="360" w:lineRule="auto"/>
              <w:ind w:right="-15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¿COLMA?</w:t>
            </w:r>
          </w:p>
        </w:tc>
      </w:tr>
      <w:tr>
        <w:trPr>
          <w:cantSplit w:val="0"/>
          <w:tblHeader w:val="0"/>
        </w:trPr>
        <w:tc>
          <w:tcPr/>
          <w:p w:rsidR="00000000" w:rsidDel="00000000" w:rsidP="00000000" w:rsidRDefault="00000000" w:rsidRPr="00000000" w14:paraId="0000006F">
            <w:pPr>
              <w:ind w:right="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se han hecho mantenimientos correctivos y preventivos a las plantas de luz y a las subestaciones que se encuentran en el edificio central y en las oficinas registrales</w:t>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Si se han hecho mantenimientos correctivos y preventivos a las plantas de luz y a las subestaciones que se encuentran en el edificio central.</w:t>
            </w:r>
          </w:p>
          <w:p w:rsidR="00000000" w:rsidDel="00000000" w:rsidP="00000000" w:rsidRDefault="00000000" w:rsidRPr="00000000" w14:paraId="00000071">
            <w:pPr>
              <w:spacing w:line="360" w:lineRule="auto"/>
              <w:ind w:right="49"/>
              <w:jc w:val="both"/>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72">
            <w:pPr>
              <w:spacing w:line="360" w:lineRule="auto"/>
              <w:ind w:right="-15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colma.</w:t>
            </w:r>
          </w:p>
        </w:tc>
      </w:tr>
      <w:tr>
        <w:trPr>
          <w:cantSplit w:val="0"/>
          <w:tblHeader w:val="0"/>
        </w:trPr>
        <w:tc>
          <w:tcPr/>
          <w:p w:rsidR="00000000" w:rsidDel="00000000" w:rsidP="00000000" w:rsidRDefault="00000000" w:rsidRPr="00000000" w14:paraId="00000073">
            <w:pPr>
              <w:spacing w:line="360" w:lineRule="auto"/>
              <w:ind w:right="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Montos, </w:t>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Monto: $429,960.96.</w:t>
            </w:r>
          </w:p>
          <w:p w:rsidR="00000000" w:rsidDel="00000000" w:rsidP="00000000" w:rsidRDefault="00000000" w:rsidRPr="00000000" w14:paraId="00000075">
            <w:pPr>
              <w:spacing w:line="360" w:lineRule="auto"/>
              <w:ind w:right="49"/>
              <w:jc w:val="both"/>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76">
            <w:pPr>
              <w:spacing w:line="360" w:lineRule="auto"/>
              <w:ind w:right="-15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colma</w:t>
            </w:r>
          </w:p>
        </w:tc>
      </w:tr>
      <w:tr>
        <w:trPr>
          <w:cantSplit w:val="0"/>
          <w:tblHeader w:val="0"/>
        </w:trPr>
        <w:tc>
          <w:tcPr/>
          <w:p w:rsidR="00000000" w:rsidDel="00000000" w:rsidP="00000000" w:rsidRDefault="00000000" w:rsidRPr="00000000" w14:paraId="00000077">
            <w:pPr>
              <w:spacing w:line="360" w:lineRule="auto"/>
              <w:ind w:right="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Empresas</w:t>
            </w:r>
          </w:p>
        </w:tc>
        <w:tc>
          <w:tcPr/>
          <w:p w:rsidR="00000000" w:rsidDel="00000000" w:rsidP="00000000" w:rsidRDefault="00000000" w:rsidRPr="00000000" w14:paraId="0000007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Daniel Sánchez Hernández (persona física).</w:t>
            </w:r>
            <w:r w:rsidDel="00000000" w:rsidR="00000000" w:rsidRPr="00000000">
              <w:rPr>
                <w:rtl w:val="0"/>
              </w:rPr>
            </w:r>
          </w:p>
        </w:tc>
        <w:tc>
          <w:tcPr/>
          <w:p w:rsidR="00000000" w:rsidDel="00000000" w:rsidP="00000000" w:rsidRDefault="00000000" w:rsidRPr="00000000" w14:paraId="00000079">
            <w:pPr>
              <w:spacing w:line="360" w:lineRule="auto"/>
              <w:ind w:right="-15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colma</w:t>
            </w:r>
          </w:p>
        </w:tc>
      </w:tr>
      <w:tr>
        <w:trPr>
          <w:cantSplit w:val="0"/>
          <w:tblHeader w:val="0"/>
        </w:trPr>
        <w:tc>
          <w:tcPr/>
          <w:p w:rsidR="00000000" w:rsidDel="00000000" w:rsidP="00000000" w:rsidRDefault="00000000" w:rsidRPr="00000000" w14:paraId="0000007A">
            <w:pPr>
              <w:spacing w:line="360" w:lineRule="auto"/>
              <w:ind w:right="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Conceptos se han contratado</w:t>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Contratación de los servicios de mantenimiento preventivo.</w:t>
            </w:r>
            <w:r w:rsidDel="00000000" w:rsidR="00000000" w:rsidRPr="00000000">
              <w:rPr>
                <w:rtl w:val="0"/>
              </w:rPr>
            </w:r>
          </w:p>
        </w:tc>
        <w:tc>
          <w:tcPr/>
          <w:p w:rsidR="00000000" w:rsidDel="00000000" w:rsidP="00000000" w:rsidRDefault="00000000" w:rsidRPr="00000000" w14:paraId="0000007C">
            <w:pPr>
              <w:spacing w:line="360" w:lineRule="auto"/>
              <w:ind w:right="-15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colma</w:t>
            </w:r>
          </w:p>
        </w:tc>
      </w:tr>
      <w:tr>
        <w:trPr>
          <w:cantSplit w:val="0"/>
          <w:tblHeader w:val="0"/>
        </w:trPr>
        <w:tc>
          <w:tcPr/>
          <w:p w:rsidR="00000000" w:rsidDel="00000000" w:rsidP="00000000" w:rsidRDefault="00000000" w:rsidRPr="00000000" w14:paraId="0000007D">
            <w:pPr>
              <w:spacing w:line="360" w:lineRule="auto"/>
              <w:ind w:right="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Criterios de asignación empleados para contratar a las empresas adjudicadas</w:t>
            </w:r>
          </w:p>
        </w:tc>
        <w:tc>
          <w:tcPr/>
          <w:p w:rsidR="00000000" w:rsidDel="00000000" w:rsidP="00000000" w:rsidRDefault="00000000" w:rsidRPr="00000000" w14:paraId="0000007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Los establecidos en la normatividad aplicable al caso en concreto, entre los cuales está tener mejores condiciones en cuanto a precio, calidad, financiamiento y oportunidad, no encontrarse en ningún de los supuestos que contempla el artículo 74 de la Ley de Contratación Pública del Estado de México, entre otros.</w:t>
            </w:r>
            <w:r w:rsidDel="00000000" w:rsidR="00000000" w:rsidRPr="00000000">
              <w:rPr>
                <w:rtl w:val="0"/>
              </w:rPr>
            </w:r>
          </w:p>
        </w:tc>
        <w:tc>
          <w:tcPr/>
          <w:p w:rsidR="00000000" w:rsidDel="00000000" w:rsidP="00000000" w:rsidRDefault="00000000" w:rsidRPr="00000000" w14:paraId="0000007F">
            <w:pPr>
              <w:spacing w:line="360" w:lineRule="auto"/>
              <w:ind w:right="-15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colma</w:t>
            </w:r>
          </w:p>
        </w:tc>
      </w:tr>
      <w:tr>
        <w:trPr>
          <w:cantSplit w:val="0"/>
          <w:tblHeader w:val="0"/>
        </w:trPr>
        <w:tc>
          <w:tcPr/>
          <w:p w:rsidR="00000000" w:rsidDel="00000000" w:rsidP="00000000" w:rsidRDefault="00000000" w:rsidRPr="00000000" w14:paraId="00000080">
            <w:pPr>
              <w:spacing w:line="360" w:lineRule="auto"/>
              <w:ind w:right="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se encuentran en el padrón de proveedores del GEM, </w:t>
            </w:r>
          </w:p>
        </w:tc>
        <w:tc>
          <w:tcPr/>
          <w:p w:rsidR="00000000" w:rsidDel="00000000" w:rsidP="00000000" w:rsidRDefault="00000000" w:rsidRPr="00000000" w14:paraId="00000081">
            <w:pPr>
              <w:spacing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w:t>
            </w:r>
          </w:p>
        </w:tc>
        <w:tc>
          <w:tcPr/>
          <w:p w:rsidR="00000000" w:rsidDel="00000000" w:rsidP="00000000" w:rsidRDefault="00000000" w:rsidRPr="00000000" w14:paraId="00000082">
            <w:pPr>
              <w:spacing w:line="360" w:lineRule="auto"/>
              <w:ind w:right="-15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colma</w:t>
            </w:r>
          </w:p>
        </w:tc>
      </w:tr>
      <w:tr>
        <w:trPr>
          <w:cantSplit w:val="0"/>
          <w:tblHeader w:val="0"/>
        </w:trPr>
        <w:tc>
          <w:tcPr/>
          <w:p w:rsidR="00000000" w:rsidDel="00000000" w:rsidP="00000000" w:rsidRDefault="00000000" w:rsidRPr="00000000" w14:paraId="00000083">
            <w:pPr>
              <w:spacing w:line="360" w:lineRule="auto"/>
              <w:ind w:right="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no ser el caso explique el motivo del porque se les ha contratado</w:t>
            </w:r>
          </w:p>
        </w:tc>
        <w:tc>
          <w:tcPr/>
          <w:p w:rsidR="00000000" w:rsidDel="00000000" w:rsidP="00000000" w:rsidRDefault="00000000" w:rsidRPr="00000000" w14:paraId="00000084">
            <w:pPr>
              <w:spacing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aplica</w:t>
            </w:r>
          </w:p>
        </w:tc>
        <w:tc>
          <w:tcPr/>
          <w:p w:rsidR="00000000" w:rsidDel="00000000" w:rsidP="00000000" w:rsidRDefault="00000000" w:rsidRPr="00000000" w14:paraId="00000085">
            <w:pPr>
              <w:spacing w:line="360" w:lineRule="auto"/>
              <w:ind w:right="-15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colma</w:t>
            </w:r>
          </w:p>
        </w:tc>
      </w:tr>
    </w:tbl>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Recurrente se inconformó, medularmente por lo siguiente:</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falta de respuesta congruente a cargo del sujeto obligado, ya que de manera concreta se le pregunta por mantenimientos “correctivos y preventivos” de las plantas de luz y subestaciones y en su respuesta indica que han sido los dos, por un total de $429,960.96, indicando que los conceptos contratados es el mantenimiento preventivo, luego entonces su respuesta no es congruente o bien me niegan la información consistente en los datos solicitados por cuanto </w:t>
      </w:r>
      <w:r w:rsidDel="00000000" w:rsidR="00000000" w:rsidRPr="00000000">
        <w:rPr>
          <w:rFonts w:ascii="Palatino Linotype" w:cs="Palatino Linotype" w:eastAsia="Palatino Linotype" w:hAnsi="Palatino Linotype"/>
          <w:b w:val="1"/>
          <w:sz w:val="22"/>
          <w:szCs w:val="22"/>
          <w:u w:val="single"/>
          <w:rtl w:val="0"/>
        </w:rPr>
        <w:t xml:space="preserve">hace al mantenimiento correctivo.</w:t>
      </w:r>
      <w:r w:rsidDel="00000000" w:rsidR="00000000" w:rsidRPr="00000000">
        <w:rPr>
          <w:rFonts w:ascii="Palatino Linotype" w:cs="Palatino Linotype" w:eastAsia="Palatino Linotype" w:hAnsi="Palatino Linotype"/>
          <w:sz w:val="22"/>
          <w:szCs w:val="22"/>
          <w:rtl w:val="0"/>
        </w:rPr>
        <w:t xml:space="preserve"> (Se anexa tabla de contestación: en este tenor de ideas, la información generada está incompleta o de plano se me está negando</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yo pedí los criterios por los cuales se le asigna al proveedor el contrato o el servicio, es decir “los razonamientos”, lógico legales por los cuales se determinó que el proveedor asignado cumple con los requisitos que la ley marca, como llegaron a la conclusión de que cumple con lo que la ley establece, de tal manera que se me indique que son los contenidos en la Ley de Contratación Pública del Estado de México y Municipios, no satisface en nada mi pregunta.</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agravio del particular, se aprecia que se inconforma por la información relativa a los criterios de asignación empleados para contratar a las empresas adjudicadas respecto de los mantenimientos preventivos y por lo correspondiente a los mantenimientos correctivos. No mostró agravio por el resto de la información que comprenden los mantenimientos preventivos, por lo que dichos requerimientos deben declararse atendidos, pues se entiende que la parte Recurrente ésta conforme con la información proporcionada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90">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expuesto, se determina que el presente asunto se ceñirá a analizar lo relativo a criterios de asignación empleados para contratar a las empresas adjudicadas de mantenimientos preventivos y por la totalidad de la información de los mantenimientos correctivos.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requerimiento relacionado con los criterios de asignación empleados para contratar la empresa adjudicada, el Sujeto Obligado indicó que son los establecidos en la normatividad aplicable al caso en concreto, entre los cuales está tener mejores condiciones en cuanto a precio, calidad, financiamiento y oportunidad, no encontrarse en ningún de los supuestos que contempla el artículo 74 de la Ley de Contratación Pública del Estado de México, entre otros.</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El Recurrente se inconformó manifestando </w:t>
      </w:r>
      <w:r w:rsidDel="00000000" w:rsidR="00000000" w:rsidRPr="00000000">
        <w:rPr>
          <w:rFonts w:ascii="Palatino Linotype" w:cs="Palatino Linotype" w:eastAsia="Palatino Linotype" w:hAnsi="Palatino Linotype"/>
          <w:i w:val="1"/>
          <w:sz w:val="22"/>
          <w:szCs w:val="22"/>
          <w:rtl w:val="0"/>
        </w:rPr>
        <w:t xml:space="preserve">“…yo pedí los criterios por los cuales se le asigna al proveedor el contrato o el servicio, es decir “los razonamientos”, lógico legales por los cuales se determinó que el proveedor asignado cumple con los requisitos que la ley marca, como llegaron a la conclusión de que cumple con lo que la ley establece, de tal manera que se me indique que son los contenidos en la Ley de Contratación Pública del Estado de México y Municipios…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atendiendo la naturaleza de la información requerida y del procedimiento de adjudicación directa respecto de la cual se requiere la misma, resulta conveniente traer a contexto el contenido de los artículos: 1, fracción VI, 26, 35, 36, 36 bis, 37 y 40 de Ley de Adquisiciones, Arrendamientos y Servicios del Sector Público, que disponen lo siguiente:</w:t>
      </w:r>
    </w:p>
    <w:p w:rsidR="00000000" w:rsidDel="00000000" w:rsidP="00000000" w:rsidRDefault="00000000" w:rsidRPr="00000000" w14:paraId="0000009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tabs>
          <w:tab w:val="left" w:leader="none" w:pos="851"/>
        </w:tabs>
        <w:ind w:left="567" w:right="616" w:firstLine="0"/>
        <w:jc w:val="center"/>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Ley de Adquisiciones, Arrendamientos y Servicios del Sector Público</w:t>
      </w:r>
    </w:p>
    <w:p w:rsidR="00000000" w:rsidDel="00000000" w:rsidP="00000000" w:rsidRDefault="00000000" w:rsidRPr="00000000" w14:paraId="000000A0">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1">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 La presente Ley es de orden público y tiene por objeto reglamentar la aplicación del artículo 134 de la Constitución Política de los Estados Unidos Mexicanos en materia de las adquisiciones, arrendamientos de bienes muebles y prestación de servicios de cualquier naturaleza, que realicen:</w:t>
      </w:r>
    </w:p>
    <w:p w:rsidR="00000000" w:rsidDel="00000000" w:rsidP="00000000" w:rsidRDefault="00000000" w:rsidRPr="00000000" w14:paraId="000000A2">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77" w:right="616"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organismos descentralizados;</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77" w:right="616"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rsidR="00000000" w:rsidDel="00000000" w:rsidP="00000000" w:rsidRDefault="00000000" w:rsidRPr="00000000" w14:paraId="000000A5">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6">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7">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 Para los efectos de esta Ley, entre las adquisiciones, arrendamientos y servicios, quedan comprendidos:</w:t>
      </w:r>
    </w:p>
    <w:p w:rsidR="00000000" w:rsidDel="00000000" w:rsidP="00000000" w:rsidRDefault="00000000" w:rsidRPr="00000000" w14:paraId="000000A8">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9">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La prestación de servicios de largo plazo que involucren recursos de varios ejercicios fiscales, a cargo de un inversionista proveedor, el cual se obliga a proporcionarlos con los activos que provea por sí o a través de un tercero</w:t>
      </w:r>
      <w:r w:rsidDel="00000000" w:rsidR="00000000" w:rsidRPr="00000000">
        <w:rPr>
          <w:rFonts w:ascii="Palatino Linotype" w:cs="Palatino Linotype" w:eastAsia="Palatino Linotype" w:hAnsi="Palatino Linotype"/>
          <w:i w:val="1"/>
          <w:sz w:val="22"/>
          <w:szCs w:val="22"/>
          <w:rtl w:val="0"/>
        </w:rPr>
        <w:t xml:space="preserve">, de conformidad con un proyecto para la prestación de dichos servicios; […]”</w:t>
      </w:r>
    </w:p>
    <w:p w:rsidR="00000000" w:rsidDel="00000000" w:rsidP="00000000" w:rsidRDefault="00000000" w:rsidRPr="00000000" w14:paraId="000000AA">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26. Las dependencias y entidades seleccionarán de entre los procedimientos que a continuación se señalan, aquél que de acuerdo con la naturaleza de la contratación asegure al Estado las mejores condiciones disponibles en cuanto a precio, calidad, financiamiento, oportunidad y demás circunstancias pertinentes: </w:t>
      </w:r>
    </w:p>
    <w:p w:rsidR="00000000" w:rsidDel="00000000" w:rsidP="00000000" w:rsidRDefault="00000000" w:rsidRPr="00000000" w14:paraId="000000AC">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D">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Licitación pública; </w:t>
      </w:r>
    </w:p>
    <w:p w:rsidR="00000000" w:rsidDel="00000000" w:rsidP="00000000" w:rsidRDefault="00000000" w:rsidRPr="00000000" w14:paraId="000000AE">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Invitación a cuando menos tres personas, o </w:t>
      </w:r>
    </w:p>
    <w:p w:rsidR="00000000" w:rsidDel="00000000" w:rsidP="00000000" w:rsidRDefault="00000000" w:rsidRPr="00000000" w14:paraId="000000AF">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Adjudicación directa.</w:t>
      </w:r>
    </w:p>
    <w:p w:rsidR="00000000" w:rsidDel="00000000" w:rsidP="00000000" w:rsidRDefault="00000000" w:rsidRPr="00000000" w14:paraId="000000B0">
      <w:pPr>
        <w:tabs>
          <w:tab w:val="left" w:leader="none" w:pos="851"/>
        </w:tabs>
        <w:ind w:left="567" w:right="616" w:firstLine="0"/>
        <w:jc w:val="both"/>
        <w:rPr>
          <w:rFonts w:ascii="Palatino Linotype" w:cs="Palatino Linotype" w:eastAsia="Palatino Linotype" w:hAnsi="Palatino Linotype"/>
          <w:i w:val="1"/>
          <w:sz w:val="14"/>
          <w:szCs w:val="14"/>
        </w:rPr>
      </w:pPr>
      <w:r w:rsidDel="00000000" w:rsidR="00000000" w:rsidRPr="00000000">
        <w:rPr>
          <w:rtl w:val="0"/>
        </w:rPr>
      </w:r>
    </w:p>
    <w:p w:rsidR="00000000" w:rsidDel="00000000" w:rsidP="00000000" w:rsidRDefault="00000000" w:rsidRPr="00000000" w14:paraId="000000B1">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adquisiciones, arrendamientos y servicios se adjudicarán, por regla general,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w:t>
      </w:r>
      <w:r w:rsidDel="00000000" w:rsidR="00000000" w:rsidRPr="00000000">
        <w:rPr>
          <w:rFonts w:ascii="Palatino Linotype" w:cs="Palatino Linotype" w:eastAsia="Palatino Linotype" w:hAnsi="Palatino Linotype"/>
          <w:i w:val="1"/>
          <w:sz w:val="22"/>
          <w:szCs w:val="22"/>
          <w:rtl w:val="0"/>
        </w:rPr>
        <w:t xml:space="preserve">, de acuerdo con lo que establece la presente Ley. </w:t>
      </w:r>
    </w:p>
    <w:p w:rsidR="00000000" w:rsidDel="00000000" w:rsidP="00000000" w:rsidRDefault="00000000" w:rsidRPr="00000000" w14:paraId="000000B2">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3">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procedimientos de contratación deberán establecerse los mismos requisitos y condiciones para todos los participantes, debiendo las dependencias y entidades proporcionar a todos los interesados igual acceso a la información relacionada con dichos procedimientos, a fin de evitar favorecer a algún participante. </w:t>
      </w:r>
    </w:p>
    <w:p w:rsidR="00000000" w:rsidDel="00000000" w:rsidP="00000000" w:rsidRDefault="00000000" w:rsidRPr="00000000" w14:paraId="000000B4">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Previo al inicio de los procedimientos de contratación previstos en este artículo, las dependencias y entidades deberán realizar una investigación de mercado de la cual se desprendan las condiciones que imperan en el mismo, respecto del bien, arrendamiento o servicio objeto de la contratación, a efecto de buscar las mejores condiciones para el Estado.”</w:t>
      </w:r>
    </w:p>
    <w:p w:rsidR="00000000" w:rsidDel="00000000" w:rsidP="00000000" w:rsidRDefault="00000000" w:rsidRPr="00000000" w14:paraId="000000B5">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6">
      <w:pPr>
        <w:tabs>
          <w:tab w:val="left" w:leader="none" w:pos="851"/>
        </w:tabs>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35. El acto de presentación y apertura de proposiciones se llevará a cabo en el día, lugar y hora previstos en la convocatoria a la licitación, conforme a lo siguiente: </w:t>
      </w:r>
    </w:p>
    <w:p w:rsidR="00000000" w:rsidDel="00000000" w:rsidP="00000000" w:rsidRDefault="00000000" w:rsidRPr="00000000" w14:paraId="000000B7">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8">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Una vez recibidas las proposiciones en sobre cerrado, se procederá a su apertura, haciéndose constar la documentación presentada, sin que ello implique la evaluación de su contenido; </w:t>
      </w:r>
    </w:p>
    <w:p w:rsidR="00000000" w:rsidDel="00000000" w:rsidP="00000000" w:rsidRDefault="00000000" w:rsidRPr="00000000" w14:paraId="000000B9">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A">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 entre los licitantes que hayan asistido, éstos elegirán a uno, que en forma conjunta con el servidor público que la dependencia o entidad designe, rubricarán las partes de las proposiciones que previamente haya determinado la convocante en la convocatoria a la licitación, las que para estos efectos constarán documentalmente, y </w:t>
      </w:r>
    </w:p>
    <w:p w:rsidR="00000000" w:rsidDel="00000000" w:rsidP="00000000" w:rsidRDefault="00000000" w:rsidRPr="00000000" w14:paraId="000000BB">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C">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000000" w:rsidDel="00000000" w:rsidP="00000000" w:rsidRDefault="00000000" w:rsidRPr="00000000" w14:paraId="000000BD">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E">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Tratándose de licitaciones en las que se utilice la modalidad de ofertas subsecuentes de descuentos, después de la evaluación técnica, se indicará cuando se dará inicio a las pujas de los licitantes.”</w:t>
      </w:r>
    </w:p>
    <w:p w:rsidR="00000000" w:rsidDel="00000000" w:rsidP="00000000" w:rsidRDefault="00000000" w:rsidRPr="00000000" w14:paraId="000000BF">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0">
      <w:pPr>
        <w:tabs>
          <w:tab w:val="left" w:leader="none" w:pos="851"/>
        </w:tabs>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36. Las dependencias y entidades para la </w:t>
      </w:r>
      <w:r w:rsidDel="00000000" w:rsidR="00000000" w:rsidRPr="00000000">
        <w:rPr>
          <w:rFonts w:ascii="Palatino Linotype" w:cs="Palatino Linotype" w:eastAsia="Palatino Linotype" w:hAnsi="Palatino Linotype"/>
          <w:b w:val="1"/>
          <w:i w:val="1"/>
          <w:sz w:val="22"/>
          <w:szCs w:val="22"/>
          <w:u w:val="single"/>
          <w:rtl w:val="0"/>
        </w:rPr>
        <w:t xml:space="preserve">evaluación</w:t>
      </w:r>
      <w:r w:rsidDel="00000000" w:rsidR="00000000" w:rsidRPr="00000000">
        <w:rPr>
          <w:rFonts w:ascii="Palatino Linotype" w:cs="Palatino Linotype" w:eastAsia="Palatino Linotype" w:hAnsi="Palatino Linotype"/>
          <w:b w:val="1"/>
          <w:i w:val="1"/>
          <w:sz w:val="22"/>
          <w:szCs w:val="22"/>
          <w:rtl w:val="0"/>
        </w:rPr>
        <w:t xml:space="preserve"> de las proposiciones deberán utilizar el criterio indicado en la convocatoria a la licitación. </w:t>
      </w:r>
    </w:p>
    <w:p w:rsidR="00000000" w:rsidDel="00000000" w:rsidP="00000000" w:rsidRDefault="00000000" w:rsidRPr="00000000" w14:paraId="000000C1">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2">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todos los casos las convocantes deberán verificar que las proposiciones cumplan con los requisitos solicitados en la convocatoria a la licitación; </w:t>
      </w:r>
      <w:r w:rsidDel="00000000" w:rsidR="00000000" w:rsidRPr="00000000">
        <w:rPr>
          <w:rFonts w:ascii="Palatino Linotype" w:cs="Palatino Linotype" w:eastAsia="Palatino Linotype" w:hAnsi="Palatino Linotype"/>
          <w:b w:val="1"/>
          <w:i w:val="1"/>
          <w:sz w:val="22"/>
          <w:szCs w:val="22"/>
          <w:rtl w:val="0"/>
        </w:rPr>
        <w:t xml:space="preserve">la utilización del criterio de evaluación binario, mediante el cual sólo se adjudica a quien cumpla los requisitos establecidos por la convocante y oferte el precio más bajo, será aplicable cuando no sea posible utilizar los criterios de puntos y porcentajes o de costo beneficio.</w:t>
      </w:r>
      <w:r w:rsidDel="00000000" w:rsidR="00000000" w:rsidRPr="00000000">
        <w:rPr>
          <w:rFonts w:ascii="Palatino Linotype" w:cs="Palatino Linotype" w:eastAsia="Palatino Linotype" w:hAnsi="Palatino Linotype"/>
          <w:i w:val="1"/>
          <w:sz w:val="22"/>
          <w:szCs w:val="22"/>
          <w:rtl w:val="0"/>
        </w:rPr>
        <w:t xml:space="preserve"> En este supuesto, </w:t>
      </w:r>
      <w:r w:rsidDel="00000000" w:rsidR="00000000" w:rsidRPr="00000000">
        <w:rPr>
          <w:rFonts w:ascii="Palatino Linotype" w:cs="Palatino Linotype" w:eastAsia="Palatino Linotype" w:hAnsi="Palatino Linotype"/>
          <w:b w:val="1"/>
          <w:i w:val="1"/>
          <w:sz w:val="22"/>
          <w:szCs w:val="22"/>
          <w:rtl w:val="0"/>
        </w:rPr>
        <w:t xml:space="preserve">la convocante evaluará al menos las dos proposiciones cuyo precio resulte ser más bajo; de no resultar éstas solventes, se evaluarán las que les sigan en precio. </w:t>
      </w:r>
      <w:r w:rsidDel="00000000" w:rsidR="00000000" w:rsidRPr="00000000">
        <w:rPr>
          <w:rtl w:val="0"/>
        </w:rPr>
      </w:r>
    </w:p>
    <w:p w:rsidR="00000000" w:rsidDel="00000000" w:rsidP="00000000" w:rsidRDefault="00000000" w:rsidRPr="00000000" w14:paraId="000000C3">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4">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las dependencias y entidades requieran obtener bienes, arrendamientos o servicios que conlleven el uso de características de alta especialidad técnica o de innovación tecnología, deberán utilizar el criterio de evaluación de puntos y porcentajes o de costo beneficio. </w:t>
      </w:r>
    </w:p>
    <w:p w:rsidR="00000000" w:rsidDel="00000000" w:rsidP="00000000" w:rsidRDefault="00000000" w:rsidRPr="00000000" w14:paraId="000000C5">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6">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w:t>
      </w:r>
    </w:p>
    <w:p w:rsidR="00000000" w:rsidDel="00000000" w:rsidP="00000000" w:rsidRDefault="00000000" w:rsidRPr="00000000" w14:paraId="000000C7">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8">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000000" w:rsidDel="00000000" w:rsidP="00000000" w:rsidRDefault="00000000" w:rsidRPr="00000000" w14:paraId="000000C9">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A">
      <w:pPr>
        <w:tabs>
          <w:tab w:val="left" w:leader="none" w:pos="851"/>
        </w:tabs>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36 Bis. Una vez hecha la evaluación de las proposiciones, el contrato se adjudicará al licitante cuya oferta resulte solvente, porque cumple con los requisitos legales, técnicos y económicos establecidos en la convocatoria a la licitación, y por tanto garantiza el cumplimiento de las obligaciones respectivas y, en su caso: </w:t>
      </w:r>
    </w:p>
    <w:p w:rsidR="00000000" w:rsidDel="00000000" w:rsidP="00000000" w:rsidRDefault="00000000" w:rsidRPr="00000000" w14:paraId="000000CB">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C">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proposición haya obtenido el mejor resultado en la evaluación combinada de puntos y porcentajes, o bien, de costo beneficio; </w:t>
      </w:r>
    </w:p>
    <w:p w:rsidR="00000000" w:rsidDel="00000000" w:rsidP="00000000" w:rsidRDefault="00000000" w:rsidRPr="00000000" w14:paraId="000000CD">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E">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 no haberse utilizado las modalidades mencionadas en la fracción anterior, la proposición hubiera ofertado el precio más bajo, siempre y cuando éste resulte conveniente. Los precios ofertados que se encuentren por debajo del precio conveniente, podrán ser desechados por la convocante, y </w:t>
      </w:r>
    </w:p>
    <w:p w:rsidR="00000000" w:rsidDel="00000000" w:rsidP="00000000" w:rsidRDefault="00000000" w:rsidRPr="00000000" w14:paraId="000000CF">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0">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 quien oferte el precio más bajo que resulte del uso de la modalidad de ofertas subsecuentes de descuentos, siempre y cuando la proposición resulte solvente técnica y económicamente. </w:t>
      </w:r>
    </w:p>
    <w:p w:rsidR="00000000" w:rsidDel="00000000" w:rsidP="00000000" w:rsidRDefault="00000000" w:rsidRPr="00000000" w14:paraId="000000D1">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2">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los casos señalados en las fracciones I y II de este artículo, en caso de existir igualdad de condiciones, se dará preferencia a las personas que integren el sector de micro, pequeñas y medianas empresas nacionales. </w:t>
      </w:r>
    </w:p>
    <w:p w:rsidR="00000000" w:rsidDel="00000000" w:rsidP="00000000" w:rsidRDefault="00000000" w:rsidRPr="00000000" w14:paraId="000000D3">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4">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subsistir el empate entre las personas del sector señalado, la adjudicación se efectuará a favor del licitante que resulte ganador del sorteo que se realice en términos del Reglamento de esta Ley. En las licitaciones públicas que cuenten con la participación de un testigo social, éste invariablemente deberá ser invitado al mismo. Igualmente será convocado un representante del órgano interno de control de la dependencia o entidad de que se trate.”</w:t>
      </w:r>
    </w:p>
    <w:p w:rsidR="00000000" w:rsidDel="00000000" w:rsidP="00000000" w:rsidRDefault="00000000" w:rsidRPr="00000000" w14:paraId="000000D5">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6">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37. La convocante emitirá un fallo, el cual deberá contener lo siguiente: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7">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8">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relación de licitantes cuyas proposiciones se desecharon, expresando todas las razones legales, técnicas o económicas que sustentan tal determinación e indicando los puntos de la convocatoria que en cada caso se incumpla; </w:t>
      </w:r>
    </w:p>
    <w:p w:rsidR="00000000" w:rsidDel="00000000" w:rsidP="00000000" w:rsidRDefault="00000000" w:rsidRPr="00000000" w14:paraId="000000D9">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A">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relación de licitantes cuyas proposiciones resultaron solventes, describiendo en lo general dichas proposiciones. Se presumirá la solvencia de las proposiciones, cuando no se señale expresamente incumplimiento alguno; </w:t>
      </w:r>
    </w:p>
    <w:p w:rsidR="00000000" w:rsidDel="00000000" w:rsidP="00000000" w:rsidRDefault="00000000" w:rsidRPr="00000000" w14:paraId="000000DB">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C">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En caso de que se determine que el precio de una proposición no es aceptable o no es conveniente, se deberá anexar copia de la investigación de precios realizada o del cálculo correspondiente; </w:t>
      </w:r>
    </w:p>
    <w:p w:rsidR="00000000" w:rsidDel="00000000" w:rsidP="00000000" w:rsidRDefault="00000000" w:rsidRPr="00000000" w14:paraId="000000DD">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E">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Nombre del o los licitantes a quien se adjudica el contrato, indicando las razones que motivaron la adjudicación, de acuerdo a los criterios previstos en la convocatoria, así como la indicación de la o las partidas, los conceptos y montos asignados a cada licitante; </w:t>
      </w:r>
    </w:p>
    <w:p w:rsidR="00000000" w:rsidDel="00000000" w:rsidP="00000000" w:rsidRDefault="00000000" w:rsidRPr="00000000" w14:paraId="000000DF">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0">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Fecha, lugar y hora para la firma del contrato, la presentación de garantías y, en su caso, la entrega de anticipos, y </w:t>
      </w:r>
    </w:p>
    <w:p w:rsidR="00000000" w:rsidDel="00000000" w:rsidP="00000000" w:rsidRDefault="00000000" w:rsidRPr="00000000" w14:paraId="000000E1">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2">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Nombre, cargo y firma del servidor público que lo emite, señalando sus facultades de acuerdo con los ordenamientos jurídicos que rijan a la convocante. Indicará también el nombre y cargo de los responsables de la evaluación de las proposiciones.”</w:t>
      </w:r>
    </w:p>
    <w:p w:rsidR="00000000" w:rsidDel="00000000" w:rsidP="00000000" w:rsidRDefault="00000000" w:rsidRPr="00000000" w14:paraId="000000E3">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4">
      <w:pPr>
        <w:tabs>
          <w:tab w:val="left" w:leader="none" w:pos="851"/>
        </w:tabs>
        <w:ind w:left="567"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“Artículo 40.- </w:t>
      </w:r>
      <w:r w:rsidDel="00000000" w:rsidR="00000000" w:rsidRPr="00000000">
        <w:rPr>
          <w:rFonts w:ascii="Palatino Linotype" w:cs="Palatino Linotype" w:eastAsia="Palatino Linotype" w:hAnsi="Palatino Linotype"/>
          <w:b w:val="1"/>
          <w:i w:val="1"/>
          <w:sz w:val="22"/>
          <w:szCs w:val="22"/>
          <w:rtl w:val="0"/>
        </w:rPr>
        <w:t xml:space="preserve">En los supuestos que prevé el artículo 41 de esta Ley, las dependencias y entidades, bajo su responsabilidad, podrán optar por no llevar a cabo el procedimiento de licitación pública y celebrar contratos a través de los procedimientos de</w:t>
      </w:r>
      <w:r w:rsidDel="00000000" w:rsidR="00000000" w:rsidRPr="00000000">
        <w:rPr>
          <w:rFonts w:ascii="Palatino Linotype" w:cs="Palatino Linotype" w:eastAsia="Palatino Linotype" w:hAnsi="Palatino Linotype"/>
          <w:i w:val="1"/>
          <w:sz w:val="22"/>
          <w:szCs w:val="22"/>
          <w:rtl w:val="0"/>
        </w:rPr>
        <w:t xml:space="preserve"> invitación a cuando menos tres personas o de </w:t>
      </w:r>
      <w:r w:rsidDel="00000000" w:rsidR="00000000" w:rsidRPr="00000000">
        <w:rPr>
          <w:rFonts w:ascii="Palatino Linotype" w:cs="Palatino Linotype" w:eastAsia="Palatino Linotype" w:hAnsi="Palatino Linotype"/>
          <w:b w:val="1"/>
          <w:i w:val="1"/>
          <w:sz w:val="22"/>
          <w:szCs w:val="22"/>
          <w:u w:val="single"/>
          <w:rtl w:val="0"/>
        </w:rPr>
        <w:t xml:space="preserve">adjudicación directa. </w:t>
      </w:r>
    </w:p>
    <w:p w:rsidR="00000000" w:rsidDel="00000000" w:rsidP="00000000" w:rsidRDefault="00000000" w:rsidRPr="00000000" w14:paraId="000000E5">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6">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selección del procedimiento de excepción que realicen las dependencias y entidades deberá fundarse y motivarse, según las circunstancias que concurran en cada caso, en criterios de economía, eficacia, eficiencia, imparcialidad, honradez y transparencia que resulten procedentes para obtener las mejores condiciones para el Estado</w:t>
      </w:r>
      <w:r w:rsidDel="00000000" w:rsidR="00000000" w:rsidRPr="00000000">
        <w:rPr>
          <w:rFonts w:ascii="Palatino Linotype" w:cs="Palatino Linotype" w:eastAsia="Palatino Linotype" w:hAnsi="Palatino Linotype"/>
          <w:i w:val="1"/>
          <w:sz w:val="22"/>
          <w:szCs w:val="22"/>
          <w:rtl w:val="0"/>
        </w:rPr>
        <w:t xml:space="preserve">. El acreditamiento del o los criterios en los que se funda; así como la justificación de las razones en las que se sustente el ejercicio de la opción, deberán constar por escrito y ser firmado por el titular del área usuaria o requirente de los bienes o servicios. </w:t>
      </w:r>
    </w:p>
    <w:p w:rsidR="00000000" w:rsidDel="00000000" w:rsidP="00000000" w:rsidRDefault="00000000" w:rsidRPr="00000000" w14:paraId="000000E7">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8">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cualquier supuesto se invitará a personas que cuenten con capacidad de respuesta inmediata, así como con los recursos técnicos, financieros y demás que sean necesarios, y cuyas actividades comerciales o profesionales estén relacionadas con los bienes o servicios objeto del contrato a celebrarse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9">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A">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estos casos, el titular del área responsable de la contratación, a más tardar el último día hábil de cada mes, enviará al órgano interno de control en la dependencia o entidad de que se trate, un informe relativo a los contratos formalizados durante el mes calendario inmediato anterior, acompañando copia del escrito aludido en este artículo y </w:t>
      </w:r>
      <w:r w:rsidDel="00000000" w:rsidR="00000000" w:rsidRPr="00000000">
        <w:rPr>
          <w:rFonts w:ascii="Palatino Linotype" w:cs="Palatino Linotype" w:eastAsia="Palatino Linotype" w:hAnsi="Palatino Linotype"/>
          <w:b w:val="1"/>
          <w:i w:val="1"/>
          <w:sz w:val="22"/>
          <w:szCs w:val="22"/>
          <w:rtl w:val="0"/>
        </w:rPr>
        <w:t xml:space="preserve">de un dictamen en el que se hará constar el análisis de la o las proposiciones y las razones para la adjudicación del contrato.</w:t>
      </w:r>
      <w:r w:rsidDel="00000000" w:rsidR="00000000" w:rsidRPr="00000000">
        <w:rPr>
          <w:rFonts w:ascii="Palatino Linotype" w:cs="Palatino Linotype" w:eastAsia="Palatino Linotype" w:hAnsi="Palatino Linotype"/>
          <w:i w:val="1"/>
          <w:sz w:val="22"/>
          <w:szCs w:val="22"/>
          <w:rtl w:val="0"/>
        </w:rPr>
        <w:t xml:space="preserve"> No será necesario rendir este informe en las operaciones que se realicen al amparo del artículo 41 fracciones IV y XII, de este ordenamiento. </w:t>
      </w:r>
    </w:p>
    <w:p w:rsidR="00000000" w:rsidDel="00000000" w:rsidP="00000000" w:rsidRDefault="00000000" w:rsidRPr="00000000" w14:paraId="000000EB">
      <w:pPr>
        <w:tabs>
          <w:tab w:val="left" w:leader="none" w:pos="851"/>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C">
      <w:pPr>
        <w:tabs>
          <w:tab w:val="left" w:leader="none" w:pos="851"/>
        </w:tabs>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del procedimiento de invitación a cuando menos tres personas fundamentados en las fracciones III, VII, VIII, IX primer párrafo, X, XI, XII, XIV, XV, XVI, XVII y XIX del artículo 41 de esta Ley, el escrito a que se refiere el segundo párrafo de este artículo, deberá estar acompañado de los nombres y datos generales de las personas que serán invitadas; </w:t>
      </w:r>
      <w:r w:rsidDel="00000000" w:rsidR="00000000" w:rsidRPr="00000000">
        <w:rPr>
          <w:rFonts w:ascii="Palatino Linotype" w:cs="Palatino Linotype" w:eastAsia="Palatino Linotype" w:hAnsi="Palatino Linotype"/>
          <w:b w:val="1"/>
          <w:i w:val="1"/>
          <w:sz w:val="22"/>
          <w:szCs w:val="22"/>
          <w:rtl w:val="0"/>
        </w:rPr>
        <w:t xml:space="preserve">tratándose de adjudicaciones directas, en todos los casos deberá indicarse el nombre de la persona a quien se propone realizarla; en ambos procedimientos, deberá acompañarse el resultado de la investigación de mercado que sirvió de base para su selección.”</w:t>
      </w:r>
    </w:p>
    <w:p w:rsidR="00000000" w:rsidDel="00000000" w:rsidP="00000000" w:rsidRDefault="00000000" w:rsidRPr="00000000" w14:paraId="000000ED">
      <w:pPr>
        <w:tabs>
          <w:tab w:val="left" w:leader="none" w:pos="851"/>
        </w:tabs>
        <w:ind w:left="567"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E">
      <w:pPr>
        <w:tabs>
          <w:tab w:val="left" w:leader="none" w:pos="851"/>
        </w:tabs>
        <w:ind w:left="567" w:right="616"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0EF">
      <w:pPr>
        <w:tabs>
          <w:tab w:val="left" w:leader="none" w:pos="851"/>
        </w:tabs>
        <w:spacing w:line="276" w:lineRule="auto"/>
        <w:ind w:left="567" w:right="616"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señalar que los numerales anteriormente descritos establecen una serie de elementos que deben tomar en cuenta los entes contratantes para la adquisición de bienes o servicios, tales como:</w:t>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dentro de los procedimiento de adquisición que el ente público puede llevar a cabo se encuentra la </w:t>
      </w:r>
      <w:r w:rsidDel="00000000" w:rsidR="00000000" w:rsidRPr="00000000">
        <w:rPr>
          <w:rFonts w:ascii="Palatino Linotype" w:cs="Palatino Linotype" w:eastAsia="Palatino Linotype" w:hAnsi="Palatino Linotype"/>
          <w:b w:val="1"/>
          <w:sz w:val="22"/>
          <w:szCs w:val="22"/>
          <w:rtl w:val="0"/>
        </w:rPr>
        <w:t xml:space="preserve">licitación pública, invitación a cuando menos tres personas o la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adjudicación directa.</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adquisiciones, arrendamientos y servicios se adjudicarán, por regla general,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crecimiento económico, entre otros aspectos.</w:t>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6">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dependencias, bajo su responsabilidad, podrán optar por no llevar a cabo el procedimiento de licitación pública y celebrar contratos a través de procedimientos como de adjudicación directa.</w:t>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8">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procedimiento de adjudicación directa en estudio, le resultaron aplicables las reglas para la licitación pública, en cuanto a la convocatoria, el acto de presentación y apertura de proposiciones, la evaluación de estas últimas, adjudicación del contrato y emisión del fallo correspondiente; tal y como se desprende de dicho fallo de adjudicación antes citado.</w:t>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Dentro del procedimiento de adjudicación directa, se desprende que, una vez recibidas las proposiciones en sobre cerrado, se procederá a su apertura, haciéndose constar la documentación presentada, sin que ello implique la evaluación de su contenido.</w:t>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Los convocantes deben utilizar el criterio de evaluación binario que consiste en adjudicar el contrato a quien cumpla los requisitos establecidos por la convocante y oferte el precio más bajo; y, que dicho criterio se aplica cuando los criterios de puntos y porcentajes o de costo beneficio no sea posible utilizarlo.</w:t>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una vez realizada la evaluación de las proposiciones se indica que el contrato se adjudicará a la persona (física o jurídico colectiva) cuya oferta resulte solvente y cumpla con los requisitos legales, técnicos y económicos establecidos en la convocatoria o invitación pública, que garantice el cumplimiento de las obligaciones respectivas.</w:t>
      </w:r>
    </w:p>
    <w:p w:rsidR="00000000" w:rsidDel="00000000" w:rsidP="00000000" w:rsidRDefault="00000000" w:rsidRPr="00000000" w14:paraId="000000FF">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w:t>
      </w:r>
      <w:r w:rsidDel="00000000" w:rsidR="00000000" w:rsidRPr="00000000">
        <w:rPr>
          <w:rFonts w:ascii="Palatino Linotype" w:cs="Palatino Linotype" w:eastAsia="Palatino Linotype" w:hAnsi="Palatino Linotype"/>
          <w:sz w:val="22"/>
          <w:szCs w:val="22"/>
          <w:u w:val="single"/>
          <w:rtl w:val="0"/>
        </w:rPr>
        <w:t xml:space="preserve">se dispone que en el dictamen de adjudicación se hace constar el análisis de la o las proposiciones y las razones para la adjudicación del contrato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prevé que la convocante debe emitir un fallo de adjudicación el cual debe contener, entre otros, la relación de oferentes cuyas proposiciones se desecharon, expresando todas las razones legales, técnicas o económicas que sustentan tal determinación e indicando los puntos de la convocatoria que en cada caso se incumpla.</w:t>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con lo expuesto en líneas anteriores, se determina que el documento que pudiera dar cuenta de lo requerido por el particular es el dictamen de adjudicación o de fallo, ya que es el documento que contiene los razonamientos, fundamentos y elementos que permiten conocer el sustento de la contratación de determinado del proveedor o contratista.</w:t>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al existir un documento que contiene la información de interés para el particular, se ORDENA al Sujeto Obligado realizar una búsqueda exhaustiva y razonable a efecto de localizar y poner a disposición del Recurrente los documentos donde consten los criterios de asignación empleados para la contratación de la empresa referida en respuesta.</w:t>
      </w:r>
    </w:p>
    <w:p w:rsidR="00000000" w:rsidDel="00000000" w:rsidP="00000000" w:rsidRDefault="00000000" w:rsidRPr="00000000" w14:paraId="0000010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ser el caso que la documentación que se ordena entregar contenga datos personales susceptibles de clasificarse como confidenciales, el Sujeto Obligado estará a lo dispuesto en el Considerando QUINTO de la presente resolución.</w:t>
      </w:r>
    </w:p>
    <w:p w:rsidR="00000000" w:rsidDel="00000000" w:rsidP="00000000" w:rsidRDefault="00000000" w:rsidRPr="00000000" w14:paraId="0000010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spacing w:line="360" w:lineRule="auto"/>
        <w:ind w:right="9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los mantenimientos Correctivos, no debe perderse de vista que, quien dio respuesta es el Servidor Público Habilitado en Materia de Transparencia de la Dirección de Administración y Finanzas, área que tiene las siguientes atribuciones:</w:t>
      </w:r>
    </w:p>
    <w:p w:rsidR="00000000" w:rsidDel="00000000" w:rsidP="00000000" w:rsidRDefault="00000000" w:rsidRPr="00000000" w14:paraId="0000010C">
      <w:pPr>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16.- Corresponde a la Dirección de Administración y Finanzas:</w:t>
      </w:r>
    </w:p>
    <w:p w:rsidR="00000000" w:rsidDel="00000000" w:rsidP="00000000" w:rsidRDefault="00000000" w:rsidRPr="00000000" w14:paraId="0000010E">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Planear, organizar y controlar el suministro, administración y aplicación de los recursos humanos, materiales, financieros y técnicos, así como los servicios generales necesarios para el funcionamiento de las unidades administrativas del Instituto, en términos de la normatividad en la materia. </w:t>
      </w:r>
    </w:p>
    <w:p w:rsidR="00000000" w:rsidDel="00000000" w:rsidP="00000000" w:rsidRDefault="00000000" w:rsidRPr="00000000" w14:paraId="0000010F">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Establecer, en el ámbito de su competencia, políticas y procedimientos para la administración de los recursos humanos, materiales y financieros</w:t>
      </w:r>
      <w:r w:rsidDel="00000000" w:rsidR="00000000" w:rsidRPr="00000000">
        <w:rPr>
          <w:rFonts w:ascii="Palatino Linotype" w:cs="Palatino Linotype" w:eastAsia="Palatino Linotype" w:hAnsi="Palatino Linotype"/>
          <w:i w:val="1"/>
          <w:sz w:val="22"/>
          <w:szCs w:val="22"/>
          <w:rtl w:val="0"/>
        </w:rPr>
        <w:t xml:space="preserve">, así como llevar a cabo su control y seguimiento, de acuerdo con los objetivos, lineamientos y estrategias definidas en los programas del Instituto. </w:t>
      </w:r>
    </w:p>
    <w:p w:rsidR="00000000" w:rsidDel="00000000" w:rsidP="00000000" w:rsidRDefault="00000000" w:rsidRPr="00000000" w14:paraId="00000110">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Integrar el anteproyecto de presupuesto anual de ingresos y de egresos del Instituto y someterlo a la consideración del Director General, así como realizar la calendarización de los recursos del presupuesto autorizado. </w:t>
      </w:r>
    </w:p>
    <w:p w:rsidR="00000000" w:rsidDel="00000000" w:rsidP="00000000" w:rsidRDefault="00000000" w:rsidRPr="00000000" w14:paraId="00000111">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Ejecutar los procedimientos sobre el ejercicio y control del presupuesto de gasto corriente y de inversión del Instituto. </w:t>
      </w:r>
    </w:p>
    <w:p w:rsidR="00000000" w:rsidDel="00000000" w:rsidP="00000000" w:rsidRDefault="00000000" w:rsidRPr="00000000" w14:paraId="00000112">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Elaborar los reportes de avance programático-presupuestal del Instituto. </w:t>
      </w:r>
    </w:p>
    <w:p w:rsidR="00000000" w:rsidDel="00000000" w:rsidP="00000000" w:rsidRDefault="00000000" w:rsidRPr="00000000" w14:paraId="00000113">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Coordinar, consolidar y controlar la información sobre el ejercicio del gasto y la captación de ingresos e informar al Director General sobre el comportamiento del mismo. </w:t>
      </w:r>
    </w:p>
    <w:p w:rsidR="00000000" w:rsidDel="00000000" w:rsidP="00000000" w:rsidRDefault="00000000" w:rsidRPr="00000000" w14:paraId="00000114">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Proponer transferencias del presupuesto de las partidas autorizadas, con base en las necesidades de operación del Instituto y conforme a la normatividad aplicable. </w:t>
      </w:r>
    </w:p>
    <w:p w:rsidR="00000000" w:rsidDel="00000000" w:rsidP="00000000" w:rsidRDefault="00000000" w:rsidRPr="00000000" w14:paraId="00000115">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Vigilar el cumplimiento de las disposiciones legales en materia de adquisiciones, arrendamientos, enajenaciones, contratación de servicios y obra pública. </w:t>
      </w:r>
    </w:p>
    <w:p w:rsidR="00000000" w:rsidDel="00000000" w:rsidP="00000000" w:rsidRDefault="00000000" w:rsidRPr="00000000" w14:paraId="00000116">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Formular, conjuntamente con las demás unidades administrativas del Instituto, los programas anuales de adquisiciones, arrendamientos, servicios y obra pública del Organismo, de acuerdo con las disposiciones legales aplicables, los programas de trabajo y los presupuestos respectivos. </w:t>
      </w:r>
    </w:p>
    <w:p w:rsidR="00000000" w:rsidDel="00000000" w:rsidP="00000000" w:rsidRDefault="00000000" w:rsidRPr="00000000" w14:paraId="00000117">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Elaborar, consolidar e informar a la persona titular de la Dirección General sobre los estados financieros del Instituto, de acuerdo con los principios de contabilidad gubernamental y demás lineamientos de aplicación obligatoria. </w:t>
      </w:r>
    </w:p>
    <w:p w:rsidR="00000000" w:rsidDel="00000000" w:rsidP="00000000" w:rsidRDefault="00000000" w:rsidRPr="00000000" w14:paraId="00000118">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Presidir los Comités de Adquisiciones y Servicios, y de Arrendamientos, Adquisiciones de Inmuebles y Enajenaciones del Instituto, así como participar en el de Obra Pública, de acuerdo con la normatividad aplicable. </w:t>
      </w:r>
    </w:p>
    <w:p w:rsidR="00000000" w:rsidDel="00000000" w:rsidP="00000000" w:rsidRDefault="00000000" w:rsidRPr="00000000" w14:paraId="00000119">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Coordinar y, en su caso, ejecutar los procedimientos de adquisiciones y servicios, arrendamientos, enajenaciones, obra pública y servicios relacionados con la misma que requiera el Instituto, de acuerdo con la normatividad aplicable. </w:t>
      </w:r>
    </w:p>
    <w:p w:rsidR="00000000" w:rsidDel="00000000" w:rsidP="00000000" w:rsidRDefault="00000000" w:rsidRPr="00000000" w14:paraId="0000011A">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Suscribir los contratos y convenios derivados de los procedimientos adquisitivos de bienes, arrendamientos, servicios, obra pública y servicios relacionados con la misma, con base en la normatividad aplicable, previo acuerdo del Director General o determinación del Consejo Directivo. </w:t>
      </w:r>
    </w:p>
    <w:p w:rsidR="00000000" w:rsidDel="00000000" w:rsidP="00000000" w:rsidRDefault="00000000" w:rsidRPr="00000000" w14:paraId="0000011B">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Rescindir administrativamente los contratos de adquisición de bienes y de prestación de servicios que haya celebrado el Instituto e imponer las sanciones que prevé la legislación de la materia a los proveedores que incurran en el incumplimiento de dichos contratos. </w:t>
      </w:r>
    </w:p>
    <w:p w:rsidR="00000000" w:rsidDel="00000000" w:rsidP="00000000" w:rsidRDefault="00000000" w:rsidRPr="00000000" w14:paraId="0000011C">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 Proponer y, en su caso, aplicar instrumentos técnico-administrativos que contribuyan a elevar la eficiencia en la administración de los recursos asignados al Instituto. </w:t>
      </w:r>
    </w:p>
    <w:p w:rsidR="00000000" w:rsidDel="00000000" w:rsidP="00000000" w:rsidRDefault="00000000" w:rsidRPr="00000000" w14:paraId="0000011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Tramitar los movimientos de altas, bajas, cambios, permisos y licencias del personal del Instituto, en términos de las disposiciones legales. </w:t>
      </w:r>
    </w:p>
    <w:p w:rsidR="00000000" w:rsidDel="00000000" w:rsidP="00000000" w:rsidRDefault="00000000" w:rsidRPr="00000000" w14:paraId="0000011E">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Ejecutar los programas y actividades de capacitación de las personas servidoras públicas del Instituto, de acuerdo con lo que al respecto establezca la persona titular de la Dirección General. </w:t>
      </w:r>
    </w:p>
    <w:p w:rsidR="00000000" w:rsidDel="00000000" w:rsidP="00000000" w:rsidRDefault="00000000" w:rsidRPr="00000000" w14:paraId="0000011F">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Promover y vigilar la aplicación de las condiciones generales de trabajo del Instituto. </w:t>
      </w:r>
    </w:p>
    <w:p w:rsidR="00000000" w:rsidDel="00000000" w:rsidP="00000000" w:rsidRDefault="00000000" w:rsidRPr="00000000" w14:paraId="00000120">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 Aplicar las disposiciones jurídicas y administrativas relativas al registro, asignación, utilización, control, conservación, aseguramiento, mantenimiento, rehabilitación y reaprovechamiento de los bienes del Instituto. </w:t>
      </w:r>
    </w:p>
    <w:p w:rsidR="00000000" w:rsidDel="00000000" w:rsidP="00000000" w:rsidRDefault="00000000" w:rsidRPr="00000000" w14:paraId="00000121">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Derogada. </w:t>
      </w:r>
    </w:p>
    <w:p w:rsidR="00000000" w:rsidDel="00000000" w:rsidP="00000000" w:rsidRDefault="00000000" w:rsidRPr="00000000" w14:paraId="00000122">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Coordinar las acciones de protección civil del Instituto, con base en las normas y políticas aplicables. </w:t>
      </w:r>
    </w:p>
    <w:p w:rsidR="00000000" w:rsidDel="00000000" w:rsidP="00000000" w:rsidRDefault="00000000" w:rsidRPr="00000000" w14:paraId="00000123">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Las demás que le confieran otras disposiciones jurídicas aplicables y las que le encomiende la persona titular de la Dirección General.</w:t>
      </w:r>
    </w:p>
    <w:p w:rsidR="00000000" w:rsidDel="00000000" w:rsidP="00000000" w:rsidRDefault="00000000" w:rsidRPr="00000000" w14:paraId="00000124">
      <w:pPr>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la Dirección de Administración y Finanzas tiene entre sus atribuciones planear, organizar y controlar los servicios generales para el funcionamiento de las unidades administrativas; realizar los procedimientos de adquisición de bienes y servicios; el registro de la asignación, utilización, control, conservación, aseguramiento, mantenimiento, rehabilitación y reaprovechamiento de los bienes del Instituto, siendo esta área la competente para generar, administrar o poseer la información respecto al mantenimiento correctivo y preventivo a las plantas de luz.</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Siguiendo con ello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12A">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12B">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12C">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12D">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12E">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12F">
      <w:pPr>
        <w:spacing w:line="360" w:lineRule="auto"/>
        <w:ind w:right="19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360" w:lineRule="auto"/>
        <w:ind w:right="19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Unidad de Transparencia turnó la solicitud de información a la Dirección de Administración y Finanzas, la cual cuenta con atribuciones para generar, administrar o poseer la información requerida; con lo que se acreditó que se realizó una correcta búsqueda exhaustiva y razonable de la información.</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esa óptica, al haber entregado la información requerida por el Particular respecto al mantenimiento colma el derecho de acceso a la información pública ya que la información proporcionada es con la que se cuenta en los archivos del Sujeto Obligado, es decir, entregó la información que obra en sus archivos en el estado en que se encuentra siendo toda la información generada, administrada y poseída.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robustece con la información remitida en informe justificado, pues el Sujeto Obligado señaló:</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bien le ha causado confusión que primero se mencione que se han realizado tanto mantenimientos correctivos como preventivos y posteriormente solo se habla del preventivo, le informamos que el concepto de la contratación es así, aunque incluye ambos. Dentro del concepto sólo se hace referencia a los preventivos y no se está en posibilidades de modificar el concepto contratado para darle respuesta a la solicitud de información, por ello precisamos la situación.”</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no pasa desapercibido que, aún y cuando en el informe justificado se realiza la precisión que causó confusión al Recurrente, lo cierto es que la respuesta no ha sido modificada o revocada al no proporcionarse mayor información a la ya proporcionada en un primer momento.</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al haber proporcionado la información requerida desde la respuesta y ser por parte del Servidor Público Habilitado Competente, es que no se puede dudar de la veracidad. Sirve de apoyo a lo anterior por analogía </w:t>
      </w:r>
      <w:r w:rsidDel="00000000" w:rsidR="00000000" w:rsidRPr="00000000">
        <w:rPr>
          <w:rFonts w:ascii="Palatino Linotype" w:cs="Palatino Linotype" w:eastAsia="Palatino Linotype" w:hAnsi="Palatino Linotype"/>
          <w:b w:val="1"/>
          <w:sz w:val="22"/>
          <w:szCs w:val="22"/>
          <w:rtl w:val="0"/>
        </w:rPr>
        <w:t xml:space="preserve">el criterio histórico 31-10 </w:t>
      </w:r>
      <w:r w:rsidDel="00000000" w:rsidR="00000000" w:rsidRPr="00000000">
        <w:rPr>
          <w:rFonts w:ascii="Palatino Linotype" w:cs="Palatino Linotype" w:eastAsia="Palatino Linotype" w:hAnsi="Palatino Linotype"/>
          <w:sz w:val="22"/>
          <w:szCs w:val="22"/>
          <w:rtl w:val="0"/>
        </w:rPr>
        <w:t xml:space="preserve">emitido por el entonces Instituto Federal de Acceso a la Información y Protección de Datos, que a la letra dice: </w:t>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1740"/>
        </w:tabs>
        <w:ind w:left="708"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13C">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left" w:leader="none" w:pos="284"/>
        </w:tabs>
        <w:spacing w:after="240" w:before="240" w:line="360" w:lineRule="auto"/>
        <w:ind w:right="49"/>
        <w:jc w:val="both"/>
        <w:rPr>
          <w:rFonts w:ascii="Palatino Linotype" w:cs="Palatino Linotype" w:eastAsia="Palatino Linotype" w:hAnsi="Palatino Linotype"/>
          <w:sz w:val="22"/>
          <w:szCs w:val="22"/>
        </w:rPr>
      </w:pPr>
      <w:bookmarkStart w:colFirst="0" w:colLast="0" w:name="_heading=h.2et92p0" w:id="3"/>
      <w:bookmarkEnd w:id="3"/>
      <w:r w:rsidDel="00000000" w:rsidR="00000000" w:rsidRPr="00000000">
        <w:rPr>
          <w:rFonts w:ascii="Palatino Linotype" w:cs="Palatino Linotype" w:eastAsia="Palatino Linotype" w:hAnsi="Palatino Linotype"/>
          <w:sz w:val="22"/>
          <w:szCs w:val="22"/>
          <w:rtl w:val="0"/>
        </w:rPr>
        <w:t xml:space="preserve">Este Órgano Garante carece de facultades para dudar de la veracidad sobre la información proporcionada por el Sujeto Obligado, en consecuencia, debe declararse atendido el presente punto que se analiza.</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realizar un análisis con la finalidad de advertir si esta contiene datos que deben ser clasificados en los términos que la misma Ley en la materia señala, en ese sentido,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41">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43">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4">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45">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46">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47">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48">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9">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14A">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14B">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4C">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4D">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4E">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F">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50">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51">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52">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53">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54">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w:t>
      </w:r>
      <w:r w:rsidDel="00000000" w:rsidR="00000000" w:rsidRPr="00000000">
        <w:rPr>
          <w:rFonts w:ascii="Palatino Linotype" w:cs="Palatino Linotype" w:eastAsia="Palatino Linotype" w:hAnsi="Palatino Linotype"/>
          <w:b w:val="1"/>
          <w:sz w:val="22"/>
          <w:szCs w:val="22"/>
          <w:rtl w:val="0"/>
        </w:rPr>
        <w:t xml:space="preserve">confidencial</w:t>
      </w:r>
      <w:r w:rsidDel="00000000" w:rsidR="00000000" w:rsidRPr="00000000">
        <w:rPr>
          <w:rFonts w:ascii="Palatino Linotype" w:cs="Palatino Linotype" w:eastAsia="Palatino Linotype" w:hAnsi="Palatino Linotype"/>
          <w:sz w:val="22"/>
          <w:szCs w:val="22"/>
          <w:rtl w:val="0"/>
        </w:rPr>
        <w:t xml:space="preserve"> la información que posean, desclasificarán y generarán, en su caso, versiones públicas de expedientes o documentos que contengan partes o secciones clasificadas.</w:t>
      </w:r>
    </w:p>
    <w:p w:rsidR="00000000" w:rsidDel="00000000" w:rsidP="00000000" w:rsidRDefault="00000000" w:rsidRPr="00000000" w14:paraId="0000015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siendo estas las siguientes:</w:t>
      </w:r>
    </w:p>
    <w:p w:rsidR="00000000" w:rsidDel="00000000" w:rsidP="00000000" w:rsidRDefault="00000000" w:rsidRPr="00000000" w14:paraId="000001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A">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15B">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15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5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15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5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16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16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16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6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4">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w:t>
      </w:r>
      <w:r w:rsidDel="00000000" w:rsidR="00000000" w:rsidRPr="00000000">
        <w:rPr>
          <w:rFonts w:ascii="Palatino Linotype" w:cs="Palatino Linotype" w:eastAsia="Palatino Linotype" w:hAnsi="Palatino Linotype"/>
          <w:b w:val="1"/>
          <w:i w:val="1"/>
          <w:sz w:val="22"/>
          <w:szCs w:val="22"/>
          <w:u w:val="single"/>
          <w:rtl w:val="0"/>
        </w:rPr>
        <w:t xml:space="preserve">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65">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 </w:t>
      </w:r>
      <w:r w:rsidDel="00000000" w:rsidR="00000000" w:rsidRPr="00000000">
        <w:rPr>
          <w:rFonts w:ascii="Palatino Linotype" w:cs="Palatino Linotype" w:eastAsia="Palatino Linotype" w:hAnsi="Palatino Linotype"/>
          <w:i w:val="1"/>
          <w:sz w:val="22"/>
          <w:szCs w:val="22"/>
          <w:rtl w:val="0"/>
        </w:rPr>
        <w:t xml:space="preserve">Para la clasificación y elaboración de versiones públicas de documentos que contengan información clasificada como reservada o </w:t>
      </w:r>
      <w:r w:rsidDel="00000000" w:rsidR="00000000" w:rsidRPr="00000000">
        <w:rPr>
          <w:rFonts w:ascii="Palatino Linotype" w:cs="Palatino Linotype" w:eastAsia="Palatino Linotype" w:hAnsi="Palatino Linotype"/>
          <w:b w:val="1"/>
          <w:i w:val="1"/>
          <w:sz w:val="22"/>
          <w:szCs w:val="22"/>
          <w:rtl w:val="0"/>
        </w:rPr>
        <w:t xml:space="preserve">confidencial,</w:t>
      </w:r>
      <w:r w:rsidDel="00000000" w:rsidR="00000000" w:rsidRPr="00000000">
        <w:rPr>
          <w:rFonts w:ascii="Palatino Linotype" w:cs="Palatino Linotype" w:eastAsia="Palatino Linotype" w:hAnsi="Palatino Linotype"/>
          <w:i w:val="1"/>
          <w:sz w:val="22"/>
          <w:szCs w:val="22"/>
          <w:rtl w:val="0"/>
        </w:rPr>
        <w:t xml:space="preserve"> las áreas de los sujetos obligados deberán tomar las medidas pertinentes tendientes a asegurar que el espacio utilizado para testar la información no podrá ser empleado para la sobreposición de contenido distinto al autorizado por el Comité.</w:t>
      </w:r>
      <w:r w:rsidDel="00000000" w:rsidR="00000000" w:rsidRPr="00000000">
        <w:rPr>
          <w:rtl w:val="0"/>
        </w:rPr>
      </w:r>
    </w:p>
    <w:p w:rsidR="00000000" w:rsidDel="00000000" w:rsidP="00000000" w:rsidRDefault="00000000" w:rsidRPr="00000000" w14:paraId="0000016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67">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Fijar la fecha en que se elaboró la versión pública y la fecha en la cual el Comité de Transparencia confirmó dicha versión; </w:t>
      </w:r>
    </w:p>
    <w:p w:rsidR="00000000" w:rsidDel="00000000" w:rsidP="00000000" w:rsidRDefault="00000000" w:rsidRPr="00000000" w14:paraId="00000168">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Señalar dentro del documento el tipo de información confidencial que fue testada en cada caso específico, de conformidad con el lineamiento trigésimo octavo; y </w:t>
      </w:r>
    </w:p>
    <w:p w:rsidR="00000000" w:rsidDel="00000000" w:rsidP="00000000" w:rsidRDefault="00000000" w:rsidRPr="00000000" w14:paraId="00000169">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Señalar las personas o instancias autorizadas a acceder a la información clasificada. </w:t>
      </w:r>
    </w:p>
    <w:p w:rsidR="00000000" w:rsidDel="00000000" w:rsidP="00000000" w:rsidRDefault="00000000" w:rsidRPr="00000000" w14:paraId="0000016A">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w:t>
      </w:r>
      <w:r w:rsidDel="00000000" w:rsidR="00000000" w:rsidRPr="00000000">
        <w:rPr>
          <w:rFonts w:ascii="Palatino Linotype" w:cs="Palatino Linotype" w:eastAsia="Palatino Linotype" w:hAnsi="Palatino Linotype"/>
          <w:b w:val="1"/>
          <w:i w:val="1"/>
          <w:sz w:val="22"/>
          <w:szCs w:val="22"/>
          <w:u w:val="single"/>
          <w:rtl w:val="0"/>
        </w:rPr>
        <w:t xml:space="preserve">información confidencial.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6B">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6C">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w:t>
      </w:r>
      <w:r w:rsidDel="00000000" w:rsidR="00000000" w:rsidRPr="00000000">
        <w:rPr>
          <w:rFonts w:ascii="Palatino Linotype" w:cs="Palatino Linotype" w:eastAsia="Palatino Linotype" w:hAnsi="Palatino Linotype"/>
          <w:b w:val="1"/>
          <w:i w:val="1"/>
          <w:sz w:val="22"/>
          <w:szCs w:val="22"/>
          <w:rtl w:val="0"/>
        </w:rPr>
        <w:t xml:space="preserve">confidenciales</w:t>
      </w:r>
      <w:r w:rsidDel="00000000" w:rsidR="00000000" w:rsidRPr="00000000">
        <w:rPr>
          <w:rFonts w:ascii="Palatino Linotype" w:cs="Palatino Linotype" w:eastAsia="Palatino Linotype" w:hAnsi="Palatino Linotype"/>
          <w:i w:val="1"/>
          <w:sz w:val="22"/>
          <w:szCs w:val="22"/>
          <w:rtl w:val="0"/>
        </w:rPr>
        <w:t xml:space="preserve">,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6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000000" w:rsidDel="00000000" w:rsidP="00000000" w:rsidRDefault="00000000" w:rsidRPr="00000000" w14:paraId="0000016E">
      <w:pPr>
        <w:spacing w:line="276" w:lineRule="auto"/>
        <w:ind w:left="567"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sexto, Quincuagésimo séptimo y Quincuagésimo octavo, establecen lo siguiente:</w:t>
      </w:r>
    </w:p>
    <w:p w:rsidR="00000000" w:rsidDel="00000000" w:rsidP="00000000" w:rsidRDefault="00000000" w:rsidRPr="00000000" w14:paraId="00000170">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sexto</w:t>
      </w:r>
      <w:r w:rsidDel="00000000" w:rsidR="00000000" w:rsidRPr="00000000">
        <w:rPr>
          <w:rFonts w:ascii="Palatino Linotype" w:cs="Palatino Linotype" w:eastAsia="Palatino Linotype" w:hAnsi="Palatino Linotype"/>
          <w:i w:val="1"/>
          <w:rtl w:val="0"/>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000000" w:rsidDel="00000000" w:rsidP="00000000" w:rsidRDefault="00000000" w:rsidRPr="00000000" w14:paraId="00000171">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72">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73">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74">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75">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76">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octavo</w:t>
      </w:r>
      <w:r w:rsidDel="00000000" w:rsidR="00000000" w:rsidRPr="00000000">
        <w:rPr>
          <w:rFonts w:ascii="Palatino Linotype" w:cs="Palatino Linotype" w:eastAsia="Palatino Linotype" w:hAnsi="Palatino Linotype"/>
          <w:i w:val="1"/>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bookmarkStart w:colFirst="0" w:colLast="0" w:name="_heading=h.ijv98pntcd5s" w:id="4"/>
      <w:bookmarkEnd w:id="4"/>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7C">
      <w:pPr>
        <w:spacing w:line="360" w:lineRule="auto"/>
        <w:jc w:val="both"/>
        <w:rPr>
          <w:rFonts w:ascii="Palatino Linotype" w:cs="Palatino Linotype" w:eastAsia="Palatino Linotype" w:hAnsi="Palatino Linotype"/>
          <w:b w:val="1"/>
          <w:sz w:val="22"/>
          <w:szCs w:val="22"/>
        </w:rPr>
      </w:pPr>
      <w:bookmarkStart w:colFirst="0" w:colLast="0" w:name="_heading=h.26in1rg" w:id="5"/>
      <w:bookmarkEnd w:id="5"/>
      <w:r w:rsidDel="00000000" w:rsidR="00000000" w:rsidRPr="00000000">
        <w:rPr>
          <w:rtl w:val="0"/>
        </w:rPr>
      </w:r>
    </w:p>
    <w:p w:rsidR="00000000" w:rsidDel="00000000" w:rsidP="00000000" w:rsidRDefault="00000000" w:rsidRPr="00000000" w14:paraId="0000017D">
      <w:pPr>
        <w:spacing w:line="360" w:lineRule="auto"/>
        <w:jc w:val="both"/>
        <w:rPr>
          <w:rFonts w:ascii="Palatino Linotype" w:cs="Palatino Linotype" w:eastAsia="Palatino Linotype" w:hAnsi="Palatino Linotype"/>
          <w:b w:val="1"/>
          <w:sz w:val="22"/>
          <w:szCs w:val="22"/>
        </w:rPr>
      </w:pPr>
      <w:bookmarkStart w:colFirst="0" w:colLast="0" w:name="_heading=h.3rdcrjn" w:id="6"/>
      <w:bookmarkEnd w:id="6"/>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el recurso de revisión </w:t>
      </w:r>
      <w:r w:rsidDel="00000000" w:rsidR="00000000" w:rsidRPr="00000000">
        <w:rPr>
          <w:rFonts w:ascii="Palatino Linotype" w:cs="Palatino Linotype" w:eastAsia="Palatino Linotype" w:hAnsi="Palatino Linotype"/>
          <w:b w:val="1"/>
          <w:sz w:val="22"/>
          <w:szCs w:val="22"/>
          <w:rtl w:val="0"/>
        </w:rPr>
        <w:t xml:space="preserve">07439/INFOEM/IP/RR/2024, </w:t>
      </w:r>
      <w:r w:rsidDel="00000000" w:rsidR="00000000" w:rsidRPr="00000000">
        <w:rPr>
          <w:rFonts w:ascii="Palatino Linotype" w:cs="Palatino Linotype" w:eastAsia="Palatino Linotype" w:hAnsi="Palatino Linotype"/>
          <w:sz w:val="22"/>
          <w:szCs w:val="22"/>
          <w:rtl w:val="0"/>
        </w:rPr>
        <w:t xml:space="preserve">por lo que, en términos del Considerando </w:t>
      </w: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la presente resolución, se</w:t>
      </w:r>
      <w:r w:rsidDel="00000000" w:rsidR="00000000" w:rsidRPr="00000000">
        <w:rPr>
          <w:rFonts w:ascii="Palatino Linotype" w:cs="Palatino Linotype" w:eastAsia="Palatino Linotype" w:hAnsi="Palatino Linotype"/>
          <w:b w:val="1"/>
          <w:sz w:val="22"/>
          <w:szCs w:val="22"/>
          <w:rtl w:val="0"/>
        </w:rPr>
        <w:t xml:space="preserve"> Modifica </w:t>
      </w:r>
      <w:r w:rsidDel="00000000" w:rsidR="00000000" w:rsidRPr="00000000">
        <w:rPr>
          <w:rFonts w:ascii="Palatino Linotype" w:cs="Palatino Linotype" w:eastAsia="Palatino Linotype" w:hAnsi="Palatino Linotype"/>
          <w:sz w:val="22"/>
          <w:szCs w:val="22"/>
          <w:rtl w:val="0"/>
        </w:rPr>
        <w:t xml:space="preserve">la respuesta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7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esta resolución, </w:t>
      </w:r>
      <w:r w:rsidDel="00000000" w:rsidR="00000000" w:rsidRPr="00000000">
        <w:rPr>
          <w:rFonts w:ascii="Palatino Linotype" w:cs="Palatino Linotype" w:eastAsia="Palatino Linotype" w:hAnsi="Palatino Linotype"/>
          <w:b w:val="1"/>
          <w:sz w:val="22"/>
          <w:szCs w:val="22"/>
          <w:rtl w:val="0"/>
        </w:rPr>
        <w:t xml:space="preserve">haga entrega vía Sistema de Acceso a la Información Mexiquense (SAIMEX), </w:t>
      </w:r>
      <w:r w:rsidDel="00000000" w:rsidR="00000000" w:rsidRPr="00000000">
        <w:rPr>
          <w:rFonts w:ascii="Palatino Linotype" w:cs="Palatino Linotype" w:eastAsia="Palatino Linotype" w:hAnsi="Palatino Linotype"/>
          <w:sz w:val="22"/>
          <w:szCs w:val="22"/>
          <w:rtl w:val="0"/>
        </w:rPr>
        <w:t xml:space="preserve">de ser procedente en versión pública, el o los documentos donde conste lo siguiente:</w:t>
      </w:r>
    </w:p>
    <w:p w:rsidR="00000000" w:rsidDel="00000000" w:rsidP="00000000" w:rsidRDefault="00000000" w:rsidRPr="00000000" w14:paraId="00000180">
      <w:pPr>
        <w:spacing w:line="360" w:lineRule="auto"/>
        <w:jc w:val="both"/>
        <w:rPr>
          <w:rFonts w:ascii="Palatino Linotype" w:cs="Palatino Linotype" w:eastAsia="Palatino Linotype" w:hAnsi="Palatino Linotype"/>
          <w:sz w:val="22"/>
          <w:szCs w:val="22"/>
        </w:rPr>
      </w:pPr>
      <w:bookmarkStart w:colFirst="0" w:colLast="0" w:name="_heading=h.1ksv4uv" w:id="7"/>
      <w:bookmarkEnd w:id="7"/>
      <w:r w:rsidDel="00000000" w:rsidR="00000000" w:rsidRPr="00000000">
        <w:rPr>
          <w:rtl w:val="0"/>
        </w:rPr>
      </w:r>
    </w:p>
    <w:p w:rsidR="00000000" w:rsidDel="00000000" w:rsidP="00000000" w:rsidRDefault="00000000" w:rsidRPr="00000000" w14:paraId="00000181">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Criterios de asignación empleados para la contratación de la empresa referida en respuesta.  </w:t>
      </w:r>
    </w:p>
    <w:p w:rsidR="00000000" w:rsidDel="00000000" w:rsidP="00000000" w:rsidRDefault="00000000" w:rsidRPr="00000000" w14:paraId="00000182">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76" w:lineRule="auto"/>
        <w:ind w:left="284"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Del="00000000" w:rsidR="00000000" w:rsidRPr="00000000">
        <w:rPr>
          <w:rFonts w:ascii="Palatino Linotype" w:cs="Palatino Linotype" w:eastAsia="Palatino Linotype" w:hAnsi="Palatino Linotype"/>
          <w:b w:val="1"/>
          <w:i w:val="1"/>
          <w:sz w:val="22"/>
          <w:szCs w:val="22"/>
          <w:rtl w:val="0"/>
        </w:rPr>
        <w:t xml:space="preserve">la parte Recurrente</w:t>
      </w:r>
      <w:r w:rsidDel="00000000" w:rsidR="00000000" w:rsidRPr="00000000">
        <w:rPr>
          <w:rFonts w:ascii="Palatino Linotype" w:cs="Palatino Linotype" w:eastAsia="Palatino Linotype" w:hAnsi="Palatino Linotype"/>
          <w:i w:val="1"/>
          <w:sz w:val="22"/>
          <w:szCs w:val="22"/>
          <w:rtl w:val="0"/>
        </w:rPr>
        <w:t xml:space="preserve">, mismo que igualmente hará de su conocimiento.</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76" w:lineRule="auto"/>
        <w:ind w:left="284"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8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28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 SAIMEX</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presente resolución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000000" w:rsidDel="00000000" w:rsidP="00000000" w:rsidRDefault="00000000" w:rsidRPr="00000000" w14:paraId="00000189">
      <w:pPr>
        <w:spacing w:line="360" w:lineRule="auto"/>
        <w:jc w:val="both"/>
        <w:rPr>
          <w:rFonts w:ascii="Palatino Linotype" w:cs="Palatino Linotype" w:eastAsia="Palatino Linotype" w:hAnsi="Palatino Linotype"/>
          <w:sz w:val="22"/>
          <w:szCs w:val="22"/>
        </w:rPr>
        <w:sectPr>
          <w:headerReference r:id="rId7" w:type="default"/>
          <w:headerReference r:id="rId8" w:type="first"/>
          <w:footerReference r:id="rId9" w:type="default"/>
          <w:footerReference r:id="rId10"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QUINCE DE ENERO DE DOS MIL VEINTICINCO ANTE EL SECRETARIO TÉCNICO DEL PLENO ALEXIS TAPIA RAMÍREZ.                              </w:t>
      </w:r>
    </w:p>
    <w:p w:rsidR="00000000" w:rsidDel="00000000" w:rsidP="00000000" w:rsidRDefault="00000000" w:rsidRPr="00000000" w14:paraId="000001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B">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1"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-781047</wp:posOffset>
          </wp:positionH>
          <wp:positionV relativeFrom="paragraph">
            <wp:posOffset>-316862</wp:posOffset>
          </wp:positionV>
          <wp:extent cx="7809876" cy="10165823"/>
          <wp:effectExtent b="0" l="0" r="0" t="0"/>
          <wp:wrapNone/>
          <wp:docPr id="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8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vAlign w:val="center"/>
        </w:tcPr>
        <w:p w:rsidR="00000000" w:rsidDel="00000000" w:rsidP="00000000" w:rsidRDefault="00000000" w:rsidRPr="00000000" w14:paraId="0000018E">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07439/INFOEM/IP/RR/2024</w:t>
          </w:r>
        </w:p>
      </w:tc>
    </w:tr>
    <w:tr>
      <w:trPr>
        <w:cantSplit w:val="0"/>
        <w:trHeight w:val="228" w:hRule="atLeast"/>
        <w:tblHeader w:val="0"/>
      </w:trPr>
      <w:tc>
        <w:tcPr>
          <w:vAlign w:val="center"/>
        </w:tcPr>
        <w:p w:rsidR="00000000" w:rsidDel="00000000" w:rsidP="00000000" w:rsidRDefault="00000000" w:rsidRPr="00000000" w14:paraId="0000018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vAlign w:val="center"/>
        </w:tcPr>
        <w:p w:rsidR="00000000" w:rsidDel="00000000" w:rsidP="00000000" w:rsidRDefault="00000000" w:rsidRPr="00000000" w14:paraId="00000190">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Instituto de la Función Registral del Estado de México</w:t>
          </w:r>
        </w:p>
      </w:tc>
    </w:tr>
    <w:tr>
      <w:trPr>
        <w:cantSplit w:val="0"/>
        <w:tblHeader w:val="0"/>
      </w:trPr>
      <w:tc>
        <w:tcPr>
          <w:vAlign w:val="center"/>
        </w:tcPr>
        <w:p w:rsidR="00000000" w:rsidDel="00000000" w:rsidP="00000000" w:rsidRDefault="00000000" w:rsidRPr="00000000" w14:paraId="0000019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vAlign w:val="center"/>
        </w:tcPr>
        <w:p w:rsidR="00000000" w:rsidDel="00000000" w:rsidP="00000000" w:rsidRDefault="00000000" w:rsidRPr="00000000" w14:paraId="00000192">
          <w:pPr>
            <w:ind w:right="-53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-798189</wp:posOffset>
          </wp:positionH>
          <wp:positionV relativeFrom="paragraph">
            <wp:posOffset>-399410</wp:posOffset>
          </wp:positionV>
          <wp:extent cx="7809876" cy="10165823"/>
          <wp:effectExtent b="0" l="0" r="0" t="0"/>
          <wp:wrapNone/>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9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vAlign w:val="center"/>
        </w:tcPr>
        <w:p w:rsidR="00000000" w:rsidDel="00000000" w:rsidP="00000000" w:rsidRDefault="00000000" w:rsidRPr="00000000" w14:paraId="00000196">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07439/INFOEM/IP/RR/2024 </w:t>
          </w:r>
        </w:p>
      </w:tc>
    </w:tr>
    <w:tr>
      <w:trPr>
        <w:cantSplit w:val="0"/>
        <w:tblHeader w:val="0"/>
      </w:trPr>
      <w:tc>
        <w:tcPr>
          <w:vAlign w:val="center"/>
        </w:tcPr>
        <w:p w:rsidR="00000000" w:rsidDel="00000000" w:rsidP="00000000" w:rsidRDefault="00000000" w:rsidRPr="00000000" w14:paraId="00000197">
          <w:pPr>
            <w:ind w:left="35" w:hanging="3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198">
          <w:pPr>
            <w:ind w:right="2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XXXXXX XXXXXXXX XXXXXX </w:t>
          </w:r>
        </w:p>
      </w:tc>
    </w:tr>
    <w:tr>
      <w:trPr>
        <w:cantSplit w:val="0"/>
        <w:trHeight w:val="228" w:hRule="atLeast"/>
        <w:tblHeader w:val="0"/>
      </w:trPr>
      <w:tc>
        <w:tcPr>
          <w:vAlign w:val="center"/>
        </w:tcPr>
        <w:p w:rsidR="00000000" w:rsidDel="00000000" w:rsidP="00000000" w:rsidRDefault="00000000" w:rsidRPr="00000000" w14:paraId="0000019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vAlign w:val="center"/>
        </w:tcPr>
        <w:p w:rsidR="00000000" w:rsidDel="00000000" w:rsidP="00000000" w:rsidRDefault="00000000" w:rsidRPr="00000000" w14:paraId="0000019A">
          <w:pPr>
            <w:ind w:right="2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Instituto de la Función Registral del Estado de México</w:t>
          </w:r>
        </w:p>
      </w:tc>
    </w:tr>
    <w:tr>
      <w:trPr>
        <w:cantSplit w:val="0"/>
        <w:tblHeader w:val="0"/>
      </w:trPr>
      <w:tc>
        <w:tcPr>
          <w:vAlign w:val="center"/>
        </w:tcPr>
        <w:p w:rsidR="00000000" w:rsidDel="00000000" w:rsidP="00000000" w:rsidRDefault="00000000" w:rsidRPr="00000000" w14:paraId="0000019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vAlign w:val="center"/>
        </w:tcPr>
        <w:p w:rsidR="00000000" w:rsidDel="00000000" w:rsidP="00000000" w:rsidRDefault="00000000" w:rsidRPr="00000000" w14:paraId="0000019C">
          <w:pPr>
            <w:ind w:right="-53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C3C64"/>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qFormat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3"/>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character" w:styleId="Mencinsinresolver3" w:customStyle="1">
    <w:name w:val="Mención sin resolver3"/>
    <w:basedOn w:val="Fuentedeprrafopredeter"/>
    <w:uiPriority w:val="99"/>
    <w:semiHidden w:val="1"/>
    <w:unhideWhenUsed w:val="1"/>
    <w:rsid w:val="00D21E62"/>
    <w:rPr>
      <w:color w:val="605e5c"/>
      <w:shd w:color="auto" w:fill="e1dfdd" w:val="clear"/>
    </w:rPr>
  </w:style>
  <w:style w:type="paragraph" w:styleId="INFOEM" w:customStyle="1">
    <w:name w:val="INFOEM"/>
    <w:basedOn w:val="Normal"/>
    <w:qFormat w:val="1"/>
    <w:rsid w:val="00A87C1D"/>
    <w:pPr>
      <w:spacing w:after="160" w:before="240" w:line="360" w:lineRule="auto"/>
      <w:ind w:left="851" w:right="851"/>
      <w:jc w:val="both"/>
    </w:pPr>
    <w:rPr>
      <w:rFonts w:ascii="Palatino Linotype" w:hAnsi="Palatino Linotype" w:cstheme="minorBidi" w:eastAsiaTheme="minorHAnsi"/>
      <w:i w:val="1"/>
      <w:sz w:val="22"/>
      <w:szCs w:val="14"/>
      <w:lang w:eastAsia="en-US" w:val="es-MX"/>
    </w:rPr>
  </w:style>
  <w:style w:type="table" w:styleId="Tablanormal11" w:customStyle="1">
    <w:name w:val="Tabla normal 11"/>
    <w:basedOn w:val="Tablanormal"/>
    <w:uiPriority w:val="41"/>
    <w:rsid w:val="00F66760"/>
    <w:rPr>
      <w:rFonts w:asciiTheme="minorHAnsi" w:cstheme="minorBidi" w:eastAsiaTheme="minorHAnsi" w:hAnsiTheme="minorHAnsi"/>
      <w:sz w:val="22"/>
      <w:szCs w:val="22"/>
      <w:lang w:eastAsia="en-US" w:val="es-MX"/>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af1" w:customStyle="1">
    <w:basedOn w:val="TableNormal1"/>
    <w:rPr>
      <w:rFonts w:ascii="Calibri" w:cs="Calibri" w:eastAsia="Calibri" w:hAnsi="Calibri"/>
      <w:sz w:val="22"/>
      <w:szCs w:val="22"/>
    </w:r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0"/>
    <w:rPr>
      <w:rFonts w:ascii="Calibri" w:cs="Calibri" w:eastAsia="Calibri" w:hAnsi="Calibri"/>
      <w:sz w:val="22"/>
      <w:szCs w:val="22"/>
    </w:rPr>
    <w:tblPr>
      <w:tblStyleRowBandSize w:val="1"/>
      <w:tblStyleColBandSize w:val="1"/>
      <w:tblCellMar>
        <w:left w:w="108.0" w:type="dxa"/>
        <w:right w:w="108.0" w:type="dxa"/>
      </w:tblCellMar>
    </w:tblPr>
  </w:style>
  <w:style w:type="table" w:styleId="af5"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6"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3bhe1GY4rMhct7W9Zc342PZchQ==">CgMxLjAyCGguZ2pkZ3hzMgloLjMwajB6bGwyCWguMWZvYjl0ZTIJaC4yZXQ5MnAwMg5oLmlqdjk4cG50Y2Q1czIJaC4yNmluMXJnMgloLjNyZGNyam4yCWguMWtzdjR1djgAciExOUgyb0FBcUExeGxiTnppQXNEY2ZvUGg4TkRrNmt0OUo=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2025-01-22T17:58:00Z</dcterms:created>
  <dc:creator>USER</dc:creator>
</cp:coreProperties>
</file>