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DB3227" w14:textId="77777777" w:rsidR="00E033C2" w:rsidRDefault="00E033C2">
      <w:pPr>
        <w:widowControl w:val="0"/>
        <w:pBdr>
          <w:top w:val="nil"/>
          <w:left w:val="nil"/>
          <w:bottom w:val="nil"/>
          <w:right w:val="nil"/>
          <w:between w:val="nil"/>
        </w:pBdr>
        <w:spacing w:after="0" w:line="276" w:lineRule="auto"/>
        <w:jc w:val="left"/>
      </w:pPr>
    </w:p>
    <w:p w14:paraId="641FE273" w14:textId="77777777" w:rsidR="00E033C2" w:rsidRDefault="00E033C2">
      <w:pPr>
        <w:tabs>
          <w:tab w:val="left" w:pos="8931"/>
        </w:tabs>
        <w:spacing w:after="0" w:line="360" w:lineRule="auto"/>
        <w:rPr>
          <w:color w:val="FF0000"/>
        </w:rPr>
      </w:pPr>
    </w:p>
    <w:p w14:paraId="363F3F47" w14:textId="77777777" w:rsidR="00E033C2" w:rsidRPr="009E30AA" w:rsidRDefault="00F9656F" w:rsidP="009E30AA">
      <w:pPr>
        <w:keepNext/>
        <w:keepLines/>
        <w:pBdr>
          <w:top w:val="nil"/>
          <w:left w:val="nil"/>
          <w:bottom w:val="nil"/>
          <w:right w:val="nil"/>
          <w:between w:val="nil"/>
        </w:pBdr>
        <w:spacing w:after="0" w:line="360" w:lineRule="auto"/>
        <w:jc w:val="center"/>
        <w:rPr>
          <w:color w:val="000000"/>
        </w:rPr>
      </w:pPr>
      <w:r>
        <w:rPr>
          <w:color w:val="000000"/>
        </w:rPr>
        <w:t>RESOLUCIÓN DEL RECURSO DE REVISIÓN 06536/INFOEM/IP/RR/2025</w:t>
      </w:r>
    </w:p>
    <w:p w14:paraId="336B570B" w14:textId="77777777" w:rsidR="009E30AA" w:rsidRDefault="009E30AA">
      <w:pPr>
        <w:tabs>
          <w:tab w:val="left" w:pos="8931"/>
        </w:tabs>
        <w:spacing w:after="0" w:line="360" w:lineRule="auto"/>
      </w:pPr>
    </w:p>
    <w:sdt>
      <w:sdtPr>
        <w:rPr>
          <w:rFonts w:ascii="Palatino Linotype" w:eastAsia="Palatino Linotype" w:hAnsi="Palatino Linotype" w:cs="Palatino Linotype"/>
          <w:color w:val="auto"/>
          <w:sz w:val="22"/>
          <w:szCs w:val="22"/>
          <w:lang w:val="es-ES"/>
        </w:rPr>
        <w:id w:val="-1033953563"/>
        <w:docPartObj>
          <w:docPartGallery w:val="Table of Contents"/>
          <w:docPartUnique/>
        </w:docPartObj>
      </w:sdtPr>
      <w:sdtEndPr>
        <w:rPr>
          <w:b/>
          <w:bCs/>
        </w:rPr>
      </w:sdtEndPr>
      <w:sdtContent>
        <w:p w14:paraId="37F70914" w14:textId="77777777" w:rsidR="009E30AA" w:rsidRDefault="009E30AA">
          <w:pPr>
            <w:pStyle w:val="TtulodeTDC"/>
          </w:pPr>
        </w:p>
        <w:p w14:paraId="1B241411" w14:textId="4627AA14" w:rsidR="009E30AA" w:rsidRDefault="009E30AA">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3338771" w:history="1">
            <w:r w:rsidRPr="007210ED">
              <w:rPr>
                <w:rStyle w:val="Hipervnculo"/>
                <w:noProof/>
              </w:rPr>
              <w:t>A N T E C E D E N T E S</w:t>
            </w:r>
            <w:r>
              <w:rPr>
                <w:noProof/>
                <w:webHidden/>
              </w:rPr>
              <w:tab/>
            </w:r>
            <w:r>
              <w:rPr>
                <w:noProof/>
                <w:webHidden/>
              </w:rPr>
              <w:fldChar w:fldCharType="begin"/>
            </w:r>
            <w:r>
              <w:rPr>
                <w:noProof/>
                <w:webHidden/>
              </w:rPr>
              <w:instrText xml:space="preserve"> PAGEREF _Toc213338771 \h </w:instrText>
            </w:r>
            <w:r>
              <w:rPr>
                <w:noProof/>
                <w:webHidden/>
              </w:rPr>
            </w:r>
            <w:r>
              <w:rPr>
                <w:noProof/>
                <w:webHidden/>
              </w:rPr>
              <w:fldChar w:fldCharType="separate"/>
            </w:r>
            <w:r w:rsidR="0018739B">
              <w:rPr>
                <w:noProof/>
                <w:webHidden/>
              </w:rPr>
              <w:t>2</w:t>
            </w:r>
            <w:r>
              <w:rPr>
                <w:noProof/>
                <w:webHidden/>
              </w:rPr>
              <w:fldChar w:fldCharType="end"/>
            </w:r>
          </w:hyperlink>
        </w:p>
        <w:p w14:paraId="522294CF" w14:textId="6D22B8D6" w:rsidR="009E30AA" w:rsidRDefault="00E817CA">
          <w:pPr>
            <w:pStyle w:val="TDC2"/>
            <w:tabs>
              <w:tab w:val="right" w:leader="dot" w:pos="8921"/>
            </w:tabs>
            <w:rPr>
              <w:rFonts w:asciiTheme="minorHAnsi" w:eastAsiaTheme="minorEastAsia" w:hAnsiTheme="minorHAnsi" w:cstheme="minorBidi"/>
              <w:noProof/>
            </w:rPr>
          </w:pPr>
          <w:hyperlink w:anchor="_Toc213338772" w:history="1">
            <w:r w:rsidR="009E30AA" w:rsidRPr="007210ED">
              <w:rPr>
                <w:rStyle w:val="Hipervnculo"/>
                <w:noProof/>
              </w:rPr>
              <w:t>I. Presentación de la solicitud de información</w:t>
            </w:r>
            <w:r w:rsidR="009E30AA">
              <w:rPr>
                <w:noProof/>
                <w:webHidden/>
              </w:rPr>
              <w:tab/>
            </w:r>
            <w:r w:rsidR="009E30AA">
              <w:rPr>
                <w:noProof/>
                <w:webHidden/>
              </w:rPr>
              <w:fldChar w:fldCharType="begin"/>
            </w:r>
            <w:r w:rsidR="009E30AA">
              <w:rPr>
                <w:noProof/>
                <w:webHidden/>
              </w:rPr>
              <w:instrText xml:space="preserve"> PAGEREF _Toc213338772 \h </w:instrText>
            </w:r>
            <w:r w:rsidR="009E30AA">
              <w:rPr>
                <w:noProof/>
                <w:webHidden/>
              </w:rPr>
            </w:r>
            <w:r w:rsidR="009E30AA">
              <w:rPr>
                <w:noProof/>
                <w:webHidden/>
              </w:rPr>
              <w:fldChar w:fldCharType="separate"/>
            </w:r>
            <w:r w:rsidR="0018739B">
              <w:rPr>
                <w:noProof/>
                <w:webHidden/>
              </w:rPr>
              <w:t>2</w:t>
            </w:r>
            <w:r w:rsidR="009E30AA">
              <w:rPr>
                <w:noProof/>
                <w:webHidden/>
              </w:rPr>
              <w:fldChar w:fldCharType="end"/>
            </w:r>
          </w:hyperlink>
        </w:p>
        <w:p w14:paraId="13B3B1BA" w14:textId="45C633F0" w:rsidR="009E30AA" w:rsidRDefault="00E817CA">
          <w:pPr>
            <w:pStyle w:val="TDC2"/>
            <w:tabs>
              <w:tab w:val="right" w:leader="dot" w:pos="8921"/>
            </w:tabs>
            <w:rPr>
              <w:rFonts w:asciiTheme="minorHAnsi" w:eastAsiaTheme="minorEastAsia" w:hAnsiTheme="minorHAnsi" w:cstheme="minorBidi"/>
              <w:noProof/>
            </w:rPr>
          </w:pPr>
          <w:hyperlink w:anchor="_Toc213338773" w:history="1">
            <w:r w:rsidR="009E30AA" w:rsidRPr="007210ED">
              <w:rPr>
                <w:rStyle w:val="Hipervnculo"/>
                <w:noProof/>
              </w:rPr>
              <w:t>II.  Respuesta del Sujeto Obligado</w:t>
            </w:r>
            <w:r w:rsidR="009E30AA">
              <w:rPr>
                <w:noProof/>
                <w:webHidden/>
              </w:rPr>
              <w:tab/>
            </w:r>
            <w:r w:rsidR="009E30AA">
              <w:rPr>
                <w:noProof/>
                <w:webHidden/>
              </w:rPr>
              <w:fldChar w:fldCharType="begin"/>
            </w:r>
            <w:r w:rsidR="009E30AA">
              <w:rPr>
                <w:noProof/>
                <w:webHidden/>
              </w:rPr>
              <w:instrText xml:space="preserve"> PAGEREF _Toc213338773 \h </w:instrText>
            </w:r>
            <w:r w:rsidR="009E30AA">
              <w:rPr>
                <w:noProof/>
                <w:webHidden/>
              </w:rPr>
            </w:r>
            <w:r w:rsidR="009E30AA">
              <w:rPr>
                <w:noProof/>
                <w:webHidden/>
              </w:rPr>
              <w:fldChar w:fldCharType="separate"/>
            </w:r>
            <w:r w:rsidR="0018739B">
              <w:rPr>
                <w:noProof/>
                <w:webHidden/>
              </w:rPr>
              <w:t>3</w:t>
            </w:r>
            <w:r w:rsidR="009E30AA">
              <w:rPr>
                <w:noProof/>
                <w:webHidden/>
              </w:rPr>
              <w:fldChar w:fldCharType="end"/>
            </w:r>
          </w:hyperlink>
        </w:p>
        <w:p w14:paraId="6FB5EEF4" w14:textId="61B091C2" w:rsidR="009E30AA" w:rsidRDefault="00E817CA">
          <w:pPr>
            <w:pStyle w:val="TDC2"/>
            <w:tabs>
              <w:tab w:val="right" w:leader="dot" w:pos="8921"/>
            </w:tabs>
            <w:rPr>
              <w:rFonts w:asciiTheme="minorHAnsi" w:eastAsiaTheme="minorEastAsia" w:hAnsiTheme="minorHAnsi" w:cstheme="minorBidi"/>
              <w:noProof/>
            </w:rPr>
          </w:pPr>
          <w:hyperlink w:anchor="_Toc213338774" w:history="1">
            <w:r w:rsidR="009E30AA" w:rsidRPr="007210ED">
              <w:rPr>
                <w:rStyle w:val="Hipervnculo"/>
                <w:noProof/>
              </w:rPr>
              <w:t>III. Interposición del Recurso de Revisión</w:t>
            </w:r>
            <w:r w:rsidR="009E30AA">
              <w:rPr>
                <w:noProof/>
                <w:webHidden/>
              </w:rPr>
              <w:tab/>
            </w:r>
            <w:r w:rsidR="009E30AA">
              <w:rPr>
                <w:noProof/>
                <w:webHidden/>
              </w:rPr>
              <w:fldChar w:fldCharType="begin"/>
            </w:r>
            <w:r w:rsidR="009E30AA">
              <w:rPr>
                <w:noProof/>
                <w:webHidden/>
              </w:rPr>
              <w:instrText xml:space="preserve"> PAGEREF _Toc213338774 \h </w:instrText>
            </w:r>
            <w:r w:rsidR="009E30AA">
              <w:rPr>
                <w:noProof/>
                <w:webHidden/>
              </w:rPr>
            </w:r>
            <w:r w:rsidR="009E30AA">
              <w:rPr>
                <w:noProof/>
                <w:webHidden/>
              </w:rPr>
              <w:fldChar w:fldCharType="separate"/>
            </w:r>
            <w:r w:rsidR="0018739B">
              <w:rPr>
                <w:noProof/>
                <w:webHidden/>
              </w:rPr>
              <w:t>3</w:t>
            </w:r>
            <w:r w:rsidR="009E30AA">
              <w:rPr>
                <w:noProof/>
                <w:webHidden/>
              </w:rPr>
              <w:fldChar w:fldCharType="end"/>
            </w:r>
          </w:hyperlink>
        </w:p>
        <w:p w14:paraId="319D044C" w14:textId="7509B08B" w:rsidR="009E30AA" w:rsidRDefault="00E817CA">
          <w:pPr>
            <w:pStyle w:val="TDC2"/>
            <w:tabs>
              <w:tab w:val="right" w:leader="dot" w:pos="8921"/>
            </w:tabs>
            <w:rPr>
              <w:rFonts w:asciiTheme="minorHAnsi" w:eastAsiaTheme="minorEastAsia" w:hAnsiTheme="minorHAnsi" w:cstheme="minorBidi"/>
              <w:noProof/>
            </w:rPr>
          </w:pPr>
          <w:hyperlink w:anchor="_Toc213338775" w:history="1">
            <w:r w:rsidR="009E30AA" w:rsidRPr="007210ED">
              <w:rPr>
                <w:rStyle w:val="Hipervnculo"/>
                <w:noProof/>
              </w:rPr>
              <w:t>IV. Trámite del Recurso de Revisión ante este Instituto</w:t>
            </w:r>
            <w:r w:rsidR="009E30AA">
              <w:rPr>
                <w:noProof/>
                <w:webHidden/>
              </w:rPr>
              <w:tab/>
            </w:r>
            <w:r w:rsidR="009E30AA">
              <w:rPr>
                <w:noProof/>
                <w:webHidden/>
              </w:rPr>
              <w:fldChar w:fldCharType="begin"/>
            </w:r>
            <w:r w:rsidR="009E30AA">
              <w:rPr>
                <w:noProof/>
                <w:webHidden/>
              </w:rPr>
              <w:instrText xml:space="preserve"> PAGEREF _Toc213338775 \h </w:instrText>
            </w:r>
            <w:r w:rsidR="009E30AA">
              <w:rPr>
                <w:noProof/>
                <w:webHidden/>
              </w:rPr>
            </w:r>
            <w:r w:rsidR="009E30AA">
              <w:rPr>
                <w:noProof/>
                <w:webHidden/>
              </w:rPr>
              <w:fldChar w:fldCharType="separate"/>
            </w:r>
            <w:r w:rsidR="0018739B">
              <w:rPr>
                <w:noProof/>
                <w:webHidden/>
              </w:rPr>
              <w:t>4</w:t>
            </w:r>
            <w:r w:rsidR="009E30AA">
              <w:rPr>
                <w:noProof/>
                <w:webHidden/>
              </w:rPr>
              <w:fldChar w:fldCharType="end"/>
            </w:r>
          </w:hyperlink>
        </w:p>
        <w:p w14:paraId="6FBAA29C" w14:textId="5885EC90" w:rsidR="009E30AA" w:rsidRDefault="00E817CA">
          <w:pPr>
            <w:pStyle w:val="TDC1"/>
            <w:tabs>
              <w:tab w:val="right" w:leader="dot" w:pos="8921"/>
            </w:tabs>
            <w:rPr>
              <w:rFonts w:asciiTheme="minorHAnsi" w:eastAsiaTheme="minorEastAsia" w:hAnsiTheme="minorHAnsi" w:cstheme="minorBidi"/>
              <w:noProof/>
            </w:rPr>
          </w:pPr>
          <w:hyperlink w:anchor="_Toc213338776" w:history="1">
            <w:r w:rsidR="009E30AA" w:rsidRPr="007210ED">
              <w:rPr>
                <w:rStyle w:val="Hipervnculo"/>
                <w:noProof/>
              </w:rPr>
              <w:t>C O N S I D E R A N D O S</w:t>
            </w:r>
            <w:r w:rsidR="009E30AA">
              <w:rPr>
                <w:noProof/>
                <w:webHidden/>
              </w:rPr>
              <w:tab/>
            </w:r>
            <w:r w:rsidR="009E30AA">
              <w:rPr>
                <w:noProof/>
                <w:webHidden/>
              </w:rPr>
              <w:fldChar w:fldCharType="begin"/>
            </w:r>
            <w:r w:rsidR="009E30AA">
              <w:rPr>
                <w:noProof/>
                <w:webHidden/>
              </w:rPr>
              <w:instrText xml:space="preserve"> PAGEREF _Toc213338776 \h </w:instrText>
            </w:r>
            <w:r w:rsidR="009E30AA">
              <w:rPr>
                <w:noProof/>
                <w:webHidden/>
              </w:rPr>
            </w:r>
            <w:r w:rsidR="009E30AA">
              <w:rPr>
                <w:noProof/>
                <w:webHidden/>
              </w:rPr>
              <w:fldChar w:fldCharType="separate"/>
            </w:r>
            <w:r w:rsidR="0018739B">
              <w:rPr>
                <w:noProof/>
                <w:webHidden/>
              </w:rPr>
              <w:t>7</w:t>
            </w:r>
            <w:r w:rsidR="009E30AA">
              <w:rPr>
                <w:noProof/>
                <w:webHidden/>
              </w:rPr>
              <w:fldChar w:fldCharType="end"/>
            </w:r>
          </w:hyperlink>
        </w:p>
        <w:p w14:paraId="65FD340E" w14:textId="08228225" w:rsidR="009E30AA" w:rsidRDefault="00E817CA">
          <w:pPr>
            <w:pStyle w:val="TDC2"/>
            <w:tabs>
              <w:tab w:val="right" w:leader="dot" w:pos="8921"/>
            </w:tabs>
            <w:rPr>
              <w:rFonts w:asciiTheme="minorHAnsi" w:eastAsiaTheme="minorEastAsia" w:hAnsiTheme="minorHAnsi" w:cstheme="minorBidi"/>
              <w:noProof/>
            </w:rPr>
          </w:pPr>
          <w:hyperlink w:anchor="_Toc213338777" w:history="1">
            <w:r w:rsidR="009E30AA" w:rsidRPr="007210ED">
              <w:rPr>
                <w:rStyle w:val="Hipervnculo"/>
                <w:noProof/>
              </w:rPr>
              <w:t>PRIMERO. Competencia</w:t>
            </w:r>
            <w:r w:rsidR="009E30AA">
              <w:rPr>
                <w:noProof/>
                <w:webHidden/>
              </w:rPr>
              <w:tab/>
            </w:r>
            <w:r w:rsidR="009E30AA">
              <w:rPr>
                <w:noProof/>
                <w:webHidden/>
              </w:rPr>
              <w:fldChar w:fldCharType="begin"/>
            </w:r>
            <w:r w:rsidR="009E30AA">
              <w:rPr>
                <w:noProof/>
                <w:webHidden/>
              </w:rPr>
              <w:instrText xml:space="preserve"> PAGEREF _Toc213338777 \h </w:instrText>
            </w:r>
            <w:r w:rsidR="009E30AA">
              <w:rPr>
                <w:noProof/>
                <w:webHidden/>
              </w:rPr>
            </w:r>
            <w:r w:rsidR="009E30AA">
              <w:rPr>
                <w:noProof/>
                <w:webHidden/>
              </w:rPr>
              <w:fldChar w:fldCharType="separate"/>
            </w:r>
            <w:r w:rsidR="0018739B">
              <w:rPr>
                <w:noProof/>
                <w:webHidden/>
              </w:rPr>
              <w:t>7</w:t>
            </w:r>
            <w:r w:rsidR="009E30AA">
              <w:rPr>
                <w:noProof/>
                <w:webHidden/>
              </w:rPr>
              <w:fldChar w:fldCharType="end"/>
            </w:r>
          </w:hyperlink>
        </w:p>
        <w:p w14:paraId="3DC2E0D1" w14:textId="00B20593" w:rsidR="009E30AA" w:rsidRDefault="00E817CA">
          <w:pPr>
            <w:pStyle w:val="TDC2"/>
            <w:tabs>
              <w:tab w:val="right" w:leader="dot" w:pos="8921"/>
            </w:tabs>
            <w:rPr>
              <w:rFonts w:asciiTheme="minorHAnsi" w:eastAsiaTheme="minorEastAsia" w:hAnsiTheme="minorHAnsi" w:cstheme="minorBidi"/>
              <w:noProof/>
            </w:rPr>
          </w:pPr>
          <w:hyperlink w:anchor="_Toc213338778" w:history="1">
            <w:r w:rsidR="009E30AA" w:rsidRPr="007210ED">
              <w:rPr>
                <w:rStyle w:val="Hipervnculo"/>
                <w:noProof/>
              </w:rPr>
              <w:t>SEGUNDO. Causales de improcedencia y sobreseimiento</w:t>
            </w:r>
            <w:r w:rsidR="009E30AA">
              <w:rPr>
                <w:noProof/>
                <w:webHidden/>
              </w:rPr>
              <w:tab/>
            </w:r>
            <w:r w:rsidR="009E30AA">
              <w:rPr>
                <w:noProof/>
                <w:webHidden/>
              </w:rPr>
              <w:fldChar w:fldCharType="begin"/>
            </w:r>
            <w:r w:rsidR="009E30AA">
              <w:rPr>
                <w:noProof/>
                <w:webHidden/>
              </w:rPr>
              <w:instrText xml:space="preserve"> PAGEREF _Toc213338778 \h </w:instrText>
            </w:r>
            <w:r w:rsidR="009E30AA">
              <w:rPr>
                <w:noProof/>
                <w:webHidden/>
              </w:rPr>
            </w:r>
            <w:r w:rsidR="009E30AA">
              <w:rPr>
                <w:noProof/>
                <w:webHidden/>
              </w:rPr>
              <w:fldChar w:fldCharType="separate"/>
            </w:r>
            <w:r w:rsidR="0018739B">
              <w:rPr>
                <w:noProof/>
                <w:webHidden/>
              </w:rPr>
              <w:t>8</w:t>
            </w:r>
            <w:r w:rsidR="009E30AA">
              <w:rPr>
                <w:noProof/>
                <w:webHidden/>
              </w:rPr>
              <w:fldChar w:fldCharType="end"/>
            </w:r>
          </w:hyperlink>
        </w:p>
        <w:p w14:paraId="783782B2" w14:textId="516C3918" w:rsidR="009E30AA" w:rsidRDefault="00E817CA">
          <w:pPr>
            <w:pStyle w:val="TDC2"/>
            <w:tabs>
              <w:tab w:val="right" w:leader="dot" w:pos="8921"/>
            </w:tabs>
            <w:rPr>
              <w:rFonts w:asciiTheme="minorHAnsi" w:eastAsiaTheme="minorEastAsia" w:hAnsiTheme="minorHAnsi" w:cstheme="minorBidi"/>
              <w:noProof/>
            </w:rPr>
          </w:pPr>
          <w:hyperlink w:anchor="_Toc213338779" w:history="1">
            <w:r w:rsidR="009E30AA" w:rsidRPr="007210ED">
              <w:rPr>
                <w:rStyle w:val="Hipervnculo"/>
                <w:noProof/>
              </w:rPr>
              <w:t>TERCERO. Determinación de la Controversia</w:t>
            </w:r>
            <w:r w:rsidR="009E30AA">
              <w:rPr>
                <w:noProof/>
                <w:webHidden/>
              </w:rPr>
              <w:tab/>
            </w:r>
            <w:r w:rsidR="009E30AA">
              <w:rPr>
                <w:noProof/>
                <w:webHidden/>
              </w:rPr>
              <w:fldChar w:fldCharType="begin"/>
            </w:r>
            <w:r w:rsidR="009E30AA">
              <w:rPr>
                <w:noProof/>
                <w:webHidden/>
              </w:rPr>
              <w:instrText xml:space="preserve"> PAGEREF _Toc213338779 \h </w:instrText>
            </w:r>
            <w:r w:rsidR="009E30AA">
              <w:rPr>
                <w:noProof/>
                <w:webHidden/>
              </w:rPr>
            </w:r>
            <w:r w:rsidR="009E30AA">
              <w:rPr>
                <w:noProof/>
                <w:webHidden/>
              </w:rPr>
              <w:fldChar w:fldCharType="separate"/>
            </w:r>
            <w:r w:rsidR="0018739B">
              <w:rPr>
                <w:noProof/>
                <w:webHidden/>
              </w:rPr>
              <w:t>9</w:t>
            </w:r>
            <w:r w:rsidR="009E30AA">
              <w:rPr>
                <w:noProof/>
                <w:webHidden/>
              </w:rPr>
              <w:fldChar w:fldCharType="end"/>
            </w:r>
          </w:hyperlink>
        </w:p>
        <w:p w14:paraId="049DDF87" w14:textId="3CEA210D" w:rsidR="009E30AA" w:rsidRDefault="00E817CA">
          <w:pPr>
            <w:pStyle w:val="TDC2"/>
            <w:tabs>
              <w:tab w:val="right" w:leader="dot" w:pos="8921"/>
            </w:tabs>
            <w:rPr>
              <w:rFonts w:asciiTheme="minorHAnsi" w:eastAsiaTheme="minorEastAsia" w:hAnsiTheme="minorHAnsi" w:cstheme="minorBidi"/>
              <w:noProof/>
            </w:rPr>
          </w:pPr>
          <w:hyperlink w:anchor="_Toc213338780" w:history="1">
            <w:r w:rsidR="009E30AA" w:rsidRPr="007210ED">
              <w:rPr>
                <w:rStyle w:val="Hipervnculo"/>
                <w:noProof/>
              </w:rPr>
              <w:t>CUARTO. Marco normativo aplicable en materia de transparencia y acceso a la información pública</w:t>
            </w:r>
            <w:r w:rsidR="009E30AA">
              <w:rPr>
                <w:noProof/>
                <w:webHidden/>
              </w:rPr>
              <w:tab/>
            </w:r>
            <w:r w:rsidR="009E30AA">
              <w:rPr>
                <w:noProof/>
                <w:webHidden/>
              </w:rPr>
              <w:fldChar w:fldCharType="begin"/>
            </w:r>
            <w:r w:rsidR="009E30AA">
              <w:rPr>
                <w:noProof/>
                <w:webHidden/>
              </w:rPr>
              <w:instrText xml:space="preserve"> PAGEREF _Toc213338780 \h </w:instrText>
            </w:r>
            <w:r w:rsidR="009E30AA">
              <w:rPr>
                <w:noProof/>
                <w:webHidden/>
              </w:rPr>
            </w:r>
            <w:r w:rsidR="009E30AA">
              <w:rPr>
                <w:noProof/>
                <w:webHidden/>
              </w:rPr>
              <w:fldChar w:fldCharType="separate"/>
            </w:r>
            <w:r w:rsidR="0018739B">
              <w:rPr>
                <w:noProof/>
                <w:webHidden/>
              </w:rPr>
              <w:t>10</w:t>
            </w:r>
            <w:r w:rsidR="009E30AA">
              <w:rPr>
                <w:noProof/>
                <w:webHidden/>
              </w:rPr>
              <w:fldChar w:fldCharType="end"/>
            </w:r>
          </w:hyperlink>
        </w:p>
        <w:p w14:paraId="3794F112" w14:textId="6F34E865" w:rsidR="009E30AA" w:rsidRDefault="00E817CA">
          <w:pPr>
            <w:pStyle w:val="TDC2"/>
            <w:tabs>
              <w:tab w:val="right" w:leader="dot" w:pos="8921"/>
            </w:tabs>
            <w:rPr>
              <w:rFonts w:asciiTheme="minorHAnsi" w:eastAsiaTheme="minorEastAsia" w:hAnsiTheme="minorHAnsi" w:cstheme="minorBidi"/>
              <w:noProof/>
            </w:rPr>
          </w:pPr>
          <w:hyperlink w:anchor="_Toc213338781" w:history="1">
            <w:r w:rsidR="009E30AA" w:rsidRPr="007210ED">
              <w:rPr>
                <w:rStyle w:val="Hipervnculo"/>
                <w:noProof/>
              </w:rPr>
              <w:t>QUINTO. Estudio de Fondo</w:t>
            </w:r>
            <w:r w:rsidR="009E30AA">
              <w:rPr>
                <w:noProof/>
                <w:webHidden/>
              </w:rPr>
              <w:tab/>
            </w:r>
            <w:r w:rsidR="009E30AA">
              <w:rPr>
                <w:noProof/>
                <w:webHidden/>
              </w:rPr>
              <w:fldChar w:fldCharType="begin"/>
            </w:r>
            <w:r w:rsidR="009E30AA">
              <w:rPr>
                <w:noProof/>
                <w:webHidden/>
              </w:rPr>
              <w:instrText xml:space="preserve"> PAGEREF _Toc213338781 \h </w:instrText>
            </w:r>
            <w:r w:rsidR="009E30AA">
              <w:rPr>
                <w:noProof/>
                <w:webHidden/>
              </w:rPr>
            </w:r>
            <w:r w:rsidR="009E30AA">
              <w:rPr>
                <w:noProof/>
                <w:webHidden/>
              </w:rPr>
              <w:fldChar w:fldCharType="separate"/>
            </w:r>
            <w:r w:rsidR="0018739B">
              <w:rPr>
                <w:noProof/>
                <w:webHidden/>
              </w:rPr>
              <w:t>11</w:t>
            </w:r>
            <w:r w:rsidR="009E30AA">
              <w:rPr>
                <w:noProof/>
                <w:webHidden/>
              </w:rPr>
              <w:fldChar w:fldCharType="end"/>
            </w:r>
          </w:hyperlink>
        </w:p>
        <w:p w14:paraId="67F10DC3" w14:textId="185FAF49" w:rsidR="009E30AA" w:rsidRDefault="00E817CA">
          <w:pPr>
            <w:pStyle w:val="TDC2"/>
            <w:tabs>
              <w:tab w:val="right" w:leader="dot" w:pos="8921"/>
            </w:tabs>
            <w:rPr>
              <w:rFonts w:asciiTheme="minorHAnsi" w:eastAsiaTheme="minorEastAsia" w:hAnsiTheme="minorHAnsi" w:cstheme="minorBidi"/>
              <w:noProof/>
            </w:rPr>
          </w:pPr>
          <w:hyperlink w:anchor="_Toc213338782" w:history="1">
            <w:r w:rsidR="009E30AA" w:rsidRPr="007210ED">
              <w:rPr>
                <w:rStyle w:val="Hipervnculo"/>
                <w:noProof/>
              </w:rPr>
              <w:t>SEXTO. Decisión</w:t>
            </w:r>
            <w:r w:rsidR="009E30AA">
              <w:rPr>
                <w:noProof/>
                <w:webHidden/>
              </w:rPr>
              <w:tab/>
            </w:r>
            <w:r w:rsidR="009E30AA">
              <w:rPr>
                <w:noProof/>
                <w:webHidden/>
              </w:rPr>
              <w:fldChar w:fldCharType="begin"/>
            </w:r>
            <w:r w:rsidR="009E30AA">
              <w:rPr>
                <w:noProof/>
                <w:webHidden/>
              </w:rPr>
              <w:instrText xml:space="preserve"> PAGEREF _Toc213338782 \h </w:instrText>
            </w:r>
            <w:r w:rsidR="009E30AA">
              <w:rPr>
                <w:noProof/>
                <w:webHidden/>
              </w:rPr>
            </w:r>
            <w:r w:rsidR="009E30AA">
              <w:rPr>
                <w:noProof/>
                <w:webHidden/>
              </w:rPr>
              <w:fldChar w:fldCharType="separate"/>
            </w:r>
            <w:r w:rsidR="0018739B">
              <w:rPr>
                <w:noProof/>
                <w:webHidden/>
              </w:rPr>
              <w:t>38</w:t>
            </w:r>
            <w:r w:rsidR="009E30AA">
              <w:rPr>
                <w:noProof/>
                <w:webHidden/>
              </w:rPr>
              <w:fldChar w:fldCharType="end"/>
            </w:r>
          </w:hyperlink>
        </w:p>
        <w:p w14:paraId="25A9E3F5" w14:textId="51B293BE" w:rsidR="009E30AA" w:rsidRDefault="00E817CA">
          <w:pPr>
            <w:pStyle w:val="TDC1"/>
            <w:tabs>
              <w:tab w:val="right" w:leader="dot" w:pos="8921"/>
            </w:tabs>
            <w:rPr>
              <w:rFonts w:asciiTheme="minorHAnsi" w:eastAsiaTheme="minorEastAsia" w:hAnsiTheme="minorHAnsi" w:cstheme="minorBidi"/>
              <w:noProof/>
            </w:rPr>
          </w:pPr>
          <w:hyperlink w:anchor="_Toc213338783" w:history="1">
            <w:r w:rsidR="009E30AA" w:rsidRPr="007210ED">
              <w:rPr>
                <w:rStyle w:val="Hipervnculo"/>
                <w:noProof/>
              </w:rPr>
              <w:t>R E S U E L V E</w:t>
            </w:r>
            <w:r w:rsidR="009E30AA">
              <w:rPr>
                <w:noProof/>
                <w:webHidden/>
              </w:rPr>
              <w:tab/>
            </w:r>
            <w:r w:rsidR="009E30AA">
              <w:rPr>
                <w:noProof/>
                <w:webHidden/>
              </w:rPr>
              <w:fldChar w:fldCharType="begin"/>
            </w:r>
            <w:r w:rsidR="009E30AA">
              <w:rPr>
                <w:noProof/>
                <w:webHidden/>
              </w:rPr>
              <w:instrText xml:space="preserve"> PAGEREF _Toc213338783 \h </w:instrText>
            </w:r>
            <w:r w:rsidR="009E30AA">
              <w:rPr>
                <w:noProof/>
                <w:webHidden/>
              </w:rPr>
            </w:r>
            <w:r w:rsidR="009E30AA">
              <w:rPr>
                <w:noProof/>
                <w:webHidden/>
              </w:rPr>
              <w:fldChar w:fldCharType="separate"/>
            </w:r>
            <w:r w:rsidR="0018739B">
              <w:rPr>
                <w:noProof/>
                <w:webHidden/>
              </w:rPr>
              <w:t>39</w:t>
            </w:r>
            <w:r w:rsidR="009E30AA">
              <w:rPr>
                <w:noProof/>
                <w:webHidden/>
              </w:rPr>
              <w:fldChar w:fldCharType="end"/>
            </w:r>
          </w:hyperlink>
        </w:p>
        <w:p w14:paraId="019AF9FC" w14:textId="77777777" w:rsidR="009E30AA" w:rsidRDefault="009E30AA">
          <w:r>
            <w:rPr>
              <w:b/>
              <w:bCs/>
              <w:lang w:val="es-ES"/>
            </w:rPr>
            <w:fldChar w:fldCharType="end"/>
          </w:r>
        </w:p>
      </w:sdtContent>
    </w:sdt>
    <w:p w14:paraId="3174F311" w14:textId="77777777" w:rsidR="009E30AA" w:rsidRDefault="009E30AA">
      <w:pPr>
        <w:tabs>
          <w:tab w:val="left" w:pos="8931"/>
        </w:tabs>
        <w:spacing w:after="0" w:line="360" w:lineRule="auto"/>
      </w:pPr>
    </w:p>
    <w:p w14:paraId="6E9DA7B2" w14:textId="77777777" w:rsidR="009E30AA" w:rsidRDefault="009E30AA">
      <w:pPr>
        <w:tabs>
          <w:tab w:val="left" w:pos="8931"/>
        </w:tabs>
        <w:spacing w:after="0" w:line="360" w:lineRule="auto"/>
      </w:pPr>
    </w:p>
    <w:p w14:paraId="313738CF" w14:textId="77777777" w:rsidR="009E30AA" w:rsidRDefault="009E30AA">
      <w:pPr>
        <w:tabs>
          <w:tab w:val="left" w:pos="8931"/>
        </w:tabs>
        <w:spacing w:after="0" w:line="360" w:lineRule="auto"/>
      </w:pPr>
    </w:p>
    <w:p w14:paraId="2E8B370A" w14:textId="77777777" w:rsidR="009E30AA" w:rsidRDefault="009E30AA">
      <w:pPr>
        <w:tabs>
          <w:tab w:val="left" w:pos="8931"/>
        </w:tabs>
        <w:spacing w:after="0" w:line="360" w:lineRule="auto"/>
      </w:pPr>
    </w:p>
    <w:p w14:paraId="2DCB4C4E" w14:textId="77777777" w:rsidR="009E30AA" w:rsidRDefault="009E30AA">
      <w:pPr>
        <w:tabs>
          <w:tab w:val="left" w:pos="8931"/>
        </w:tabs>
        <w:spacing w:after="0" w:line="360" w:lineRule="auto"/>
      </w:pPr>
    </w:p>
    <w:p w14:paraId="6B3B25B9" w14:textId="77777777" w:rsidR="009E30AA" w:rsidRDefault="009E30AA">
      <w:pPr>
        <w:tabs>
          <w:tab w:val="left" w:pos="8931"/>
        </w:tabs>
        <w:spacing w:after="0" w:line="360" w:lineRule="auto"/>
      </w:pPr>
    </w:p>
    <w:p w14:paraId="57231ECB" w14:textId="77777777" w:rsidR="009E30AA" w:rsidRDefault="009E30AA">
      <w:pPr>
        <w:tabs>
          <w:tab w:val="left" w:pos="8931"/>
        </w:tabs>
        <w:spacing w:after="0" w:line="360" w:lineRule="auto"/>
      </w:pPr>
    </w:p>
    <w:p w14:paraId="796143DC" w14:textId="77777777" w:rsidR="009E30AA" w:rsidRDefault="009E30AA">
      <w:pPr>
        <w:tabs>
          <w:tab w:val="left" w:pos="8931"/>
        </w:tabs>
        <w:spacing w:after="0" w:line="360" w:lineRule="auto"/>
      </w:pPr>
    </w:p>
    <w:p w14:paraId="23754144" w14:textId="77777777" w:rsidR="00E033C2" w:rsidRDefault="00E033C2">
      <w:pPr>
        <w:tabs>
          <w:tab w:val="left" w:pos="8931"/>
        </w:tabs>
        <w:spacing w:after="0" w:line="360" w:lineRule="auto"/>
        <w:rPr>
          <w:color w:val="FF0000"/>
        </w:rPr>
      </w:pPr>
    </w:p>
    <w:p w14:paraId="6455885F" w14:textId="72BB2B3F" w:rsidR="00E033C2" w:rsidRDefault="00F9656F">
      <w:pPr>
        <w:tabs>
          <w:tab w:val="left" w:pos="8931"/>
        </w:tabs>
        <w:spacing w:after="0" w:line="360" w:lineRule="auto"/>
        <w:rPr>
          <w:color w:val="000000"/>
        </w:rPr>
      </w:pPr>
      <w:r>
        <w:rPr>
          <w:color w:val="000000"/>
        </w:rPr>
        <w:t xml:space="preserve">Resolución del Pleno del Instituto de Transparencia, Acceso a la Información Pública y Protección de Datos Personales del Estado de México y Municipios, con domicilio en Metepec, Estado de México, de fecha </w:t>
      </w:r>
      <w:r w:rsidR="00BD166F">
        <w:rPr>
          <w:color w:val="000000"/>
        </w:rPr>
        <w:t>cinco de noviembre</w:t>
      </w:r>
      <w:r>
        <w:rPr>
          <w:color w:val="000000"/>
        </w:rPr>
        <w:t xml:space="preserve"> de dos mil veinticinco.</w:t>
      </w:r>
    </w:p>
    <w:p w14:paraId="405D86F8" w14:textId="77777777" w:rsidR="00E033C2" w:rsidRDefault="00E033C2">
      <w:pPr>
        <w:spacing w:after="0" w:line="360" w:lineRule="auto"/>
        <w:rPr>
          <w:b/>
          <w:color w:val="FF0000"/>
        </w:rPr>
      </w:pPr>
    </w:p>
    <w:p w14:paraId="5F0FA57E" w14:textId="20F015CC" w:rsidR="00E033C2" w:rsidRDefault="00F9656F">
      <w:pPr>
        <w:spacing w:after="0" w:line="360" w:lineRule="auto"/>
        <w:rPr>
          <w:color w:val="000000"/>
        </w:rPr>
      </w:pPr>
      <w:r w:rsidRPr="00BD166F">
        <w:rPr>
          <w:b/>
          <w:bCs/>
          <w:color w:val="000000"/>
        </w:rPr>
        <w:t xml:space="preserve">VISTO </w:t>
      </w:r>
      <w:r>
        <w:rPr>
          <w:color w:val="000000"/>
        </w:rPr>
        <w:t xml:space="preserve">el expediente electrónico conformado con motivo del Recurso de Revisión </w:t>
      </w:r>
      <w:r w:rsidRPr="00BD166F">
        <w:rPr>
          <w:b/>
          <w:bCs/>
          <w:color w:val="000000"/>
        </w:rPr>
        <w:t>06536/INFOEM/IP/RR/2025</w:t>
      </w:r>
      <w:r>
        <w:rPr>
          <w:color w:val="000000"/>
        </w:rPr>
        <w:t xml:space="preserve">, interpuesto por </w:t>
      </w:r>
      <w:r w:rsidR="00EC18A4" w:rsidRPr="00EC18A4">
        <w:rPr>
          <w:color w:val="000000"/>
          <w:highlight w:val="black"/>
        </w:rPr>
        <w:t>XXXXXXXXXXXXXX</w:t>
      </w:r>
      <w:r>
        <w:rPr>
          <w:color w:val="000000"/>
        </w:rPr>
        <w:t xml:space="preserve">, la persona Recurrente o Particular, en contra de la respuesta del Sujeto Obligado, </w:t>
      </w:r>
      <w:r w:rsidRPr="00BD166F">
        <w:rPr>
          <w:b/>
          <w:bCs/>
        </w:rPr>
        <w:t>Ayuntamiento de Ixtapaluca</w:t>
      </w:r>
      <w:r>
        <w:rPr>
          <w:color w:val="000000"/>
        </w:rPr>
        <w:t>, a la solicitud de acceso a la información pública 00147/IXTAPALU/IP/2025, se emite la presente Resolución, con base en los Antecedentes y Considerandos que se exponen a continuación:</w:t>
      </w:r>
    </w:p>
    <w:p w14:paraId="764CC4F6" w14:textId="77777777" w:rsidR="00E033C2" w:rsidRDefault="00E033C2">
      <w:pPr>
        <w:spacing w:after="0" w:line="360" w:lineRule="auto"/>
        <w:rPr>
          <w:b/>
          <w:color w:val="000000"/>
        </w:rPr>
      </w:pPr>
    </w:p>
    <w:p w14:paraId="7A2D0AAC" w14:textId="77777777" w:rsidR="00E033C2" w:rsidRDefault="00F9656F">
      <w:pPr>
        <w:pStyle w:val="Ttulo1"/>
        <w:spacing w:before="0" w:after="0" w:line="360" w:lineRule="auto"/>
        <w:jc w:val="center"/>
        <w:rPr>
          <w:color w:val="000000"/>
          <w:sz w:val="22"/>
          <w:szCs w:val="22"/>
        </w:rPr>
      </w:pPr>
      <w:bookmarkStart w:id="0" w:name="_heading=h.xptjsvrzrga1" w:colFirst="0" w:colLast="0"/>
      <w:bookmarkStart w:id="1" w:name="_Toc213338771"/>
      <w:bookmarkEnd w:id="0"/>
      <w:r>
        <w:rPr>
          <w:color w:val="000000"/>
          <w:sz w:val="22"/>
          <w:szCs w:val="22"/>
        </w:rPr>
        <w:t xml:space="preserve">A N T </w:t>
      </w:r>
      <w:bookmarkStart w:id="2" w:name="_GoBack"/>
      <w:bookmarkEnd w:id="2"/>
      <w:r>
        <w:rPr>
          <w:color w:val="000000"/>
          <w:sz w:val="22"/>
          <w:szCs w:val="22"/>
        </w:rPr>
        <w:t>E C E D E N T E S</w:t>
      </w:r>
      <w:bookmarkEnd w:id="1"/>
    </w:p>
    <w:p w14:paraId="2CFF6BAF" w14:textId="77777777" w:rsidR="00E033C2" w:rsidRDefault="00E033C2">
      <w:pPr>
        <w:spacing w:after="0" w:line="360" w:lineRule="auto"/>
        <w:jc w:val="center"/>
        <w:rPr>
          <w:b/>
          <w:color w:val="FF0000"/>
        </w:rPr>
      </w:pPr>
    </w:p>
    <w:p w14:paraId="5DD2F482" w14:textId="77777777" w:rsidR="00E033C2" w:rsidRDefault="00F9656F">
      <w:pPr>
        <w:pStyle w:val="Ttulo2"/>
        <w:spacing w:before="0" w:after="0" w:line="360" w:lineRule="auto"/>
        <w:rPr>
          <w:color w:val="000000"/>
          <w:sz w:val="22"/>
          <w:szCs w:val="22"/>
        </w:rPr>
      </w:pPr>
      <w:bookmarkStart w:id="3" w:name="_heading=h.8xbl2mlsa7tx" w:colFirst="0" w:colLast="0"/>
      <w:bookmarkStart w:id="4" w:name="_Toc213338772"/>
      <w:bookmarkEnd w:id="3"/>
      <w:r>
        <w:rPr>
          <w:color w:val="000000"/>
          <w:sz w:val="22"/>
          <w:szCs w:val="22"/>
        </w:rPr>
        <w:t>I. Presentación de la solicitud de información</w:t>
      </w:r>
      <w:bookmarkEnd w:id="4"/>
    </w:p>
    <w:p w14:paraId="00FB1A90" w14:textId="77777777" w:rsidR="00E033C2" w:rsidRDefault="00E033C2">
      <w:pPr>
        <w:tabs>
          <w:tab w:val="left" w:pos="567"/>
        </w:tabs>
        <w:spacing w:after="0" w:line="360" w:lineRule="auto"/>
        <w:rPr>
          <w:color w:val="000000"/>
        </w:rPr>
      </w:pPr>
    </w:p>
    <w:p w14:paraId="3C36B90A" w14:textId="77777777" w:rsidR="00E033C2" w:rsidRDefault="00F9656F">
      <w:pPr>
        <w:spacing w:after="0" w:line="360" w:lineRule="auto"/>
        <w:rPr>
          <w:color w:val="000000"/>
        </w:rPr>
      </w:pPr>
      <w:r>
        <w:rPr>
          <w:color w:val="000000"/>
        </w:rPr>
        <w:t xml:space="preserve">El doce de mayo de dos mil veinticinco (si bien se presentó el once del mismo mes, cabe mencionar que fue inhábil por lo que se tuvo presentada el día siguiente hábil),  el Particular presentó una solicitud de acceso a la información pública, a través del Sistema de Acceso a la Información Mexiquense (SAIMEX), ante el </w:t>
      </w:r>
      <w:r>
        <w:t>Ayuntamiento de Ixtapaluca</w:t>
      </w:r>
      <w:r>
        <w:rPr>
          <w:color w:val="000000"/>
        </w:rPr>
        <w:t xml:space="preserve">, en los siguientes términos: </w:t>
      </w:r>
    </w:p>
    <w:p w14:paraId="1A658D5A" w14:textId="77777777" w:rsidR="00E033C2" w:rsidRDefault="00E033C2">
      <w:pPr>
        <w:spacing w:after="0" w:line="360" w:lineRule="auto"/>
        <w:rPr>
          <w:color w:val="FF0000"/>
        </w:rPr>
      </w:pPr>
    </w:p>
    <w:p w14:paraId="44EC7708" w14:textId="77777777" w:rsidR="00E033C2" w:rsidRDefault="00F9656F">
      <w:pPr>
        <w:tabs>
          <w:tab w:val="left" w:pos="4667"/>
        </w:tabs>
        <w:spacing w:after="0" w:line="360" w:lineRule="auto"/>
        <w:ind w:left="567" w:right="567"/>
        <w:rPr>
          <w:b/>
          <w:i/>
          <w:color w:val="000000"/>
          <w:sz w:val="20"/>
          <w:szCs w:val="20"/>
        </w:rPr>
      </w:pPr>
      <w:r>
        <w:rPr>
          <w:b/>
          <w:i/>
          <w:color w:val="000000"/>
          <w:sz w:val="20"/>
          <w:szCs w:val="20"/>
        </w:rPr>
        <w:t>“DESCRIPCIÓN CLARA Y PRECISA DE LA INFORMACIÓN SOLICITADA</w:t>
      </w:r>
    </w:p>
    <w:p w14:paraId="3E9F56BB" w14:textId="77777777" w:rsidR="00E033C2" w:rsidRDefault="00F9656F">
      <w:pPr>
        <w:spacing w:after="0" w:line="360" w:lineRule="auto"/>
        <w:ind w:left="567" w:right="567"/>
        <w:rPr>
          <w:i/>
          <w:color w:val="000000"/>
          <w:sz w:val="20"/>
          <w:szCs w:val="20"/>
        </w:rPr>
      </w:pPr>
      <w:proofErr w:type="gramStart"/>
      <w:r>
        <w:rPr>
          <w:i/>
          <w:color w:val="000000"/>
          <w:sz w:val="20"/>
          <w:szCs w:val="20"/>
        </w:rPr>
        <w:t>solicito</w:t>
      </w:r>
      <w:proofErr w:type="gramEnd"/>
      <w:r>
        <w:rPr>
          <w:i/>
          <w:color w:val="000000"/>
          <w:sz w:val="20"/>
          <w:szCs w:val="20"/>
        </w:rPr>
        <w:t xml:space="preserve"> copia simple digitalizada a través del sistema electrónico </w:t>
      </w:r>
      <w:proofErr w:type="spellStart"/>
      <w:r>
        <w:rPr>
          <w:i/>
          <w:color w:val="000000"/>
          <w:sz w:val="20"/>
          <w:szCs w:val="20"/>
        </w:rPr>
        <w:t>saimex</w:t>
      </w:r>
      <w:proofErr w:type="spellEnd"/>
      <w:r>
        <w:rPr>
          <w:i/>
          <w:color w:val="000000"/>
          <w:sz w:val="20"/>
          <w:szCs w:val="20"/>
        </w:rPr>
        <w:t xml:space="preserve"> de los comprobantes de pago por cheque o transferencia interbancaria a particulares por un monto superior a 2 millones de pesos con recursos públicos del ejercicio presupuestal del año 2024.....” (Sic)</w:t>
      </w:r>
    </w:p>
    <w:p w14:paraId="01CF2233" w14:textId="77777777" w:rsidR="00E033C2" w:rsidRDefault="00E033C2">
      <w:pPr>
        <w:tabs>
          <w:tab w:val="left" w:pos="4667"/>
        </w:tabs>
        <w:spacing w:after="0" w:line="360" w:lineRule="auto"/>
        <w:ind w:left="567" w:right="567"/>
        <w:rPr>
          <w:b/>
          <w:i/>
          <w:color w:val="000000"/>
          <w:sz w:val="20"/>
          <w:szCs w:val="20"/>
        </w:rPr>
      </w:pPr>
    </w:p>
    <w:p w14:paraId="025F9EFA" w14:textId="77777777" w:rsidR="00E033C2" w:rsidRDefault="00E033C2">
      <w:pPr>
        <w:tabs>
          <w:tab w:val="left" w:pos="4667"/>
        </w:tabs>
        <w:spacing w:after="0" w:line="360" w:lineRule="auto"/>
        <w:ind w:left="567" w:right="567"/>
        <w:rPr>
          <w:b/>
          <w:i/>
          <w:color w:val="000000"/>
          <w:sz w:val="20"/>
          <w:szCs w:val="20"/>
        </w:rPr>
      </w:pPr>
    </w:p>
    <w:p w14:paraId="296282E3" w14:textId="77777777" w:rsidR="00E033C2" w:rsidRDefault="00E033C2">
      <w:pPr>
        <w:tabs>
          <w:tab w:val="left" w:pos="4667"/>
        </w:tabs>
        <w:spacing w:after="0" w:line="360" w:lineRule="auto"/>
        <w:ind w:left="567" w:right="567"/>
        <w:rPr>
          <w:b/>
          <w:i/>
          <w:color w:val="000000"/>
          <w:sz w:val="20"/>
          <w:szCs w:val="20"/>
        </w:rPr>
      </w:pPr>
    </w:p>
    <w:p w14:paraId="4344136E" w14:textId="77777777" w:rsidR="00E033C2" w:rsidRDefault="00F9656F">
      <w:pPr>
        <w:tabs>
          <w:tab w:val="left" w:pos="4667"/>
        </w:tabs>
        <w:spacing w:after="0" w:line="360" w:lineRule="auto"/>
        <w:ind w:left="567" w:right="567"/>
        <w:rPr>
          <w:b/>
          <w:i/>
          <w:color w:val="000000"/>
          <w:sz w:val="20"/>
          <w:szCs w:val="20"/>
        </w:rPr>
      </w:pPr>
      <w:r>
        <w:rPr>
          <w:b/>
          <w:i/>
          <w:color w:val="000000"/>
          <w:sz w:val="20"/>
          <w:szCs w:val="20"/>
        </w:rPr>
        <w:lastRenderedPageBreak/>
        <w:t>“MODALIDAD DE ENTREGA</w:t>
      </w:r>
    </w:p>
    <w:p w14:paraId="25AA3469" w14:textId="77777777" w:rsidR="00E033C2" w:rsidRDefault="00F9656F">
      <w:pPr>
        <w:spacing w:after="0" w:line="360" w:lineRule="auto"/>
        <w:ind w:left="567" w:right="567"/>
        <w:rPr>
          <w:i/>
          <w:color w:val="000000"/>
          <w:sz w:val="20"/>
          <w:szCs w:val="20"/>
        </w:rPr>
      </w:pPr>
      <w:r>
        <w:rPr>
          <w:i/>
          <w:color w:val="000000"/>
          <w:sz w:val="20"/>
          <w:szCs w:val="20"/>
        </w:rPr>
        <w:t>A través del SAIMEX”</w:t>
      </w:r>
    </w:p>
    <w:p w14:paraId="0DA964A2" w14:textId="77777777" w:rsidR="00E033C2" w:rsidRDefault="00E033C2">
      <w:pPr>
        <w:spacing w:after="0" w:line="360" w:lineRule="auto"/>
        <w:ind w:left="567" w:right="567"/>
        <w:rPr>
          <w:i/>
          <w:color w:val="000000"/>
          <w:sz w:val="20"/>
          <w:szCs w:val="20"/>
        </w:rPr>
      </w:pPr>
    </w:p>
    <w:p w14:paraId="36864F14" w14:textId="77777777" w:rsidR="00E033C2" w:rsidRDefault="00F9656F">
      <w:pPr>
        <w:pStyle w:val="Ttulo2"/>
        <w:spacing w:before="0" w:after="0" w:line="360" w:lineRule="auto"/>
        <w:rPr>
          <w:color w:val="000000"/>
          <w:sz w:val="22"/>
          <w:szCs w:val="22"/>
        </w:rPr>
      </w:pPr>
      <w:bookmarkStart w:id="5" w:name="_heading=h.7f0egbp0uoc9" w:colFirst="0" w:colLast="0"/>
      <w:bookmarkStart w:id="6" w:name="_Toc213338773"/>
      <w:bookmarkEnd w:id="5"/>
      <w:r>
        <w:rPr>
          <w:color w:val="000000"/>
          <w:sz w:val="22"/>
          <w:szCs w:val="22"/>
        </w:rPr>
        <w:t>II.  Respuesta del Sujeto Obligado</w:t>
      </w:r>
      <w:bookmarkEnd w:id="6"/>
    </w:p>
    <w:p w14:paraId="59947CE5" w14:textId="77777777" w:rsidR="00E033C2" w:rsidRDefault="00E033C2">
      <w:pPr>
        <w:spacing w:after="0" w:line="360" w:lineRule="auto"/>
        <w:rPr>
          <w:b/>
          <w:color w:val="000000"/>
        </w:rPr>
      </w:pPr>
    </w:p>
    <w:p w14:paraId="308833BC" w14:textId="77777777" w:rsidR="00E033C2" w:rsidRDefault="00F9656F">
      <w:pPr>
        <w:spacing w:after="0" w:line="360" w:lineRule="auto"/>
        <w:rPr>
          <w:color w:val="000000"/>
        </w:rPr>
      </w:pPr>
      <w:r>
        <w:rPr>
          <w:color w:val="000000"/>
        </w:rPr>
        <w:t>El tres de junio de dos mil veinticinco, el Sujeto Obligado notificó, a través del Sistema de Acceso a la Información Mexiquense (SAIMEX), la respuesta a la solicitud de acceso a la información pública, a través del siguiente documento:</w:t>
      </w:r>
    </w:p>
    <w:p w14:paraId="74358544" w14:textId="77777777" w:rsidR="00E033C2" w:rsidRDefault="00E033C2">
      <w:pPr>
        <w:spacing w:after="0" w:line="360" w:lineRule="auto"/>
        <w:rPr>
          <w:color w:val="000000"/>
        </w:rPr>
      </w:pPr>
    </w:p>
    <w:p w14:paraId="444676F7" w14:textId="77777777" w:rsidR="00E033C2" w:rsidRDefault="00F9656F">
      <w:pPr>
        <w:spacing w:after="0" w:line="360" w:lineRule="auto"/>
        <w:rPr>
          <w:color w:val="000000"/>
        </w:rPr>
      </w:pPr>
      <w:r>
        <w:rPr>
          <w:color w:val="000000"/>
        </w:rPr>
        <w:t>i) Oficio número IXTA/DAYRH/1068/2025, de fecha quince de mayo suscrito por la Directora de Administración y Finanzas, dirigido al Titular de la Unidad de Transparencia en donde refiere lo siguiente:</w:t>
      </w:r>
    </w:p>
    <w:p w14:paraId="5E4EC5E8" w14:textId="77777777" w:rsidR="00E033C2" w:rsidRDefault="00E033C2">
      <w:pPr>
        <w:spacing w:after="0" w:line="360" w:lineRule="auto"/>
        <w:rPr>
          <w:color w:val="000000"/>
        </w:rPr>
      </w:pPr>
    </w:p>
    <w:p w14:paraId="0F0B4FDE" w14:textId="77777777" w:rsidR="00E033C2" w:rsidRDefault="00F9656F">
      <w:pPr>
        <w:pBdr>
          <w:top w:val="nil"/>
          <w:left w:val="nil"/>
          <w:bottom w:val="nil"/>
          <w:right w:val="nil"/>
          <w:between w:val="nil"/>
        </w:pBdr>
        <w:spacing w:after="0" w:line="360" w:lineRule="auto"/>
        <w:ind w:left="567" w:right="567"/>
        <w:rPr>
          <w:b/>
          <w:i/>
          <w:color w:val="000000"/>
          <w:sz w:val="20"/>
          <w:szCs w:val="20"/>
        </w:rPr>
      </w:pPr>
      <w:r>
        <w:rPr>
          <w:color w:val="000000"/>
        </w:rPr>
        <w:t>“</w:t>
      </w:r>
      <w:r>
        <w:rPr>
          <w:i/>
          <w:color w:val="000000"/>
          <w:sz w:val="20"/>
          <w:szCs w:val="20"/>
        </w:rPr>
        <w:t xml:space="preserve">Hago de su conocimiento al solicitante que en esta dependencia a mi cargo se encuentra imposibilitada para proporcionar la información referente a la solicitud antes mencionada toda vez que no se lleva a cabo de acuerdo a las funciones y atribuciones que describen en el Manual de Organización y reglamento interno” </w:t>
      </w:r>
    </w:p>
    <w:p w14:paraId="4003B16B" w14:textId="77777777" w:rsidR="00E033C2" w:rsidRDefault="00E033C2">
      <w:pPr>
        <w:spacing w:after="0" w:line="360" w:lineRule="auto"/>
        <w:rPr>
          <w:color w:val="000000"/>
        </w:rPr>
      </w:pPr>
    </w:p>
    <w:p w14:paraId="68BA316E" w14:textId="77777777" w:rsidR="00E033C2" w:rsidRDefault="00F9656F">
      <w:pPr>
        <w:pStyle w:val="Ttulo2"/>
        <w:spacing w:before="0" w:after="0" w:line="360" w:lineRule="auto"/>
        <w:rPr>
          <w:color w:val="000000"/>
          <w:sz w:val="22"/>
          <w:szCs w:val="22"/>
        </w:rPr>
      </w:pPr>
      <w:bookmarkStart w:id="7" w:name="_heading=h.i4ke6jmd87tq" w:colFirst="0" w:colLast="0"/>
      <w:bookmarkStart w:id="8" w:name="_Toc213338774"/>
      <w:bookmarkEnd w:id="7"/>
      <w:r>
        <w:rPr>
          <w:color w:val="000000"/>
          <w:sz w:val="22"/>
          <w:szCs w:val="22"/>
        </w:rPr>
        <w:t>III. Interposición del Recurso de Revisión</w:t>
      </w:r>
      <w:bookmarkEnd w:id="8"/>
    </w:p>
    <w:p w14:paraId="4A0747D0" w14:textId="77777777" w:rsidR="00E033C2" w:rsidRDefault="00E033C2">
      <w:pPr>
        <w:spacing w:after="0" w:line="360" w:lineRule="auto"/>
        <w:rPr>
          <w:b/>
          <w:color w:val="FF0000"/>
        </w:rPr>
      </w:pPr>
    </w:p>
    <w:p w14:paraId="145AE443" w14:textId="77777777" w:rsidR="00E033C2" w:rsidRDefault="00F9656F">
      <w:pPr>
        <w:spacing w:after="0" w:line="360" w:lineRule="auto"/>
        <w:rPr>
          <w:color w:val="000000"/>
        </w:rPr>
      </w:pPr>
      <w:r>
        <w:rPr>
          <w:color w:val="000000"/>
        </w:rPr>
        <w:t>El cuatro de junio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7DF38ED1" w14:textId="77777777" w:rsidR="00E033C2" w:rsidRDefault="00E033C2">
      <w:pPr>
        <w:spacing w:after="0" w:line="360" w:lineRule="auto"/>
        <w:ind w:left="567" w:right="567"/>
        <w:rPr>
          <w:b/>
          <w:i/>
          <w:color w:val="FF0000"/>
          <w:sz w:val="20"/>
          <w:szCs w:val="20"/>
        </w:rPr>
      </w:pPr>
    </w:p>
    <w:p w14:paraId="03BAD5C6" w14:textId="77777777" w:rsidR="00E033C2" w:rsidRDefault="00F9656F">
      <w:pPr>
        <w:spacing w:after="0" w:line="360" w:lineRule="auto"/>
        <w:ind w:left="567" w:right="567"/>
        <w:rPr>
          <w:b/>
          <w:i/>
          <w:color w:val="000000"/>
          <w:sz w:val="20"/>
          <w:szCs w:val="20"/>
        </w:rPr>
      </w:pPr>
      <w:r>
        <w:rPr>
          <w:b/>
          <w:i/>
          <w:color w:val="000000"/>
          <w:sz w:val="20"/>
          <w:szCs w:val="20"/>
        </w:rPr>
        <w:t>‘’ACTO IMPUGNADO</w:t>
      </w:r>
    </w:p>
    <w:p w14:paraId="31A7CB7F" w14:textId="77777777" w:rsidR="00E033C2" w:rsidRDefault="00F9656F">
      <w:pPr>
        <w:spacing w:after="0" w:line="360" w:lineRule="auto"/>
        <w:ind w:left="567" w:right="567"/>
        <w:rPr>
          <w:i/>
          <w:color w:val="000000"/>
          <w:sz w:val="20"/>
          <w:szCs w:val="20"/>
        </w:rPr>
      </w:pPr>
      <w:r>
        <w:rPr>
          <w:i/>
          <w:color w:val="000000"/>
          <w:sz w:val="20"/>
          <w:szCs w:val="20"/>
        </w:rPr>
        <w:t>RESPUESTA A LA SOLICITUD 00147/IXTAPALU/IP/2025</w:t>
      </w:r>
    </w:p>
    <w:p w14:paraId="0D369451" w14:textId="77777777" w:rsidR="00E033C2" w:rsidRDefault="00F9656F">
      <w:pPr>
        <w:spacing w:after="0" w:line="360" w:lineRule="auto"/>
        <w:ind w:left="567" w:right="567"/>
        <w:rPr>
          <w:b/>
          <w:i/>
          <w:color w:val="000000"/>
          <w:sz w:val="20"/>
          <w:szCs w:val="20"/>
        </w:rPr>
      </w:pPr>
      <w:r>
        <w:rPr>
          <w:b/>
          <w:i/>
          <w:color w:val="000000"/>
          <w:sz w:val="20"/>
          <w:szCs w:val="20"/>
        </w:rPr>
        <w:t>‘’RAZONES O MOTIVOS DE LA INCONFORMIDAD</w:t>
      </w:r>
    </w:p>
    <w:p w14:paraId="01E49E5A" w14:textId="77777777" w:rsidR="00E033C2" w:rsidRDefault="00F9656F">
      <w:pPr>
        <w:pBdr>
          <w:top w:val="nil"/>
          <w:left w:val="nil"/>
          <w:bottom w:val="nil"/>
          <w:right w:val="nil"/>
          <w:between w:val="nil"/>
        </w:pBdr>
        <w:spacing w:after="0" w:line="360" w:lineRule="auto"/>
        <w:ind w:left="567" w:right="567"/>
        <w:rPr>
          <w:i/>
          <w:color w:val="000000"/>
          <w:sz w:val="20"/>
          <w:szCs w:val="20"/>
        </w:rPr>
      </w:pPr>
      <w:r>
        <w:rPr>
          <w:i/>
          <w:color w:val="000000"/>
          <w:sz w:val="20"/>
          <w:szCs w:val="20"/>
        </w:rPr>
        <w:lastRenderedPageBreak/>
        <w:t>EL SUJETO OBLIGADO EMITE UNA RESPUESTA INCOHERENTE, INFUNDADA, ILÓGICA Y ABSURDA. EL SUJETO OBLIGADO ES UNA INSTANCIA PÚBLICA CON ATRIBUCIONES PARA LLEVAR A CABO EL PAGO DE FACTURAS, POR LO TANTO DICHOS DOCUMENTOS OBRAN EN SU PODER, POR LO TANTO DEBEN SER PROPORCIONADOS A ESTE SOLICITANTE AL TRATARSE DE INFORMACIÓN PÚBLICA. LA SOLICITUD ES MUY PUNTUAL EN LA REQUISICIÓN DE DICHOS DOCUMENTOS QUE OBRAN EN PODER DEL SUJETO OBLIGADO, SIN IMPORTAR CUAL ÁREA DE SU ESTRUCTURA ADMINISTRATIVA SEA LA FACULTADA PARA TENER LA POSESIÓN DE LA DOCUMENTACIÓN. POR LO ANTERIOR, SOLICITO SE REVOQUE LA RESPUESTA DEL SUJETO OBLIGADO Y SE ORDENE LA ENTREGA DE LA INFORMACIÓN SOLICITADA EN LOS MISMOS TÉRMINOS INDICADOS EN LA PRESENTE SOLICITUD.”</w:t>
      </w:r>
    </w:p>
    <w:p w14:paraId="3A9B9BA4" w14:textId="77777777" w:rsidR="00E033C2" w:rsidRDefault="00E033C2">
      <w:pPr>
        <w:pBdr>
          <w:top w:val="nil"/>
          <w:left w:val="nil"/>
          <w:bottom w:val="nil"/>
          <w:right w:val="nil"/>
          <w:between w:val="nil"/>
        </w:pBdr>
        <w:spacing w:after="0" w:line="360" w:lineRule="auto"/>
        <w:ind w:left="567" w:right="567"/>
        <w:rPr>
          <w:i/>
          <w:color w:val="000000"/>
          <w:sz w:val="20"/>
          <w:szCs w:val="20"/>
        </w:rPr>
      </w:pPr>
    </w:p>
    <w:p w14:paraId="7EAEBE37" w14:textId="77777777" w:rsidR="00E033C2" w:rsidRDefault="00F9656F">
      <w:pPr>
        <w:pStyle w:val="Ttulo2"/>
        <w:spacing w:before="0" w:after="0" w:line="360" w:lineRule="auto"/>
        <w:rPr>
          <w:color w:val="000000"/>
          <w:sz w:val="22"/>
          <w:szCs w:val="22"/>
        </w:rPr>
      </w:pPr>
      <w:bookmarkStart w:id="9" w:name="_heading=h.xlt9olsl02vp" w:colFirst="0" w:colLast="0"/>
      <w:bookmarkStart w:id="10" w:name="_Toc213338775"/>
      <w:bookmarkEnd w:id="9"/>
      <w:r>
        <w:rPr>
          <w:color w:val="000000"/>
          <w:sz w:val="22"/>
          <w:szCs w:val="22"/>
        </w:rPr>
        <w:t>IV. Trámite del Recurso de Revisión ante este Instituto</w:t>
      </w:r>
      <w:bookmarkEnd w:id="10"/>
    </w:p>
    <w:p w14:paraId="10C43A72" w14:textId="77777777" w:rsidR="00E033C2" w:rsidRDefault="00E033C2">
      <w:pPr>
        <w:spacing w:after="0" w:line="360" w:lineRule="auto"/>
        <w:rPr>
          <w:b/>
          <w:color w:val="FF0000"/>
        </w:rPr>
      </w:pPr>
    </w:p>
    <w:p w14:paraId="5302E1A2" w14:textId="77777777" w:rsidR="00E033C2" w:rsidRDefault="00F9656F">
      <w:pPr>
        <w:spacing w:after="0" w:line="360" w:lineRule="auto"/>
        <w:rPr>
          <w:color w:val="000000"/>
        </w:rPr>
      </w:pPr>
      <w:r>
        <w:rPr>
          <w:b/>
          <w:color w:val="000000"/>
        </w:rPr>
        <w:t>a) Turno del Medio de Impugnación.</w:t>
      </w:r>
      <w:r>
        <w:rPr>
          <w:color w:val="000000"/>
        </w:rPr>
        <w:t xml:space="preserve"> El cuatro de junio de dos mil veinticinco, el Sistema de Acceso a la Información Mexiquense (SAIMEX), asignó el número de expediente </w:t>
      </w:r>
      <w:r>
        <w:rPr>
          <w:b/>
          <w:color w:val="000000"/>
        </w:rPr>
        <w:t>06536/INFOEM/IP/RR/2025</w:t>
      </w:r>
      <w:r>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3096E2DD" w14:textId="77777777" w:rsidR="00E033C2" w:rsidRDefault="00E033C2">
      <w:pPr>
        <w:spacing w:after="0" w:line="360" w:lineRule="auto"/>
        <w:rPr>
          <w:b/>
          <w:color w:val="000000"/>
        </w:rPr>
      </w:pPr>
    </w:p>
    <w:p w14:paraId="2789F80D" w14:textId="77777777" w:rsidR="00E033C2" w:rsidRDefault="00F9656F">
      <w:pPr>
        <w:spacing w:after="0" w:line="360" w:lineRule="auto"/>
        <w:rPr>
          <w:color w:val="000000"/>
        </w:rPr>
      </w:pPr>
      <w:r>
        <w:rPr>
          <w:b/>
          <w:color w:val="000000"/>
        </w:rPr>
        <w:t xml:space="preserve">b) Admisión del Recurso de Revisión. </w:t>
      </w:r>
      <w:r>
        <w:rPr>
          <w:color w:val="000000"/>
        </w:rPr>
        <w:t xml:space="preserve">El nueve de junio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w:t>
      </w:r>
      <w:r>
        <w:rPr>
          <w:color w:val="000000"/>
        </w:rPr>
        <w:lastRenderedPageBreak/>
        <w:t>que se les otorgó un plazo de siete días hábiles posteriores a la misma, para que manifestaran lo que a su derecho conviniera y formularan alegatos.</w:t>
      </w:r>
    </w:p>
    <w:p w14:paraId="72FDD44D" w14:textId="77777777" w:rsidR="00E033C2" w:rsidRDefault="00E033C2">
      <w:pPr>
        <w:spacing w:after="0" w:line="360" w:lineRule="auto"/>
        <w:rPr>
          <w:color w:val="000000"/>
        </w:rPr>
      </w:pPr>
    </w:p>
    <w:p w14:paraId="0EC6760D" w14:textId="77777777" w:rsidR="00E033C2" w:rsidRDefault="00F9656F">
      <w:pPr>
        <w:spacing w:after="0" w:line="360" w:lineRule="auto"/>
        <w:rPr>
          <w:color w:val="000000"/>
        </w:rPr>
      </w:pPr>
      <w:r>
        <w:rPr>
          <w:b/>
          <w:color w:val="000000"/>
        </w:rPr>
        <w:t>c) Informe Justificado</w:t>
      </w:r>
      <w:r>
        <w:rPr>
          <w:color w:val="000000"/>
        </w:rPr>
        <w:t>. El dieciocho de junio de dos mil veinticinco, a través de Sistema de Acceso a la Información Mexiquense (SAIMEX), se recibió en este instituto el Informe Justificado por parte del Sujeto Obligado, a través del oficio número IXTA/TESO/0336/2025 suscrito por el Tesorero Municipal y dirigido al Titular de la Unidad de Transparencia, por medio del cual refiere lo siguiente:</w:t>
      </w:r>
    </w:p>
    <w:p w14:paraId="6EAB8FBC" w14:textId="77777777" w:rsidR="00E033C2" w:rsidRDefault="00E033C2">
      <w:pPr>
        <w:spacing w:after="0" w:line="360" w:lineRule="auto"/>
        <w:rPr>
          <w:color w:val="000000"/>
        </w:rPr>
      </w:pPr>
    </w:p>
    <w:p w14:paraId="46B61648" w14:textId="77777777" w:rsidR="00E033C2" w:rsidRDefault="00F9656F">
      <w:pPr>
        <w:pBdr>
          <w:top w:val="nil"/>
          <w:left w:val="nil"/>
          <w:bottom w:val="nil"/>
          <w:right w:val="nil"/>
          <w:between w:val="nil"/>
        </w:pBdr>
        <w:spacing w:after="0" w:line="360" w:lineRule="auto"/>
        <w:ind w:left="567" w:right="567"/>
        <w:rPr>
          <w:i/>
          <w:color w:val="000000"/>
          <w:sz w:val="20"/>
          <w:szCs w:val="20"/>
        </w:rPr>
      </w:pPr>
      <w:r>
        <w:rPr>
          <w:color w:val="000000"/>
        </w:rPr>
        <w:t>“</w:t>
      </w:r>
      <w:r>
        <w:rPr>
          <w:i/>
          <w:color w:val="000000"/>
          <w:sz w:val="20"/>
          <w:szCs w:val="20"/>
        </w:rPr>
        <w:t xml:space="preserve">Al respecto le solicito </w:t>
      </w:r>
      <w:r>
        <w:rPr>
          <w:b/>
          <w:i/>
          <w:color w:val="000000"/>
          <w:sz w:val="20"/>
          <w:szCs w:val="20"/>
          <w:u w:val="single"/>
        </w:rPr>
        <w:t>considere el cambio de modalidad a consulta directa</w:t>
      </w:r>
      <w:r>
        <w:rPr>
          <w:i/>
          <w:color w:val="000000"/>
          <w:sz w:val="20"/>
          <w:szCs w:val="20"/>
        </w:rPr>
        <w:t xml:space="preserve"> para la entrega de la información requerida para garantizar el derecho de acceso a la información hacia el solicitante, tomando en cuenta que no existe una negativa por parte de esta dependencia. Debido a que es materialmente imposible atender el requerimiento por las siguientes razones</w:t>
      </w:r>
      <w:r>
        <w:rPr>
          <w:b/>
          <w:i/>
          <w:color w:val="000000"/>
          <w:sz w:val="20"/>
          <w:szCs w:val="20"/>
          <w:u w:val="single"/>
        </w:rPr>
        <w:t>: El</w:t>
      </w:r>
      <w:r>
        <w:rPr>
          <w:i/>
          <w:color w:val="000000"/>
          <w:sz w:val="20"/>
          <w:szCs w:val="20"/>
        </w:rPr>
        <w:t xml:space="preserve"> </w:t>
      </w:r>
      <w:r>
        <w:rPr>
          <w:b/>
          <w:i/>
          <w:color w:val="000000"/>
          <w:sz w:val="20"/>
          <w:szCs w:val="20"/>
          <w:u w:val="single"/>
        </w:rPr>
        <w:t>volumen de información que concentra esta área respecto al ejercicio 2024 incluyendo sus documentos anexos, consta de aproximadamente 291,691 fojas. Primeramente se requiere una búsqueda y selección de los documentos solicitados</w:t>
      </w:r>
      <w:r>
        <w:rPr>
          <w:i/>
          <w:color w:val="000000"/>
          <w:sz w:val="20"/>
          <w:szCs w:val="20"/>
        </w:rPr>
        <w:t xml:space="preserve">, posteriormente digitalizar tal cantidad de archivos, por lo que se requeriría personal extra, cabe hacer mención que el área contamos con un número reducido de personal, el cual tiene asignadas otras funciones. Únicamente para el proceso de digitalización, se considera que la velocidad de digitalización es de 20 </w:t>
      </w:r>
      <w:proofErr w:type="spellStart"/>
      <w:r>
        <w:rPr>
          <w:i/>
          <w:color w:val="000000"/>
          <w:sz w:val="20"/>
          <w:szCs w:val="20"/>
        </w:rPr>
        <w:t>paginas</w:t>
      </w:r>
      <w:proofErr w:type="spellEnd"/>
      <w:r>
        <w:rPr>
          <w:i/>
          <w:color w:val="000000"/>
          <w:sz w:val="20"/>
          <w:szCs w:val="20"/>
        </w:rPr>
        <w:t xml:space="preserve"> por minutos, nos da que el tiempo total que tomaría realizar la actividad requerida, seria de aproximadamente 243 horas; por lo que se traduce en 10 días laborales, para una persona.</w:t>
      </w:r>
    </w:p>
    <w:p w14:paraId="5281B314" w14:textId="77777777" w:rsidR="00E033C2" w:rsidRDefault="00E033C2">
      <w:pPr>
        <w:pBdr>
          <w:top w:val="nil"/>
          <w:left w:val="nil"/>
          <w:bottom w:val="nil"/>
          <w:right w:val="nil"/>
          <w:between w:val="nil"/>
        </w:pBdr>
        <w:spacing w:after="0" w:line="360" w:lineRule="auto"/>
        <w:ind w:left="567" w:right="567"/>
        <w:rPr>
          <w:i/>
          <w:color w:val="000000"/>
          <w:sz w:val="20"/>
          <w:szCs w:val="20"/>
        </w:rPr>
      </w:pPr>
    </w:p>
    <w:p w14:paraId="54BFE7D2" w14:textId="77777777" w:rsidR="00E033C2" w:rsidRDefault="00F9656F">
      <w:pPr>
        <w:pBdr>
          <w:top w:val="nil"/>
          <w:left w:val="nil"/>
          <w:bottom w:val="nil"/>
          <w:right w:val="nil"/>
          <w:between w:val="nil"/>
        </w:pBdr>
        <w:spacing w:after="0" w:line="360" w:lineRule="auto"/>
        <w:ind w:left="567" w:right="567"/>
        <w:rPr>
          <w:i/>
          <w:color w:val="000000"/>
          <w:sz w:val="20"/>
          <w:szCs w:val="20"/>
        </w:rPr>
      </w:pPr>
      <w:r>
        <w:rPr>
          <w:i/>
          <w:color w:val="000000"/>
          <w:sz w:val="20"/>
          <w:szCs w:val="20"/>
        </w:rPr>
        <w:t xml:space="preserve">Para efectos de dicha consulta el recurrente podrá acudir directamente a nuestra oficina, ubicada  en Municipio Libre #1, Col. Centro, Ixtapaluca, Estado de México, CP. 56530, en un horario de atención de 9:00 </w:t>
      </w:r>
      <w:proofErr w:type="spellStart"/>
      <w:r>
        <w:rPr>
          <w:i/>
          <w:color w:val="000000"/>
          <w:sz w:val="20"/>
          <w:szCs w:val="20"/>
        </w:rPr>
        <w:t>hrs</w:t>
      </w:r>
      <w:proofErr w:type="spellEnd"/>
      <w:r>
        <w:rPr>
          <w:i/>
          <w:color w:val="000000"/>
          <w:sz w:val="20"/>
          <w:szCs w:val="20"/>
        </w:rPr>
        <w:t xml:space="preserve"> a 15:00 </w:t>
      </w:r>
      <w:proofErr w:type="spellStart"/>
      <w:r>
        <w:rPr>
          <w:i/>
          <w:color w:val="000000"/>
          <w:sz w:val="20"/>
          <w:szCs w:val="20"/>
        </w:rPr>
        <w:t>hrs</w:t>
      </w:r>
      <w:proofErr w:type="spellEnd"/>
      <w:r>
        <w:rPr>
          <w:i/>
          <w:color w:val="000000"/>
          <w:sz w:val="20"/>
          <w:szCs w:val="20"/>
        </w:rPr>
        <w:t xml:space="preserve"> de lunes a viernes y los sábados de 9:00 </w:t>
      </w:r>
      <w:proofErr w:type="spellStart"/>
      <w:r>
        <w:rPr>
          <w:i/>
          <w:color w:val="000000"/>
          <w:sz w:val="20"/>
          <w:szCs w:val="20"/>
        </w:rPr>
        <w:t>hrs</w:t>
      </w:r>
      <w:proofErr w:type="spellEnd"/>
      <w:r>
        <w:rPr>
          <w:i/>
          <w:color w:val="000000"/>
          <w:sz w:val="20"/>
          <w:szCs w:val="20"/>
        </w:rPr>
        <w:t xml:space="preserve"> a 13:00 </w:t>
      </w:r>
      <w:proofErr w:type="spellStart"/>
      <w:r>
        <w:rPr>
          <w:i/>
          <w:color w:val="000000"/>
          <w:sz w:val="20"/>
          <w:szCs w:val="20"/>
        </w:rPr>
        <w:t>hrs</w:t>
      </w:r>
      <w:proofErr w:type="spellEnd"/>
      <w:r>
        <w:rPr>
          <w:i/>
          <w:color w:val="000000"/>
          <w:sz w:val="20"/>
          <w:szCs w:val="20"/>
        </w:rPr>
        <w:t xml:space="preserve">; para lo cual se deberá solicitar una cita por medio de un escrito simple en donde manifieste su intención de consultar la información que sea de su interés, o por medio del número 5578630976 o a través del correo electrónico tesorería Q Ixtapaluca.gob.mx, a fin de que se le pueda dar atención que en el caso amerita.       ” </w:t>
      </w:r>
    </w:p>
    <w:p w14:paraId="612D5028" w14:textId="77777777" w:rsidR="00E033C2" w:rsidRDefault="00E033C2">
      <w:pPr>
        <w:spacing w:after="0" w:line="360" w:lineRule="auto"/>
        <w:rPr>
          <w:color w:val="000000"/>
        </w:rPr>
      </w:pPr>
    </w:p>
    <w:p w14:paraId="22690BD0" w14:textId="77777777" w:rsidR="00E033C2" w:rsidRDefault="00F9656F">
      <w:pPr>
        <w:spacing w:after="0" w:line="360" w:lineRule="auto"/>
        <w:rPr>
          <w:color w:val="000000"/>
        </w:rPr>
      </w:pPr>
      <w:r>
        <w:rPr>
          <w:b/>
          <w:color w:val="000000"/>
        </w:rPr>
        <w:t>d) Vista del Informe Justificado</w:t>
      </w:r>
      <w:r>
        <w:rPr>
          <w:color w:val="000000"/>
        </w:rPr>
        <w:t>. El veintisiete de octubre de dos mil veinticinco, se dictó acuerdo por medio del cual se puso a la vista del Recurrente el Informe Justificado entregado por el Sujeto Obligado, el cual fue notificado a las partes, el mismo día, mes y año, a través del Sistema de Acceso a la Información Mexiquense (SAIMEX).</w:t>
      </w:r>
    </w:p>
    <w:p w14:paraId="32F6F903" w14:textId="77777777" w:rsidR="00E033C2" w:rsidRDefault="00E033C2">
      <w:pPr>
        <w:spacing w:after="0" w:line="360" w:lineRule="auto"/>
        <w:rPr>
          <w:color w:val="000000"/>
        </w:rPr>
      </w:pPr>
    </w:p>
    <w:p w14:paraId="47BBC8BF" w14:textId="77777777" w:rsidR="00E033C2" w:rsidRDefault="00F9656F">
      <w:pPr>
        <w:spacing w:after="0" w:line="360" w:lineRule="auto"/>
        <w:rPr>
          <w:color w:val="000000"/>
        </w:rPr>
      </w:pPr>
      <w:r>
        <w:rPr>
          <w:b/>
          <w:color w:val="000000"/>
        </w:rPr>
        <w:t>e) Manifestaciones del Recurrente</w:t>
      </w:r>
      <w:r>
        <w:rPr>
          <w:color w:val="000000"/>
        </w:rPr>
        <w:t>. El veintiocho de octubre de dos mil veinticinco, a través de Sistema de Acceso a la Información Mexiquense (SAIMEX), se recibió en este instituto las manifestaciones por parte del recurrente en los siguientes términos:</w:t>
      </w:r>
    </w:p>
    <w:p w14:paraId="0A112D5E" w14:textId="77777777" w:rsidR="00E033C2" w:rsidRDefault="00E033C2">
      <w:pPr>
        <w:spacing w:after="0" w:line="360" w:lineRule="auto"/>
        <w:rPr>
          <w:color w:val="000000"/>
        </w:rPr>
      </w:pPr>
    </w:p>
    <w:p w14:paraId="50062ACA" w14:textId="77777777" w:rsidR="00E033C2" w:rsidRDefault="00F9656F">
      <w:pPr>
        <w:pBdr>
          <w:top w:val="nil"/>
          <w:left w:val="nil"/>
          <w:bottom w:val="nil"/>
          <w:right w:val="nil"/>
          <w:between w:val="nil"/>
        </w:pBdr>
        <w:spacing w:after="0" w:line="360" w:lineRule="auto"/>
        <w:ind w:left="567" w:right="567"/>
        <w:rPr>
          <w:color w:val="000000"/>
        </w:rPr>
      </w:pPr>
      <w:r>
        <w:rPr>
          <w:i/>
          <w:color w:val="000000"/>
          <w:sz w:val="20"/>
          <w:szCs w:val="20"/>
        </w:rPr>
        <w:t>“EL SUJETO OBLIGADO PRETENDE IMPONER UN CAMBIO ARBITRARIO EN LA MODALIDAD DE ENTREGA BASADO EN VOLUMENES DE INFORMACIÓN QUE NO CORRESPONDEN A LA INFORMACIÓN SOLICITADA. LA DOCUMENTACIÓN REQUERIDA EN LA PRESENTE SOLICITUD ES MUCHO MENOR A LA CANTIDAD DE DOCUMENTOS INDICADA POR EL SUJETO OBLIGADO Y POR LO TANTO RESULTA INFUNDADO EL CAMBIO EN LA MODALIDAD DE ENTREGA, PUES ES DERECHO DE ESTE SOLICITANTE RECIBIRLA A TRAVÉS DEL SISTEMA ELECTRÓNICO SAIMEX COMO GARANTÍA DE MÁXIMA ACCESIBILIDAD DE LA INFORMACIÓN PÚBLICA EN PODER DE LOS SUJETOS OBLIGADOS. POR LO ANTERIOR, SOLICITO SE REVOQUE LA RESPUESTA DEL SUJETO OBLIGADO Y SE ORDENE LA ENTREGA DE LA INFORMACION SOLICITADA A TRAVÉS DEL SISTEMA SAIMEX</w:t>
      </w:r>
      <w:r>
        <w:rPr>
          <w:color w:val="000000"/>
        </w:rPr>
        <w:t>.”</w:t>
      </w:r>
    </w:p>
    <w:p w14:paraId="17A477B4" w14:textId="77777777" w:rsidR="00E033C2" w:rsidRDefault="00E033C2">
      <w:pPr>
        <w:spacing w:after="0" w:line="360" w:lineRule="auto"/>
        <w:rPr>
          <w:color w:val="000000"/>
        </w:rPr>
      </w:pPr>
    </w:p>
    <w:p w14:paraId="1B90F295" w14:textId="77777777" w:rsidR="00E033C2" w:rsidRDefault="00F9656F">
      <w:pPr>
        <w:spacing w:after="0" w:line="360" w:lineRule="auto"/>
        <w:rPr>
          <w:color w:val="000000"/>
        </w:rPr>
      </w:pPr>
      <w:r>
        <w:rPr>
          <w:b/>
          <w:color w:val="000000"/>
        </w:rPr>
        <w:t xml:space="preserve">f) Ampliación de plazo para resolver. </w:t>
      </w:r>
      <w:r>
        <w:rPr>
          <w:color w:val="000000"/>
        </w:rPr>
        <w:t xml:space="preserve">El </w:t>
      </w:r>
      <w:r>
        <w:t>seis de noviembre</w:t>
      </w:r>
      <w:r>
        <w:rPr>
          <w:color w:val="000000"/>
        </w:rPr>
        <w:t xml:space="preserv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mediante el Sistema de Acceso a la Información Mexiquense (SAIMEX, el mismo día.</w:t>
      </w:r>
    </w:p>
    <w:p w14:paraId="22B70ED4" w14:textId="77777777" w:rsidR="00E033C2" w:rsidRDefault="00E033C2">
      <w:pPr>
        <w:spacing w:after="0" w:line="360" w:lineRule="auto"/>
        <w:rPr>
          <w:color w:val="000000"/>
        </w:rPr>
      </w:pPr>
    </w:p>
    <w:p w14:paraId="63C0A68B" w14:textId="77777777" w:rsidR="00E033C2" w:rsidRDefault="00F9656F">
      <w:pPr>
        <w:spacing w:after="0" w:line="360" w:lineRule="auto"/>
        <w:rPr>
          <w:color w:val="000000"/>
        </w:rPr>
      </w:pPr>
      <w:r>
        <w:rPr>
          <w:b/>
          <w:color w:val="000000"/>
        </w:rPr>
        <w:t>g) Cierre de instrucción.</w:t>
      </w:r>
      <w:r>
        <w:rPr>
          <w:color w:val="000000"/>
        </w:rPr>
        <w:t xml:space="preserve"> El </w:t>
      </w:r>
      <w:r>
        <w:t>seis de novi</w:t>
      </w:r>
      <w:r>
        <w:rPr>
          <w:color w:val="000000"/>
        </w:rPr>
        <w:t>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70C1FFEE" w14:textId="77777777" w:rsidR="00E033C2" w:rsidRDefault="00E033C2">
      <w:pPr>
        <w:spacing w:after="0" w:line="360" w:lineRule="auto"/>
        <w:rPr>
          <w:b/>
          <w:color w:val="FF0000"/>
        </w:rPr>
      </w:pPr>
    </w:p>
    <w:p w14:paraId="5D843AB4" w14:textId="77777777" w:rsidR="00E033C2" w:rsidRDefault="00F9656F">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34CD054D" w14:textId="77777777" w:rsidR="00E033C2" w:rsidRDefault="00E033C2">
      <w:pPr>
        <w:spacing w:after="0" w:line="360" w:lineRule="auto"/>
      </w:pPr>
    </w:p>
    <w:p w14:paraId="385122C1" w14:textId="77777777" w:rsidR="00E033C2" w:rsidRDefault="00E033C2">
      <w:pPr>
        <w:spacing w:after="0" w:line="360" w:lineRule="auto"/>
      </w:pPr>
    </w:p>
    <w:p w14:paraId="1BAF2068" w14:textId="77777777" w:rsidR="00E033C2" w:rsidRDefault="00F9656F">
      <w:pPr>
        <w:pStyle w:val="Ttulo1"/>
        <w:spacing w:before="0" w:after="0" w:line="360" w:lineRule="auto"/>
        <w:jc w:val="center"/>
        <w:rPr>
          <w:color w:val="000000"/>
          <w:sz w:val="22"/>
          <w:szCs w:val="22"/>
        </w:rPr>
      </w:pPr>
      <w:bookmarkStart w:id="11" w:name="_heading=h.hy7pce1yr47j" w:colFirst="0" w:colLast="0"/>
      <w:bookmarkStart w:id="12" w:name="_Toc213338776"/>
      <w:bookmarkEnd w:id="11"/>
      <w:r>
        <w:rPr>
          <w:color w:val="000000"/>
          <w:sz w:val="22"/>
          <w:szCs w:val="22"/>
        </w:rPr>
        <w:t>C O N S I D E R A N D O S</w:t>
      </w:r>
      <w:bookmarkEnd w:id="12"/>
    </w:p>
    <w:p w14:paraId="287AE48A" w14:textId="77777777" w:rsidR="00E033C2" w:rsidRDefault="00E033C2">
      <w:pPr>
        <w:spacing w:after="0" w:line="360" w:lineRule="auto"/>
        <w:rPr>
          <w:b/>
          <w:color w:val="000000"/>
        </w:rPr>
      </w:pPr>
    </w:p>
    <w:p w14:paraId="0D9E42CD" w14:textId="77777777" w:rsidR="00E033C2" w:rsidRDefault="00F9656F">
      <w:pPr>
        <w:pStyle w:val="Ttulo2"/>
        <w:spacing w:before="0" w:after="0" w:line="360" w:lineRule="auto"/>
        <w:rPr>
          <w:color w:val="000000"/>
          <w:sz w:val="22"/>
          <w:szCs w:val="22"/>
        </w:rPr>
      </w:pPr>
      <w:bookmarkStart w:id="13" w:name="_heading=h.q057lbh8irco" w:colFirst="0" w:colLast="0"/>
      <w:bookmarkStart w:id="14" w:name="_Toc213338777"/>
      <w:bookmarkEnd w:id="13"/>
      <w:r>
        <w:rPr>
          <w:color w:val="000000"/>
          <w:sz w:val="22"/>
          <w:szCs w:val="22"/>
        </w:rPr>
        <w:t>PRIMERO. Competencia</w:t>
      </w:r>
      <w:bookmarkEnd w:id="14"/>
    </w:p>
    <w:p w14:paraId="0B755C96" w14:textId="77777777" w:rsidR="00E033C2" w:rsidRDefault="00E033C2">
      <w:pPr>
        <w:spacing w:after="0" w:line="360" w:lineRule="auto"/>
        <w:rPr>
          <w:b/>
          <w:color w:val="000000"/>
        </w:rPr>
      </w:pPr>
    </w:p>
    <w:p w14:paraId="306D9D1E" w14:textId="77777777" w:rsidR="00E033C2" w:rsidRDefault="00F9656F">
      <w:pPr>
        <w:spacing w:after="0" w:line="360" w:lineRule="auto"/>
      </w:pPr>
      <w:bookmarkStart w:id="15" w:name="_heading=h.30j0zll" w:colFirst="0" w:colLast="0"/>
      <w:bookmarkEnd w:id="15"/>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w:t>
      </w:r>
      <w:r>
        <w:lastRenderedPageBreak/>
        <w:t>Instituto de Transparencia, Acceso a la Información Pública y Protección de Datos Personales del Estado de México y Municipios.</w:t>
      </w:r>
    </w:p>
    <w:p w14:paraId="78314B55" w14:textId="77777777" w:rsidR="00E033C2" w:rsidRDefault="00E033C2">
      <w:pPr>
        <w:spacing w:after="0" w:line="360" w:lineRule="auto"/>
      </w:pPr>
      <w:bookmarkStart w:id="16" w:name="_heading=h.hohybkiln8u3" w:colFirst="0" w:colLast="0"/>
      <w:bookmarkEnd w:id="16"/>
    </w:p>
    <w:p w14:paraId="1623E801" w14:textId="77777777" w:rsidR="00E033C2" w:rsidRDefault="00F9656F">
      <w:pPr>
        <w:pStyle w:val="Ttulo2"/>
        <w:spacing w:before="0" w:after="0" w:line="360" w:lineRule="auto"/>
        <w:rPr>
          <w:color w:val="000000"/>
          <w:sz w:val="22"/>
          <w:szCs w:val="22"/>
        </w:rPr>
      </w:pPr>
      <w:bookmarkStart w:id="17" w:name="_heading=h.rbd5puodh0y7" w:colFirst="0" w:colLast="0"/>
      <w:bookmarkStart w:id="18" w:name="_Toc213338778"/>
      <w:bookmarkEnd w:id="17"/>
      <w:r>
        <w:rPr>
          <w:color w:val="000000"/>
          <w:sz w:val="22"/>
          <w:szCs w:val="22"/>
        </w:rPr>
        <w:t>SEGUNDO. Causales de improcedencia y sobreseimiento</w:t>
      </w:r>
      <w:bookmarkEnd w:id="18"/>
    </w:p>
    <w:p w14:paraId="7A882608" w14:textId="77777777" w:rsidR="00E033C2" w:rsidRDefault="00E033C2">
      <w:pPr>
        <w:spacing w:after="0" w:line="360" w:lineRule="auto"/>
        <w:rPr>
          <w:color w:val="000000"/>
        </w:rPr>
      </w:pPr>
    </w:p>
    <w:p w14:paraId="5427FF89" w14:textId="77777777" w:rsidR="00E033C2" w:rsidRDefault="00F9656F">
      <w:pPr>
        <w:spacing w:after="0" w:line="360" w:lineRule="auto"/>
        <w:rPr>
          <w:color w:val="000000"/>
        </w:rPr>
      </w:pPr>
      <w:r>
        <w:rPr>
          <w:color w:val="000000"/>
        </w:rPr>
        <w:t xml:space="preserve">De las constancias que forma parte del Recurso de Revisión que se analiza, se advierte que previo al estudio del fondo de la </w:t>
      </w:r>
      <w:r>
        <w:rPr>
          <w:i/>
          <w:color w:val="000000"/>
        </w:rPr>
        <w:t>litis</w:t>
      </w:r>
      <w:r>
        <w:rPr>
          <w:color w:val="000000"/>
        </w:rPr>
        <w:t>, es necesario estudiar las causales de improcedencia y sobreseimiento que se adviertan, para determinar lo que en Derecho proceda.</w:t>
      </w:r>
    </w:p>
    <w:p w14:paraId="1D8303B6" w14:textId="77777777" w:rsidR="00E033C2" w:rsidRDefault="00E033C2">
      <w:pPr>
        <w:spacing w:after="0" w:line="360" w:lineRule="auto"/>
        <w:rPr>
          <w:color w:val="000000"/>
        </w:rPr>
      </w:pPr>
    </w:p>
    <w:p w14:paraId="463227E5" w14:textId="77777777" w:rsidR="00E033C2" w:rsidRDefault="00F9656F">
      <w:pPr>
        <w:spacing w:after="0" w:line="360" w:lineRule="auto"/>
        <w:rPr>
          <w:b/>
          <w:color w:val="000000"/>
        </w:rPr>
      </w:pPr>
      <w:r>
        <w:rPr>
          <w:b/>
          <w:color w:val="000000"/>
        </w:rPr>
        <w:t>Causales de improcedencia</w:t>
      </w:r>
    </w:p>
    <w:p w14:paraId="0D3160AC" w14:textId="77777777" w:rsidR="00E033C2" w:rsidRDefault="00E033C2">
      <w:pPr>
        <w:spacing w:after="0" w:line="360" w:lineRule="auto"/>
        <w:rPr>
          <w:color w:val="000000"/>
        </w:rPr>
      </w:pPr>
    </w:p>
    <w:p w14:paraId="3A567037" w14:textId="77777777" w:rsidR="00E033C2" w:rsidRDefault="00F9656F">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11BBDA2" w14:textId="77777777" w:rsidR="00E033C2" w:rsidRDefault="00E033C2">
      <w:pPr>
        <w:spacing w:after="0" w:line="360" w:lineRule="auto"/>
        <w:rPr>
          <w:color w:val="000000"/>
        </w:rPr>
      </w:pPr>
    </w:p>
    <w:p w14:paraId="4046A68D" w14:textId="77777777" w:rsidR="00E033C2" w:rsidRDefault="00F9656F">
      <w:pPr>
        <w:spacing w:after="0" w:line="360" w:lineRule="auto"/>
        <w:rPr>
          <w:color w:val="000000"/>
        </w:rPr>
      </w:pPr>
      <w:r>
        <w:rPr>
          <w:color w:val="000000"/>
        </w:rPr>
        <w:t>En el presente caso, </w:t>
      </w:r>
      <w:r>
        <w:rPr>
          <w:b/>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717039A0" w14:textId="77777777" w:rsidR="00E033C2" w:rsidRDefault="00E033C2">
      <w:pPr>
        <w:spacing w:after="0" w:line="360" w:lineRule="auto"/>
        <w:rPr>
          <w:color w:val="000000"/>
        </w:rPr>
      </w:pPr>
    </w:p>
    <w:p w14:paraId="795F971F" w14:textId="77777777" w:rsidR="00E033C2" w:rsidRDefault="00F9656F">
      <w:pPr>
        <w:spacing w:after="0" w:line="360" w:lineRule="auto"/>
        <w:rPr>
          <w:color w:val="000000"/>
        </w:rPr>
      </w:pPr>
      <w:r>
        <w:rPr>
          <w:color w:val="000000"/>
        </w:rPr>
        <w:lastRenderedPageBreak/>
        <w:t>Por lo cual, se actualiza la causal de procedencia del Recurso de Revisión señalada en el artículo 179, fracción I, de la Ley en cita, pues la persona Recurrente se inconformó de l</w:t>
      </w:r>
      <w:r>
        <w:t>a negativa de información.</w:t>
      </w:r>
    </w:p>
    <w:p w14:paraId="633584F5" w14:textId="77777777" w:rsidR="00E033C2" w:rsidRDefault="00F9656F">
      <w:pPr>
        <w:spacing w:after="0" w:line="360" w:lineRule="auto"/>
        <w:rPr>
          <w:color w:val="000000"/>
        </w:rPr>
      </w:pPr>
      <w:r>
        <w:rPr>
          <w:b/>
          <w:color w:val="000000"/>
        </w:rPr>
        <w:t>Causales de sobreseimiento</w:t>
      </w:r>
    </w:p>
    <w:p w14:paraId="173A9F38" w14:textId="77777777" w:rsidR="00E033C2" w:rsidRDefault="00E033C2">
      <w:pPr>
        <w:spacing w:after="0" w:line="360" w:lineRule="auto"/>
        <w:rPr>
          <w:color w:val="000000"/>
        </w:rPr>
      </w:pPr>
    </w:p>
    <w:p w14:paraId="3EFAF69E" w14:textId="77777777" w:rsidR="00E033C2" w:rsidRDefault="00F9656F">
      <w:pPr>
        <w:spacing w:after="0" w:line="360" w:lineRule="auto"/>
        <w:rPr>
          <w:color w:val="000000"/>
        </w:rPr>
      </w:pPr>
      <w:r>
        <w:rPr>
          <w:color w:val="000000"/>
        </w:rPr>
        <w:t>Por ser de previo y especial pronunciamiento, este Instituto analiza si se actualiza alguna causal de sobreseimiento.</w:t>
      </w:r>
    </w:p>
    <w:p w14:paraId="3CD3EBFB" w14:textId="77777777" w:rsidR="00E033C2" w:rsidRDefault="00E033C2">
      <w:pPr>
        <w:spacing w:after="0" w:line="360" w:lineRule="auto"/>
        <w:rPr>
          <w:color w:val="000000"/>
        </w:rPr>
      </w:pPr>
    </w:p>
    <w:p w14:paraId="2910DB32" w14:textId="77777777" w:rsidR="00E033C2" w:rsidRDefault="00F9656F">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06B5CCEF" w14:textId="77777777" w:rsidR="00E033C2" w:rsidRDefault="00E033C2">
      <w:pPr>
        <w:spacing w:after="0" w:line="360" w:lineRule="auto"/>
        <w:rPr>
          <w:color w:val="000000"/>
        </w:rPr>
      </w:pPr>
    </w:p>
    <w:p w14:paraId="0783900B" w14:textId="77777777" w:rsidR="00E033C2" w:rsidRDefault="00F9656F">
      <w:pPr>
        <w:spacing w:after="0" w:line="360" w:lineRule="auto"/>
        <w:rPr>
          <w:color w:val="000000"/>
        </w:rPr>
      </w:pPr>
      <w:r>
        <w:rPr>
          <w:color w:val="000000"/>
        </w:rPr>
        <w:t xml:space="preserve">Por tales motivos, se considera procedente entrar al fondo del presente asunto. </w:t>
      </w:r>
    </w:p>
    <w:p w14:paraId="5D39B7B5" w14:textId="77777777" w:rsidR="00E033C2" w:rsidRDefault="00E033C2">
      <w:pPr>
        <w:spacing w:after="0" w:line="360" w:lineRule="auto"/>
        <w:rPr>
          <w:b/>
          <w:color w:val="000000"/>
        </w:rPr>
      </w:pPr>
    </w:p>
    <w:p w14:paraId="0A498010" w14:textId="77777777" w:rsidR="00E033C2" w:rsidRDefault="00F9656F">
      <w:pPr>
        <w:pStyle w:val="Ttulo2"/>
        <w:spacing w:before="0" w:after="0" w:line="360" w:lineRule="auto"/>
        <w:rPr>
          <w:color w:val="000000"/>
          <w:sz w:val="22"/>
          <w:szCs w:val="22"/>
        </w:rPr>
      </w:pPr>
      <w:bookmarkStart w:id="19" w:name="_heading=h.bghlrj8gy482" w:colFirst="0" w:colLast="0"/>
      <w:bookmarkStart w:id="20" w:name="_Toc213338779"/>
      <w:bookmarkEnd w:id="19"/>
      <w:r>
        <w:rPr>
          <w:color w:val="000000"/>
          <w:sz w:val="22"/>
          <w:szCs w:val="22"/>
        </w:rPr>
        <w:t>TERCERO. Determinación de la Controversia</w:t>
      </w:r>
      <w:bookmarkEnd w:id="20"/>
    </w:p>
    <w:p w14:paraId="40C2891B" w14:textId="77777777" w:rsidR="00E033C2" w:rsidRDefault="00E033C2">
      <w:pPr>
        <w:spacing w:after="0" w:line="360" w:lineRule="auto"/>
        <w:rPr>
          <w:b/>
          <w:color w:val="000000"/>
        </w:rPr>
      </w:pPr>
    </w:p>
    <w:p w14:paraId="0212997E" w14:textId="77777777" w:rsidR="00E033C2" w:rsidRDefault="00F9656F">
      <w:pPr>
        <w:spacing w:after="0" w:line="360" w:lineRule="auto"/>
        <w:rPr>
          <w:color w:val="000000"/>
        </w:rPr>
      </w:pPr>
      <w:r>
        <w:rPr>
          <w:color w:val="000000"/>
        </w:rPr>
        <w:t xml:space="preserve">Con el objetivo de ilustrar la controversia planteada, resulta conveniente precisar, que una vez realizado el estudio de las constancias que integran el expediente en el que se actúa, se desprende que el Particular requirió conocer los comprobantes de pago por cheque o transferencia interbancaria a particulares por un monto superior  a dos millones de pesos con recursos públicos del ejercicio fiscal dos mil veinticuatro. </w:t>
      </w:r>
    </w:p>
    <w:p w14:paraId="1E973198" w14:textId="77777777" w:rsidR="00E033C2" w:rsidRDefault="00E033C2">
      <w:pPr>
        <w:spacing w:after="0" w:line="360" w:lineRule="auto"/>
        <w:rPr>
          <w:color w:val="FF0000"/>
        </w:rPr>
      </w:pPr>
    </w:p>
    <w:p w14:paraId="29565E41" w14:textId="77777777" w:rsidR="00E033C2" w:rsidRDefault="00F9656F">
      <w:pPr>
        <w:spacing w:after="0" w:line="360" w:lineRule="auto"/>
      </w:pPr>
      <w:r>
        <w:rPr>
          <w:color w:val="000000"/>
        </w:rPr>
        <w:lastRenderedPageBreak/>
        <w:t xml:space="preserve">En respuesta, el Sujeto Obligado, a través de la Dirección de Administración, </w:t>
      </w:r>
      <w:r>
        <w:t xml:space="preserve">se pronunció de manera en que dicha dependencia se encontraba imposibilitada de proporcionar la información derivado que no es función o atribución de la misma, aunado a que no se describe en el Manual de Organización y reglamento interno; ante dicha circunstancia, el Particular se inconformó </w:t>
      </w:r>
      <w:r>
        <w:rPr>
          <w:color w:val="000000"/>
        </w:rPr>
        <w:t>de l</w:t>
      </w:r>
      <w:r>
        <w:t xml:space="preserve">a negativa de información prevista en la fracción I, del artículo 179 de la Ley de Transparencia y Acceso a la Información Pública del Estado de México y Municipios. </w:t>
      </w:r>
    </w:p>
    <w:p w14:paraId="716A9969" w14:textId="77777777" w:rsidR="00E033C2" w:rsidRDefault="00E033C2">
      <w:pPr>
        <w:spacing w:after="0" w:line="360" w:lineRule="auto"/>
      </w:pPr>
    </w:p>
    <w:p w14:paraId="218C3B05" w14:textId="77777777" w:rsidR="00E033C2" w:rsidRDefault="00F9656F">
      <w:pPr>
        <w:spacing w:after="0" w:line="360" w:lineRule="auto"/>
      </w:pPr>
      <w:r>
        <w:t xml:space="preserve">Así, las cosas, una vez admitido y notificado el Recurso de Revisión, por medio del Informe Justificado a través de la Tesorería Municipal </w:t>
      </w:r>
      <w:r>
        <w:rPr>
          <w:u w:val="single"/>
        </w:rPr>
        <w:t xml:space="preserve">refieren cambiar la modalidad a consulta directa por el volumen de información que concentra dicha área de dos mil veinticuatro, incluyendo anexos por lo que se tendría que buscar y seleccionar los documentos solicitados en un aproximado de 291,691 fojas. </w:t>
      </w:r>
    </w:p>
    <w:p w14:paraId="1BC0FB9F" w14:textId="77777777" w:rsidR="00E033C2" w:rsidRDefault="00E033C2">
      <w:pPr>
        <w:spacing w:after="0" w:line="360" w:lineRule="auto"/>
        <w:rPr>
          <w:b/>
          <w:u w:val="single"/>
        </w:rPr>
      </w:pPr>
    </w:p>
    <w:p w14:paraId="5581BD34" w14:textId="77777777" w:rsidR="00E033C2" w:rsidRDefault="00F9656F">
      <w:pPr>
        <w:tabs>
          <w:tab w:val="left" w:pos="4962"/>
        </w:tabs>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y el escrito </w:t>
      </w:r>
      <w:proofErr w:type="spellStart"/>
      <w:r>
        <w:rPr>
          <w:color w:val="000000"/>
        </w:rPr>
        <w:t>recursal</w:t>
      </w:r>
      <w:proofErr w:type="spellEnd"/>
      <w:r>
        <w:rPr>
          <w:color w:val="000000"/>
        </w:rPr>
        <w:t>; instrumentales que se toman en cuenta a efecto de resolver el presente medio de impugnación, conforme a lo dispuesto por el artículo 185, fracción IV, de la Ley de Transparencia y Acceso a la Información Pública del Estado de México y Municipios.</w:t>
      </w:r>
    </w:p>
    <w:p w14:paraId="6D4467CD" w14:textId="77777777" w:rsidR="00E033C2" w:rsidRDefault="00E033C2">
      <w:pPr>
        <w:spacing w:after="0" w:line="360" w:lineRule="auto"/>
        <w:rPr>
          <w:b/>
          <w:color w:val="FF0000"/>
        </w:rPr>
      </w:pPr>
    </w:p>
    <w:p w14:paraId="744F2399" w14:textId="77777777" w:rsidR="00E033C2" w:rsidRDefault="00F9656F">
      <w:pPr>
        <w:pStyle w:val="Ttulo2"/>
        <w:spacing w:before="0" w:after="0" w:line="360" w:lineRule="auto"/>
        <w:rPr>
          <w:color w:val="000000"/>
          <w:sz w:val="22"/>
          <w:szCs w:val="22"/>
        </w:rPr>
      </w:pPr>
      <w:bookmarkStart w:id="21" w:name="_heading=h.xhs5uqn7lejj" w:colFirst="0" w:colLast="0"/>
      <w:bookmarkStart w:id="22" w:name="_Toc213338780"/>
      <w:bookmarkEnd w:id="21"/>
      <w:r>
        <w:rPr>
          <w:color w:val="000000"/>
          <w:sz w:val="22"/>
          <w:szCs w:val="22"/>
        </w:rPr>
        <w:t>CUARTO. Marco normativo aplicable en materia de transparencia y acceso a la información pública</w:t>
      </w:r>
      <w:bookmarkEnd w:id="22"/>
    </w:p>
    <w:p w14:paraId="1B1595CD" w14:textId="77777777" w:rsidR="00E033C2" w:rsidRDefault="00E033C2">
      <w:pPr>
        <w:spacing w:after="0" w:line="360" w:lineRule="auto"/>
        <w:rPr>
          <w:color w:val="000000"/>
        </w:rPr>
      </w:pPr>
    </w:p>
    <w:p w14:paraId="26209EA2" w14:textId="77777777" w:rsidR="00E033C2" w:rsidRDefault="00F9656F">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C72796E" w14:textId="77777777" w:rsidR="00E033C2" w:rsidRDefault="00E033C2">
      <w:pPr>
        <w:spacing w:after="0" w:line="360" w:lineRule="auto"/>
        <w:rPr>
          <w:color w:val="000000"/>
        </w:rPr>
      </w:pPr>
    </w:p>
    <w:p w14:paraId="5EA93CDD" w14:textId="77777777" w:rsidR="00E033C2" w:rsidRDefault="00F9656F">
      <w:pPr>
        <w:spacing w:after="0" w:line="360" w:lineRule="auto"/>
        <w:rPr>
          <w:color w:val="000000"/>
        </w:rPr>
      </w:pPr>
      <w:r>
        <w:rPr>
          <w:color w:val="000000"/>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D90C434" w14:textId="77777777" w:rsidR="00E033C2" w:rsidRDefault="00E033C2">
      <w:pPr>
        <w:spacing w:after="0" w:line="360" w:lineRule="auto"/>
        <w:rPr>
          <w:color w:val="000000"/>
        </w:rPr>
      </w:pPr>
    </w:p>
    <w:p w14:paraId="55C3B12B" w14:textId="77777777" w:rsidR="00E033C2" w:rsidRDefault="00F9656F">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4F7093E4" w14:textId="77777777" w:rsidR="00E033C2" w:rsidRDefault="00E033C2">
      <w:pPr>
        <w:spacing w:after="0" w:line="360" w:lineRule="auto"/>
        <w:rPr>
          <w:color w:val="000000"/>
        </w:rPr>
      </w:pPr>
    </w:p>
    <w:p w14:paraId="2CE6606E" w14:textId="77777777" w:rsidR="00E033C2" w:rsidRDefault="00F9656F">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1D0E2432" w14:textId="77777777" w:rsidR="00E033C2" w:rsidRDefault="00E033C2">
      <w:pPr>
        <w:spacing w:after="0" w:line="360" w:lineRule="auto"/>
        <w:rPr>
          <w:color w:val="000000"/>
        </w:rPr>
      </w:pPr>
    </w:p>
    <w:p w14:paraId="428F4989" w14:textId="77777777" w:rsidR="00E033C2" w:rsidRDefault="00F9656F">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E04EF87" w14:textId="77777777" w:rsidR="00E033C2" w:rsidRDefault="00E033C2">
      <w:pPr>
        <w:widowControl w:val="0"/>
        <w:spacing w:after="0" w:line="360" w:lineRule="auto"/>
        <w:rPr>
          <w:color w:val="000000"/>
        </w:rPr>
      </w:pPr>
    </w:p>
    <w:p w14:paraId="6E65D0F4" w14:textId="77777777" w:rsidR="00E033C2" w:rsidRDefault="00F9656F">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30E0259" w14:textId="77777777" w:rsidR="00E033C2" w:rsidRDefault="00E033C2">
      <w:pPr>
        <w:spacing w:after="0" w:line="360" w:lineRule="auto"/>
        <w:rPr>
          <w:color w:val="000000"/>
        </w:rPr>
      </w:pPr>
    </w:p>
    <w:p w14:paraId="5B7CE4C6" w14:textId="77777777" w:rsidR="00E033C2" w:rsidRDefault="00F9656F">
      <w:pPr>
        <w:pStyle w:val="Ttulo2"/>
        <w:spacing w:before="0" w:after="0" w:line="360" w:lineRule="auto"/>
        <w:rPr>
          <w:color w:val="000000"/>
          <w:sz w:val="22"/>
          <w:szCs w:val="22"/>
        </w:rPr>
      </w:pPr>
      <w:bookmarkStart w:id="23" w:name="_heading=h.5kespul1m7cq" w:colFirst="0" w:colLast="0"/>
      <w:bookmarkStart w:id="24" w:name="_Toc213338781"/>
      <w:bookmarkEnd w:id="23"/>
      <w:r>
        <w:rPr>
          <w:color w:val="000000"/>
          <w:sz w:val="22"/>
          <w:szCs w:val="22"/>
        </w:rPr>
        <w:t>QUINTO. Estudio de Fondo</w:t>
      </w:r>
      <w:bookmarkEnd w:id="24"/>
    </w:p>
    <w:p w14:paraId="616174F7" w14:textId="77777777" w:rsidR="00E033C2" w:rsidRDefault="00E033C2">
      <w:pPr>
        <w:spacing w:after="0" w:line="360" w:lineRule="auto"/>
        <w:rPr>
          <w:b/>
          <w:color w:val="FF0000"/>
        </w:rPr>
      </w:pPr>
    </w:p>
    <w:p w14:paraId="72D11D4A" w14:textId="77777777" w:rsidR="00E033C2" w:rsidRDefault="00F9656F">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14:paraId="5B5D9FDC" w14:textId="77777777" w:rsidR="00E033C2" w:rsidRDefault="00E033C2">
      <w:pPr>
        <w:spacing w:after="0" w:line="360" w:lineRule="auto"/>
        <w:rPr>
          <w:color w:val="000000"/>
        </w:rPr>
      </w:pPr>
    </w:p>
    <w:p w14:paraId="31CA9E0E" w14:textId="77777777" w:rsidR="00E033C2" w:rsidRDefault="00F9656F">
      <w:pPr>
        <w:spacing w:after="0" w:line="360" w:lineRule="auto"/>
      </w:pPr>
      <w:r>
        <w:lastRenderedPageBreak/>
        <w:t xml:space="preserve">Al respecto, el artículo 4°, fracción XVIII, de la Ley General de Contabilidad Gubernamental, establece que </w:t>
      </w:r>
      <w:r>
        <w:rPr>
          <w:b/>
        </w:rPr>
        <w:t>la información financiera consiste en información presupuestaria y contable que se expresa en unidades monetarias las transacciones que realiza un ente público y los eventos económicos identificables y cuantificable</w:t>
      </w:r>
      <w:r>
        <w:t xml:space="preserve"> la cual puede representarse por reportes, informes, estados y notas que expresan su situación financiera, los resultados de su operación y los cambios en su patrimonio.</w:t>
      </w:r>
    </w:p>
    <w:p w14:paraId="451E3E7A" w14:textId="77777777" w:rsidR="00E033C2" w:rsidRDefault="00E033C2">
      <w:pPr>
        <w:spacing w:after="0" w:line="360" w:lineRule="auto"/>
      </w:pPr>
    </w:p>
    <w:p w14:paraId="344F9B6C" w14:textId="77777777" w:rsidR="00E033C2" w:rsidRDefault="00F9656F">
      <w:pPr>
        <w:spacing w:after="0" w:line="360" w:lineRule="auto"/>
      </w:pPr>
      <w:r>
        <w:t>Además, el artículo 1º, de la Ley de Fiscalización Superior del Estado de México, el cual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14:paraId="6D0A548D" w14:textId="77777777" w:rsidR="00E033C2" w:rsidRDefault="00E033C2">
      <w:pPr>
        <w:spacing w:after="0" w:line="360" w:lineRule="auto"/>
      </w:pPr>
    </w:p>
    <w:p w14:paraId="405A88A7" w14:textId="77777777" w:rsidR="00E033C2" w:rsidRDefault="00F9656F">
      <w:pPr>
        <w:spacing w:after="0" w:line="360" w:lineRule="auto"/>
      </w:pPr>
      <w:r>
        <w:t>En ese sentido se tiene que los entes fiscalizables, tienen como obligación la de integrar y proporcionar los informes trimestrales, los cuales deberán atender los criterios generales que regirán la contabilidad gubernamental y la emisión de información financiera de los entes públicos, cabe mencionar que estos deberán presentarse dentro de los veinte días hábiles posteriores al término del trimestre que corresponda.</w:t>
      </w:r>
    </w:p>
    <w:p w14:paraId="6C394A01" w14:textId="77777777" w:rsidR="00E033C2" w:rsidRDefault="00E033C2">
      <w:pPr>
        <w:spacing w:after="0" w:line="360" w:lineRule="auto"/>
      </w:pPr>
    </w:p>
    <w:p w14:paraId="6CD8F24F" w14:textId="77777777" w:rsidR="00E033C2" w:rsidRDefault="00F9656F">
      <w:pPr>
        <w:spacing w:after="0" w:line="360" w:lineRule="auto"/>
      </w:pPr>
      <w:r>
        <w:t>En ese contexto, los Sujetos Obligados deben generar pólizas contables que corresponden a un documento en el que se asientan las operaciones desarrolladas, por el municipio y toda la información necesaria para su identificación, de conformidad con la Guía Técnica 8 “La Contabilidad y la Cuenta Pública Municipal”; además, dichas pólizas se dividen en las siguientes:</w:t>
      </w:r>
    </w:p>
    <w:p w14:paraId="59D4BAE8" w14:textId="77777777" w:rsidR="00E033C2" w:rsidRDefault="00E033C2">
      <w:pPr>
        <w:spacing w:after="0" w:line="360" w:lineRule="auto"/>
      </w:pPr>
    </w:p>
    <w:p w14:paraId="51133A03" w14:textId="77777777" w:rsidR="00E033C2" w:rsidRDefault="00F9656F">
      <w:pPr>
        <w:numPr>
          <w:ilvl w:val="0"/>
          <w:numId w:val="3"/>
        </w:numPr>
        <w:pBdr>
          <w:top w:val="nil"/>
          <w:left w:val="nil"/>
          <w:bottom w:val="nil"/>
          <w:right w:val="nil"/>
          <w:between w:val="nil"/>
        </w:pBdr>
        <w:spacing w:after="0" w:line="360" w:lineRule="auto"/>
      </w:pPr>
      <w:r>
        <w:rPr>
          <w:b/>
          <w:color w:val="000000"/>
        </w:rPr>
        <w:lastRenderedPageBreak/>
        <w:t>Póliza de Egresos:</w:t>
      </w:r>
      <w:r>
        <w:rPr>
          <w:color w:val="000000"/>
        </w:rPr>
        <w:t xml:space="preserve"> Corresponde a aquella donde se anotan las operaciones que implique egresos, es decir, la salida de dinero, en efectivo o transferencia, para el municipio. </w:t>
      </w:r>
    </w:p>
    <w:p w14:paraId="69A555DC" w14:textId="77777777" w:rsidR="00E033C2" w:rsidRDefault="00E033C2">
      <w:pPr>
        <w:pBdr>
          <w:top w:val="nil"/>
          <w:left w:val="nil"/>
          <w:bottom w:val="nil"/>
          <w:right w:val="nil"/>
          <w:between w:val="nil"/>
        </w:pBdr>
        <w:spacing w:after="0" w:line="360" w:lineRule="auto"/>
        <w:ind w:left="720"/>
        <w:rPr>
          <w:color w:val="000000"/>
        </w:rPr>
      </w:pPr>
    </w:p>
    <w:p w14:paraId="06DBD1C9" w14:textId="77777777" w:rsidR="00E033C2" w:rsidRDefault="00F9656F">
      <w:pPr>
        <w:numPr>
          <w:ilvl w:val="0"/>
          <w:numId w:val="3"/>
        </w:numPr>
        <w:pBdr>
          <w:top w:val="nil"/>
          <w:left w:val="nil"/>
          <w:bottom w:val="nil"/>
          <w:right w:val="nil"/>
          <w:between w:val="nil"/>
        </w:pBdr>
        <w:spacing w:after="0" w:line="360" w:lineRule="auto"/>
      </w:pPr>
      <w:r>
        <w:rPr>
          <w:b/>
          <w:color w:val="000000"/>
        </w:rPr>
        <w:t>Póliza Cheque:</w:t>
      </w:r>
      <w:r>
        <w:rPr>
          <w:color w:val="000000"/>
        </w:rPr>
        <w:t xml:space="preserve"> Es la que se elabora cuando la operación implique una salida de dinero del municipio, a través de un cheque.</w:t>
      </w:r>
    </w:p>
    <w:p w14:paraId="3A0BBEF9" w14:textId="77777777" w:rsidR="00E033C2" w:rsidRDefault="00E033C2">
      <w:pPr>
        <w:spacing w:after="0" w:line="360" w:lineRule="auto"/>
        <w:rPr>
          <w:color w:val="000000"/>
        </w:rPr>
      </w:pPr>
    </w:p>
    <w:p w14:paraId="6FAA1DB6" w14:textId="77777777" w:rsidR="00E033C2" w:rsidRDefault="00F9656F">
      <w:pPr>
        <w:spacing w:after="0" w:line="360" w:lineRule="auto"/>
      </w:pPr>
      <w:r>
        <w:t>Ahora bien, los Lineamientos para la integración y presentación de los Informes Trimestrales Estatales y Municipales del Ejercicio Fiscal 2025, entre los formatos que maneja en el Módulo 1, se advierte que se encuentran Póliza de Egresos y Póliza Cheques, con los documentos comprobatorios (comprobantes de pago), mismos que serán entregados al Órgano Superior de Fiscalización del Estado de México.</w:t>
      </w:r>
    </w:p>
    <w:p w14:paraId="6C42C55A" w14:textId="77777777" w:rsidR="00E033C2" w:rsidRDefault="00E033C2">
      <w:pPr>
        <w:spacing w:after="0" w:line="360" w:lineRule="auto"/>
      </w:pPr>
    </w:p>
    <w:p w14:paraId="5899FFCF" w14:textId="77777777" w:rsidR="00E033C2" w:rsidRDefault="00F9656F">
      <w:pPr>
        <w:spacing w:after="0" w:line="360" w:lineRule="auto"/>
      </w:pPr>
      <w:r>
        <w:t>En ese orden de ideas, este Instituto revisó los Lineamientos para la Integración, Presentación y Envío de los Informes Trimestrales Municipales del Ejercicio Fiscal 2024, de los cuales se logra advertir que el Municipio debe entregar al Órgano Superior de Fiscalización, en el Módulo 1, entre los formatos que maneja en el Módulo 1, se advierte que se encuentran Póliza de Egresos y Póliza Cheques, con los documentos comprobatorios (comprobantes de pago), mismos que serán entregados al Órgano Superior de Fiscalización del Estado de México.</w:t>
      </w:r>
    </w:p>
    <w:p w14:paraId="26F79A9E" w14:textId="77777777" w:rsidR="00E033C2" w:rsidRDefault="00E033C2">
      <w:pPr>
        <w:spacing w:after="0" w:line="360" w:lineRule="auto"/>
      </w:pPr>
    </w:p>
    <w:p w14:paraId="03F360E4" w14:textId="77777777" w:rsidR="00E033C2" w:rsidRDefault="00F9656F">
      <w:pPr>
        <w:spacing w:after="0" w:line="360" w:lineRule="auto"/>
        <w:rPr>
          <w:color w:val="000000"/>
        </w:rPr>
      </w:pPr>
      <w:r>
        <w:rPr>
          <w:color w:val="000000"/>
        </w:rPr>
        <w:t>Conforme a lo anterior, se logra vislumbrar que la pretensión de la persona Recurrente, es obtener, los comprobantes de pago por transferencia o cheque, realizados con recursos públicos del ejercicio fiscal dos mil veinticuatro, por un monto mayor a dos millones de pesos.</w:t>
      </w:r>
    </w:p>
    <w:p w14:paraId="2AD8B4DD" w14:textId="77777777" w:rsidR="00E033C2" w:rsidRDefault="00E033C2">
      <w:pPr>
        <w:spacing w:after="0" w:line="360" w:lineRule="auto"/>
      </w:pPr>
    </w:p>
    <w:p w14:paraId="569F584D" w14:textId="77777777" w:rsidR="00E033C2" w:rsidRDefault="00F9656F">
      <w:pPr>
        <w:spacing w:after="0" w:line="360" w:lineRule="auto"/>
      </w:pPr>
      <w:r>
        <w:rPr>
          <w:color w:val="000000"/>
        </w:rPr>
        <w:lastRenderedPageBreak/>
        <w:t xml:space="preserve">En ese orden de ideas, el Manual de Organización de la Administración de Ixtapaluca vigente, en su artículo 28 establece que la </w:t>
      </w:r>
      <w:r>
        <w:rPr>
          <w:b/>
          <w:color w:val="000000"/>
        </w:rPr>
        <w:t xml:space="preserve">Dirección de Administración, </w:t>
      </w:r>
      <w:r>
        <w:rPr>
          <w:color w:val="000000"/>
        </w:rPr>
        <w:t>se encarga entre otras cosas de o</w:t>
      </w:r>
      <w:r>
        <w:t>torgar suficiencia presupuestal a las solicitudes de adquisiciones y servicios, así como las ampliaciones del monto del gasto operativo de las dependencias y organismos auxiliares</w:t>
      </w:r>
      <w:r>
        <w:rPr>
          <w:color w:val="000000"/>
        </w:rPr>
        <w:t>. Así como supervisar el r</w:t>
      </w:r>
      <w:r>
        <w:t>egistro y control de las operaciones financieras presupuestales y contables, revisar y autorizar la integración de los informes mensuales y la cuenta pública anual del Municipio.</w:t>
      </w:r>
    </w:p>
    <w:p w14:paraId="3A0B6FE5" w14:textId="77777777" w:rsidR="00E033C2" w:rsidRDefault="00E033C2">
      <w:pPr>
        <w:spacing w:after="0" w:line="360" w:lineRule="auto"/>
        <w:rPr>
          <w:color w:val="000000"/>
        </w:rPr>
      </w:pPr>
    </w:p>
    <w:p w14:paraId="63D06993" w14:textId="77777777" w:rsidR="00E033C2" w:rsidRDefault="00F9656F">
      <w:pPr>
        <w:spacing w:after="0" w:line="360" w:lineRule="auto"/>
        <w:rPr>
          <w:color w:val="000000"/>
        </w:rPr>
      </w:pPr>
      <w:r>
        <w:rPr>
          <w:color w:val="000000"/>
        </w:rPr>
        <w:t xml:space="preserve">De tales circunstancias, se logra vislumbrar que la pretensión de la persona Recurrente, es los comprobantes de pago por cheque o facturas pagadas a particulares por un monto superior a dos millones de pesos con recursos públicos del ejercicio fiscal dos mil veinticuatro. </w:t>
      </w:r>
    </w:p>
    <w:p w14:paraId="4D6F0DE2" w14:textId="77777777" w:rsidR="00E033C2" w:rsidRDefault="00E033C2">
      <w:pPr>
        <w:pBdr>
          <w:top w:val="nil"/>
          <w:left w:val="nil"/>
          <w:bottom w:val="nil"/>
          <w:right w:val="nil"/>
          <w:between w:val="nil"/>
        </w:pBdr>
        <w:spacing w:after="0" w:line="360" w:lineRule="auto"/>
        <w:ind w:left="720"/>
        <w:rPr>
          <w:color w:val="000000"/>
        </w:rPr>
      </w:pPr>
    </w:p>
    <w:p w14:paraId="38747D01" w14:textId="77777777" w:rsidR="00E033C2" w:rsidRDefault="00F9656F">
      <w:pPr>
        <w:spacing w:after="0" w:line="360" w:lineRule="auto"/>
        <w:rPr>
          <w:color w:val="0D0D0D"/>
        </w:rPr>
      </w:pPr>
      <w:r>
        <w:rPr>
          <w:color w:val="000000"/>
        </w:rPr>
        <w:t>Ahora bien, de las constancias que obran en el expediente electrónico, se advierte que el Sujeto Obligado</w:t>
      </w:r>
      <w:r>
        <w:rPr>
          <w:color w:val="0D0D0D"/>
        </w:rPr>
        <w:t>, turnó la solicitud de información a la</w:t>
      </w:r>
      <w:r>
        <w:t xml:space="preserve"> Dirección de Administración y posteriormente a la Tesorería  Municipal</w:t>
      </w:r>
      <w:r>
        <w:rPr>
          <w:color w:val="000000"/>
        </w:rPr>
        <w:t xml:space="preserve">; </w:t>
      </w:r>
      <w:r>
        <w:t xml:space="preserve">por lo que, es oportuno hacer referencia al </w:t>
      </w:r>
      <w:r>
        <w:rPr>
          <w:b/>
        </w:rPr>
        <w:t>procedimiento de búsqueda que deben de seguir los Sujetos Obligados para localizar la información</w:t>
      </w:r>
      <w: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7EC6A66" w14:textId="77777777" w:rsidR="00E033C2" w:rsidRDefault="00E033C2">
      <w:pPr>
        <w:spacing w:after="0" w:line="360" w:lineRule="auto"/>
        <w:ind w:left="720"/>
      </w:pPr>
    </w:p>
    <w:p w14:paraId="73BABF7E" w14:textId="77777777" w:rsidR="00E033C2" w:rsidRDefault="00F9656F">
      <w:pPr>
        <w:spacing w:after="0" w:line="360" w:lineRule="auto"/>
        <w:rPr>
          <w:b/>
        </w:rPr>
      </w:pPr>
      <w:r>
        <w:rPr>
          <w:color w:val="000000"/>
        </w:rPr>
        <w:t xml:space="preserve">Así y de lo plasmado en párrafos anteriores, </w:t>
      </w:r>
      <w:r>
        <w:t>se logra colegir que el Sujeto Obligad</w:t>
      </w:r>
      <w:r>
        <w:rPr>
          <w:b/>
          <w:u w:val="single"/>
        </w:rPr>
        <w:t>o no cumplió</w:t>
      </w:r>
      <w:r>
        <w:t xml:space="preserve"> con el procedimiento de búsqueda </w:t>
      </w:r>
      <w:r>
        <w:rPr>
          <w:color w:val="000000"/>
        </w:rPr>
        <w:t xml:space="preserve">establecido en el artículo 162 de la Ley de Transparencia y Acceso a la Información Pública del Estado de México y Municipios, toda </w:t>
      </w:r>
      <w:r>
        <w:rPr>
          <w:color w:val="000000"/>
        </w:rPr>
        <w:lastRenderedPageBreak/>
        <w:t xml:space="preserve">vez, que omitió gestionar el requerimiento de información inicialmente a </w:t>
      </w:r>
      <w:r>
        <w:rPr>
          <w:b/>
          <w:color w:val="000000"/>
        </w:rPr>
        <w:t>la Tesorería Municipal</w:t>
      </w:r>
      <w:r>
        <w:rPr>
          <w:b/>
        </w:rPr>
        <w:t xml:space="preserve">, </w:t>
      </w:r>
      <w:r>
        <w:rPr>
          <w:color w:val="000000"/>
        </w:rPr>
        <w:t xml:space="preserve">para conocer de lo peticionado. </w:t>
      </w:r>
    </w:p>
    <w:p w14:paraId="5E5128F3" w14:textId="77777777" w:rsidR="00E033C2" w:rsidRDefault="00E033C2">
      <w:pPr>
        <w:spacing w:after="0" w:line="360" w:lineRule="auto"/>
        <w:rPr>
          <w:color w:val="000000"/>
        </w:rPr>
      </w:pPr>
    </w:p>
    <w:p w14:paraId="6A9CECEF" w14:textId="77777777" w:rsidR="00E033C2" w:rsidRDefault="00F9656F">
      <w:pPr>
        <w:spacing w:after="0" w:line="360" w:lineRule="auto"/>
        <w:rPr>
          <w:b/>
        </w:rPr>
      </w:pPr>
      <w:r>
        <w:rPr>
          <w:color w:val="000000"/>
        </w:rPr>
        <w:t xml:space="preserve">Situación que resulta importante traer a su estudio el Manual de Organización de la Administración con relación a la Ley Orgánica Municipal donde refiere que la </w:t>
      </w:r>
      <w:r>
        <w:rPr>
          <w:b/>
          <w:color w:val="000000"/>
          <w:u w:val="single"/>
        </w:rPr>
        <w:t>Tesorería Municipal</w:t>
      </w:r>
      <w:r>
        <w:rPr>
          <w:color w:val="000000"/>
        </w:rPr>
        <w:t xml:space="preserve">, </w:t>
      </w:r>
      <w:r>
        <w:t>es el órgano encargado de la recaudación de los ingresos municipales y responsable de realizar las erogaciones que haga el ayuntamiento</w:t>
      </w:r>
      <w:r>
        <w:rPr>
          <w:b/>
        </w:rPr>
        <w:t>, además de proponer, autorizar y controlar las inversiones bancarias con base en los recursos financieros existentes y aprobar las formas oficiales de manifestaciones, avisos, declaraciones y demás documentos fiscales requerido</w:t>
      </w:r>
    </w:p>
    <w:p w14:paraId="213A73EE" w14:textId="77777777" w:rsidR="00E033C2" w:rsidRDefault="00E033C2">
      <w:pPr>
        <w:spacing w:after="0" w:line="360" w:lineRule="auto"/>
        <w:rPr>
          <w:color w:val="FF0000"/>
        </w:rPr>
      </w:pPr>
    </w:p>
    <w:p w14:paraId="5A7E228A" w14:textId="77777777" w:rsidR="00E033C2" w:rsidRDefault="00F9656F">
      <w:pPr>
        <w:spacing w:after="0" w:line="360" w:lineRule="auto"/>
        <w:rPr>
          <w:b/>
          <w:color w:val="000000"/>
        </w:rPr>
      </w:pPr>
      <w:r>
        <w:rPr>
          <w:color w:val="000000"/>
        </w:rPr>
        <w:t xml:space="preserve">Ahora bien, en respuesta, a través de la Dirección de Administración y Finanzas, refirió que derivado de sus atribuciones y de no estar descrito en el Manual de Organización, se ve imposibilitado de proporcionar la información, situación que este Instituto considera incorrecto, pues dicha área al ver cuestiones relacionadas con procedimientos de adjudicación, conoce de los contratos celebrados, medios de pago e inclusive puede revisar las facturas proporcionadas, para posteriormente remitirlas a la Tesorería Municipal, lo cual da como resultado que el agravio sea </w:t>
      </w:r>
      <w:r>
        <w:rPr>
          <w:b/>
          <w:color w:val="000000"/>
        </w:rPr>
        <w:t>FUNDADO.</w:t>
      </w:r>
    </w:p>
    <w:p w14:paraId="33FFE100" w14:textId="77777777" w:rsidR="00E033C2" w:rsidRDefault="00E033C2">
      <w:pPr>
        <w:spacing w:after="0" w:line="360" w:lineRule="auto"/>
        <w:rPr>
          <w:color w:val="000000"/>
        </w:rPr>
      </w:pPr>
    </w:p>
    <w:p w14:paraId="7A6780CF" w14:textId="77777777" w:rsidR="00E033C2" w:rsidRDefault="00F9656F">
      <w:pPr>
        <w:spacing w:after="0" w:line="360" w:lineRule="auto"/>
      </w:pPr>
      <w:r>
        <w:rPr>
          <w:color w:val="000000"/>
        </w:rPr>
        <w:t xml:space="preserve">Por otra parte, a través del Informe Justificado la Tesorería Municipal refirió, </w:t>
      </w:r>
      <w:r>
        <w:rPr>
          <w:b/>
          <w:color w:val="000000"/>
          <w:u w:val="single"/>
        </w:rPr>
        <w:t>que el volumen de la información incluyendo sus documentos anexos constaba de 291,691 fojas donde primeramente se requería una búsqueda, y selección de los documentos solicitados, para después digitalizarlos y aproximadamente perder diez días laborales de dicho servidor público</w:t>
      </w:r>
      <w:r>
        <w:rPr>
          <w:color w:val="000000"/>
        </w:rPr>
        <w:t xml:space="preserve">, por lo que se ofrecía la </w:t>
      </w:r>
      <w:r>
        <w:t>consulta directa.</w:t>
      </w:r>
    </w:p>
    <w:p w14:paraId="6FC56DCC" w14:textId="77777777" w:rsidR="00E033C2" w:rsidRDefault="00E033C2">
      <w:pPr>
        <w:spacing w:after="0" w:line="360" w:lineRule="auto"/>
      </w:pPr>
    </w:p>
    <w:p w14:paraId="04121AD5" w14:textId="77777777" w:rsidR="00E033C2" w:rsidRDefault="00F9656F">
      <w:pPr>
        <w:spacing w:after="0" w:line="360" w:lineRule="auto"/>
      </w:pPr>
      <w:r>
        <w:lastRenderedPageBreak/>
        <w:t>De tal suerte, se procede analizar si procede el cambio de modalidad. Al respecto, cabe recordar que se requirió la información, a través del Sistema de Acceso a Información Mexiquense (SAIMEX).</w:t>
      </w:r>
    </w:p>
    <w:p w14:paraId="459C0A43" w14:textId="77777777" w:rsidR="00E033C2" w:rsidRDefault="00E033C2">
      <w:pPr>
        <w:spacing w:after="0" w:line="360" w:lineRule="auto"/>
        <w:rPr>
          <w:color w:val="000000"/>
        </w:rPr>
      </w:pPr>
    </w:p>
    <w:p w14:paraId="0E427E9D" w14:textId="77777777" w:rsidR="00E033C2" w:rsidRDefault="00F9656F">
      <w:pPr>
        <w:spacing w:after="0" w:line="360" w:lineRule="auto"/>
      </w:pPr>
      <w:r>
        <w:rPr>
          <w:color w:val="0D0D0D"/>
        </w:rPr>
        <w:t>En ese sentido,</w:t>
      </w:r>
      <w:r>
        <w:t xml:space="preserve"> el artículo 155, fracción V, de la Ley de Transparencia y Acceso a la Información Pública del Estado de México y Municipios, precisa que para presentar una solicitud, el particular podrá señalar </w:t>
      </w:r>
      <w:r>
        <w:rPr>
          <w:b/>
        </w:rPr>
        <w:t>la modalidad en la que prefiere se otorgue el acceso a la información</w:t>
      </w:r>
      <w:r>
        <w:t>, la cual podrá ser verbal, siempre y cuando sea para fines de orientación, mediante consulta directa, mediante la expedición de copias simples o certificadas o la reproducción en cualquier otro medio, incluidos los electrónicos.</w:t>
      </w:r>
    </w:p>
    <w:p w14:paraId="28001172" w14:textId="77777777" w:rsidR="00E033C2" w:rsidRDefault="00E033C2">
      <w:pPr>
        <w:spacing w:after="0" w:line="360" w:lineRule="auto"/>
      </w:pPr>
    </w:p>
    <w:p w14:paraId="25AA1609" w14:textId="77777777" w:rsidR="00E033C2" w:rsidRDefault="00F9656F">
      <w:pPr>
        <w:spacing w:after="0" w:line="360" w:lineRule="auto"/>
        <w:rPr>
          <w:b/>
        </w:rPr>
      </w:pPr>
      <w:r>
        <w:t xml:space="preserve">El artículo 158, dispone que, de manera excepcional, cuando de manera fundada y motivada lo determine el Sujeto Obligado, </w:t>
      </w:r>
      <w:r>
        <w:rPr>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091C2606" w14:textId="77777777" w:rsidR="00E033C2" w:rsidRDefault="00E033C2">
      <w:pPr>
        <w:spacing w:after="0" w:line="360" w:lineRule="auto"/>
        <w:rPr>
          <w:b/>
        </w:rPr>
      </w:pPr>
    </w:p>
    <w:p w14:paraId="17EB63FD" w14:textId="77777777" w:rsidR="00E033C2" w:rsidRDefault="00F9656F">
      <w:pPr>
        <w:spacing w:after="0" w:line="360" w:lineRule="auto"/>
      </w:pPr>
      <w:r>
        <w:t xml:space="preserve">En ese orden de ideas, el artículo 164 de dicho ordenamiento jurídico, prevé que el acceso se dará en la modalidad de entrega y, en su caso, de envío elegidos por al solicitante. </w:t>
      </w:r>
      <w:r>
        <w:rPr>
          <w:b/>
        </w:rPr>
        <w:t>Cuando la información no pueda entregarse o enviarse en la modalidad elegida, el sujeto obligado deberá ofrecer otra u otras modalidades de entrega.</w:t>
      </w:r>
      <w:r>
        <w:t xml:space="preserve"> En cualquier caso, </w:t>
      </w:r>
      <w:r>
        <w:rPr>
          <w:b/>
        </w:rPr>
        <w:t>se deberá fundar y motivar</w:t>
      </w:r>
      <w:r>
        <w:t xml:space="preserve"> la necesidad de ofrecer otras modalidades.</w:t>
      </w:r>
    </w:p>
    <w:p w14:paraId="3C67900A" w14:textId="77777777" w:rsidR="00E033C2" w:rsidRDefault="00E033C2">
      <w:pPr>
        <w:spacing w:after="0" w:line="360" w:lineRule="auto"/>
      </w:pPr>
    </w:p>
    <w:p w14:paraId="6C0DB323" w14:textId="77777777" w:rsidR="00E033C2" w:rsidRDefault="00F9656F">
      <w:pPr>
        <w:spacing w:after="0" w:line="360" w:lineRule="auto"/>
        <w:rPr>
          <w:b/>
        </w:rPr>
      </w:pPr>
      <w:r>
        <w:t xml:space="preserve">En tales consideraciones, la entrega de la información deberá hacerse, </w:t>
      </w:r>
      <w:r>
        <w:rPr>
          <w:b/>
        </w:rPr>
        <w:t>en la medida de lo posible, en la forma solicitada por el interesado, salvo que exista un impedimento justificado para atenderla</w:t>
      </w:r>
      <w:r>
        <w:t xml:space="preserve">, en cuyo caso, deberán exponerse las razones por las cuales no era posible utilizar el medio de reproducción solicitado; en ese sentido, la entrega de la </w:t>
      </w:r>
      <w:r>
        <w:lastRenderedPageBreak/>
        <w:t xml:space="preserve">información en una modalidad distinta a la elegida por el particular </w:t>
      </w:r>
      <w:r>
        <w:rPr>
          <w:b/>
        </w:rPr>
        <w:t xml:space="preserve">sólo procede, en caso de que se acredite la imposibilidad de atenderla. </w:t>
      </w:r>
    </w:p>
    <w:p w14:paraId="649E27F2" w14:textId="77777777" w:rsidR="00E033C2" w:rsidRDefault="00E033C2">
      <w:pPr>
        <w:spacing w:after="0" w:line="360" w:lineRule="auto"/>
      </w:pPr>
    </w:p>
    <w:p w14:paraId="226F4DDA" w14:textId="77777777" w:rsidR="00E033C2" w:rsidRDefault="00F9656F">
      <w:pPr>
        <w:spacing w:after="0" w:line="360" w:lineRule="auto"/>
        <w:rPr>
          <w:b/>
        </w:rPr>
      </w:pPr>
      <w:bookmarkStart w:id="25" w:name="_heading=h.p5q7uhy0h04n" w:colFirst="0" w:colLast="0"/>
      <w:bookmarkEnd w:id="25"/>
      <w:r>
        <w:rPr>
          <w:color w:val="000000"/>
        </w:rPr>
        <w:t xml:space="preserve">Así, cuando se justifique el impedimento, </w:t>
      </w:r>
      <w:r>
        <w:rPr>
          <w:b/>
          <w:color w:val="000000"/>
        </w:rPr>
        <w:t>los Sujetos Obligados deberán ofrecer al particular otras modalidades de entrega que permita la información</w:t>
      </w:r>
      <w:r>
        <w:rPr>
          <w:color w:val="000000"/>
        </w:rPr>
        <w:t>, como consulta directa en las oficinas de la Unidad de Transparencia; lo anterior, es robustecido con el Criterio Orientador SO/008/2017, emitido por el Pleno del Instituto Nacional de Transparencia, Acceso a la Información y Protección de Datos Personales vigente a la fecha de la solicitud, qu</w:t>
      </w:r>
      <w:r>
        <w:t xml:space="preserve">e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Pr>
          <w:b/>
        </w:rPr>
        <w:t>información en todas las modalidades que lo permitan, procurando reducir los costos de entrega.</w:t>
      </w:r>
    </w:p>
    <w:p w14:paraId="230A5CFE" w14:textId="77777777" w:rsidR="00E033C2" w:rsidRDefault="00E033C2">
      <w:pPr>
        <w:spacing w:after="0" w:line="360" w:lineRule="auto"/>
      </w:pPr>
    </w:p>
    <w:p w14:paraId="5F9E49F9" w14:textId="77777777" w:rsidR="00E033C2" w:rsidRDefault="00F9656F">
      <w:pPr>
        <w:widowControl w:val="0"/>
        <w:spacing w:after="0" w:line="360" w:lineRule="auto"/>
      </w:pPr>
      <w: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688BD28" w14:textId="77777777" w:rsidR="00E033C2" w:rsidRDefault="00E033C2">
      <w:pPr>
        <w:widowControl w:val="0"/>
        <w:spacing w:after="0" w:line="360" w:lineRule="auto"/>
      </w:pPr>
    </w:p>
    <w:p w14:paraId="56CD905B" w14:textId="77777777" w:rsidR="00E033C2" w:rsidRDefault="00F9656F">
      <w:pPr>
        <w:numPr>
          <w:ilvl w:val="0"/>
          <w:numId w:val="9"/>
        </w:numPr>
        <w:spacing w:after="0" w:line="360" w:lineRule="auto"/>
      </w:pPr>
      <w:r>
        <w:t>Las razones por las cuales la información implicaba un análisis, estudio o procesamiento de datos;</w:t>
      </w:r>
    </w:p>
    <w:p w14:paraId="2727D152" w14:textId="77777777" w:rsidR="00E033C2" w:rsidRDefault="00E033C2">
      <w:pPr>
        <w:spacing w:after="0" w:line="360" w:lineRule="auto"/>
        <w:ind w:left="720"/>
      </w:pPr>
    </w:p>
    <w:p w14:paraId="3D95FD99" w14:textId="77777777" w:rsidR="00E033C2" w:rsidRDefault="00F9656F">
      <w:pPr>
        <w:numPr>
          <w:ilvl w:val="0"/>
          <w:numId w:val="9"/>
        </w:numPr>
        <w:spacing w:after="0" w:line="360" w:lineRule="auto"/>
      </w:pPr>
      <w:r>
        <w:t>Por qué motivo el tiempo, que se le otorga al Sujeto Obligado para dar respuesta, en la modalidad elegida a la solicitud de información, no le es suficiente, y</w:t>
      </w:r>
    </w:p>
    <w:p w14:paraId="3E2EA302" w14:textId="77777777" w:rsidR="00E033C2" w:rsidRDefault="00E033C2">
      <w:pPr>
        <w:pBdr>
          <w:top w:val="nil"/>
          <w:left w:val="nil"/>
          <w:bottom w:val="nil"/>
          <w:right w:val="nil"/>
          <w:between w:val="nil"/>
        </w:pBdr>
        <w:spacing w:after="0" w:line="360" w:lineRule="auto"/>
        <w:ind w:left="720"/>
        <w:rPr>
          <w:color w:val="000000"/>
        </w:rPr>
      </w:pPr>
    </w:p>
    <w:p w14:paraId="1E30680F" w14:textId="77777777" w:rsidR="00E033C2" w:rsidRDefault="00F9656F">
      <w:pPr>
        <w:numPr>
          <w:ilvl w:val="0"/>
          <w:numId w:val="9"/>
        </w:numPr>
        <w:spacing w:after="0" w:line="360" w:lineRule="auto"/>
      </w:pPr>
      <w:r>
        <w:lastRenderedPageBreak/>
        <w:t>La cantidad de recursos humanos y materiales con los que cuenta el Sujeto Obligado son insuficientes.</w:t>
      </w:r>
    </w:p>
    <w:p w14:paraId="4214C33E" w14:textId="77777777" w:rsidR="00E033C2" w:rsidRDefault="00E033C2">
      <w:pPr>
        <w:spacing w:after="0" w:line="360" w:lineRule="auto"/>
        <w:ind w:right="-28"/>
      </w:pPr>
    </w:p>
    <w:p w14:paraId="3192F96A" w14:textId="77777777" w:rsidR="00E033C2" w:rsidRDefault="00F9656F">
      <w:pPr>
        <w:spacing w:after="0" w:line="360" w:lineRule="auto"/>
        <w:ind w:right="-28"/>
      </w:pPr>
      <w:r>
        <w:t xml:space="preserve">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6E7733D1" w14:textId="77777777" w:rsidR="00E033C2" w:rsidRDefault="00E033C2">
      <w:pPr>
        <w:spacing w:after="0" w:line="360" w:lineRule="auto"/>
        <w:ind w:right="-28"/>
      </w:pPr>
    </w:p>
    <w:p w14:paraId="6E0BD0BC" w14:textId="77777777" w:rsidR="00E033C2" w:rsidRDefault="00F9656F">
      <w:pPr>
        <w:spacing w:after="0" w:line="360" w:lineRule="auto"/>
      </w:pPr>
      <w:r>
        <w:t xml:space="preserve">Sobre dicha circunstancia, 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w:t>
      </w:r>
      <w:r>
        <w:rPr>
          <w:b/>
        </w:rPr>
        <w:t>quinientos megabytes</w:t>
      </w:r>
      <w:r>
        <w:t xml:space="preserve"> o su equivalente </w:t>
      </w:r>
      <w:r>
        <w:rPr>
          <w:u w:val="single"/>
        </w:rPr>
        <w:t xml:space="preserve">a </w:t>
      </w:r>
      <w:r>
        <w:rPr>
          <w:b/>
          <w:u w:val="single"/>
        </w:rPr>
        <w:t>ocho mil fojas</w:t>
      </w:r>
      <w:r>
        <w:rPr>
          <w:u w:val="single"/>
        </w:rPr>
        <w:t>.</w:t>
      </w:r>
    </w:p>
    <w:p w14:paraId="5653A738" w14:textId="77777777" w:rsidR="00E033C2" w:rsidRDefault="00E033C2">
      <w:pPr>
        <w:spacing w:after="0" w:line="360" w:lineRule="auto"/>
        <w:ind w:right="-28"/>
      </w:pPr>
    </w:p>
    <w:p w14:paraId="6242F0F9" w14:textId="77777777" w:rsidR="00E033C2" w:rsidRDefault="00F9656F">
      <w:pPr>
        <w:spacing w:after="0" w:line="360" w:lineRule="auto"/>
        <w:rPr>
          <w:color w:val="000000"/>
        </w:rPr>
      </w:pPr>
      <w:r>
        <w:t xml:space="preserve">Ahora bien, este Instituto considera que el Sujeto Obligado no fundamentó y motivó de manera correcta el impedimento que tenía para proporcionar la información, a través del SAIMEX, pues no indicó el número total de </w:t>
      </w:r>
      <w:r>
        <w:rPr>
          <w:color w:val="000000"/>
        </w:rPr>
        <w:t>los comprobantes de pago por cheque o facturas pagadas a particulares por un monto superior a dos millones de pesos con recursos públicos del ejercicio fiscal dos mil veinticuatro</w:t>
      </w:r>
      <w:r>
        <w:t>; pues únicamente señaló que se localizaba en un cumulo de información, sin embargo, este Instituto considera que no realizó una búsqueda correcta de la información.</w:t>
      </w:r>
    </w:p>
    <w:p w14:paraId="3D23744C" w14:textId="77777777" w:rsidR="00E033C2" w:rsidRDefault="00E033C2">
      <w:pPr>
        <w:spacing w:after="0" w:line="360" w:lineRule="auto"/>
        <w:ind w:right="-28"/>
      </w:pPr>
    </w:p>
    <w:p w14:paraId="14315A68" w14:textId="77777777" w:rsidR="00E033C2" w:rsidRDefault="00F9656F">
      <w:pPr>
        <w:spacing w:after="0" w:line="360" w:lineRule="auto"/>
        <w:ind w:right="-28"/>
      </w:pPr>
      <w:r>
        <w:lastRenderedPageBreak/>
        <w:t>Pues la pretensión del ahora Recurrente no es obtener expedientes completos, pólizas contables con anexos, o bien, carpetas con todas las erogaciones, pues su única pretensión es obtener a los comprobantes de pago por un monto mayor a dos millones de pesos.</w:t>
      </w:r>
    </w:p>
    <w:p w14:paraId="4466169B" w14:textId="77777777" w:rsidR="00E033C2" w:rsidRDefault="00E033C2">
      <w:pPr>
        <w:spacing w:after="0" w:line="360" w:lineRule="auto"/>
        <w:ind w:right="-28"/>
      </w:pPr>
    </w:p>
    <w:p w14:paraId="1B7E1572" w14:textId="77777777" w:rsidR="00E033C2" w:rsidRDefault="00F9656F">
      <w:pPr>
        <w:spacing w:after="0" w:line="360" w:lineRule="auto"/>
      </w:pPr>
      <w:r>
        <w:t>En otras palabras, el Sujeto Obligado no realizó una búsqueda exhaustiva y razonable en sus archivos; pues únicamente refirió el universo de información donde se localizaba, sin que haya realizado una indagación adecuada, pues inclusive a través de los Diarios Generales de Pólizas, pudo localizar las erogaciones realizadas por el monto establecido y localizar los documentos que dieran cuenta de lo peticionado.</w:t>
      </w:r>
    </w:p>
    <w:p w14:paraId="4F0987C9" w14:textId="77777777" w:rsidR="00E033C2" w:rsidRDefault="00E033C2">
      <w:pPr>
        <w:spacing w:after="0" w:line="360" w:lineRule="auto"/>
      </w:pPr>
    </w:p>
    <w:p w14:paraId="3BAB0DE6" w14:textId="77777777" w:rsidR="00E033C2" w:rsidRDefault="00F9656F">
      <w:pPr>
        <w:spacing w:after="0" w:line="360" w:lineRule="auto"/>
        <w:rPr>
          <w:b/>
        </w:rPr>
      </w:pPr>
      <w:r>
        <w:t xml:space="preserve">En ese sentido, según Jarquín, Soledad (2019), en el “Diccionario de Transparencia y Acceso a la Información Pública” (p. 68), la búsqueda exhaustiva es la obligación del área administrativa del Sujeto Obligado que cuenta o puede contar con la información requerida, la cual consiste en localizar toda aquella que atienda la solicitud, </w:t>
      </w:r>
      <w:r>
        <w:rPr>
          <w:b/>
        </w:rPr>
        <w:t>hasta agotar por completo las posibilidades de indagación.</w:t>
      </w:r>
    </w:p>
    <w:p w14:paraId="2C410F44" w14:textId="77777777" w:rsidR="00E033C2" w:rsidRDefault="00E033C2">
      <w:pPr>
        <w:spacing w:after="0" w:line="360" w:lineRule="auto"/>
      </w:pPr>
    </w:p>
    <w:p w14:paraId="56F36DF5" w14:textId="77777777" w:rsidR="00E033C2" w:rsidRDefault="00F9656F">
      <w:pPr>
        <w:spacing w:after="0" w:line="360" w:lineRule="auto"/>
        <w:rPr>
          <w:b/>
        </w:rPr>
      </w:pPr>
      <w:r>
        <w:t xml:space="preserve">Además, según Calero, Natalia (2016), en la “Ley General de Transparencia y Acceso a la Información Pública Comentada” (p. 408), para que exista una búsqueda exhaustiva y razonable, se debe hacer </w:t>
      </w:r>
      <w:r>
        <w:rPr>
          <w:b/>
        </w:rPr>
        <w:t>una indagación consiente y minuciosa en sus archivos físicos y electrónicos.</w:t>
      </w:r>
    </w:p>
    <w:p w14:paraId="53CE2A11" w14:textId="77777777" w:rsidR="00E033C2" w:rsidRDefault="00E033C2">
      <w:pPr>
        <w:spacing w:after="0" w:line="360" w:lineRule="auto"/>
        <w:rPr>
          <w:b/>
        </w:rPr>
      </w:pPr>
    </w:p>
    <w:p w14:paraId="2730B4C1" w14:textId="77777777" w:rsidR="00E033C2" w:rsidRDefault="00F9656F">
      <w:pPr>
        <w:spacing w:after="0" w:line="360" w:lineRule="auto"/>
      </w:pPr>
      <w:r>
        <w:t>Conforme a lo anterior, para poder acreditar el carácter exhaustivo de la búsqueda realizada por los Sujetos Obligados, se deben motivar las razones por las que se buscó la información en determinadas áreas</w:t>
      </w:r>
      <w:r>
        <w:rPr>
          <w:b/>
        </w:rPr>
        <w:t>, los criterios de búsqueda utilizados y demás circunstancias que fueron tomadas en cuenta</w:t>
      </w:r>
      <w:r>
        <w:t>.</w:t>
      </w:r>
    </w:p>
    <w:p w14:paraId="12931D25" w14:textId="77777777" w:rsidR="00E033C2" w:rsidRDefault="00E033C2">
      <w:pPr>
        <w:spacing w:after="0" w:line="360" w:lineRule="auto"/>
      </w:pPr>
    </w:p>
    <w:p w14:paraId="30D1BD6E" w14:textId="77777777" w:rsidR="00E033C2" w:rsidRDefault="00F9656F">
      <w:pPr>
        <w:spacing w:after="0" w:line="360" w:lineRule="auto"/>
      </w:pPr>
      <w:r>
        <w:lastRenderedPageBreak/>
        <w:t xml:space="preserve">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 </w:t>
      </w:r>
    </w:p>
    <w:p w14:paraId="795CE625" w14:textId="77777777" w:rsidR="00E033C2" w:rsidRDefault="00E033C2">
      <w:pPr>
        <w:spacing w:after="0" w:line="360" w:lineRule="auto"/>
      </w:pPr>
    </w:p>
    <w:p w14:paraId="7BF61AB0" w14:textId="77777777" w:rsidR="00E033C2" w:rsidRDefault="00F9656F">
      <w:pPr>
        <w:numPr>
          <w:ilvl w:val="0"/>
          <w:numId w:val="10"/>
        </w:numPr>
        <w:spacing w:after="0" w:line="360" w:lineRule="auto"/>
      </w:pPr>
      <w:r>
        <w:rPr>
          <w:color w:val="000000"/>
        </w:rPr>
        <w:t>Motivación por las que se buscó la información, en determinadas unidades administrativas;</w:t>
      </w:r>
    </w:p>
    <w:p w14:paraId="2B6ADEE1" w14:textId="77777777" w:rsidR="00E033C2" w:rsidRDefault="00F9656F">
      <w:pPr>
        <w:numPr>
          <w:ilvl w:val="0"/>
          <w:numId w:val="10"/>
        </w:numPr>
        <w:spacing w:after="0" w:line="360" w:lineRule="auto"/>
      </w:pPr>
      <w:r>
        <w:rPr>
          <w:color w:val="000000"/>
        </w:rPr>
        <w:t>Los criterios de búsqueda utilizados, y</w:t>
      </w:r>
    </w:p>
    <w:p w14:paraId="3DF52AD7" w14:textId="77777777" w:rsidR="00E033C2" w:rsidRDefault="00F9656F">
      <w:pPr>
        <w:numPr>
          <w:ilvl w:val="0"/>
          <w:numId w:val="10"/>
        </w:numPr>
        <w:spacing w:after="0" w:line="360" w:lineRule="auto"/>
      </w:pPr>
      <w:r>
        <w:rPr>
          <w:color w:val="000000"/>
        </w:rPr>
        <w:t xml:space="preserve">Las circunstancias que fueron tomadas en cuenta. </w:t>
      </w:r>
    </w:p>
    <w:p w14:paraId="0179506D" w14:textId="77777777" w:rsidR="00E033C2" w:rsidRDefault="00E033C2">
      <w:pPr>
        <w:spacing w:after="0" w:line="360" w:lineRule="auto"/>
        <w:ind w:left="720"/>
        <w:rPr>
          <w:color w:val="000000"/>
        </w:rPr>
      </w:pPr>
    </w:p>
    <w:p w14:paraId="260F22AB" w14:textId="77777777" w:rsidR="00E033C2" w:rsidRDefault="00F9656F">
      <w:pPr>
        <w:spacing w:after="0" w:line="360" w:lineRule="auto"/>
      </w:pPr>
      <w:r>
        <w:t>De tales circunstancias, se considera que para que los Sujetos Obligado justifiquen que realizaron una búsqueda exhaustiva y razonable, deben indicar de manera clara, lo siguiente:</w:t>
      </w:r>
    </w:p>
    <w:p w14:paraId="2DB1AF06" w14:textId="77777777" w:rsidR="00E033C2" w:rsidRDefault="00E033C2">
      <w:pPr>
        <w:spacing w:after="0" w:line="360" w:lineRule="auto"/>
      </w:pPr>
    </w:p>
    <w:p w14:paraId="1494414D" w14:textId="77777777" w:rsidR="00E033C2" w:rsidRDefault="00F9656F">
      <w:pPr>
        <w:numPr>
          <w:ilvl w:val="0"/>
          <w:numId w:val="1"/>
        </w:numPr>
        <w:spacing w:after="0" w:line="360" w:lineRule="auto"/>
      </w:pPr>
      <w:r>
        <w:rPr>
          <w:color w:val="000000"/>
        </w:rPr>
        <w:t xml:space="preserve">Las áreas donde se buscó la información; </w:t>
      </w:r>
    </w:p>
    <w:p w14:paraId="1699E714" w14:textId="77777777" w:rsidR="00E033C2" w:rsidRDefault="00F9656F">
      <w:pPr>
        <w:numPr>
          <w:ilvl w:val="0"/>
          <w:numId w:val="1"/>
        </w:numPr>
        <w:spacing w:after="0" w:line="360" w:lineRule="auto"/>
      </w:pPr>
      <w:r>
        <w:rPr>
          <w:color w:val="000000"/>
        </w:rPr>
        <w:t xml:space="preserve">Tipo de archivos buscados (físicos o electrónicos); </w:t>
      </w:r>
    </w:p>
    <w:p w14:paraId="294299A9" w14:textId="77777777" w:rsidR="00E033C2" w:rsidRDefault="00F9656F">
      <w:pPr>
        <w:numPr>
          <w:ilvl w:val="0"/>
          <w:numId w:val="1"/>
        </w:numPr>
        <w:spacing w:after="0" w:line="360" w:lineRule="auto"/>
      </w:pPr>
      <w:r>
        <w:rPr>
          <w:color w:val="000000"/>
        </w:rPr>
        <w:t xml:space="preserve">Los criterios de búsqueda utilizados, y </w:t>
      </w:r>
    </w:p>
    <w:p w14:paraId="7B0DAABE" w14:textId="77777777" w:rsidR="00E033C2" w:rsidRDefault="00F9656F">
      <w:pPr>
        <w:numPr>
          <w:ilvl w:val="0"/>
          <w:numId w:val="1"/>
        </w:numPr>
        <w:spacing w:after="0" w:line="360" w:lineRule="auto"/>
      </w:pPr>
      <w:r>
        <w:rPr>
          <w:color w:val="000000"/>
        </w:rPr>
        <w:t>Las circunstancias que fueron tomadas en cuenta.</w:t>
      </w:r>
    </w:p>
    <w:p w14:paraId="565C2203" w14:textId="77777777" w:rsidR="00E033C2" w:rsidRDefault="00E033C2">
      <w:pPr>
        <w:spacing w:after="0" w:line="360" w:lineRule="auto"/>
      </w:pPr>
    </w:p>
    <w:p w14:paraId="2791AD60" w14:textId="77777777" w:rsidR="00E033C2" w:rsidRDefault="00F9656F">
      <w:pPr>
        <w:spacing w:after="0" w:line="360" w:lineRule="auto"/>
      </w:pPr>
      <w:r>
        <w:t xml:space="preserve">Conforme a lo anterior, el Sujeto Obligado no señaló en </w:t>
      </w:r>
      <w:proofErr w:type="spellStart"/>
      <w:r>
        <w:t>que</w:t>
      </w:r>
      <w:proofErr w:type="spellEnd"/>
      <w:r>
        <w:t xml:space="preserve"> tipo de archivos busco, ni los criterios o circunstancias tomadas en cuenta pues únicamente señaló el cumulo de información donde se localizaba, sin señalar cuantos comprobantes de pago se habían emitido; lo cual toma relevancia, pues como se mencionó se pudo realizar una búsqueda en el diario general de pólizas o estados de cuenta bancarios, para verificar en </w:t>
      </w:r>
      <w:proofErr w:type="spellStart"/>
      <w:r>
        <w:t>que</w:t>
      </w:r>
      <w:proofErr w:type="spellEnd"/>
      <w:r>
        <w:t xml:space="preserve"> momento se </w:t>
      </w:r>
      <w:r>
        <w:lastRenderedPageBreak/>
        <w:t>había erogado un monto mayor a dos millones de pesos, con el fin de localizar los documentos solicitados.</w:t>
      </w:r>
    </w:p>
    <w:p w14:paraId="1AB4FF03" w14:textId="77777777" w:rsidR="00E033C2" w:rsidRDefault="00E033C2">
      <w:pPr>
        <w:spacing w:after="0" w:line="360" w:lineRule="auto"/>
      </w:pPr>
    </w:p>
    <w:p w14:paraId="2CA7E657" w14:textId="77777777" w:rsidR="00E033C2" w:rsidRDefault="00F9656F">
      <w:pPr>
        <w:spacing w:after="0" w:line="360" w:lineRule="auto"/>
        <w:ind w:right="-28"/>
        <w:rPr>
          <w:b/>
        </w:rPr>
      </w:pPr>
      <w:r>
        <w:t>En otras palabras, se logra vislumbrar que el Sujeto Obligado no atendió de manera correcta la solicitud de acceso a la información y no se tiene certeza de que dicha información que puso a disposición tanto en respuesta, como Informe Justificado, dé cuenta de lo solicitado, toda vez que lo puesto a disposición no corresponde a la información específica requerida.</w:t>
      </w:r>
    </w:p>
    <w:p w14:paraId="403C5FB0" w14:textId="77777777" w:rsidR="00E033C2" w:rsidRDefault="00E033C2">
      <w:pPr>
        <w:spacing w:after="0" w:line="360" w:lineRule="auto"/>
        <w:ind w:right="-28"/>
        <w:rPr>
          <w:b/>
        </w:rPr>
      </w:pPr>
    </w:p>
    <w:p w14:paraId="672FB2BC" w14:textId="77777777" w:rsidR="00E033C2" w:rsidRDefault="00F9656F">
      <w:pPr>
        <w:spacing w:after="0" w:line="360" w:lineRule="auto"/>
        <w:rPr>
          <w:color w:val="000000"/>
        </w:rPr>
      </w:pPr>
      <w:r>
        <w:t xml:space="preserve">Por lo que para atender el requerimiento de información, el Sujeto Obligado deberá realizar una búsqueda exhaustiva y razonable en los archivos de todas sus áreas competentes, a efecto que proporcione </w:t>
      </w:r>
      <w:r>
        <w:rPr>
          <w:color w:val="000000"/>
        </w:rPr>
        <w:t xml:space="preserve">los comprobantes de pago (transferencia o cheque), por un monto superior a dos millones de pesos; </w:t>
      </w:r>
      <w:r>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BE8C14C" w14:textId="77777777" w:rsidR="00E033C2" w:rsidRDefault="00E033C2">
      <w:pPr>
        <w:spacing w:after="0" w:line="360" w:lineRule="auto"/>
      </w:pPr>
    </w:p>
    <w:p w14:paraId="1B4C42C6" w14:textId="77777777" w:rsidR="00E033C2" w:rsidRDefault="00F9656F">
      <w:pPr>
        <w:spacing w:after="0" w:line="360" w:lineRule="auto"/>
        <w:rPr>
          <w:color w:val="FF0000"/>
        </w:rPr>
      </w:pPr>
      <w:r>
        <w:t xml:space="preserve">De esta manera, el derecho de acceso a la información pública se satisface en aquellos casos en que se entregue el soporte documental en el que conste la información solicitada, sin necesidad de elaborar documentos </w:t>
      </w:r>
      <w:r>
        <w:rPr>
          <w:i/>
        </w:rPr>
        <w:t>ad hoc</w:t>
      </w:r>
      <w:r>
        <w:t>; lo cual, de conformidad con en el artículo 160 de la Ley de Transparencia y Acceso a la Información Pública del Estado de México y Municipios, el cual refiere que los sujetos obligados deberán entregar la información que obre en sus archivos.</w:t>
      </w:r>
    </w:p>
    <w:p w14:paraId="57AA6851" w14:textId="77777777" w:rsidR="00E033C2" w:rsidRDefault="00E033C2">
      <w:pPr>
        <w:spacing w:after="0" w:line="360" w:lineRule="auto"/>
        <w:rPr>
          <w:color w:val="FF0000"/>
        </w:rPr>
      </w:pPr>
    </w:p>
    <w:p w14:paraId="3F70C2B8" w14:textId="77777777" w:rsidR="00E033C2" w:rsidRDefault="00F9656F">
      <w:pPr>
        <w:spacing w:after="0" w:line="360" w:lineRule="auto"/>
      </w:pPr>
      <w:r>
        <w:t xml:space="preserve">De tales circunstancias, se concluye que los sujetos obligados únicamente se encuentran constreñidos a proporcionar los documentos que den cuenta de la información solicitada, </w:t>
      </w:r>
      <w:r>
        <w:lastRenderedPageBreak/>
        <w:t xml:space="preserve">como obren en sus archivos, sin tener que elaborarlos a las necesidades del Recurrente; por lo que, en el presente caso, deberá entregar </w:t>
      </w:r>
      <w:r>
        <w:rPr>
          <w:color w:val="000000"/>
        </w:rPr>
        <w:t>los comprobantes de pago (transferencia o cheque) realizados a particulares, por un monto superior a dos millones de pesos con recursos públicos del primero de enero al treinta y uno de diciembre de dos mil veinticuatro</w:t>
      </w:r>
      <w:r>
        <w:t>.</w:t>
      </w:r>
    </w:p>
    <w:p w14:paraId="63EAD7C5" w14:textId="77777777" w:rsidR="00E033C2" w:rsidRDefault="00E033C2">
      <w:pPr>
        <w:spacing w:after="0" w:line="360" w:lineRule="auto"/>
      </w:pPr>
    </w:p>
    <w:p w14:paraId="436492FB" w14:textId="77777777" w:rsidR="00E033C2" w:rsidRDefault="00F9656F">
      <w:pPr>
        <w:tabs>
          <w:tab w:val="left" w:pos="4962"/>
        </w:tabs>
        <w:spacing w:after="0" w:line="360" w:lineRule="auto"/>
        <w:rPr>
          <w:color w:val="000000"/>
        </w:rPr>
      </w:pPr>
      <w:r>
        <w:rPr>
          <w:color w:val="000000"/>
        </w:rPr>
        <w:t>Ahora bien, este Instituto considera que los documentos que den cuenta de la información solicitada, pudieran contener los siguientes datos:</w:t>
      </w:r>
    </w:p>
    <w:p w14:paraId="04678F0A" w14:textId="77777777" w:rsidR="00E033C2" w:rsidRDefault="00E033C2">
      <w:pPr>
        <w:tabs>
          <w:tab w:val="left" w:pos="4962"/>
        </w:tabs>
        <w:spacing w:after="0" w:line="360" w:lineRule="auto"/>
        <w:rPr>
          <w:color w:val="000000"/>
        </w:rPr>
      </w:pPr>
    </w:p>
    <w:p w14:paraId="13E71CAC" w14:textId="77777777" w:rsidR="00E033C2" w:rsidRDefault="00F9656F">
      <w:pPr>
        <w:numPr>
          <w:ilvl w:val="0"/>
          <w:numId w:val="6"/>
        </w:numPr>
        <w:spacing w:after="0" w:line="360" w:lineRule="auto"/>
        <w:rPr>
          <w:color w:val="000000"/>
        </w:rPr>
      </w:pPr>
      <w:r>
        <w:rPr>
          <w:color w:val="000000"/>
        </w:rPr>
        <w:t>Nombre de persona física o Razón social;</w:t>
      </w:r>
    </w:p>
    <w:p w14:paraId="2443A224" w14:textId="77777777" w:rsidR="00E033C2" w:rsidRDefault="00F9656F">
      <w:pPr>
        <w:numPr>
          <w:ilvl w:val="0"/>
          <w:numId w:val="6"/>
        </w:numPr>
        <w:spacing w:after="0" w:line="360" w:lineRule="auto"/>
        <w:rPr>
          <w:color w:val="000000"/>
        </w:rPr>
      </w:pPr>
      <w:r>
        <w:rPr>
          <w:color w:val="000000"/>
        </w:rPr>
        <w:t>Número de cuenta bancaria o clave interbancaria;</w:t>
      </w:r>
    </w:p>
    <w:p w14:paraId="51B006A2" w14:textId="77777777" w:rsidR="00E033C2" w:rsidRDefault="00F9656F">
      <w:pPr>
        <w:numPr>
          <w:ilvl w:val="0"/>
          <w:numId w:val="6"/>
        </w:numPr>
        <w:spacing w:after="0" w:line="360" w:lineRule="auto"/>
        <w:rPr>
          <w:color w:val="000000"/>
        </w:rPr>
      </w:pPr>
      <w:r>
        <w:rPr>
          <w:color w:val="000000"/>
        </w:rPr>
        <w:t>Nombre de institución bancaria, y</w:t>
      </w:r>
    </w:p>
    <w:p w14:paraId="68FB6099" w14:textId="77777777" w:rsidR="00E033C2" w:rsidRDefault="00F9656F">
      <w:pPr>
        <w:widowControl w:val="0"/>
        <w:numPr>
          <w:ilvl w:val="0"/>
          <w:numId w:val="6"/>
        </w:numPr>
        <w:tabs>
          <w:tab w:val="center" w:pos="4522"/>
        </w:tabs>
        <w:spacing w:after="0" w:line="360" w:lineRule="auto"/>
        <w:rPr>
          <w:color w:val="000000"/>
        </w:rPr>
      </w:pPr>
      <w:r>
        <w:rPr>
          <w:color w:val="000000"/>
        </w:rPr>
        <w:t>Registro Federal de Contribuyentes.</w:t>
      </w:r>
    </w:p>
    <w:p w14:paraId="0EB5AF11" w14:textId="77777777" w:rsidR="00E033C2" w:rsidRDefault="00E033C2">
      <w:pPr>
        <w:spacing w:after="0" w:line="360" w:lineRule="auto"/>
        <w:ind w:right="142"/>
        <w:rPr>
          <w:color w:val="000000"/>
        </w:rPr>
      </w:pPr>
    </w:p>
    <w:p w14:paraId="6B09DEB6" w14:textId="77777777" w:rsidR="00E033C2" w:rsidRDefault="00F9656F">
      <w:pPr>
        <w:spacing w:after="0" w:line="360" w:lineRule="auto"/>
        <w:ind w:right="142"/>
        <w:rPr>
          <w:color w:val="000000"/>
        </w:rPr>
      </w:pPr>
      <w:r>
        <w:rPr>
          <w:color w:val="000000"/>
        </w:rPr>
        <w:t>El artículo 143, fracción I, de la Ley de Transparencia Local, establece que la información privada y los datos personales, concernientes a una persona física o jurídica colectiva identificada o identificable son confidenciales.</w:t>
      </w:r>
    </w:p>
    <w:p w14:paraId="74B1ED84" w14:textId="77777777" w:rsidR="00E033C2" w:rsidRDefault="00F9656F">
      <w:pPr>
        <w:spacing w:after="0" w:line="360" w:lineRule="auto"/>
        <w:ind w:right="-28"/>
        <w:rPr>
          <w:color w:val="000000"/>
        </w:rPr>
      </w:pPr>
      <w:r>
        <w:rPr>
          <w:color w:val="000000"/>
        </w:rPr>
        <w:t>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8F1D577" w14:textId="77777777" w:rsidR="00E033C2" w:rsidRDefault="00E033C2">
      <w:pPr>
        <w:spacing w:after="0" w:line="360" w:lineRule="auto"/>
        <w:ind w:right="-28"/>
        <w:rPr>
          <w:color w:val="000000"/>
        </w:rPr>
      </w:pPr>
    </w:p>
    <w:p w14:paraId="20972175" w14:textId="77777777" w:rsidR="00E033C2" w:rsidRDefault="00F9656F">
      <w:pPr>
        <w:spacing w:after="0" w:line="360" w:lineRule="auto"/>
        <w:ind w:right="-28"/>
        <w:rPr>
          <w:color w:val="000000"/>
        </w:rPr>
      </w:pPr>
      <w:r>
        <w:rPr>
          <w:color w:val="000000"/>
        </w:rPr>
        <w:lastRenderedPageBreak/>
        <w:t>En términos de lo expuesto, la documentación y aquellos datos que se consideren confidenciales, serán una limitante del derecho de acceso a la información, siempre y cuando:</w:t>
      </w:r>
    </w:p>
    <w:p w14:paraId="60EB3635" w14:textId="77777777" w:rsidR="00E033C2" w:rsidRDefault="00E033C2">
      <w:pPr>
        <w:spacing w:after="0" w:line="360" w:lineRule="auto"/>
        <w:ind w:right="-28"/>
        <w:rPr>
          <w:color w:val="000000"/>
        </w:rPr>
      </w:pPr>
    </w:p>
    <w:p w14:paraId="3A8B6BA4" w14:textId="77777777" w:rsidR="00E033C2" w:rsidRDefault="00F9656F">
      <w:pPr>
        <w:numPr>
          <w:ilvl w:val="0"/>
          <w:numId w:val="4"/>
        </w:numPr>
        <w:spacing w:after="0" w:line="360" w:lineRule="auto"/>
        <w:ind w:right="-28"/>
        <w:rPr>
          <w:color w:val="000000"/>
        </w:rPr>
      </w:pPr>
      <w:r>
        <w:rPr>
          <w:color w:val="000000"/>
        </w:rPr>
        <w:t xml:space="preserve">Se trate de datos personales o información privada; esto es, información concerniente a una persona física o jurídico colectiva y que esta sea identificada o identificable. </w:t>
      </w:r>
    </w:p>
    <w:p w14:paraId="11AD4AFF" w14:textId="77777777" w:rsidR="00E033C2" w:rsidRDefault="00F9656F">
      <w:pPr>
        <w:numPr>
          <w:ilvl w:val="0"/>
          <w:numId w:val="4"/>
        </w:numPr>
        <w:spacing w:after="0" w:line="360" w:lineRule="auto"/>
        <w:ind w:right="-28"/>
        <w:rPr>
          <w:color w:val="000000"/>
        </w:rPr>
      </w:pPr>
      <w:r>
        <w:rPr>
          <w:color w:val="000000"/>
        </w:rPr>
        <w:t xml:space="preserve">Para la difusión de los datos, se requiera el consentimiento del titular. </w:t>
      </w:r>
    </w:p>
    <w:p w14:paraId="4022D900" w14:textId="77777777" w:rsidR="00E033C2" w:rsidRDefault="00E033C2">
      <w:pPr>
        <w:spacing w:after="0" w:line="360" w:lineRule="auto"/>
        <w:ind w:right="-28"/>
        <w:rPr>
          <w:color w:val="000000"/>
        </w:rPr>
      </w:pPr>
    </w:p>
    <w:p w14:paraId="13EBAFF7" w14:textId="77777777" w:rsidR="00E033C2" w:rsidRDefault="00F9656F">
      <w:pPr>
        <w:spacing w:after="0" w:line="360" w:lineRule="auto"/>
        <w:ind w:right="-28"/>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3CA5DD6" w14:textId="77777777" w:rsidR="00E033C2" w:rsidRDefault="00E033C2">
      <w:pPr>
        <w:spacing w:after="0" w:line="360" w:lineRule="auto"/>
        <w:ind w:right="-28"/>
        <w:rPr>
          <w:color w:val="000000"/>
        </w:rPr>
      </w:pPr>
    </w:p>
    <w:p w14:paraId="157EC30C" w14:textId="77777777" w:rsidR="00E033C2" w:rsidRDefault="00F9656F">
      <w:pPr>
        <w:spacing w:after="0" w:line="360" w:lineRule="auto"/>
        <w:ind w:right="-28"/>
        <w:rPr>
          <w:color w:val="000000"/>
        </w:rPr>
      </w:pPr>
      <w:r>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14:paraId="3B0D50D7" w14:textId="77777777" w:rsidR="00E033C2" w:rsidRDefault="00E033C2">
      <w:pPr>
        <w:spacing w:after="0" w:line="360" w:lineRule="auto"/>
        <w:ind w:right="-28"/>
        <w:rPr>
          <w:color w:val="000000"/>
        </w:rPr>
      </w:pPr>
    </w:p>
    <w:p w14:paraId="08E32BC4" w14:textId="77777777" w:rsidR="00E033C2" w:rsidRDefault="00F9656F">
      <w:pPr>
        <w:numPr>
          <w:ilvl w:val="0"/>
          <w:numId w:val="5"/>
        </w:numPr>
        <w:spacing w:after="0" w:line="360" w:lineRule="auto"/>
        <w:rPr>
          <w:b/>
          <w:color w:val="000000"/>
        </w:rPr>
      </w:pPr>
      <w:r>
        <w:rPr>
          <w:b/>
          <w:color w:val="000000"/>
        </w:rPr>
        <w:t>Nombre de personas físicas proveedores y que recibieron recursos públicos por cualquier motivo.</w:t>
      </w:r>
    </w:p>
    <w:p w14:paraId="0E12A1A6" w14:textId="77777777" w:rsidR="00E033C2" w:rsidRDefault="00E033C2">
      <w:pPr>
        <w:spacing w:after="0" w:line="360" w:lineRule="auto"/>
        <w:ind w:left="720"/>
        <w:rPr>
          <w:b/>
          <w:color w:val="000000"/>
        </w:rPr>
      </w:pPr>
    </w:p>
    <w:p w14:paraId="7BD00D8E" w14:textId="77777777" w:rsidR="00E033C2" w:rsidRDefault="00F9656F">
      <w:pPr>
        <w:spacing w:after="0" w:line="360" w:lineRule="auto"/>
        <w:ind w:right="-93"/>
        <w:rPr>
          <w:color w:val="000000"/>
        </w:rPr>
      </w:pPr>
      <w:r>
        <w:rPr>
          <w:color w:val="000000"/>
        </w:rPr>
        <w:t xml:space="preserve">Al respecto, cabe precisar que el nombre se integra con el sustantivo propio y el primer apellido de los padres, en el orden que, de común acuerdo determinen; asimismo es la </w:t>
      </w:r>
      <w:r>
        <w:rPr>
          <w:color w:val="000000"/>
        </w:rPr>
        <w:lastRenderedPageBreak/>
        <w:t xml:space="preserve">manifestación principal del derecho subjetivo a la personalidad y atributo de esta en términos del artículo 2.3 del Código Civil del Estado de México, de tal suerte, el nombre </w:t>
      </w:r>
      <w:r>
        <w:rPr>
          <w:i/>
          <w:color w:val="000000"/>
        </w:rPr>
        <w:t>per se</w:t>
      </w:r>
      <w:r>
        <w:rPr>
          <w:color w:val="000000"/>
        </w:rPr>
        <w:t xml:space="preserve"> es un elemento que hace a una persona física identificada o identificable.</w:t>
      </w:r>
    </w:p>
    <w:p w14:paraId="77A4FFE3" w14:textId="77777777" w:rsidR="00E033C2" w:rsidRDefault="00E033C2">
      <w:pPr>
        <w:spacing w:after="0" w:line="360" w:lineRule="auto"/>
        <w:ind w:right="-93"/>
        <w:rPr>
          <w:color w:val="000000"/>
        </w:rPr>
      </w:pPr>
    </w:p>
    <w:p w14:paraId="0FF998AF" w14:textId="77777777" w:rsidR="00E033C2" w:rsidRDefault="00F9656F">
      <w:pPr>
        <w:spacing w:after="0" w:line="360" w:lineRule="auto"/>
        <w:ind w:right="-93"/>
        <w:rPr>
          <w:color w:val="000000"/>
        </w:rPr>
      </w:pPr>
      <w:r>
        <w:rPr>
          <w:color w:val="000000"/>
        </w:rP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excepción tratándose de </w:t>
      </w:r>
      <w:r>
        <w:rPr>
          <w:b/>
          <w:color w:val="000000"/>
        </w:rPr>
        <w:t>los nombres de aquellos que reciben recursos públicos (proveedores y que brindaron apoyo dentro del Sujeto Obligado),</w:t>
      </w:r>
      <w:r>
        <w:rPr>
          <w:color w:val="000000"/>
        </w:rPr>
        <w:t xml:space="preserve"> ya que la difusión de dicho dato constituye una obligación de transparencia por parte de los sujetos obligados.</w:t>
      </w:r>
    </w:p>
    <w:p w14:paraId="756336BB" w14:textId="77777777" w:rsidR="00E033C2" w:rsidRDefault="00E033C2">
      <w:pPr>
        <w:spacing w:after="0" w:line="360" w:lineRule="auto"/>
        <w:ind w:right="-93"/>
        <w:rPr>
          <w:color w:val="000000"/>
        </w:rPr>
      </w:pPr>
    </w:p>
    <w:p w14:paraId="7A3796DF" w14:textId="77777777" w:rsidR="00E033C2" w:rsidRDefault="00F9656F">
      <w:pPr>
        <w:spacing w:after="0" w:line="360" w:lineRule="auto"/>
        <w:ind w:right="-93"/>
        <w:rPr>
          <w:b/>
          <w:color w:val="000000"/>
        </w:rPr>
      </w:pPr>
      <w:r>
        <w:rPr>
          <w:color w:val="000000"/>
        </w:rPr>
        <w:t xml:space="preserve">Toma sustento con el artículo 92, fracciones VII, XXXI y XXXVI, de la Ley de la materia, el cual establece que los sujetos obligados tienen la obligación de poner a disposición del público y mantener actualizada de acuerdo con sus facultades, atribuciones, funciones u objeto social, según corresponda el directorio, que deberá incluir al menos, entre otros datos, </w:t>
      </w:r>
      <w:r>
        <w:rPr>
          <w:b/>
          <w:color w:val="000000"/>
        </w:rPr>
        <w:t>el nombre del servidor público; así como, el Padrón de proveedores y contratistas y el listado de personas físicas o jurídico-colectivas, que por cualquier motivo se les asignaron recursos públicos.</w:t>
      </w:r>
    </w:p>
    <w:p w14:paraId="41A3DB6D" w14:textId="77777777" w:rsidR="00E033C2" w:rsidRDefault="00E033C2">
      <w:pPr>
        <w:spacing w:after="0" w:line="360" w:lineRule="auto"/>
        <w:ind w:right="-93"/>
        <w:rPr>
          <w:b/>
          <w:color w:val="000000"/>
        </w:rPr>
      </w:pPr>
    </w:p>
    <w:p w14:paraId="4625CC86" w14:textId="77777777" w:rsidR="00E033C2" w:rsidRDefault="00F9656F">
      <w:pPr>
        <w:spacing w:after="0" w:line="360" w:lineRule="auto"/>
        <w:ind w:right="-93"/>
        <w:rPr>
          <w:color w:val="000000"/>
        </w:rPr>
      </w:pPr>
      <w:r>
        <w:rPr>
          <w:color w:val="000000"/>
        </w:rPr>
        <w:t>Además,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14:paraId="3324080C" w14:textId="77777777" w:rsidR="00E033C2" w:rsidRDefault="00E033C2">
      <w:pPr>
        <w:spacing w:after="0" w:line="360" w:lineRule="auto"/>
        <w:ind w:right="-93"/>
        <w:rPr>
          <w:color w:val="000000"/>
        </w:rPr>
      </w:pPr>
    </w:p>
    <w:p w14:paraId="08558642" w14:textId="77777777" w:rsidR="00E033C2" w:rsidRDefault="00F9656F">
      <w:pPr>
        <w:spacing w:after="0" w:line="360" w:lineRule="auto"/>
        <w:ind w:right="-93"/>
        <w:rPr>
          <w:b/>
          <w:color w:val="000000"/>
        </w:rPr>
      </w:pPr>
      <w:r>
        <w:rPr>
          <w:noProof/>
          <w:color w:val="000000"/>
        </w:rPr>
        <w:lastRenderedPageBreak/>
        <w:drawing>
          <wp:inline distT="0" distB="0" distL="0" distR="0" wp14:anchorId="07ACCA50" wp14:editId="0ADA19F6">
            <wp:extent cx="5743575" cy="752475"/>
            <wp:effectExtent l="0" t="0" r="0" b="0"/>
            <wp:docPr id="14325137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b="84505"/>
                    <a:stretch>
                      <a:fillRect/>
                    </a:stretch>
                  </pic:blipFill>
                  <pic:spPr>
                    <a:xfrm>
                      <a:off x="0" y="0"/>
                      <a:ext cx="5743575" cy="752475"/>
                    </a:xfrm>
                    <a:prstGeom prst="rect">
                      <a:avLst/>
                    </a:prstGeom>
                    <a:ln/>
                  </pic:spPr>
                </pic:pic>
              </a:graphicData>
            </a:graphic>
          </wp:inline>
        </w:drawing>
      </w:r>
    </w:p>
    <w:p w14:paraId="540C59E8" w14:textId="77777777" w:rsidR="00E033C2" w:rsidRDefault="00F9656F">
      <w:pPr>
        <w:spacing w:after="0" w:line="360" w:lineRule="auto"/>
        <w:ind w:right="-93"/>
        <w:rPr>
          <w:b/>
          <w:color w:val="000000"/>
        </w:rPr>
      </w:pPr>
      <w:r>
        <w:rPr>
          <w:noProof/>
          <w:color w:val="000000"/>
        </w:rPr>
        <w:drawing>
          <wp:inline distT="0" distB="0" distL="0" distR="0" wp14:anchorId="6C229D00" wp14:editId="06EDF068">
            <wp:extent cx="5743575" cy="495300"/>
            <wp:effectExtent l="0" t="0" r="0" b="0"/>
            <wp:docPr id="14325137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89838" b="-38"/>
                    <a:stretch>
                      <a:fillRect/>
                    </a:stretch>
                  </pic:blipFill>
                  <pic:spPr>
                    <a:xfrm>
                      <a:off x="0" y="0"/>
                      <a:ext cx="5743575" cy="495300"/>
                    </a:xfrm>
                    <a:prstGeom prst="rect">
                      <a:avLst/>
                    </a:prstGeom>
                    <a:ln/>
                  </pic:spPr>
                </pic:pic>
              </a:graphicData>
            </a:graphic>
          </wp:inline>
        </w:drawing>
      </w:r>
    </w:p>
    <w:p w14:paraId="78E20181" w14:textId="77777777" w:rsidR="00E033C2" w:rsidRDefault="00E033C2">
      <w:pPr>
        <w:spacing w:after="0" w:line="360" w:lineRule="auto"/>
        <w:ind w:right="-93"/>
        <w:rPr>
          <w:b/>
          <w:color w:val="000000"/>
        </w:rPr>
      </w:pPr>
    </w:p>
    <w:p w14:paraId="1160A51B" w14:textId="77777777" w:rsidR="00E033C2" w:rsidRDefault="00F9656F">
      <w:pPr>
        <w:spacing w:after="0" w:line="360" w:lineRule="auto"/>
        <w:ind w:right="-93"/>
        <w:rPr>
          <w:b/>
          <w:color w:val="000000"/>
        </w:rPr>
      </w:pPr>
      <w:r>
        <w:rPr>
          <w:noProof/>
          <w:color w:val="000000"/>
        </w:rPr>
        <w:drawing>
          <wp:inline distT="0" distB="0" distL="0" distR="0" wp14:anchorId="712C6C5E" wp14:editId="504640E4">
            <wp:extent cx="5743575" cy="1704975"/>
            <wp:effectExtent l="0" t="0" r="0" b="0"/>
            <wp:docPr id="1432513718" name="image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abla&#10;&#10;Descripción generada automáticamente"/>
                    <pic:cNvPicPr preferRelativeResize="0"/>
                  </pic:nvPicPr>
                  <pic:blipFill>
                    <a:blip r:embed="rId10"/>
                    <a:srcRect/>
                    <a:stretch>
                      <a:fillRect/>
                    </a:stretch>
                  </pic:blipFill>
                  <pic:spPr>
                    <a:xfrm>
                      <a:off x="0" y="0"/>
                      <a:ext cx="5743575" cy="1704975"/>
                    </a:xfrm>
                    <a:prstGeom prst="rect">
                      <a:avLst/>
                    </a:prstGeom>
                    <a:ln/>
                  </pic:spPr>
                </pic:pic>
              </a:graphicData>
            </a:graphic>
          </wp:inline>
        </w:drawing>
      </w:r>
    </w:p>
    <w:p w14:paraId="43AABE5F" w14:textId="77777777" w:rsidR="00E033C2" w:rsidRDefault="00E033C2">
      <w:pPr>
        <w:spacing w:after="0" w:line="360" w:lineRule="auto"/>
        <w:ind w:right="-93"/>
        <w:rPr>
          <w:b/>
          <w:color w:val="000000"/>
        </w:rPr>
      </w:pPr>
    </w:p>
    <w:p w14:paraId="085619E2" w14:textId="77777777" w:rsidR="00E033C2" w:rsidRDefault="00F9656F">
      <w:pPr>
        <w:spacing w:after="0" w:line="360" w:lineRule="auto"/>
        <w:ind w:right="-93"/>
        <w:rPr>
          <w:b/>
          <w:color w:val="000000"/>
        </w:rPr>
      </w:pPr>
      <w:r>
        <w:rPr>
          <w:color w:val="000000"/>
        </w:rPr>
        <w:t xml:space="preserve">Por lo tanto, la Ley de Transparencia y Acceso a la Información Pública del Estado de México y Municipios, considera que </w:t>
      </w:r>
      <w:r>
        <w:rPr>
          <w:b/>
          <w:color w:val="000000"/>
        </w:rPr>
        <w:t xml:space="preserve">los datos de aquellas personas que recibieron recursos públicos, por regla general, </w:t>
      </w:r>
      <w:r>
        <w:rPr>
          <w:color w:val="000000"/>
        </w:rPr>
        <w:t xml:space="preserve">son de naturaleza pública, ya que su publicidad orienta a cumplir los objetivos que persigue la Ley; toda vez, </w:t>
      </w:r>
      <w:r>
        <w:rPr>
          <w:b/>
          <w:color w:val="000000"/>
        </w:rPr>
        <w:t>que ayuda a transparentar a quienes se les han otorgado recursos públicos, así como, porque razones se les otorgaron dichos montos.</w:t>
      </w:r>
    </w:p>
    <w:p w14:paraId="6A2B9EA2" w14:textId="77777777" w:rsidR="00E033C2" w:rsidRDefault="00E033C2">
      <w:pPr>
        <w:spacing w:after="0" w:line="360" w:lineRule="auto"/>
        <w:rPr>
          <w:b/>
          <w:color w:val="000000"/>
        </w:rPr>
      </w:pPr>
    </w:p>
    <w:p w14:paraId="26719B26" w14:textId="77777777" w:rsidR="00E033C2" w:rsidRDefault="00F9656F">
      <w:pPr>
        <w:spacing w:after="0" w:line="360" w:lineRule="auto"/>
        <w:rPr>
          <w:color w:val="000000"/>
        </w:rPr>
      </w:pPr>
      <w:r>
        <w:rPr>
          <w:color w:val="000000"/>
        </w:rPr>
        <w:t>Por lo que, se considera que no procede la clasificación del nombre de los proveedores y personas que recibieron recursos públicos (becas, finiquitos, entre otros), en términos del artículo 143, fracción I de la Ley de Transparencia y Acceso a la Información Pública del Estado de México y Municipios.</w:t>
      </w:r>
    </w:p>
    <w:p w14:paraId="6F59C2AA" w14:textId="77777777" w:rsidR="00E033C2" w:rsidRDefault="00E033C2">
      <w:pPr>
        <w:spacing w:after="0" w:line="360" w:lineRule="auto"/>
        <w:ind w:right="-28"/>
        <w:rPr>
          <w:color w:val="000000"/>
        </w:rPr>
      </w:pPr>
    </w:p>
    <w:p w14:paraId="618DE6FF" w14:textId="77777777" w:rsidR="00E033C2" w:rsidRDefault="00F9656F">
      <w:pPr>
        <w:numPr>
          <w:ilvl w:val="0"/>
          <w:numId w:val="5"/>
        </w:numPr>
        <w:spacing w:after="0" w:line="360" w:lineRule="auto"/>
        <w:rPr>
          <w:b/>
          <w:color w:val="000000"/>
        </w:rPr>
      </w:pPr>
      <w:r>
        <w:rPr>
          <w:b/>
          <w:color w:val="000000"/>
        </w:rPr>
        <w:t>Nombre de menores de edad</w:t>
      </w:r>
    </w:p>
    <w:p w14:paraId="1BE3AC91" w14:textId="77777777" w:rsidR="00E033C2" w:rsidRDefault="00E033C2">
      <w:pPr>
        <w:spacing w:after="0" w:line="360" w:lineRule="auto"/>
        <w:ind w:left="720"/>
        <w:rPr>
          <w:b/>
          <w:color w:val="000000"/>
        </w:rPr>
      </w:pPr>
    </w:p>
    <w:p w14:paraId="085FE7AF" w14:textId="77777777" w:rsidR="00E033C2" w:rsidRDefault="00F9656F">
      <w:pPr>
        <w:spacing w:after="0" w:line="360" w:lineRule="auto"/>
        <w:rPr>
          <w:color w:val="000000"/>
        </w:rPr>
      </w:pPr>
      <w:r>
        <w:rPr>
          <w:color w:val="000000"/>
        </w:rPr>
        <w:lastRenderedPageBreak/>
        <w:t>En ese orden de ideas, es de hacer hincapié que, en el presente caso, se trata de menores de edad, por lo cual, resulta necesario traer a colación, el artículo 2°, párrafo segundo, de la Ley General de los Derechos de Niñas, Niños y Adolescentes, que precisa que el interés superior de la niñez deberá ser considerado primordial en la toma de decisiones sobre la cuestión debatida que involucre a menores de edad.</w:t>
      </w:r>
    </w:p>
    <w:p w14:paraId="6247D01B" w14:textId="77777777" w:rsidR="00E033C2" w:rsidRDefault="00F9656F">
      <w:pPr>
        <w:spacing w:after="0" w:line="360" w:lineRule="auto"/>
        <w:rPr>
          <w:color w:val="000000"/>
        </w:rPr>
      </w:pPr>
      <w:r>
        <w:rPr>
          <w:color w:val="000000"/>
        </w:rPr>
        <w:t> </w:t>
      </w:r>
    </w:p>
    <w:p w14:paraId="78078A1A" w14:textId="77777777" w:rsidR="00E033C2" w:rsidRDefault="00F9656F">
      <w:pPr>
        <w:spacing w:after="0" w:line="360" w:lineRule="auto"/>
        <w:rPr>
          <w:color w:val="000000"/>
        </w:rPr>
      </w:pPr>
      <w:r>
        <w:rPr>
          <w:color w:val="000000"/>
        </w:rPr>
        <w:t>En ese orden de ideas, la jurisprudencia con número 1a./J. 25/2012 (9a.), emitida por la Primera Sala de la Suprema Corte de Justicia de la Nación, publicada en la Gaceta del Semanario Judicial de la Federación y su Gaceta, Libro XV, Tomo 1, de diciembre de 2012, página 344, establece que el interés superior del menor, implica que el desarrollo de los niños y el ejercicio de sus derechos deber ser considerados como criterios rectores para la aplicación de las normas relaticos a la vida de estos.</w:t>
      </w:r>
    </w:p>
    <w:p w14:paraId="5449EFAB" w14:textId="77777777" w:rsidR="00E033C2" w:rsidRDefault="00F9656F">
      <w:pPr>
        <w:spacing w:after="0" w:line="360" w:lineRule="auto"/>
        <w:rPr>
          <w:color w:val="000000"/>
        </w:rPr>
      </w:pPr>
      <w:r>
        <w:rPr>
          <w:color w:val="000000"/>
        </w:rPr>
        <w:t> </w:t>
      </w:r>
    </w:p>
    <w:p w14:paraId="337C6670" w14:textId="77777777" w:rsidR="00E033C2" w:rsidRDefault="00F9656F">
      <w:pPr>
        <w:spacing w:after="0" w:line="360" w:lineRule="auto"/>
        <w:rPr>
          <w:color w:val="000000"/>
        </w:rPr>
      </w:pPr>
      <w:r>
        <w:rPr>
          <w:color w:val="000000"/>
        </w:rPr>
        <w:t>Así, el artículo 76, de la Ley General de los Derechos de Niñas, Niños y Adolescentes, establece que las niñas, niños y adolescentes tienen derecho a la intimidad personal y familiar; así como, a la protección de sus datos personales; además, que no podrán ser objeto de injerencias arbitrarias o ilegales, en su vida privada o bien, de divulgaciones o difusiones ilícitas de información o datos personales, incluyendo de aquella que tenga el carácter informativo a la opinión pública y que atenten contra su honra, imagen o reputación.</w:t>
      </w:r>
    </w:p>
    <w:p w14:paraId="46729F11" w14:textId="77777777" w:rsidR="00E033C2" w:rsidRDefault="00F9656F">
      <w:pPr>
        <w:spacing w:after="0" w:line="360" w:lineRule="auto"/>
        <w:rPr>
          <w:color w:val="000000"/>
        </w:rPr>
      </w:pPr>
      <w:r>
        <w:rPr>
          <w:color w:val="000000"/>
        </w:rPr>
        <w:t> </w:t>
      </w:r>
    </w:p>
    <w:p w14:paraId="364D3AD9" w14:textId="77777777" w:rsidR="00E033C2" w:rsidRDefault="00F9656F">
      <w:pPr>
        <w:spacing w:after="0" w:line="360" w:lineRule="auto"/>
        <w:rPr>
          <w:color w:val="000000"/>
        </w:rPr>
      </w:pPr>
      <w:r>
        <w:rPr>
          <w:color w:val="000000"/>
        </w:rPr>
        <w:t>Conforme a lo anterior, se puede colegir que en los casos en que se debe analizar los datos personales de menores de edad, prevalecerá el derecho a la protección de estos, pues se debe asegurar en todo momento el interés superior de los niños; por lo que, aquellos datos que los hagan identificables, tal como es el caso de su nombre, se deberá buscar su resguardo, a través de la clasificación de la información, para evitar vulneraciones en su privacidad.</w:t>
      </w:r>
    </w:p>
    <w:p w14:paraId="4BD77158" w14:textId="77777777" w:rsidR="00E033C2" w:rsidRDefault="00F9656F">
      <w:pPr>
        <w:spacing w:after="0" w:line="360" w:lineRule="auto"/>
        <w:rPr>
          <w:color w:val="000000"/>
        </w:rPr>
      </w:pPr>
      <w:r>
        <w:rPr>
          <w:color w:val="000000"/>
        </w:rPr>
        <w:t> </w:t>
      </w:r>
    </w:p>
    <w:p w14:paraId="232426FF" w14:textId="77777777" w:rsidR="00E033C2" w:rsidRDefault="00F9656F">
      <w:pPr>
        <w:spacing w:after="0" w:line="360" w:lineRule="auto"/>
        <w:rPr>
          <w:color w:val="000000"/>
        </w:rPr>
      </w:pPr>
      <w:r>
        <w:rPr>
          <w:color w:val="000000"/>
        </w:rPr>
        <w:lastRenderedPageBreak/>
        <w:t>En otro orden de ideas, si bien el nombre de los beneficiarios de un programa municipal, por regla general son públicos, lo cierto es que existe la excepción, concerniente a que se trate de menores de edad, pues conforme a la normatividad aplicable, se debe buscar siempre la protección de la información de estos, para salvaguardar el interés superior de los menores; situación que se robustece en el artículo 8° de la Ley de Protección de Datos Personales del Sujetos Obligados del Estado de México y Municipios, que precisa que no se publicarán datos personales de niños y adolescentes, a excepción del consentimiento de su representante; además, que en el tratamiento de estos, se privilegiará el interés superior de estos.</w:t>
      </w:r>
    </w:p>
    <w:p w14:paraId="3CF8B8F0" w14:textId="77777777" w:rsidR="00E033C2" w:rsidRDefault="00F9656F">
      <w:pPr>
        <w:spacing w:after="0" w:line="360" w:lineRule="auto"/>
        <w:rPr>
          <w:color w:val="000000"/>
        </w:rPr>
      </w:pPr>
      <w:r>
        <w:rPr>
          <w:color w:val="000000"/>
        </w:rPr>
        <w:t> </w:t>
      </w:r>
    </w:p>
    <w:p w14:paraId="2CDBA0C9" w14:textId="77777777" w:rsidR="00E033C2" w:rsidRDefault="00F9656F">
      <w:pPr>
        <w:spacing w:after="0" w:line="360" w:lineRule="auto"/>
        <w:rPr>
          <w:color w:val="000000"/>
        </w:rPr>
      </w:pPr>
      <w:r>
        <w:rPr>
          <w:color w:val="000000"/>
        </w:rPr>
        <w:t>Lo anterior, se robustece el Criterio reiterado 04/19 de este Instituto, publicado en el Periódico Oficial del Gobierno del Estado Libre y Soberano de México “Gaceta de Gobierno”, el dieciocho de diciembre de dos mil diecinueve, que establece que el nombre de las personas menores de edad, son datos confidenciales, pues su publicación revelaría las condiciones sociales, culturales y plena identidad; además, que corresponden a grupos vulnerables y sociales, en condiciones de desventaja, por lo cual, es necesario su protección.</w:t>
      </w:r>
    </w:p>
    <w:p w14:paraId="00B41172" w14:textId="77777777" w:rsidR="00E033C2" w:rsidRDefault="00F9656F">
      <w:pPr>
        <w:spacing w:after="0" w:line="360" w:lineRule="auto"/>
        <w:rPr>
          <w:color w:val="000000"/>
        </w:rPr>
      </w:pPr>
      <w:r>
        <w:rPr>
          <w:color w:val="000000"/>
        </w:rPr>
        <w:t> </w:t>
      </w:r>
    </w:p>
    <w:p w14:paraId="170DEE66" w14:textId="77777777" w:rsidR="00E033C2" w:rsidRDefault="00F9656F">
      <w:pPr>
        <w:spacing w:after="0" w:line="360" w:lineRule="auto"/>
        <w:rPr>
          <w:color w:val="000000"/>
        </w:rPr>
      </w:pPr>
      <w:r>
        <w:rPr>
          <w:color w:val="000000"/>
        </w:rPr>
        <w:t>Conforme a lo anterior, se advierte que el nombre de beneficiarios, menores de edad es un dato confidencial, en términos del artículo 143, fracción I de la Ley de Transparencia y Acceso a la Información Pública del estado de México y Municipios.</w:t>
      </w:r>
    </w:p>
    <w:p w14:paraId="0C7F8A70" w14:textId="77777777" w:rsidR="00E033C2" w:rsidRDefault="00E033C2">
      <w:pPr>
        <w:spacing w:after="0" w:line="360" w:lineRule="auto"/>
        <w:rPr>
          <w:color w:val="000000"/>
        </w:rPr>
      </w:pPr>
    </w:p>
    <w:p w14:paraId="13EE9F54" w14:textId="77777777" w:rsidR="00E033C2" w:rsidRDefault="00F9656F">
      <w:pPr>
        <w:spacing w:after="0" w:line="360" w:lineRule="auto"/>
        <w:ind w:left="720"/>
        <w:rPr>
          <w:rFonts w:ascii="Times New Roman" w:eastAsia="Times New Roman" w:hAnsi="Times New Roman" w:cs="Times New Roman"/>
          <w:color w:val="222222"/>
          <w:sz w:val="20"/>
          <w:szCs w:val="20"/>
        </w:rPr>
      </w:pPr>
      <w:r>
        <w:rPr>
          <w:b/>
          <w:color w:val="000000"/>
        </w:rPr>
        <w:t>Nombre de particulares que recibieron el pago de pensión alimenticia</w:t>
      </w:r>
    </w:p>
    <w:p w14:paraId="446310ED" w14:textId="77777777" w:rsidR="00E033C2" w:rsidRDefault="00F9656F">
      <w:pPr>
        <w:spacing w:after="0" w:line="360" w:lineRule="auto"/>
        <w:ind w:left="720"/>
        <w:rPr>
          <w:rFonts w:ascii="Times New Roman" w:eastAsia="Times New Roman" w:hAnsi="Times New Roman" w:cs="Times New Roman"/>
          <w:color w:val="222222"/>
          <w:sz w:val="20"/>
          <w:szCs w:val="20"/>
        </w:rPr>
      </w:pPr>
      <w:r>
        <w:rPr>
          <w:b/>
          <w:color w:val="000000"/>
        </w:rPr>
        <w:t> </w:t>
      </w:r>
    </w:p>
    <w:p w14:paraId="278D2728" w14:textId="77777777" w:rsidR="00E033C2" w:rsidRDefault="00F9656F">
      <w:pPr>
        <w:spacing w:after="0" w:line="360" w:lineRule="auto"/>
        <w:rPr>
          <w:rFonts w:ascii="Times New Roman" w:eastAsia="Times New Roman" w:hAnsi="Times New Roman" w:cs="Times New Roman"/>
          <w:color w:val="222222"/>
          <w:sz w:val="20"/>
          <w:szCs w:val="20"/>
        </w:rPr>
      </w:pPr>
      <w:r>
        <w:rPr>
          <w:color w:val="222222"/>
        </w:rPr>
        <w:t>Al respecto, se debe señalar que el dato en cuestión corresponde a la persona que recibe una retención realizada a un trabajador, correspondiente al pago de pensión alimenticia, es decir, es un monto pagado con recursos propios de los trabajadores, por lo que, se considera que el nombre es clasificado, como confidencial, pues únicamente atañe a la vida privada de las personas.</w:t>
      </w:r>
    </w:p>
    <w:p w14:paraId="6D23FD99" w14:textId="77777777" w:rsidR="00E033C2" w:rsidRDefault="00F9656F">
      <w:pPr>
        <w:spacing w:after="0" w:line="360" w:lineRule="auto"/>
        <w:rPr>
          <w:rFonts w:ascii="Times New Roman" w:eastAsia="Times New Roman" w:hAnsi="Times New Roman" w:cs="Times New Roman"/>
          <w:color w:val="222222"/>
          <w:sz w:val="20"/>
          <w:szCs w:val="20"/>
        </w:rPr>
      </w:pPr>
      <w:r>
        <w:rPr>
          <w:b/>
          <w:color w:val="222222"/>
        </w:rPr>
        <w:lastRenderedPageBreak/>
        <w:t> </w:t>
      </w:r>
    </w:p>
    <w:p w14:paraId="18C4CF25" w14:textId="77777777" w:rsidR="00E033C2" w:rsidRDefault="00F9656F">
      <w:pPr>
        <w:spacing w:after="0" w:line="360" w:lineRule="auto"/>
        <w:rPr>
          <w:rFonts w:ascii="Times New Roman" w:eastAsia="Times New Roman" w:hAnsi="Times New Roman" w:cs="Times New Roman"/>
          <w:color w:val="222222"/>
          <w:sz w:val="20"/>
          <w:szCs w:val="20"/>
        </w:rPr>
      </w:pPr>
      <w:r>
        <w:rPr>
          <w:color w:val="222222"/>
        </w:rPr>
        <w:t>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514B7BF5" w14:textId="77777777" w:rsidR="00E033C2" w:rsidRDefault="00F9656F">
      <w:pPr>
        <w:spacing w:after="0" w:line="360" w:lineRule="auto"/>
        <w:rPr>
          <w:rFonts w:ascii="Times New Roman" w:eastAsia="Times New Roman" w:hAnsi="Times New Roman" w:cs="Times New Roman"/>
          <w:color w:val="222222"/>
          <w:sz w:val="20"/>
          <w:szCs w:val="20"/>
        </w:rPr>
      </w:pPr>
      <w:r>
        <w:rPr>
          <w:color w:val="222222"/>
        </w:rPr>
        <w:t> </w:t>
      </w:r>
    </w:p>
    <w:p w14:paraId="57DF44B6" w14:textId="77777777" w:rsidR="00E033C2" w:rsidRDefault="00F9656F">
      <w:pPr>
        <w:spacing w:after="0" w:line="360" w:lineRule="auto"/>
        <w:ind w:left="567" w:right="567"/>
        <w:rPr>
          <w:rFonts w:ascii="Times New Roman" w:eastAsia="Times New Roman" w:hAnsi="Times New Roman" w:cs="Times New Roman"/>
          <w:color w:val="222222"/>
          <w:sz w:val="20"/>
          <w:szCs w:val="20"/>
        </w:rPr>
      </w:pPr>
      <w:r>
        <w:rPr>
          <w:i/>
          <w:color w:val="222222"/>
          <w:sz w:val="20"/>
          <w:szCs w:val="20"/>
        </w:rPr>
        <w:t>“</w:t>
      </w:r>
      <w:r>
        <w:rPr>
          <w:b/>
          <w:i/>
          <w:color w:val="222222"/>
          <w:sz w:val="20"/>
          <w:szCs w:val="20"/>
        </w:rPr>
        <w:t>DERECHO A LA VIDA PRIVADA. SU CONTENIDO GENERAL Y LA IMPORTANCIA DE NO DESCONTEXTUALIZAR LAS REFERENCIAS A LA MISMA. </w:t>
      </w:r>
      <w:r>
        <w:rPr>
          <w:i/>
          <w:color w:val="222222"/>
          <w:sz w:val="20"/>
          <w:szCs w:val="20"/>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w:t>
      </w:r>
      <w:r>
        <w:rPr>
          <w:i/>
          <w:color w:val="222222"/>
          <w:sz w:val="20"/>
          <w:szCs w:val="20"/>
        </w:rPr>
        <w:lastRenderedPageBreak/>
        <w:t>e inmutables. Lo único que estas resoluciones permiten reconstruir, en términos abstractos, es la imagen general que evoca la idea de privacidad en nuestro contexto cultural. </w:t>
      </w:r>
      <w:r>
        <w:rPr>
          <w:b/>
          <w:i/>
          <w:color w:val="222222"/>
          <w:sz w:val="20"/>
          <w:szCs w:val="20"/>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Pr>
          <w:i/>
          <w:color w:val="222222"/>
          <w:sz w:val="20"/>
          <w:szCs w:val="20"/>
        </w:rPr>
        <w:t>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Pr>
          <w:b/>
          <w:i/>
          <w:color w:val="222222"/>
          <w:sz w:val="20"/>
          <w:szCs w:val="20"/>
        </w:rPr>
        <w:t>En un sentido amplio, entonces, la protección constitucional de la vida privada implica poder conducir parte de la vida de uno protegido de la mirada y las injerencias de los demás</w:t>
      </w:r>
      <w:r>
        <w:rPr>
          <w:i/>
          <w:color w:val="222222"/>
          <w:sz w:val="20"/>
          <w:szCs w:val="20"/>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2B5BEABC" w14:textId="77777777" w:rsidR="00E033C2" w:rsidRDefault="00F9656F">
      <w:pPr>
        <w:spacing w:after="0" w:line="360" w:lineRule="auto"/>
        <w:rPr>
          <w:rFonts w:ascii="Times New Roman" w:eastAsia="Times New Roman" w:hAnsi="Times New Roman" w:cs="Times New Roman"/>
          <w:color w:val="222222"/>
          <w:sz w:val="20"/>
          <w:szCs w:val="20"/>
        </w:rPr>
      </w:pPr>
      <w:r>
        <w:rPr>
          <w:color w:val="222222"/>
        </w:rPr>
        <w:t> </w:t>
      </w:r>
    </w:p>
    <w:p w14:paraId="0049085D" w14:textId="77777777" w:rsidR="00E033C2" w:rsidRDefault="00F9656F">
      <w:pPr>
        <w:spacing w:after="0" w:line="360" w:lineRule="auto"/>
        <w:rPr>
          <w:rFonts w:ascii="Times New Roman" w:eastAsia="Times New Roman" w:hAnsi="Times New Roman" w:cs="Times New Roman"/>
          <w:color w:val="222222"/>
          <w:sz w:val="20"/>
          <w:szCs w:val="20"/>
        </w:rPr>
      </w:pPr>
      <w:r>
        <w:rPr>
          <w:color w:val="222222"/>
        </w:rPr>
        <w:t>De conformidad con lo señalado, se colige que </w:t>
      </w:r>
      <w:r>
        <w:rPr>
          <w:b/>
          <w:color w:val="222222"/>
        </w:rPr>
        <w:t>las actividades que realicen los particulares, dentro del ámbito privado, o dentro de la esfera particular, es información que debe protegerse, lo cual acontece en el presente caso, pues se trata del pago de pensión alimenticia, misma que únicamente le atañe al trabajador al cual se le hace la retención y las persona a la cual se le entrega la misma.</w:t>
      </w:r>
    </w:p>
    <w:p w14:paraId="0CD29801" w14:textId="77777777" w:rsidR="00E033C2" w:rsidRDefault="00F9656F">
      <w:pPr>
        <w:spacing w:after="0" w:line="360" w:lineRule="auto"/>
        <w:rPr>
          <w:rFonts w:ascii="Times New Roman" w:eastAsia="Times New Roman" w:hAnsi="Times New Roman" w:cs="Times New Roman"/>
          <w:color w:val="222222"/>
          <w:sz w:val="20"/>
          <w:szCs w:val="20"/>
        </w:rPr>
      </w:pPr>
      <w:r>
        <w:rPr>
          <w:color w:val="222222"/>
        </w:rPr>
        <w:t> </w:t>
      </w:r>
    </w:p>
    <w:p w14:paraId="061E0508" w14:textId="77777777" w:rsidR="00E033C2" w:rsidRDefault="00F9656F">
      <w:pPr>
        <w:spacing w:after="0" w:line="360" w:lineRule="auto"/>
        <w:rPr>
          <w:rFonts w:ascii="Times New Roman" w:eastAsia="Times New Roman" w:hAnsi="Times New Roman" w:cs="Times New Roman"/>
          <w:color w:val="222222"/>
          <w:sz w:val="20"/>
          <w:szCs w:val="20"/>
        </w:rPr>
      </w:pPr>
      <w:r>
        <w:rPr>
          <w:color w:val="222222"/>
        </w:rPr>
        <w:t xml:space="preserve">En consecuencia, se estima que resulta procedente la clasificación del nombre de particulares en actuación dentro de su ámbito privado, en términos del artículo 143, fracción </w:t>
      </w:r>
      <w:r>
        <w:rPr>
          <w:color w:val="222222"/>
        </w:rPr>
        <w:lastRenderedPageBreak/>
        <w:t>I de la Ley de Transparencia y Acceso a la Información Pública del Estado de México y Municipios.</w:t>
      </w:r>
    </w:p>
    <w:p w14:paraId="48B3BB45" w14:textId="77777777" w:rsidR="00E033C2" w:rsidRDefault="00E033C2">
      <w:pPr>
        <w:spacing w:after="0" w:line="360" w:lineRule="auto"/>
        <w:rPr>
          <w:color w:val="000000"/>
        </w:rPr>
      </w:pPr>
    </w:p>
    <w:p w14:paraId="32241991" w14:textId="77777777" w:rsidR="00E033C2" w:rsidRDefault="00F9656F">
      <w:pPr>
        <w:numPr>
          <w:ilvl w:val="0"/>
          <w:numId w:val="5"/>
        </w:numPr>
        <w:spacing w:after="0" w:line="360" w:lineRule="auto"/>
        <w:jc w:val="left"/>
        <w:rPr>
          <w:b/>
          <w:color w:val="000000"/>
        </w:rPr>
      </w:pPr>
      <w:r>
        <w:rPr>
          <w:b/>
          <w:color w:val="000000"/>
        </w:rPr>
        <w:t>Denominación o razón Social de personas morales.</w:t>
      </w:r>
    </w:p>
    <w:p w14:paraId="2DF597E8" w14:textId="77777777" w:rsidR="00E033C2" w:rsidRDefault="00E033C2">
      <w:pPr>
        <w:spacing w:after="0" w:line="360" w:lineRule="auto"/>
        <w:rPr>
          <w:b/>
          <w:color w:val="000000"/>
        </w:rPr>
      </w:pPr>
    </w:p>
    <w:p w14:paraId="41D17D04" w14:textId="77777777" w:rsidR="00E033C2" w:rsidRDefault="00F9656F">
      <w:pPr>
        <w:spacing w:after="0" w:line="360" w:lineRule="auto"/>
        <w:rPr>
          <w:color w:val="000000"/>
        </w:rPr>
      </w:pPr>
      <w:r>
        <w:rPr>
          <w:color w:val="000000"/>
        </w:rPr>
        <w:t xml:space="preserve">Al respecto, se considera que la denominación o razón social de una persona moral, es pública, pues dichos datos se encuentran inscritos en el Registro Público del Comercio; lo anterior, toma sustento en el Criterio Orientador, de la Segunda Época, con número de registro SO/008/2019, emitido por el entonces Instituto Nacional de Transparencia, Acceso a la Información y Protección de Datos Personales, el cual establece que la denominación o razón </w:t>
      </w:r>
      <w:proofErr w:type="spellStart"/>
      <w:r>
        <w:rPr>
          <w:color w:val="000000"/>
        </w:rPr>
        <w:t>socual</w:t>
      </w:r>
      <w:proofErr w:type="spellEnd"/>
      <w:r>
        <w:rPr>
          <w:color w:val="000000"/>
        </w:rPr>
        <w:t xml:space="preserve"> de las personas morales es pública, por encontrarse inscritas en el Registro Público del Comercio.</w:t>
      </w:r>
    </w:p>
    <w:p w14:paraId="1CB5E536" w14:textId="77777777" w:rsidR="00E033C2" w:rsidRDefault="00E033C2">
      <w:pPr>
        <w:spacing w:after="0" w:line="360" w:lineRule="auto"/>
        <w:rPr>
          <w:b/>
          <w:color w:val="000000"/>
        </w:rPr>
      </w:pPr>
    </w:p>
    <w:p w14:paraId="09270B88" w14:textId="77777777" w:rsidR="00E033C2" w:rsidRDefault="00F9656F">
      <w:pPr>
        <w:spacing w:after="0" w:line="360" w:lineRule="auto"/>
        <w:rPr>
          <w:color w:val="000000"/>
        </w:rPr>
      </w:pPr>
      <w:r>
        <w:rPr>
          <w:color w:val="000000"/>
        </w:rPr>
        <w:t>Lo anterior, se robustece con el hecho de que el Ente Recurrido tiene como obligación común de transparencia, poner a disposición del público el nombre de las personas que reciben recursos públicos, de parte del Sujeto Obligado.</w:t>
      </w:r>
    </w:p>
    <w:p w14:paraId="39F21BC0" w14:textId="77777777" w:rsidR="00E033C2" w:rsidRDefault="00E033C2">
      <w:pPr>
        <w:spacing w:after="0" w:line="360" w:lineRule="auto"/>
        <w:rPr>
          <w:color w:val="000000"/>
        </w:rPr>
      </w:pPr>
    </w:p>
    <w:p w14:paraId="181F6932" w14:textId="77777777" w:rsidR="00E033C2" w:rsidRDefault="00F9656F">
      <w:pPr>
        <w:spacing w:after="0" w:line="360" w:lineRule="auto"/>
        <w:rPr>
          <w:color w:val="000000"/>
        </w:rPr>
      </w:pPr>
      <w:r>
        <w:rPr>
          <w:color w:val="000000"/>
        </w:rPr>
        <w:t>Por lo tanto, no procede la clasificación de la denominación o razón social de personas morales, en términos del artículo 143, fracción I, de la Ley de Transparencia y Acceso a la Información Pública del Estado de México y Municipios.</w:t>
      </w:r>
    </w:p>
    <w:p w14:paraId="081371D8" w14:textId="77777777" w:rsidR="00E033C2" w:rsidRDefault="00E033C2">
      <w:pPr>
        <w:spacing w:after="0" w:line="360" w:lineRule="auto"/>
        <w:ind w:right="-28"/>
        <w:rPr>
          <w:color w:val="000000"/>
        </w:rPr>
      </w:pPr>
    </w:p>
    <w:p w14:paraId="6D03144D" w14:textId="77777777" w:rsidR="00E033C2" w:rsidRDefault="00F9656F">
      <w:pPr>
        <w:numPr>
          <w:ilvl w:val="0"/>
          <w:numId w:val="7"/>
        </w:numPr>
        <w:spacing w:after="0" w:line="360" w:lineRule="auto"/>
        <w:jc w:val="left"/>
        <w:rPr>
          <w:b/>
          <w:color w:val="000000"/>
        </w:rPr>
      </w:pPr>
      <w:r>
        <w:rPr>
          <w:b/>
          <w:color w:val="000000"/>
        </w:rPr>
        <w:t xml:space="preserve">Registro Federal de Contribuyentes </w:t>
      </w:r>
    </w:p>
    <w:p w14:paraId="2A2ECDF4" w14:textId="77777777" w:rsidR="00E033C2" w:rsidRDefault="00E033C2">
      <w:pPr>
        <w:widowControl w:val="0"/>
        <w:tabs>
          <w:tab w:val="center" w:pos="4522"/>
        </w:tabs>
        <w:spacing w:after="0" w:line="360" w:lineRule="auto"/>
        <w:rPr>
          <w:b/>
          <w:color w:val="000000"/>
        </w:rPr>
      </w:pPr>
    </w:p>
    <w:p w14:paraId="609FC668" w14:textId="77777777" w:rsidR="00E033C2" w:rsidRDefault="00F9656F">
      <w:pPr>
        <w:spacing w:after="0" w:line="360" w:lineRule="auto"/>
        <w:rPr>
          <w:b/>
          <w:color w:val="000000"/>
        </w:rPr>
      </w:pPr>
      <w:r>
        <w:rPr>
          <w:b/>
          <w:color w:val="000000"/>
        </w:rPr>
        <w:t>Persona física (</w:t>
      </w:r>
      <w:r>
        <w:rPr>
          <w:color w:val="000000"/>
        </w:rPr>
        <w:t>particular</w:t>
      </w:r>
      <w:r>
        <w:rPr>
          <w:b/>
          <w:color w:val="000000"/>
        </w:rPr>
        <w:t>)</w:t>
      </w:r>
    </w:p>
    <w:p w14:paraId="6C8B6988" w14:textId="77777777" w:rsidR="00E033C2" w:rsidRDefault="00E033C2">
      <w:pPr>
        <w:spacing w:after="0" w:line="360" w:lineRule="auto"/>
        <w:rPr>
          <w:color w:val="000000"/>
        </w:rPr>
      </w:pPr>
    </w:p>
    <w:p w14:paraId="3B5C79DF" w14:textId="77777777" w:rsidR="00E033C2" w:rsidRDefault="00F9656F">
      <w:pPr>
        <w:spacing w:after="0" w:line="360" w:lineRule="auto"/>
        <w:rPr>
          <w:color w:val="000000"/>
        </w:rPr>
      </w:pPr>
      <w:r>
        <w:rPr>
          <w:color w:val="000000"/>
        </w:rPr>
        <w:t xml:space="preserve">Al respecto, cabe precisar que las personas físicas que deban presentar declaraciones periódicas o que están obligadas a expedir comprobantes fiscales, tienen que solicitar su </w:t>
      </w:r>
      <w:r>
        <w:rPr>
          <w:color w:val="000000"/>
        </w:rPr>
        <w:lastRenderedPageBreak/>
        <w:t>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5BC3667" w14:textId="77777777" w:rsidR="00E033C2" w:rsidRDefault="00E033C2">
      <w:pPr>
        <w:spacing w:after="0" w:line="360" w:lineRule="auto"/>
        <w:rPr>
          <w:color w:val="000000"/>
        </w:rPr>
      </w:pPr>
    </w:p>
    <w:p w14:paraId="007FF7D2" w14:textId="77777777" w:rsidR="00E033C2" w:rsidRDefault="00F9656F">
      <w:pPr>
        <w:widowControl w:val="0"/>
        <w:spacing w:after="0" w:line="360" w:lineRule="auto"/>
        <w:rPr>
          <w:color w:val="000000"/>
        </w:rPr>
      </w:pPr>
      <w:r>
        <w:rPr>
          <w:color w:val="000000"/>
        </w:rPr>
        <w:t xml:space="preserve">De acuerdo a lo establecido en el artículo en comento, esta clave se compone de trece caracteres alfanuméricos, con datos obtenidos de los apellidos, nombre(s), fecha de nacimiento del titular, más una </w:t>
      </w:r>
      <w:proofErr w:type="spellStart"/>
      <w:r>
        <w:rPr>
          <w:color w:val="000000"/>
        </w:rPr>
        <w:t>homoclave</w:t>
      </w:r>
      <w:proofErr w:type="spellEnd"/>
      <w:r>
        <w:rPr>
          <w:color w:val="000000"/>
        </w:rPr>
        <w:t xml:space="preserve"> que establece el sistema automático del Servicio de Administración Tributaria.</w:t>
      </w:r>
    </w:p>
    <w:p w14:paraId="4852E411" w14:textId="77777777" w:rsidR="00E033C2" w:rsidRDefault="00E033C2">
      <w:pPr>
        <w:spacing w:after="0" w:line="360" w:lineRule="auto"/>
        <w:rPr>
          <w:color w:val="000000"/>
        </w:rPr>
      </w:pPr>
    </w:p>
    <w:p w14:paraId="2F044389" w14:textId="77777777" w:rsidR="00E033C2" w:rsidRDefault="00F9656F">
      <w:pPr>
        <w:spacing w:after="0" w:line="360" w:lineRule="auto"/>
        <w:rPr>
          <w:color w:val="000000"/>
        </w:rPr>
      </w:pPr>
      <w:r>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19F982A" w14:textId="77777777" w:rsidR="00E033C2" w:rsidRDefault="00E033C2">
      <w:pPr>
        <w:spacing w:after="0" w:line="360" w:lineRule="auto"/>
        <w:rPr>
          <w:color w:val="000000"/>
        </w:rPr>
      </w:pPr>
    </w:p>
    <w:p w14:paraId="729D6257" w14:textId="77777777" w:rsidR="00E033C2" w:rsidRDefault="00F9656F">
      <w:pPr>
        <w:spacing w:after="0" w:line="360" w:lineRule="auto"/>
        <w:rPr>
          <w:color w:val="000000"/>
        </w:rPr>
      </w:pPr>
      <w:r>
        <w:rPr>
          <w:color w:val="000000"/>
        </w:rPr>
        <w:t>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w:t>
      </w:r>
    </w:p>
    <w:p w14:paraId="1AD290B4" w14:textId="77777777" w:rsidR="00E033C2" w:rsidRDefault="00E033C2">
      <w:pPr>
        <w:spacing w:after="0" w:line="360" w:lineRule="auto"/>
        <w:rPr>
          <w:color w:val="000000"/>
        </w:rPr>
      </w:pPr>
    </w:p>
    <w:p w14:paraId="1B060EDA" w14:textId="77777777" w:rsidR="00E033C2" w:rsidRDefault="00F9656F">
      <w:pPr>
        <w:spacing w:after="0" w:line="360" w:lineRule="auto"/>
        <w:rPr>
          <w:color w:val="000000"/>
        </w:rPr>
      </w:pPr>
      <w:r>
        <w:rPr>
          <w:color w:val="000000"/>
        </w:rPr>
        <w:t>Lo anterior, resulta congruente con el Criterio Orientador, con clave de control SO/019/2017 emitido por el entonces Instituto Nacional de Transparencia, Acceso a la Información y Protección de Datos Personales, en el cual se señala lo siguiente:</w:t>
      </w:r>
    </w:p>
    <w:p w14:paraId="52748348" w14:textId="77777777" w:rsidR="00E033C2" w:rsidRDefault="00E033C2">
      <w:pPr>
        <w:spacing w:after="0" w:line="360" w:lineRule="auto"/>
        <w:rPr>
          <w:color w:val="000000"/>
        </w:rPr>
      </w:pPr>
    </w:p>
    <w:p w14:paraId="5ADD42F0" w14:textId="77777777" w:rsidR="00E033C2" w:rsidRDefault="00F9656F">
      <w:pPr>
        <w:spacing w:after="0" w:line="360" w:lineRule="auto"/>
        <w:ind w:left="567" w:right="567"/>
        <w:rPr>
          <w:i/>
          <w:color w:val="000000"/>
          <w:sz w:val="20"/>
          <w:szCs w:val="20"/>
        </w:rPr>
      </w:pPr>
      <w:r>
        <w:rPr>
          <w:b/>
          <w:i/>
          <w:color w:val="000000"/>
          <w:sz w:val="20"/>
          <w:szCs w:val="20"/>
        </w:rPr>
        <w:lastRenderedPageBreak/>
        <w:t>“Registro Federal de Contribuyentes (RFC) de personas físicas.</w:t>
      </w:r>
      <w:r>
        <w:rPr>
          <w:i/>
          <w:color w:val="000000"/>
          <w:sz w:val="20"/>
          <w:szCs w:val="20"/>
        </w:rPr>
        <w:t xml:space="preserve"> El RFC es una clave de carácter fiscal, única e irrepetible, que permite identificar al titular, su edad y fecha de nacimiento, por lo que es un dato personal de carácter confidencial.”</w:t>
      </w:r>
    </w:p>
    <w:p w14:paraId="755DCC99" w14:textId="77777777" w:rsidR="00E033C2" w:rsidRDefault="00E033C2">
      <w:pPr>
        <w:spacing w:after="0" w:line="360" w:lineRule="auto"/>
        <w:ind w:left="567" w:right="567"/>
        <w:rPr>
          <w:color w:val="000000"/>
        </w:rPr>
      </w:pPr>
    </w:p>
    <w:p w14:paraId="2A7EFA80" w14:textId="77777777" w:rsidR="00E033C2" w:rsidRDefault="00F9656F">
      <w:pPr>
        <w:widowControl w:val="0"/>
        <w:spacing w:after="0" w:line="360" w:lineRule="auto"/>
        <w:rPr>
          <w:color w:val="000000"/>
        </w:rPr>
      </w:pPr>
      <w:r>
        <w:rPr>
          <w:color w:val="000000"/>
        </w:rPr>
        <w:t>De tal suerte, el Registro Federal de Contribuyentes de los particulares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645CD026" w14:textId="77777777" w:rsidR="00E033C2" w:rsidRDefault="00E033C2">
      <w:pPr>
        <w:widowControl w:val="0"/>
        <w:tabs>
          <w:tab w:val="center" w:pos="4522"/>
        </w:tabs>
        <w:spacing w:after="0" w:line="360" w:lineRule="auto"/>
        <w:rPr>
          <w:b/>
          <w:color w:val="000000"/>
        </w:rPr>
      </w:pPr>
    </w:p>
    <w:p w14:paraId="57AA1EDD" w14:textId="77777777" w:rsidR="00E033C2" w:rsidRDefault="00F9656F">
      <w:pPr>
        <w:widowControl w:val="0"/>
        <w:tabs>
          <w:tab w:val="center" w:pos="4522"/>
        </w:tabs>
        <w:spacing w:after="0" w:line="360" w:lineRule="auto"/>
        <w:rPr>
          <w:b/>
          <w:color w:val="000000"/>
        </w:rPr>
      </w:pPr>
      <w:r>
        <w:rPr>
          <w:b/>
          <w:color w:val="000000"/>
        </w:rPr>
        <w:t>Persona física (proveedor o contratista)</w:t>
      </w:r>
    </w:p>
    <w:p w14:paraId="346EF50E" w14:textId="77777777" w:rsidR="00E033C2" w:rsidRDefault="00E033C2">
      <w:pPr>
        <w:widowControl w:val="0"/>
        <w:tabs>
          <w:tab w:val="center" w:pos="4522"/>
        </w:tabs>
        <w:spacing w:after="0" w:line="360" w:lineRule="auto"/>
        <w:rPr>
          <w:b/>
          <w:color w:val="000000"/>
        </w:rPr>
      </w:pPr>
    </w:p>
    <w:p w14:paraId="1FBBDBBA" w14:textId="77777777" w:rsidR="00E033C2" w:rsidRDefault="00F9656F">
      <w:pPr>
        <w:widowControl w:val="0"/>
        <w:tabs>
          <w:tab w:val="center" w:pos="4522"/>
        </w:tabs>
        <w:spacing w:after="0" w:line="360" w:lineRule="auto"/>
        <w:rPr>
          <w:color w:val="000000"/>
        </w:rPr>
      </w:pPr>
      <w:r>
        <w:rPr>
          <w:color w:val="000000"/>
        </w:rPr>
        <w:t xml:space="preserve">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w:t>
      </w:r>
      <w:r>
        <w:rPr>
          <w:b/>
          <w:color w:val="000000"/>
        </w:rPr>
        <w:t>la cédula de identificación fiscal (Registro Federal de Contribuyentes);</w:t>
      </w:r>
      <w:r>
        <w:rPr>
          <w:color w:val="000000"/>
        </w:rPr>
        <w:t xml:space="preserve"> por lo que la entrega de dicho dato permite verificar cumplimiento de esta disposición legal.</w:t>
      </w:r>
    </w:p>
    <w:p w14:paraId="04E9268C" w14:textId="77777777" w:rsidR="00E033C2" w:rsidRDefault="00E033C2">
      <w:pPr>
        <w:widowControl w:val="0"/>
        <w:tabs>
          <w:tab w:val="center" w:pos="4522"/>
        </w:tabs>
        <w:spacing w:after="0" w:line="360" w:lineRule="auto"/>
        <w:rPr>
          <w:color w:val="000000"/>
        </w:rPr>
      </w:pPr>
    </w:p>
    <w:p w14:paraId="7F787045" w14:textId="77777777" w:rsidR="00E033C2" w:rsidRDefault="00F9656F">
      <w:pPr>
        <w:widowControl w:val="0"/>
        <w:tabs>
          <w:tab w:val="center" w:pos="4522"/>
        </w:tabs>
        <w:spacing w:after="0" w:line="360" w:lineRule="auto"/>
        <w:rPr>
          <w:b/>
          <w:color w:val="000000"/>
        </w:rPr>
      </w:pPr>
      <w:r>
        <w:rPr>
          <w:color w:val="000000"/>
        </w:rPr>
        <w:t xml:space="preserve">Por lo tanto, </w:t>
      </w:r>
      <w:r>
        <w:rPr>
          <w:b/>
          <w:color w:val="000000"/>
        </w:rPr>
        <w:t>en el presente caso, si bien el Registro Federal de Contribuyentes de personas físicas es un dato personal, también lo es, que corresponde a un requisito indispensable para ser proveedor y poder llevar a cabo actividades comerciales con la Entidad</w:t>
      </w:r>
      <w:r>
        <w:rPr>
          <w:color w:val="000000"/>
        </w:rPr>
        <w:t xml:space="preserve">, ya que, sin este, no se pueden realizar dichas acciones, </w:t>
      </w:r>
      <w:r>
        <w:rPr>
          <w:b/>
          <w:color w:val="000000"/>
        </w:rPr>
        <w:t>por lo que su entrega es un elemento adicional que respalda la legalidad de los procesos adquisitivos.</w:t>
      </w:r>
    </w:p>
    <w:p w14:paraId="4A77F5BC" w14:textId="77777777" w:rsidR="00E033C2" w:rsidRDefault="00E033C2">
      <w:pPr>
        <w:widowControl w:val="0"/>
        <w:tabs>
          <w:tab w:val="center" w:pos="4522"/>
        </w:tabs>
        <w:spacing w:after="0" w:line="360" w:lineRule="auto"/>
        <w:rPr>
          <w:b/>
          <w:color w:val="000000"/>
        </w:rPr>
      </w:pPr>
    </w:p>
    <w:p w14:paraId="771B1213" w14:textId="77777777" w:rsidR="00E033C2" w:rsidRDefault="00F9656F">
      <w:pPr>
        <w:widowControl w:val="0"/>
        <w:tabs>
          <w:tab w:val="center" w:pos="4522"/>
        </w:tabs>
        <w:spacing w:after="0" w:line="360" w:lineRule="auto"/>
        <w:rPr>
          <w:color w:val="000000"/>
        </w:rPr>
      </w:pPr>
      <w:r>
        <w:rPr>
          <w:color w:val="000000"/>
        </w:rPr>
        <w:lastRenderedPageBreak/>
        <w:t xml:space="preserve">En ese contexto, entregar el Registro Federal de Contribuyentes aún de personas físicas cuando son proveedores de instituciones públicas, </w:t>
      </w:r>
      <w:r>
        <w:rPr>
          <w:b/>
          <w:color w:val="000000"/>
        </w:rPr>
        <w:t>propiciaría la rendición de cuentas</w:t>
      </w:r>
      <w:r>
        <w:rPr>
          <w:color w:val="000000"/>
        </w:rPr>
        <w:t>,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14:paraId="64914881" w14:textId="77777777" w:rsidR="00E033C2" w:rsidRDefault="00E033C2">
      <w:pPr>
        <w:widowControl w:val="0"/>
        <w:tabs>
          <w:tab w:val="center" w:pos="4522"/>
        </w:tabs>
        <w:spacing w:after="0" w:line="360" w:lineRule="auto"/>
        <w:rPr>
          <w:color w:val="000000"/>
        </w:rPr>
      </w:pPr>
    </w:p>
    <w:p w14:paraId="34976264" w14:textId="77777777" w:rsidR="00E033C2" w:rsidRDefault="00F9656F">
      <w:pPr>
        <w:widowControl w:val="0"/>
        <w:tabs>
          <w:tab w:val="center" w:pos="4522"/>
        </w:tabs>
        <w:spacing w:after="0" w:line="360" w:lineRule="auto"/>
        <w:rPr>
          <w:color w:val="000000"/>
        </w:rPr>
      </w:pPr>
      <w:r>
        <w:rPr>
          <w:color w:val="000000"/>
        </w:rPr>
        <w:t>Lo anterior, se robustece con el Criterio Orientador, de la Segunda Época, con número de registro SO/004/2021, emitido por el Instituto Nacional de Transparencia, Acceso a la Información y Protección de Datos Personales, en el cual se señala lo siguiente:</w:t>
      </w:r>
    </w:p>
    <w:p w14:paraId="2EA674E4" w14:textId="77777777" w:rsidR="00E033C2" w:rsidRDefault="00E033C2">
      <w:pPr>
        <w:widowControl w:val="0"/>
        <w:tabs>
          <w:tab w:val="center" w:pos="4522"/>
        </w:tabs>
        <w:spacing w:after="0" w:line="360" w:lineRule="auto"/>
        <w:rPr>
          <w:color w:val="000000"/>
        </w:rPr>
      </w:pPr>
    </w:p>
    <w:p w14:paraId="42DF0B25" w14:textId="77777777" w:rsidR="00E033C2" w:rsidRDefault="00F9656F">
      <w:pPr>
        <w:tabs>
          <w:tab w:val="center" w:pos="4522"/>
        </w:tabs>
        <w:spacing w:after="0" w:line="360" w:lineRule="auto"/>
        <w:ind w:left="567" w:right="567"/>
        <w:rPr>
          <w:i/>
          <w:color w:val="000000"/>
          <w:sz w:val="20"/>
          <w:szCs w:val="20"/>
        </w:rPr>
      </w:pPr>
      <w:r>
        <w:rPr>
          <w:b/>
          <w:i/>
          <w:color w:val="000000"/>
          <w:sz w:val="20"/>
          <w:szCs w:val="20"/>
        </w:rPr>
        <w:t xml:space="preserve">“Registro Federal de Contribuyentes (RFC) de personas físicas proveedores o contratistas. </w:t>
      </w:r>
      <w:r>
        <w:rPr>
          <w:i/>
          <w:color w:val="000000"/>
          <w:sz w:val="20"/>
          <w:szCs w:val="20"/>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01BB6CC0" w14:textId="77777777" w:rsidR="00E033C2" w:rsidRDefault="00E033C2">
      <w:pPr>
        <w:widowControl w:val="0"/>
        <w:tabs>
          <w:tab w:val="center" w:pos="4522"/>
        </w:tabs>
        <w:spacing w:after="0" w:line="360" w:lineRule="auto"/>
        <w:rPr>
          <w:color w:val="000000"/>
        </w:rPr>
      </w:pPr>
    </w:p>
    <w:p w14:paraId="0E47C138" w14:textId="77777777" w:rsidR="00E033C2" w:rsidRDefault="00F9656F">
      <w:pPr>
        <w:widowControl w:val="0"/>
        <w:tabs>
          <w:tab w:val="center" w:pos="4522"/>
        </w:tabs>
        <w:spacing w:after="0" w:line="360" w:lineRule="auto"/>
        <w:rPr>
          <w:b/>
          <w:color w:val="000000"/>
          <w:u w:val="single"/>
        </w:rPr>
      </w:pPr>
      <w:r>
        <w:rPr>
          <w:color w:val="000000"/>
        </w:rPr>
        <w:t>En conclusión, toda vez, que el Registro Federal de Contribuyentes de proveedores,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14:paraId="71CC2F0D" w14:textId="77777777" w:rsidR="00E033C2" w:rsidRDefault="00E033C2">
      <w:pPr>
        <w:widowControl w:val="0"/>
        <w:tabs>
          <w:tab w:val="center" w:pos="4522"/>
        </w:tabs>
        <w:spacing w:after="0" w:line="360" w:lineRule="auto"/>
        <w:rPr>
          <w:b/>
          <w:color w:val="000000"/>
        </w:rPr>
      </w:pPr>
    </w:p>
    <w:p w14:paraId="4135EEEC" w14:textId="77777777" w:rsidR="00E033C2" w:rsidRDefault="00F9656F">
      <w:pPr>
        <w:widowControl w:val="0"/>
        <w:tabs>
          <w:tab w:val="center" w:pos="4522"/>
        </w:tabs>
        <w:spacing w:after="0" w:line="360" w:lineRule="auto"/>
        <w:rPr>
          <w:b/>
          <w:color w:val="000000"/>
        </w:rPr>
      </w:pPr>
      <w:r>
        <w:rPr>
          <w:b/>
          <w:color w:val="000000"/>
        </w:rPr>
        <w:t>Persona Moral</w:t>
      </w:r>
    </w:p>
    <w:p w14:paraId="4D1BAE79" w14:textId="77777777" w:rsidR="00E033C2" w:rsidRDefault="00E033C2">
      <w:pPr>
        <w:widowControl w:val="0"/>
        <w:tabs>
          <w:tab w:val="center" w:pos="4522"/>
        </w:tabs>
        <w:spacing w:after="0" w:line="360" w:lineRule="auto"/>
        <w:rPr>
          <w:color w:val="000000"/>
        </w:rPr>
      </w:pPr>
    </w:p>
    <w:p w14:paraId="3A013086" w14:textId="77777777" w:rsidR="00E033C2" w:rsidRDefault="00F9656F">
      <w:pPr>
        <w:widowControl w:val="0"/>
        <w:tabs>
          <w:tab w:val="center" w:pos="4522"/>
        </w:tabs>
        <w:spacing w:after="0" w:line="360" w:lineRule="auto"/>
        <w:rPr>
          <w:color w:val="000000"/>
        </w:rPr>
      </w:pPr>
      <w:r>
        <w:rPr>
          <w:color w:val="000000"/>
        </w:rPr>
        <w:t xml:space="preserve">Al respecto, el Registro Federal de Contribuyentes, inicia con un preinscripción por Internet y se concluye en cualquier Administración Desconcentrada de Servicios al Contribuyente, en </w:t>
      </w:r>
      <w:r>
        <w:rPr>
          <w:color w:val="000000"/>
        </w:rPr>
        <w:lastRenderedPageBreak/>
        <w:t>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14:paraId="5AAF52FA" w14:textId="77777777" w:rsidR="00E033C2" w:rsidRDefault="00E033C2">
      <w:pPr>
        <w:widowControl w:val="0"/>
        <w:tabs>
          <w:tab w:val="center" w:pos="4522"/>
        </w:tabs>
        <w:spacing w:after="0" w:line="360" w:lineRule="auto"/>
        <w:rPr>
          <w:color w:val="000000"/>
        </w:rPr>
      </w:pPr>
    </w:p>
    <w:p w14:paraId="130F39E8" w14:textId="77777777" w:rsidR="00E033C2" w:rsidRDefault="00F9656F">
      <w:pPr>
        <w:widowControl w:val="0"/>
        <w:tabs>
          <w:tab w:val="center" w:pos="4522"/>
        </w:tabs>
        <w:spacing w:after="0" w:line="360" w:lineRule="auto"/>
        <w:rPr>
          <w:color w:val="000000"/>
        </w:rPr>
      </w:pPr>
      <w:r>
        <w:rPr>
          <w:color w:val="000000"/>
        </w:rPr>
        <w:t>Por ende, la información correspondiente al Registro Federal de Contribuyentes de una persona moral da cuenta del cumplimiento o no en sus obligaciones fiscales; por tanto, no se actualiza su clasificación como confidencial.</w:t>
      </w:r>
    </w:p>
    <w:p w14:paraId="4A2D4123" w14:textId="77777777" w:rsidR="00E033C2" w:rsidRDefault="00E033C2">
      <w:pPr>
        <w:widowControl w:val="0"/>
        <w:tabs>
          <w:tab w:val="center" w:pos="4522"/>
        </w:tabs>
        <w:spacing w:after="0" w:line="360" w:lineRule="auto"/>
        <w:rPr>
          <w:color w:val="000000"/>
        </w:rPr>
      </w:pPr>
    </w:p>
    <w:p w14:paraId="4528BCF9" w14:textId="77777777" w:rsidR="00E033C2" w:rsidRDefault="00F9656F">
      <w:pPr>
        <w:widowControl w:val="0"/>
        <w:tabs>
          <w:tab w:val="center" w:pos="4522"/>
        </w:tabs>
        <w:spacing w:after="0" w:line="360" w:lineRule="auto"/>
        <w:rPr>
          <w:color w:val="000000"/>
        </w:rPr>
      </w:pPr>
      <w:r>
        <w:rPr>
          <w:color w:val="000000"/>
        </w:rPr>
        <w:t>Además, resulta aplicable por analogía el Criterio Orientador, de la Segunda Época, con número de registro SO/008/2019, emitido por el Instituto Nacional de Transparencia, Acceso a la Información y Protección de Datos Personales, que precisa que el Registro Federal de Contribuyentes de personas morales, es público, al no referir a hechos o actos de carácter económico, contable, jurídico o administrativo que sean útiles o representen una ventaja a sus competidores.</w:t>
      </w:r>
    </w:p>
    <w:p w14:paraId="46E66D74" w14:textId="77777777" w:rsidR="00E033C2" w:rsidRDefault="00E033C2">
      <w:pPr>
        <w:widowControl w:val="0"/>
        <w:tabs>
          <w:tab w:val="center" w:pos="4522"/>
        </w:tabs>
        <w:spacing w:after="0" w:line="360" w:lineRule="auto"/>
        <w:rPr>
          <w:color w:val="000000"/>
        </w:rPr>
      </w:pPr>
    </w:p>
    <w:p w14:paraId="1101E28B" w14:textId="77777777" w:rsidR="00E033C2" w:rsidRDefault="00F9656F">
      <w:pPr>
        <w:widowControl w:val="0"/>
        <w:tabs>
          <w:tab w:val="center" w:pos="4522"/>
        </w:tabs>
        <w:spacing w:after="0" w:line="360" w:lineRule="auto"/>
        <w:rPr>
          <w:color w:val="000000"/>
        </w:rPr>
      </w:pPr>
      <w:r>
        <w:rPr>
          <w:color w:val="000000"/>
        </w:rPr>
        <w:t>De tales circunstancias, el Registro Federal de Contribuyentes de personas morales, no actualizan la causal de clasificación, prevista en el artículo 143, fracción I de la Ley de Transparencia y Acceso a la Información Pública del Estado de México y Municipios, al ser de naturaleza pública.</w:t>
      </w:r>
    </w:p>
    <w:p w14:paraId="105CBB73" w14:textId="77777777" w:rsidR="00E033C2" w:rsidRDefault="00E033C2">
      <w:pPr>
        <w:spacing w:after="0" w:line="360" w:lineRule="auto"/>
        <w:rPr>
          <w:color w:val="000000"/>
        </w:rPr>
      </w:pPr>
    </w:p>
    <w:p w14:paraId="508FF328" w14:textId="77777777" w:rsidR="00E033C2" w:rsidRDefault="00F9656F">
      <w:pPr>
        <w:widowControl w:val="0"/>
        <w:numPr>
          <w:ilvl w:val="0"/>
          <w:numId w:val="8"/>
        </w:numPr>
        <w:tabs>
          <w:tab w:val="center" w:pos="4522"/>
        </w:tabs>
        <w:spacing w:after="0" w:line="360" w:lineRule="auto"/>
        <w:rPr>
          <w:b/>
          <w:color w:val="000000"/>
        </w:rPr>
      </w:pPr>
      <w:r>
        <w:rPr>
          <w:b/>
          <w:color w:val="000000"/>
        </w:rPr>
        <w:t>Cuenta bancaria y clave interbancaria de personas físicas o morales (particulares, proveedores, contratistas, entre otros)</w:t>
      </w:r>
    </w:p>
    <w:p w14:paraId="3D703134" w14:textId="77777777" w:rsidR="00E033C2" w:rsidRDefault="00E033C2">
      <w:pPr>
        <w:widowControl w:val="0"/>
        <w:tabs>
          <w:tab w:val="center" w:pos="4522"/>
        </w:tabs>
        <w:spacing w:after="0" w:line="360" w:lineRule="auto"/>
        <w:rPr>
          <w:color w:val="000000"/>
        </w:rPr>
      </w:pPr>
    </w:p>
    <w:p w14:paraId="141C7268" w14:textId="77777777" w:rsidR="00E033C2" w:rsidRDefault="00F9656F">
      <w:pPr>
        <w:widowControl w:val="0"/>
        <w:tabs>
          <w:tab w:val="center" w:pos="4522"/>
        </w:tabs>
        <w:spacing w:after="0" w:line="360" w:lineRule="auto"/>
        <w:rPr>
          <w:color w:val="000000"/>
        </w:rPr>
      </w:pPr>
      <w:r>
        <w:rPr>
          <w:color w:val="000000"/>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225DC372" w14:textId="77777777" w:rsidR="00E033C2" w:rsidRDefault="00F9656F">
      <w:pPr>
        <w:widowControl w:val="0"/>
        <w:tabs>
          <w:tab w:val="center" w:pos="4522"/>
        </w:tabs>
        <w:spacing w:after="0" w:line="360" w:lineRule="auto"/>
        <w:rPr>
          <w:color w:val="000000"/>
        </w:rPr>
      </w:pPr>
      <w:r>
        <w:rPr>
          <w:color w:val="000000"/>
        </w:rPr>
        <w:t> </w:t>
      </w:r>
    </w:p>
    <w:p w14:paraId="021FA0B8" w14:textId="77777777" w:rsidR="00E033C2" w:rsidRDefault="00F9656F">
      <w:pPr>
        <w:tabs>
          <w:tab w:val="center" w:pos="4522"/>
        </w:tabs>
        <w:spacing w:after="0" w:line="360" w:lineRule="auto"/>
        <w:rPr>
          <w:color w:val="000000"/>
        </w:rPr>
      </w:pPr>
      <w:r>
        <w:rPr>
          <w:color w:val="000000"/>
        </w:rPr>
        <w:t>A mayor abundamiento, resulta necesario traer a colación el Criterio Orientador, de la Segunda Época, con número de registro SO/010/2017, emitido por el Instituto Nacional de Transparencia, Acceso a la Información y Protección de Datos Personales, mismo que establece lo siguiente:</w:t>
      </w:r>
    </w:p>
    <w:p w14:paraId="12655E15" w14:textId="77777777" w:rsidR="00E033C2" w:rsidRDefault="00F9656F">
      <w:pPr>
        <w:widowControl w:val="0"/>
        <w:tabs>
          <w:tab w:val="center" w:pos="4522"/>
        </w:tabs>
        <w:spacing w:after="0" w:line="360" w:lineRule="auto"/>
        <w:ind w:left="567" w:right="567"/>
        <w:rPr>
          <w:i/>
          <w:color w:val="000000"/>
          <w:sz w:val="20"/>
          <w:szCs w:val="20"/>
        </w:rPr>
      </w:pPr>
      <w:r>
        <w:rPr>
          <w:i/>
          <w:color w:val="000000"/>
          <w:sz w:val="20"/>
          <w:szCs w:val="20"/>
        </w:rPr>
        <w:t>“</w:t>
      </w:r>
      <w:r>
        <w:rPr>
          <w:b/>
          <w:i/>
          <w:color w:val="000000"/>
          <w:sz w:val="20"/>
          <w:szCs w:val="20"/>
        </w:rPr>
        <w:t>Cuentas bancarias y/o CLABE interbancaria de personas físicas y morales privadas.</w:t>
      </w:r>
      <w:r>
        <w:rPr>
          <w:i/>
          <w:color w:val="000000"/>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5D6F7B0" w14:textId="77777777" w:rsidR="00E033C2" w:rsidRDefault="00F9656F">
      <w:pPr>
        <w:widowControl w:val="0"/>
        <w:tabs>
          <w:tab w:val="center" w:pos="4522"/>
        </w:tabs>
        <w:spacing w:after="0" w:line="360" w:lineRule="auto"/>
        <w:rPr>
          <w:color w:val="000000"/>
        </w:rPr>
      </w:pPr>
      <w:r>
        <w:rPr>
          <w:color w:val="000000"/>
        </w:rPr>
        <w:t> </w:t>
      </w:r>
    </w:p>
    <w:p w14:paraId="32E9044A" w14:textId="77777777" w:rsidR="00E033C2" w:rsidRDefault="00F9656F">
      <w:pPr>
        <w:widowControl w:val="0"/>
        <w:tabs>
          <w:tab w:val="center" w:pos="4522"/>
        </w:tabs>
        <w:spacing w:after="0" w:line="360" w:lineRule="auto"/>
        <w:rPr>
          <w:color w:val="000000"/>
        </w:rPr>
      </w:pPr>
      <w:r>
        <w:rPr>
          <w:color w:val="000000"/>
        </w:rPr>
        <w:t xml:space="preserve">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y procede su eliminación de conformidad con el artículo 143, fracción I, de la Ley de Transparencia y Acceso a la Información Pública del Estado de México y Municipios. </w:t>
      </w:r>
    </w:p>
    <w:p w14:paraId="30564D32" w14:textId="77777777" w:rsidR="00E033C2" w:rsidRDefault="00E033C2">
      <w:pPr>
        <w:widowControl w:val="0"/>
        <w:tabs>
          <w:tab w:val="center" w:pos="4522"/>
        </w:tabs>
        <w:spacing w:after="0" w:line="360" w:lineRule="auto"/>
        <w:rPr>
          <w:color w:val="000000"/>
        </w:rPr>
      </w:pPr>
    </w:p>
    <w:p w14:paraId="79DC477C" w14:textId="77777777" w:rsidR="00E033C2" w:rsidRDefault="00F9656F">
      <w:pPr>
        <w:widowControl w:val="0"/>
        <w:numPr>
          <w:ilvl w:val="0"/>
          <w:numId w:val="5"/>
        </w:numPr>
        <w:tabs>
          <w:tab w:val="center" w:pos="4522"/>
        </w:tabs>
        <w:spacing w:after="0" w:line="360" w:lineRule="auto"/>
        <w:rPr>
          <w:b/>
          <w:color w:val="000000"/>
        </w:rPr>
      </w:pPr>
      <w:r>
        <w:rPr>
          <w:b/>
          <w:color w:val="000000"/>
        </w:rPr>
        <w:lastRenderedPageBreak/>
        <w:t>Nombre de institución bancaria</w:t>
      </w:r>
    </w:p>
    <w:p w14:paraId="12AF5576" w14:textId="77777777" w:rsidR="00E033C2" w:rsidRDefault="00E033C2">
      <w:pPr>
        <w:widowControl w:val="0"/>
        <w:tabs>
          <w:tab w:val="center" w:pos="4522"/>
        </w:tabs>
        <w:spacing w:after="0" w:line="360" w:lineRule="auto"/>
        <w:rPr>
          <w:color w:val="000000"/>
        </w:rPr>
      </w:pPr>
    </w:p>
    <w:p w14:paraId="6B6E5B9E" w14:textId="77777777" w:rsidR="00E033C2" w:rsidRDefault="00F9656F">
      <w:pPr>
        <w:widowControl w:val="0"/>
        <w:tabs>
          <w:tab w:val="center" w:pos="4522"/>
        </w:tabs>
        <w:spacing w:after="0" w:line="360" w:lineRule="auto"/>
        <w:rPr>
          <w:color w:val="000000"/>
        </w:rPr>
      </w:pPr>
      <w:r>
        <w:rPr>
          <w:color w:val="000000"/>
        </w:rPr>
        <w:t>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03BDAEBE" w14:textId="77777777" w:rsidR="00E033C2" w:rsidRDefault="00E033C2">
      <w:pPr>
        <w:widowControl w:val="0"/>
        <w:tabs>
          <w:tab w:val="center" w:pos="4522"/>
        </w:tabs>
        <w:spacing w:after="0" w:line="360" w:lineRule="auto"/>
        <w:rPr>
          <w:color w:val="000000"/>
        </w:rPr>
      </w:pPr>
    </w:p>
    <w:p w14:paraId="1EE569B2" w14:textId="77777777" w:rsidR="00E033C2" w:rsidRDefault="00F9656F">
      <w:pPr>
        <w:widowControl w:val="0"/>
        <w:tabs>
          <w:tab w:val="center" w:pos="4522"/>
        </w:tabs>
        <w:spacing w:after="0" w:line="360" w:lineRule="auto"/>
        <w:rPr>
          <w:color w:val="000000"/>
        </w:rPr>
      </w:pPr>
      <w:r>
        <w:rPr>
          <w:color w:val="000000"/>
        </w:rPr>
        <w:t xml:space="preserve">En ese orden de ideas, en el portal de la Comisión Nacional para la Protección y Defensa de los Usuarios de Servicios Financieros (consultadas el dieciocho de enero de dos mil veintitrés), en </w:t>
      </w:r>
      <w:hyperlink r:id="rId11">
        <w:r>
          <w:rPr>
            <w:color w:val="0000FF"/>
            <w:u w:val="single"/>
          </w:rPr>
          <w:t>https://www.condusef.gob.mx/Revista/index.php/usuario-inteligente/condusef-responde/777-la-condusef-te-puede-ayudar</w:t>
        </w:r>
      </w:hyperlink>
      <w:r>
        <w:rPr>
          <w:color w:val="000000"/>
        </w:rPr>
        <w:t>), se establece que los bancos son instituciones financieras; conforme a lo anterior, se puede advertir que las instituciones bancarias, son personas morales.</w:t>
      </w:r>
    </w:p>
    <w:p w14:paraId="62148DC1" w14:textId="77777777" w:rsidR="00E033C2" w:rsidRDefault="00E033C2">
      <w:pPr>
        <w:widowControl w:val="0"/>
        <w:tabs>
          <w:tab w:val="center" w:pos="4522"/>
        </w:tabs>
        <w:spacing w:after="0" w:line="360" w:lineRule="auto"/>
        <w:rPr>
          <w:color w:val="000000"/>
        </w:rPr>
      </w:pPr>
    </w:p>
    <w:p w14:paraId="498F18E1" w14:textId="77777777" w:rsidR="00E033C2" w:rsidRDefault="00F9656F">
      <w:pPr>
        <w:widowControl w:val="0"/>
        <w:tabs>
          <w:tab w:val="center" w:pos="4522"/>
        </w:tabs>
        <w:spacing w:after="0" w:line="360" w:lineRule="auto"/>
        <w:rPr>
          <w:color w:val="000000"/>
        </w:rPr>
      </w:pPr>
      <w:r>
        <w:rPr>
          <w:color w:val="000000"/>
        </w:rPr>
        <w:t xml:space="preserve">En ese orden de ideas, se considera que la denominación o razón social de una persona moral, es pública, pues dichos datos se encuentran inscritos en el Registro Público del Comercio; lo anterior, toma sustento en el Criterio Orientador, de la Segunda Época, con número de registro SO/008/2019, emitido por el Instituto Nacional de Transparencia, Acceso a la </w:t>
      </w:r>
      <w:r>
        <w:rPr>
          <w:color w:val="000000"/>
        </w:rPr>
        <w:lastRenderedPageBreak/>
        <w:t>Información y Protección de Datos Personales, previamente referido.</w:t>
      </w:r>
    </w:p>
    <w:p w14:paraId="11BA3B92" w14:textId="77777777" w:rsidR="00E033C2" w:rsidRDefault="00E033C2">
      <w:pPr>
        <w:widowControl w:val="0"/>
        <w:tabs>
          <w:tab w:val="center" w:pos="4522"/>
        </w:tabs>
        <w:spacing w:after="0" w:line="360" w:lineRule="auto"/>
        <w:rPr>
          <w:color w:val="000000"/>
        </w:rPr>
      </w:pPr>
    </w:p>
    <w:p w14:paraId="308BFC9F" w14:textId="77777777" w:rsidR="00E033C2" w:rsidRDefault="00F9656F">
      <w:pPr>
        <w:tabs>
          <w:tab w:val="center" w:pos="4522"/>
        </w:tabs>
        <w:spacing w:after="0" w:line="360" w:lineRule="auto"/>
        <w:rPr>
          <w:color w:val="000000"/>
        </w:rPr>
      </w:pPr>
      <w:r>
        <w:rPr>
          <w:color w:val="000000"/>
        </w:rPr>
        <w:t xml:space="preserve">Lo anterior, se robustece con el hecho de que existe el Sistema de Registro de Prestadores de Servicios Financieros en la liga </w:t>
      </w:r>
      <w:hyperlink r:id="rId12">
        <w:r>
          <w:rPr>
            <w:color w:val="0000FF"/>
            <w:u w:val="single"/>
          </w:rPr>
          <w:t>https://webapps.condusef.gob.mx/SIPRES/jsp/pub/index.jsp</w:t>
        </w:r>
      </w:hyperlink>
      <w:r>
        <w:rPr>
          <w:color w:val="000000"/>
        </w:rPr>
        <w:t xml:space="preserve">), que es un registro de </w:t>
      </w:r>
      <w:r>
        <w:rPr>
          <w:b/>
          <w:color w:val="000000"/>
        </w:rPr>
        <w:t xml:space="preserve">carácter público, </w:t>
      </w:r>
      <w:r>
        <w:rPr>
          <w:color w:val="000000"/>
        </w:rPr>
        <w:t>cuyo objetivo principal, consiste en proporcionar información corporativa y general de las instituciones financieras</w:t>
      </w:r>
      <w:r>
        <w:rPr>
          <w:b/>
          <w:color w:val="000000"/>
        </w:rPr>
        <w:t xml:space="preserve">; además, que permite conocer al público general, información de dichos entes, </w:t>
      </w:r>
      <w:r>
        <w:rPr>
          <w:color w:val="000000"/>
        </w:rPr>
        <w:t xml:space="preserve">se muestra un ejemplo a continuación: </w:t>
      </w:r>
    </w:p>
    <w:p w14:paraId="05673C87" w14:textId="77777777" w:rsidR="00E033C2" w:rsidRDefault="00E033C2">
      <w:pPr>
        <w:widowControl w:val="0"/>
        <w:tabs>
          <w:tab w:val="center" w:pos="4522"/>
        </w:tabs>
        <w:spacing w:after="0" w:line="360" w:lineRule="auto"/>
        <w:rPr>
          <w:color w:val="000000"/>
        </w:rPr>
      </w:pPr>
    </w:p>
    <w:p w14:paraId="6489B592" w14:textId="77777777" w:rsidR="00E033C2" w:rsidRDefault="00F9656F">
      <w:pPr>
        <w:widowControl w:val="0"/>
        <w:tabs>
          <w:tab w:val="center" w:pos="4522"/>
        </w:tabs>
        <w:spacing w:after="0" w:line="360" w:lineRule="auto"/>
        <w:jc w:val="center"/>
        <w:rPr>
          <w:color w:val="000000"/>
        </w:rPr>
      </w:pPr>
      <w:r>
        <w:rPr>
          <w:noProof/>
          <w:color w:val="000000"/>
        </w:rPr>
        <w:drawing>
          <wp:inline distT="0" distB="0" distL="0" distR="0" wp14:anchorId="323456A7" wp14:editId="1CED06C2">
            <wp:extent cx="4777740" cy="2476500"/>
            <wp:effectExtent l="0" t="0" r="0" b="0"/>
            <wp:docPr id="1432513720" name="image2.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Escala de tiempo&#10;&#10;Descripción generada automáticamente"/>
                    <pic:cNvPicPr preferRelativeResize="0"/>
                  </pic:nvPicPr>
                  <pic:blipFill>
                    <a:blip r:embed="rId13"/>
                    <a:srcRect t="2" b="380"/>
                    <a:stretch>
                      <a:fillRect/>
                    </a:stretch>
                  </pic:blipFill>
                  <pic:spPr>
                    <a:xfrm>
                      <a:off x="0" y="0"/>
                      <a:ext cx="4777740" cy="2476500"/>
                    </a:xfrm>
                    <a:prstGeom prst="rect">
                      <a:avLst/>
                    </a:prstGeom>
                    <a:ln/>
                  </pic:spPr>
                </pic:pic>
              </a:graphicData>
            </a:graphic>
          </wp:inline>
        </w:drawing>
      </w:r>
    </w:p>
    <w:p w14:paraId="12079A87" w14:textId="77777777" w:rsidR="00E033C2" w:rsidRDefault="00E033C2">
      <w:pPr>
        <w:widowControl w:val="0"/>
        <w:tabs>
          <w:tab w:val="center" w:pos="4522"/>
        </w:tabs>
        <w:spacing w:after="0" w:line="360" w:lineRule="auto"/>
        <w:jc w:val="center"/>
        <w:rPr>
          <w:color w:val="000000"/>
        </w:rPr>
      </w:pPr>
    </w:p>
    <w:p w14:paraId="48BFE384" w14:textId="77777777" w:rsidR="00E033C2" w:rsidRDefault="00F9656F">
      <w:pPr>
        <w:widowControl w:val="0"/>
        <w:tabs>
          <w:tab w:val="center" w:pos="4522"/>
        </w:tabs>
        <w:spacing w:after="0" w:line="360" w:lineRule="auto"/>
        <w:rPr>
          <w:color w:val="000000"/>
        </w:rPr>
      </w:pPr>
      <w:r>
        <w:rPr>
          <w:color w:val="000000"/>
        </w:rPr>
        <w:t>Conforme a lo anterior, se logra vislumbrar que el nombre de las instituciones bancarias en primera instancia es de naturaleza pública; sin embargo, en el presente caso, se relacionada con el hecho de que corresponde al banco en el cual una persona física o moral decidió recibir recursos; es decir, daría cuenta de la decisión voluntaria de recibir el pago en una determinada institución; lo cual se relaciona con la cuenta y clave interbancaria, mismos que son confidenciales.</w:t>
      </w:r>
    </w:p>
    <w:p w14:paraId="04881AD2" w14:textId="77777777" w:rsidR="00E033C2" w:rsidRDefault="00E033C2">
      <w:pPr>
        <w:widowControl w:val="0"/>
        <w:tabs>
          <w:tab w:val="center" w:pos="4522"/>
        </w:tabs>
        <w:spacing w:after="0" w:line="360" w:lineRule="auto"/>
        <w:rPr>
          <w:color w:val="000000"/>
        </w:rPr>
      </w:pPr>
    </w:p>
    <w:p w14:paraId="747991EC" w14:textId="77777777" w:rsidR="00E033C2" w:rsidRDefault="00F9656F">
      <w:pPr>
        <w:widowControl w:val="0"/>
        <w:tabs>
          <w:tab w:val="center" w:pos="4522"/>
        </w:tabs>
        <w:spacing w:after="0" w:line="360" w:lineRule="auto"/>
        <w:rPr>
          <w:color w:val="000000"/>
        </w:rPr>
      </w:pPr>
      <w:r>
        <w:rPr>
          <w:color w:val="000000"/>
        </w:rPr>
        <w:t xml:space="preserve">Además, revelaría el lugar en donde en que la persona recibió los recursos, lo cual </w:t>
      </w:r>
      <w:r>
        <w:rPr>
          <w:color w:val="000000"/>
        </w:rPr>
        <w:lastRenderedPageBreak/>
        <w:t>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14:paraId="76E00E4E" w14:textId="77777777" w:rsidR="00E033C2" w:rsidRDefault="00E033C2">
      <w:pPr>
        <w:widowControl w:val="0"/>
        <w:tabs>
          <w:tab w:val="center" w:pos="4522"/>
        </w:tabs>
        <w:spacing w:after="0" w:line="360" w:lineRule="auto"/>
        <w:rPr>
          <w:color w:val="000000"/>
        </w:rPr>
      </w:pPr>
    </w:p>
    <w:p w14:paraId="0C91C50B" w14:textId="77777777" w:rsidR="00E033C2" w:rsidRDefault="00F9656F">
      <w:pPr>
        <w:spacing w:after="0" w:line="360" w:lineRule="auto"/>
        <w:ind w:right="-28"/>
        <w:rPr>
          <w:color w:val="000000"/>
        </w:rPr>
      </w:pPr>
      <w:r>
        <w:rPr>
          <w:color w:val="000000"/>
        </w:rPr>
        <w:t xml:space="preserve">Así, el Sujeto Obligado, deberá elaborar la versión pública respectiva, tomando en consideración los datos analizados;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4F40F077" w14:textId="77777777" w:rsidR="00E033C2" w:rsidRDefault="00E033C2">
      <w:pPr>
        <w:spacing w:after="0" w:line="360" w:lineRule="auto"/>
        <w:ind w:right="-28"/>
        <w:rPr>
          <w:color w:val="000000"/>
        </w:rPr>
      </w:pPr>
    </w:p>
    <w:p w14:paraId="0955EB49" w14:textId="77777777" w:rsidR="00E033C2" w:rsidRDefault="00F9656F">
      <w:pPr>
        <w:spacing w:after="0" w:line="360" w:lineRule="auto"/>
        <w:ind w:right="-28"/>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0301222" w14:textId="77777777" w:rsidR="00E033C2" w:rsidRDefault="00E033C2">
      <w:pPr>
        <w:spacing w:after="0" w:line="360" w:lineRule="auto"/>
        <w:rPr>
          <w:color w:val="FF0000"/>
        </w:rPr>
      </w:pPr>
    </w:p>
    <w:p w14:paraId="0F346830" w14:textId="77777777" w:rsidR="00E033C2" w:rsidRDefault="00F9656F">
      <w:pPr>
        <w:pStyle w:val="Ttulo2"/>
        <w:spacing w:before="0" w:after="0" w:line="360" w:lineRule="auto"/>
        <w:rPr>
          <w:color w:val="000000"/>
          <w:sz w:val="22"/>
          <w:szCs w:val="22"/>
        </w:rPr>
      </w:pPr>
      <w:bookmarkStart w:id="26" w:name="_heading=h.9iw8t2hfxn8u" w:colFirst="0" w:colLast="0"/>
      <w:bookmarkStart w:id="27" w:name="_Toc213338782"/>
      <w:bookmarkEnd w:id="26"/>
      <w:r>
        <w:rPr>
          <w:color w:val="000000"/>
          <w:sz w:val="22"/>
          <w:szCs w:val="22"/>
        </w:rPr>
        <w:t>SEXTO. Decisión</w:t>
      </w:r>
      <w:bookmarkEnd w:id="27"/>
    </w:p>
    <w:p w14:paraId="688DB800" w14:textId="77777777" w:rsidR="00E033C2" w:rsidRDefault="00E033C2">
      <w:pPr>
        <w:spacing w:after="0" w:line="360" w:lineRule="auto"/>
        <w:rPr>
          <w:b/>
          <w:color w:val="FF0000"/>
        </w:rPr>
      </w:pPr>
    </w:p>
    <w:p w14:paraId="1FD8CB8B" w14:textId="77777777" w:rsidR="00E033C2" w:rsidRDefault="00F9656F">
      <w:pPr>
        <w:spacing w:after="0" w:line="360" w:lineRule="auto"/>
        <w:rPr>
          <w:color w:val="000000"/>
        </w:rPr>
      </w:pPr>
      <w:r>
        <w:rPr>
          <w:color w:val="000000"/>
        </w:rPr>
        <w:t xml:space="preserve">Con fundamento en el artículo 186, fracción III, de la Ley de Transparencia y Acceso a la Información Pública del Estado de México y Municipios, este Instituto considera procedente </w:t>
      </w:r>
      <w:r>
        <w:rPr>
          <w:b/>
          <w:color w:val="000000"/>
        </w:rPr>
        <w:t>REVOCAR</w:t>
      </w:r>
      <w:r>
        <w:rPr>
          <w:color w:val="000000"/>
        </w:rPr>
        <w:t xml:space="preserve"> la respuesta otorgada por el Sujeto Obligado a la solicitud de información 00147/IXTAPALU/IP/2025, a efecto de que entregue la información solicitada.</w:t>
      </w:r>
    </w:p>
    <w:p w14:paraId="5B054A6B" w14:textId="77777777" w:rsidR="00E033C2" w:rsidRDefault="00E033C2">
      <w:pPr>
        <w:spacing w:after="0" w:line="360" w:lineRule="auto"/>
        <w:rPr>
          <w:color w:val="000000"/>
        </w:rPr>
      </w:pPr>
    </w:p>
    <w:p w14:paraId="7504CA2D" w14:textId="77777777" w:rsidR="009E30AA" w:rsidRDefault="009E30AA">
      <w:pPr>
        <w:spacing w:after="0" w:line="360" w:lineRule="auto"/>
        <w:rPr>
          <w:color w:val="000000"/>
        </w:rPr>
      </w:pPr>
    </w:p>
    <w:p w14:paraId="53CD2259" w14:textId="77777777" w:rsidR="009E30AA" w:rsidRDefault="009E30AA">
      <w:pPr>
        <w:spacing w:after="0" w:line="360" w:lineRule="auto"/>
        <w:rPr>
          <w:color w:val="000000"/>
        </w:rPr>
      </w:pPr>
    </w:p>
    <w:p w14:paraId="7FAB8FDD" w14:textId="77777777" w:rsidR="009E30AA" w:rsidRDefault="009E30AA">
      <w:pPr>
        <w:spacing w:after="0" w:line="360" w:lineRule="auto"/>
        <w:rPr>
          <w:color w:val="000000"/>
        </w:rPr>
      </w:pPr>
    </w:p>
    <w:p w14:paraId="73BB01D3" w14:textId="77777777" w:rsidR="00E033C2" w:rsidRDefault="00F9656F">
      <w:pPr>
        <w:spacing w:after="0" w:line="360" w:lineRule="auto"/>
        <w:rPr>
          <w:b/>
          <w:color w:val="000000"/>
        </w:rPr>
      </w:pPr>
      <w:r>
        <w:rPr>
          <w:b/>
          <w:color w:val="000000"/>
        </w:rPr>
        <w:t>Términos de la Resolución para conocimiento del Particular</w:t>
      </w:r>
    </w:p>
    <w:p w14:paraId="6841F542" w14:textId="77777777" w:rsidR="00E033C2" w:rsidRDefault="00E033C2">
      <w:pPr>
        <w:spacing w:after="0" w:line="360" w:lineRule="auto"/>
        <w:rPr>
          <w:b/>
          <w:color w:val="000000"/>
        </w:rPr>
      </w:pPr>
    </w:p>
    <w:p w14:paraId="456ADDB0" w14:textId="77777777" w:rsidR="00E033C2" w:rsidRDefault="00F9656F">
      <w:pPr>
        <w:spacing w:after="0" w:line="360" w:lineRule="auto"/>
        <w:rPr>
          <w:color w:val="000000"/>
        </w:rPr>
      </w:pPr>
      <w:r>
        <w:rPr>
          <w:color w:val="000000"/>
        </w:rPr>
        <w:t>Se le hace del conocimiento a la persona Recurrente que, en el presente asunto, se le da la razón, pues si bien el Sujeto Obligado</w:t>
      </w:r>
      <w:r>
        <w:rPr>
          <w:color w:val="FF0000"/>
        </w:rPr>
        <w:t xml:space="preserve"> </w:t>
      </w:r>
      <w:r>
        <w:t>omitió turnar la solicitud de información a todas las áreas competentes para conocer de la misma, además de no fundamentar correctamente su cambio de modalidad, por lo que, deberá hacer entrega de la información. L</w:t>
      </w:r>
      <w:r>
        <w:rPr>
          <w:color w:val="000000"/>
        </w:rPr>
        <w:t>a labor del Instituto, es apoyar a la población a acceder a la información pública y garantizar la protección de sus datos personales.</w:t>
      </w:r>
    </w:p>
    <w:p w14:paraId="2FC77451" w14:textId="77777777" w:rsidR="00E033C2" w:rsidRDefault="00E033C2">
      <w:pPr>
        <w:spacing w:after="0" w:line="360" w:lineRule="auto"/>
        <w:rPr>
          <w:color w:val="000000"/>
        </w:rPr>
      </w:pPr>
    </w:p>
    <w:p w14:paraId="11C616EE" w14:textId="77777777" w:rsidR="00E033C2" w:rsidRDefault="00F9656F">
      <w:pPr>
        <w:spacing w:after="0" w:line="360" w:lineRule="auto"/>
        <w:rPr>
          <w:color w:val="000000"/>
        </w:rPr>
      </w:pPr>
      <w:r>
        <w:rPr>
          <w:color w:val="000000"/>
        </w:rPr>
        <w:t>Por lo expuesto y fundado, este Pleno:</w:t>
      </w:r>
    </w:p>
    <w:p w14:paraId="776A5138" w14:textId="77777777" w:rsidR="00E033C2" w:rsidRDefault="00E033C2">
      <w:pPr>
        <w:spacing w:after="0" w:line="360" w:lineRule="auto"/>
        <w:rPr>
          <w:color w:val="000000"/>
        </w:rPr>
      </w:pPr>
    </w:p>
    <w:p w14:paraId="44BACA5A" w14:textId="77777777" w:rsidR="00E033C2" w:rsidRDefault="00F9656F">
      <w:pPr>
        <w:pStyle w:val="Ttulo1"/>
        <w:spacing w:before="0" w:after="0" w:line="360" w:lineRule="auto"/>
        <w:jc w:val="center"/>
        <w:rPr>
          <w:color w:val="000000"/>
          <w:sz w:val="22"/>
          <w:szCs w:val="22"/>
        </w:rPr>
      </w:pPr>
      <w:bookmarkStart w:id="28" w:name="_heading=h.nri7qjqwb0wo" w:colFirst="0" w:colLast="0"/>
      <w:bookmarkStart w:id="29" w:name="_Toc213338783"/>
      <w:bookmarkEnd w:id="28"/>
      <w:r>
        <w:rPr>
          <w:color w:val="000000"/>
          <w:sz w:val="22"/>
          <w:szCs w:val="22"/>
        </w:rPr>
        <w:t>R E S U E L V E</w:t>
      </w:r>
      <w:bookmarkEnd w:id="29"/>
    </w:p>
    <w:p w14:paraId="4CF1C605" w14:textId="77777777" w:rsidR="00E033C2" w:rsidRDefault="00E033C2">
      <w:pPr>
        <w:spacing w:after="0" w:line="360" w:lineRule="auto"/>
        <w:rPr>
          <w:b/>
          <w:color w:val="FF0000"/>
        </w:rPr>
      </w:pPr>
    </w:p>
    <w:p w14:paraId="72469A29" w14:textId="77777777" w:rsidR="00E033C2" w:rsidRDefault="00F9656F">
      <w:pPr>
        <w:spacing w:after="0" w:line="360" w:lineRule="auto"/>
        <w:rPr>
          <w:color w:val="000000"/>
        </w:rPr>
      </w:pPr>
      <w:r>
        <w:rPr>
          <w:b/>
          <w:color w:val="000000"/>
        </w:rPr>
        <w:t xml:space="preserve">PRIMERO. </w:t>
      </w:r>
      <w:r>
        <w:rPr>
          <w:color w:val="000000"/>
        </w:rPr>
        <w:t xml:space="preserve">Se </w:t>
      </w:r>
      <w:r>
        <w:rPr>
          <w:b/>
          <w:color w:val="000000"/>
        </w:rPr>
        <w:t xml:space="preserve">REVOCA </w:t>
      </w:r>
      <w:r>
        <w:rPr>
          <w:color w:val="000000"/>
        </w:rPr>
        <w:t xml:space="preserve">la respuesta entregada por el </w:t>
      </w:r>
      <w:r>
        <w:t>Ayuntamiento de Ixtapaluca</w:t>
      </w:r>
      <w:r>
        <w:rPr>
          <w:color w:val="000000"/>
        </w:rPr>
        <w:t xml:space="preserve">, a la solicitud de información 00147/IXTAPALU/IP/2025, por resultar </w:t>
      </w:r>
      <w:r>
        <w:rPr>
          <w:b/>
          <w:color w:val="000000"/>
        </w:rPr>
        <w:t xml:space="preserve">FUNDADAS </w:t>
      </w:r>
      <w:r>
        <w:rPr>
          <w:color w:val="000000"/>
        </w:rPr>
        <w:t>las razones o motivos de inconformidad hechos valer por la persona Recurrente, en términos de los considerandos QUINTO y SEXTO de la presente Resolución.</w:t>
      </w:r>
    </w:p>
    <w:p w14:paraId="199509C3" w14:textId="77777777" w:rsidR="00E033C2" w:rsidRDefault="00E033C2">
      <w:pPr>
        <w:spacing w:after="0" w:line="360" w:lineRule="auto"/>
        <w:rPr>
          <w:color w:val="FF0000"/>
        </w:rPr>
      </w:pPr>
    </w:p>
    <w:p w14:paraId="05A442DA" w14:textId="77777777" w:rsidR="00E033C2" w:rsidRDefault="00F9656F">
      <w:pPr>
        <w:spacing w:after="0" w:line="360" w:lineRule="auto"/>
        <w:rPr>
          <w:color w:val="000000"/>
        </w:rPr>
      </w:pPr>
      <w:r>
        <w:rPr>
          <w:b/>
          <w:color w:val="000000"/>
        </w:rPr>
        <w:t xml:space="preserve">SEGUNDO. </w:t>
      </w:r>
      <w:r>
        <w:rPr>
          <w:color w:val="000000"/>
        </w:rPr>
        <w:t xml:space="preserve">Se </w:t>
      </w:r>
      <w:r>
        <w:rPr>
          <w:b/>
          <w:color w:val="000000"/>
        </w:rPr>
        <w:t>ORDENA</w:t>
      </w:r>
      <w:r>
        <w:rPr>
          <w:color w:val="000000"/>
        </w:rPr>
        <w:t xml:space="preserve"> al Sujeto Obligado</w:t>
      </w:r>
      <w:r>
        <w:rPr>
          <w:b/>
          <w:color w:val="000000"/>
        </w:rPr>
        <w:t xml:space="preserve">, </w:t>
      </w:r>
      <w:r>
        <w:rPr>
          <w:color w:val="000000"/>
        </w:rPr>
        <w:t>a efecto de que previa búsqueda exhaustiva y razonable en los archivos de las unidades administrativas competentes, entregue a través del Sistema de Acceso a la Información Mexiquense (SAIMEX), en su caso, en versión pública, los documentos con los que contara al doce de mayo de dos mil veinticinco, donde conste lo siguiente:</w:t>
      </w:r>
    </w:p>
    <w:p w14:paraId="09A563D7" w14:textId="77777777" w:rsidR="00E033C2" w:rsidRDefault="00E033C2">
      <w:pPr>
        <w:spacing w:after="0" w:line="360" w:lineRule="auto"/>
        <w:rPr>
          <w:color w:val="000000"/>
        </w:rPr>
      </w:pPr>
    </w:p>
    <w:p w14:paraId="28F3DCE3" w14:textId="77777777" w:rsidR="00E033C2" w:rsidRDefault="00F9656F">
      <w:pPr>
        <w:numPr>
          <w:ilvl w:val="0"/>
          <w:numId w:val="2"/>
        </w:numPr>
        <w:pBdr>
          <w:top w:val="nil"/>
          <w:left w:val="nil"/>
          <w:bottom w:val="nil"/>
          <w:right w:val="nil"/>
          <w:between w:val="nil"/>
        </w:pBdr>
        <w:spacing w:after="0" w:line="360" w:lineRule="auto"/>
        <w:rPr>
          <w:color w:val="000000"/>
        </w:rPr>
      </w:pPr>
      <w:r>
        <w:rPr>
          <w:color w:val="000000"/>
        </w:rPr>
        <w:lastRenderedPageBreak/>
        <w:t>Los comprobantes de los pagos (transferencia o cheque) realizados por el Ayuntamiento a particulares, por un monto superior a dos millones de pesos, con recursos públicos del ejercicio fiscal dos mil veinticuatro.</w:t>
      </w:r>
    </w:p>
    <w:p w14:paraId="2E6DC9A2" w14:textId="77777777" w:rsidR="00E033C2" w:rsidRDefault="00E033C2">
      <w:pPr>
        <w:pBdr>
          <w:top w:val="nil"/>
          <w:left w:val="nil"/>
          <w:bottom w:val="nil"/>
          <w:right w:val="nil"/>
          <w:between w:val="nil"/>
        </w:pBdr>
        <w:spacing w:after="0" w:line="360" w:lineRule="auto"/>
        <w:ind w:left="720"/>
        <w:jc w:val="left"/>
        <w:rPr>
          <w:color w:val="000000"/>
        </w:rPr>
      </w:pPr>
    </w:p>
    <w:p w14:paraId="44DD052C" w14:textId="77777777" w:rsidR="00E033C2" w:rsidRDefault="00F9656F">
      <w:pPr>
        <w:spacing w:after="0" w:line="360" w:lineRule="auto"/>
        <w:rPr>
          <w:color w:val="000000"/>
        </w:rPr>
      </w:pPr>
      <w:r>
        <w:rPr>
          <w:color w:val="000000"/>
        </w:rPr>
        <w:t>Además, deberá proporcionar el Acuerdo de Clasificación donde el Comité de Transparencia, confirme la eliminación de los datos o información, en la versión pública, de conformidad con los artículos 49, fracciones II y VIII, 132, fracción II y 143, fracción I, de la Ley de Transparencia y Acceso a la Información Pública del Estado de México y Municipios.</w:t>
      </w:r>
    </w:p>
    <w:p w14:paraId="6E1C4119" w14:textId="77777777" w:rsidR="00E033C2" w:rsidRDefault="00E033C2">
      <w:pPr>
        <w:spacing w:after="0" w:line="360" w:lineRule="auto"/>
        <w:rPr>
          <w:color w:val="000000"/>
        </w:rPr>
      </w:pPr>
    </w:p>
    <w:p w14:paraId="4CFA4D4C" w14:textId="77777777" w:rsidR="00E033C2" w:rsidRDefault="00F9656F">
      <w:pPr>
        <w:spacing w:after="0" w:line="360" w:lineRule="auto"/>
        <w:ind w:right="-28"/>
        <w:rPr>
          <w:b/>
          <w:color w:val="000000"/>
        </w:rPr>
      </w:pPr>
      <w:r>
        <w:rPr>
          <w:b/>
          <w:color w:val="000000"/>
        </w:rPr>
        <w:t xml:space="preserve">TERCERO. 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9744822" w14:textId="77777777" w:rsidR="00E033C2" w:rsidRDefault="00E033C2">
      <w:pPr>
        <w:spacing w:after="0" w:line="360" w:lineRule="auto"/>
        <w:ind w:right="-28"/>
        <w:rPr>
          <w:color w:val="000000"/>
        </w:rPr>
      </w:pPr>
    </w:p>
    <w:p w14:paraId="3D000CEE" w14:textId="77777777" w:rsidR="00E033C2" w:rsidRDefault="00F9656F">
      <w:pPr>
        <w:spacing w:after="0" w:line="360" w:lineRule="auto"/>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14:paraId="45FCD25D" w14:textId="77777777" w:rsidR="00E033C2" w:rsidRDefault="00E033C2">
      <w:pPr>
        <w:spacing w:after="0" w:line="360" w:lineRule="auto"/>
        <w:rPr>
          <w:color w:val="000000"/>
        </w:rPr>
      </w:pPr>
    </w:p>
    <w:p w14:paraId="0F1F13B4" w14:textId="77777777" w:rsidR="00E033C2" w:rsidRDefault="00F9656F">
      <w:pPr>
        <w:spacing w:after="0" w:line="360" w:lineRule="auto"/>
        <w:rPr>
          <w:color w:val="000000"/>
        </w:rPr>
      </w:pPr>
      <w:r>
        <w:rPr>
          <w:b/>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364392AB" w14:textId="77777777" w:rsidR="00E033C2" w:rsidRDefault="00E033C2">
      <w:pPr>
        <w:spacing w:after="0" w:line="360" w:lineRule="auto"/>
        <w:rPr>
          <w:b/>
          <w:color w:val="000000"/>
        </w:rPr>
      </w:pPr>
    </w:p>
    <w:p w14:paraId="595E7F63" w14:textId="77777777" w:rsidR="00E033C2" w:rsidRDefault="00F9656F">
      <w:pPr>
        <w:spacing w:after="0" w:line="360" w:lineRule="auto"/>
        <w:rPr>
          <w:b/>
          <w:color w:val="000000"/>
        </w:rPr>
      </w:pPr>
      <w:r>
        <w:rPr>
          <w:color w:val="000000"/>
        </w:rPr>
        <w:t>ASÍ LO RESUELVE, POR </w:t>
      </w:r>
      <w:r>
        <w:rPr>
          <w:b/>
          <w:color w:val="000000"/>
        </w:rPr>
        <w:t>UNANIMIDAD</w:t>
      </w:r>
      <w:r>
        <w:rPr>
          <w:color w:val="000000"/>
        </w:rPr>
        <w:t> DE VOTOS EL PLENO DEL INSTITUTO DE TRANSPARENCIA, ACCESO A LA INFORMACIÓN PÚBLICA Y PROTECCIÓN DE DATOS PERSONALES DEL ESTADO DE MÉXICO Y MUNICIPIOS, CONFORMADO POR LOS COMISIONADOS JOSÉ MARTÍNEZ VILCHIS, MARÍA DEL ROSARIO MEJÍA AYALA</w:t>
      </w:r>
      <w:r>
        <w:t xml:space="preserve"> (AUSENCIA JUSTIFICADA), </w:t>
      </w:r>
      <w:r>
        <w:rPr>
          <w:color w:val="000000"/>
        </w:rPr>
        <w:t xml:space="preserve"> SHARON CRISTINA MORALES MARTÍNEZ, LUIS GUSTAVO PARRA NORIEGA Y GUADALUPE RAMÍREZ PEÑA, EN LA </w:t>
      </w:r>
      <w:r>
        <w:t>TRIGÉSIMA NOVENA</w:t>
      </w:r>
      <w:r>
        <w:rPr>
          <w:color w:val="000000"/>
        </w:rPr>
        <w:t xml:space="preserve"> SESIÓN ORDINARIA, CELEBRADA EL CINCO DE NOVIEMBRE DE DOS MIL VEINTICINCO, ANTE EL SECRETARIO TÉCNICO DEL PLENO, ALEXIS TAPIA RAMÍREZ.</w:t>
      </w:r>
    </w:p>
    <w:p w14:paraId="1949EDEE" w14:textId="77777777" w:rsidR="00E033C2" w:rsidRDefault="00E033C2">
      <w:pPr>
        <w:spacing w:after="0" w:line="360" w:lineRule="auto"/>
        <w:rPr>
          <w:b/>
          <w:color w:val="000000"/>
        </w:rPr>
      </w:pPr>
    </w:p>
    <w:p w14:paraId="44398BB1" w14:textId="77777777" w:rsidR="00E033C2" w:rsidRDefault="00E033C2">
      <w:pPr>
        <w:spacing w:after="0" w:line="360" w:lineRule="auto"/>
        <w:rPr>
          <w:b/>
          <w:color w:val="000000"/>
        </w:rPr>
      </w:pPr>
    </w:p>
    <w:p w14:paraId="6EB0E309" w14:textId="77777777" w:rsidR="00E033C2" w:rsidRDefault="00E033C2">
      <w:pPr>
        <w:spacing w:after="0" w:line="360" w:lineRule="auto"/>
        <w:rPr>
          <w:b/>
          <w:color w:val="000000"/>
        </w:rPr>
      </w:pPr>
    </w:p>
    <w:p w14:paraId="1302B307" w14:textId="77777777" w:rsidR="00E033C2" w:rsidRDefault="00E033C2">
      <w:pPr>
        <w:spacing w:after="0" w:line="360" w:lineRule="auto"/>
        <w:rPr>
          <w:color w:val="000000"/>
        </w:rPr>
      </w:pPr>
    </w:p>
    <w:p w14:paraId="699AD69A" w14:textId="77777777" w:rsidR="00E033C2" w:rsidRDefault="00E033C2">
      <w:pPr>
        <w:spacing w:after="0" w:line="360" w:lineRule="auto"/>
        <w:rPr>
          <w:color w:val="000000"/>
        </w:rPr>
      </w:pPr>
    </w:p>
    <w:p w14:paraId="7427C196" w14:textId="77777777" w:rsidR="00E033C2" w:rsidRDefault="00E033C2">
      <w:pPr>
        <w:tabs>
          <w:tab w:val="right" w:pos="8931"/>
        </w:tabs>
        <w:spacing w:after="0" w:line="360" w:lineRule="auto"/>
        <w:rPr>
          <w:color w:val="000000"/>
        </w:rPr>
      </w:pPr>
    </w:p>
    <w:p w14:paraId="343A8A0F" w14:textId="77777777" w:rsidR="00E033C2" w:rsidRDefault="00E033C2">
      <w:pPr>
        <w:tabs>
          <w:tab w:val="right" w:pos="8931"/>
        </w:tabs>
        <w:spacing w:after="0" w:line="360" w:lineRule="auto"/>
        <w:rPr>
          <w:color w:val="000000"/>
        </w:rPr>
      </w:pPr>
    </w:p>
    <w:p w14:paraId="44CF30F3" w14:textId="77777777" w:rsidR="00E033C2" w:rsidRDefault="00E033C2">
      <w:pPr>
        <w:spacing w:after="0" w:line="360" w:lineRule="auto"/>
        <w:rPr>
          <w:color w:val="FF0000"/>
        </w:rPr>
      </w:pPr>
    </w:p>
    <w:p w14:paraId="5B95A966" w14:textId="77777777" w:rsidR="00E033C2" w:rsidRDefault="00E033C2">
      <w:pPr>
        <w:spacing w:after="0" w:line="360" w:lineRule="auto"/>
        <w:rPr>
          <w:color w:val="FF0000"/>
        </w:rPr>
      </w:pPr>
    </w:p>
    <w:p w14:paraId="1790A711" w14:textId="77777777" w:rsidR="00E033C2" w:rsidRDefault="00E033C2">
      <w:pPr>
        <w:spacing w:after="0" w:line="360" w:lineRule="auto"/>
        <w:rPr>
          <w:color w:val="FF0000"/>
        </w:rPr>
      </w:pPr>
    </w:p>
    <w:p w14:paraId="2365F811" w14:textId="77777777" w:rsidR="00E033C2" w:rsidRDefault="00E033C2">
      <w:pPr>
        <w:spacing w:after="0" w:line="360" w:lineRule="auto"/>
        <w:rPr>
          <w:color w:val="FF0000"/>
        </w:rPr>
      </w:pPr>
    </w:p>
    <w:p w14:paraId="19EA6331" w14:textId="77777777" w:rsidR="00E033C2" w:rsidRDefault="00E033C2">
      <w:pPr>
        <w:spacing w:after="0" w:line="360" w:lineRule="auto"/>
        <w:rPr>
          <w:color w:val="FF0000"/>
        </w:rPr>
      </w:pPr>
    </w:p>
    <w:p w14:paraId="4FEC1F6C" w14:textId="77777777" w:rsidR="00E033C2" w:rsidRDefault="00E033C2">
      <w:pPr>
        <w:spacing w:after="0" w:line="360" w:lineRule="auto"/>
        <w:rPr>
          <w:color w:val="FF0000"/>
        </w:rPr>
      </w:pPr>
    </w:p>
    <w:p w14:paraId="307E5D29" w14:textId="77777777" w:rsidR="00E033C2" w:rsidRDefault="00E033C2">
      <w:pPr>
        <w:spacing w:after="0" w:line="360" w:lineRule="auto"/>
        <w:rPr>
          <w:color w:val="FF0000"/>
        </w:rPr>
      </w:pPr>
    </w:p>
    <w:p w14:paraId="7AC8A916" w14:textId="77777777" w:rsidR="00E033C2" w:rsidRDefault="00E033C2">
      <w:pPr>
        <w:spacing w:after="0" w:line="360" w:lineRule="auto"/>
        <w:rPr>
          <w:color w:val="FF0000"/>
        </w:rPr>
      </w:pPr>
    </w:p>
    <w:p w14:paraId="7F0B9DDC" w14:textId="77777777" w:rsidR="00E033C2" w:rsidRDefault="00E033C2">
      <w:pPr>
        <w:spacing w:after="0" w:line="360" w:lineRule="auto"/>
        <w:rPr>
          <w:color w:val="FF0000"/>
        </w:rPr>
      </w:pPr>
    </w:p>
    <w:p w14:paraId="7BB3FE46" w14:textId="77777777" w:rsidR="00E033C2" w:rsidRDefault="00E033C2">
      <w:pPr>
        <w:spacing w:after="0" w:line="360" w:lineRule="auto"/>
        <w:rPr>
          <w:color w:val="FF0000"/>
        </w:rPr>
      </w:pPr>
    </w:p>
    <w:p w14:paraId="432EBF49" w14:textId="77777777" w:rsidR="00E033C2" w:rsidRDefault="00E033C2">
      <w:pPr>
        <w:spacing w:after="0" w:line="360" w:lineRule="auto"/>
        <w:rPr>
          <w:color w:val="FF0000"/>
        </w:rPr>
      </w:pPr>
    </w:p>
    <w:p w14:paraId="736D3719" w14:textId="77777777" w:rsidR="00E033C2" w:rsidRDefault="00E033C2">
      <w:pPr>
        <w:spacing w:after="0" w:line="360" w:lineRule="auto"/>
        <w:rPr>
          <w:color w:val="FF0000"/>
        </w:rPr>
      </w:pPr>
    </w:p>
    <w:p w14:paraId="3FE7A348" w14:textId="77777777" w:rsidR="00E033C2" w:rsidRDefault="00E033C2">
      <w:pPr>
        <w:spacing w:after="0" w:line="360" w:lineRule="auto"/>
        <w:rPr>
          <w:color w:val="FF0000"/>
        </w:rPr>
      </w:pPr>
    </w:p>
    <w:p w14:paraId="346FDBE5" w14:textId="77777777" w:rsidR="00E033C2" w:rsidRDefault="00E033C2">
      <w:pPr>
        <w:spacing w:after="0" w:line="360" w:lineRule="auto"/>
        <w:rPr>
          <w:color w:val="FF0000"/>
        </w:rPr>
      </w:pPr>
    </w:p>
    <w:p w14:paraId="4253B8C2" w14:textId="77777777" w:rsidR="00E033C2" w:rsidRDefault="00E033C2">
      <w:pPr>
        <w:spacing w:after="0" w:line="360" w:lineRule="auto"/>
        <w:rPr>
          <w:color w:val="FF0000"/>
        </w:rPr>
      </w:pPr>
    </w:p>
    <w:p w14:paraId="20E3B8C7" w14:textId="77777777" w:rsidR="00E033C2" w:rsidRDefault="00E033C2">
      <w:pPr>
        <w:spacing w:after="0" w:line="360" w:lineRule="auto"/>
        <w:rPr>
          <w:color w:val="FF0000"/>
        </w:rPr>
      </w:pPr>
    </w:p>
    <w:p w14:paraId="5B347D03" w14:textId="77777777" w:rsidR="00E033C2" w:rsidRDefault="00E033C2">
      <w:pPr>
        <w:spacing w:after="0" w:line="360" w:lineRule="auto"/>
        <w:rPr>
          <w:color w:val="FF0000"/>
        </w:rPr>
      </w:pPr>
    </w:p>
    <w:sectPr w:rsidR="00E033C2">
      <w:headerReference w:type="even" r:id="rId14"/>
      <w:headerReference w:type="default" r:id="rId15"/>
      <w:footerReference w:type="even" r:id="rId16"/>
      <w:footerReference w:type="default" r:id="rId17"/>
      <w:headerReference w:type="first" r:id="rId18"/>
      <w:footerReference w:type="first" r:id="rId19"/>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C8114" w14:textId="77777777" w:rsidR="00E817CA" w:rsidRDefault="00E817CA">
      <w:pPr>
        <w:spacing w:after="0" w:line="240" w:lineRule="auto"/>
      </w:pPr>
      <w:r>
        <w:separator/>
      </w:r>
    </w:p>
  </w:endnote>
  <w:endnote w:type="continuationSeparator" w:id="0">
    <w:p w14:paraId="40028584" w14:textId="77777777" w:rsidR="00E817CA" w:rsidRDefault="00E81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FB5E280C-ABC4-48FC-86F6-6037ABE2D11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B14D897-F481-4424-AD80-E0945AE05659}"/>
    <w:embedBold r:id="rId3" w:fontKey="{0D706536-DAF2-409E-BCE8-0DE8FF971DED}"/>
    <w:embedItalic r:id="rId4" w:fontKey="{65996596-CADF-42CC-8B71-57FF2BF9ACE9}"/>
    <w:embedBoldItalic r:id="rId5" w:fontKey="{477ABEA8-25B3-4797-B370-85CF00898EE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C731EDC-4F34-400E-96A9-52668AD21EB9}"/>
  </w:font>
  <w:font w:name="Calibri">
    <w:panose1 w:val="020F0502020204030204"/>
    <w:charset w:val="00"/>
    <w:family w:val="swiss"/>
    <w:pitch w:val="variable"/>
    <w:sig w:usb0="E4002EFF" w:usb1="C200247B" w:usb2="00000009" w:usb3="00000000" w:csb0="000001FF" w:csb1="00000000"/>
    <w:embedRegular r:id="rId7" w:fontKey="{655F6D2A-83EA-43E9-90C4-8AF314901E49}"/>
  </w:font>
  <w:font w:name="Georgia">
    <w:panose1 w:val="02040502050405020303"/>
    <w:charset w:val="00"/>
    <w:family w:val="roman"/>
    <w:pitch w:val="variable"/>
    <w:sig w:usb0="00000287" w:usb1="00000000" w:usb2="00000000" w:usb3="00000000" w:csb0="0000009F" w:csb1="00000000"/>
    <w:embedRegular r:id="rId8" w:fontKey="{D0016ABC-828F-4A48-AA1F-5D536728B4F9}"/>
    <w:embedItalic r:id="rId9" w:fontKey="{A42CFAE6-05F5-477F-AE64-A0C883FBB1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A1645" w14:textId="62D200A9" w:rsidR="00E033C2" w:rsidRDefault="00F9656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8739B">
      <w:rPr>
        <w:b/>
        <w:noProof/>
        <w:color w:val="000000"/>
        <w:sz w:val="24"/>
        <w:szCs w:val="24"/>
      </w:rPr>
      <w:t>42</w:t>
    </w:r>
    <w:r>
      <w:rPr>
        <w:b/>
        <w:color w:val="000000"/>
        <w:sz w:val="24"/>
        <w:szCs w:val="24"/>
      </w:rPr>
      <w:fldChar w:fldCharType="end"/>
    </w:r>
  </w:p>
  <w:p w14:paraId="11752432" w14:textId="77777777" w:rsidR="00E033C2" w:rsidRDefault="00E033C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A82A9" w14:textId="77777777" w:rsidR="00E033C2" w:rsidRDefault="00F9656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C18A4">
      <w:rPr>
        <w:b/>
        <w:noProof/>
        <w:color w:val="000000"/>
        <w:sz w:val="24"/>
        <w:szCs w:val="24"/>
      </w:rPr>
      <w:t>2</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C18A4">
      <w:rPr>
        <w:b/>
        <w:noProof/>
        <w:color w:val="000000"/>
        <w:sz w:val="24"/>
        <w:szCs w:val="24"/>
      </w:rPr>
      <w:t>42</w:t>
    </w:r>
    <w:r>
      <w:rPr>
        <w:b/>
        <w:color w:val="000000"/>
        <w:sz w:val="24"/>
        <w:szCs w:val="24"/>
      </w:rPr>
      <w:fldChar w:fldCharType="end"/>
    </w:r>
  </w:p>
  <w:p w14:paraId="6BB39922" w14:textId="77777777" w:rsidR="00E033C2" w:rsidRDefault="00E033C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97491" w14:textId="77777777" w:rsidR="00E033C2" w:rsidRDefault="00F9656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C18A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C18A4">
      <w:rPr>
        <w:b/>
        <w:noProof/>
        <w:color w:val="000000"/>
        <w:sz w:val="24"/>
        <w:szCs w:val="24"/>
      </w:rPr>
      <w:t>42</w:t>
    </w:r>
    <w:r>
      <w:rPr>
        <w:b/>
        <w:color w:val="000000"/>
        <w:sz w:val="24"/>
        <w:szCs w:val="24"/>
      </w:rPr>
      <w:fldChar w:fldCharType="end"/>
    </w:r>
  </w:p>
  <w:p w14:paraId="6A09B12B" w14:textId="77777777" w:rsidR="00E033C2" w:rsidRDefault="00E033C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9A404" w14:textId="77777777" w:rsidR="00E817CA" w:rsidRDefault="00E817CA">
      <w:pPr>
        <w:spacing w:after="0" w:line="240" w:lineRule="auto"/>
      </w:pPr>
      <w:r>
        <w:separator/>
      </w:r>
    </w:p>
  </w:footnote>
  <w:footnote w:type="continuationSeparator" w:id="0">
    <w:p w14:paraId="41A08125" w14:textId="77777777" w:rsidR="00E817CA" w:rsidRDefault="00E817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4FD36" w14:textId="77777777" w:rsidR="00E033C2" w:rsidRDefault="00E033C2">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E033C2" w14:paraId="1776DA52" w14:textId="77777777">
      <w:trPr>
        <w:trHeight w:val="132"/>
      </w:trPr>
      <w:tc>
        <w:tcPr>
          <w:tcW w:w="2691" w:type="dxa"/>
        </w:tcPr>
        <w:p w14:paraId="7922D090" w14:textId="77777777" w:rsidR="00E033C2" w:rsidRDefault="00F9656F">
          <w:pPr>
            <w:tabs>
              <w:tab w:val="right" w:pos="8838"/>
            </w:tabs>
            <w:ind w:right="-105"/>
            <w:rPr>
              <w:b/>
            </w:rPr>
          </w:pPr>
          <w:r>
            <w:rPr>
              <w:b/>
            </w:rPr>
            <w:t>Recurso de Revisión:</w:t>
          </w:r>
        </w:p>
      </w:tc>
      <w:tc>
        <w:tcPr>
          <w:tcW w:w="3405" w:type="dxa"/>
        </w:tcPr>
        <w:p w14:paraId="47A81D3F" w14:textId="77777777" w:rsidR="00E033C2" w:rsidRDefault="00F9656F">
          <w:pPr>
            <w:tabs>
              <w:tab w:val="right" w:pos="8838"/>
            </w:tabs>
            <w:ind w:left="-28" w:right="-32"/>
          </w:pPr>
          <w:r>
            <w:t>03846/INFOEM/IP/RR/2020</w:t>
          </w:r>
        </w:p>
      </w:tc>
    </w:tr>
    <w:tr w:rsidR="00E033C2" w14:paraId="7D724013" w14:textId="77777777">
      <w:trPr>
        <w:trHeight w:val="261"/>
      </w:trPr>
      <w:tc>
        <w:tcPr>
          <w:tcW w:w="2691" w:type="dxa"/>
        </w:tcPr>
        <w:p w14:paraId="45A24CDD" w14:textId="77777777" w:rsidR="00E033C2" w:rsidRDefault="00F9656F">
          <w:pPr>
            <w:tabs>
              <w:tab w:val="right" w:pos="8838"/>
            </w:tabs>
            <w:ind w:right="-105"/>
            <w:rPr>
              <w:b/>
            </w:rPr>
          </w:pPr>
          <w:r>
            <w:rPr>
              <w:b/>
            </w:rPr>
            <w:t>Sujeto Obligado:</w:t>
          </w:r>
        </w:p>
      </w:tc>
      <w:tc>
        <w:tcPr>
          <w:tcW w:w="3405" w:type="dxa"/>
        </w:tcPr>
        <w:p w14:paraId="7E6B824A" w14:textId="77777777" w:rsidR="00E033C2" w:rsidRDefault="00F9656F">
          <w:pPr>
            <w:tabs>
              <w:tab w:val="right" w:pos="8838"/>
            </w:tabs>
            <w:ind w:right="-32"/>
          </w:pPr>
          <w:r>
            <w:t>Ayuntamiento de Temascalcingo</w:t>
          </w:r>
        </w:p>
      </w:tc>
    </w:tr>
    <w:tr w:rsidR="00E033C2" w14:paraId="093BC2E0" w14:textId="77777777">
      <w:trPr>
        <w:trHeight w:val="261"/>
      </w:trPr>
      <w:tc>
        <w:tcPr>
          <w:tcW w:w="2691" w:type="dxa"/>
        </w:tcPr>
        <w:p w14:paraId="23110806" w14:textId="77777777" w:rsidR="00E033C2" w:rsidRDefault="00F9656F">
          <w:pPr>
            <w:tabs>
              <w:tab w:val="right" w:pos="8838"/>
            </w:tabs>
            <w:ind w:right="-105"/>
            <w:rPr>
              <w:b/>
            </w:rPr>
          </w:pPr>
          <w:r>
            <w:rPr>
              <w:b/>
            </w:rPr>
            <w:t>Comisionado Ponente:</w:t>
          </w:r>
        </w:p>
      </w:tc>
      <w:tc>
        <w:tcPr>
          <w:tcW w:w="3405" w:type="dxa"/>
        </w:tcPr>
        <w:p w14:paraId="5F6D900A" w14:textId="77777777" w:rsidR="00E033C2" w:rsidRDefault="00F9656F">
          <w:pPr>
            <w:tabs>
              <w:tab w:val="right" w:pos="8838"/>
            </w:tabs>
            <w:ind w:right="-32"/>
            <w:rPr>
              <w:b/>
            </w:rPr>
          </w:pPr>
          <w:r>
            <w:t>Luis Gustavo Parra Noriega</w:t>
          </w:r>
        </w:p>
      </w:tc>
    </w:tr>
  </w:tbl>
  <w:p w14:paraId="54AFCCC9" w14:textId="77777777" w:rsidR="00E033C2" w:rsidRDefault="00E817CA">
    <w:pPr>
      <w:pBdr>
        <w:top w:val="nil"/>
        <w:left w:val="nil"/>
        <w:bottom w:val="nil"/>
        <w:right w:val="nil"/>
        <w:between w:val="nil"/>
      </w:pBdr>
      <w:tabs>
        <w:tab w:val="center" w:pos="4419"/>
        <w:tab w:val="right" w:pos="8838"/>
      </w:tabs>
      <w:spacing w:after="0" w:line="240" w:lineRule="auto"/>
      <w:rPr>
        <w:color w:val="000000"/>
      </w:rPr>
    </w:pPr>
    <w:r>
      <w:rPr>
        <w:color w:val="000000"/>
      </w:rPr>
      <w:pict w14:anchorId="021A4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747B3" w14:textId="77777777" w:rsidR="00E033C2" w:rsidRDefault="00E817CA">
    <w:pPr>
      <w:widowControl w:val="0"/>
      <w:pBdr>
        <w:top w:val="nil"/>
        <w:left w:val="nil"/>
        <w:bottom w:val="nil"/>
        <w:right w:val="nil"/>
        <w:between w:val="nil"/>
      </w:pBdr>
      <w:spacing w:after="0" w:line="276" w:lineRule="auto"/>
      <w:jc w:val="left"/>
    </w:pPr>
    <w:r>
      <w:rPr>
        <w:color w:val="000000"/>
      </w:rPr>
      <w:pict w14:anchorId="446E9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78.3pt;margin-top:-128.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663"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268"/>
      <w:gridCol w:w="4395"/>
    </w:tblGrid>
    <w:tr w:rsidR="00E033C2" w14:paraId="6F44AD6E" w14:textId="77777777">
      <w:trPr>
        <w:trHeight w:val="138"/>
      </w:trPr>
      <w:tc>
        <w:tcPr>
          <w:tcW w:w="2268" w:type="dxa"/>
          <w:vAlign w:val="center"/>
        </w:tcPr>
        <w:p w14:paraId="35D68BA6" w14:textId="77777777" w:rsidR="00E033C2" w:rsidRDefault="00E033C2">
          <w:pPr>
            <w:tabs>
              <w:tab w:val="right" w:pos="8838"/>
            </w:tabs>
            <w:ind w:left="-108" w:right="-105"/>
            <w:jc w:val="left"/>
            <w:rPr>
              <w:b/>
            </w:rPr>
          </w:pPr>
        </w:p>
        <w:p w14:paraId="02B82F2F" w14:textId="77777777" w:rsidR="00E033C2" w:rsidRDefault="00F9656F">
          <w:pPr>
            <w:tabs>
              <w:tab w:val="right" w:pos="8838"/>
            </w:tabs>
            <w:ind w:left="-108" w:right="-105"/>
            <w:jc w:val="left"/>
            <w:rPr>
              <w:b/>
            </w:rPr>
          </w:pPr>
          <w:r>
            <w:rPr>
              <w:b/>
            </w:rPr>
            <w:t>Recurso de Revisión:</w:t>
          </w:r>
        </w:p>
      </w:tc>
      <w:tc>
        <w:tcPr>
          <w:tcW w:w="4395" w:type="dxa"/>
        </w:tcPr>
        <w:p w14:paraId="6EF6C350" w14:textId="77777777" w:rsidR="00E033C2" w:rsidRDefault="00E033C2">
          <w:pPr>
            <w:tabs>
              <w:tab w:val="right" w:pos="8838"/>
            </w:tabs>
            <w:ind w:right="57"/>
          </w:pPr>
        </w:p>
        <w:p w14:paraId="0BAFB879" w14:textId="77777777" w:rsidR="00E033C2" w:rsidRDefault="00F9656F">
          <w:pPr>
            <w:tabs>
              <w:tab w:val="right" w:pos="8838"/>
            </w:tabs>
            <w:ind w:right="57"/>
          </w:pPr>
          <w:r>
            <w:t>06536/INFOEM/IP/RR/2025</w:t>
          </w:r>
        </w:p>
      </w:tc>
    </w:tr>
    <w:tr w:rsidR="00E033C2" w14:paraId="50861682" w14:textId="77777777">
      <w:trPr>
        <w:trHeight w:val="273"/>
      </w:trPr>
      <w:tc>
        <w:tcPr>
          <w:tcW w:w="2268" w:type="dxa"/>
        </w:tcPr>
        <w:p w14:paraId="38BE4CFF" w14:textId="77777777" w:rsidR="00E033C2" w:rsidRDefault="00F9656F">
          <w:pPr>
            <w:tabs>
              <w:tab w:val="right" w:pos="8838"/>
            </w:tabs>
            <w:ind w:left="-108" w:right="-105"/>
            <w:rPr>
              <w:b/>
            </w:rPr>
          </w:pPr>
          <w:r>
            <w:rPr>
              <w:b/>
            </w:rPr>
            <w:t>Sujeto Obligado:</w:t>
          </w:r>
        </w:p>
      </w:tc>
      <w:tc>
        <w:tcPr>
          <w:tcW w:w="4395" w:type="dxa"/>
        </w:tcPr>
        <w:p w14:paraId="779CAC2C" w14:textId="77777777" w:rsidR="00E033C2" w:rsidRDefault="00F9656F">
          <w:pPr>
            <w:tabs>
              <w:tab w:val="right" w:pos="8838"/>
            </w:tabs>
            <w:ind w:right="175"/>
          </w:pPr>
          <w:r>
            <w:t>Ayuntamiento de Ixtapaluca</w:t>
          </w:r>
        </w:p>
      </w:tc>
    </w:tr>
    <w:tr w:rsidR="00E033C2" w14:paraId="41FCCEBB" w14:textId="77777777">
      <w:trPr>
        <w:trHeight w:val="273"/>
      </w:trPr>
      <w:tc>
        <w:tcPr>
          <w:tcW w:w="2268" w:type="dxa"/>
        </w:tcPr>
        <w:p w14:paraId="431A6340" w14:textId="77777777" w:rsidR="00E033C2" w:rsidRDefault="00F9656F">
          <w:pPr>
            <w:tabs>
              <w:tab w:val="right" w:pos="8838"/>
            </w:tabs>
            <w:ind w:left="-108" w:right="-105"/>
            <w:rPr>
              <w:b/>
            </w:rPr>
          </w:pPr>
          <w:r>
            <w:rPr>
              <w:b/>
            </w:rPr>
            <w:t>Comisionado Ponente:</w:t>
          </w:r>
        </w:p>
      </w:tc>
      <w:tc>
        <w:tcPr>
          <w:tcW w:w="4395" w:type="dxa"/>
        </w:tcPr>
        <w:p w14:paraId="665E68E9" w14:textId="77777777" w:rsidR="00E033C2" w:rsidRDefault="00F9656F">
          <w:pPr>
            <w:tabs>
              <w:tab w:val="right" w:pos="8838"/>
            </w:tabs>
            <w:ind w:right="-170"/>
          </w:pPr>
          <w:r>
            <w:t>Luis Gustavo Parra Noriega</w:t>
          </w:r>
        </w:p>
        <w:p w14:paraId="4EEBAA9B" w14:textId="77777777" w:rsidR="00E033C2" w:rsidRDefault="00E033C2">
          <w:pPr>
            <w:tabs>
              <w:tab w:val="right" w:pos="8838"/>
            </w:tabs>
            <w:ind w:right="-170"/>
            <w:rPr>
              <w:b/>
              <w:sz w:val="13"/>
              <w:szCs w:val="13"/>
            </w:rPr>
          </w:pPr>
        </w:p>
      </w:tc>
    </w:tr>
  </w:tbl>
  <w:p w14:paraId="1A93AE48" w14:textId="77777777" w:rsidR="00E033C2" w:rsidRDefault="00E033C2">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E421C" w14:textId="77777777" w:rsidR="00E033C2" w:rsidRDefault="00E033C2">
    <w:pPr>
      <w:widowControl w:val="0"/>
      <w:pBdr>
        <w:top w:val="nil"/>
        <w:left w:val="nil"/>
        <w:bottom w:val="nil"/>
        <w:right w:val="nil"/>
        <w:between w:val="nil"/>
      </w:pBdr>
      <w:spacing w:after="0" w:line="276" w:lineRule="auto"/>
      <w:jc w:val="left"/>
      <w:rPr>
        <w:color w:val="000000"/>
      </w:rPr>
    </w:pPr>
  </w:p>
  <w:tbl>
    <w:tblPr>
      <w:tblStyle w:val="a1"/>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E033C2" w14:paraId="1D01CED1" w14:textId="77777777">
      <w:trPr>
        <w:trHeight w:val="132"/>
      </w:trPr>
      <w:tc>
        <w:tcPr>
          <w:tcW w:w="2551" w:type="dxa"/>
        </w:tcPr>
        <w:p w14:paraId="029B1094" w14:textId="77777777" w:rsidR="00E033C2" w:rsidRDefault="00F9656F">
          <w:pPr>
            <w:tabs>
              <w:tab w:val="right" w:pos="8838"/>
            </w:tabs>
            <w:ind w:right="-105"/>
            <w:rPr>
              <w:b/>
            </w:rPr>
          </w:pPr>
          <w:r>
            <w:rPr>
              <w:b/>
            </w:rPr>
            <w:t>Recurso de Revisión:</w:t>
          </w:r>
        </w:p>
      </w:tc>
      <w:tc>
        <w:tcPr>
          <w:tcW w:w="4253" w:type="dxa"/>
        </w:tcPr>
        <w:p w14:paraId="11D7C088" w14:textId="77777777" w:rsidR="00E033C2" w:rsidRDefault="00F9656F">
          <w:r>
            <w:t>06536/INFOEM/IP/RR/2025</w:t>
          </w:r>
        </w:p>
      </w:tc>
    </w:tr>
    <w:tr w:rsidR="00E033C2" w14:paraId="17189007" w14:textId="77777777">
      <w:trPr>
        <w:trHeight w:val="132"/>
      </w:trPr>
      <w:tc>
        <w:tcPr>
          <w:tcW w:w="2551" w:type="dxa"/>
        </w:tcPr>
        <w:p w14:paraId="6967F540" w14:textId="77777777" w:rsidR="00E033C2" w:rsidRDefault="00F9656F">
          <w:pPr>
            <w:tabs>
              <w:tab w:val="left" w:pos="1875"/>
            </w:tabs>
            <w:ind w:right="-105"/>
            <w:rPr>
              <w:b/>
            </w:rPr>
          </w:pPr>
          <w:r>
            <w:rPr>
              <w:b/>
            </w:rPr>
            <w:t>Recurrente:</w:t>
          </w:r>
          <w:r>
            <w:rPr>
              <w:b/>
            </w:rPr>
            <w:tab/>
          </w:r>
        </w:p>
      </w:tc>
      <w:tc>
        <w:tcPr>
          <w:tcW w:w="4253" w:type="dxa"/>
        </w:tcPr>
        <w:p w14:paraId="54388379" w14:textId="6A2A5616" w:rsidR="00E033C2" w:rsidRDefault="00EC18A4">
          <w:r w:rsidRPr="00EC18A4">
            <w:rPr>
              <w:highlight w:val="black"/>
            </w:rPr>
            <w:t>XXXXXXXXXXXXXXXXX</w:t>
          </w:r>
        </w:p>
      </w:tc>
    </w:tr>
    <w:tr w:rsidR="00E033C2" w14:paraId="1073E216" w14:textId="77777777">
      <w:trPr>
        <w:trHeight w:val="261"/>
      </w:trPr>
      <w:tc>
        <w:tcPr>
          <w:tcW w:w="2551" w:type="dxa"/>
        </w:tcPr>
        <w:p w14:paraId="245A1291" w14:textId="77777777" w:rsidR="00E033C2" w:rsidRDefault="00F9656F">
          <w:pPr>
            <w:tabs>
              <w:tab w:val="right" w:pos="8838"/>
            </w:tabs>
            <w:ind w:right="-105"/>
            <w:rPr>
              <w:b/>
            </w:rPr>
          </w:pPr>
          <w:r>
            <w:rPr>
              <w:b/>
            </w:rPr>
            <w:t>Sujeto Obligado:</w:t>
          </w:r>
        </w:p>
      </w:tc>
      <w:tc>
        <w:tcPr>
          <w:tcW w:w="4253" w:type="dxa"/>
        </w:tcPr>
        <w:p w14:paraId="2E871D18" w14:textId="77777777" w:rsidR="00E033C2" w:rsidRDefault="00F9656F">
          <w:r>
            <w:t>Ayuntamiento de Ixtapaluca</w:t>
          </w:r>
        </w:p>
      </w:tc>
    </w:tr>
    <w:tr w:rsidR="00E033C2" w14:paraId="6E7B5873" w14:textId="77777777">
      <w:trPr>
        <w:trHeight w:val="261"/>
      </w:trPr>
      <w:tc>
        <w:tcPr>
          <w:tcW w:w="2551" w:type="dxa"/>
        </w:tcPr>
        <w:p w14:paraId="48B51A97" w14:textId="77777777" w:rsidR="00E033C2" w:rsidRDefault="00F9656F">
          <w:pPr>
            <w:tabs>
              <w:tab w:val="right" w:pos="8838"/>
            </w:tabs>
            <w:ind w:right="-105"/>
            <w:rPr>
              <w:b/>
            </w:rPr>
          </w:pPr>
          <w:r>
            <w:rPr>
              <w:b/>
            </w:rPr>
            <w:t>Comisionado Ponente:</w:t>
          </w:r>
        </w:p>
      </w:tc>
      <w:tc>
        <w:tcPr>
          <w:tcW w:w="4253" w:type="dxa"/>
        </w:tcPr>
        <w:p w14:paraId="66CA0053" w14:textId="77777777" w:rsidR="00E033C2" w:rsidRDefault="00F9656F">
          <w:pPr>
            <w:tabs>
              <w:tab w:val="right" w:pos="8838"/>
            </w:tabs>
            <w:ind w:right="-32"/>
            <w:rPr>
              <w:b/>
            </w:rPr>
          </w:pPr>
          <w:r>
            <w:t>Luis Gustavo Parra Noriega</w:t>
          </w:r>
        </w:p>
      </w:tc>
    </w:tr>
  </w:tbl>
  <w:p w14:paraId="0CFD2DFD" w14:textId="77777777" w:rsidR="00E033C2" w:rsidRDefault="00E817CA">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626F1A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43E37"/>
    <w:multiLevelType w:val="multilevel"/>
    <w:tmpl w:val="FF6088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7F20E0"/>
    <w:multiLevelType w:val="multilevel"/>
    <w:tmpl w:val="C4AC8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1B7159"/>
    <w:multiLevelType w:val="multilevel"/>
    <w:tmpl w:val="67940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AD0955"/>
    <w:multiLevelType w:val="multilevel"/>
    <w:tmpl w:val="654EF8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157E0B"/>
    <w:multiLevelType w:val="multilevel"/>
    <w:tmpl w:val="5EDA6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DC03DB"/>
    <w:multiLevelType w:val="multilevel"/>
    <w:tmpl w:val="2CFC492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A61D81"/>
    <w:multiLevelType w:val="multilevel"/>
    <w:tmpl w:val="19EAA4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4E53F7"/>
    <w:multiLevelType w:val="multilevel"/>
    <w:tmpl w:val="FAC2A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DB22ECD"/>
    <w:multiLevelType w:val="multilevel"/>
    <w:tmpl w:val="32869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D6757F"/>
    <w:multiLevelType w:val="multilevel"/>
    <w:tmpl w:val="A644EEF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7"/>
  </w:num>
  <w:num w:numId="3">
    <w:abstractNumId w:val="1"/>
  </w:num>
  <w:num w:numId="4">
    <w:abstractNumId w:val="6"/>
  </w:num>
  <w:num w:numId="5">
    <w:abstractNumId w:val="5"/>
  </w:num>
  <w:num w:numId="6">
    <w:abstractNumId w:val="8"/>
  </w:num>
  <w:num w:numId="7">
    <w:abstractNumId w:val="2"/>
  </w:num>
  <w:num w:numId="8">
    <w:abstractNumId w:val="9"/>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3C2"/>
    <w:rsid w:val="0018739B"/>
    <w:rsid w:val="004C01F5"/>
    <w:rsid w:val="00986260"/>
    <w:rsid w:val="009E30AA"/>
    <w:rsid w:val="00BD166F"/>
    <w:rsid w:val="00D2461C"/>
    <w:rsid w:val="00E033C2"/>
    <w:rsid w:val="00E817CA"/>
    <w:rsid w:val="00EC18A4"/>
    <w:rsid w:val="00F9656F"/>
    <w:rsid w:val="00FF36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1F5211"/>
  <w15:docId w15:val="{B4B155C0-8EA0-42E5-9A4A-60E76F679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6A34"/>
    <w:rPr>
      <w:color w:val="605E5C"/>
      <w:shd w:val="clear" w:color="auto" w:fill="E1DFDD"/>
    </w:rPr>
  </w:style>
  <w:style w:type="character" w:customStyle="1" w:styleId="Mencinsinresolver5">
    <w:name w:val="Mención sin resolver5"/>
    <w:basedOn w:val="Fuentedeprrafopredeter"/>
    <w:uiPriority w:val="99"/>
    <w:semiHidden/>
    <w:unhideWhenUsed/>
    <w:rsid w:val="0065190E"/>
    <w:rPr>
      <w:color w:val="605E5C"/>
      <w:shd w:val="clear" w:color="auto" w:fill="E1DFDD"/>
    </w:rPr>
  </w:style>
  <w:style w:type="character" w:customStyle="1" w:styleId="Mencinsinresolver6">
    <w:name w:val="Mención sin resolver6"/>
    <w:basedOn w:val="Fuentedeprrafopredeter"/>
    <w:uiPriority w:val="99"/>
    <w:semiHidden/>
    <w:unhideWhenUsed/>
    <w:rsid w:val="00EE220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ebapps.condusef.gob.mx/SIPRES/jsp/pub/index.jsp"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dusef.gob.mx/Revista/index.php/usuario-inteligente/condusef-responde/777-la-condusef-te-puede-ayudar"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bFgJIRA9bdlkBrXLxyEriwimtw==">CgMxLjAyDmgueHB0anN2cnpyZ2ExMg5oLjh4YmwybWxzYTd0eDIOaC43ZjBlZ2JwMHVvYzkyDmguaTRrZTZqbWQ4N3RxMg5oLnhsdDlvbHNsMDJ2cDIOaC5oeTdwY2UxeXI0N2oyDmgucTA1N2xiaDhpcmNvMgloLjMwajB6bGwyDmguaG9oeWJraWxuOHUzMg5oLnJiZDVwdW9kaDB5NzIOaC5iZ2hscmo4Z3k0ODIyDmgueGhzNXVxbjdsZWpqMg5oLjVrZXNwdWwxbTdjcTIOaC5wNXE3dWh5MGgwNG4yDmguOWl3OHQyaGZ4bjh1Mg5oLm5yaTdxanF3YjB3bzgAciExakw2bzg3MjZiaVZnT3dkX2pzS244UmkwckNJOWU4Q2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BC98BE-E3D4-4CE4-A012-E6B94E959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10698</Words>
  <Characters>58845</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69405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2025-11-07T06:09:00Z</cp:lastPrinted>
  <dcterms:created xsi:type="dcterms:W3CDTF">2025-11-07T06:09:00Z</dcterms:created>
  <dcterms:modified xsi:type="dcterms:W3CDTF">2025-12-09T00:30:00Z</dcterms:modified>
</cp:coreProperties>
</file>