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E326" w14:textId="5F5B9EEE" w:rsidR="007A0F20" w:rsidRPr="001D0667" w:rsidRDefault="004C6F20">
      <w:pPr>
        <w:spacing w:before="240" w:after="240"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 xml:space="preserve">                                                                                                                                                                                                             </w:t>
      </w:r>
      <w:r w:rsidR="00BE1A1C" w:rsidRPr="001D066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562FAB" w:rsidRPr="001D0667">
        <w:rPr>
          <w:rFonts w:ascii="Palatino Linotype" w:eastAsia="Palatino Linotype" w:hAnsi="Palatino Linotype" w:cs="Palatino Linotype"/>
          <w:sz w:val="22"/>
          <w:szCs w:val="22"/>
        </w:rPr>
        <w:t>doce</w:t>
      </w:r>
      <w:r w:rsidR="00F92400" w:rsidRPr="001D0667">
        <w:rPr>
          <w:rFonts w:ascii="Palatino Linotype" w:eastAsia="Palatino Linotype" w:hAnsi="Palatino Linotype" w:cs="Palatino Linotype"/>
          <w:sz w:val="22"/>
          <w:szCs w:val="22"/>
        </w:rPr>
        <w:t xml:space="preserve"> </w:t>
      </w:r>
      <w:r w:rsidR="00BE1A1C" w:rsidRPr="001D0667">
        <w:rPr>
          <w:rFonts w:ascii="Palatino Linotype" w:eastAsia="Palatino Linotype" w:hAnsi="Palatino Linotype" w:cs="Palatino Linotype"/>
          <w:sz w:val="22"/>
          <w:szCs w:val="22"/>
        </w:rPr>
        <w:t xml:space="preserve">de </w:t>
      </w:r>
      <w:r w:rsidR="00562FAB" w:rsidRPr="001D0667">
        <w:rPr>
          <w:rFonts w:ascii="Palatino Linotype" w:eastAsia="Palatino Linotype" w:hAnsi="Palatino Linotype" w:cs="Palatino Linotype"/>
          <w:sz w:val="22"/>
          <w:szCs w:val="22"/>
        </w:rPr>
        <w:t>marzo</w:t>
      </w:r>
      <w:r w:rsidR="00BE1A1C" w:rsidRPr="001D0667">
        <w:rPr>
          <w:rFonts w:ascii="Palatino Linotype" w:eastAsia="Palatino Linotype" w:hAnsi="Palatino Linotype" w:cs="Palatino Linotype"/>
          <w:sz w:val="22"/>
          <w:szCs w:val="22"/>
        </w:rPr>
        <w:t xml:space="preserve"> de dos mil veinticinco. </w:t>
      </w:r>
    </w:p>
    <w:p w14:paraId="10532B55" w14:textId="61242F44" w:rsidR="007A0F20" w:rsidRPr="001D0667" w:rsidRDefault="00BE1A1C">
      <w:pPr>
        <w:spacing w:before="240" w:after="240"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b/>
          <w:sz w:val="22"/>
          <w:szCs w:val="22"/>
        </w:rPr>
        <w:t>VISTO</w:t>
      </w:r>
      <w:r w:rsidRPr="001D0667">
        <w:rPr>
          <w:rFonts w:ascii="Palatino Linotype" w:eastAsia="Palatino Linotype" w:hAnsi="Palatino Linotype" w:cs="Palatino Linotype"/>
          <w:sz w:val="22"/>
          <w:szCs w:val="22"/>
        </w:rPr>
        <w:t xml:space="preserve"> el expediente formado con motivo del recurso de revisión </w:t>
      </w:r>
      <w:r w:rsidR="006C4467" w:rsidRPr="001D0667">
        <w:rPr>
          <w:rFonts w:ascii="Palatino Linotype" w:eastAsia="Palatino Linotype" w:hAnsi="Palatino Linotype" w:cs="Palatino Linotype"/>
          <w:b/>
          <w:sz w:val="22"/>
          <w:szCs w:val="22"/>
        </w:rPr>
        <w:t>00</w:t>
      </w:r>
      <w:r w:rsidR="00C36BC7" w:rsidRPr="001D0667">
        <w:rPr>
          <w:rFonts w:ascii="Palatino Linotype" w:eastAsia="Palatino Linotype" w:hAnsi="Palatino Linotype" w:cs="Palatino Linotype"/>
          <w:b/>
          <w:sz w:val="22"/>
          <w:szCs w:val="22"/>
        </w:rPr>
        <w:t>899</w:t>
      </w:r>
      <w:r w:rsidR="006C4467" w:rsidRPr="001D0667">
        <w:rPr>
          <w:rFonts w:ascii="Palatino Linotype" w:eastAsia="Palatino Linotype" w:hAnsi="Palatino Linotype" w:cs="Palatino Linotype"/>
          <w:b/>
          <w:sz w:val="22"/>
          <w:szCs w:val="22"/>
        </w:rPr>
        <w:t>/INFOEM/IP/RR/2025</w:t>
      </w:r>
      <w:r w:rsidRPr="001D0667">
        <w:rPr>
          <w:rFonts w:ascii="Palatino Linotype" w:eastAsia="Palatino Linotype" w:hAnsi="Palatino Linotype" w:cs="Palatino Linotype"/>
          <w:sz w:val="22"/>
          <w:szCs w:val="22"/>
        </w:rPr>
        <w:t>, por</w:t>
      </w:r>
      <w:r w:rsidRPr="001D0667">
        <w:rPr>
          <w:rFonts w:ascii="Palatino Linotype" w:eastAsia="Palatino Linotype" w:hAnsi="Palatino Linotype" w:cs="Palatino Linotype"/>
          <w:b/>
          <w:sz w:val="22"/>
          <w:szCs w:val="22"/>
        </w:rPr>
        <w:t xml:space="preserve"> </w:t>
      </w:r>
      <w:r w:rsidRPr="001D0667">
        <w:rPr>
          <w:rFonts w:ascii="Palatino Linotype" w:eastAsia="Palatino Linotype" w:hAnsi="Palatino Linotype" w:cs="Palatino Linotype"/>
          <w:sz w:val="22"/>
          <w:szCs w:val="22"/>
        </w:rPr>
        <w:t>interpuesto por</w:t>
      </w:r>
      <w:r w:rsidRPr="001D0667">
        <w:rPr>
          <w:rFonts w:ascii="Palatino Linotype" w:eastAsia="Palatino Linotype" w:hAnsi="Palatino Linotype" w:cs="Palatino Linotype"/>
          <w:b/>
          <w:sz w:val="22"/>
          <w:szCs w:val="22"/>
        </w:rPr>
        <w:t xml:space="preserve"> </w:t>
      </w:r>
      <w:r w:rsidR="006A3045" w:rsidRPr="006A3045">
        <w:rPr>
          <w:rFonts w:ascii="Palatino Linotype" w:eastAsia="Palatino Linotype" w:hAnsi="Palatino Linotype" w:cs="Palatino Linotype"/>
          <w:b/>
          <w:sz w:val="22"/>
          <w:szCs w:val="22"/>
        </w:rPr>
        <w:t>XXXXXXX XXXXXX XXXXX</w:t>
      </w:r>
      <w:r w:rsidRPr="001D0667">
        <w:rPr>
          <w:rFonts w:ascii="Palatino Linotype" w:eastAsia="Palatino Linotype" w:hAnsi="Palatino Linotype" w:cs="Palatino Linotype"/>
          <w:b/>
          <w:sz w:val="22"/>
          <w:szCs w:val="22"/>
        </w:rPr>
        <w:t>,</w:t>
      </w:r>
      <w:r w:rsidRPr="001D0667">
        <w:rPr>
          <w:rFonts w:ascii="Palatino Linotype" w:eastAsia="Palatino Linotype" w:hAnsi="Palatino Linotype" w:cs="Palatino Linotype"/>
          <w:sz w:val="22"/>
          <w:szCs w:val="22"/>
        </w:rPr>
        <w:t xml:space="preserve"> en lo sucesivo la parte </w:t>
      </w:r>
      <w:r w:rsidRPr="001D0667">
        <w:rPr>
          <w:rFonts w:ascii="Palatino Linotype" w:eastAsia="Palatino Linotype" w:hAnsi="Palatino Linotype" w:cs="Palatino Linotype"/>
          <w:b/>
          <w:sz w:val="22"/>
          <w:szCs w:val="22"/>
        </w:rPr>
        <w:t>RECURRENTE,</w:t>
      </w:r>
      <w:r w:rsidRPr="001D0667">
        <w:rPr>
          <w:rFonts w:ascii="Palatino Linotype" w:eastAsia="Palatino Linotype" w:hAnsi="Palatino Linotype" w:cs="Palatino Linotype"/>
          <w:sz w:val="22"/>
          <w:szCs w:val="22"/>
        </w:rPr>
        <w:t xml:space="preserve"> en contra de la respuesta a su solicitud por parte de</w:t>
      </w:r>
      <w:r w:rsidR="00C36BC7" w:rsidRPr="001D0667">
        <w:rPr>
          <w:rFonts w:ascii="Palatino Linotype" w:eastAsia="Palatino Linotype" w:hAnsi="Palatino Linotype" w:cs="Palatino Linotype"/>
          <w:sz w:val="22"/>
          <w:szCs w:val="22"/>
        </w:rPr>
        <w:t xml:space="preserve"> </w:t>
      </w:r>
      <w:r w:rsidRPr="001D0667">
        <w:rPr>
          <w:rFonts w:ascii="Palatino Linotype" w:eastAsia="Palatino Linotype" w:hAnsi="Palatino Linotype" w:cs="Palatino Linotype"/>
          <w:sz w:val="22"/>
          <w:szCs w:val="22"/>
        </w:rPr>
        <w:t>l</w:t>
      </w:r>
      <w:r w:rsidR="00C36BC7" w:rsidRPr="001D0667">
        <w:rPr>
          <w:rFonts w:ascii="Palatino Linotype" w:eastAsia="Palatino Linotype" w:hAnsi="Palatino Linotype" w:cs="Palatino Linotype"/>
          <w:sz w:val="22"/>
          <w:szCs w:val="22"/>
        </w:rPr>
        <w:t>a</w:t>
      </w:r>
      <w:r w:rsidRPr="001D0667">
        <w:rPr>
          <w:rFonts w:ascii="Palatino Linotype" w:eastAsia="Palatino Linotype" w:hAnsi="Palatino Linotype" w:cs="Palatino Linotype"/>
          <w:sz w:val="22"/>
          <w:szCs w:val="22"/>
        </w:rPr>
        <w:t xml:space="preserve"> </w:t>
      </w:r>
      <w:r w:rsidR="00C36BC7" w:rsidRPr="001D0667">
        <w:rPr>
          <w:rFonts w:ascii="Palatino Linotype" w:eastAsia="Palatino Linotype" w:hAnsi="Palatino Linotype" w:cs="Palatino Linotype"/>
          <w:b/>
          <w:sz w:val="22"/>
          <w:szCs w:val="22"/>
        </w:rPr>
        <w:t>Fiscalía General de Justicia del Estado de México</w:t>
      </w:r>
      <w:r w:rsidRPr="001D0667">
        <w:rPr>
          <w:rFonts w:ascii="Palatino Linotype" w:eastAsia="Palatino Linotype" w:hAnsi="Palatino Linotype" w:cs="Palatino Linotype"/>
          <w:b/>
          <w:sz w:val="22"/>
          <w:szCs w:val="22"/>
        </w:rPr>
        <w:t xml:space="preserve">, </w:t>
      </w:r>
      <w:r w:rsidRPr="001D0667">
        <w:rPr>
          <w:rFonts w:ascii="Palatino Linotype" w:eastAsia="Palatino Linotype" w:hAnsi="Palatino Linotype" w:cs="Palatino Linotype"/>
          <w:sz w:val="22"/>
          <w:szCs w:val="22"/>
        </w:rPr>
        <w:t xml:space="preserve">en lo sucesivo el </w:t>
      </w:r>
      <w:r w:rsidRPr="001D0667">
        <w:rPr>
          <w:rFonts w:ascii="Palatino Linotype" w:eastAsia="Palatino Linotype" w:hAnsi="Palatino Linotype" w:cs="Palatino Linotype"/>
          <w:b/>
          <w:sz w:val="22"/>
          <w:szCs w:val="22"/>
        </w:rPr>
        <w:t xml:space="preserve">SUJETO OBLIGADO, </w:t>
      </w:r>
      <w:r w:rsidRPr="001D0667">
        <w:rPr>
          <w:rFonts w:ascii="Palatino Linotype" w:eastAsia="Palatino Linotype" w:hAnsi="Palatino Linotype" w:cs="Palatino Linotype"/>
          <w:sz w:val="22"/>
          <w:szCs w:val="22"/>
        </w:rPr>
        <w:t xml:space="preserve">se procede a dictar la presente resolución con base en los siguientes: </w:t>
      </w:r>
      <w:r w:rsidR="00C45327" w:rsidRPr="001D0667">
        <w:rPr>
          <w:rFonts w:ascii="Palatino Linotype" w:eastAsia="Palatino Linotype" w:hAnsi="Palatino Linotype" w:cs="Palatino Linotype"/>
          <w:sz w:val="22"/>
          <w:szCs w:val="22"/>
        </w:rPr>
        <w:t xml:space="preserve"> </w:t>
      </w:r>
    </w:p>
    <w:p w14:paraId="61B21F8A" w14:textId="77777777" w:rsidR="007A0F20" w:rsidRPr="001D0667" w:rsidRDefault="00BE1A1C">
      <w:pPr>
        <w:spacing w:before="240" w:after="240" w:line="360" w:lineRule="auto"/>
        <w:jc w:val="center"/>
        <w:rPr>
          <w:rFonts w:ascii="Palatino Linotype" w:eastAsia="Palatino Linotype" w:hAnsi="Palatino Linotype" w:cs="Palatino Linotype"/>
          <w:b/>
          <w:sz w:val="22"/>
          <w:szCs w:val="22"/>
        </w:rPr>
      </w:pPr>
      <w:r w:rsidRPr="001D0667">
        <w:rPr>
          <w:rFonts w:ascii="Palatino Linotype" w:eastAsia="Palatino Linotype" w:hAnsi="Palatino Linotype" w:cs="Palatino Linotype"/>
          <w:b/>
          <w:sz w:val="22"/>
          <w:szCs w:val="22"/>
        </w:rPr>
        <w:t>I. A N T E C E D E N T E S</w:t>
      </w:r>
    </w:p>
    <w:p w14:paraId="0970CBCD" w14:textId="79344366" w:rsidR="007A0F20" w:rsidRPr="001D0667" w:rsidRDefault="00BE1A1C">
      <w:pPr>
        <w:spacing w:before="240" w:after="240"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b/>
          <w:sz w:val="22"/>
          <w:szCs w:val="22"/>
        </w:rPr>
        <w:t>1. Solicitud de acceso a la información.</w:t>
      </w:r>
      <w:r w:rsidRPr="001D0667">
        <w:rPr>
          <w:rFonts w:ascii="Palatino Linotype" w:eastAsia="Palatino Linotype" w:hAnsi="Palatino Linotype" w:cs="Palatino Linotype"/>
          <w:sz w:val="22"/>
          <w:szCs w:val="22"/>
        </w:rPr>
        <w:t xml:space="preserve"> Con fecha </w:t>
      </w:r>
      <w:r w:rsidR="00C36BC7" w:rsidRPr="001D0667">
        <w:rPr>
          <w:rFonts w:ascii="Palatino Linotype" w:eastAsia="Palatino Linotype" w:hAnsi="Palatino Linotype" w:cs="Palatino Linotype"/>
          <w:b/>
          <w:bCs/>
          <w:sz w:val="22"/>
          <w:szCs w:val="22"/>
        </w:rPr>
        <w:t>veinti</w:t>
      </w:r>
      <w:r w:rsidR="00305619" w:rsidRPr="001D0667">
        <w:rPr>
          <w:rFonts w:ascii="Palatino Linotype" w:eastAsia="Palatino Linotype" w:hAnsi="Palatino Linotype" w:cs="Palatino Linotype"/>
          <w:b/>
          <w:bCs/>
          <w:sz w:val="22"/>
          <w:szCs w:val="22"/>
        </w:rPr>
        <w:t xml:space="preserve">séis </w:t>
      </w:r>
      <w:r w:rsidRPr="001D0667">
        <w:rPr>
          <w:rFonts w:ascii="Palatino Linotype" w:eastAsia="Palatino Linotype" w:hAnsi="Palatino Linotype" w:cs="Palatino Linotype"/>
          <w:b/>
          <w:sz w:val="22"/>
          <w:szCs w:val="22"/>
        </w:rPr>
        <w:t xml:space="preserve">de </w:t>
      </w:r>
      <w:r w:rsidR="006C4467" w:rsidRPr="001D0667">
        <w:rPr>
          <w:rFonts w:ascii="Palatino Linotype" w:eastAsia="Palatino Linotype" w:hAnsi="Palatino Linotype" w:cs="Palatino Linotype"/>
          <w:b/>
          <w:sz w:val="22"/>
          <w:szCs w:val="22"/>
        </w:rPr>
        <w:t>enero de dos mil veinticinco</w:t>
      </w:r>
      <w:r w:rsidRPr="001D0667">
        <w:rPr>
          <w:rFonts w:ascii="Palatino Linotype" w:eastAsia="Palatino Linotype" w:hAnsi="Palatino Linotype" w:cs="Palatino Linotype"/>
          <w:sz w:val="22"/>
          <w:szCs w:val="22"/>
        </w:rPr>
        <w:t>, el Re</w:t>
      </w:r>
      <w:r w:rsidR="006C4467" w:rsidRPr="001D0667">
        <w:rPr>
          <w:rFonts w:ascii="Palatino Linotype" w:eastAsia="Palatino Linotype" w:hAnsi="Palatino Linotype" w:cs="Palatino Linotype"/>
          <w:sz w:val="22"/>
          <w:szCs w:val="22"/>
        </w:rPr>
        <w:t>currente formuló una solicitu</w:t>
      </w:r>
      <w:r w:rsidR="00C36BC7" w:rsidRPr="001D0667">
        <w:rPr>
          <w:rFonts w:ascii="Palatino Linotype" w:eastAsia="Palatino Linotype" w:hAnsi="Palatino Linotype" w:cs="Palatino Linotype"/>
          <w:sz w:val="22"/>
          <w:szCs w:val="22"/>
        </w:rPr>
        <w:t>d</w:t>
      </w:r>
      <w:r w:rsidR="00305619" w:rsidRPr="001D0667">
        <w:rPr>
          <w:rFonts w:ascii="Palatino Linotype" w:eastAsia="Palatino Linotype" w:hAnsi="Palatino Linotype" w:cs="Palatino Linotype"/>
          <w:sz w:val="22"/>
          <w:szCs w:val="22"/>
        </w:rPr>
        <w:t xml:space="preserve">; sin embargo, al corresponder a día inhábil se tuvo por presentada el día </w:t>
      </w:r>
      <w:r w:rsidR="00305619" w:rsidRPr="001D0667">
        <w:rPr>
          <w:rFonts w:ascii="Palatino Linotype" w:eastAsia="Palatino Linotype" w:hAnsi="Palatino Linotype" w:cs="Palatino Linotype"/>
          <w:b/>
          <w:bCs/>
          <w:sz w:val="22"/>
          <w:szCs w:val="22"/>
        </w:rPr>
        <w:t>veintisiete de enero de dos mil veinticinco</w:t>
      </w:r>
      <w:r w:rsidR="00305619" w:rsidRPr="001D0667">
        <w:rPr>
          <w:rFonts w:ascii="Palatino Linotype" w:eastAsia="Palatino Linotype" w:hAnsi="Palatino Linotype" w:cs="Palatino Linotype"/>
          <w:sz w:val="22"/>
          <w:szCs w:val="22"/>
        </w:rPr>
        <w:t>,</w:t>
      </w:r>
      <w:r w:rsidR="006C4467" w:rsidRPr="001D0667">
        <w:rPr>
          <w:rFonts w:ascii="Palatino Linotype" w:eastAsia="Palatino Linotype" w:hAnsi="Palatino Linotype" w:cs="Palatino Linotype"/>
          <w:sz w:val="22"/>
          <w:szCs w:val="22"/>
        </w:rPr>
        <w:t xml:space="preserve"> </w:t>
      </w:r>
      <w:r w:rsidRPr="001D0667">
        <w:rPr>
          <w:rFonts w:ascii="Palatino Linotype" w:eastAsia="Palatino Linotype" w:hAnsi="Palatino Linotype" w:cs="Palatino Linotype"/>
          <w:sz w:val="22"/>
          <w:szCs w:val="22"/>
        </w:rPr>
        <w:t xml:space="preserve">través del Sistema de Acceso a la Información Mexiquense, en lo subsecuente el </w:t>
      </w:r>
      <w:r w:rsidRPr="001D0667">
        <w:rPr>
          <w:rFonts w:ascii="Palatino Linotype" w:eastAsia="Palatino Linotype" w:hAnsi="Palatino Linotype" w:cs="Palatino Linotype"/>
          <w:b/>
          <w:sz w:val="22"/>
          <w:szCs w:val="22"/>
        </w:rPr>
        <w:t>SAIMEX,</w:t>
      </w:r>
      <w:r w:rsidRPr="001D0667">
        <w:rPr>
          <w:rFonts w:ascii="Palatino Linotype" w:eastAsia="Palatino Linotype" w:hAnsi="Palatino Linotype" w:cs="Palatino Linotype"/>
          <w:sz w:val="22"/>
          <w:szCs w:val="22"/>
        </w:rPr>
        <w:t xml:space="preserve"> ante el </w:t>
      </w:r>
      <w:r w:rsidRPr="001D0667">
        <w:rPr>
          <w:rFonts w:ascii="Palatino Linotype" w:eastAsia="Palatino Linotype" w:hAnsi="Palatino Linotype" w:cs="Palatino Linotype"/>
          <w:b/>
          <w:sz w:val="22"/>
          <w:szCs w:val="22"/>
        </w:rPr>
        <w:t>SUJETO OBLIGADO</w:t>
      </w:r>
      <w:r w:rsidRPr="001D0667">
        <w:rPr>
          <w:rFonts w:ascii="Palatino Linotype" w:eastAsia="Palatino Linotype" w:hAnsi="Palatino Linotype" w:cs="Palatino Linotype"/>
          <w:sz w:val="22"/>
          <w:szCs w:val="22"/>
        </w:rPr>
        <w:t>, la solicitud de acceso a la información pública, a la que se le asignó el número</w:t>
      </w:r>
      <w:r w:rsidRPr="001D0667">
        <w:rPr>
          <w:rFonts w:ascii="Palatino Linotype" w:eastAsia="Palatino Linotype" w:hAnsi="Palatino Linotype" w:cs="Palatino Linotype"/>
          <w:b/>
          <w:sz w:val="22"/>
          <w:szCs w:val="22"/>
        </w:rPr>
        <w:t xml:space="preserve"> </w:t>
      </w:r>
      <w:r w:rsidR="006C4467" w:rsidRPr="001D0667">
        <w:rPr>
          <w:rFonts w:ascii="Palatino Linotype" w:eastAsia="Palatino Linotype" w:hAnsi="Palatino Linotype" w:cs="Palatino Linotype"/>
          <w:b/>
          <w:sz w:val="22"/>
          <w:szCs w:val="22"/>
        </w:rPr>
        <w:t>000</w:t>
      </w:r>
      <w:r w:rsidR="00305619" w:rsidRPr="001D0667">
        <w:rPr>
          <w:rFonts w:ascii="Palatino Linotype" w:eastAsia="Palatino Linotype" w:hAnsi="Palatino Linotype" w:cs="Palatino Linotype"/>
          <w:b/>
          <w:sz w:val="22"/>
          <w:szCs w:val="22"/>
        </w:rPr>
        <w:t>61</w:t>
      </w:r>
      <w:r w:rsidR="006C4467" w:rsidRPr="001D0667">
        <w:rPr>
          <w:rFonts w:ascii="Palatino Linotype" w:eastAsia="Palatino Linotype" w:hAnsi="Palatino Linotype" w:cs="Palatino Linotype"/>
          <w:b/>
          <w:sz w:val="22"/>
          <w:szCs w:val="22"/>
        </w:rPr>
        <w:t>/</w:t>
      </w:r>
      <w:r w:rsidR="00305619" w:rsidRPr="001D0667">
        <w:rPr>
          <w:rFonts w:ascii="Palatino Linotype" w:eastAsia="Palatino Linotype" w:hAnsi="Palatino Linotype" w:cs="Palatino Linotype"/>
          <w:b/>
          <w:sz w:val="22"/>
          <w:szCs w:val="22"/>
        </w:rPr>
        <w:t>FGJ</w:t>
      </w:r>
      <w:r w:rsidR="006C4467" w:rsidRPr="001D0667">
        <w:rPr>
          <w:rFonts w:ascii="Palatino Linotype" w:eastAsia="Palatino Linotype" w:hAnsi="Palatino Linotype" w:cs="Palatino Linotype"/>
          <w:b/>
          <w:sz w:val="22"/>
          <w:szCs w:val="22"/>
        </w:rPr>
        <w:t>/IP/2025</w:t>
      </w:r>
      <w:r w:rsidRPr="001D0667">
        <w:rPr>
          <w:rFonts w:ascii="Palatino Linotype" w:eastAsia="Palatino Linotype" w:hAnsi="Palatino Linotype" w:cs="Palatino Linotype"/>
          <w:b/>
          <w:sz w:val="22"/>
          <w:szCs w:val="22"/>
        </w:rPr>
        <w:t xml:space="preserve">, </w:t>
      </w:r>
      <w:r w:rsidRPr="001D0667">
        <w:rPr>
          <w:rFonts w:ascii="Palatino Linotype" w:eastAsia="Palatino Linotype" w:hAnsi="Palatino Linotype" w:cs="Palatino Linotype"/>
          <w:sz w:val="22"/>
          <w:szCs w:val="22"/>
        </w:rPr>
        <w:t xml:space="preserve">mediante la cual requirió la información siguiente:  </w:t>
      </w:r>
    </w:p>
    <w:p w14:paraId="474722B5" w14:textId="0DE6DD50" w:rsidR="007A0F20" w:rsidRPr="001D0667" w:rsidRDefault="00BE1A1C" w:rsidP="00601967">
      <w:pPr>
        <w:spacing w:before="240"/>
        <w:ind w:left="567" w:right="616"/>
        <w:jc w:val="both"/>
        <w:rPr>
          <w:rFonts w:ascii="Palatino Linotype" w:eastAsia="Palatino Linotype" w:hAnsi="Palatino Linotype" w:cs="Palatino Linotype"/>
          <w:i/>
          <w:sz w:val="22"/>
          <w:szCs w:val="22"/>
        </w:rPr>
      </w:pPr>
      <w:bookmarkStart w:id="0" w:name="_heading=h.gjdgxs" w:colFirst="0" w:colLast="0"/>
      <w:bookmarkEnd w:id="0"/>
      <w:r w:rsidRPr="001D0667">
        <w:rPr>
          <w:rFonts w:ascii="Palatino Linotype" w:eastAsia="Palatino Linotype" w:hAnsi="Palatino Linotype" w:cs="Palatino Linotype"/>
          <w:i/>
          <w:sz w:val="22"/>
          <w:szCs w:val="22"/>
        </w:rPr>
        <w:t>“</w:t>
      </w:r>
      <w:r w:rsidR="00C36BC7" w:rsidRPr="001D0667">
        <w:rPr>
          <w:rFonts w:ascii="Palatino Linotype" w:eastAsia="Palatino Linotype" w:hAnsi="Palatino Linotype" w:cs="Palatino Linotype"/>
          <w:i/>
          <w:sz w:val="22"/>
          <w:szCs w:val="22"/>
        </w:rPr>
        <w:t>Hola, solicito el organigrama completo de la Coordinación General de la Policía de investigación (CGPI) ya que el mismo aparece incompleto en las páginas de la Fiscalía General de Justicia del Estado de México (FGJEM( y del IPOMEX (Información Pública de Oficio Mexiquense) como se puede ver a continuación: Dicha información es indispensable para tramitar amparos y conseguir la suspensión del acto reclamado para defender a las ciudadanas y ciudadanos contra las autoridades ejecutoras de las ordenes de presentación y aprehensión cuando las mismas se realizan de forma arbitraria y carecen de fundamento jurídico. Muchas gracias, que tengan un excelente día. 1) Páginas FGJEM con organigrama incompleto de la CGPI: https://fgjem.edomex.gob.mx/organigrama https://dgi.edomex.gob.mx/sites/dgi.edomex.gob.mx/files/organigramas/pdf/22891512</w:t>
      </w:r>
      <w:r w:rsidR="00C36BC7" w:rsidRPr="001D0667">
        <w:rPr>
          <w:rFonts w:ascii="Palatino Linotype" w:eastAsia="Palatino Linotype" w:hAnsi="Palatino Linotype" w:cs="Palatino Linotype"/>
          <w:i/>
          <w:sz w:val="22"/>
          <w:szCs w:val="22"/>
        </w:rPr>
        <w:lastRenderedPageBreak/>
        <w:t>618261.pdf 2) Página 1 del IPOMEX con organigrama incompleto de la CGPI: http://187.190.53.177:5588/sis/transparencia/sgc/Unidad_de_Tranparencia/Articulo_92/Fraccion_II_B_Organigrama/175109_ORGANIGRAMA.pdf 3) Página 2 del IPOMEX con organigrama incompleto de la CGPI: https://www.ipomex.org.mx/ipo3/lgt/indice/FGJEM/organigramas.web?token=03AFcWeA6gtoD0oMaZstdw4p-8e7E0rw4-wKAAM9owh2Wk_o655sCowaCq3MtX9kWXvfJFcLtqqpGZ-6OULrW1xRDk-Rt0eQTW0liU99ff6wdgfUbA-7W_OdbjuIL4Ta3hVxPoWFEWf9Wgn4lDO49JEe-8fce5_nBWieHrtQVUF_KLCh2oFfaCziMNYUfOF_aETD15yf-fHk7LmD88Z_uEigRRf6NnB-PbPEeJt2TSqOPqTZ7MmpxHoaqyy8cmKalfqBln_o8k6VDL5eBkqRrnyKyNHTDH-RuIIB_yEWEELTU8tK5ySLP_2cGZD5bwutQElgDh1eispmnmRDZKwTPnLkHfi4hgHNwdxaOT2pizfwpjXKyoLC48elaJCtpYSk2WBaG8LQfmQid8Y9CXtnVP7JoYDs2xp_DR5R2JnBaMMa56nYvYBw8PygSsIRY2VCT-s99uJUTTc5nBf4UfafHv-813ufW5R9oejVy_TFf0vOTwdQMTZlkboLbLmjanTjjN9NGL4zLqVTOJQxTEd1lb38B1F0zSQAOfY4nqb56QVpaNWaJglxZ17PS-zk5o16rvBGULaJUgYGK_-rAYmj0zHw1YRECcXMrPwspDvwv3v6W75VetvuVsx2xVidLIXjAbHqABTtvCjyZQA9FkMshialcX4oyT4a0ZAeeQ4qdBUJCYbt1DI4Y_8DukfFAURIpnXPzwxu24B55PTpU6l_aXRxX6NBU1Ifa8i5ohktlqssgk9bpkVwCqS5_fBAPhFbbXf8zlTjxBbmFJpJp6UEoqNTts5Sfo9wxecnW-eTFcASGClNCNoRcO1GI0Sn9r2750JkxMQwBkmzPpTIxJ0i8DtqrvKm-JNfF9MD5iywkOVwBO5Rpb8PHTSE7kzsH1sXz2shHEzZ-mTiJLvqQW7jZdN_bSLE2LuILrIg 4) Página 3 del IPOMEX con organigrama incompleto de la CGPI: https://www.ipomex.org.mx/ipo3/lgt/indice/FGJEM/art_92_ii_b.web?token=03AFcWeA4ZIVyqXrAQBsOnNxfdZ98UXq485BzeGMaClw-tIu0t3GLMI0yzUUfAMUWzhOk8tyRTtwoimzaRrPKOMeeJkyPoZLvVQgJjDhnb16LC6S9oEZK8WDd8dCMvjSYqy3AihHAgsWTEDHZckSgY6b0ORBVlHPxLM1f91uYCxoy4qrsC0BfDbg6iwpXP7Fd6eTjvWbZCIZV-Xm6s1mxnZl3_7A8Ce1XUSmbrxd-2uelypOvG81dGcdtunHUPk1uU773UHzO1TeYnSspUbAbwXAgN9eSyou_VukNpRwG0BND02Q2L8DANCoU2qvZojTlPmaiVGuM_52kficdf_Z0Q7RWOF8cNNjcwSJn_c3Q6OsLt4xggNrbWMUsi6Glj9cu6MXFhZO_F6_n0Jiuhel_7ktOePTzXdSOqqGLXr_l8OFi_OqS24xnwBZY0CVwuo9BYz0XCbD3G4-W6OCD0gzH6StBZCNSl9bWSLogPwtUUHmBi_uTqNcN1_KTAqwrBKmnIKoPeAv2cFXUXc-W2i_x_bdzzxpq0wVVYIo3uxy1gFRkpquddMfySig4-auzAFTx5q7X3vq1RwC8f6lTYjCc4VZfnePJWthdGh88HqGuo297iy6jPELT1Br7cyzrKoC608P4fXQPWIif3I72S6osQSlWhSFPQ3vMCUDyhVTxpAr4RplHiciKF8L_Inr6NoEvBzS-5PAOoBtxcYBsGHe_iZIaUAiwdUo1XGaAEYgKU0fuF2eZ5kmfhHsUbh8C21Gc1D</w:t>
      </w:r>
      <w:r w:rsidR="00C36BC7" w:rsidRPr="001D0667">
        <w:rPr>
          <w:rFonts w:ascii="Palatino Linotype" w:eastAsia="Palatino Linotype" w:hAnsi="Palatino Linotype" w:cs="Palatino Linotype"/>
          <w:i/>
          <w:sz w:val="22"/>
          <w:szCs w:val="22"/>
        </w:rPr>
        <w:lastRenderedPageBreak/>
        <w:t>L_oi6bdlLm1bLZ8tOfqfXACL_SRaZJFSYyIQsL3Cy7T5wWtER12jw_NBH_g4-0K5K5LQUUQjlQhqDuHePamleQcnnsLUpr9hIPcuo0ePeFHHcNUqg9GEXjB02f8pI1hAoy8UvVNRG9YfZTSB-1-8kd8ePKKqTIX1w#</w:t>
      </w:r>
      <w:r w:rsidRPr="001D0667">
        <w:rPr>
          <w:rFonts w:ascii="Palatino Linotype" w:eastAsia="Palatino Linotype" w:hAnsi="Palatino Linotype" w:cs="Palatino Linotype"/>
          <w:i/>
          <w:sz w:val="22"/>
          <w:szCs w:val="22"/>
        </w:rPr>
        <w:t>” (Sic)</w:t>
      </w:r>
    </w:p>
    <w:p w14:paraId="0F0B4C2E" w14:textId="77777777" w:rsidR="007A0F20" w:rsidRPr="001D0667" w:rsidRDefault="007A0F20">
      <w:pPr>
        <w:ind w:left="851" w:right="902"/>
        <w:jc w:val="both"/>
        <w:rPr>
          <w:rFonts w:ascii="Palatino Linotype" w:eastAsia="Palatino Linotype" w:hAnsi="Palatino Linotype" w:cs="Palatino Linotype"/>
          <w:i/>
          <w:sz w:val="22"/>
          <w:szCs w:val="22"/>
        </w:rPr>
      </w:pPr>
    </w:p>
    <w:p w14:paraId="3F762CB2" w14:textId="77777777" w:rsidR="007A0F20" w:rsidRPr="001D0667" w:rsidRDefault="00BE1A1C">
      <w:pPr>
        <w:spacing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b/>
          <w:sz w:val="22"/>
          <w:szCs w:val="22"/>
        </w:rPr>
        <w:t>Modalidad de Entrega:</w:t>
      </w:r>
      <w:r w:rsidRPr="001D0667">
        <w:rPr>
          <w:rFonts w:ascii="Palatino Linotype" w:eastAsia="Palatino Linotype" w:hAnsi="Palatino Linotype" w:cs="Palatino Linotype"/>
          <w:sz w:val="22"/>
          <w:szCs w:val="22"/>
        </w:rPr>
        <w:t xml:space="preserve"> A través de SAIMEX.</w:t>
      </w:r>
    </w:p>
    <w:p w14:paraId="339D740B" w14:textId="77777777" w:rsidR="007A0F20" w:rsidRPr="001D0667" w:rsidRDefault="007A0F20">
      <w:pPr>
        <w:spacing w:line="360" w:lineRule="auto"/>
        <w:jc w:val="both"/>
        <w:rPr>
          <w:rFonts w:ascii="Palatino Linotype" w:eastAsia="Palatino Linotype" w:hAnsi="Palatino Linotype" w:cs="Palatino Linotype"/>
          <w:sz w:val="22"/>
          <w:szCs w:val="22"/>
        </w:rPr>
      </w:pPr>
    </w:p>
    <w:p w14:paraId="54C534C4" w14:textId="77777777" w:rsidR="00305619" w:rsidRPr="001D0667" w:rsidRDefault="00BE1A1C">
      <w:pPr>
        <w:spacing w:after="240"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b/>
          <w:sz w:val="22"/>
          <w:szCs w:val="22"/>
        </w:rPr>
        <w:t xml:space="preserve">2. Respuesta. </w:t>
      </w:r>
      <w:r w:rsidRPr="001D0667">
        <w:rPr>
          <w:rFonts w:ascii="Palatino Linotype" w:eastAsia="Palatino Linotype" w:hAnsi="Palatino Linotype" w:cs="Palatino Linotype"/>
          <w:sz w:val="22"/>
          <w:szCs w:val="22"/>
        </w:rPr>
        <w:t xml:space="preserve">Con fecha </w:t>
      </w:r>
      <w:r w:rsidR="00305619" w:rsidRPr="001D0667">
        <w:rPr>
          <w:rFonts w:ascii="Palatino Linotype" w:eastAsia="Palatino Linotype" w:hAnsi="Palatino Linotype" w:cs="Palatino Linotype"/>
          <w:b/>
          <w:bCs/>
          <w:sz w:val="22"/>
          <w:szCs w:val="22"/>
        </w:rPr>
        <w:t>siete</w:t>
      </w:r>
      <w:r w:rsidR="006C4467" w:rsidRPr="001D0667">
        <w:rPr>
          <w:rFonts w:ascii="Palatino Linotype" w:eastAsia="Palatino Linotype" w:hAnsi="Palatino Linotype" w:cs="Palatino Linotype"/>
          <w:b/>
          <w:sz w:val="22"/>
          <w:szCs w:val="22"/>
        </w:rPr>
        <w:t xml:space="preserve"> </w:t>
      </w:r>
      <w:r w:rsidR="00305619" w:rsidRPr="001D0667">
        <w:rPr>
          <w:rFonts w:ascii="Palatino Linotype" w:eastAsia="Palatino Linotype" w:hAnsi="Palatino Linotype" w:cs="Palatino Linotype"/>
          <w:b/>
          <w:sz w:val="22"/>
          <w:szCs w:val="22"/>
        </w:rPr>
        <w:t>de febrero</w:t>
      </w:r>
      <w:r w:rsidRPr="001D0667">
        <w:rPr>
          <w:rFonts w:ascii="Palatino Linotype" w:eastAsia="Palatino Linotype" w:hAnsi="Palatino Linotype" w:cs="Palatino Linotype"/>
          <w:b/>
          <w:sz w:val="22"/>
          <w:szCs w:val="22"/>
        </w:rPr>
        <w:t xml:space="preserve"> de dos mil veinticinco</w:t>
      </w:r>
      <w:r w:rsidRPr="001D0667">
        <w:rPr>
          <w:rFonts w:ascii="Palatino Linotype" w:eastAsia="Palatino Linotype" w:hAnsi="Palatino Linotype" w:cs="Palatino Linotype"/>
          <w:sz w:val="22"/>
          <w:szCs w:val="22"/>
        </w:rPr>
        <w:t xml:space="preserve">, el </w:t>
      </w:r>
      <w:r w:rsidRPr="001D0667">
        <w:rPr>
          <w:rFonts w:ascii="Palatino Linotype" w:eastAsia="Palatino Linotype" w:hAnsi="Palatino Linotype" w:cs="Palatino Linotype"/>
          <w:b/>
          <w:sz w:val="22"/>
          <w:szCs w:val="22"/>
        </w:rPr>
        <w:t xml:space="preserve">SUJETO OBLIGADO </w:t>
      </w:r>
      <w:r w:rsidRPr="001D0667">
        <w:rPr>
          <w:rFonts w:ascii="Palatino Linotype" w:eastAsia="Palatino Linotype" w:hAnsi="Palatino Linotype" w:cs="Palatino Linotype"/>
          <w:sz w:val="22"/>
          <w:szCs w:val="22"/>
        </w:rPr>
        <w:t>envió su respuesta a la solicitud de acceso a la información a través de SAIMEX</w:t>
      </w:r>
      <w:r w:rsidR="00305619" w:rsidRPr="001D0667">
        <w:rPr>
          <w:rFonts w:ascii="Palatino Linotype" w:eastAsia="Palatino Linotype" w:hAnsi="Palatino Linotype" w:cs="Palatino Linotype"/>
          <w:sz w:val="22"/>
          <w:szCs w:val="22"/>
        </w:rPr>
        <w:t>, en los siguientes términos:</w:t>
      </w:r>
    </w:p>
    <w:p w14:paraId="5BA83A65" w14:textId="77777777" w:rsidR="00305619" w:rsidRPr="001D0667" w:rsidRDefault="00305619" w:rsidP="00305619">
      <w:pPr>
        <w:spacing w:after="240" w:line="360" w:lineRule="auto"/>
        <w:ind w:left="567" w:right="616"/>
        <w:jc w:val="both"/>
        <w:rPr>
          <w:rFonts w:ascii="Palatino Linotype" w:eastAsia="Palatino Linotype" w:hAnsi="Palatino Linotype" w:cs="Palatino Linotype"/>
          <w:i/>
          <w:iCs/>
          <w:sz w:val="22"/>
          <w:szCs w:val="22"/>
          <w:lang w:val="es-MX"/>
        </w:rPr>
      </w:pPr>
      <w:r w:rsidRPr="001D0667">
        <w:rPr>
          <w:rFonts w:ascii="Palatino Linotype" w:eastAsia="Palatino Linotype" w:hAnsi="Palatino Linotype" w:cs="Palatino Linotype"/>
          <w:i/>
          <w:iCs/>
          <w:sz w:val="22"/>
          <w:szCs w:val="22"/>
          <w:lang w:val="es-MX"/>
        </w:rPr>
        <w:t>“se adjunta respuesta Asimismo, se hace de conocimiento que de conformidad con el artículo 178 de la Ley de la materia, podrá inconformarse de la respuesta otorgada, por sí mismo o a través de su representante, de manera directa o por medios electrónicos, a través del recurso de revisión, presentado ante el INFOEM o esta Unidad de Transparencia, dentro de los quince días hábiles, siguientes a la fecha de la notificación de presente respuesta.</w:t>
      </w:r>
    </w:p>
    <w:p w14:paraId="378DC780" w14:textId="77777777" w:rsidR="00305619" w:rsidRPr="001D0667" w:rsidRDefault="00305619" w:rsidP="00305619">
      <w:pPr>
        <w:spacing w:after="240" w:line="360" w:lineRule="auto"/>
        <w:ind w:left="567" w:right="616"/>
        <w:jc w:val="both"/>
        <w:rPr>
          <w:rFonts w:ascii="Palatino Linotype" w:eastAsia="Palatino Linotype" w:hAnsi="Palatino Linotype" w:cs="Palatino Linotype"/>
          <w:i/>
          <w:iCs/>
          <w:sz w:val="22"/>
          <w:szCs w:val="22"/>
          <w:lang w:val="es-MX"/>
        </w:rPr>
      </w:pPr>
      <w:r w:rsidRPr="001D0667">
        <w:rPr>
          <w:rFonts w:ascii="Palatino Linotype" w:eastAsia="Palatino Linotype" w:hAnsi="Palatino Linotype" w:cs="Palatino Linotype"/>
          <w:i/>
          <w:iCs/>
          <w:sz w:val="22"/>
          <w:szCs w:val="22"/>
          <w:lang w:val="es-MX"/>
        </w:rPr>
        <w:t>ATENTAMENTE</w:t>
      </w:r>
    </w:p>
    <w:p w14:paraId="2FFB21D5" w14:textId="7B1A7769" w:rsidR="00305619" w:rsidRPr="001D0667" w:rsidRDefault="00305619" w:rsidP="00305619">
      <w:pPr>
        <w:spacing w:after="240" w:line="360" w:lineRule="auto"/>
        <w:ind w:left="567" w:right="616"/>
        <w:jc w:val="both"/>
        <w:rPr>
          <w:rFonts w:ascii="Palatino Linotype" w:eastAsia="Palatino Linotype" w:hAnsi="Palatino Linotype" w:cs="Palatino Linotype"/>
          <w:i/>
          <w:iCs/>
          <w:sz w:val="22"/>
          <w:szCs w:val="22"/>
          <w:lang w:val="es-MX"/>
        </w:rPr>
      </w:pPr>
      <w:r w:rsidRPr="001D0667">
        <w:rPr>
          <w:rFonts w:ascii="Palatino Linotype" w:eastAsia="Palatino Linotype" w:hAnsi="Palatino Linotype" w:cs="Palatino Linotype"/>
          <w:i/>
          <w:iCs/>
          <w:sz w:val="22"/>
          <w:szCs w:val="22"/>
          <w:lang w:val="es-MX"/>
        </w:rPr>
        <w:t>LICENCIADA EN DERECHO NORMA ANGÉLICA ZETINA MARTÍNEZ”</w:t>
      </w:r>
    </w:p>
    <w:p w14:paraId="50FD805C" w14:textId="77777777" w:rsidR="00305619" w:rsidRPr="001D0667" w:rsidRDefault="00305619">
      <w:pPr>
        <w:spacing w:after="240"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El Sujeto Obligado adjuntó los documentos electrónicos que se describen a continuación:</w:t>
      </w:r>
    </w:p>
    <w:p w14:paraId="31D3F650" w14:textId="4B822309" w:rsidR="00305619" w:rsidRPr="001D0667" w:rsidRDefault="00305619" w:rsidP="00305619">
      <w:pPr>
        <w:pStyle w:val="Prrafodelista"/>
        <w:numPr>
          <w:ilvl w:val="0"/>
          <w:numId w:val="16"/>
        </w:numPr>
        <w:spacing w:after="240" w:line="360" w:lineRule="auto"/>
        <w:jc w:val="both"/>
        <w:rPr>
          <w:rFonts w:ascii="Palatino Linotype" w:eastAsia="Palatino Linotype" w:hAnsi="Palatino Linotype" w:cs="Palatino Linotype"/>
          <w:b/>
          <w:bCs/>
          <w:sz w:val="22"/>
          <w:szCs w:val="22"/>
        </w:rPr>
      </w:pPr>
      <w:r w:rsidRPr="001D0667">
        <w:rPr>
          <w:rFonts w:ascii="Palatino Linotype" w:eastAsia="Palatino Linotype" w:hAnsi="Palatino Linotype" w:cs="Palatino Linotype"/>
          <w:b/>
          <w:bCs/>
          <w:sz w:val="22"/>
          <w:szCs w:val="22"/>
        </w:rPr>
        <w:t xml:space="preserve">Anexo RESPUESTA 0061.pdf: </w:t>
      </w:r>
      <w:r w:rsidRPr="001D0667">
        <w:rPr>
          <w:rFonts w:ascii="Palatino Linotype" w:eastAsia="Palatino Linotype" w:hAnsi="Palatino Linotype" w:cs="Palatino Linotype"/>
          <w:sz w:val="22"/>
          <w:szCs w:val="22"/>
        </w:rPr>
        <w:t>Documento sin firma ni membrete que contiene la dirección electrónica siguiente:</w:t>
      </w:r>
      <w:r w:rsidRPr="001D0667">
        <w:rPr>
          <w:rFonts w:ascii="Palatino Linotype" w:eastAsia="Palatino Linotype" w:hAnsi="Palatino Linotype" w:cs="Palatino Linotype"/>
          <w:b/>
          <w:bCs/>
          <w:sz w:val="22"/>
          <w:szCs w:val="22"/>
        </w:rPr>
        <w:t xml:space="preserve"> </w:t>
      </w:r>
    </w:p>
    <w:p w14:paraId="05E11990" w14:textId="1D2F514B" w:rsidR="00305619" w:rsidRPr="001D0667" w:rsidRDefault="006A3045" w:rsidP="00305619">
      <w:pPr>
        <w:spacing w:after="240" w:line="360" w:lineRule="auto"/>
        <w:ind w:left="360"/>
        <w:jc w:val="both"/>
        <w:rPr>
          <w:rFonts w:ascii="Palatino Linotype" w:eastAsia="Palatino Linotype" w:hAnsi="Palatino Linotype" w:cs="Palatino Linotype"/>
          <w:b/>
          <w:bCs/>
          <w:sz w:val="22"/>
          <w:szCs w:val="22"/>
        </w:rPr>
      </w:pPr>
      <w:hyperlink r:id="rId8" w:history="1">
        <w:r w:rsidR="00305619" w:rsidRPr="001D0667">
          <w:rPr>
            <w:rStyle w:val="Hipervnculo"/>
            <w:rFonts w:ascii="Palatino Linotype" w:eastAsia="Palatino Linotype" w:hAnsi="Palatino Linotype" w:cs="Palatino Linotype"/>
            <w:b/>
            <w:bCs/>
            <w:color w:val="auto"/>
            <w:sz w:val="22"/>
            <w:szCs w:val="22"/>
          </w:rPr>
          <w:t>http://187.190.53.177:5588/sis/transparencia/sgc/Unidad_de_Tranparencia/Articulo_92/Fraccion_II_B_Organigrama/175109_ORGANIGRAMA.pdf</w:t>
        </w:r>
      </w:hyperlink>
    </w:p>
    <w:p w14:paraId="7A354B39" w14:textId="6B9C9F8D" w:rsidR="00305619" w:rsidRPr="001D0667" w:rsidRDefault="00305619" w:rsidP="00305619">
      <w:pPr>
        <w:pStyle w:val="Prrafodelista"/>
        <w:numPr>
          <w:ilvl w:val="0"/>
          <w:numId w:val="16"/>
        </w:numPr>
        <w:spacing w:after="240" w:line="360" w:lineRule="auto"/>
        <w:jc w:val="both"/>
        <w:rPr>
          <w:rFonts w:ascii="Palatino Linotype" w:eastAsia="Palatino Linotype" w:hAnsi="Palatino Linotype" w:cs="Palatino Linotype"/>
          <w:b/>
          <w:bCs/>
          <w:sz w:val="22"/>
          <w:szCs w:val="22"/>
        </w:rPr>
      </w:pPr>
      <w:r w:rsidRPr="001D0667">
        <w:rPr>
          <w:rFonts w:ascii="Palatino Linotype" w:eastAsia="Palatino Linotype" w:hAnsi="Palatino Linotype" w:cs="Palatino Linotype"/>
          <w:b/>
          <w:bCs/>
          <w:sz w:val="22"/>
          <w:szCs w:val="22"/>
        </w:rPr>
        <w:t xml:space="preserve">Respuesta solicitante.pdf: </w:t>
      </w:r>
      <w:r w:rsidRPr="001D0667">
        <w:rPr>
          <w:rFonts w:ascii="Palatino Linotype" w:eastAsia="Palatino Linotype" w:hAnsi="Palatino Linotype" w:cs="Palatino Linotype"/>
          <w:sz w:val="22"/>
          <w:szCs w:val="22"/>
        </w:rPr>
        <w:t xml:space="preserve">Oficio 00375/MAIP/FGJ/2025 suscrito por la Titular de la Unidad de Transparencia mediante el cual refiere que la respuesta es otorgada por </w:t>
      </w:r>
      <w:r w:rsidRPr="001D0667">
        <w:rPr>
          <w:rFonts w:ascii="Palatino Linotype" w:eastAsia="Palatino Linotype" w:hAnsi="Palatino Linotype" w:cs="Palatino Linotype"/>
          <w:sz w:val="22"/>
          <w:szCs w:val="22"/>
        </w:rPr>
        <w:lastRenderedPageBreak/>
        <w:t>la Dirección de Reclutamiento, Selección de Personal y Desarrollo Organizacional y consta del organigrama autorizado de la Fiscalía, y se encuentra disponible al público en general en la liga que se adjunta en formato PDF.</w:t>
      </w:r>
    </w:p>
    <w:p w14:paraId="03D052D5" w14:textId="2E3FB9DF" w:rsidR="007A0F20" w:rsidRPr="001D0667" w:rsidRDefault="00BE1A1C">
      <w:pPr>
        <w:spacing w:before="240" w:after="240" w:line="360" w:lineRule="auto"/>
        <w:ind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b/>
          <w:sz w:val="22"/>
          <w:szCs w:val="22"/>
        </w:rPr>
        <w:t xml:space="preserve">3. Interposición del recurso de revisión. </w:t>
      </w:r>
      <w:r w:rsidRPr="001D0667">
        <w:rPr>
          <w:rFonts w:ascii="Palatino Linotype" w:eastAsia="Palatino Linotype" w:hAnsi="Palatino Linotype" w:cs="Palatino Linotype"/>
          <w:sz w:val="22"/>
          <w:szCs w:val="22"/>
        </w:rPr>
        <w:t xml:space="preserve">Inconforme con los términos de la respuesta emitida por parte del </w:t>
      </w:r>
      <w:r w:rsidRPr="001D0667">
        <w:rPr>
          <w:rFonts w:ascii="Palatino Linotype" w:eastAsia="Palatino Linotype" w:hAnsi="Palatino Linotype" w:cs="Palatino Linotype"/>
          <w:b/>
          <w:sz w:val="22"/>
          <w:szCs w:val="22"/>
        </w:rPr>
        <w:t>SUJETO OBLIGADO</w:t>
      </w:r>
      <w:r w:rsidRPr="001D0667">
        <w:rPr>
          <w:rFonts w:ascii="Palatino Linotype" w:eastAsia="Palatino Linotype" w:hAnsi="Palatino Linotype" w:cs="Palatino Linotype"/>
          <w:sz w:val="22"/>
          <w:szCs w:val="22"/>
        </w:rPr>
        <w:t xml:space="preserve">, el </w:t>
      </w:r>
      <w:r w:rsidR="00562FAB" w:rsidRPr="001D0667">
        <w:rPr>
          <w:rFonts w:ascii="Palatino Linotype" w:eastAsia="Palatino Linotype" w:hAnsi="Palatino Linotype" w:cs="Palatino Linotype"/>
          <w:b/>
          <w:sz w:val="22"/>
          <w:szCs w:val="22"/>
        </w:rPr>
        <w:t>nueve</w:t>
      </w:r>
      <w:r w:rsidR="00C80A7F" w:rsidRPr="001D0667">
        <w:rPr>
          <w:rFonts w:ascii="Palatino Linotype" w:eastAsia="Palatino Linotype" w:hAnsi="Palatino Linotype" w:cs="Palatino Linotype"/>
          <w:b/>
          <w:sz w:val="22"/>
          <w:szCs w:val="22"/>
        </w:rPr>
        <w:t xml:space="preserve"> de febrero</w:t>
      </w:r>
      <w:r w:rsidR="00A8540D" w:rsidRPr="001D0667">
        <w:rPr>
          <w:rFonts w:ascii="Palatino Linotype" w:eastAsia="Palatino Linotype" w:hAnsi="Palatino Linotype" w:cs="Palatino Linotype"/>
          <w:b/>
          <w:sz w:val="22"/>
          <w:szCs w:val="22"/>
        </w:rPr>
        <w:t xml:space="preserve"> de dos mil veinticinco,</w:t>
      </w:r>
      <w:r w:rsidRPr="001D0667">
        <w:rPr>
          <w:rFonts w:ascii="Palatino Linotype" w:eastAsia="Palatino Linotype" w:hAnsi="Palatino Linotype" w:cs="Palatino Linotype"/>
          <w:sz w:val="22"/>
          <w:szCs w:val="22"/>
        </w:rPr>
        <w:t xml:space="preserve"> la parte </w:t>
      </w:r>
      <w:r w:rsidRPr="001D0667">
        <w:rPr>
          <w:rFonts w:ascii="Palatino Linotype" w:eastAsia="Palatino Linotype" w:hAnsi="Palatino Linotype" w:cs="Palatino Linotype"/>
          <w:b/>
          <w:sz w:val="22"/>
          <w:szCs w:val="22"/>
        </w:rPr>
        <w:t>RECURRENTE</w:t>
      </w:r>
      <w:r w:rsidRPr="001D0667">
        <w:rPr>
          <w:rFonts w:ascii="Palatino Linotype" w:eastAsia="Palatino Linotype" w:hAnsi="Palatino Linotype" w:cs="Palatino Linotype"/>
          <w:sz w:val="22"/>
          <w:szCs w:val="22"/>
        </w:rPr>
        <w:t xml:space="preserve"> interpuso el recurso de revisión a través de </w:t>
      </w:r>
      <w:r w:rsidRPr="001D0667">
        <w:rPr>
          <w:rFonts w:ascii="Palatino Linotype" w:eastAsia="Palatino Linotype" w:hAnsi="Palatino Linotype" w:cs="Palatino Linotype"/>
          <w:b/>
          <w:sz w:val="22"/>
          <w:szCs w:val="22"/>
        </w:rPr>
        <w:t xml:space="preserve">SAIMEX, </w:t>
      </w:r>
      <w:r w:rsidR="00A8540D" w:rsidRPr="001D0667">
        <w:rPr>
          <w:rFonts w:ascii="Palatino Linotype" w:eastAsia="Palatino Linotype" w:hAnsi="Palatino Linotype" w:cs="Palatino Linotype"/>
          <w:b/>
          <w:sz w:val="22"/>
          <w:szCs w:val="22"/>
        </w:rPr>
        <w:t xml:space="preserve">sin embargo, corresponder a un día inhábil, se tuvo por presentado el </w:t>
      </w:r>
      <w:r w:rsidR="00562FAB" w:rsidRPr="001D0667">
        <w:rPr>
          <w:rFonts w:ascii="Palatino Linotype" w:eastAsia="Palatino Linotype" w:hAnsi="Palatino Linotype" w:cs="Palatino Linotype"/>
          <w:b/>
          <w:sz w:val="22"/>
          <w:szCs w:val="22"/>
        </w:rPr>
        <w:t>diez</w:t>
      </w:r>
      <w:r w:rsidR="00A8540D" w:rsidRPr="001D0667">
        <w:rPr>
          <w:rFonts w:ascii="Palatino Linotype" w:eastAsia="Palatino Linotype" w:hAnsi="Palatino Linotype" w:cs="Palatino Linotype"/>
          <w:b/>
          <w:sz w:val="22"/>
          <w:szCs w:val="22"/>
        </w:rPr>
        <w:t xml:space="preserve"> de febrero del año dos mil veinticinco</w:t>
      </w:r>
      <w:r w:rsidR="00A8540D" w:rsidRPr="001D0667">
        <w:rPr>
          <w:rFonts w:ascii="Palatino Linotype" w:eastAsia="Palatino Linotype" w:hAnsi="Palatino Linotype" w:cs="Palatino Linotype"/>
          <w:sz w:val="22"/>
          <w:szCs w:val="22"/>
        </w:rPr>
        <w:t xml:space="preserve">, </w:t>
      </w:r>
      <w:r w:rsidRPr="001D0667">
        <w:rPr>
          <w:rFonts w:ascii="Palatino Linotype" w:eastAsia="Palatino Linotype" w:hAnsi="Palatino Linotype" w:cs="Palatino Linotype"/>
          <w:sz w:val="22"/>
          <w:szCs w:val="22"/>
        </w:rPr>
        <w:t>en donde se manifestó:</w:t>
      </w:r>
    </w:p>
    <w:p w14:paraId="6A0670A5" w14:textId="77777777" w:rsidR="007A0F20" w:rsidRPr="001D0667" w:rsidRDefault="00BE1A1C">
      <w:pPr>
        <w:numPr>
          <w:ilvl w:val="0"/>
          <w:numId w:val="3"/>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sz w:val="22"/>
          <w:szCs w:val="22"/>
        </w:rPr>
      </w:pPr>
      <w:r w:rsidRPr="001D0667">
        <w:rPr>
          <w:rFonts w:ascii="Palatino Linotype" w:eastAsia="Palatino Linotype" w:hAnsi="Palatino Linotype" w:cs="Palatino Linotype"/>
          <w:b/>
          <w:sz w:val="22"/>
          <w:szCs w:val="22"/>
        </w:rPr>
        <w:t xml:space="preserve">Acto impugnado: </w:t>
      </w:r>
    </w:p>
    <w:p w14:paraId="141C5DC9" w14:textId="130D8EDB" w:rsidR="007A0F20" w:rsidRPr="001D0667" w:rsidRDefault="00BE1A1C">
      <w:pPr>
        <w:pBdr>
          <w:top w:val="nil"/>
          <w:left w:val="nil"/>
          <w:bottom w:val="nil"/>
          <w:right w:val="nil"/>
          <w:between w:val="nil"/>
        </w:pBdr>
        <w:ind w:left="720" w:right="902"/>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w:t>
      </w:r>
      <w:r w:rsidR="00FA5C88" w:rsidRPr="001D0667">
        <w:rPr>
          <w:rFonts w:ascii="Palatino Linotype" w:eastAsia="Palatino Linotype" w:hAnsi="Palatino Linotype" w:cs="Palatino Linotype"/>
          <w:i/>
          <w:sz w:val="22"/>
          <w:szCs w:val="22"/>
        </w:rPr>
        <w:t>Hola, se encuentra incompleta la información proporcionada sobre el organigrama de la Coordinación General de la Policía de investigación ya que solo incluye los puestos de 2 Direcciones y 4 subdirecciones a NIVEL ESTATAL pero no contiene los puestos directivos, ejecutivos y operativos A NIVEL MUNICIPAL en el municipio de Cuautitlán Izcalli. Únicamente solicito el nombre de los puestos, NO requiero el nombre de las personas que los ocupan. Muchas gracias, excelente día.</w:t>
      </w:r>
      <w:r w:rsidRPr="001D0667">
        <w:rPr>
          <w:rFonts w:ascii="Palatino Linotype" w:eastAsia="Palatino Linotype" w:hAnsi="Palatino Linotype" w:cs="Palatino Linotype"/>
          <w:i/>
          <w:sz w:val="22"/>
          <w:szCs w:val="22"/>
        </w:rPr>
        <w:t>” (Sic)</w:t>
      </w:r>
    </w:p>
    <w:p w14:paraId="1F469474" w14:textId="77777777" w:rsidR="007A0F20" w:rsidRPr="001D0667" w:rsidRDefault="007A0F20">
      <w:pPr>
        <w:ind w:left="851" w:right="902"/>
        <w:jc w:val="both"/>
        <w:rPr>
          <w:rFonts w:ascii="Palatino Linotype" w:eastAsia="Palatino Linotype" w:hAnsi="Palatino Linotype" w:cs="Palatino Linotype"/>
          <w:i/>
          <w:sz w:val="22"/>
          <w:szCs w:val="22"/>
        </w:rPr>
      </w:pPr>
    </w:p>
    <w:p w14:paraId="71B9F4F6" w14:textId="77777777" w:rsidR="007A0F20" w:rsidRPr="001D0667" w:rsidRDefault="00BE1A1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b/>
          <w:sz w:val="22"/>
          <w:szCs w:val="22"/>
        </w:rPr>
        <w:t>Y Razones o motivos de inconformidad</w:t>
      </w:r>
      <w:r w:rsidRPr="001D0667">
        <w:rPr>
          <w:rFonts w:ascii="Palatino Linotype" w:eastAsia="Palatino Linotype" w:hAnsi="Palatino Linotype" w:cs="Palatino Linotype"/>
          <w:sz w:val="22"/>
          <w:szCs w:val="22"/>
        </w:rPr>
        <w:t>:</w:t>
      </w:r>
    </w:p>
    <w:p w14:paraId="05F784DF" w14:textId="45841D9B" w:rsidR="007A0F20" w:rsidRPr="001D0667" w:rsidRDefault="00BE1A1C">
      <w:pPr>
        <w:pBdr>
          <w:top w:val="nil"/>
          <w:left w:val="nil"/>
          <w:bottom w:val="nil"/>
          <w:right w:val="nil"/>
          <w:between w:val="nil"/>
        </w:pBdr>
        <w:ind w:left="720" w:right="902"/>
        <w:jc w:val="both"/>
        <w:rPr>
          <w:rFonts w:ascii="Palatino Linotype" w:eastAsia="Palatino Linotype" w:hAnsi="Palatino Linotype" w:cs="Palatino Linotype"/>
          <w:i/>
          <w:sz w:val="22"/>
          <w:szCs w:val="22"/>
        </w:rPr>
      </w:pPr>
      <w:bookmarkStart w:id="1" w:name="_heading=h.30j0zll" w:colFirst="0" w:colLast="0"/>
      <w:bookmarkEnd w:id="1"/>
      <w:r w:rsidRPr="001D0667">
        <w:rPr>
          <w:rFonts w:ascii="Palatino Linotype" w:eastAsia="Palatino Linotype" w:hAnsi="Palatino Linotype" w:cs="Palatino Linotype"/>
          <w:i/>
          <w:sz w:val="22"/>
          <w:szCs w:val="22"/>
        </w:rPr>
        <w:t>“</w:t>
      </w:r>
      <w:r w:rsidR="00FA5C88" w:rsidRPr="001D0667">
        <w:rPr>
          <w:rFonts w:ascii="Palatino Linotype" w:eastAsia="Palatino Linotype" w:hAnsi="Palatino Linotype" w:cs="Palatino Linotype"/>
          <w:i/>
          <w:sz w:val="22"/>
          <w:szCs w:val="22"/>
        </w:rPr>
        <w:t>Hola, se encuentra incompleta la información proporcionada sobre el organigrama de la Coordinación General de la Policía de investigación ya que solo incluye los puestos de 2 Direcciones y 4 subdirecciones a NIVEL ESTATAL pero no contiene los puestos directivos, ejecutivos y operativos A NIVEL MUNICIPAL en el municipio de Cuautitlán Izcalli. Únicamente solicito el nombre de los puestos, NO requiero el nombre de las personas que los ocupan. Muchas gracias, excelente día.</w:t>
      </w:r>
      <w:r w:rsidRPr="001D0667">
        <w:rPr>
          <w:rFonts w:ascii="Palatino Linotype" w:eastAsia="Palatino Linotype" w:hAnsi="Palatino Linotype" w:cs="Palatino Linotype"/>
          <w:i/>
          <w:sz w:val="22"/>
          <w:szCs w:val="22"/>
        </w:rPr>
        <w:t>” (Sic)</w:t>
      </w:r>
    </w:p>
    <w:p w14:paraId="20BD7244" w14:textId="77777777" w:rsidR="00E75D7A" w:rsidRPr="001D0667" w:rsidRDefault="00E75D7A">
      <w:pPr>
        <w:pBdr>
          <w:top w:val="nil"/>
          <w:left w:val="nil"/>
          <w:bottom w:val="nil"/>
          <w:right w:val="nil"/>
          <w:between w:val="nil"/>
        </w:pBdr>
        <w:ind w:left="720" w:right="902"/>
        <w:jc w:val="both"/>
        <w:rPr>
          <w:rFonts w:ascii="Palatino Linotype" w:eastAsia="Palatino Linotype" w:hAnsi="Palatino Linotype" w:cs="Palatino Linotype"/>
          <w:i/>
          <w:sz w:val="22"/>
          <w:szCs w:val="22"/>
        </w:rPr>
      </w:pPr>
    </w:p>
    <w:p w14:paraId="2416DA12" w14:textId="77777777" w:rsidR="00E75D7A" w:rsidRPr="001D0667" w:rsidRDefault="00E75D7A" w:rsidP="00E75D7A">
      <w:pPr>
        <w:pBdr>
          <w:top w:val="nil"/>
          <w:left w:val="nil"/>
          <w:bottom w:val="nil"/>
          <w:right w:val="nil"/>
          <w:between w:val="nil"/>
        </w:pBdr>
        <w:spacing w:line="360" w:lineRule="auto"/>
        <w:ind w:left="720" w:right="902"/>
        <w:jc w:val="both"/>
        <w:rPr>
          <w:rFonts w:ascii="Palatino Linotype" w:eastAsia="Palatino Linotype" w:hAnsi="Palatino Linotype" w:cs="Palatino Linotype"/>
          <w:sz w:val="22"/>
          <w:szCs w:val="22"/>
        </w:rPr>
      </w:pPr>
    </w:p>
    <w:p w14:paraId="39DD2591" w14:textId="77777777" w:rsidR="007A0F20" w:rsidRPr="001D0667" w:rsidRDefault="00BE1A1C">
      <w:pPr>
        <w:spacing w:line="360" w:lineRule="auto"/>
        <w:ind w:right="51"/>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b/>
          <w:sz w:val="22"/>
          <w:szCs w:val="22"/>
        </w:rPr>
        <w:t xml:space="preserve">4. Turno. </w:t>
      </w:r>
      <w:r w:rsidRPr="001D0667">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w:t>
      </w:r>
      <w:r w:rsidRPr="001D0667">
        <w:rPr>
          <w:rFonts w:ascii="Palatino Linotype" w:eastAsia="Palatino Linotype" w:hAnsi="Palatino Linotype" w:cs="Palatino Linotype"/>
          <w:sz w:val="22"/>
          <w:szCs w:val="22"/>
        </w:rPr>
        <w:lastRenderedPageBreak/>
        <w:t xml:space="preserve">a la Comisionada </w:t>
      </w:r>
      <w:r w:rsidRPr="001D0667">
        <w:rPr>
          <w:rFonts w:ascii="Palatino Linotype" w:eastAsia="Palatino Linotype" w:hAnsi="Palatino Linotype" w:cs="Palatino Linotype"/>
          <w:b/>
          <w:sz w:val="22"/>
          <w:szCs w:val="22"/>
        </w:rPr>
        <w:t xml:space="preserve">Guadalupe Ramírez Peña, </w:t>
      </w:r>
      <w:r w:rsidRPr="001D0667">
        <w:rPr>
          <w:rFonts w:ascii="Palatino Linotype" w:eastAsia="Palatino Linotype" w:hAnsi="Palatino Linotype" w:cs="Palatino Linotype"/>
          <w:sz w:val="22"/>
          <w:szCs w:val="22"/>
        </w:rPr>
        <w:t>a efecto de que analizara sobre su admisión o su desechamiento.</w:t>
      </w:r>
    </w:p>
    <w:p w14:paraId="73F70643" w14:textId="77777777" w:rsidR="007A0F20" w:rsidRPr="001D0667" w:rsidRDefault="007A0F20">
      <w:pPr>
        <w:spacing w:line="360" w:lineRule="auto"/>
        <w:ind w:right="51"/>
        <w:jc w:val="both"/>
        <w:rPr>
          <w:rFonts w:ascii="Palatino Linotype" w:eastAsia="Palatino Linotype" w:hAnsi="Palatino Linotype" w:cs="Palatino Linotype"/>
          <w:sz w:val="22"/>
          <w:szCs w:val="22"/>
        </w:rPr>
      </w:pPr>
    </w:p>
    <w:p w14:paraId="66B82954" w14:textId="197C7C4F" w:rsidR="007A0F20" w:rsidRPr="001D0667" w:rsidRDefault="00BE1A1C">
      <w:pPr>
        <w:spacing w:after="240"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b/>
          <w:sz w:val="22"/>
          <w:szCs w:val="22"/>
        </w:rPr>
        <w:t>5. Admisión del Recurso de revisión.</w:t>
      </w:r>
      <w:r w:rsidRPr="001D0667">
        <w:rPr>
          <w:rFonts w:ascii="Palatino Linotype" w:eastAsia="Palatino Linotype" w:hAnsi="Palatino Linotype" w:cs="Palatino Linotype"/>
          <w:sz w:val="22"/>
          <w:szCs w:val="22"/>
        </w:rPr>
        <w:t xml:space="preserve"> Con fecha</w:t>
      </w:r>
      <w:r w:rsidR="006C4467" w:rsidRPr="001D0667">
        <w:rPr>
          <w:rFonts w:ascii="Palatino Linotype" w:eastAsia="Palatino Linotype" w:hAnsi="Palatino Linotype" w:cs="Palatino Linotype"/>
          <w:b/>
          <w:sz w:val="22"/>
          <w:szCs w:val="22"/>
        </w:rPr>
        <w:t xml:space="preserve"> </w:t>
      </w:r>
      <w:r w:rsidR="00FA5C88" w:rsidRPr="001D0667">
        <w:rPr>
          <w:rFonts w:ascii="Palatino Linotype" w:eastAsia="Palatino Linotype" w:hAnsi="Palatino Linotype" w:cs="Palatino Linotype"/>
          <w:b/>
          <w:sz w:val="22"/>
          <w:szCs w:val="22"/>
        </w:rPr>
        <w:t>trece</w:t>
      </w:r>
      <w:r w:rsidRPr="001D0667">
        <w:rPr>
          <w:rFonts w:ascii="Palatino Linotype" w:eastAsia="Palatino Linotype" w:hAnsi="Palatino Linotype" w:cs="Palatino Linotype"/>
          <w:b/>
          <w:sz w:val="22"/>
          <w:szCs w:val="22"/>
        </w:rPr>
        <w:t xml:space="preserve"> de </w:t>
      </w:r>
      <w:r w:rsidR="00E75D7A" w:rsidRPr="001D0667">
        <w:rPr>
          <w:rFonts w:ascii="Palatino Linotype" w:eastAsia="Palatino Linotype" w:hAnsi="Palatino Linotype" w:cs="Palatino Linotype"/>
          <w:b/>
          <w:sz w:val="22"/>
          <w:szCs w:val="22"/>
        </w:rPr>
        <w:t>febrero</w:t>
      </w:r>
      <w:r w:rsidRPr="001D0667">
        <w:rPr>
          <w:rFonts w:ascii="Palatino Linotype" w:eastAsia="Palatino Linotype" w:hAnsi="Palatino Linotype" w:cs="Palatino Linotype"/>
          <w:b/>
          <w:sz w:val="22"/>
          <w:szCs w:val="22"/>
        </w:rPr>
        <w:t xml:space="preserve"> de dos mil veinticinco, </w:t>
      </w:r>
      <w:r w:rsidRPr="001D0667">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1D0667">
        <w:rPr>
          <w:rFonts w:ascii="Palatino Linotype" w:eastAsia="Palatino Linotype" w:hAnsi="Palatino Linotype" w:cs="Palatino Linotype"/>
          <w:b/>
          <w:sz w:val="22"/>
          <w:szCs w:val="22"/>
        </w:rPr>
        <w:t xml:space="preserve">SUJETO OBLIGADO </w:t>
      </w:r>
      <w:r w:rsidRPr="001D0667">
        <w:rPr>
          <w:rFonts w:ascii="Palatino Linotype" w:eastAsia="Palatino Linotype" w:hAnsi="Palatino Linotype" w:cs="Palatino Linotype"/>
          <w:sz w:val="22"/>
          <w:szCs w:val="22"/>
        </w:rPr>
        <w:t>presentara su informe justificado.</w:t>
      </w:r>
    </w:p>
    <w:p w14:paraId="256C0C83" w14:textId="77777777" w:rsidR="00FA5C88" w:rsidRPr="001D0667" w:rsidRDefault="00BE1A1C">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1D0667">
        <w:rPr>
          <w:rFonts w:ascii="Palatino Linotype" w:eastAsia="Palatino Linotype" w:hAnsi="Palatino Linotype" w:cs="Palatino Linotype"/>
          <w:b/>
          <w:sz w:val="22"/>
          <w:szCs w:val="22"/>
        </w:rPr>
        <w:t>6. Manifestaciones</w:t>
      </w:r>
      <w:r w:rsidRPr="001D0667">
        <w:rPr>
          <w:rFonts w:ascii="Palatino Linotype" w:eastAsia="Palatino Linotype" w:hAnsi="Palatino Linotype" w:cs="Palatino Linotype"/>
          <w:sz w:val="22"/>
          <w:szCs w:val="22"/>
        </w:rPr>
        <w:t xml:space="preserve">. </w:t>
      </w:r>
      <w:r w:rsidR="00E75D7A" w:rsidRPr="001D0667">
        <w:rPr>
          <w:rFonts w:ascii="Palatino Linotype" w:eastAsia="Palatino Linotype" w:hAnsi="Palatino Linotype" w:cs="Palatino Linotype"/>
          <w:sz w:val="22"/>
          <w:szCs w:val="22"/>
        </w:rPr>
        <w:t xml:space="preserve">De las constancias que obran en el expediente electrónico del SAIMEX, se aprecia que </w:t>
      </w:r>
      <w:r w:rsidR="00FA5C88" w:rsidRPr="001D0667">
        <w:rPr>
          <w:rFonts w:ascii="Palatino Linotype" w:eastAsia="Palatino Linotype" w:hAnsi="Palatino Linotype" w:cs="Palatino Linotype"/>
          <w:sz w:val="22"/>
          <w:szCs w:val="22"/>
        </w:rPr>
        <w:t>el Sujeto Obligado rindió su informe justificado el día diecisiete de febrero de dos mil veinticinco, el cual se hizo de conocimiento del Recurrente el cuatro de marzo de dos mil veinticinco; sin embargo, se describe su contenido medular, siendo el siguiente:</w:t>
      </w:r>
    </w:p>
    <w:p w14:paraId="7B0E9ED7" w14:textId="7CADA0FD" w:rsidR="00FA5C88" w:rsidRPr="001D0667" w:rsidRDefault="00FA5C88" w:rsidP="00FA5C88">
      <w:pPr>
        <w:pStyle w:val="Prrafodelista"/>
        <w:widowControl w:val="0"/>
        <w:numPr>
          <w:ilvl w:val="0"/>
          <w:numId w:val="16"/>
        </w:numPr>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b/>
          <w:bCs/>
          <w:sz w:val="22"/>
          <w:szCs w:val="22"/>
          <w:lang w:val="es-MX"/>
        </w:rPr>
      </w:pPr>
      <w:r w:rsidRPr="001D0667">
        <w:rPr>
          <w:rFonts w:ascii="Palatino Linotype" w:eastAsia="Palatino Linotype" w:hAnsi="Palatino Linotype" w:cs="Palatino Linotype"/>
          <w:b/>
          <w:bCs/>
          <w:sz w:val="22"/>
          <w:szCs w:val="22"/>
          <w:lang w:val="es-MX"/>
        </w:rPr>
        <w:t xml:space="preserve">oficio 525 RR 899_2025_02_18_00_47_33_445.pdf: </w:t>
      </w:r>
      <w:r w:rsidRPr="001D0667">
        <w:rPr>
          <w:rFonts w:ascii="Palatino Linotype" w:eastAsia="Palatino Linotype" w:hAnsi="Palatino Linotype" w:cs="Palatino Linotype"/>
          <w:sz w:val="22"/>
          <w:szCs w:val="22"/>
          <w:lang w:val="es-MX"/>
        </w:rPr>
        <w:t>Oficio 525/MAIP/FGJ/2025 signado por el Titular de la Unidad de Transparencia mediante el cual refiere que rinde su informe justificado</w:t>
      </w:r>
    </w:p>
    <w:p w14:paraId="228DDCA3" w14:textId="02184CD8" w:rsidR="00FA5C88" w:rsidRPr="001D0667" w:rsidRDefault="00FA5C88" w:rsidP="00FA5C88">
      <w:pPr>
        <w:pStyle w:val="Prrafodelista"/>
        <w:widowControl w:val="0"/>
        <w:numPr>
          <w:ilvl w:val="0"/>
          <w:numId w:val="16"/>
        </w:numPr>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b/>
          <w:bCs/>
          <w:sz w:val="22"/>
          <w:szCs w:val="22"/>
          <w:lang w:val="es-MX"/>
        </w:rPr>
      </w:pPr>
      <w:r w:rsidRPr="001D0667">
        <w:rPr>
          <w:rFonts w:ascii="Palatino Linotype" w:eastAsia="Palatino Linotype" w:hAnsi="Palatino Linotype" w:cs="Palatino Linotype"/>
          <w:b/>
          <w:bCs/>
          <w:sz w:val="22"/>
          <w:szCs w:val="22"/>
          <w:lang w:val="es-MX"/>
        </w:rPr>
        <w:t xml:space="preserve">oficio 524 Informe Justificado RR 899_2025_02_18_00_46_49_085.pdf: </w:t>
      </w:r>
      <w:r w:rsidRPr="001D0667">
        <w:rPr>
          <w:rFonts w:ascii="Palatino Linotype" w:eastAsia="Palatino Linotype" w:hAnsi="Palatino Linotype" w:cs="Palatino Linotype"/>
          <w:sz w:val="22"/>
          <w:szCs w:val="22"/>
          <w:lang w:val="es-MX"/>
        </w:rPr>
        <w:t>Documento signado por el Titular de la Unidad de Transparencia en el que refiere que la unidad administrativa confirma la respuesta</w:t>
      </w:r>
      <w:r w:rsidR="00837550" w:rsidRPr="001D0667">
        <w:rPr>
          <w:rFonts w:ascii="Palatino Linotype" w:eastAsia="Palatino Linotype" w:hAnsi="Palatino Linotype" w:cs="Palatino Linotype"/>
          <w:sz w:val="22"/>
          <w:szCs w:val="22"/>
          <w:lang w:val="es-MX"/>
        </w:rPr>
        <w:t>, señalando que la información entregada es con la que cuenta y obra en sus archivos. Por lo que corresponde “… pero no contiene los puestos directivos, ejecutivos y operativos A NIVEL MUNICIPAL en el municipio de Cuautitlán Izcalli. Únicamente solicito el nombre de los puestos, NO requiero el nombre de las personas que los ocupan… no forma parte del requerimiento inicial, por lo que no debe considerarse en el estudio y resolución.</w:t>
      </w:r>
    </w:p>
    <w:p w14:paraId="73169934" w14:textId="56BB16B0" w:rsidR="007A0F20" w:rsidRPr="001D0667" w:rsidRDefault="00BE1A1C">
      <w:pPr>
        <w:spacing w:before="240" w:after="240"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b/>
          <w:sz w:val="22"/>
          <w:szCs w:val="22"/>
        </w:rPr>
        <w:lastRenderedPageBreak/>
        <w:t xml:space="preserve">7. Cierre de instrucción. </w:t>
      </w:r>
      <w:r w:rsidRPr="001D0667">
        <w:rPr>
          <w:rFonts w:ascii="Palatino Linotype" w:eastAsia="Palatino Linotype" w:hAnsi="Palatino Linotype" w:cs="Palatino Linotype"/>
          <w:sz w:val="22"/>
          <w:szCs w:val="22"/>
        </w:rPr>
        <w:t>Una vez transcurrido el periodo otorgado a las partes para realizar sus manifestaciones y no habiendo documentos que integrar al expediente, con fecha</w:t>
      </w:r>
      <w:r w:rsidR="00194733" w:rsidRPr="001D0667">
        <w:rPr>
          <w:rFonts w:ascii="Palatino Linotype" w:eastAsia="Palatino Linotype" w:hAnsi="Palatino Linotype" w:cs="Palatino Linotype"/>
          <w:sz w:val="22"/>
          <w:szCs w:val="22"/>
        </w:rPr>
        <w:t xml:space="preserve"> de</w:t>
      </w:r>
      <w:r w:rsidRPr="001D0667">
        <w:rPr>
          <w:rFonts w:ascii="Palatino Linotype" w:eastAsia="Palatino Linotype" w:hAnsi="Palatino Linotype" w:cs="Palatino Linotype"/>
          <w:sz w:val="22"/>
          <w:szCs w:val="22"/>
        </w:rPr>
        <w:t xml:space="preserve"> </w:t>
      </w:r>
      <w:r w:rsidR="00686A1D" w:rsidRPr="001D0667">
        <w:rPr>
          <w:rFonts w:ascii="Palatino Linotype" w:eastAsia="Palatino Linotype" w:hAnsi="Palatino Linotype" w:cs="Palatino Linotype"/>
          <w:b/>
          <w:bCs/>
          <w:sz w:val="22"/>
          <w:szCs w:val="22"/>
        </w:rPr>
        <w:t>diez</w:t>
      </w:r>
      <w:r w:rsidR="00194733" w:rsidRPr="001D0667">
        <w:rPr>
          <w:rFonts w:ascii="Palatino Linotype" w:eastAsia="Palatino Linotype" w:hAnsi="Palatino Linotype" w:cs="Palatino Linotype"/>
          <w:sz w:val="22"/>
          <w:szCs w:val="22"/>
        </w:rPr>
        <w:t xml:space="preserve"> </w:t>
      </w:r>
      <w:r w:rsidRPr="001D0667">
        <w:rPr>
          <w:rFonts w:ascii="Palatino Linotype" w:eastAsia="Palatino Linotype" w:hAnsi="Palatino Linotype" w:cs="Palatino Linotype"/>
          <w:b/>
          <w:sz w:val="22"/>
          <w:szCs w:val="22"/>
        </w:rPr>
        <w:t xml:space="preserve">de </w:t>
      </w:r>
      <w:r w:rsidR="00686A1D" w:rsidRPr="001D0667">
        <w:rPr>
          <w:rFonts w:ascii="Palatino Linotype" w:eastAsia="Palatino Linotype" w:hAnsi="Palatino Linotype" w:cs="Palatino Linotype"/>
          <w:b/>
          <w:sz w:val="22"/>
          <w:szCs w:val="22"/>
        </w:rPr>
        <w:t>marzo</w:t>
      </w:r>
      <w:r w:rsidRPr="001D0667">
        <w:rPr>
          <w:rFonts w:ascii="Palatino Linotype" w:eastAsia="Palatino Linotype" w:hAnsi="Palatino Linotype" w:cs="Palatino Linotype"/>
          <w:b/>
          <w:sz w:val="22"/>
          <w:szCs w:val="22"/>
        </w:rPr>
        <w:t xml:space="preserve"> de dos mil veinticinco, </w:t>
      </w:r>
      <w:r w:rsidRPr="001D0667">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45005527" w14:textId="77777777" w:rsidR="007A0F20" w:rsidRPr="001D0667" w:rsidRDefault="00BE1A1C">
      <w:pPr>
        <w:spacing w:before="240" w:after="240"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FD4338E" w14:textId="77777777" w:rsidR="007A0F20" w:rsidRPr="001D0667" w:rsidRDefault="00BE1A1C">
      <w:pPr>
        <w:widowControl w:val="0"/>
        <w:spacing w:line="360" w:lineRule="auto"/>
        <w:jc w:val="center"/>
        <w:rPr>
          <w:rFonts w:ascii="Palatino Linotype" w:eastAsia="Palatino Linotype" w:hAnsi="Palatino Linotype" w:cs="Palatino Linotype"/>
          <w:b/>
          <w:sz w:val="22"/>
          <w:szCs w:val="22"/>
        </w:rPr>
      </w:pPr>
      <w:r w:rsidRPr="001D0667">
        <w:rPr>
          <w:rFonts w:ascii="Palatino Linotype" w:eastAsia="Palatino Linotype" w:hAnsi="Palatino Linotype" w:cs="Palatino Linotype"/>
          <w:b/>
          <w:sz w:val="22"/>
          <w:szCs w:val="22"/>
        </w:rPr>
        <w:t>II. C O N S I D E R A N D O S</w:t>
      </w:r>
    </w:p>
    <w:p w14:paraId="5ACA885B" w14:textId="77777777" w:rsidR="007A0F20" w:rsidRPr="001D0667" w:rsidRDefault="007A0F20">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26DDE69F" w14:textId="77777777" w:rsidR="007A0F20" w:rsidRPr="001D0667" w:rsidRDefault="00BE1A1C">
      <w:pPr>
        <w:spacing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b/>
          <w:sz w:val="22"/>
          <w:szCs w:val="22"/>
        </w:rPr>
        <w:t>Primero. Competencia.</w:t>
      </w:r>
      <w:r w:rsidRPr="001D0667">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9E53A41" w14:textId="77777777" w:rsidR="007A0F20" w:rsidRPr="001D0667" w:rsidRDefault="00BE1A1C">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1D0667">
        <w:rPr>
          <w:rFonts w:ascii="Palatino Linotype" w:eastAsia="Palatino Linotype" w:hAnsi="Palatino Linotype" w:cs="Palatino Linotype"/>
          <w:b/>
          <w:sz w:val="22"/>
          <w:szCs w:val="22"/>
        </w:rPr>
        <w:t xml:space="preserve">Segundo. Oportunidad y Procedibilidad del Recurso de Revisión. </w:t>
      </w:r>
      <w:r w:rsidRPr="001D0667">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9F896F2" w14:textId="77777777" w:rsidR="007A0F20" w:rsidRPr="001D0667" w:rsidRDefault="00BE1A1C">
      <w:pPr>
        <w:spacing w:before="240" w:after="240"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lastRenderedPageBreak/>
        <w:t>Al respecto la Ley de Transparencia y Acceso a la Información Pública del Estado de México y Municipios, establece lo siguiente:</w:t>
      </w:r>
    </w:p>
    <w:p w14:paraId="30C398C2" w14:textId="77777777" w:rsidR="007A0F20" w:rsidRPr="001D0667" w:rsidRDefault="00BE1A1C">
      <w:pPr>
        <w:ind w:left="851" w:right="900"/>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b/>
          <w:i/>
          <w:sz w:val="22"/>
          <w:szCs w:val="22"/>
        </w:rPr>
        <w:t xml:space="preserve">“Artículo 178. </w:t>
      </w:r>
      <w:r w:rsidRPr="001D0667">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AC811F5" w14:textId="12526600" w:rsidR="007A0F20" w:rsidRPr="001D0667" w:rsidRDefault="00BE1A1C">
      <w:pPr>
        <w:spacing w:before="240" w:after="240" w:line="360" w:lineRule="auto"/>
        <w:ind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1D0667">
        <w:rPr>
          <w:rFonts w:ascii="Palatino Linotype" w:eastAsia="Palatino Linotype" w:hAnsi="Palatino Linotype" w:cs="Palatino Linotype"/>
          <w:b/>
          <w:sz w:val="22"/>
          <w:szCs w:val="22"/>
        </w:rPr>
        <w:t>SUJETO OBLIGADO</w:t>
      </w:r>
      <w:r w:rsidRPr="001D0667">
        <w:rPr>
          <w:rFonts w:ascii="Palatino Linotype" w:eastAsia="Palatino Linotype" w:hAnsi="Palatino Linotype" w:cs="Palatino Linotype"/>
          <w:sz w:val="22"/>
          <w:szCs w:val="22"/>
        </w:rPr>
        <w:t xml:space="preserve"> remitió la respuesta a la solicitud de información el </w:t>
      </w:r>
      <w:r w:rsidR="00686A1D" w:rsidRPr="001D0667">
        <w:rPr>
          <w:rFonts w:ascii="Palatino Linotype" w:eastAsia="Palatino Linotype" w:hAnsi="Palatino Linotype" w:cs="Palatino Linotype"/>
          <w:b/>
          <w:bCs/>
          <w:sz w:val="22"/>
          <w:szCs w:val="22"/>
        </w:rPr>
        <w:t>siete</w:t>
      </w:r>
      <w:r w:rsidRPr="001D0667">
        <w:rPr>
          <w:rFonts w:ascii="Palatino Linotype" w:eastAsia="Palatino Linotype" w:hAnsi="Palatino Linotype" w:cs="Palatino Linotype"/>
          <w:b/>
          <w:sz w:val="22"/>
          <w:szCs w:val="22"/>
        </w:rPr>
        <w:t xml:space="preserve"> </w:t>
      </w:r>
      <w:r w:rsidR="00686A1D" w:rsidRPr="001D0667">
        <w:rPr>
          <w:rFonts w:ascii="Palatino Linotype" w:eastAsia="Palatino Linotype" w:hAnsi="Palatino Linotype" w:cs="Palatino Linotype"/>
          <w:b/>
          <w:sz w:val="22"/>
          <w:szCs w:val="22"/>
        </w:rPr>
        <w:t>febrero</w:t>
      </w:r>
      <w:r w:rsidRPr="001D0667">
        <w:rPr>
          <w:rFonts w:ascii="Palatino Linotype" w:eastAsia="Palatino Linotype" w:hAnsi="Palatino Linotype" w:cs="Palatino Linotype"/>
          <w:b/>
          <w:sz w:val="22"/>
          <w:szCs w:val="22"/>
        </w:rPr>
        <w:t xml:space="preserve"> de dos mil veinticinco, </w:t>
      </w:r>
      <w:r w:rsidRPr="001D0667">
        <w:rPr>
          <w:rFonts w:ascii="Palatino Linotype" w:eastAsia="Palatino Linotype" w:hAnsi="Palatino Linotype" w:cs="Palatino Linotype"/>
          <w:sz w:val="22"/>
          <w:szCs w:val="22"/>
        </w:rPr>
        <w:t xml:space="preserve">mientras que el recurso de revisión interpuesto por la parte </w:t>
      </w:r>
      <w:r w:rsidRPr="001D0667">
        <w:rPr>
          <w:rFonts w:ascii="Palatino Linotype" w:eastAsia="Palatino Linotype" w:hAnsi="Palatino Linotype" w:cs="Palatino Linotype"/>
          <w:b/>
          <w:sz w:val="22"/>
          <w:szCs w:val="22"/>
        </w:rPr>
        <w:t>RECURRENTE</w:t>
      </w:r>
      <w:r w:rsidRPr="001D0667">
        <w:rPr>
          <w:rFonts w:ascii="Palatino Linotype" w:eastAsia="Palatino Linotype" w:hAnsi="Palatino Linotype" w:cs="Palatino Linotype"/>
          <w:sz w:val="22"/>
          <w:szCs w:val="22"/>
        </w:rPr>
        <w:t xml:space="preserve">, se tuvo por presentado el día </w:t>
      </w:r>
      <w:r w:rsidR="00686A1D" w:rsidRPr="001D0667">
        <w:rPr>
          <w:rFonts w:ascii="Palatino Linotype" w:eastAsia="Palatino Linotype" w:hAnsi="Palatino Linotype" w:cs="Palatino Linotype"/>
          <w:b/>
          <w:bCs/>
          <w:sz w:val="22"/>
          <w:szCs w:val="22"/>
        </w:rPr>
        <w:t>diez</w:t>
      </w:r>
      <w:r w:rsidRPr="001D0667">
        <w:rPr>
          <w:rFonts w:ascii="Palatino Linotype" w:eastAsia="Palatino Linotype" w:hAnsi="Palatino Linotype" w:cs="Palatino Linotype"/>
          <w:b/>
          <w:sz w:val="22"/>
          <w:szCs w:val="22"/>
        </w:rPr>
        <w:t xml:space="preserve"> de </w:t>
      </w:r>
      <w:r w:rsidR="008662C5" w:rsidRPr="001D0667">
        <w:rPr>
          <w:rFonts w:ascii="Palatino Linotype" w:eastAsia="Palatino Linotype" w:hAnsi="Palatino Linotype" w:cs="Palatino Linotype"/>
          <w:b/>
          <w:sz w:val="22"/>
          <w:szCs w:val="22"/>
        </w:rPr>
        <w:t>febrero</w:t>
      </w:r>
      <w:r w:rsidRPr="001D0667">
        <w:rPr>
          <w:rFonts w:ascii="Palatino Linotype" w:eastAsia="Palatino Linotype" w:hAnsi="Palatino Linotype" w:cs="Palatino Linotype"/>
          <w:b/>
          <w:sz w:val="22"/>
          <w:szCs w:val="22"/>
        </w:rPr>
        <w:t xml:space="preserve"> del año dos mil veinticinco</w:t>
      </w:r>
      <w:r w:rsidRPr="001D0667">
        <w:rPr>
          <w:rFonts w:ascii="Palatino Linotype" w:eastAsia="Palatino Linotype" w:hAnsi="Palatino Linotype" w:cs="Palatino Linotype"/>
          <w:sz w:val="22"/>
          <w:szCs w:val="22"/>
        </w:rPr>
        <w:t xml:space="preserve">; esto es, al </w:t>
      </w:r>
      <w:r w:rsidR="00A8540D" w:rsidRPr="001D0667">
        <w:rPr>
          <w:rFonts w:ascii="Palatino Linotype" w:eastAsia="Palatino Linotype" w:hAnsi="Palatino Linotype" w:cs="Palatino Linotype"/>
          <w:sz w:val="22"/>
          <w:szCs w:val="22"/>
        </w:rPr>
        <w:t>primer</w:t>
      </w:r>
      <w:r w:rsidR="00676B1C" w:rsidRPr="001D0667">
        <w:rPr>
          <w:rFonts w:ascii="Palatino Linotype" w:eastAsia="Palatino Linotype" w:hAnsi="Palatino Linotype" w:cs="Palatino Linotype"/>
          <w:sz w:val="22"/>
          <w:szCs w:val="22"/>
        </w:rPr>
        <w:t xml:space="preserve"> d</w:t>
      </w:r>
      <w:r w:rsidRPr="001D0667">
        <w:rPr>
          <w:rFonts w:ascii="Palatino Linotype" w:eastAsia="Palatino Linotype" w:hAnsi="Palatino Linotype" w:cs="Palatino Linotype"/>
          <w:sz w:val="22"/>
          <w:szCs w:val="22"/>
        </w:rPr>
        <w:t>ía hábil siguiente en que tuvo conocimiento de la respuesta.</w:t>
      </w:r>
    </w:p>
    <w:p w14:paraId="37086E6C" w14:textId="241A4DD0" w:rsidR="007A0F20" w:rsidRPr="001D0667" w:rsidRDefault="00BE1A1C">
      <w:pPr>
        <w:spacing w:before="240" w:after="240"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 xml:space="preserve">Asimismo, resulta procedente la interposición del recurso de revisión al rubro anotado, toda vez que se actualiza las hipótesis previstas en el artículo 179, fracción </w:t>
      </w:r>
      <w:r w:rsidR="00686A1D" w:rsidRPr="001D0667">
        <w:rPr>
          <w:rFonts w:ascii="Palatino Linotype" w:eastAsia="Palatino Linotype" w:hAnsi="Palatino Linotype" w:cs="Palatino Linotype"/>
          <w:sz w:val="22"/>
          <w:szCs w:val="22"/>
        </w:rPr>
        <w:t>V</w:t>
      </w:r>
      <w:r w:rsidRPr="001D0667">
        <w:rPr>
          <w:rFonts w:ascii="Palatino Linotype" w:eastAsia="Palatino Linotype" w:hAnsi="Palatino Linotype" w:cs="Palatino Linotype"/>
          <w:sz w:val="22"/>
          <w:szCs w:val="22"/>
        </w:rPr>
        <w:t xml:space="preserve"> de la ley de la materia, que a la letra dice:</w:t>
      </w:r>
    </w:p>
    <w:p w14:paraId="598107EA" w14:textId="77777777" w:rsidR="007A0F20" w:rsidRPr="001D0667" w:rsidRDefault="00BE1A1C">
      <w:pPr>
        <w:ind w:left="851" w:right="1041"/>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w:t>
      </w:r>
      <w:r w:rsidRPr="001D0667">
        <w:rPr>
          <w:rFonts w:ascii="Palatino Linotype" w:eastAsia="Palatino Linotype" w:hAnsi="Palatino Linotype" w:cs="Palatino Linotype"/>
          <w:b/>
          <w:i/>
          <w:sz w:val="22"/>
          <w:szCs w:val="22"/>
        </w:rPr>
        <w:t xml:space="preserve">Artículo 179. </w:t>
      </w:r>
      <w:r w:rsidRPr="001D0667">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53AC3B24" w14:textId="77777777" w:rsidR="00686A1D" w:rsidRPr="001D0667" w:rsidRDefault="00686A1D">
      <w:pPr>
        <w:ind w:left="851" w:right="1041"/>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w:t>
      </w:r>
    </w:p>
    <w:p w14:paraId="38C1D312" w14:textId="77777777" w:rsidR="00686A1D" w:rsidRPr="001D0667" w:rsidRDefault="00686A1D">
      <w:pPr>
        <w:ind w:left="851" w:right="1041"/>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 xml:space="preserve">V. La entrega de información incompleta; </w:t>
      </w:r>
    </w:p>
    <w:p w14:paraId="46197E50" w14:textId="16277E56" w:rsidR="007A0F20" w:rsidRPr="001D0667" w:rsidRDefault="00BE1A1C">
      <w:pPr>
        <w:ind w:left="851" w:right="1041"/>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w:t>
      </w:r>
    </w:p>
    <w:p w14:paraId="5B0FA8E4" w14:textId="77777777" w:rsidR="007A0F20" w:rsidRPr="001D0667" w:rsidRDefault="00BE1A1C">
      <w:pPr>
        <w:spacing w:before="280" w:after="280"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b/>
          <w:sz w:val="22"/>
          <w:szCs w:val="22"/>
        </w:rPr>
        <w:t>Tercero. Materia de Revisión</w:t>
      </w:r>
      <w:r w:rsidRPr="001D0667">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1D0667">
        <w:rPr>
          <w:rFonts w:ascii="Palatino Linotype" w:eastAsia="Palatino Linotype" w:hAnsi="Palatino Linotype" w:cs="Palatino Linotype"/>
          <w:b/>
          <w:sz w:val="22"/>
          <w:szCs w:val="22"/>
        </w:rPr>
        <w:t xml:space="preserve">verificar si la respuesta otorgada por el SUJETO OBLIGADO es adecuada y suficiente para satisfacer el derecho </w:t>
      </w:r>
      <w:r w:rsidRPr="001D0667">
        <w:rPr>
          <w:rFonts w:ascii="Palatino Linotype" w:eastAsia="Palatino Linotype" w:hAnsi="Palatino Linotype" w:cs="Palatino Linotype"/>
          <w:b/>
          <w:sz w:val="22"/>
          <w:szCs w:val="22"/>
        </w:rPr>
        <w:lastRenderedPageBreak/>
        <w:t xml:space="preserve">de acceso a la información pública </w:t>
      </w:r>
      <w:r w:rsidRPr="001D0667">
        <w:rPr>
          <w:rFonts w:ascii="Palatino Linotype" w:eastAsia="Palatino Linotype" w:hAnsi="Palatino Linotype" w:cs="Palatino Linotype"/>
          <w:sz w:val="22"/>
          <w:szCs w:val="22"/>
        </w:rPr>
        <w:t xml:space="preserve">del </w:t>
      </w:r>
      <w:r w:rsidRPr="001D0667">
        <w:rPr>
          <w:rFonts w:ascii="Palatino Linotype" w:eastAsia="Palatino Linotype" w:hAnsi="Palatino Linotype" w:cs="Palatino Linotype"/>
          <w:b/>
          <w:sz w:val="22"/>
          <w:szCs w:val="22"/>
        </w:rPr>
        <w:t>RECURRENTE</w:t>
      </w:r>
      <w:r w:rsidRPr="001D0667">
        <w:rPr>
          <w:rFonts w:ascii="Palatino Linotype" w:eastAsia="Palatino Linotype" w:hAnsi="Palatino Linotype" w:cs="Palatino Linotype"/>
          <w:sz w:val="22"/>
          <w:szCs w:val="22"/>
        </w:rPr>
        <w:t>, o en su defecto, en caso de ser procedente, ordenar la entrega de información.</w:t>
      </w:r>
    </w:p>
    <w:p w14:paraId="02CF06E7" w14:textId="77777777" w:rsidR="007A0F20" w:rsidRPr="001D0667" w:rsidRDefault="00BE1A1C">
      <w:pPr>
        <w:spacing w:before="240" w:after="240"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b/>
          <w:sz w:val="22"/>
          <w:szCs w:val="22"/>
        </w:rPr>
        <w:t xml:space="preserve">Cuarto. Estudio de fondo del asunto. </w:t>
      </w:r>
      <w:r w:rsidRPr="001D0667">
        <w:rPr>
          <w:rFonts w:ascii="Palatino Linotype" w:eastAsia="Palatino Linotype" w:hAnsi="Palatino Linotype" w:cs="Palatino Linotype"/>
          <w:sz w:val="22"/>
          <w:szCs w:val="22"/>
        </w:rPr>
        <w:t xml:space="preserve">Es conveniente analizar si la respuesta del </w:t>
      </w:r>
      <w:r w:rsidRPr="001D0667">
        <w:rPr>
          <w:rFonts w:ascii="Palatino Linotype" w:eastAsia="Palatino Linotype" w:hAnsi="Palatino Linotype" w:cs="Palatino Linotype"/>
          <w:b/>
          <w:sz w:val="22"/>
          <w:szCs w:val="22"/>
        </w:rPr>
        <w:t>SUJETO OBLIGADO</w:t>
      </w:r>
      <w:r w:rsidRPr="001D0667">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B4877C0" w14:textId="77777777" w:rsidR="007A0F20" w:rsidRPr="001D0667" w:rsidRDefault="00BE1A1C">
      <w:pPr>
        <w:spacing w:before="240"/>
        <w:ind w:left="709" w:right="760"/>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w:t>
      </w:r>
      <w:r w:rsidRPr="001D0667">
        <w:rPr>
          <w:rFonts w:ascii="Palatino Linotype" w:eastAsia="Palatino Linotype" w:hAnsi="Palatino Linotype" w:cs="Palatino Linotype"/>
          <w:b/>
          <w:i/>
          <w:sz w:val="22"/>
          <w:szCs w:val="22"/>
        </w:rPr>
        <w:t>Artículo 4</w:t>
      </w:r>
      <w:r w:rsidRPr="001D0667">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626E490" w14:textId="77777777" w:rsidR="007A0F20" w:rsidRPr="001D0667" w:rsidRDefault="00BE1A1C">
      <w:pPr>
        <w:ind w:left="709" w:right="760"/>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1D0667">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D1B0A55" w14:textId="77777777" w:rsidR="007A0F20" w:rsidRPr="001D0667" w:rsidRDefault="00BE1A1C">
      <w:pPr>
        <w:ind w:left="709" w:right="760"/>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1D0667">
        <w:rPr>
          <w:rFonts w:ascii="Palatino Linotype" w:eastAsia="Palatino Linotype" w:hAnsi="Palatino Linotype" w:cs="Palatino Linotype"/>
          <w:i/>
          <w:sz w:val="22"/>
          <w:szCs w:val="22"/>
        </w:rPr>
        <w:t>.”</w:t>
      </w:r>
    </w:p>
    <w:p w14:paraId="31682430" w14:textId="77777777" w:rsidR="007A0F20" w:rsidRPr="001D0667" w:rsidRDefault="007A0F20">
      <w:pPr>
        <w:spacing w:line="360" w:lineRule="auto"/>
        <w:jc w:val="both"/>
        <w:rPr>
          <w:rFonts w:ascii="Palatino Linotype" w:eastAsia="Palatino Linotype" w:hAnsi="Palatino Linotype" w:cs="Palatino Linotype"/>
          <w:sz w:val="22"/>
          <w:szCs w:val="22"/>
        </w:rPr>
      </w:pPr>
    </w:p>
    <w:p w14:paraId="03411FF4" w14:textId="77777777" w:rsidR="007A0F20" w:rsidRPr="001D0667" w:rsidRDefault="00BE1A1C">
      <w:pPr>
        <w:spacing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w:t>
      </w:r>
      <w:r w:rsidRPr="001D0667">
        <w:rPr>
          <w:rFonts w:ascii="Palatino Linotype" w:eastAsia="Palatino Linotype" w:hAnsi="Palatino Linotype" w:cs="Palatino Linotype"/>
          <w:sz w:val="22"/>
          <w:szCs w:val="22"/>
        </w:rPr>
        <w:lastRenderedPageBreak/>
        <w:t>lo establece el artículo 12 de la Ley de Transparencia y Acceso a la Información Pública del Estado de México y Municipios, que a la letra dice:</w:t>
      </w:r>
    </w:p>
    <w:p w14:paraId="7473974C" w14:textId="77777777" w:rsidR="007A0F20" w:rsidRPr="001D0667" w:rsidRDefault="007A0F20">
      <w:pPr>
        <w:spacing w:line="360" w:lineRule="auto"/>
        <w:jc w:val="both"/>
        <w:rPr>
          <w:rFonts w:ascii="Palatino Linotype" w:eastAsia="Palatino Linotype" w:hAnsi="Palatino Linotype" w:cs="Palatino Linotype"/>
          <w:sz w:val="22"/>
          <w:szCs w:val="22"/>
        </w:rPr>
      </w:pPr>
    </w:p>
    <w:p w14:paraId="11803FA4" w14:textId="77777777" w:rsidR="007A0F20" w:rsidRPr="001D0667" w:rsidRDefault="00BE1A1C">
      <w:pPr>
        <w:ind w:left="567" w:right="758"/>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b/>
          <w:i/>
          <w:sz w:val="22"/>
          <w:szCs w:val="22"/>
        </w:rPr>
        <w:t>“Artículo 12.-</w:t>
      </w:r>
      <w:r w:rsidRPr="001D0667">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01638E5" w14:textId="77777777" w:rsidR="007A0F20" w:rsidRPr="001D0667" w:rsidRDefault="007A0F20">
      <w:pPr>
        <w:ind w:left="567" w:right="758"/>
        <w:jc w:val="both"/>
        <w:rPr>
          <w:rFonts w:ascii="Palatino Linotype" w:eastAsia="Palatino Linotype" w:hAnsi="Palatino Linotype" w:cs="Palatino Linotype"/>
          <w:i/>
          <w:sz w:val="22"/>
          <w:szCs w:val="22"/>
        </w:rPr>
      </w:pPr>
    </w:p>
    <w:p w14:paraId="6F915326" w14:textId="77777777" w:rsidR="007A0F20" w:rsidRPr="001D0667" w:rsidRDefault="00BE1A1C">
      <w:pPr>
        <w:ind w:left="567" w:right="758"/>
        <w:jc w:val="both"/>
        <w:rPr>
          <w:rFonts w:ascii="Palatino Linotype" w:eastAsia="Palatino Linotype" w:hAnsi="Palatino Linotype" w:cs="Palatino Linotype"/>
          <w:b/>
          <w:i/>
          <w:sz w:val="22"/>
          <w:szCs w:val="22"/>
        </w:rPr>
      </w:pPr>
      <w:r w:rsidRPr="001D0667">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1D0667">
        <w:rPr>
          <w:rFonts w:ascii="Palatino Linotype" w:eastAsia="Palatino Linotype" w:hAnsi="Palatino Linotype" w:cs="Palatino Linotype"/>
          <w:i/>
          <w:sz w:val="22"/>
          <w:szCs w:val="22"/>
        </w:rPr>
        <w:t xml:space="preserve">. </w:t>
      </w:r>
      <w:r w:rsidRPr="001D0667">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352FCE38" w14:textId="77777777" w:rsidR="007A0F20" w:rsidRPr="001D0667" w:rsidRDefault="007A0F20">
      <w:pPr>
        <w:ind w:left="567" w:right="758"/>
        <w:jc w:val="both"/>
        <w:rPr>
          <w:rFonts w:ascii="Palatino Linotype" w:eastAsia="Palatino Linotype" w:hAnsi="Palatino Linotype" w:cs="Palatino Linotype"/>
          <w:i/>
          <w:sz w:val="22"/>
          <w:szCs w:val="22"/>
        </w:rPr>
      </w:pPr>
    </w:p>
    <w:p w14:paraId="060713BD" w14:textId="77777777" w:rsidR="007A0F20" w:rsidRPr="001D0667" w:rsidRDefault="00BE1A1C">
      <w:pPr>
        <w:spacing w:line="360" w:lineRule="auto"/>
        <w:ind w:right="-93"/>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588CE185" w14:textId="77777777" w:rsidR="007A0F20" w:rsidRPr="001D0667" w:rsidRDefault="007A0F20">
      <w:pPr>
        <w:spacing w:line="360" w:lineRule="auto"/>
        <w:ind w:right="-93"/>
        <w:jc w:val="both"/>
        <w:rPr>
          <w:rFonts w:ascii="Palatino Linotype" w:eastAsia="Palatino Linotype" w:hAnsi="Palatino Linotype" w:cs="Palatino Linotype"/>
          <w:sz w:val="22"/>
          <w:szCs w:val="22"/>
        </w:rPr>
      </w:pPr>
    </w:p>
    <w:p w14:paraId="2FB49D6F" w14:textId="77777777" w:rsidR="007A0F20" w:rsidRPr="001D0667" w:rsidRDefault="00BE1A1C">
      <w:pPr>
        <w:spacing w:line="360" w:lineRule="auto"/>
        <w:jc w:val="both"/>
        <w:rPr>
          <w:rFonts w:ascii="Palatino Linotype" w:eastAsia="Palatino Linotype" w:hAnsi="Palatino Linotype" w:cs="Palatino Linotype"/>
          <w:b/>
          <w:sz w:val="22"/>
          <w:szCs w:val="22"/>
        </w:rPr>
      </w:pPr>
      <w:r w:rsidRPr="001D0667">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1D0667">
        <w:rPr>
          <w:rFonts w:ascii="Palatino Linotype" w:eastAsia="Palatino Linotype" w:hAnsi="Palatino Linotype" w:cs="Palatino Linotype"/>
          <w:b/>
          <w:sz w:val="22"/>
          <w:szCs w:val="22"/>
        </w:rPr>
        <w:t xml:space="preserve"> </w:t>
      </w:r>
    </w:p>
    <w:p w14:paraId="3F08774D" w14:textId="77777777" w:rsidR="007A0F20" w:rsidRPr="001D0667" w:rsidRDefault="007A0F20">
      <w:pPr>
        <w:ind w:left="851" w:right="850"/>
        <w:jc w:val="both"/>
        <w:rPr>
          <w:rFonts w:ascii="Palatino Linotype" w:eastAsia="Palatino Linotype" w:hAnsi="Palatino Linotype" w:cs="Palatino Linotype"/>
          <w:sz w:val="22"/>
          <w:szCs w:val="22"/>
        </w:rPr>
      </w:pPr>
    </w:p>
    <w:p w14:paraId="42D5A5DB" w14:textId="77777777" w:rsidR="007A0F20" w:rsidRPr="001D0667" w:rsidRDefault="00BE1A1C">
      <w:pPr>
        <w:ind w:left="851" w:right="901"/>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w:t>
      </w:r>
      <w:r w:rsidRPr="001D0667">
        <w:rPr>
          <w:rFonts w:ascii="Palatino Linotype" w:eastAsia="Palatino Linotype" w:hAnsi="Palatino Linotype" w:cs="Palatino Linotype"/>
          <w:b/>
          <w:i/>
          <w:sz w:val="22"/>
          <w:szCs w:val="22"/>
        </w:rPr>
        <w:t>No existe obligación de elaborar documentos ad hoc para atender las solicitudes de acceso a la información.</w:t>
      </w:r>
      <w:r w:rsidRPr="001D0667">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w:t>
      </w:r>
      <w:r w:rsidRPr="001D0667">
        <w:rPr>
          <w:rFonts w:ascii="Palatino Linotype" w:eastAsia="Palatino Linotype" w:hAnsi="Palatino Linotype" w:cs="Palatino Linotype"/>
          <w:i/>
          <w:sz w:val="22"/>
          <w:szCs w:val="22"/>
        </w:rPr>
        <w:lastRenderedPageBreak/>
        <w:t>garantizar el derecho de acceso a la información del particular, proporcionando la información con la que cuentan en el formato en que la misma obre en sus archivos; sin necesidad de elaborar documentos ad hoc para atender las solicitudes de información.</w:t>
      </w:r>
    </w:p>
    <w:p w14:paraId="19489715" w14:textId="77777777" w:rsidR="007A0F20" w:rsidRPr="001D0667" w:rsidRDefault="00BE1A1C">
      <w:pPr>
        <w:ind w:left="851" w:right="901"/>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 xml:space="preserve">Resoluciones: </w:t>
      </w:r>
    </w:p>
    <w:p w14:paraId="10D8AFE9" w14:textId="77777777" w:rsidR="007A0F20" w:rsidRPr="001D0667" w:rsidRDefault="00BE1A1C">
      <w:pPr>
        <w:ind w:left="851" w:right="901"/>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63E148B9" w14:textId="77777777" w:rsidR="007A0F20" w:rsidRPr="001D0667" w:rsidRDefault="00BE1A1C">
      <w:pPr>
        <w:ind w:left="851" w:right="901"/>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54AFBB32" w14:textId="77777777" w:rsidR="007A0F20" w:rsidRPr="001D0667" w:rsidRDefault="00BE1A1C">
      <w:pPr>
        <w:ind w:left="851" w:right="901"/>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 RRA 1889/16. Secretaría de Hacienda y Crédito Público. 05 de octubre de 2016. Por unanimidad. Comisionada Ponente. Ximena Puente de la Mora.”</w:t>
      </w:r>
    </w:p>
    <w:p w14:paraId="74AD4CC5" w14:textId="77777777" w:rsidR="007A0F20" w:rsidRPr="001D0667" w:rsidRDefault="007A0F20">
      <w:pPr>
        <w:spacing w:line="360" w:lineRule="auto"/>
        <w:ind w:right="-93"/>
        <w:jc w:val="both"/>
        <w:rPr>
          <w:rFonts w:ascii="Palatino Linotype" w:eastAsia="Palatino Linotype" w:hAnsi="Palatino Linotype" w:cs="Palatino Linotype"/>
          <w:sz w:val="22"/>
          <w:szCs w:val="22"/>
        </w:rPr>
      </w:pPr>
    </w:p>
    <w:p w14:paraId="37671914" w14:textId="77777777" w:rsidR="007A0F20" w:rsidRPr="001D0667" w:rsidRDefault="00BE1A1C">
      <w:pPr>
        <w:spacing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939E352" w14:textId="77777777" w:rsidR="007A0F20" w:rsidRPr="001D0667" w:rsidRDefault="007A0F20">
      <w:pPr>
        <w:spacing w:line="360" w:lineRule="auto"/>
        <w:jc w:val="both"/>
        <w:rPr>
          <w:rFonts w:ascii="Palatino Linotype" w:eastAsia="Palatino Linotype" w:hAnsi="Palatino Linotype" w:cs="Palatino Linotype"/>
          <w:sz w:val="22"/>
          <w:szCs w:val="22"/>
        </w:rPr>
      </w:pPr>
    </w:p>
    <w:p w14:paraId="0CD2661B" w14:textId="77777777" w:rsidR="007A0F20" w:rsidRPr="001D0667" w:rsidRDefault="00BE1A1C">
      <w:pPr>
        <w:spacing w:line="360" w:lineRule="auto"/>
        <w:ind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EA3DED0" w14:textId="77777777" w:rsidR="007A0F20" w:rsidRPr="001D0667" w:rsidRDefault="007A0F20">
      <w:pPr>
        <w:spacing w:line="360" w:lineRule="auto"/>
        <w:ind w:right="49"/>
        <w:jc w:val="both"/>
        <w:rPr>
          <w:rFonts w:ascii="Palatino Linotype" w:eastAsia="Palatino Linotype" w:hAnsi="Palatino Linotype" w:cs="Palatino Linotype"/>
          <w:sz w:val="22"/>
          <w:szCs w:val="22"/>
        </w:rPr>
      </w:pPr>
    </w:p>
    <w:p w14:paraId="6FA7DCED" w14:textId="77777777" w:rsidR="007A0F20" w:rsidRPr="001D0667" w:rsidRDefault="00BE1A1C">
      <w:pPr>
        <w:spacing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w:t>
      </w:r>
      <w:r w:rsidRPr="001D0667">
        <w:rPr>
          <w:rFonts w:ascii="Palatino Linotype" w:eastAsia="Palatino Linotype" w:hAnsi="Palatino Linotype" w:cs="Palatino Linotype"/>
          <w:sz w:val="22"/>
          <w:szCs w:val="22"/>
        </w:rPr>
        <w:lastRenderedPageBreak/>
        <w:t xml:space="preserve">competencias de los Sujetos Obligados; los que, podrán estar en cualquier medio, sea escrito, impreso, sonoro, visual, electrónico, informático u holográfico de conformidad con el artículo 3, fracción XI de la Ley de la materia, el cual señala lo siguiente: </w:t>
      </w:r>
    </w:p>
    <w:p w14:paraId="15D36A9C" w14:textId="77777777" w:rsidR="007A0F20" w:rsidRPr="001D0667" w:rsidRDefault="007A0F20">
      <w:pPr>
        <w:ind w:left="851" w:right="899"/>
        <w:jc w:val="both"/>
        <w:rPr>
          <w:rFonts w:ascii="Palatino Linotype" w:eastAsia="Palatino Linotype" w:hAnsi="Palatino Linotype" w:cs="Palatino Linotype"/>
          <w:i/>
          <w:sz w:val="22"/>
          <w:szCs w:val="22"/>
        </w:rPr>
      </w:pPr>
    </w:p>
    <w:p w14:paraId="6AAD958C" w14:textId="77777777" w:rsidR="007A0F20" w:rsidRPr="001D0667" w:rsidRDefault="00BE1A1C">
      <w:pPr>
        <w:ind w:left="851" w:right="899"/>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w:t>
      </w:r>
      <w:r w:rsidRPr="001D0667">
        <w:rPr>
          <w:rFonts w:ascii="Palatino Linotype" w:eastAsia="Palatino Linotype" w:hAnsi="Palatino Linotype" w:cs="Palatino Linotype"/>
          <w:b/>
          <w:i/>
          <w:sz w:val="22"/>
          <w:szCs w:val="22"/>
        </w:rPr>
        <w:t xml:space="preserve">Artículo 3. </w:t>
      </w:r>
      <w:r w:rsidRPr="001D0667">
        <w:rPr>
          <w:rFonts w:ascii="Palatino Linotype" w:eastAsia="Palatino Linotype" w:hAnsi="Palatino Linotype" w:cs="Palatino Linotype"/>
          <w:i/>
          <w:sz w:val="22"/>
          <w:szCs w:val="22"/>
        </w:rPr>
        <w:t>Para los efectos de la presente Ley se entenderá por:</w:t>
      </w:r>
    </w:p>
    <w:p w14:paraId="204F0283" w14:textId="77777777" w:rsidR="007A0F20" w:rsidRPr="001D0667" w:rsidRDefault="00BE1A1C">
      <w:pPr>
        <w:ind w:left="851" w:right="899"/>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w:t>
      </w:r>
    </w:p>
    <w:p w14:paraId="12202F96" w14:textId="77777777" w:rsidR="007A0F20" w:rsidRPr="001D0667" w:rsidRDefault="00BE1A1C">
      <w:pPr>
        <w:ind w:left="851" w:right="899"/>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b/>
          <w:i/>
          <w:sz w:val="22"/>
          <w:szCs w:val="22"/>
        </w:rPr>
        <w:t>XI. Documento:</w:t>
      </w:r>
      <w:r w:rsidRPr="001D0667">
        <w:rPr>
          <w:rFonts w:ascii="Palatino Linotype" w:eastAsia="Palatino Linotype" w:hAnsi="Palatino Linotype" w:cs="Palatino Linotype"/>
          <w:i/>
          <w:sz w:val="22"/>
          <w:szCs w:val="22"/>
        </w:rPr>
        <w:t xml:space="preserve"> Los expedientes, reportes, estudios, actas</w:t>
      </w:r>
      <w:r w:rsidRPr="001D0667">
        <w:rPr>
          <w:rFonts w:ascii="Palatino Linotype" w:eastAsia="Palatino Linotype" w:hAnsi="Palatino Linotype" w:cs="Palatino Linotype"/>
          <w:b/>
          <w:i/>
          <w:sz w:val="22"/>
          <w:szCs w:val="22"/>
        </w:rPr>
        <w:t>,</w:t>
      </w:r>
      <w:r w:rsidRPr="001D0667">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7CE58B8" w14:textId="77777777" w:rsidR="007A0F20" w:rsidRPr="001D0667" w:rsidRDefault="007A0F20">
      <w:pPr>
        <w:ind w:left="851" w:right="899"/>
        <w:jc w:val="both"/>
        <w:rPr>
          <w:rFonts w:ascii="Palatino Linotype" w:eastAsia="Palatino Linotype" w:hAnsi="Palatino Linotype" w:cs="Palatino Linotype"/>
          <w:sz w:val="22"/>
          <w:szCs w:val="22"/>
        </w:rPr>
      </w:pPr>
    </w:p>
    <w:p w14:paraId="422E72C5" w14:textId="77777777" w:rsidR="007A0F20" w:rsidRPr="001D0667" w:rsidRDefault="00BE1A1C">
      <w:pPr>
        <w:spacing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AF5C703" w14:textId="77777777" w:rsidR="007A0F20" w:rsidRPr="001D0667" w:rsidRDefault="007A0F20">
      <w:pPr>
        <w:ind w:left="851" w:right="899"/>
        <w:jc w:val="both"/>
        <w:rPr>
          <w:rFonts w:ascii="Palatino Linotype" w:eastAsia="Palatino Linotype" w:hAnsi="Palatino Linotype" w:cs="Palatino Linotype"/>
          <w:sz w:val="22"/>
          <w:szCs w:val="22"/>
        </w:rPr>
      </w:pPr>
    </w:p>
    <w:p w14:paraId="11E07098" w14:textId="77777777" w:rsidR="007A0F20" w:rsidRPr="001D0667" w:rsidRDefault="00BE1A1C">
      <w:pPr>
        <w:ind w:left="851" w:right="899"/>
        <w:jc w:val="both"/>
        <w:rPr>
          <w:rFonts w:ascii="Palatino Linotype" w:eastAsia="Palatino Linotype" w:hAnsi="Palatino Linotype" w:cs="Palatino Linotype"/>
          <w:b/>
          <w:i/>
          <w:sz w:val="22"/>
          <w:szCs w:val="22"/>
        </w:rPr>
      </w:pPr>
      <w:r w:rsidRPr="001D0667">
        <w:rPr>
          <w:rFonts w:ascii="Palatino Linotype" w:eastAsia="Palatino Linotype" w:hAnsi="Palatino Linotype" w:cs="Palatino Linotype"/>
          <w:b/>
          <w:sz w:val="22"/>
          <w:szCs w:val="22"/>
        </w:rPr>
        <w:t>“</w:t>
      </w:r>
      <w:r w:rsidRPr="001D0667">
        <w:rPr>
          <w:rFonts w:ascii="Palatino Linotype" w:eastAsia="Palatino Linotype" w:hAnsi="Palatino Linotype" w:cs="Palatino Linotype"/>
          <w:b/>
          <w:i/>
          <w:sz w:val="22"/>
          <w:szCs w:val="22"/>
        </w:rPr>
        <w:t>CRITERIO 0002-11</w:t>
      </w:r>
    </w:p>
    <w:p w14:paraId="6A4C3B07" w14:textId="77777777" w:rsidR="007A0F20" w:rsidRPr="001D0667" w:rsidRDefault="00BE1A1C">
      <w:pPr>
        <w:ind w:left="851" w:right="899"/>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1D0667">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9816426" w14:textId="77777777" w:rsidR="007A0F20" w:rsidRPr="001D0667" w:rsidRDefault="00BE1A1C">
      <w:pPr>
        <w:ind w:left="851" w:right="899"/>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3EBA8CC" w14:textId="77777777" w:rsidR="007A0F20" w:rsidRPr="001D0667" w:rsidRDefault="00BE1A1C">
      <w:pPr>
        <w:ind w:left="851" w:right="899"/>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2B76D48" w14:textId="77777777" w:rsidR="007A0F20" w:rsidRPr="001D0667" w:rsidRDefault="00BE1A1C">
      <w:pPr>
        <w:ind w:left="851" w:right="899"/>
        <w:jc w:val="both"/>
        <w:rPr>
          <w:rFonts w:ascii="Palatino Linotype" w:eastAsia="Palatino Linotype" w:hAnsi="Palatino Linotype" w:cs="Palatino Linotype"/>
          <w:b/>
          <w:i/>
          <w:sz w:val="22"/>
          <w:szCs w:val="22"/>
        </w:rPr>
      </w:pPr>
      <w:r w:rsidRPr="001D0667">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11E82E76" w14:textId="77777777" w:rsidR="007A0F20" w:rsidRPr="001D0667" w:rsidRDefault="00BE1A1C">
      <w:pPr>
        <w:ind w:left="851" w:right="899"/>
        <w:jc w:val="both"/>
        <w:rPr>
          <w:rFonts w:ascii="Palatino Linotype" w:eastAsia="Palatino Linotype" w:hAnsi="Palatino Linotype" w:cs="Palatino Linotype"/>
          <w:b/>
          <w:i/>
          <w:sz w:val="22"/>
          <w:szCs w:val="22"/>
        </w:rPr>
      </w:pPr>
      <w:r w:rsidRPr="001D0667">
        <w:rPr>
          <w:rFonts w:ascii="Palatino Linotype" w:eastAsia="Palatino Linotype" w:hAnsi="Palatino Linotype" w:cs="Palatino Linotype"/>
          <w:b/>
          <w:i/>
          <w:sz w:val="22"/>
          <w:szCs w:val="22"/>
        </w:rPr>
        <w:lastRenderedPageBreak/>
        <w:t>3) Que se trate de información registrada en cualquier soporte documental, que en ejercicio de las atribuciones conferidas, se encuentre en posesión de los Sujetos Obligados.”</w:t>
      </w:r>
    </w:p>
    <w:p w14:paraId="134B2D67" w14:textId="77777777" w:rsidR="007A0F20" w:rsidRPr="001D0667" w:rsidRDefault="007A0F20">
      <w:pPr>
        <w:spacing w:line="360" w:lineRule="auto"/>
        <w:jc w:val="both"/>
        <w:rPr>
          <w:rFonts w:ascii="Palatino Linotype" w:eastAsia="Palatino Linotype" w:hAnsi="Palatino Linotype" w:cs="Palatino Linotype"/>
          <w:sz w:val="22"/>
          <w:szCs w:val="22"/>
        </w:rPr>
      </w:pPr>
    </w:p>
    <w:p w14:paraId="1640B598" w14:textId="4E6767CE" w:rsidR="00686A1D" w:rsidRPr="001D0667" w:rsidRDefault="00BE1A1C">
      <w:pPr>
        <w:spacing w:after="240"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Ahora bien, del análisis de la solicitud de información motivo del recurso de revisión que ahora se resuelve, se advierte que el particular requirió a</w:t>
      </w:r>
      <w:r w:rsidR="00C36BC7" w:rsidRPr="001D0667">
        <w:rPr>
          <w:rFonts w:ascii="Palatino Linotype" w:eastAsia="Palatino Linotype" w:hAnsi="Palatino Linotype" w:cs="Palatino Linotype"/>
          <w:sz w:val="22"/>
          <w:szCs w:val="22"/>
        </w:rPr>
        <w:t xml:space="preserve"> </w:t>
      </w:r>
      <w:r w:rsidRPr="001D0667">
        <w:rPr>
          <w:rFonts w:ascii="Palatino Linotype" w:eastAsia="Palatino Linotype" w:hAnsi="Palatino Linotype" w:cs="Palatino Linotype"/>
          <w:sz w:val="22"/>
          <w:szCs w:val="22"/>
        </w:rPr>
        <w:t>l</w:t>
      </w:r>
      <w:r w:rsidR="00C36BC7" w:rsidRPr="001D0667">
        <w:rPr>
          <w:rFonts w:ascii="Palatino Linotype" w:eastAsia="Palatino Linotype" w:hAnsi="Palatino Linotype" w:cs="Palatino Linotype"/>
          <w:sz w:val="22"/>
          <w:szCs w:val="22"/>
        </w:rPr>
        <w:t>a</w:t>
      </w:r>
      <w:r w:rsidRPr="001D0667">
        <w:rPr>
          <w:rFonts w:ascii="Palatino Linotype" w:eastAsia="Palatino Linotype" w:hAnsi="Palatino Linotype" w:cs="Palatino Linotype"/>
          <w:sz w:val="22"/>
          <w:szCs w:val="22"/>
        </w:rPr>
        <w:t xml:space="preserve"> </w:t>
      </w:r>
      <w:r w:rsidR="00C36BC7" w:rsidRPr="001D0667">
        <w:rPr>
          <w:rFonts w:ascii="Palatino Linotype" w:eastAsia="Palatino Linotype" w:hAnsi="Palatino Linotype" w:cs="Palatino Linotype"/>
          <w:b/>
          <w:sz w:val="22"/>
          <w:szCs w:val="22"/>
        </w:rPr>
        <w:t>Fiscalía General de Justicia del Estado de México</w:t>
      </w:r>
      <w:r w:rsidR="00392CA6" w:rsidRPr="001D0667">
        <w:rPr>
          <w:rFonts w:ascii="Palatino Linotype" w:eastAsia="Palatino Linotype" w:hAnsi="Palatino Linotype" w:cs="Palatino Linotype"/>
          <w:sz w:val="22"/>
          <w:szCs w:val="22"/>
        </w:rPr>
        <w:t xml:space="preserve"> el organigrama </w:t>
      </w:r>
      <w:r w:rsidR="00686A1D" w:rsidRPr="001D0667">
        <w:rPr>
          <w:rFonts w:ascii="Palatino Linotype" w:eastAsia="Palatino Linotype" w:hAnsi="Palatino Linotype" w:cs="Palatino Linotype"/>
          <w:sz w:val="22"/>
          <w:szCs w:val="22"/>
        </w:rPr>
        <w:t>completo de la Coordinación General de la Policía de Investigación</w:t>
      </w:r>
      <w:r w:rsidR="001B18C4" w:rsidRPr="001D0667">
        <w:rPr>
          <w:rFonts w:ascii="Palatino Linotype" w:eastAsia="Palatino Linotype" w:hAnsi="Palatino Linotype" w:cs="Palatino Linotype"/>
          <w:sz w:val="22"/>
          <w:szCs w:val="22"/>
        </w:rPr>
        <w:t xml:space="preserve">, ya que indica que no se encuentra actualizado en diversas páginas electrónicas, para lo cual proporcionó </w:t>
      </w:r>
      <w:r w:rsidR="00355068" w:rsidRPr="001D0667">
        <w:rPr>
          <w:rFonts w:ascii="Palatino Linotype" w:eastAsia="Palatino Linotype" w:hAnsi="Palatino Linotype" w:cs="Palatino Linotype"/>
          <w:sz w:val="22"/>
          <w:szCs w:val="22"/>
        </w:rPr>
        <w:t>las siguientes direcciones electrónicas:</w:t>
      </w:r>
    </w:p>
    <w:p w14:paraId="352665F2" w14:textId="13480CC4" w:rsidR="00355068" w:rsidRPr="001D0667" w:rsidRDefault="006A3045" w:rsidP="00355068">
      <w:pPr>
        <w:pStyle w:val="Prrafodelista"/>
        <w:numPr>
          <w:ilvl w:val="0"/>
          <w:numId w:val="17"/>
        </w:numPr>
        <w:spacing w:after="240"/>
        <w:jc w:val="both"/>
        <w:rPr>
          <w:rFonts w:ascii="Palatino Linotype" w:eastAsia="Palatino Linotype" w:hAnsi="Palatino Linotype" w:cs="Palatino Linotype"/>
          <w:i/>
          <w:iCs/>
          <w:sz w:val="22"/>
          <w:szCs w:val="22"/>
        </w:rPr>
      </w:pPr>
      <w:hyperlink r:id="rId9" w:history="1">
        <w:r w:rsidR="00355068" w:rsidRPr="001D0667">
          <w:rPr>
            <w:rStyle w:val="Hipervnculo"/>
            <w:rFonts w:ascii="Palatino Linotype" w:eastAsia="Palatino Linotype" w:hAnsi="Palatino Linotype" w:cs="Palatino Linotype"/>
            <w:i/>
            <w:iCs/>
            <w:color w:val="auto"/>
            <w:sz w:val="22"/>
            <w:szCs w:val="22"/>
          </w:rPr>
          <w:t>https://dgi.edomex.gob.mx/sites/dgi.edomex.gob.mx/files/organigramas/pdf/22891512618261.pdf</w:t>
        </w:r>
      </w:hyperlink>
    </w:p>
    <w:p w14:paraId="744B2F25" w14:textId="5A2DABF1" w:rsidR="00355068" w:rsidRPr="001D0667" w:rsidRDefault="006A3045" w:rsidP="00355068">
      <w:pPr>
        <w:pStyle w:val="Prrafodelista"/>
        <w:numPr>
          <w:ilvl w:val="0"/>
          <w:numId w:val="17"/>
        </w:numPr>
        <w:spacing w:after="240"/>
        <w:jc w:val="both"/>
        <w:rPr>
          <w:rFonts w:ascii="Palatino Linotype" w:eastAsia="Palatino Linotype" w:hAnsi="Palatino Linotype" w:cs="Palatino Linotype"/>
          <w:i/>
          <w:iCs/>
          <w:sz w:val="22"/>
          <w:szCs w:val="22"/>
        </w:rPr>
      </w:pPr>
      <w:hyperlink r:id="rId10" w:history="1">
        <w:r w:rsidR="00355068" w:rsidRPr="001D0667">
          <w:rPr>
            <w:rStyle w:val="Hipervnculo"/>
            <w:rFonts w:ascii="Palatino Linotype" w:eastAsia="Palatino Linotype" w:hAnsi="Palatino Linotype" w:cs="Palatino Linotype"/>
            <w:i/>
            <w:iCs/>
            <w:color w:val="auto"/>
            <w:sz w:val="22"/>
            <w:szCs w:val="22"/>
          </w:rPr>
          <w:t>http://187.190.53.177:5588/sis/transparencia/sgc/Unidad_de_Tranparencia/Articulo_92/Fraccion_II_B_Organigrama/175109_ORGANIGRAMA.pdf</w:t>
        </w:r>
      </w:hyperlink>
    </w:p>
    <w:p w14:paraId="50BD1767" w14:textId="6434D817" w:rsidR="00355068" w:rsidRPr="001D0667" w:rsidRDefault="006A3045" w:rsidP="00355068">
      <w:pPr>
        <w:pStyle w:val="Prrafodelista"/>
        <w:numPr>
          <w:ilvl w:val="0"/>
          <w:numId w:val="17"/>
        </w:numPr>
        <w:spacing w:after="240"/>
        <w:jc w:val="both"/>
        <w:rPr>
          <w:rFonts w:ascii="Palatino Linotype" w:eastAsia="Palatino Linotype" w:hAnsi="Palatino Linotype" w:cs="Palatino Linotype"/>
          <w:i/>
          <w:iCs/>
          <w:sz w:val="22"/>
          <w:szCs w:val="22"/>
        </w:rPr>
      </w:pPr>
      <w:hyperlink r:id="rId11" w:history="1">
        <w:r w:rsidR="00355068" w:rsidRPr="001D0667">
          <w:rPr>
            <w:rStyle w:val="Hipervnculo"/>
            <w:rFonts w:ascii="Palatino Linotype" w:eastAsia="Palatino Linotype" w:hAnsi="Palatino Linotype" w:cs="Palatino Linotype"/>
            <w:i/>
            <w:iCs/>
            <w:color w:val="auto"/>
            <w:sz w:val="22"/>
            <w:szCs w:val="22"/>
          </w:rPr>
          <w:t>https://www.ipomex.org.mx/ipo3/lgt/indice/FGJEM/organigramas.web?token=03AFcWeA6gtoD0oMaZstdw4p-8e7E0rw4-wKAAM9owh2Wk_o655sCowaCq3MtX9kWXvfJFcLtqqpGZ-6OULrW1xRDk-Rt0eQTW0liU99ff6wdgfUbA-7W_OdbjuIL4Ta3hVxPoWFEWf9Wgn4lDO49JEe-8fce5_nBWieHrtQVUF_KLCh2oFfaCziMNYUfOF_aETD15yf-fHk7LmD88Z_uEigRRf6NnB-PbPEeJt2TSqOPqTZ7MmpxHoaqyy8cmKalfqBln_o8k6VDL5eBkqRrnyKyNHTDH-RuIIB_yEWEELTU8tK5ySLP_2cGZD5bwutQElgDh1eispmnmRDZKwTPnLkHfi4hgHNwdxaOT2pizfwpjXKyoLC48elaJCtpYSk2WBaG8LQfmQid8Y9CXtnVP7JoYDs2xp_DR5R2JnBaMMa56nYvYBw8PygSsIRY2VCT-s99uJUTTc5nBf4UfafHv-813ufW5R9oejVy_TFf0vOTwdQMTZlkboLbLmjanTjjN9NGL4zLqVTOJQxTEd1lb38B1F0zSQAOfY4nqb56QVpaNWaJglxZ17PS-zk5o16rvBGULaJUgYGK_-rAYmj0zHw1YRECcXMrPwspDvwv3v6W75VetvuVsx2xVidLIXjAbHqABTtvCjyZQA9FkMshialcX4oyT4a0ZAeeQ4qdBUJCYbt1DI4Y_8DukfFAURIpnXPzwxu24B55PTpU6l_aXRxX6NBU1Ifa8i5ohktlqssgk9bpkVwCqS5_fBAPhFbbXf8zlTjxBbmFJpJp6UEoqNTts5Sfo9wxecnW-eTFcASGClNCNoRcO1GI0Sn9r2750JkxMQwBkmzPpTIxJ0i8DtqrvKm-JNfF9MD5iywkOVwBO5Rpb8PHTSE7kzsH1sXz2shHEzZ-mTiJLvqQW7jZdN_bSLE2LuILrIg</w:t>
        </w:r>
      </w:hyperlink>
    </w:p>
    <w:p w14:paraId="32E92C19" w14:textId="6CAD55AF" w:rsidR="00355068" w:rsidRPr="001D0667" w:rsidRDefault="006A3045" w:rsidP="00355068">
      <w:pPr>
        <w:pStyle w:val="Prrafodelista"/>
        <w:numPr>
          <w:ilvl w:val="0"/>
          <w:numId w:val="17"/>
        </w:numPr>
        <w:spacing w:after="240"/>
        <w:jc w:val="both"/>
        <w:rPr>
          <w:rFonts w:ascii="Palatino Linotype" w:eastAsia="Palatino Linotype" w:hAnsi="Palatino Linotype" w:cs="Palatino Linotype"/>
          <w:i/>
          <w:iCs/>
          <w:sz w:val="22"/>
          <w:szCs w:val="22"/>
        </w:rPr>
      </w:pPr>
      <w:hyperlink r:id="rId12" w:history="1">
        <w:r w:rsidR="00355068" w:rsidRPr="001D0667">
          <w:rPr>
            <w:rStyle w:val="Hipervnculo"/>
            <w:rFonts w:ascii="Palatino Linotype" w:eastAsia="Palatino Linotype" w:hAnsi="Palatino Linotype" w:cs="Palatino Linotype"/>
            <w:i/>
            <w:iCs/>
            <w:color w:val="auto"/>
            <w:sz w:val="22"/>
            <w:szCs w:val="22"/>
          </w:rPr>
          <w:t>https://www.ipomex.org.mx/ipo3/lgt/indice/FGJEM/art_92_ii_b.web?token=03AFcWeA4ZIVyqXrAQBsOnNxfdZ98UXq485BzeGMaClw-tIu0t3GLMI0yzUUfAMUWzhOk8tyRTtwoimzaRrPKOMeeJkyPoZLvVQgJjDhnb16LC6S9oEZK8WDd8dCMvjSYqy3AihHAgsWTEDHZckSgY6b0ORBVlHPxLM1f91uYCxoy4qrsC0BfDbg6iwpXP7Fd6eTjvWbZCIZV-Xm6s1mxnZl3_7A8Ce1XUSmbrxd-</w:t>
        </w:r>
        <w:r w:rsidR="00355068" w:rsidRPr="001D0667">
          <w:rPr>
            <w:rStyle w:val="Hipervnculo"/>
            <w:rFonts w:ascii="Palatino Linotype" w:eastAsia="Palatino Linotype" w:hAnsi="Palatino Linotype" w:cs="Palatino Linotype"/>
            <w:i/>
            <w:iCs/>
            <w:color w:val="auto"/>
            <w:sz w:val="22"/>
            <w:szCs w:val="22"/>
          </w:rPr>
          <w:lastRenderedPageBreak/>
          <w:t>2uelypOvG81dGcdtunHUPk1uU773UHzO1TeYnSspUbAbwXAgN9eSyou_VukNpRwG0BND02Q2L8DANCoU2qvZojTlPmaiVGuM_52kficdf_Z0Q7RWOF8cNNjcwSJn_c3Q6OsLt4xggNrbWMUsi6Glj9cu6MXFhZO_F6_n0Jiuhel_7ktOePTzXdSOqqGLXr_l8OFi_OqS24xnwBZY0CVwuo9BYz0XCbD3G4-W6OCD0gzH6StBZCNSl9bWSLogPwtUUHmBi_uTqNcN1_KTAqwrBKmnIKoPeAv2cFXUXc-W2i_x_bdzzxpq0wVVYIo3uxy1gFRkpquddMfySig4-auzAFTx5q7X3vq1RwC8f6lTYjCc4VZfnePJWthdGh88HqGuo297iy6jPELT1Br7cyzrKoC608P4fXQPWIif3I72S6osQSlWhSFPQ3vMCUDyhVTxpAr4RplHiciKF8L_Inr6NoEvBzS-5PAOoBtxcYBsGHe_iZIaUAiwdUo1XGaAEYgKU0fuF2eZ5kmfhHsUbh8C21Gc1DL_oi6bdlLm1bLZ8tOfqfXACL_SRaZJFSYyIQsL3Cy7T5wWtER12jw_NBH_g4-0K5K5LQUUQjlQhqDuHePamleQcnnsLUpr9hIPcuo0ePeFHHcNUqg9GEXjB02f8pI1hAoy8UvVNRG9YfZTSB-1-8kd8ePKKqTIX1w#</w:t>
        </w:r>
      </w:hyperlink>
    </w:p>
    <w:p w14:paraId="5A2B115C" w14:textId="315D8463" w:rsidR="00584FB0" w:rsidRPr="001D0667" w:rsidRDefault="009C3515" w:rsidP="009C3515">
      <w:pPr>
        <w:spacing w:after="240"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Derivado de la naturaleza de la información requerida, es necesario traer a contexto e</w:t>
      </w:r>
      <w:r w:rsidR="00584FB0" w:rsidRPr="001D0667">
        <w:rPr>
          <w:rFonts w:ascii="Palatino Linotype" w:eastAsia="Palatino Linotype" w:hAnsi="Palatino Linotype" w:cs="Palatino Linotype"/>
          <w:sz w:val="22"/>
          <w:szCs w:val="22"/>
        </w:rPr>
        <w:t>l artículo 70, fracción II y artículo 92, fracción II, de la Ley General de Transparencia y Acceso a la Información Pública y Ley de Transparencia y Acceso a la Información Pública del Estado de México y Municipios respectivamente, cuyo contenido es el siguiente:</w:t>
      </w:r>
    </w:p>
    <w:p w14:paraId="21DFE26E" w14:textId="77777777" w:rsidR="00A8540D" w:rsidRPr="001D0667" w:rsidRDefault="00584FB0" w:rsidP="00A8540D">
      <w:pPr>
        <w:spacing w:line="276" w:lineRule="auto"/>
        <w:ind w:left="567" w:right="616"/>
        <w:jc w:val="center"/>
        <w:rPr>
          <w:rFonts w:ascii="Palatino Linotype" w:hAnsi="Palatino Linotype"/>
          <w:b/>
          <w:i/>
          <w:sz w:val="22"/>
        </w:rPr>
      </w:pPr>
      <w:r w:rsidRPr="001D0667">
        <w:rPr>
          <w:rFonts w:ascii="Palatino Linotype" w:hAnsi="Palatino Linotype"/>
          <w:b/>
          <w:i/>
          <w:sz w:val="22"/>
        </w:rPr>
        <w:t>Capítulo II</w:t>
      </w:r>
    </w:p>
    <w:p w14:paraId="36076C88" w14:textId="24FE5E92" w:rsidR="00584FB0" w:rsidRPr="001D0667" w:rsidRDefault="00584FB0" w:rsidP="00A8540D">
      <w:pPr>
        <w:spacing w:line="276" w:lineRule="auto"/>
        <w:ind w:left="567" w:right="616"/>
        <w:jc w:val="center"/>
        <w:rPr>
          <w:rFonts w:ascii="Palatino Linotype" w:hAnsi="Palatino Linotype"/>
          <w:b/>
          <w:i/>
          <w:sz w:val="22"/>
        </w:rPr>
      </w:pPr>
      <w:r w:rsidRPr="001D0667">
        <w:rPr>
          <w:rFonts w:ascii="Palatino Linotype" w:hAnsi="Palatino Linotype"/>
          <w:b/>
          <w:i/>
          <w:sz w:val="22"/>
        </w:rPr>
        <w:t>De las obligaciones de transparencia comunes</w:t>
      </w:r>
    </w:p>
    <w:p w14:paraId="41AE96E2" w14:textId="55DB7D63" w:rsidR="00584FB0" w:rsidRPr="001D0667" w:rsidRDefault="00584FB0" w:rsidP="00A8540D">
      <w:pPr>
        <w:spacing w:line="276" w:lineRule="auto"/>
        <w:ind w:left="567" w:right="616"/>
        <w:jc w:val="both"/>
        <w:rPr>
          <w:rFonts w:ascii="Palatino Linotype" w:hAnsi="Palatino Linotype"/>
          <w:i/>
          <w:sz w:val="22"/>
        </w:rPr>
      </w:pPr>
      <w:r w:rsidRPr="001D0667">
        <w:rPr>
          <w:rFonts w:ascii="Palatino Linotype" w:hAnsi="Palatino Linotype"/>
          <w:i/>
          <w:sz w:val="22"/>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606632F4" w14:textId="096BDE99" w:rsidR="00584FB0" w:rsidRPr="001D0667" w:rsidRDefault="00584FB0" w:rsidP="00A8540D">
      <w:pPr>
        <w:spacing w:line="276" w:lineRule="auto"/>
        <w:ind w:left="567" w:right="616"/>
        <w:jc w:val="both"/>
        <w:rPr>
          <w:rFonts w:ascii="Palatino Linotype" w:hAnsi="Palatino Linotype"/>
          <w:i/>
          <w:sz w:val="22"/>
        </w:rPr>
      </w:pPr>
      <w:r w:rsidRPr="001D0667">
        <w:rPr>
          <w:rFonts w:ascii="Palatino Linotype" w:hAnsi="Palatino Linotype"/>
          <w:i/>
          <w:sz w:val="22"/>
        </w:rPr>
        <w:t>…</w:t>
      </w:r>
    </w:p>
    <w:p w14:paraId="4BBD9B5F" w14:textId="7B773529" w:rsidR="00584FB0" w:rsidRPr="001D0667" w:rsidRDefault="00584FB0" w:rsidP="00A8540D">
      <w:pPr>
        <w:spacing w:line="276" w:lineRule="auto"/>
        <w:ind w:left="567" w:right="616"/>
        <w:jc w:val="both"/>
        <w:rPr>
          <w:rFonts w:ascii="Palatino Linotype" w:hAnsi="Palatino Linotype"/>
          <w:i/>
          <w:sz w:val="22"/>
        </w:rPr>
      </w:pPr>
      <w:r w:rsidRPr="001D0667">
        <w:rPr>
          <w:rFonts w:ascii="Palatino Linotype" w:hAnsi="Palatino Linotype"/>
          <w:i/>
          <w:sz w:val="22"/>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p w14:paraId="0A473C46" w14:textId="1B341F5E" w:rsidR="00584FB0" w:rsidRPr="001D0667" w:rsidRDefault="00584FB0" w:rsidP="00A8540D">
      <w:pPr>
        <w:spacing w:line="276" w:lineRule="auto"/>
        <w:ind w:left="567" w:right="616"/>
        <w:jc w:val="both"/>
        <w:rPr>
          <w:rFonts w:ascii="Palatino Linotype" w:eastAsia="Palatino Linotype" w:hAnsi="Palatino Linotype" w:cs="Palatino Linotype"/>
          <w:i/>
          <w:sz w:val="18"/>
          <w:szCs w:val="22"/>
        </w:rPr>
      </w:pPr>
      <w:r w:rsidRPr="001D0667">
        <w:rPr>
          <w:rFonts w:ascii="Palatino Linotype" w:hAnsi="Palatino Linotype"/>
          <w:i/>
          <w:sz w:val="22"/>
        </w:rPr>
        <w:t>…</w:t>
      </w:r>
    </w:p>
    <w:p w14:paraId="325A8909" w14:textId="299F02FE" w:rsidR="00584FB0" w:rsidRPr="001D0667" w:rsidRDefault="00584FB0" w:rsidP="00A8540D">
      <w:pPr>
        <w:spacing w:line="276" w:lineRule="auto"/>
        <w:ind w:left="567" w:right="616"/>
        <w:jc w:val="center"/>
        <w:rPr>
          <w:rFonts w:ascii="Palatino Linotype" w:hAnsi="Palatino Linotype"/>
          <w:b/>
          <w:i/>
          <w:sz w:val="22"/>
        </w:rPr>
      </w:pPr>
      <w:r w:rsidRPr="001D0667">
        <w:rPr>
          <w:rFonts w:ascii="Palatino Linotype" w:hAnsi="Palatino Linotype"/>
          <w:b/>
          <w:i/>
          <w:sz w:val="22"/>
        </w:rPr>
        <w:t>Capítulo II</w:t>
      </w:r>
    </w:p>
    <w:p w14:paraId="21E0BD87" w14:textId="544292BA" w:rsidR="00584FB0" w:rsidRPr="001D0667" w:rsidRDefault="00584FB0" w:rsidP="00A8540D">
      <w:pPr>
        <w:spacing w:line="276" w:lineRule="auto"/>
        <w:ind w:left="567" w:right="616"/>
        <w:jc w:val="center"/>
        <w:rPr>
          <w:rFonts w:ascii="Palatino Linotype" w:hAnsi="Palatino Linotype"/>
          <w:b/>
          <w:i/>
          <w:sz w:val="22"/>
        </w:rPr>
      </w:pPr>
      <w:r w:rsidRPr="001D0667">
        <w:rPr>
          <w:rFonts w:ascii="Palatino Linotype" w:hAnsi="Palatino Linotype"/>
          <w:b/>
          <w:i/>
          <w:sz w:val="22"/>
        </w:rPr>
        <w:t>De las Obligaciones de Transparencia Comunes</w:t>
      </w:r>
    </w:p>
    <w:p w14:paraId="1FA23D1A" w14:textId="45D3A648" w:rsidR="00584FB0" w:rsidRPr="001D0667" w:rsidRDefault="00584FB0" w:rsidP="00A8540D">
      <w:pPr>
        <w:spacing w:line="276" w:lineRule="auto"/>
        <w:ind w:left="567" w:right="616"/>
        <w:jc w:val="both"/>
        <w:rPr>
          <w:rFonts w:ascii="Palatino Linotype" w:hAnsi="Palatino Linotype"/>
          <w:i/>
          <w:sz w:val="22"/>
        </w:rPr>
      </w:pPr>
      <w:r w:rsidRPr="001D0667">
        <w:rPr>
          <w:rFonts w:ascii="Palatino Linotype" w:hAnsi="Palatino Linotype"/>
          <w:i/>
          <w:sz w:val="22"/>
        </w:rPr>
        <w:t xml:space="preserve">Artículo 92. Los sujetos obligados deberán poner a disposición del público de manera permanente y actualizada de forma sencilla, precisa y entendible, en los respectivos </w:t>
      </w:r>
      <w:r w:rsidRPr="001D0667">
        <w:rPr>
          <w:rFonts w:ascii="Palatino Linotype" w:hAnsi="Palatino Linotype"/>
          <w:i/>
          <w:sz w:val="22"/>
        </w:rPr>
        <w:lastRenderedPageBreak/>
        <w:t>medios electrónicos, de acuerdo con sus facultades, atribuciones, funciones u objeto social, según corresponda, la información, por lo menos, de los temas, documentos y políticas que a continuación se señalan:</w:t>
      </w:r>
    </w:p>
    <w:p w14:paraId="67AF1D3D" w14:textId="0F96C004" w:rsidR="00584FB0" w:rsidRPr="001D0667" w:rsidRDefault="00584FB0" w:rsidP="00A8540D">
      <w:pPr>
        <w:spacing w:line="276" w:lineRule="auto"/>
        <w:ind w:left="567" w:right="616"/>
        <w:jc w:val="both"/>
        <w:rPr>
          <w:rFonts w:ascii="Palatino Linotype" w:eastAsia="Palatino Linotype" w:hAnsi="Palatino Linotype" w:cs="Palatino Linotype"/>
          <w:i/>
          <w:sz w:val="20"/>
          <w:szCs w:val="22"/>
        </w:rPr>
      </w:pPr>
      <w:r w:rsidRPr="001D0667">
        <w:rPr>
          <w:rFonts w:ascii="Palatino Linotype" w:hAnsi="Palatino Linotype"/>
          <w:i/>
          <w:sz w:val="22"/>
        </w:rPr>
        <w:t>…</w:t>
      </w:r>
    </w:p>
    <w:p w14:paraId="3DD4B927" w14:textId="329DB82B" w:rsidR="00584FB0" w:rsidRPr="001D0667" w:rsidRDefault="00584FB0" w:rsidP="00A8540D">
      <w:pPr>
        <w:spacing w:line="276" w:lineRule="auto"/>
        <w:ind w:left="567" w:right="616"/>
        <w:jc w:val="both"/>
        <w:rPr>
          <w:rFonts w:ascii="Palatino Linotype" w:hAnsi="Palatino Linotype"/>
          <w:i/>
          <w:sz w:val="22"/>
        </w:rPr>
      </w:pPr>
      <w:r w:rsidRPr="001D0667">
        <w:rPr>
          <w:rFonts w:ascii="Palatino Linotype" w:hAnsi="Palatino Linotype"/>
          <w:b/>
          <w:i/>
          <w:sz w:val="22"/>
        </w:rPr>
        <w:t>II. Su estructura orgánica completa</w:t>
      </w:r>
      <w:r w:rsidRPr="001D0667">
        <w:rPr>
          <w:rFonts w:ascii="Palatino Linotype" w:hAnsi="Palatino Linotype"/>
          <w:i/>
          <w:sz w:val="22"/>
        </w:rPr>
        <w:t>,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255111F3" w14:textId="196B3813" w:rsidR="00584FB0" w:rsidRPr="001D0667" w:rsidRDefault="00584FB0" w:rsidP="00584FB0">
      <w:pPr>
        <w:spacing w:after="240" w:line="360" w:lineRule="auto"/>
        <w:ind w:left="567" w:right="616"/>
        <w:jc w:val="both"/>
        <w:rPr>
          <w:rFonts w:ascii="Palatino Linotype" w:eastAsia="Palatino Linotype" w:hAnsi="Palatino Linotype" w:cs="Palatino Linotype"/>
          <w:i/>
          <w:sz w:val="20"/>
          <w:szCs w:val="22"/>
        </w:rPr>
      </w:pPr>
      <w:r w:rsidRPr="001D0667">
        <w:rPr>
          <w:rFonts w:ascii="Palatino Linotype" w:hAnsi="Palatino Linotype"/>
          <w:i/>
          <w:sz w:val="22"/>
        </w:rPr>
        <w:t>…</w:t>
      </w:r>
    </w:p>
    <w:p w14:paraId="5931A637" w14:textId="7325F5E9" w:rsidR="009C3515" w:rsidRPr="001D0667" w:rsidRDefault="00584FB0">
      <w:pPr>
        <w:spacing w:after="240" w:line="360" w:lineRule="auto"/>
        <w:ind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Es así que, la información relativa a la estructura orgánica u organigrama corresponde a obligaciones de transparencia común, ya que permite conocer todas y cada una de las unidades administrativas que integran un Sujeto Obligado determinado</w:t>
      </w:r>
      <w:r w:rsidR="00EB583C" w:rsidRPr="001D0667">
        <w:rPr>
          <w:rFonts w:ascii="Palatino Linotype" w:eastAsia="Palatino Linotype" w:hAnsi="Palatino Linotype" w:cs="Palatino Linotype"/>
          <w:sz w:val="22"/>
          <w:szCs w:val="22"/>
        </w:rPr>
        <w:t>, información que debe publicarse de manera permanente, de forma sencilla y actualizada en sus respectivos medios de difusión, como puede ser el IPOMEX.</w:t>
      </w:r>
    </w:p>
    <w:p w14:paraId="247EDD7C" w14:textId="25190CC2" w:rsidR="00EB583C" w:rsidRPr="001D0667" w:rsidRDefault="00EB583C" w:rsidP="00EB583C">
      <w:pPr>
        <w:spacing w:line="360" w:lineRule="auto"/>
        <w:ind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Dicho lo anterior, el Sujeto Obligado en su respuesta entregó una dirección electrónica, donde se puede localizar el organigrama general de la Fiscalía General de Justicia del Estado de México.</w:t>
      </w:r>
      <w:r w:rsidR="00355068" w:rsidRPr="001D0667">
        <w:rPr>
          <w:rFonts w:ascii="Palatino Linotype" w:eastAsia="Palatino Linotype" w:hAnsi="Palatino Linotype" w:cs="Palatino Linotype"/>
          <w:sz w:val="22"/>
          <w:szCs w:val="22"/>
        </w:rPr>
        <w:t xml:space="preserve"> Por tal motivo, </w:t>
      </w:r>
      <w:r w:rsidRPr="001D0667">
        <w:rPr>
          <w:rFonts w:ascii="Palatino Linotype" w:eastAsia="Palatino Linotype" w:hAnsi="Palatino Linotype" w:cs="Palatino Linotype"/>
          <w:sz w:val="22"/>
          <w:szCs w:val="22"/>
        </w:rPr>
        <w:t>es necesario precisar que la Ley de Transparencia y Acceso a la Información Pública del Estado de México y Municipios establece en su artículo 11 que en la entrega de la información se deberá garantizar que ésta sea accesible, actualizada, completa, congruente, confiable, verificable, veraz, integral, oportuna y expedita. Asimismo, el artículo 161 de la Ley en comento, refiere lo siguiente:</w:t>
      </w:r>
    </w:p>
    <w:p w14:paraId="0429B2A6" w14:textId="77777777" w:rsidR="00EB583C" w:rsidRPr="001D0667" w:rsidRDefault="00EB583C" w:rsidP="00EB583C">
      <w:pPr>
        <w:spacing w:line="360" w:lineRule="auto"/>
        <w:ind w:right="49"/>
        <w:jc w:val="both"/>
        <w:rPr>
          <w:rFonts w:ascii="Palatino Linotype" w:eastAsia="Palatino Linotype" w:hAnsi="Palatino Linotype" w:cs="Palatino Linotype"/>
          <w:sz w:val="22"/>
          <w:szCs w:val="22"/>
        </w:rPr>
      </w:pPr>
    </w:p>
    <w:p w14:paraId="37ADC481" w14:textId="630382EB" w:rsidR="00EB583C" w:rsidRPr="001D0667" w:rsidRDefault="00EB583C" w:rsidP="00EB583C">
      <w:pPr>
        <w:spacing w:line="360" w:lineRule="auto"/>
        <w:ind w:left="567" w:right="616"/>
        <w:jc w:val="both"/>
        <w:rPr>
          <w:rFonts w:ascii="Palatino Linotype" w:eastAsia="Palatino Linotype" w:hAnsi="Palatino Linotype" w:cs="Palatino Linotype"/>
          <w:i/>
          <w:iCs/>
          <w:sz w:val="22"/>
          <w:szCs w:val="22"/>
        </w:rPr>
      </w:pPr>
      <w:r w:rsidRPr="001D0667">
        <w:rPr>
          <w:rFonts w:ascii="Palatino Linotype" w:eastAsia="Palatino Linotype" w:hAnsi="Palatino Linotype" w:cs="Palatino Linotype"/>
          <w:i/>
          <w:iCs/>
          <w:sz w:val="22"/>
          <w:szCs w:val="22"/>
        </w:rPr>
        <w:t xml:space="preserve">Artículo 161.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w:t>
      </w:r>
      <w:r w:rsidRPr="001D0667">
        <w:rPr>
          <w:rFonts w:ascii="Palatino Linotype" w:eastAsia="Palatino Linotype" w:hAnsi="Palatino Linotype" w:cs="Palatino Linotype"/>
          <w:i/>
          <w:iCs/>
          <w:sz w:val="22"/>
          <w:szCs w:val="22"/>
        </w:rPr>
        <w:lastRenderedPageBreak/>
        <w:t>hábiles. La fuente deberá ser precisa y concreta y no debe implicar que el solicitante realice una búsqueda en toda la información que se encuentre disponible.</w:t>
      </w:r>
    </w:p>
    <w:p w14:paraId="20584E40" w14:textId="77777777" w:rsidR="00EB583C" w:rsidRPr="001D0667" w:rsidRDefault="00EB583C" w:rsidP="00EB583C">
      <w:pPr>
        <w:spacing w:line="360" w:lineRule="auto"/>
        <w:ind w:left="567" w:right="616"/>
        <w:jc w:val="both"/>
        <w:rPr>
          <w:rFonts w:ascii="Palatino Linotype" w:eastAsia="Palatino Linotype" w:hAnsi="Palatino Linotype" w:cs="Palatino Linotype"/>
          <w:i/>
          <w:iCs/>
          <w:sz w:val="22"/>
          <w:szCs w:val="22"/>
        </w:rPr>
      </w:pPr>
      <w:r w:rsidRPr="001D0667">
        <w:rPr>
          <w:rFonts w:ascii="Palatino Linotype" w:eastAsia="Palatino Linotype" w:hAnsi="Palatino Linotype" w:cs="Palatino Linotype"/>
          <w:i/>
          <w:iCs/>
          <w:sz w:val="22"/>
          <w:szCs w:val="22"/>
        </w:rPr>
        <w:t>(Énfasis añadido)</w:t>
      </w:r>
    </w:p>
    <w:p w14:paraId="76BEA85E" w14:textId="77777777" w:rsidR="00EB583C" w:rsidRPr="001D0667" w:rsidRDefault="00EB583C" w:rsidP="00EB583C">
      <w:pPr>
        <w:spacing w:line="360" w:lineRule="auto"/>
        <w:ind w:right="49"/>
        <w:jc w:val="both"/>
        <w:rPr>
          <w:rFonts w:ascii="Palatino Linotype" w:eastAsia="Palatino Linotype" w:hAnsi="Palatino Linotype" w:cs="Palatino Linotype"/>
          <w:sz w:val="22"/>
          <w:szCs w:val="22"/>
        </w:rPr>
      </w:pPr>
    </w:p>
    <w:p w14:paraId="7A6BA8D1" w14:textId="1D2EDF13" w:rsidR="00EB583C" w:rsidRPr="001D0667" w:rsidRDefault="00EB583C" w:rsidP="00EB583C">
      <w:pPr>
        <w:spacing w:line="360" w:lineRule="auto"/>
        <w:ind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Es así que, toda aquella información que sea requerida por los particulares que, previamente se encuentre disponible en sitios electrónicos, como puede ser de manera enunciativa más no limitativa, el sitio oficial del Sujeto Obligado o el portal IPOMEX o las páginas institucionales. Los Sujetos Obligado deben indicar la dirección electrónica donde obra la información solicitada. Esta dirección electrónica debe ser precisa, de tal modo que no implique realizar una búsqueda en toda la información que ahí se encuentre, debiendo cumplir una serie de requisitos, a saber:</w:t>
      </w:r>
    </w:p>
    <w:p w14:paraId="0F3858C8" w14:textId="77777777" w:rsidR="00EB583C" w:rsidRPr="001D0667" w:rsidRDefault="00EB583C" w:rsidP="00EB583C">
      <w:pPr>
        <w:spacing w:line="360" w:lineRule="auto"/>
        <w:ind w:right="49"/>
        <w:jc w:val="both"/>
        <w:rPr>
          <w:rFonts w:ascii="Palatino Linotype" w:eastAsia="Palatino Linotype" w:hAnsi="Palatino Linotype" w:cs="Palatino Linotype"/>
          <w:sz w:val="22"/>
          <w:szCs w:val="22"/>
        </w:rPr>
      </w:pPr>
    </w:p>
    <w:p w14:paraId="245F3A6C" w14:textId="25B11A20" w:rsidR="00EB583C" w:rsidRPr="001D0667" w:rsidRDefault="00EB583C" w:rsidP="00EB583C">
      <w:pPr>
        <w:spacing w:line="360" w:lineRule="auto"/>
        <w:ind w:left="284"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 La dirección electrónica debe señalarse en un plazo no mayor a cinco días hábiles;</w:t>
      </w:r>
    </w:p>
    <w:p w14:paraId="62FC2270" w14:textId="4AB2BF85" w:rsidR="00EB583C" w:rsidRPr="001D0667" w:rsidRDefault="00EB583C" w:rsidP="00EB583C">
      <w:pPr>
        <w:spacing w:line="360" w:lineRule="auto"/>
        <w:ind w:left="284"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 La dirección electrónica debe ser precisa, de tal modo que no implique realizar una búsqueda en toda la información que ahí se encuentre; y,</w:t>
      </w:r>
    </w:p>
    <w:p w14:paraId="1A53098A" w14:textId="620938BF" w:rsidR="00EB583C" w:rsidRPr="001D0667" w:rsidRDefault="00EB583C" w:rsidP="00EB583C">
      <w:pPr>
        <w:spacing w:line="360" w:lineRule="auto"/>
        <w:ind w:left="284"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 La dirección electrónica debe ir acompañada del procedimiento a seguir, en caso de que la información se encuentre en distintos puntos del sitio electrónico referido; y,</w:t>
      </w:r>
    </w:p>
    <w:p w14:paraId="707DF58E" w14:textId="0F4D37A7" w:rsidR="00EB583C" w:rsidRPr="001D0667" w:rsidRDefault="00EB583C" w:rsidP="00EB583C">
      <w:pPr>
        <w:spacing w:line="360" w:lineRule="auto"/>
        <w:ind w:left="284"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 La dirección electrónica se debe entregar en formato abierto, para que el Recurrente pueda copiar y pegar sin la necesidad de transcribir la liga electrónica.</w:t>
      </w:r>
    </w:p>
    <w:p w14:paraId="2B423A2E" w14:textId="77777777" w:rsidR="00EB583C" w:rsidRPr="001D0667" w:rsidRDefault="00EB583C" w:rsidP="00EB583C">
      <w:pPr>
        <w:spacing w:line="360" w:lineRule="auto"/>
        <w:ind w:right="49"/>
        <w:jc w:val="both"/>
        <w:rPr>
          <w:rFonts w:ascii="Palatino Linotype" w:eastAsia="Palatino Linotype" w:hAnsi="Palatino Linotype" w:cs="Palatino Linotype"/>
          <w:sz w:val="22"/>
          <w:szCs w:val="22"/>
        </w:rPr>
      </w:pPr>
    </w:p>
    <w:p w14:paraId="5D872363" w14:textId="17A214CD" w:rsidR="00532821" w:rsidRPr="001D0667" w:rsidRDefault="00532821" w:rsidP="00EB583C">
      <w:pPr>
        <w:spacing w:line="360" w:lineRule="auto"/>
        <w:ind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En el presente asunto en particular, se tiene que la dirección electrónica se proporcionó fuera del plazo que esta</w:t>
      </w:r>
      <w:r w:rsidR="00562FAB" w:rsidRPr="001D0667">
        <w:rPr>
          <w:rFonts w:ascii="Palatino Linotype" w:eastAsia="Palatino Linotype" w:hAnsi="Palatino Linotype" w:cs="Palatino Linotype"/>
          <w:sz w:val="22"/>
          <w:szCs w:val="22"/>
        </w:rPr>
        <w:t>blece el precepto legal citado, ya que la solicitud de acceso a la información se presentó el día veintisiete de enero de dos mil veinticinco; mientras que la dirección electrónica se presentó el siete de febrero de la misma anualidad, esto es, al octavo día hábil de conocida la solicitud, lo cual evidentemente se encuentra fuera del lapso temporal establecido por el precepto legal antes citado.</w:t>
      </w:r>
    </w:p>
    <w:p w14:paraId="64A0D66A" w14:textId="77777777" w:rsidR="00532821" w:rsidRPr="001D0667" w:rsidRDefault="00532821" w:rsidP="00EB583C">
      <w:pPr>
        <w:spacing w:line="360" w:lineRule="auto"/>
        <w:ind w:right="49"/>
        <w:jc w:val="both"/>
        <w:rPr>
          <w:rFonts w:ascii="Palatino Linotype" w:eastAsia="Palatino Linotype" w:hAnsi="Palatino Linotype" w:cs="Palatino Linotype"/>
          <w:sz w:val="22"/>
          <w:szCs w:val="22"/>
        </w:rPr>
      </w:pPr>
    </w:p>
    <w:p w14:paraId="7032142C" w14:textId="074BF5E9" w:rsidR="00EB583C" w:rsidRPr="001D0667" w:rsidRDefault="00562FAB" w:rsidP="00EB583C">
      <w:pPr>
        <w:spacing w:line="360" w:lineRule="auto"/>
        <w:ind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lastRenderedPageBreak/>
        <w:t>L</w:t>
      </w:r>
      <w:r w:rsidR="00532821" w:rsidRPr="001D0667">
        <w:rPr>
          <w:rFonts w:ascii="Palatino Linotype" w:eastAsia="Palatino Linotype" w:hAnsi="Palatino Linotype" w:cs="Palatino Linotype"/>
          <w:sz w:val="22"/>
          <w:szCs w:val="22"/>
        </w:rPr>
        <w:t xml:space="preserve">a dirección electrónica se entregó en un formato PDF, el cual no permite copiar y pegar los caracteres; no obstante, </w:t>
      </w:r>
      <w:r w:rsidRPr="001D0667">
        <w:rPr>
          <w:rFonts w:ascii="Palatino Linotype" w:eastAsia="Palatino Linotype" w:hAnsi="Palatino Linotype" w:cs="Palatino Linotype"/>
          <w:sz w:val="22"/>
          <w:szCs w:val="22"/>
        </w:rPr>
        <w:t xml:space="preserve">permite </w:t>
      </w:r>
      <w:r w:rsidR="00532821" w:rsidRPr="001D0667">
        <w:rPr>
          <w:rFonts w:ascii="Palatino Linotype" w:eastAsia="Palatino Linotype" w:hAnsi="Palatino Linotype" w:cs="Palatino Linotype"/>
          <w:sz w:val="22"/>
          <w:szCs w:val="22"/>
        </w:rPr>
        <w:t>seleccionar la dirección electrónica</w:t>
      </w:r>
      <w:r w:rsidRPr="001D0667">
        <w:rPr>
          <w:rFonts w:ascii="Palatino Linotype" w:eastAsia="Palatino Linotype" w:hAnsi="Palatino Linotype" w:cs="Palatino Linotype"/>
          <w:sz w:val="22"/>
          <w:szCs w:val="22"/>
        </w:rPr>
        <w:t xml:space="preserve"> y lleva</w:t>
      </w:r>
      <w:r w:rsidR="00532821" w:rsidRPr="001D0667">
        <w:rPr>
          <w:rFonts w:ascii="Palatino Linotype" w:eastAsia="Palatino Linotype" w:hAnsi="Palatino Linotype" w:cs="Palatino Linotype"/>
          <w:sz w:val="22"/>
          <w:szCs w:val="22"/>
        </w:rPr>
        <w:t xml:space="preserve"> directamente a la información</w:t>
      </w:r>
      <w:r w:rsidRPr="001D0667">
        <w:rPr>
          <w:rFonts w:ascii="Palatino Linotype" w:eastAsia="Palatino Linotype" w:hAnsi="Palatino Linotype" w:cs="Palatino Linotype"/>
          <w:sz w:val="22"/>
          <w:szCs w:val="22"/>
        </w:rPr>
        <w:t xml:space="preserve"> del organigrama general del Sujeto Obligado</w:t>
      </w:r>
      <w:r w:rsidR="00532821" w:rsidRPr="001D0667">
        <w:rPr>
          <w:rFonts w:ascii="Palatino Linotype" w:eastAsia="Palatino Linotype" w:hAnsi="Palatino Linotype" w:cs="Palatino Linotype"/>
          <w:sz w:val="22"/>
          <w:szCs w:val="22"/>
        </w:rPr>
        <w:t xml:space="preserve">, lo que </w:t>
      </w:r>
      <w:r w:rsidRPr="001D0667">
        <w:rPr>
          <w:rFonts w:ascii="Palatino Linotype" w:eastAsia="Palatino Linotype" w:hAnsi="Palatino Linotype" w:cs="Palatino Linotype"/>
          <w:sz w:val="22"/>
          <w:szCs w:val="22"/>
        </w:rPr>
        <w:t>es equiparable a datos abiertos</w:t>
      </w:r>
      <w:r w:rsidR="00532821" w:rsidRPr="001D0667">
        <w:rPr>
          <w:rFonts w:ascii="Palatino Linotype" w:eastAsia="Palatino Linotype" w:hAnsi="Palatino Linotype" w:cs="Palatino Linotype"/>
          <w:sz w:val="22"/>
          <w:szCs w:val="22"/>
        </w:rPr>
        <w:t>.</w:t>
      </w:r>
      <w:r w:rsidR="00EB583C" w:rsidRPr="001D0667">
        <w:rPr>
          <w:rFonts w:ascii="Palatino Linotype" w:eastAsia="Palatino Linotype" w:hAnsi="Palatino Linotype" w:cs="Palatino Linotype"/>
          <w:sz w:val="22"/>
          <w:szCs w:val="22"/>
        </w:rPr>
        <w:t xml:space="preserve"> </w:t>
      </w:r>
      <w:r w:rsidR="00532821" w:rsidRPr="001D0667">
        <w:rPr>
          <w:rFonts w:ascii="Palatino Linotype" w:eastAsia="Palatino Linotype" w:hAnsi="Palatino Linotype" w:cs="Palatino Linotype"/>
          <w:sz w:val="22"/>
          <w:szCs w:val="22"/>
        </w:rPr>
        <w:t>S</w:t>
      </w:r>
      <w:r w:rsidR="00EB583C" w:rsidRPr="001D0667">
        <w:rPr>
          <w:rFonts w:ascii="Palatino Linotype" w:eastAsia="Palatino Linotype" w:hAnsi="Palatino Linotype" w:cs="Palatino Linotype"/>
          <w:sz w:val="22"/>
          <w:szCs w:val="22"/>
        </w:rPr>
        <w:t>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r w:rsidR="00DF488B" w:rsidRPr="001D0667">
        <w:rPr>
          <w:rFonts w:ascii="Palatino Linotype" w:eastAsia="Palatino Linotype" w:hAnsi="Palatino Linotype" w:cs="Palatino Linotype"/>
          <w:sz w:val="22"/>
          <w:szCs w:val="22"/>
        </w:rPr>
        <w:t xml:space="preserve"> </w:t>
      </w:r>
    </w:p>
    <w:p w14:paraId="4C3CC841" w14:textId="77777777" w:rsidR="00EB583C" w:rsidRPr="001D0667" w:rsidRDefault="00EB583C" w:rsidP="00EB583C">
      <w:pPr>
        <w:spacing w:line="360" w:lineRule="auto"/>
        <w:ind w:right="49"/>
        <w:jc w:val="both"/>
        <w:rPr>
          <w:rFonts w:ascii="Palatino Linotype" w:eastAsia="Palatino Linotype" w:hAnsi="Palatino Linotype" w:cs="Palatino Linotype"/>
          <w:sz w:val="22"/>
          <w:szCs w:val="22"/>
        </w:rPr>
      </w:pPr>
    </w:p>
    <w:p w14:paraId="18C7E9F0" w14:textId="7EE5F912" w:rsidR="00EB583C" w:rsidRPr="001D0667" w:rsidRDefault="00EB583C" w:rsidP="00EB583C">
      <w:pPr>
        <w:spacing w:line="360" w:lineRule="auto"/>
        <w:ind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48665FB3" w14:textId="77777777" w:rsidR="00EB583C" w:rsidRPr="001D0667" w:rsidRDefault="00EB583C" w:rsidP="00EB583C">
      <w:pPr>
        <w:spacing w:line="360" w:lineRule="auto"/>
        <w:ind w:right="49"/>
        <w:jc w:val="both"/>
        <w:rPr>
          <w:rFonts w:ascii="Palatino Linotype" w:eastAsia="Palatino Linotype" w:hAnsi="Palatino Linotype" w:cs="Palatino Linotype"/>
          <w:sz w:val="22"/>
          <w:szCs w:val="22"/>
        </w:rPr>
      </w:pPr>
    </w:p>
    <w:p w14:paraId="2A9CC774" w14:textId="644CD068" w:rsidR="00EB583C" w:rsidRPr="001D0667" w:rsidRDefault="00EB583C" w:rsidP="00EB583C">
      <w:pPr>
        <w:spacing w:line="360" w:lineRule="auto"/>
        <w:ind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5B9C7B5D" w14:textId="77777777" w:rsidR="00EB583C" w:rsidRPr="001D0667" w:rsidRDefault="00EB583C" w:rsidP="00EB583C">
      <w:pPr>
        <w:spacing w:line="360" w:lineRule="auto"/>
        <w:ind w:right="49"/>
        <w:jc w:val="both"/>
        <w:rPr>
          <w:rFonts w:ascii="Palatino Linotype" w:eastAsia="Palatino Linotype" w:hAnsi="Palatino Linotype" w:cs="Palatino Linotype"/>
          <w:sz w:val="22"/>
          <w:szCs w:val="22"/>
        </w:rPr>
      </w:pPr>
    </w:p>
    <w:p w14:paraId="3BE02855" w14:textId="45B57CF7" w:rsidR="00EB583C" w:rsidRPr="001D0667" w:rsidRDefault="00EB583C" w:rsidP="00ED0B6F">
      <w:pPr>
        <w:spacing w:line="360" w:lineRule="auto"/>
        <w:ind w:left="567"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 Dato abierto: 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21781AAD" w14:textId="77777777" w:rsidR="00EB583C" w:rsidRPr="001D0667" w:rsidRDefault="00EB583C" w:rsidP="00ED0B6F">
      <w:pPr>
        <w:spacing w:line="360" w:lineRule="auto"/>
        <w:ind w:left="567" w:right="49"/>
        <w:jc w:val="both"/>
        <w:rPr>
          <w:rFonts w:ascii="Palatino Linotype" w:eastAsia="Palatino Linotype" w:hAnsi="Palatino Linotype" w:cs="Palatino Linotype"/>
          <w:sz w:val="22"/>
          <w:szCs w:val="22"/>
        </w:rPr>
      </w:pPr>
    </w:p>
    <w:p w14:paraId="639D6866" w14:textId="3992BB26" w:rsidR="00EB583C" w:rsidRPr="001D0667" w:rsidRDefault="00EB583C" w:rsidP="00ED0B6F">
      <w:pPr>
        <w:spacing w:line="360" w:lineRule="auto"/>
        <w:ind w:left="567"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 xml:space="preserve">● Formato accesible: Conjunto de características técnicas y de presentación de la información que corresponden a la estructura lógica usada para almacenar datos de </w:t>
      </w:r>
      <w:r w:rsidRPr="001D0667">
        <w:rPr>
          <w:rFonts w:ascii="Palatino Linotype" w:eastAsia="Palatino Linotype" w:hAnsi="Palatino Linotype" w:cs="Palatino Linotype"/>
          <w:sz w:val="22"/>
          <w:szCs w:val="22"/>
        </w:rPr>
        <w:lastRenderedPageBreak/>
        <w:t>forma integral y facilitan su procesamiento digital, cuyas especificaciones estás disponibles públicamente y que permite el acceso sin restricción de uso por parte de los usuarios.</w:t>
      </w:r>
    </w:p>
    <w:p w14:paraId="28BAFFE0" w14:textId="77777777" w:rsidR="00EB583C" w:rsidRPr="001D0667" w:rsidRDefault="00EB583C" w:rsidP="00EB583C">
      <w:pPr>
        <w:spacing w:line="360" w:lineRule="auto"/>
        <w:ind w:right="49"/>
        <w:jc w:val="both"/>
        <w:rPr>
          <w:rFonts w:ascii="Palatino Linotype" w:eastAsia="Palatino Linotype" w:hAnsi="Palatino Linotype" w:cs="Palatino Linotype"/>
          <w:sz w:val="22"/>
          <w:szCs w:val="22"/>
        </w:rPr>
      </w:pPr>
    </w:p>
    <w:p w14:paraId="1C7BC5FA" w14:textId="64C9E1CA" w:rsidR="00EB583C" w:rsidRPr="001D0667" w:rsidRDefault="00EB583C" w:rsidP="00EB583C">
      <w:pPr>
        <w:spacing w:line="360" w:lineRule="auto"/>
        <w:ind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estas.</w:t>
      </w:r>
    </w:p>
    <w:p w14:paraId="7045625B" w14:textId="77777777" w:rsidR="00EB583C" w:rsidRPr="001D0667" w:rsidRDefault="00EB583C" w:rsidP="00EB583C">
      <w:pPr>
        <w:spacing w:line="360" w:lineRule="auto"/>
        <w:ind w:right="49"/>
        <w:jc w:val="both"/>
        <w:rPr>
          <w:rFonts w:ascii="Palatino Linotype" w:eastAsia="Palatino Linotype" w:hAnsi="Palatino Linotype" w:cs="Palatino Linotype"/>
          <w:sz w:val="22"/>
          <w:szCs w:val="22"/>
        </w:rPr>
      </w:pPr>
    </w:p>
    <w:p w14:paraId="25C85204" w14:textId="77777777" w:rsidR="00532821" w:rsidRPr="001D0667" w:rsidRDefault="00532821" w:rsidP="00EB583C">
      <w:pPr>
        <w:spacing w:line="360" w:lineRule="auto"/>
        <w:ind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Tal y como se ha dicho, el Sujeto Obligado entregó la siguiente dirección electrónica:</w:t>
      </w:r>
    </w:p>
    <w:p w14:paraId="2A13211A" w14:textId="77777777" w:rsidR="00532821" w:rsidRPr="001D0667" w:rsidRDefault="00532821" w:rsidP="00EB583C">
      <w:pPr>
        <w:spacing w:line="360" w:lineRule="auto"/>
        <w:ind w:right="49"/>
        <w:jc w:val="both"/>
        <w:rPr>
          <w:rFonts w:ascii="Palatino Linotype" w:eastAsia="Palatino Linotype" w:hAnsi="Palatino Linotype" w:cs="Palatino Linotype"/>
          <w:sz w:val="22"/>
          <w:szCs w:val="22"/>
        </w:rPr>
      </w:pPr>
    </w:p>
    <w:p w14:paraId="2A483915" w14:textId="4AB91166" w:rsidR="00532821" w:rsidRPr="001D0667" w:rsidRDefault="00532821" w:rsidP="00EB583C">
      <w:pPr>
        <w:spacing w:line="360" w:lineRule="auto"/>
        <w:ind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noProof/>
          <w:sz w:val="22"/>
          <w:szCs w:val="22"/>
          <w:lang w:val="es-MX"/>
        </w:rPr>
        <w:drawing>
          <wp:inline distT="0" distB="0" distL="0" distR="0" wp14:anchorId="38DD5B35" wp14:editId="2FE56EC1">
            <wp:extent cx="5612130" cy="1992630"/>
            <wp:effectExtent l="0" t="0" r="7620" b="7620"/>
            <wp:docPr id="3058386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38685" name=""/>
                    <pic:cNvPicPr/>
                  </pic:nvPicPr>
                  <pic:blipFill>
                    <a:blip r:embed="rId13"/>
                    <a:stretch>
                      <a:fillRect/>
                    </a:stretch>
                  </pic:blipFill>
                  <pic:spPr>
                    <a:xfrm>
                      <a:off x="0" y="0"/>
                      <a:ext cx="5612130" cy="1992630"/>
                    </a:xfrm>
                    <a:prstGeom prst="rect">
                      <a:avLst/>
                    </a:prstGeom>
                  </pic:spPr>
                </pic:pic>
              </a:graphicData>
            </a:graphic>
          </wp:inline>
        </w:drawing>
      </w:r>
    </w:p>
    <w:p w14:paraId="5E58D059" w14:textId="410E058F" w:rsidR="004F2538" w:rsidRPr="001D0667" w:rsidRDefault="00ED0B6F" w:rsidP="00EB583C">
      <w:pPr>
        <w:spacing w:line="360" w:lineRule="auto"/>
        <w:ind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 xml:space="preserve">Si bien, se encuentra en formato PDF, </w:t>
      </w:r>
      <w:r w:rsidR="00AE56F1" w:rsidRPr="001D0667">
        <w:rPr>
          <w:rFonts w:ascii="Palatino Linotype" w:eastAsia="Palatino Linotype" w:hAnsi="Palatino Linotype" w:cs="Palatino Linotype"/>
          <w:sz w:val="22"/>
          <w:szCs w:val="22"/>
        </w:rPr>
        <w:t xml:space="preserve">es posible </w:t>
      </w:r>
      <w:r w:rsidRPr="001D0667">
        <w:rPr>
          <w:rFonts w:ascii="Palatino Linotype" w:eastAsia="Palatino Linotype" w:hAnsi="Palatino Linotype" w:cs="Palatino Linotype"/>
          <w:sz w:val="22"/>
          <w:szCs w:val="22"/>
        </w:rPr>
        <w:t xml:space="preserve">acceder a la información sin </w:t>
      </w:r>
      <w:r w:rsidR="004F2538" w:rsidRPr="001D0667">
        <w:rPr>
          <w:rFonts w:ascii="Palatino Linotype" w:eastAsia="Palatino Linotype" w:hAnsi="Palatino Linotype" w:cs="Palatino Linotype"/>
          <w:sz w:val="22"/>
          <w:szCs w:val="22"/>
        </w:rPr>
        <w:t>necesidad de copiar y pegar la información, ya que el formato proporcionado permite seleccionar la dirección electrónica y dirige a la siguiente información:</w:t>
      </w:r>
    </w:p>
    <w:p w14:paraId="30747672" w14:textId="77777777" w:rsidR="004F2538" w:rsidRPr="001D0667" w:rsidRDefault="004F2538" w:rsidP="00EB583C">
      <w:pPr>
        <w:spacing w:line="360" w:lineRule="auto"/>
        <w:ind w:right="49"/>
        <w:jc w:val="both"/>
        <w:rPr>
          <w:rFonts w:ascii="Palatino Linotype" w:eastAsia="Palatino Linotype" w:hAnsi="Palatino Linotype" w:cs="Palatino Linotype"/>
          <w:sz w:val="22"/>
          <w:szCs w:val="22"/>
        </w:rPr>
      </w:pPr>
    </w:p>
    <w:p w14:paraId="73D46CC1" w14:textId="549A9AFB" w:rsidR="004F2538" w:rsidRPr="001D0667" w:rsidRDefault="004F2538" w:rsidP="004F2538">
      <w:pPr>
        <w:spacing w:line="360" w:lineRule="auto"/>
        <w:ind w:right="49"/>
        <w:jc w:val="center"/>
        <w:rPr>
          <w:rFonts w:ascii="Palatino Linotype" w:eastAsia="Palatino Linotype" w:hAnsi="Palatino Linotype" w:cs="Palatino Linotype"/>
          <w:sz w:val="22"/>
          <w:szCs w:val="22"/>
        </w:rPr>
      </w:pPr>
      <w:r w:rsidRPr="001D0667">
        <w:rPr>
          <w:rFonts w:ascii="Palatino Linotype" w:eastAsia="Palatino Linotype" w:hAnsi="Palatino Linotype" w:cs="Palatino Linotype"/>
          <w:noProof/>
          <w:sz w:val="22"/>
          <w:szCs w:val="22"/>
          <w:lang w:val="es-MX"/>
        </w:rPr>
        <w:lastRenderedPageBreak/>
        <w:drawing>
          <wp:inline distT="0" distB="0" distL="0" distR="0" wp14:anchorId="4A387FCD" wp14:editId="507F7502">
            <wp:extent cx="5612130" cy="2408555"/>
            <wp:effectExtent l="0" t="0" r="7620" b="0"/>
            <wp:docPr id="9050088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008815" name=""/>
                    <pic:cNvPicPr/>
                  </pic:nvPicPr>
                  <pic:blipFill>
                    <a:blip r:embed="rId14"/>
                    <a:stretch>
                      <a:fillRect/>
                    </a:stretch>
                  </pic:blipFill>
                  <pic:spPr>
                    <a:xfrm>
                      <a:off x="0" y="0"/>
                      <a:ext cx="5612130" cy="2408555"/>
                    </a:xfrm>
                    <a:prstGeom prst="rect">
                      <a:avLst/>
                    </a:prstGeom>
                  </pic:spPr>
                </pic:pic>
              </a:graphicData>
            </a:graphic>
          </wp:inline>
        </w:drawing>
      </w:r>
    </w:p>
    <w:p w14:paraId="07BEACC5" w14:textId="77777777" w:rsidR="004F2538" w:rsidRPr="001D0667" w:rsidRDefault="004F2538" w:rsidP="00EB583C">
      <w:pPr>
        <w:spacing w:line="360" w:lineRule="auto"/>
        <w:ind w:right="49"/>
        <w:jc w:val="both"/>
        <w:rPr>
          <w:rFonts w:ascii="Palatino Linotype" w:eastAsia="Palatino Linotype" w:hAnsi="Palatino Linotype" w:cs="Palatino Linotype"/>
          <w:sz w:val="22"/>
          <w:szCs w:val="22"/>
        </w:rPr>
      </w:pPr>
    </w:p>
    <w:p w14:paraId="0B2D29D6" w14:textId="51A1D768" w:rsidR="004F2538" w:rsidRPr="001D0667" w:rsidRDefault="004F2538" w:rsidP="00EB583C">
      <w:pPr>
        <w:spacing w:line="360" w:lineRule="auto"/>
        <w:ind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Tal y como se aprecia, la información proporcionada por el Sujeto Obligado contempla todas las unidades administrativas que integran la Fiscalía General de Justicia del Estado de México y, al buscar la Unidad Administrativa específica señalada por el Recurrente, se localizó lo siguiente:</w:t>
      </w:r>
    </w:p>
    <w:p w14:paraId="2904EFD7" w14:textId="4CF48048" w:rsidR="004F2538" w:rsidRPr="001D0667" w:rsidRDefault="00D405FE" w:rsidP="00EB583C">
      <w:pPr>
        <w:spacing w:line="360" w:lineRule="auto"/>
        <w:ind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noProof/>
          <w:sz w:val="22"/>
          <w:szCs w:val="22"/>
          <w:lang w:val="es-MX"/>
        </w:rPr>
        <mc:AlternateContent>
          <mc:Choice Requires="wps">
            <w:drawing>
              <wp:anchor distT="0" distB="0" distL="114300" distR="114300" simplePos="0" relativeHeight="251659264" behindDoc="0" locked="0" layoutInCell="1" allowOverlap="1" wp14:anchorId="5AEA2CFC" wp14:editId="57A4B1D0">
                <wp:simplePos x="0" y="0"/>
                <wp:positionH relativeFrom="column">
                  <wp:posOffset>61036</wp:posOffset>
                </wp:positionH>
                <wp:positionV relativeFrom="paragraph">
                  <wp:posOffset>136169</wp:posOffset>
                </wp:positionV>
                <wp:extent cx="5515661" cy="2465223"/>
                <wp:effectExtent l="38100" t="38100" r="66040" b="87630"/>
                <wp:wrapNone/>
                <wp:docPr id="1754068754" name="Conector recto 9"/>
                <wp:cNvGraphicFramePr/>
                <a:graphic xmlns:a="http://schemas.openxmlformats.org/drawingml/2006/main">
                  <a:graphicData uri="http://schemas.microsoft.com/office/word/2010/wordprocessingShape">
                    <wps:wsp>
                      <wps:cNvCnPr/>
                      <wps:spPr>
                        <a:xfrm>
                          <a:off x="0" y="0"/>
                          <a:ext cx="5515661" cy="246522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ACC22F8" id="Conector recto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0.7pt" to="439.1pt,2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" strokecolor="#4f81bd [3204]" strokeweight="2pt">
                <v:shadow on="t" color="black" opacity="24903f" origin=",.5" offset="0,.55556mm"/>
              </v:line>
            </w:pict>
          </mc:Fallback>
        </mc:AlternateContent>
      </w:r>
    </w:p>
    <w:p w14:paraId="553DCB86" w14:textId="2641B5D7" w:rsidR="004F2538" w:rsidRPr="001D0667" w:rsidRDefault="004F2538" w:rsidP="004F2538">
      <w:pPr>
        <w:spacing w:line="360" w:lineRule="auto"/>
        <w:ind w:right="49"/>
        <w:jc w:val="center"/>
        <w:rPr>
          <w:rFonts w:ascii="Palatino Linotype" w:eastAsia="Palatino Linotype" w:hAnsi="Palatino Linotype" w:cs="Palatino Linotype"/>
          <w:sz w:val="22"/>
          <w:szCs w:val="22"/>
        </w:rPr>
      </w:pPr>
      <w:r w:rsidRPr="001D0667">
        <w:rPr>
          <w:rFonts w:ascii="Palatino Linotype" w:eastAsia="Palatino Linotype" w:hAnsi="Palatino Linotype" w:cs="Palatino Linotype"/>
          <w:noProof/>
          <w:sz w:val="22"/>
          <w:szCs w:val="22"/>
          <w:lang w:val="es-MX"/>
        </w:rPr>
        <w:lastRenderedPageBreak/>
        <w:drawing>
          <wp:inline distT="0" distB="0" distL="0" distR="0" wp14:anchorId="41E9C1DC" wp14:editId="3FBEFD13">
            <wp:extent cx="3086531" cy="6220693"/>
            <wp:effectExtent l="0" t="0" r="0" b="0"/>
            <wp:docPr id="67174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4440" name=""/>
                    <pic:cNvPicPr/>
                  </pic:nvPicPr>
                  <pic:blipFill>
                    <a:blip r:embed="rId15"/>
                    <a:stretch>
                      <a:fillRect/>
                    </a:stretch>
                  </pic:blipFill>
                  <pic:spPr>
                    <a:xfrm>
                      <a:off x="0" y="0"/>
                      <a:ext cx="3086531" cy="6220693"/>
                    </a:xfrm>
                    <a:prstGeom prst="rect">
                      <a:avLst/>
                    </a:prstGeom>
                  </pic:spPr>
                </pic:pic>
              </a:graphicData>
            </a:graphic>
          </wp:inline>
        </w:drawing>
      </w:r>
    </w:p>
    <w:p w14:paraId="537F2175" w14:textId="77777777" w:rsidR="004F2538" w:rsidRPr="001D0667" w:rsidRDefault="004F2538" w:rsidP="00EB583C">
      <w:pPr>
        <w:spacing w:line="360" w:lineRule="auto"/>
        <w:ind w:right="49"/>
        <w:jc w:val="both"/>
        <w:rPr>
          <w:rFonts w:ascii="Palatino Linotype" w:eastAsia="Palatino Linotype" w:hAnsi="Palatino Linotype" w:cs="Palatino Linotype"/>
          <w:sz w:val="22"/>
          <w:szCs w:val="22"/>
        </w:rPr>
      </w:pPr>
    </w:p>
    <w:p w14:paraId="7FE36FE3" w14:textId="60DBEC2A" w:rsidR="004F2538" w:rsidRPr="001D0667" w:rsidRDefault="004F2538" w:rsidP="00EB583C">
      <w:pPr>
        <w:spacing w:line="360" w:lineRule="auto"/>
        <w:ind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Es así que, el organigrama proporcionado contempla la Coordinación General de la Policía de Investigación con las Direcciones y Subdirecciones que la integran</w:t>
      </w:r>
      <w:r w:rsidR="00562FAB" w:rsidRPr="001D0667">
        <w:rPr>
          <w:rFonts w:ascii="Palatino Linotype" w:eastAsia="Palatino Linotype" w:hAnsi="Palatino Linotype" w:cs="Palatino Linotype"/>
          <w:sz w:val="22"/>
          <w:szCs w:val="22"/>
        </w:rPr>
        <w:t>, información que fue requerida por el Particular.</w:t>
      </w:r>
    </w:p>
    <w:p w14:paraId="7A244AC8" w14:textId="77777777" w:rsidR="004F2538" w:rsidRPr="001D0667" w:rsidRDefault="004F2538" w:rsidP="00EB583C">
      <w:pPr>
        <w:spacing w:line="360" w:lineRule="auto"/>
        <w:ind w:right="49"/>
        <w:jc w:val="both"/>
        <w:rPr>
          <w:rFonts w:ascii="Palatino Linotype" w:eastAsia="Palatino Linotype" w:hAnsi="Palatino Linotype" w:cs="Palatino Linotype"/>
          <w:sz w:val="22"/>
          <w:szCs w:val="22"/>
        </w:rPr>
      </w:pPr>
    </w:p>
    <w:p w14:paraId="14DD4ACA" w14:textId="2D614037" w:rsidR="004F2538" w:rsidRPr="001D0667" w:rsidRDefault="00EB583C" w:rsidP="00EB583C">
      <w:pPr>
        <w:spacing w:line="360" w:lineRule="auto"/>
        <w:ind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 xml:space="preserve">En conclusión, se determina que la información proporcionada por el Sujeto Obligado </w:t>
      </w:r>
      <w:r w:rsidR="004F2538" w:rsidRPr="001D0667">
        <w:rPr>
          <w:rFonts w:ascii="Palatino Linotype" w:eastAsia="Palatino Linotype" w:hAnsi="Palatino Linotype" w:cs="Palatino Linotype"/>
          <w:sz w:val="22"/>
          <w:szCs w:val="22"/>
        </w:rPr>
        <w:t xml:space="preserve">si colma </w:t>
      </w:r>
      <w:r w:rsidRPr="001D0667">
        <w:rPr>
          <w:rFonts w:ascii="Palatino Linotype" w:eastAsia="Palatino Linotype" w:hAnsi="Palatino Linotype" w:cs="Palatino Linotype"/>
          <w:sz w:val="22"/>
          <w:szCs w:val="22"/>
        </w:rPr>
        <w:t>el derecho accionado por el Recurrente, ya que l</w:t>
      </w:r>
      <w:r w:rsidR="004F2538" w:rsidRPr="001D0667">
        <w:rPr>
          <w:rFonts w:ascii="Palatino Linotype" w:eastAsia="Palatino Linotype" w:hAnsi="Palatino Linotype" w:cs="Palatino Linotype"/>
          <w:sz w:val="22"/>
          <w:szCs w:val="22"/>
        </w:rPr>
        <w:t>a</w:t>
      </w:r>
      <w:r w:rsidRPr="001D0667">
        <w:rPr>
          <w:rFonts w:ascii="Palatino Linotype" w:eastAsia="Palatino Linotype" w:hAnsi="Palatino Linotype" w:cs="Palatino Linotype"/>
          <w:sz w:val="22"/>
          <w:szCs w:val="22"/>
        </w:rPr>
        <w:t xml:space="preserve"> direcci</w:t>
      </w:r>
      <w:r w:rsidR="004F2538" w:rsidRPr="001D0667">
        <w:rPr>
          <w:rFonts w:ascii="Palatino Linotype" w:eastAsia="Palatino Linotype" w:hAnsi="Palatino Linotype" w:cs="Palatino Linotype"/>
          <w:sz w:val="22"/>
          <w:szCs w:val="22"/>
        </w:rPr>
        <w:t>ón</w:t>
      </w:r>
      <w:r w:rsidRPr="001D0667">
        <w:rPr>
          <w:rFonts w:ascii="Palatino Linotype" w:eastAsia="Palatino Linotype" w:hAnsi="Palatino Linotype" w:cs="Palatino Linotype"/>
          <w:sz w:val="22"/>
          <w:szCs w:val="22"/>
        </w:rPr>
        <w:t xml:space="preserve"> electrónica </w:t>
      </w:r>
      <w:r w:rsidR="004F2538" w:rsidRPr="001D0667">
        <w:rPr>
          <w:rFonts w:ascii="Palatino Linotype" w:eastAsia="Palatino Linotype" w:hAnsi="Palatino Linotype" w:cs="Palatino Linotype"/>
          <w:sz w:val="22"/>
          <w:szCs w:val="22"/>
        </w:rPr>
        <w:t>si contiene la Coordinación General de la Policía de Investigación y sus unidades administrativas respectivas.</w:t>
      </w:r>
    </w:p>
    <w:p w14:paraId="52CFB206" w14:textId="51F82932" w:rsidR="004F2538" w:rsidRPr="001D0667" w:rsidRDefault="004F2538" w:rsidP="00EB583C">
      <w:pPr>
        <w:spacing w:line="360" w:lineRule="auto"/>
        <w:ind w:right="49"/>
        <w:jc w:val="both"/>
        <w:rPr>
          <w:rFonts w:ascii="Palatino Linotype" w:eastAsia="Palatino Linotype" w:hAnsi="Palatino Linotype" w:cs="Palatino Linotype"/>
          <w:sz w:val="22"/>
          <w:szCs w:val="22"/>
        </w:rPr>
      </w:pPr>
    </w:p>
    <w:p w14:paraId="2A287C7C" w14:textId="48813FDD" w:rsidR="00F81292" w:rsidRPr="001D0667" w:rsidRDefault="00774DED" w:rsidP="00EB583C">
      <w:pPr>
        <w:spacing w:line="360" w:lineRule="auto"/>
        <w:ind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Es necesario señalar que la respuesta fue emitida por la Dirección De Reclutamiento, Selección De Personal Y Desarrollo Organizacional de la Fiscalía General de Justicia del Estado de México, que de acuerdo al IPOMEX tiene las siguientes atribuciones:</w:t>
      </w:r>
    </w:p>
    <w:p w14:paraId="217BEA7D" w14:textId="77777777" w:rsidR="00774DED" w:rsidRPr="001D0667" w:rsidRDefault="00774DED" w:rsidP="00EB583C">
      <w:pPr>
        <w:spacing w:line="360" w:lineRule="auto"/>
        <w:ind w:right="49"/>
        <w:jc w:val="both"/>
        <w:rPr>
          <w:rFonts w:ascii="Palatino Linotype" w:eastAsia="Palatino Linotype" w:hAnsi="Palatino Linotype" w:cs="Palatino Linotype"/>
          <w:sz w:val="22"/>
          <w:szCs w:val="22"/>
        </w:rPr>
      </w:pPr>
    </w:p>
    <w:p w14:paraId="77E27BDC" w14:textId="77777777" w:rsidR="00774DED" w:rsidRPr="001D0667" w:rsidRDefault="00774DED" w:rsidP="00774DED">
      <w:pPr>
        <w:spacing w:line="360" w:lineRule="auto"/>
        <w:ind w:left="567" w:right="616"/>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Realizar los estudios y análisis en coordinación con el personal responsable de los departamentos adscritos a la Subdirección, para proponer, evaluar y controlar procedimientos en materia de información, planeación y evaluación, con el objetivo de simplificar, registrar y agilizar las actividades propias de las mismas</w:t>
      </w:r>
    </w:p>
    <w:p w14:paraId="20F7CDC7" w14:textId="77777777" w:rsidR="00774DED" w:rsidRPr="001D0667" w:rsidRDefault="00774DED" w:rsidP="00774DED">
      <w:pPr>
        <w:spacing w:line="360" w:lineRule="auto"/>
        <w:ind w:left="567" w:right="616"/>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b/>
          <w:i/>
          <w:sz w:val="22"/>
          <w:szCs w:val="22"/>
        </w:rPr>
        <w:t>Asesorar y apoyar a las unidades administrativas de la Procuraduría, en materia de Organización</w:t>
      </w:r>
      <w:r w:rsidRPr="001D0667">
        <w:rPr>
          <w:rFonts w:ascii="Palatino Linotype" w:eastAsia="Palatino Linotype" w:hAnsi="Palatino Linotype" w:cs="Palatino Linotype"/>
          <w:i/>
          <w:sz w:val="22"/>
          <w:szCs w:val="22"/>
        </w:rPr>
        <w:t xml:space="preserve"> e instrumentación de sistemas y procedimientos relacionados con la planeación y evaluación</w:t>
      </w:r>
    </w:p>
    <w:p w14:paraId="7DA4FDD3" w14:textId="77777777" w:rsidR="00774DED" w:rsidRPr="001D0667" w:rsidRDefault="00774DED" w:rsidP="00774DED">
      <w:pPr>
        <w:spacing w:line="360" w:lineRule="auto"/>
        <w:ind w:left="567" w:right="616"/>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Contribuir con la difusión de las normas, políticas, sistemas y procedimientos para la instrumentación de los sistemas de planeación, programación, presupuesto y evaluación de la Procuraduría General de Justicia del Estado de México.</w:t>
      </w:r>
    </w:p>
    <w:p w14:paraId="1F552FCB" w14:textId="77777777" w:rsidR="00774DED" w:rsidRPr="001D0667" w:rsidRDefault="00774DED" w:rsidP="00774DED">
      <w:pPr>
        <w:spacing w:line="360" w:lineRule="auto"/>
        <w:ind w:left="567" w:right="616"/>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Dar seguimiento y asesorar a las unidades administrativas en el ejercicio de sus funciones relacionadas con el suministro de información, planeación y evaluación.</w:t>
      </w:r>
    </w:p>
    <w:p w14:paraId="4FB05321" w14:textId="189AD381" w:rsidR="00774DED" w:rsidRPr="001D0667" w:rsidRDefault="00774DED" w:rsidP="00774DED">
      <w:pPr>
        <w:spacing w:line="360" w:lineRule="auto"/>
        <w:ind w:left="567" w:right="616"/>
        <w:jc w:val="both"/>
        <w:rPr>
          <w:rFonts w:ascii="Palatino Linotype" w:eastAsia="Palatino Linotype" w:hAnsi="Palatino Linotype" w:cs="Palatino Linotype"/>
          <w:b/>
          <w:i/>
          <w:sz w:val="22"/>
          <w:szCs w:val="22"/>
        </w:rPr>
      </w:pPr>
      <w:r w:rsidRPr="001D0667">
        <w:rPr>
          <w:rFonts w:ascii="Palatino Linotype" w:eastAsia="Palatino Linotype" w:hAnsi="Palatino Linotype" w:cs="Palatino Linotype"/>
          <w:b/>
          <w:i/>
          <w:sz w:val="22"/>
          <w:szCs w:val="22"/>
        </w:rPr>
        <w:t>Colaborar y participar, en el ámbito de su competencia, en los procesos institucionales de planeación.</w:t>
      </w:r>
    </w:p>
    <w:p w14:paraId="269CF0DF" w14:textId="77777777" w:rsidR="00774DED" w:rsidRPr="001D0667" w:rsidRDefault="00774DED" w:rsidP="00774DED">
      <w:pPr>
        <w:spacing w:line="360" w:lineRule="auto"/>
        <w:ind w:left="567" w:right="616"/>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Observar la recopilación e integración de la información referente al diagnóstico, ejecución o evaluación de la Institución, en los términos en que se solicite.</w:t>
      </w:r>
    </w:p>
    <w:p w14:paraId="3BA36B95" w14:textId="1B1CCB1F" w:rsidR="00774DED" w:rsidRPr="001D0667" w:rsidRDefault="00774DED" w:rsidP="00774DED">
      <w:pPr>
        <w:spacing w:line="360" w:lineRule="auto"/>
        <w:ind w:left="567" w:right="616"/>
        <w:jc w:val="both"/>
        <w:rPr>
          <w:rFonts w:ascii="Palatino Linotype" w:eastAsia="Palatino Linotype" w:hAnsi="Palatino Linotype" w:cs="Palatino Linotype"/>
          <w:b/>
          <w:i/>
          <w:sz w:val="22"/>
          <w:szCs w:val="22"/>
        </w:rPr>
      </w:pPr>
      <w:r w:rsidRPr="001D0667">
        <w:rPr>
          <w:rFonts w:ascii="Palatino Linotype" w:eastAsia="Palatino Linotype" w:hAnsi="Palatino Linotype" w:cs="Palatino Linotype"/>
          <w:b/>
          <w:i/>
          <w:sz w:val="22"/>
          <w:szCs w:val="22"/>
        </w:rPr>
        <w:lastRenderedPageBreak/>
        <w:t>Intervenir en la elaboración del Plan de Desarrollo del Estado de México y de programas sectoriales que correspondan a la Institución.</w:t>
      </w:r>
    </w:p>
    <w:p w14:paraId="3653B9EC" w14:textId="77777777" w:rsidR="00774DED" w:rsidRPr="001D0667" w:rsidRDefault="00774DED" w:rsidP="00774DED">
      <w:pPr>
        <w:spacing w:line="360" w:lineRule="auto"/>
        <w:ind w:left="567" w:right="616"/>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Coordinar los mecanismos para la integración y ejecución de los programas sectoriales, especiales, regionales y temáticos a cargo de la Institución derivados del Plan de Desarrollo del Estado de México.</w:t>
      </w:r>
    </w:p>
    <w:p w14:paraId="5B7D12FB" w14:textId="77777777" w:rsidR="00774DED" w:rsidRPr="001D0667" w:rsidRDefault="00774DED" w:rsidP="00774DED">
      <w:pPr>
        <w:spacing w:line="360" w:lineRule="auto"/>
        <w:ind w:left="567" w:right="616"/>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Establecer, en coordinación con las unidades administrativas competentes, las estrategias de seguimiento y evaluación de responsabilidades y compromisos institucionales derivados de los programas ejecutados.</w:t>
      </w:r>
    </w:p>
    <w:p w14:paraId="08FFDFFA" w14:textId="77777777" w:rsidR="00774DED" w:rsidRPr="001D0667" w:rsidRDefault="00774DED" w:rsidP="00774DED">
      <w:pPr>
        <w:spacing w:line="360" w:lineRule="auto"/>
        <w:ind w:left="567" w:right="616"/>
        <w:jc w:val="both"/>
        <w:rPr>
          <w:rFonts w:ascii="Palatino Linotype" w:eastAsia="Palatino Linotype" w:hAnsi="Palatino Linotype" w:cs="Palatino Linotype"/>
          <w:i/>
          <w:sz w:val="22"/>
          <w:szCs w:val="22"/>
        </w:rPr>
      </w:pPr>
      <w:r w:rsidRPr="001D0667">
        <w:rPr>
          <w:rFonts w:ascii="Palatino Linotype" w:eastAsia="Palatino Linotype" w:hAnsi="Palatino Linotype" w:cs="Palatino Linotype"/>
          <w:i/>
          <w:sz w:val="22"/>
          <w:szCs w:val="22"/>
        </w:rPr>
        <w:t>Desarrollar las demás funciones inherentes al área de su competencia.</w:t>
      </w:r>
    </w:p>
    <w:p w14:paraId="4B91B7A7" w14:textId="77777777" w:rsidR="00774DED" w:rsidRPr="001D0667" w:rsidRDefault="00774DED" w:rsidP="00EB583C">
      <w:pPr>
        <w:spacing w:line="360" w:lineRule="auto"/>
        <w:ind w:right="49"/>
        <w:jc w:val="both"/>
        <w:rPr>
          <w:rFonts w:ascii="Palatino Linotype" w:eastAsia="Palatino Linotype" w:hAnsi="Palatino Linotype" w:cs="Palatino Linotype"/>
          <w:sz w:val="22"/>
          <w:szCs w:val="22"/>
        </w:rPr>
      </w:pPr>
    </w:p>
    <w:p w14:paraId="3ABC73E5" w14:textId="0F1CD2DD" w:rsidR="00774DED" w:rsidRPr="001D0667" w:rsidRDefault="00774DED" w:rsidP="00774DED">
      <w:pPr>
        <w:spacing w:after="240" w:line="360" w:lineRule="auto"/>
        <w:ind w:right="49"/>
        <w:jc w:val="both"/>
        <w:rPr>
          <w:rFonts w:ascii="Palatino Linotype" w:eastAsia="Palatino Linotype" w:hAnsi="Palatino Linotype" w:cs="Palatino Linotype"/>
          <w:sz w:val="22"/>
          <w:szCs w:val="22"/>
          <w:lang w:val="es-MX"/>
        </w:rPr>
      </w:pPr>
      <w:r w:rsidRPr="001D0667">
        <w:rPr>
          <w:rFonts w:ascii="Palatino Linotype" w:eastAsia="Palatino Linotype" w:hAnsi="Palatino Linotype" w:cs="Palatino Linotype"/>
          <w:sz w:val="22"/>
          <w:szCs w:val="22"/>
          <w:lang w:val="es-MX"/>
        </w:rPr>
        <w:t xml:space="preserve">Es así que a la Dirección de </w:t>
      </w:r>
      <w:r w:rsidRPr="001D0667">
        <w:rPr>
          <w:rFonts w:ascii="Palatino Linotype" w:eastAsia="Palatino Linotype" w:hAnsi="Palatino Linotype" w:cs="Palatino Linotype"/>
          <w:sz w:val="22"/>
          <w:szCs w:val="22"/>
        </w:rPr>
        <w:t>Selección De Personal Y Desarrollo Organizacional le compete apoyar a las unidades administrativas en materia de organización y los procesos institucionales de planeación, consecuentemente, genera, posee y administra la información relacionada con el organigrama de la Fiscalía General de Justicia del Estado de México, siendo el área competente para dar atención a la solicitud presentada por el particular.</w:t>
      </w:r>
    </w:p>
    <w:p w14:paraId="164E0D60" w14:textId="551B8AAB" w:rsidR="00774DED" w:rsidRPr="001D0667" w:rsidRDefault="00774DED" w:rsidP="00774DED">
      <w:pPr>
        <w:spacing w:after="240" w:line="360" w:lineRule="auto"/>
        <w:ind w:right="49"/>
        <w:jc w:val="both"/>
        <w:rPr>
          <w:rFonts w:ascii="Palatino Linotype" w:eastAsia="Palatino Linotype" w:hAnsi="Palatino Linotype" w:cs="Palatino Linotype"/>
          <w:sz w:val="22"/>
          <w:szCs w:val="22"/>
          <w:lang w:val="es-MX"/>
        </w:rPr>
      </w:pPr>
      <w:r w:rsidRPr="001D0667">
        <w:rPr>
          <w:rFonts w:ascii="Palatino Linotype" w:eastAsia="Palatino Linotype" w:hAnsi="Palatino Linotype" w:cs="Palatino Linotype"/>
          <w:sz w:val="22"/>
          <w:szCs w:val="22"/>
          <w:lang w:val="es-MX"/>
        </w:rPr>
        <w:t xml:space="preserve">En mérito de lo expuesto, resulta importante señalar que de la revisión al expediente electrónico se advierte que la unidad de transparencia turnó la solicitud de información a la </w:t>
      </w:r>
      <w:r w:rsidRPr="001D0667">
        <w:rPr>
          <w:rFonts w:ascii="Palatino Linotype" w:eastAsia="Palatino Linotype" w:hAnsi="Palatino Linotype" w:cs="Palatino Linotype"/>
          <w:sz w:val="22"/>
          <w:szCs w:val="22"/>
        </w:rPr>
        <w:t>Dirección de Reclutamiento, Selección de Personal y Desarrollo Organizacional</w:t>
      </w:r>
      <w:r w:rsidRPr="001D0667">
        <w:rPr>
          <w:rFonts w:ascii="Palatino Linotype" w:eastAsia="Palatino Linotype" w:hAnsi="Palatino Linotype" w:cs="Palatino Linotype"/>
          <w:sz w:val="22"/>
          <w:szCs w:val="22"/>
          <w:lang w:val="es-MX"/>
        </w:rPr>
        <w:t>, siguiendo con ello el procedimiento para la atención a las solicitudes de acceso a la información, establecido en los artículos 151, 160, 162, 163, 164, 165 y 166, de la Ley de Transparencia y Acceso a la Información Pública del Estado de México y Municipios: </w:t>
      </w:r>
    </w:p>
    <w:p w14:paraId="4B63DFAF" w14:textId="77777777" w:rsidR="00774DED" w:rsidRPr="001D0667" w:rsidRDefault="00774DED" w:rsidP="00774DED">
      <w:pPr>
        <w:spacing w:after="240" w:line="360" w:lineRule="auto"/>
        <w:ind w:left="284" w:right="49"/>
        <w:jc w:val="both"/>
        <w:rPr>
          <w:rFonts w:ascii="Palatino Linotype" w:eastAsia="Palatino Linotype" w:hAnsi="Palatino Linotype" w:cs="Palatino Linotype"/>
          <w:sz w:val="22"/>
          <w:szCs w:val="22"/>
          <w:lang w:val="es-MX"/>
        </w:rPr>
      </w:pPr>
      <w:r w:rsidRPr="001D0667">
        <w:rPr>
          <w:rFonts w:ascii="Palatino Linotype" w:eastAsia="Palatino Linotype" w:hAnsi="Palatino Linotype" w:cs="Palatino Linotype"/>
          <w:sz w:val="22"/>
          <w:szCs w:val="22"/>
          <w:lang w:val="es-MX"/>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5189252C" w14:textId="77777777" w:rsidR="00774DED" w:rsidRPr="001D0667" w:rsidRDefault="00774DED" w:rsidP="00774DED">
      <w:pPr>
        <w:spacing w:after="240" w:line="360" w:lineRule="auto"/>
        <w:ind w:left="284" w:right="49"/>
        <w:jc w:val="both"/>
        <w:rPr>
          <w:rFonts w:ascii="Palatino Linotype" w:eastAsia="Palatino Linotype" w:hAnsi="Palatino Linotype" w:cs="Palatino Linotype"/>
          <w:sz w:val="22"/>
          <w:szCs w:val="22"/>
          <w:lang w:val="es-MX"/>
        </w:rPr>
      </w:pPr>
      <w:r w:rsidRPr="001D0667">
        <w:rPr>
          <w:rFonts w:ascii="Palatino Linotype" w:eastAsia="Palatino Linotype" w:hAnsi="Palatino Linotype" w:cs="Palatino Linotype"/>
          <w:sz w:val="22"/>
          <w:szCs w:val="22"/>
          <w:lang w:val="es-MX"/>
        </w:rPr>
        <w:lastRenderedPageBreak/>
        <w:t>• La respuesta a los requerimientos informativos, deberá notificarse al interesado en el menor tiempo posible, que no podrá exceder de quince días hábiles, contados a partir del día siguiente a la presentación de esta. </w:t>
      </w:r>
    </w:p>
    <w:p w14:paraId="1563F8B5" w14:textId="77777777" w:rsidR="00774DED" w:rsidRPr="001D0667" w:rsidRDefault="00774DED" w:rsidP="00774DED">
      <w:pPr>
        <w:spacing w:after="240" w:line="360" w:lineRule="auto"/>
        <w:ind w:left="284" w:right="49"/>
        <w:jc w:val="both"/>
        <w:rPr>
          <w:rFonts w:ascii="Palatino Linotype" w:eastAsia="Palatino Linotype" w:hAnsi="Palatino Linotype" w:cs="Palatino Linotype"/>
          <w:sz w:val="22"/>
          <w:szCs w:val="22"/>
          <w:lang w:val="es-MX"/>
        </w:rPr>
      </w:pPr>
      <w:r w:rsidRPr="001D0667">
        <w:rPr>
          <w:rFonts w:ascii="Palatino Linotype" w:eastAsia="Palatino Linotype" w:hAnsi="Palatino Linotype" w:cs="Palatino Linotype"/>
          <w:sz w:val="22"/>
          <w:szCs w:val="22"/>
          <w:lang w:val="es-MX"/>
        </w:rPr>
        <w:t>Excepcionalmente, el plazo referido podrá ampliarse por siete días hábiles más, cuando existan razones fundadas y motivadas, a través del Comité de Transparencia; </w:t>
      </w:r>
    </w:p>
    <w:p w14:paraId="3748E490" w14:textId="77777777" w:rsidR="00774DED" w:rsidRPr="001D0667" w:rsidRDefault="00774DED" w:rsidP="00774DED">
      <w:pPr>
        <w:spacing w:after="240" w:line="360" w:lineRule="auto"/>
        <w:ind w:left="284" w:right="49"/>
        <w:jc w:val="both"/>
        <w:rPr>
          <w:rFonts w:ascii="Palatino Linotype" w:eastAsia="Palatino Linotype" w:hAnsi="Palatino Linotype" w:cs="Palatino Linotype"/>
          <w:sz w:val="22"/>
          <w:szCs w:val="22"/>
          <w:lang w:val="es-MX"/>
        </w:rPr>
      </w:pPr>
      <w:r w:rsidRPr="001D0667">
        <w:rPr>
          <w:rFonts w:ascii="Palatino Linotype" w:eastAsia="Palatino Linotype" w:hAnsi="Palatino Linotype" w:cs="Palatino Linotype"/>
          <w:sz w:val="22"/>
          <w:szCs w:val="22"/>
          <w:lang w:val="es-MX"/>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0275339F" w14:textId="77777777" w:rsidR="00774DED" w:rsidRPr="001D0667" w:rsidRDefault="00774DED" w:rsidP="00774DED">
      <w:pPr>
        <w:spacing w:after="240" w:line="360" w:lineRule="auto"/>
        <w:ind w:left="284" w:right="49"/>
        <w:jc w:val="both"/>
        <w:rPr>
          <w:rFonts w:ascii="Palatino Linotype" w:eastAsia="Palatino Linotype" w:hAnsi="Palatino Linotype" w:cs="Palatino Linotype"/>
          <w:sz w:val="22"/>
          <w:szCs w:val="22"/>
          <w:lang w:val="es-MX"/>
        </w:rPr>
      </w:pPr>
      <w:r w:rsidRPr="001D0667">
        <w:rPr>
          <w:rFonts w:ascii="Palatino Linotype" w:eastAsia="Palatino Linotype" w:hAnsi="Palatino Linotype" w:cs="Palatino Linotype"/>
          <w:sz w:val="22"/>
          <w:szCs w:val="22"/>
          <w:lang w:val="es-MX"/>
        </w:rPr>
        <w:t>•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6549FCED" w14:textId="77777777" w:rsidR="00774DED" w:rsidRPr="001D0667" w:rsidRDefault="00774DED" w:rsidP="00774DED">
      <w:pPr>
        <w:spacing w:after="240" w:line="360" w:lineRule="auto"/>
        <w:ind w:left="284" w:right="49"/>
        <w:jc w:val="both"/>
        <w:rPr>
          <w:rFonts w:ascii="Palatino Linotype" w:eastAsia="Palatino Linotype" w:hAnsi="Palatino Linotype" w:cs="Palatino Linotype"/>
          <w:sz w:val="22"/>
          <w:szCs w:val="22"/>
          <w:lang w:val="es-MX"/>
        </w:rPr>
      </w:pPr>
      <w:r w:rsidRPr="001D0667">
        <w:rPr>
          <w:rFonts w:ascii="Palatino Linotype" w:eastAsia="Palatino Linotype" w:hAnsi="Palatino Linotype" w:cs="Palatino Linotype"/>
          <w:sz w:val="22"/>
          <w:szCs w:val="22"/>
          <w:lang w:val="es-MX"/>
        </w:rPr>
        <w:t>•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627909B5" w14:textId="798E6CC9" w:rsidR="00774DED" w:rsidRPr="001D0667" w:rsidRDefault="00774DED" w:rsidP="00774DED">
      <w:pPr>
        <w:spacing w:after="240" w:line="360" w:lineRule="auto"/>
        <w:ind w:right="49"/>
        <w:jc w:val="both"/>
        <w:rPr>
          <w:rFonts w:ascii="Palatino Linotype" w:eastAsia="Palatino Linotype" w:hAnsi="Palatino Linotype" w:cs="Palatino Linotype"/>
          <w:sz w:val="22"/>
          <w:szCs w:val="22"/>
          <w:lang w:val="es-MX"/>
        </w:rPr>
      </w:pPr>
      <w:r w:rsidRPr="001D0667">
        <w:rPr>
          <w:rFonts w:ascii="Palatino Linotype" w:eastAsia="Palatino Linotype" w:hAnsi="Palatino Linotype" w:cs="Palatino Linotype"/>
          <w:sz w:val="22"/>
          <w:szCs w:val="22"/>
          <w:lang w:val="es-MX"/>
        </w:rPr>
        <w:t xml:space="preserve">En este orden de ideas, se reitera que la Unidad de Transparencia turnó la solicitud de información a la </w:t>
      </w:r>
      <w:r w:rsidRPr="001D0667">
        <w:rPr>
          <w:rFonts w:ascii="Palatino Linotype" w:eastAsia="Palatino Linotype" w:hAnsi="Palatino Linotype" w:cs="Palatino Linotype"/>
          <w:sz w:val="22"/>
          <w:szCs w:val="22"/>
        </w:rPr>
        <w:t>Dirección de Reclutamiento, Selección de Personal y Desarrollo Organizacional</w:t>
      </w:r>
      <w:r w:rsidRPr="001D0667">
        <w:rPr>
          <w:rFonts w:ascii="Palatino Linotype" w:eastAsia="Palatino Linotype" w:hAnsi="Palatino Linotype" w:cs="Palatino Linotype"/>
          <w:sz w:val="22"/>
          <w:szCs w:val="22"/>
          <w:lang w:val="es-MX"/>
        </w:rPr>
        <w:t xml:space="preserve">, al ser la unidad administrativa competente de acuerdo con la normatividad </w:t>
      </w:r>
      <w:r w:rsidRPr="001D0667">
        <w:rPr>
          <w:rFonts w:ascii="Palatino Linotype" w:eastAsia="Palatino Linotype" w:hAnsi="Palatino Linotype" w:cs="Palatino Linotype"/>
          <w:sz w:val="22"/>
          <w:szCs w:val="22"/>
          <w:lang w:val="es-MX"/>
        </w:rPr>
        <w:lastRenderedPageBreak/>
        <w:t>que rige el funcionamiento y organización del Sujeto Obligado, por lo que se acredita debidamente la búsqueda exhaustiva y razonable.</w:t>
      </w:r>
    </w:p>
    <w:p w14:paraId="117835C2" w14:textId="35CBA91C" w:rsidR="004F2538" w:rsidRPr="001D0667" w:rsidRDefault="004F2538" w:rsidP="009A412A">
      <w:pPr>
        <w:spacing w:line="360" w:lineRule="auto"/>
        <w:ind w:right="49"/>
        <w:jc w:val="both"/>
        <w:rPr>
          <w:rFonts w:ascii="Palatino Linotype" w:hAnsi="Palatino Linotype"/>
          <w:sz w:val="22"/>
          <w:szCs w:val="22"/>
        </w:rPr>
      </w:pPr>
      <w:r w:rsidRPr="001D0667">
        <w:rPr>
          <w:rFonts w:ascii="Palatino Linotype" w:hAnsi="Palatino Linotype"/>
          <w:sz w:val="22"/>
          <w:szCs w:val="22"/>
        </w:rPr>
        <w:t>En consecuencia, al haber existido un pronunciamiento al respecto, señalando que es el organigrama vigente y actualizado con el que se cuenta, es que no se puede dudar se la veracidad d</w:t>
      </w:r>
      <w:r w:rsidR="00774DED" w:rsidRPr="001D0667">
        <w:rPr>
          <w:rFonts w:ascii="Palatino Linotype" w:hAnsi="Palatino Linotype"/>
          <w:sz w:val="22"/>
          <w:szCs w:val="22"/>
        </w:rPr>
        <w:t>e la información proporcionada; situación que fue ratificada mediante informe justificado</w:t>
      </w:r>
      <w:r w:rsidR="00601967" w:rsidRPr="001D0667">
        <w:rPr>
          <w:rFonts w:ascii="Palatino Linotype" w:hAnsi="Palatino Linotype"/>
          <w:sz w:val="22"/>
          <w:szCs w:val="22"/>
        </w:rPr>
        <w:t xml:space="preserve"> al señalar que es el organigrama proporcionado es el autorizado para la Fiscalía General de Justicia y corresponde con el publicado en la plataforma IPOMEX, por lo que se proporcionó la información que se genera y se encuentra en los archivos del Sujeto Obligado.</w:t>
      </w:r>
    </w:p>
    <w:p w14:paraId="6F28D1E3" w14:textId="77777777" w:rsidR="00774DED" w:rsidRPr="001D0667" w:rsidRDefault="00774DED" w:rsidP="009A412A">
      <w:pPr>
        <w:spacing w:line="360" w:lineRule="auto"/>
        <w:ind w:right="49"/>
        <w:jc w:val="both"/>
        <w:rPr>
          <w:rFonts w:ascii="Palatino Linotype" w:hAnsi="Palatino Linotype"/>
          <w:sz w:val="22"/>
          <w:szCs w:val="22"/>
        </w:rPr>
      </w:pPr>
    </w:p>
    <w:p w14:paraId="28785E1D" w14:textId="53C6E423" w:rsidR="009A412A" w:rsidRPr="001D0667" w:rsidRDefault="004F2538" w:rsidP="009A412A">
      <w:pPr>
        <w:spacing w:line="360" w:lineRule="auto"/>
        <w:ind w:right="49"/>
        <w:jc w:val="both"/>
        <w:rPr>
          <w:rFonts w:ascii="Palatino Linotype" w:hAnsi="Palatino Linotype"/>
          <w:sz w:val="22"/>
          <w:szCs w:val="22"/>
        </w:rPr>
      </w:pPr>
      <w:r w:rsidRPr="001D0667">
        <w:rPr>
          <w:rFonts w:ascii="Palatino Linotype" w:hAnsi="Palatino Linotype"/>
          <w:sz w:val="22"/>
          <w:szCs w:val="22"/>
        </w:rPr>
        <w:t xml:space="preserve">Sirve de sustento </w:t>
      </w:r>
      <w:r w:rsidR="009A412A" w:rsidRPr="001D0667">
        <w:rPr>
          <w:rFonts w:ascii="Palatino Linotype" w:hAnsi="Palatino Linotype" w:cs="Arial"/>
          <w:sz w:val="22"/>
          <w:szCs w:val="22"/>
          <w:lang w:val="es-ES_tradnl"/>
        </w:rPr>
        <w:t>lo establecido en el Criterio histórico 31/10 emitido por el Instituto Nacional de Transparencia, Acceso a la Información Pública y Protección de Datos Personales INAI (anteriormente IFAI), este organismo garante no puede dudar de la veracidad de la información que los sujetos obligados ponen a disposición de los particulares, el cual, se procede a citar a continuación:</w:t>
      </w:r>
    </w:p>
    <w:p w14:paraId="2CBF427F" w14:textId="77777777" w:rsidR="009A412A" w:rsidRPr="001D0667" w:rsidRDefault="009A412A" w:rsidP="009A412A">
      <w:pPr>
        <w:spacing w:line="360" w:lineRule="auto"/>
        <w:ind w:right="49"/>
        <w:jc w:val="both"/>
        <w:rPr>
          <w:rFonts w:ascii="Palatino Linotype" w:eastAsia="Palatino Linotype" w:hAnsi="Palatino Linotype" w:cs="Palatino Linotype"/>
          <w:bCs/>
          <w:sz w:val="22"/>
          <w:szCs w:val="22"/>
        </w:rPr>
      </w:pPr>
    </w:p>
    <w:p w14:paraId="4066D24F" w14:textId="77777777" w:rsidR="009A412A" w:rsidRPr="001D0667" w:rsidRDefault="009A412A" w:rsidP="009A412A">
      <w:pPr>
        <w:tabs>
          <w:tab w:val="left" w:pos="8222"/>
        </w:tabs>
        <w:ind w:left="567" w:right="567"/>
        <w:contextualSpacing/>
        <w:jc w:val="both"/>
        <w:rPr>
          <w:rFonts w:ascii="Palatino Linotype" w:eastAsia="MS Mincho" w:hAnsi="Palatino Linotype" w:cs="Arial"/>
          <w:i/>
          <w:sz w:val="22"/>
          <w:szCs w:val="22"/>
        </w:rPr>
      </w:pPr>
      <w:r w:rsidRPr="001D0667">
        <w:rPr>
          <w:rFonts w:ascii="Palatino Linotype" w:eastAsia="MS Mincho" w:hAnsi="Palatino Linotype" w:cs="Arial"/>
          <w:b/>
          <w:i/>
          <w:sz w:val="22"/>
          <w:szCs w:val="22"/>
        </w:rPr>
        <w:t>“El Instituto Federal de Acceso a la Información y Protección de Datos no cuenta con facultades para pronunciarse respecto de la veracidad de los documentos proporcionados por los sujetos obligados.</w:t>
      </w:r>
      <w:r w:rsidRPr="001D0667">
        <w:rPr>
          <w:rFonts w:ascii="Palatino Linotype" w:eastAsia="MS Mincho" w:hAnsi="Palatino Linotype" w:cs="Arial"/>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39F082D" w14:textId="77777777" w:rsidR="009A412A" w:rsidRPr="001D0667" w:rsidRDefault="009A412A" w:rsidP="009A412A">
      <w:pPr>
        <w:tabs>
          <w:tab w:val="left" w:pos="8222"/>
        </w:tabs>
        <w:spacing w:line="360" w:lineRule="auto"/>
        <w:ind w:left="567" w:right="567"/>
        <w:contextualSpacing/>
        <w:jc w:val="both"/>
        <w:rPr>
          <w:rFonts w:ascii="Palatino Linotype" w:eastAsia="MS Mincho" w:hAnsi="Palatino Linotype" w:cs="Arial"/>
          <w:i/>
          <w:sz w:val="22"/>
          <w:szCs w:val="22"/>
        </w:rPr>
      </w:pPr>
    </w:p>
    <w:p w14:paraId="47097A44" w14:textId="75CEDB1A" w:rsidR="009A412A" w:rsidRPr="001D0667" w:rsidRDefault="009A412A" w:rsidP="009A412A">
      <w:pPr>
        <w:spacing w:line="360" w:lineRule="auto"/>
        <w:ind w:right="49"/>
        <w:jc w:val="both"/>
        <w:rPr>
          <w:rFonts w:ascii="Palatino Linotype" w:hAnsi="Palatino Linotype" w:cs="Arial"/>
          <w:bCs/>
          <w:sz w:val="22"/>
          <w:szCs w:val="22"/>
        </w:rPr>
      </w:pPr>
      <w:r w:rsidRPr="001D0667">
        <w:rPr>
          <w:rFonts w:ascii="Palatino Linotype" w:hAnsi="Palatino Linotype" w:cs="Arial"/>
          <w:bCs/>
          <w:sz w:val="22"/>
          <w:szCs w:val="22"/>
        </w:rPr>
        <w:lastRenderedPageBreak/>
        <w:t>Por lo que, este Organismo Garante carece de facultades para dudar de la veracidad de la información que el Sujeto Obligado puso a dis</w:t>
      </w:r>
      <w:r w:rsidR="00601967" w:rsidRPr="001D0667">
        <w:rPr>
          <w:rFonts w:ascii="Palatino Linotype" w:hAnsi="Palatino Linotype" w:cs="Arial"/>
          <w:bCs/>
          <w:sz w:val="22"/>
          <w:szCs w:val="22"/>
        </w:rPr>
        <w:t>posición de la parte Recurrente.</w:t>
      </w:r>
    </w:p>
    <w:p w14:paraId="16552384" w14:textId="5B403EA4" w:rsidR="00AE56F1" w:rsidRPr="001D0667" w:rsidRDefault="00AE56F1" w:rsidP="009A412A">
      <w:pPr>
        <w:spacing w:line="360" w:lineRule="auto"/>
        <w:ind w:right="49"/>
        <w:jc w:val="both"/>
        <w:rPr>
          <w:rFonts w:ascii="Palatino Linotype" w:hAnsi="Palatino Linotype" w:cs="Arial"/>
          <w:bCs/>
          <w:sz w:val="22"/>
          <w:szCs w:val="22"/>
        </w:rPr>
      </w:pPr>
    </w:p>
    <w:p w14:paraId="2D5248C4" w14:textId="6BE44711" w:rsidR="001916BF" w:rsidRPr="001D0667" w:rsidRDefault="009A412A" w:rsidP="009A412A">
      <w:pPr>
        <w:spacing w:line="360" w:lineRule="auto"/>
        <w:ind w:right="49"/>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t xml:space="preserve">Es así como, en mérito de lo expuesto en líneas anteriores, resultan infundadas las razones o motivos de inconformidad hechos valer por la parte </w:t>
      </w:r>
      <w:r w:rsidRPr="001D0667">
        <w:rPr>
          <w:rFonts w:ascii="Palatino Linotype" w:eastAsia="Palatino Linotype" w:hAnsi="Palatino Linotype" w:cs="Palatino Linotype"/>
          <w:b/>
          <w:sz w:val="22"/>
          <w:szCs w:val="22"/>
        </w:rPr>
        <w:t>RECURRENTE</w:t>
      </w:r>
      <w:r w:rsidRPr="001D0667">
        <w:rPr>
          <w:rFonts w:ascii="Palatino Linotype" w:eastAsia="Palatino Linotype" w:hAnsi="Palatino Linotype" w:cs="Palatino Linotype"/>
          <w:sz w:val="22"/>
          <w:szCs w:val="22"/>
        </w:rPr>
        <w:t xml:space="preserve"> dentro del recurso de revisión </w:t>
      </w:r>
      <w:r w:rsidR="00C36BC7" w:rsidRPr="001D0667">
        <w:rPr>
          <w:rFonts w:ascii="Palatino Linotype" w:eastAsia="Palatino Linotype" w:hAnsi="Palatino Linotype" w:cs="Palatino Linotype"/>
          <w:b/>
          <w:sz w:val="22"/>
          <w:szCs w:val="22"/>
        </w:rPr>
        <w:t>00899/INFOEM/IP/RR/2025</w:t>
      </w:r>
      <w:r w:rsidRPr="001D0667">
        <w:rPr>
          <w:rFonts w:ascii="Palatino Linotype" w:eastAsia="Palatino Linotype" w:hAnsi="Palatino Linotype" w:cs="Palatino Linotype"/>
          <w:sz w:val="22"/>
          <w:szCs w:val="22"/>
        </w:rPr>
        <w:t xml:space="preserve">; por ello, y con fundamento en la fracción II del numeral 186 de la Ley de Transparencia y Acceso a la Información Pública del Estado de México y Municipios, por lo que se </w:t>
      </w:r>
      <w:r w:rsidRPr="001D0667">
        <w:rPr>
          <w:rFonts w:ascii="Palatino Linotype" w:eastAsia="Palatino Linotype" w:hAnsi="Palatino Linotype" w:cs="Palatino Linotype"/>
          <w:b/>
          <w:sz w:val="22"/>
          <w:szCs w:val="22"/>
        </w:rPr>
        <w:t xml:space="preserve">CONFIRMA </w:t>
      </w:r>
      <w:r w:rsidRPr="001D0667">
        <w:rPr>
          <w:rFonts w:ascii="Palatino Linotype" w:eastAsia="Palatino Linotype" w:hAnsi="Palatino Linotype" w:cs="Palatino Linotype"/>
          <w:sz w:val="22"/>
          <w:szCs w:val="22"/>
        </w:rPr>
        <w:t xml:space="preserve">la respuesta del </w:t>
      </w:r>
      <w:r w:rsidRPr="001D0667">
        <w:rPr>
          <w:rFonts w:ascii="Palatino Linotype" w:eastAsia="Palatino Linotype" w:hAnsi="Palatino Linotype" w:cs="Palatino Linotype"/>
          <w:b/>
          <w:sz w:val="22"/>
          <w:szCs w:val="22"/>
        </w:rPr>
        <w:t xml:space="preserve">SUJETO OBLIGADO </w:t>
      </w:r>
      <w:r w:rsidRPr="001D0667">
        <w:rPr>
          <w:rFonts w:ascii="Palatino Linotype" w:eastAsia="Palatino Linotype" w:hAnsi="Palatino Linotype" w:cs="Palatino Linotype"/>
          <w:sz w:val="22"/>
          <w:szCs w:val="22"/>
        </w:rPr>
        <w:t xml:space="preserve">a la solicitud de información </w:t>
      </w:r>
      <w:r w:rsidR="00305619" w:rsidRPr="001D0667">
        <w:rPr>
          <w:rFonts w:ascii="Palatino Linotype" w:eastAsia="Palatino Linotype" w:hAnsi="Palatino Linotype" w:cs="Palatino Linotype"/>
          <w:b/>
          <w:sz w:val="22"/>
          <w:szCs w:val="22"/>
        </w:rPr>
        <w:t>00061/FGJ/IP/2025</w:t>
      </w:r>
      <w:r w:rsidRPr="001D0667">
        <w:rPr>
          <w:rFonts w:ascii="Palatino Linotype" w:eastAsia="Palatino Linotype" w:hAnsi="Palatino Linotype" w:cs="Palatino Linotype"/>
          <w:b/>
          <w:sz w:val="22"/>
          <w:szCs w:val="22"/>
        </w:rPr>
        <w:t>.</w:t>
      </w:r>
      <w:r w:rsidRPr="001D0667">
        <w:rPr>
          <w:rFonts w:ascii="Palatino Linotype" w:eastAsia="Palatino Linotype" w:hAnsi="Palatino Linotype" w:cs="Palatino Linotype"/>
          <w:sz w:val="22"/>
          <w:szCs w:val="22"/>
        </w:rPr>
        <w:t xml:space="preserve">  </w:t>
      </w:r>
    </w:p>
    <w:p w14:paraId="673935CB" w14:textId="77777777" w:rsidR="007A0F20" w:rsidRPr="001D0667" w:rsidRDefault="00BE1A1C">
      <w:pPr>
        <w:numPr>
          <w:ilvl w:val="0"/>
          <w:numId w:val="2"/>
        </w:num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1D0667">
        <w:rPr>
          <w:rFonts w:ascii="Palatino Linotype" w:eastAsia="Palatino Linotype" w:hAnsi="Palatino Linotype" w:cs="Palatino Linotype"/>
          <w:b/>
          <w:sz w:val="22"/>
          <w:szCs w:val="22"/>
        </w:rPr>
        <w:t>R E S U E L V E:</w:t>
      </w:r>
    </w:p>
    <w:p w14:paraId="57286D13" w14:textId="15FCF995" w:rsidR="009F465E" w:rsidRPr="001D0667" w:rsidRDefault="009F465E" w:rsidP="009F465E">
      <w:pPr>
        <w:spacing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b/>
          <w:sz w:val="22"/>
          <w:szCs w:val="22"/>
        </w:rPr>
        <w:t xml:space="preserve">Primero. </w:t>
      </w:r>
      <w:r w:rsidRPr="001D0667">
        <w:rPr>
          <w:rFonts w:ascii="Palatino Linotype" w:eastAsia="Palatino Linotype" w:hAnsi="Palatino Linotype" w:cs="Palatino Linotype"/>
          <w:sz w:val="22"/>
          <w:szCs w:val="22"/>
        </w:rPr>
        <w:t xml:space="preserve">Resultan </w:t>
      </w:r>
      <w:r w:rsidRPr="001D0667">
        <w:rPr>
          <w:rFonts w:ascii="Palatino Linotype" w:eastAsia="Palatino Linotype" w:hAnsi="Palatino Linotype" w:cs="Palatino Linotype"/>
          <w:b/>
          <w:sz w:val="22"/>
          <w:szCs w:val="22"/>
        </w:rPr>
        <w:t>INFUNDADOS</w:t>
      </w:r>
      <w:r w:rsidRPr="001D0667">
        <w:rPr>
          <w:rFonts w:ascii="Palatino Linotype" w:eastAsia="Palatino Linotype" w:hAnsi="Palatino Linotype" w:cs="Palatino Linotype"/>
          <w:sz w:val="22"/>
          <w:szCs w:val="22"/>
        </w:rPr>
        <w:t xml:space="preserve"> los motivos de inconformidad hechos valer por la parte </w:t>
      </w:r>
      <w:r w:rsidRPr="001D0667">
        <w:rPr>
          <w:rFonts w:ascii="Palatino Linotype" w:eastAsia="Palatino Linotype" w:hAnsi="Palatino Linotype" w:cs="Palatino Linotype"/>
          <w:b/>
          <w:sz w:val="22"/>
          <w:szCs w:val="22"/>
        </w:rPr>
        <w:t>RECURRENTE</w:t>
      </w:r>
      <w:r w:rsidRPr="001D0667">
        <w:rPr>
          <w:rFonts w:ascii="Palatino Linotype" w:eastAsia="Palatino Linotype" w:hAnsi="Palatino Linotype" w:cs="Palatino Linotype"/>
          <w:sz w:val="22"/>
          <w:szCs w:val="22"/>
        </w:rPr>
        <w:t xml:space="preserve"> en el Recurso de Revisión </w:t>
      </w:r>
      <w:r w:rsidR="00C36BC7" w:rsidRPr="001D0667">
        <w:rPr>
          <w:rFonts w:ascii="Palatino Linotype" w:eastAsia="Palatino Linotype" w:hAnsi="Palatino Linotype" w:cs="Palatino Linotype"/>
          <w:b/>
          <w:sz w:val="22"/>
          <w:szCs w:val="22"/>
        </w:rPr>
        <w:t>00899/INFOEM/IP/RR/2025</w:t>
      </w:r>
      <w:r w:rsidRPr="001D0667">
        <w:rPr>
          <w:rFonts w:ascii="Palatino Linotype" w:eastAsia="Palatino Linotype" w:hAnsi="Palatino Linotype" w:cs="Palatino Linotype"/>
          <w:sz w:val="22"/>
          <w:szCs w:val="22"/>
        </w:rPr>
        <w:t xml:space="preserve"> por lo que, en términos del</w:t>
      </w:r>
      <w:r w:rsidRPr="001D0667">
        <w:rPr>
          <w:rFonts w:ascii="Palatino Linotype" w:eastAsia="Palatino Linotype" w:hAnsi="Palatino Linotype" w:cs="Palatino Linotype"/>
          <w:b/>
          <w:sz w:val="22"/>
          <w:szCs w:val="22"/>
        </w:rPr>
        <w:t xml:space="preserve"> Considerando Cuarto </w:t>
      </w:r>
      <w:r w:rsidRPr="001D0667">
        <w:rPr>
          <w:rFonts w:ascii="Palatino Linotype" w:eastAsia="Palatino Linotype" w:hAnsi="Palatino Linotype" w:cs="Palatino Linotype"/>
          <w:sz w:val="22"/>
          <w:szCs w:val="22"/>
        </w:rPr>
        <w:t xml:space="preserve">de esta resolución, se </w:t>
      </w:r>
      <w:r w:rsidRPr="001D0667">
        <w:rPr>
          <w:rFonts w:ascii="Palatino Linotype" w:eastAsia="Palatino Linotype" w:hAnsi="Palatino Linotype" w:cs="Palatino Linotype"/>
          <w:b/>
          <w:sz w:val="22"/>
          <w:szCs w:val="22"/>
        </w:rPr>
        <w:t xml:space="preserve">CONFIRMA </w:t>
      </w:r>
      <w:r w:rsidRPr="001D0667">
        <w:rPr>
          <w:rFonts w:ascii="Palatino Linotype" w:eastAsia="Palatino Linotype" w:hAnsi="Palatino Linotype" w:cs="Palatino Linotype"/>
          <w:sz w:val="22"/>
          <w:szCs w:val="22"/>
        </w:rPr>
        <w:t xml:space="preserve">la respuesta emitida por el </w:t>
      </w:r>
      <w:r w:rsidRPr="001D0667">
        <w:rPr>
          <w:rFonts w:ascii="Palatino Linotype" w:eastAsia="Palatino Linotype" w:hAnsi="Palatino Linotype" w:cs="Palatino Linotype"/>
          <w:b/>
          <w:sz w:val="22"/>
          <w:szCs w:val="22"/>
        </w:rPr>
        <w:t>SUJETO OBLIGADO</w:t>
      </w:r>
      <w:r w:rsidRPr="001D0667">
        <w:rPr>
          <w:rFonts w:ascii="Palatino Linotype" w:eastAsia="Palatino Linotype" w:hAnsi="Palatino Linotype" w:cs="Palatino Linotype"/>
          <w:sz w:val="22"/>
          <w:szCs w:val="22"/>
        </w:rPr>
        <w:t>.</w:t>
      </w:r>
    </w:p>
    <w:p w14:paraId="44ED49CB" w14:textId="77777777" w:rsidR="009F465E" w:rsidRPr="001D0667" w:rsidRDefault="009F465E" w:rsidP="009F465E">
      <w:pPr>
        <w:spacing w:line="360" w:lineRule="auto"/>
        <w:jc w:val="both"/>
        <w:rPr>
          <w:rFonts w:ascii="Palatino Linotype" w:eastAsia="Palatino Linotype" w:hAnsi="Palatino Linotype" w:cs="Palatino Linotype"/>
          <w:sz w:val="22"/>
          <w:szCs w:val="22"/>
        </w:rPr>
      </w:pPr>
    </w:p>
    <w:p w14:paraId="5E34CD0E" w14:textId="77777777" w:rsidR="009F465E" w:rsidRPr="001D0667" w:rsidRDefault="009F465E" w:rsidP="009F465E">
      <w:pPr>
        <w:spacing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b/>
          <w:sz w:val="22"/>
          <w:szCs w:val="22"/>
        </w:rPr>
        <w:t>Segundo. Notifíquese vía Sistema de Acceso a la Información Mexiquense (SAIMEX)</w:t>
      </w:r>
      <w:r w:rsidRPr="001D0667">
        <w:rPr>
          <w:rFonts w:ascii="Palatino Linotype" w:eastAsia="Palatino Linotype" w:hAnsi="Palatino Linotype" w:cs="Palatino Linotype"/>
          <w:sz w:val="22"/>
          <w:szCs w:val="22"/>
        </w:rPr>
        <w:t>, al Titular de la Unidad de Transparencia del Sujeto Obligado, para su conocimiento.</w:t>
      </w:r>
    </w:p>
    <w:p w14:paraId="2AAB89E6" w14:textId="77777777" w:rsidR="009F465E" w:rsidRPr="001D0667" w:rsidRDefault="009F465E" w:rsidP="009F465E">
      <w:pPr>
        <w:spacing w:line="360" w:lineRule="auto"/>
        <w:jc w:val="both"/>
        <w:rPr>
          <w:rFonts w:ascii="Palatino Linotype" w:eastAsia="Palatino Linotype" w:hAnsi="Palatino Linotype" w:cs="Palatino Linotype"/>
          <w:sz w:val="22"/>
          <w:szCs w:val="22"/>
        </w:rPr>
      </w:pPr>
    </w:p>
    <w:p w14:paraId="11D6010B" w14:textId="5EFC4A36" w:rsidR="009F465E" w:rsidRPr="001D0667" w:rsidRDefault="009F465E" w:rsidP="009F465E">
      <w:pPr>
        <w:spacing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b/>
          <w:sz w:val="22"/>
          <w:szCs w:val="22"/>
        </w:rPr>
        <w:t xml:space="preserve">Tercero. Notifíquese vía Sistema de Acceso a la Información Mexiquense (SAIMEX) </w:t>
      </w:r>
      <w:r w:rsidRPr="001D0667">
        <w:rPr>
          <w:rFonts w:ascii="Palatino Linotype" w:eastAsia="Palatino Linotype" w:hAnsi="Palatino Linotype" w:cs="Palatino Linotype"/>
          <w:sz w:val="22"/>
          <w:szCs w:val="22"/>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0FB7F1BB" w14:textId="1EC14CEE" w:rsidR="0047789B" w:rsidRPr="001D0667" w:rsidRDefault="0047789B" w:rsidP="009F465E">
      <w:pPr>
        <w:spacing w:line="360" w:lineRule="auto"/>
        <w:jc w:val="both"/>
        <w:rPr>
          <w:rFonts w:ascii="Palatino Linotype" w:eastAsia="Palatino Linotype" w:hAnsi="Palatino Linotype" w:cs="Palatino Linotype"/>
          <w:sz w:val="22"/>
          <w:szCs w:val="22"/>
        </w:rPr>
      </w:pPr>
    </w:p>
    <w:p w14:paraId="78B11090" w14:textId="77777777" w:rsidR="0047789B" w:rsidRPr="001D0667" w:rsidRDefault="0047789B" w:rsidP="009F465E">
      <w:pPr>
        <w:spacing w:line="360" w:lineRule="auto"/>
        <w:jc w:val="both"/>
        <w:rPr>
          <w:rFonts w:ascii="Palatino Linotype" w:eastAsia="Palatino Linotype" w:hAnsi="Palatino Linotype" w:cs="Palatino Linotype"/>
          <w:sz w:val="22"/>
          <w:szCs w:val="22"/>
        </w:rPr>
      </w:pPr>
    </w:p>
    <w:p w14:paraId="10AE458E" w14:textId="3B55018E" w:rsidR="007A0F20" w:rsidRPr="001D0667" w:rsidRDefault="00BE1A1C">
      <w:pPr>
        <w:spacing w:before="240" w:after="240" w:line="360" w:lineRule="auto"/>
        <w:jc w:val="both"/>
        <w:rPr>
          <w:rFonts w:ascii="Palatino Linotype" w:eastAsia="Palatino Linotype" w:hAnsi="Palatino Linotype" w:cs="Palatino Linotype"/>
          <w:sz w:val="22"/>
          <w:szCs w:val="22"/>
        </w:rPr>
      </w:pPr>
      <w:r w:rsidRPr="001D0667">
        <w:rPr>
          <w:rFonts w:ascii="Palatino Linotype" w:eastAsia="Palatino Linotype" w:hAnsi="Palatino Linotype" w:cs="Palatino Linotype"/>
          <w:sz w:val="22"/>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47789B" w:rsidRPr="001D0667">
        <w:rPr>
          <w:rFonts w:ascii="Palatino Linotype" w:eastAsia="Palatino Linotype" w:hAnsi="Palatino Linotype" w:cs="Palatino Linotype"/>
          <w:sz w:val="22"/>
          <w:szCs w:val="22"/>
        </w:rPr>
        <w:t>, EMITIENDO VOTO PARTICULAR</w:t>
      </w:r>
      <w:r w:rsidRPr="001D0667">
        <w:rPr>
          <w:rFonts w:ascii="Palatino Linotype" w:eastAsia="Palatino Linotype" w:hAnsi="Palatino Linotype" w:cs="Palatino Linotype"/>
          <w:sz w:val="22"/>
          <w:szCs w:val="22"/>
        </w:rPr>
        <w:t xml:space="preserve">; EN LA </w:t>
      </w:r>
      <w:r w:rsidR="00601967" w:rsidRPr="001D0667">
        <w:rPr>
          <w:rFonts w:ascii="Palatino Linotype" w:eastAsia="Palatino Linotype" w:hAnsi="Palatino Linotype" w:cs="Palatino Linotype"/>
          <w:sz w:val="22"/>
          <w:szCs w:val="22"/>
        </w:rPr>
        <w:t>NOVENA</w:t>
      </w:r>
      <w:r w:rsidR="00F92400" w:rsidRPr="001D0667">
        <w:rPr>
          <w:rFonts w:ascii="Palatino Linotype" w:eastAsia="Palatino Linotype" w:hAnsi="Palatino Linotype" w:cs="Palatino Linotype"/>
          <w:sz w:val="22"/>
          <w:szCs w:val="22"/>
        </w:rPr>
        <w:t xml:space="preserve"> SESIÓN</w:t>
      </w:r>
      <w:r w:rsidRPr="001D0667">
        <w:rPr>
          <w:rFonts w:ascii="Palatino Linotype" w:eastAsia="Palatino Linotype" w:hAnsi="Palatino Linotype" w:cs="Palatino Linotype"/>
          <w:sz w:val="22"/>
          <w:szCs w:val="22"/>
        </w:rPr>
        <w:t xml:space="preserve"> ORDINARIA CELEBRADA EL </w:t>
      </w:r>
      <w:r w:rsidR="00601967" w:rsidRPr="001D0667">
        <w:rPr>
          <w:rFonts w:ascii="Palatino Linotype" w:eastAsia="Palatino Linotype" w:hAnsi="Palatino Linotype" w:cs="Palatino Linotype"/>
          <w:sz w:val="22"/>
          <w:szCs w:val="22"/>
        </w:rPr>
        <w:t>DOCE</w:t>
      </w:r>
      <w:r w:rsidR="00F92400" w:rsidRPr="001D0667">
        <w:rPr>
          <w:rFonts w:ascii="Palatino Linotype" w:eastAsia="Palatino Linotype" w:hAnsi="Palatino Linotype" w:cs="Palatino Linotype"/>
          <w:sz w:val="22"/>
          <w:szCs w:val="22"/>
        </w:rPr>
        <w:t xml:space="preserve"> DE </w:t>
      </w:r>
      <w:r w:rsidR="00601967" w:rsidRPr="001D0667">
        <w:rPr>
          <w:rFonts w:ascii="Palatino Linotype" w:eastAsia="Palatino Linotype" w:hAnsi="Palatino Linotype" w:cs="Palatino Linotype"/>
          <w:sz w:val="22"/>
          <w:szCs w:val="22"/>
        </w:rPr>
        <w:t>MARZO</w:t>
      </w:r>
      <w:r w:rsidRPr="001D0667">
        <w:rPr>
          <w:rFonts w:ascii="Palatino Linotype" w:eastAsia="Palatino Linotype" w:hAnsi="Palatino Linotype" w:cs="Palatino Linotype"/>
          <w:sz w:val="22"/>
          <w:szCs w:val="22"/>
        </w:rPr>
        <w:t xml:space="preserve"> DEL DOS MIL VEINTICINCO, ANTE EL SECRETARIO TÉCNICO DEL PLENO ALEXIS TAPIA RAMÍREZ.</w:t>
      </w:r>
    </w:p>
    <w:p w14:paraId="4A106516" w14:textId="77777777" w:rsidR="005D0DF6" w:rsidRPr="001D0667" w:rsidRDefault="005D0DF6">
      <w:pPr>
        <w:spacing w:before="240" w:after="240" w:line="360" w:lineRule="auto"/>
        <w:jc w:val="both"/>
        <w:rPr>
          <w:rFonts w:ascii="Palatino Linotype" w:eastAsia="Palatino Linotype" w:hAnsi="Palatino Linotype" w:cs="Palatino Linotype"/>
          <w:sz w:val="22"/>
          <w:szCs w:val="22"/>
        </w:rPr>
      </w:pPr>
    </w:p>
    <w:p w14:paraId="7202E07F" w14:textId="77777777" w:rsidR="005D0DF6" w:rsidRPr="001D0667" w:rsidRDefault="005D0DF6">
      <w:pPr>
        <w:spacing w:before="240" w:after="240" w:line="360" w:lineRule="auto"/>
        <w:jc w:val="both"/>
        <w:rPr>
          <w:rFonts w:ascii="Palatino Linotype" w:eastAsia="Palatino Linotype" w:hAnsi="Palatino Linotype" w:cs="Palatino Linotype"/>
          <w:sz w:val="22"/>
          <w:szCs w:val="22"/>
        </w:rPr>
      </w:pPr>
    </w:p>
    <w:p w14:paraId="736B4A5D" w14:textId="77777777" w:rsidR="005D0DF6" w:rsidRPr="001D0667" w:rsidRDefault="005D0DF6">
      <w:pPr>
        <w:spacing w:before="240" w:after="240" w:line="360" w:lineRule="auto"/>
        <w:jc w:val="both"/>
        <w:rPr>
          <w:rFonts w:ascii="Palatino Linotype" w:eastAsia="Palatino Linotype" w:hAnsi="Palatino Linotype" w:cs="Palatino Linotype"/>
          <w:sz w:val="22"/>
          <w:szCs w:val="22"/>
        </w:rPr>
      </w:pPr>
    </w:p>
    <w:p w14:paraId="7610D714" w14:textId="77777777" w:rsidR="005D0DF6" w:rsidRPr="001D0667" w:rsidRDefault="005D0DF6">
      <w:pPr>
        <w:spacing w:before="240" w:after="240" w:line="360" w:lineRule="auto"/>
        <w:jc w:val="both"/>
        <w:rPr>
          <w:rFonts w:ascii="Palatino Linotype" w:eastAsia="Palatino Linotype" w:hAnsi="Palatino Linotype" w:cs="Palatino Linotype"/>
          <w:sz w:val="22"/>
          <w:szCs w:val="22"/>
        </w:rPr>
      </w:pPr>
    </w:p>
    <w:p w14:paraId="7F181FDC" w14:textId="77777777" w:rsidR="005D0DF6" w:rsidRPr="001D0667" w:rsidRDefault="005D0DF6">
      <w:pPr>
        <w:spacing w:before="240" w:after="240" w:line="360" w:lineRule="auto"/>
        <w:jc w:val="both"/>
        <w:rPr>
          <w:rFonts w:ascii="Palatino Linotype" w:eastAsia="Palatino Linotype" w:hAnsi="Palatino Linotype" w:cs="Palatino Linotype"/>
          <w:sz w:val="22"/>
          <w:szCs w:val="22"/>
        </w:rPr>
      </w:pPr>
    </w:p>
    <w:p w14:paraId="5B8B3607" w14:textId="77777777" w:rsidR="005D0DF6" w:rsidRPr="001D0667" w:rsidRDefault="005D0DF6">
      <w:pPr>
        <w:spacing w:before="240" w:after="240" w:line="360" w:lineRule="auto"/>
        <w:jc w:val="both"/>
        <w:rPr>
          <w:rFonts w:ascii="Palatino Linotype" w:eastAsia="Palatino Linotype" w:hAnsi="Palatino Linotype" w:cs="Palatino Linotype"/>
          <w:sz w:val="22"/>
          <w:szCs w:val="22"/>
        </w:rPr>
      </w:pPr>
    </w:p>
    <w:p w14:paraId="06A4952B" w14:textId="77777777" w:rsidR="005D0DF6" w:rsidRPr="001D0667" w:rsidRDefault="005D0DF6">
      <w:pPr>
        <w:spacing w:before="240" w:after="240" w:line="360" w:lineRule="auto"/>
        <w:jc w:val="both"/>
        <w:rPr>
          <w:rFonts w:ascii="Palatino Linotype" w:eastAsia="Palatino Linotype" w:hAnsi="Palatino Linotype" w:cs="Palatino Linotype"/>
          <w:sz w:val="22"/>
          <w:szCs w:val="22"/>
        </w:rPr>
      </w:pPr>
    </w:p>
    <w:p w14:paraId="72FB584D" w14:textId="77777777" w:rsidR="005D0DF6" w:rsidRPr="001D0667" w:rsidRDefault="005D0DF6">
      <w:pPr>
        <w:spacing w:before="240" w:after="240" w:line="360" w:lineRule="auto"/>
        <w:jc w:val="both"/>
        <w:rPr>
          <w:rFonts w:ascii="Palatino Linotype" w:eastAsia="Palatino Linotype" w:hAnsi="Palatino Linotype" w:cs="Palatino Linotype"/>
          <w:sz w:val="22"/>
          <w:szCs w:val="22"/>
        </w:rPr>
      </w:pPr>
    </w:p>
    <w:p w14:paraId="2F777F54" w14:textId="77777777" w:rsidR="005D0DF6" w:rsidRPr="001D0667" w:rsidRDefault="005D0DF6">
      <w:pPr>
        <w:spacing w:before="240" w:after="240" w:line="360" w:lineRule="auto"/>
        <w:jc w:val="both"/>
        <w:rPr>
          <w:rFonts w:ascii="Palatino Linotype" w:eastAsia="Palatino Linotype" w:hAnsi="Palatino Linotype" w:cs="Palatino Linotype"/>
          <w:sz w:val="22"/>
          <w:szCs w:val="22"/>
        </w:rPr>
      </w:pPr>
    </w:p>
    <w:p w14:paraId="165C8F03" w14:textId="77777777" w:rsidR="005D0DF6" w:rsidRPr="001D0667" w:rsidRDefault="005D0DF6">
      <w:pPr>
        <w:spacing w:before="240" w:after="240" w:line="360" w:lineRule="auto"/>
        <w:jc w:val="both"/>
        <w:rPr>
          <w:rFonts w:ascii="Palatino Linotype" w:eastAsia="Palatino Linotype" w:hAnsi="Palatino Linotype" w:cs="Palatino Linotype"/>
          <w:sz w:val="22"/>
          <w:szCs w:val="22"/>
        </w:rPr>
      </w:pPr>
    </w:p>
    <w:p w14:paraId="77E7233A" w14:textId="77777777" w:rsidR="005D0DF6" w:rsidRPr="001D0667" w:rsidRDefault="005D0DF6">
      <w:pPr>
        <w:spacing w:before="240" w:after="240" w:line="360" w:lineRule="auto"/>
        <w:jc w:val="both"/>
        <w:rPr>
          <w:rFonts w:ascii="Palatino Linotype" w:eastAsia="Palatino Linotype" w:hAnsi="Palatino Linotype" w:cs="Palatino Linotype"/>
          <w:sz w:val="22"/>
          <w:szCs w:val="22"/>
        </w:rPr>
      </w:pPr>
    </w:p>
    <w:p w14:paraId="793F70A9" w14:textId="77777777" w:rsidR="005D0DF6" w:rsidRPr="001D0667" w:rsidRDefault="005D0DF6">
      <w:pPr>
        <w:spacing w:before="240" w:after="240" w:line="360" w:lineRule="auto"/>
        <w:jc w:val="both"/>
        <w:rPr>
          <w:rFonts w:ascii="Palatino Linotype" w:eastAsia="Palatino Linotype" w:hAnsi="Palatino Linotype" w:cs="Palatino Linotype"/>
          <w:sz w:val="22"/>
          <w:szCs w:val="22"/>
        </w:rPr>
      </w:pPr>
    </w:p>
    <w:p w14:paraId="08AF0120" w14:textId="77777777" w:rsidR="007A0F20" w:rsidRPr="001D0667" w:rsidRDefault="007A0F20">
      <w:pPr>
        <w:spacing w:before="240" w:after="240" w:line="360" w:lineRule="auto"/>
        <w:jc w:val="both"/>
        <w:rPr>
          <w:rFonts w:ascii="Palatino Linotype" w:eastAsia="Palatino Linotype" w:hAnsi="Palatino Linotype" w:cs="Palatino Linotype"/>
          <w:sz w:val="22"/>
          <w:szCs w:val="22"/>
        </w:rPr>
      </w:pPr>
    </w:p>
    <w:p w14:paraId="3CCAE65E" w14:textId="77777777" w:rsidR="007A0F20" w:rsidRPr="001D0667" w:rsidRDefault="007A0F20">
      <w:pPr>
        <w:spacing w:before="240" w:after="240" w:line="360" w:lineRule="auto"/>
        <w:jc w:val="both"/>
        <w:rPr>
          <w:rFonts w:ascii="Palatino Linotype" w:eastAsia="Palatino Linotype" w:hAnsi="Palatino Linotype" w:cs="Palatino Linotype"/>
          <w:sz w:val="22"/>
          <w:szCs w:val="22"/>
        </w:rPr>
      </w:pPr>
    </w:p>
    <w:p w14:paraId="4EF47166" w14:textId="77777777" w:rsidR="007A0F20" w:rsidRPr="001D0667" w:rsidRDefault="007A0F20">
      <w:pPr>
        <w:spacing w:before="240" w:after="240" w:line="360" w:lineRule="auto"/>
        <w:jc w:val="both"/>
        <w:rPr>
          <w:rFonts w:ascii="Palatino Linotype" w:eastAsia="Palatino Linotype" w:hAnsi="Palatino Linotype" w:cs="Palatino Linotype"/>
          <w:sz w:val="22"/>
          <w:szCs w:val="22"/>
        </w:rPr>
      </w:pPr>
    </w:p>
    <w:p w14:paraId="12AF3A50" w14:textId="77777777" w:rsidR="007A0F20" w:rsidRPr="001D0667" w:rsidRDefault="007A0F20">
      <w:pPr>
        <w:spacing w:before="240" w:after="240" w:line="360" w:lineRule="auto"/>
        <w:jc w:val="both"/>
        <w:rPr>
          <w:rFonts w:ascii="Palatino Linotype" w:eastAsia="Palatino Linotype" w:hAnsi="Palatino Linotype" w:cs="Palatino Linotype"/>
          <w:sz w:val="22"/>
          <w:szCs w:val="22"/>
        </w:rPr>
      </w:pPr>
    </w:p>
    <w:sectPr w:rsidR="007A0F20" w:rsidRPr="001D0667">
      <w:headerReference w:type="default" r:id="rId16"/>
      <w:footerReference w:type="default" r:id="rId17"/>
      <w:headerReference w:type="first" r:id="rId18"/>
      <w:footerReference w:type="first" r:id="rId19"/>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D2DBA" w14:textId="77777777" w:rsidR="005E237E" w:rsidRDefault="005E237E">
      <w:r>
        <w:separator/>
      </w:r>
    </w:p>
  </w:endnote>
  <w:endnote w:type="continuationSeparator" w:id="0">
    <w:p w14:paraId="04A8F081" w14:textId="77777777" w:rsidR="005E237E" w:rsidRDefault="005E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8CFC" w14:textId="77777777" w:rsidR="00774DED" w:rsidRDefault="00774DE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548EE">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548EE">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25178B4C" w14:textId="77777777" w:rsidR="00774DED" w:rsidRDefault="00774DE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A4CA" w14:textId="77777777" w:rsidR="00774DED" w:rsidRDefault="00774DE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548E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548EE">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7B728D14" w14:textId="77777777" w:rsidR="00774DED" w:rsidRDefault="00774DE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1825" w14:textId="77777777" w:rsidR="005E237E" w:rsidRDefault="005E237E">
      <w:r>
        <w:separator/>
      </w:r>
    </w:p>
  </w:footnote>
  <w:footnote w:type="continuationSeparator" w:id="0">
    <w:p w14:paraId="29C4568C" w14:textId="77777777" w:rsidR="005E237E" w:rsidRDefault="005E2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344F" w14:textId="77777777" w:rsidR="00774DED" w:rsidRDefault="00774DED">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342144E1" wp14:editId="7B5C34B7">
          <wp:simplePos x="0" y="0"/>
          <wp:positionH relativeFrom="column">
            <wp:posOffset>-1080131</wp:posOffset>
          </wp:positionH>
          <wp:positionV relativeFrom="paragraph">
            <wp:posOffset>-488311</wp:posOffset>
          </wp:positionV>
          <wp:extent cx="7809865" cy="10165715"/>
          <wp:effectExtent l="0" t="0" r="0" b="0"/>
          <wp:wrapNone/>
          <wp:docPr id="7702015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5953" w:type="dxa"/>
      <w:tblInd w:w="3261" w:type="dxa"/>
      <w:tblLayout w:type="fixed"/>
      <w:tblLook w:val="0400" w:firstRow="0" w:lastRow="0" w:firstColumn="0" w:lastColumn="0" w:noHBand="0" w:noVBand="1"/>
    </w:tblPr>
    <w:tblGrid>
      <w:gridCol w:w="2489"/>
      <w:gridCol w:w="3464"/>
    </w:tblGrid>
    <w:tr w:rsidR="00774DED" w14:paraId="27D8ED67" w14:textId="77777777">
      <w:tc>
        <w:tcPr>
          <w:tcW w:w="2489" w:type="dxa"/>
          <w:shd w:val="clear" w:color="auto" w:fill="auto"/>
        </w:tcPr>
        <w:p w14:paraId="7F945A2A" w14:textId="77777777" w:rsidR="00774DED" w:rsidRDefault="00774D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954088C" w14:textId="3EABAF72" w:rsidR="00774DED" w:rsidRDefault="00774DE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00899/INFOEM/IP/RR/2025</w:t>
          </w:r>
        </w:p>
      </w:tc>
    </w:tr>
    <w:tr w:rsidR="00774DED" w14:paraId="2A67D0C9" w14:textId="77777777">
      <w:trPr>
        <w:trHeight w:val="228"/>
      </w:trPr>
      <w:tc>
        <w:tcPr>
          <w:tcW w:w="2489" w:type="dxa"/>
          <w:shd w:val="clear" w:color="auto" w:fill="auto"/>
          <w:vAlign w:val="center"/>
        </w:tcPr>
        <w:p w14:paraId="48185CB6" w14:textId="77777777" w:rsidR="00774DED" w:rsidRDefault="00774D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9A99937" w14:textId="1C19F1EA" w:rsidR="00774DED" w:rsidRDefault="00774DED">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Fiscalía General de Justicia del Estado de México</w:t>
          </w:r>
        </w:p>
      </w:tc>
    </w:tr>
    <w:tr w:rsidR="00774DED" w14:paraId="21640D1B" w14:textId="77777777">
      <w:tc>
        <w:tcPr>
          <w:tcW w:w="2489" w:type="dxa"/>
          <w:shd w:val="clear" w:color="auto" w:fill="auto"/>
          <w:vAlign w:val="center"/>
        </w:tcPr>
        <w:p w14:paraId="6BC187E2" w14:textId="77777777" w:rsidR="00774DED" w:rsidRDefault="00774DE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A86D346" w14:textId="77777777" w:rsidR="00774DED" w:rsidRDefault="00774DE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6579536" w14:textId="77777777" w:rsidR="00774DED" w:rsidRDefault="00774DED">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CE79" w14:textId="77777777" w:rsidR="00774DED" w:rsidRDefault="00774DE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p>
  <w:tbl>
    <w:tblPr>
      <w:tblStyle w:val="a6"/>
      <w:tblW w:w="5670" w:type="dxa"/>
      <w:tblInd w:w="3261" w:type="dxa"/>
      <w:tblLayout w:type="fixed"/>
      <w:tblLook w:val="0400" w:firstRow="0" w:lastRow="0" w:firstColumn="0" w:lastColumn="0" w:noHBand="0" w:noVBand="1"/>
    </w:tblPr>
    <w:tblGrid>
      <w:gridCol w:w="2551"/>
      <w:gridCol w:w="3119"/>
    </w:tblGrid>
    <w:tr w:rsidR="00774DED" w14:paraId="2CFE804C" w14:textId="77777777">
      <w:tc>
        <w:tcPr>
          <w:tcW w:w="2551" w:type="dxa"/>
          <w:shd w:val="clear" w:color="auto" w:fill="auto"/>
          <w:vAlign w:val="center"/>
        </w:tcPr>
        <w:p w14:paraId="2B4FD2FF" w14:textId="77777777" w:rsidR="00774DED" w:rsidRDefault="00774D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305E4EB7" w14:textId="73C00B0D" w:rsidR="00774DED" w:rsidRDefault="00774DED" w:rsidP="006C446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00899/INFOEM/IP/RR/2025</w:t>
          </w:r>
        </w:p>
      </w:tc>
    </w:tr>
    <w:tr w:rsidR="00774DED" w14:paraId="7F5F2D5D" w14:textId="77777777">
      <w:trPr>
        <w:trHeight w:val="130"/>
      </w:trPr>
      <w:tc>
        <w:tcPr>
          <w:tcW w:w="2551" w:type="dxa"/>
          <w:shd w:val="clear" w:color="auto" w:fill="auto"/>
          <w:vAlign w:val="center"/>
        </w:tcPr>
        <w:p w14:paraId="3A8CB7D4" w14:textId="77777777" w:rsidR="00774DED" w:rsidRDefault="00774D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43752026" w14:textId="2C6D7B58" w:rsidR="00774DED" w:rsidRDefault="00774DED">
          <w:pPr>
            <w:tabs>
              <w:tab w:val="left" w:pos="3153"/>
            </w:tabs>
            <w:ind w:left="-45"/>
            <w:jc w:val="both"/>
            <w:rPr>
              <w:rFonts w:ascii="Palatino Linotype" w:eastAsia="Palatino Linotype" w:hAnsi="Palatino Linotype" w:cs="Palatino Linotype"/>
              <w:b/>
              <w:sz w:val="22"/>
              <w:szCs w:val="22"/>
            </w:rPr>
          </w:pPr>
          <w:r>
            <w:rPr>
              <w:noProof/>
              <w:lang w:val="es-MX"/>
            </w:rPr>
            <w:drawing>
              <wp:anchor distT="0" distB="0" distL="0" distR="0" simplePos="0" relativeHeight="251659264" behindDoc="1" locked="0" layoutInCell="1" hidden="0" allowOverlap="1" wp14:anchorId="1B5F4D8A" wp14:editId="322E60C1">
                <wp:simplePos x="0" y="0"/>
                <wp:positionH relativeFrom="column">
                  <wp:posOffset>-4425313</wp:posOffset>
                </wp:positionH>
                <wp:positionV relativeFrom="paragraph">
                  <wp:posOffset>-361948</wp:posOffset>
                </wp:positionV>
                <wp:extent cx="7809865" cy="10165715"/>
                <wp:effectExtent l="0" t="0" r="0" b="0"/>
                <wp:wrapNone/>
                <wp:docPr id="7702015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bookmarkStart w:id="4" w:name="_Hlk194403717"/>
          <w:r w:rsidR="006A3045">
            <w:rPr>
              <w:rFonts w:ascii="Palatino Linotype" w:eastAsia="Palatino Linotype" w:hAnsi="Palatino Linotype" w:cs="Palatino Linotype"/>
              <w:b/>
              <w:sz w:val="22"/>
              <w:szCs w:val="22"/>
            </w:rPr>
            <w:t xml:space="preserve">XXXXXXX XXXXXX XXXXX </w:t>
          </w:r>
          <w:bookmarkEnd w:id="4"/>
        </w:p>
      </w:tc>
    </w:tr>
    <w:tr w:rsidR="00774DED" w14:paraId="2DFF125C" w14:textId="77777777">
      <w:trPr>
        <w:trHeight w:val="228"/>
      </w:trPr>
      <w:tc>
        <w:tcPr>
          <w:tcW w:w="2551" w:type="dxa"/>
          <w:shd w:val="clear" w:color="auto" w:fill="auto"/>
          <w:vAlign w:val="center"/>
        </w:tcPr>
        <w:p w14:paraId="015C47A5" w14:textId="77777777" w:rsidR="00774DED" w:rsidRDefault="00774D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4C3525FC" w14:textId="61FA22E7" w:rsidR="00774DED" w:rsidRDefault="00774DED">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Fiscalía General de Justicia del Estado de México</w:t>
          </w:r>
        </w:p>
      </w:tc>
    </w:tr>
    <w:tr w:rsidR="00774DED" w14:paraId="15E0BF8E" w14:textId="77777777">
      <w:tc>
        <w:tcPr>
          <w:tcW w:w="2551" w:type="dxa"/>
          <w:shd w:val="clear" w:color="auto" w:fill="auto"/>
          <w:vAlign w:val="center"/>
        </w:tcPr>
        <w:p w14:paraId="2D70223F" w14:textId="77777777" w:rsidR="00774DED" w:rsidRDefault="00774DE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1DEA806" w14:textId="77777777" w:rsidR="00774DED" w:rsidRDefault="00774DED">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A21681A" w14:textId="77777777" w:rsidR="00774DED" w:rsidRDefault="00774DED">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9DB"/>
    <w:multiLevelType w:val="hybridMultilevel"/>
    <w:tmpl w:val="F3F82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DA0424"/>
    <w:multiLevelType w:val="multilevel"/>
    <w:tmpl w:val="25E89F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64A4233"/>
    <w:multiLevelType w:val="hybridMultilevel"/>
    <w:tmpl w:val="8AA43B6C"/>
    <w:lvl w:ilvl="0" w:tplc="688678A4">
      <w:start w:val="1"/>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8733BA9"/>
    <w:multiLevelType w:val="hybridMultilevel"/>
    <w:tmpl w:val="242C2E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097E7A"/>
    <w:multiLevelType w:val="multilevel"/>
    <w:tmpl w:val="A7DAC8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756703"/>
    <w:multiLevelType w:val="multilevel"/>
    <w:tmpl w:val="65584D2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4003B5"/>
    <w:multiLevelType w:val="multilevel"/>
    <w:tmpl w:val="D57A2334"/>
    <w:lvl w:ilvl="0">
      <w:start w:val="1"/>
      <w:numFmt w:val="bullet"/>
      <w:pStyle w:val="Listaconvietas3"/>
      <w:lvlText w:val="●"/>
      <w:lvlJc w:val="left"/>
      <w:pPr>
        <w:ind w:left="720" w:hanging="360"/>
      </w:pPr>
      <w:rPr>
        <w:rFonts w:ascii="Noto Sans Symbols" w:eastAsia="Noto Sans Symbols" w:hAnsi="Noto Sans Symbols" w:cs="Noto Sans Symbols"/>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6B0C00"/>
    <w:multiLevelType w:val="hybridMultilevel"/>
    <w:tmpl w:val="60DEAE7E"/>
    <w:lvl w:ilvl="0" w:tplc="BA4A5668">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E92EDD"/>
    <w:multiLevelType w:val="multilevel"/>
    <w:tmpl w:val="0BB22A9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6F72B10"/>
    <w:multiLevelType w:val="multilevel"/>
    <w:tmpl w:val="9D9013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D035D2"/>
    <w:multiLevelType w:val="hybridMultilevel"/>
    <w:tmpl w:val="D75090EE"/>
    <w:lvl w:ilvl="0" w:tplc="E6947E0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55C22C44"/>
    <w:multiLevelType w:val="hybridMultilevel"/>
    <w:tmpl w:val="C824968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6C5432A0"/>
    <w:multiLevelType w:val="hybridMultilevel"/>
    <w:tmpl w:val="CEA664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CAF3689"/>
    <w:multiLevelType w:val="hybridMultilevel"/>
    <w:tmpl w:val="C2781E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71341EC4"/>
    <w:multiLevelType w:val="multilevel"/>
    <w:tmpl w:val="F2B81F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4135AB7"/>
    <w:multiLevelType w:val="hybridMultilevel"/>
    <w:tmpl w:val="DCF67226"/>
    <w:lvl w:ilvl="0" w:tplc="BA4A5668">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50E6F40"/>
    <w:multiLevelType w:val="multilevel"/>
    <w:tmpl w:val="8EB2A9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6"/>
  </w:num>
  <w:num w:numId="2">
    <w:abstractNumId w:val="5"/>
  </w:num>
  <w:num w:numId="3">
    <w:abstractNumId w:val="4"/>
  </w:num>
  <w:num w:numId="4">
    <w:abstractNumId w:val="9"/>
  </w:num>
  <w:num w:numId="5">
    <w:abstractNumId w:val="2"/>
  </w:num>
  <w:num w:numId="6">
    <w:abstractNumId w:val="7"/>
  </w:num>
  <w:num w:numId="7">
    <w:abstractNumId w:val="15"/>
  </w:num>
  <w:num w:numId="8">
    <w:abstractNumId w:val="10"/>
  </w:num>
  <w:num w:numId="9">
    <w:abstractNumId w:val="13"/>
  </w:num>
  <w:num w:numId="10">
    <w:abstractNumId w:val="11"/>
  </w:num>
  <w:num w:numId="11">
    <w:abstractNumId w:val="14"/>
  </w:num>
  <w:num w:numId="12">
    <w:abstractNumId w:val="1"/>
  </w:num>
  <w:num w:numId="13">
    <w:abstractNumId w:val="16"/>
  </w:num>
  <w:num w:numId="14">
    <w:abstractNumId w:val="8"/>
  </w:num>
  <w:num w:numId="15">
    <w:abstractNumId w:val="3"/>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20"/>
    <w:rsid w:val="000A6453"/>
    <w:rsid w:val="000E2308"/>
    <w:rsid w:val="001916BF"/>
    <w:rsid w:val="00194733"/>
    <w:rsid w:val="001B18C4"/>
    <w:rsid w:val="001D0667"/>
    <w:rsid w:val="001E5391"/>
    <w:rsid w:val="002214A6"/>
    <w:rsid w:val="00232431"/>
    <w:rsid w:val="00285500"/>
    <w:rsid w:val="00296D61"/>
    <w:rsid w:val="002C56E3"/>
    <w:rsid w:val="00305619"/>
    <w:rsid w:val="00355068"/>
    <w:rsid w:val="0039023B"/>
    <w:rsid w:val="00392CA6"/>
    <w:rsid w:val="003C28F9"/>
    <w:rsid w:val="003E4BE5"/>
    <w:rsid w:val="003E6174"/>
    <w:rsid w:val="003F04D2"/>
    <w:rsid w:val="00441B40"/>
    <w:rsid w:val="0047789B"/>
    <w:rsid w:val="0049719E"/>
    <w:rsid w:val="004C6BC5"/>
    <w:rsid w:val="004C6F20"/>
    <w:rsid w:val="004F2538"/>
    <w:rsid w:val="00532821"/>
    <w:rsid w:val="00562FAB"/>
    <w:rsid w:val="00584FB0"/>
    <w:rsid w:val="00587A29"/>
    <w:rsid w:val="005968B0"/>
    <w:rsid w:val="005B26F6"/>
    <w:rsid w:val="005B4BE1"/>
    <w:rsid w:val="005B7F81"/>
    <w:rsid w:val="005D0DF6"/>
    <w:rsid w:val="005E237E"/>
    <w:rsid w:val="005F6929"/>
    <w:rsid w:val="00601967"/>
    <w:rsid w:val="006262B0"/>
    <w:rsid w:val="00676B1C"/>
    <w:rsid w:val="00686A1D"/>
    <w:rsid w:val="006A3045"/>
    <w:rsid w:val="006C1909"/>
    <w:rsid w:val="006C4467"/>
    <w:rsid w:val="00740ECC"/>
    <w:rsid w:val="00774DED"/>
    <w:rsid w:val="007A0F20"/>
    <w:rsid w:val="007B6C66"/>
    <w:rsid w:val="007E0BC8"/>
    <w:rsid w:val="008039D0"/>
    <w:rsid w:val="00836849"/>
    <w:rsid w:val="00837550"/>
    <w:rsid w:val="008662C5"/>
    <w:rsid w:val="008A128A"/>
    <w:rsid w:val="008C4539"/>
    <w:rsid w:val="008D0A5E"/>
    <w:rsid w:val="00951453"/>
    <w:rsid w:val="00966ACC"/>
    <w:rsid w:val="009A412A"/>
    <w:rsid w:val="009B4CD0"/>
    <w:rsid w:val="009C3515"/>
    <w:rsid w:val="009F465E"/>
    <w:rsid w:val="00A108DB"/>
    <w:rsid w:val="00A548EE"/>
    <w:rsid w:val="00A83630"/>
    <w:rsid w:val="00A8540D"/>
    <w:rsid w:val="00A94F46"/>
    <w:rsid w:val="00AD0BF0"/>
    <w:rsid w:val="00AE1081"/>
    <w:rsid w:val="00AE56F1"/>
    <w:rsid w:val="00B44C8A"/>
    <w:rsid w:val="00B6337B"/>
    <w:rsid w:val="00BE1A1C"/>
    <w:rsid w:val="00BE52E8"/>
    <w:rsid w:val="00C36BC7"/>
    <w:rsid w:val="00C45327"/>
    <w:rsid w:val="00C80A7F"/>
    <w:rsid w:val="00CE615F"/>
    <w:rsid w:val="00CE6C0D"/>
    <w:rsid w:val="00CF61B4"/>
    <w:rsid w:val="00D259BD"/>
    <w:rsid w:val="00D405FE"/>
    <w:rsid w:val="00DA0B19"/>
    <w:rsid w:val="00DF488B"/>
    <w:rsid w:val="00DF5BD5"/>
    <w:rsid w:val="00E01BD4"/>
    <w:rsid w:val="00E12435"/>
    <w:rsid w:val="00E21823"/>
    <w:rsid w:val="00E23724"/>
    <w:rsid w:val="00E24478"/>
    <w:rsid w:val="00E44B2F"/>
    <w:rsid w:val="00E75D7A"/>
    <w:rsid w:val="00EB583C"/>
    <w:rsid w:val="00EC13CA"/>
    <w:rsid w:val="00EC632B"/>
    <w:rsid w:val="00ED0B6F"/>
    <w:rsid w:val="00ED1BC7"/>
    <w:rsid w:val="00F81292"/>
    <w:rsid w:val="00F92400"/>
    <w:rsid w:val="00FA5C88"/>
    <w:rsid w:val="00FB5430"/>
    <w:rsid w:val="00FD3805"/>
    <w:rsid w:val="00FF7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C864"/>
  <w15:docId w15:val="{ECDA7002-BA3C-4093-92AB-B676C11C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305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04570">
      <w:bodyDiv w:val="1"/>
      <w:marLeft w:val="0"/>
      <w:marRight w:val="0"/>
      <w:marTop w:val="0"/>
      <w:marBottom w:val="0"/>
      <w:divBdr>
        <w:top w:val="none" w:sz="0" w:space="0" w:color="auto"/>
        <w:left w:val="none" w:sz="0" w:space="0" w:color="auto"/>
        <w:bottom w:val="none" w:sz="0" w:space="0" w:color="auto"/>
        <w:right w:val="none" w:sz="0" w:space="0" w:color="auto"/>
      </w:divBdr>
    </w:div>
    <w:div w:id="689336197">
      <w:bodyDiv w:val="1"/>
      <w:marLeft w:val="0"/>
      <w:marRight w:val="0"/>
      <w:marTop w:val="0"/>
      <w:marBottom w:val="0"/>
      <w:divBdr>
        <w:top w:val="none" w:sz="0" w:space="0" w:color="auto"/>
        <w:left w:val="none" w:sz="0" w:space="0" w:color="auto"/>
        <w:bottom w:val="none" w:sz="0" w:space="0" w:color="auto"/>
        <w:right w:val="none" w:sz="0" w:space="0" w:color="auto"/>
      </w:divBdr>
    </w:div>
    <w:div w:id="736167203">
      <w:bodyDiv w:val="1"/>
      <w:marLeft w:val="0"/>
      <w:marRight w:val="0"/>
      <w:marTop w:val="0"/>
      <w:marBottom w:val="0"/>
      <w:divBdr>
        <w:top w:val="none" w:sz="0" w:space="0" w:color="auto"/>
        <w:left w:val="none" w:sz="0" w:space="0" w:color="auto"/>
        <w:bottom w:val="none" w:sz="0" w:space="0" w:color="auto"/>
        <w:right w:val="none" w:sz="0" w:space="0" w:color="auto"/>
      </w:divBdr>
    </w:div>
    <w:div w:id="738941686">
      <w:bodyDiv w:val="1"/>
      <w:marLeft w:val="0"/>
      <w:marRight w:val="0"/>
      <w:marTop w:val="0"/>
      <w:marBottom w:val="0"/>
      <w:divBdr>
        <w:top w:val="none" w:sz="0" w:space="0" w:color="auto"/>
        <w:left w:val="none" w:sz="0" w:space="0" w:color="auto"/>
        <w:bottom w:val="none" w:sz="0" w:space="0" w:color="auto"/>
        <w:right w:val="none" w:sz="0" w:space="0" w:color="auto"/>
      </w:divBdr>
    </w:div>
    <w:div w:id="765538585">
      <w:bodyDiv w:val="1"/>
      <w:marLeft w:val="0"/>
      <w:marRight w:val="0"/>
      <w:marTop w:val="0"/>
      <w:marBottom w:val="0"/>
      <w:divBdr>
        <w:top w:val="none" w:sz="0" w:space="0" w:color="auto"/>
        <w:left w:val="none" w:sz="0" w:space="0" w:color="auto"/>
        <w:bottom w:val="none" w:sz="0" w:space="0" w:color="auto"/>
        <w:right w:val="none" w:sz="0" w:space="0" w:color="auto"/>
      </w:divBdr>
    </w:div>
    <w:div w:id="880555630">
      <w:bodyDiv w:val="1"/>
      <w:marLeft w:val="0"/>
      <w:marRight w:val="0"/>
      <w:marTop w:val="0"/>
      <w:marBottom w:val="0"/>
      <w:divBdr>
        <w:top w:val="none" w:sz="0" w:space="0" w:color="auto"/>
        <w:left w:val="none" w:sz="0" w:space="0" w:color="auto"/>
        <w:bottom w:val="none" w:sz="0" w:space="0" w:color="auto"/>
        <w:right w:val="none" w:sz="0" w:space="0" w:color="auto"/>
      </w:divBdr>
    </w:div>
    <w:div w:id="891116689">
      <w:bodyDiv w:val="1"/>
      <w:marLeft w:val="0"/>
      <w:marRight w:val="0"/>
      <w:marTop w:val="0"/>
      <w:marBottom w:val="0"/>
      <w:divBdr>
        <w:top w:val="none" w:sz="0" w:space="0" w:color="auto"/>
        <w:left w:val="none" w:sz="0" w:space="0" w:color="auto"/>
        <w:bottom w:val="none" w:sz="0" w:space="0" w:color="auto"/>
        <w:right w:val="none" w:sz="0" w:space="0" w:color="auto"/>
      </w:divBdr>
    </w:div>
    <w:div w:id="971403413">
      <w:bodyDiv w:val="1"/>
      <w:marLeft w:val="0"/>
      <w:marRight w:val="0"/>
      <w:marTop w:val="0"/>
      <w:marBottom w:val="0"/>
      <w:divBdr>
        <w:top w:val="none" w:sz="0" w:space="0" w:color="auto"/>
        <w:left w:val="none" w:sz="0" w:space="0" w:color="auto"/>
        <w:bottom w:val="none" w:sz="0" w:space="0" w:color="auto"/>
        <w:right w:val="none" w:sz="0" w:space="0" w:color="auto"/>
      </w:divBdr>
    </w:div>
    <w:div w:id="1049914656">
      <w:bodyDiv w:val="1"/>
      <w:marLeft w:val="0"/>
      <w:marRight w:val="0"/>
      <w:marTop w:val="0"/>
      <w:marBottom w:val="0"/>
      <w:divBdr>
        <w:top w:val="none" w:sz="0" w:space="0" w:color="auto"/>
        <w:left w:val="none" w:sz="0" w:space="0" w:color="auto"/>
        <w:bottom w:val="none" w:sz="0" w:space="0" w:color="auto"/>
        <w:right w:val="none" w:sz="0" w:space="0" w:color="auto"/>
      </w:divBdr>
    </w:div>
    <w:div w:id="1166285879">
      <w:bodyDiv w:val="1"/>
      <w:marLeft w:val="0"/>
      <w:marRight w:val="0"/>
      <w:marTop w:val="0"/>
      <w:marBottom w:val="0"/>
      <w:divBdr>
        <w:top w:val="none" w:sz="0" w:space="0" w:color="auto"/>
        <w:left w:val="none" w:sz="0" w:space="0" w:color="auto"/>
        <w:bottom w:val="none" w:sz="0" w:space="0" w:color="auto"/>
        <w:right w:val="none" w:sz="0" w:space="0" w:color="auto"/>
      </w:divBdr>
    </w:div>
    <w:div w:id="1233849657">
      <w:bodyDiv w:val="1"/>
      <w:marLeft w:val="0"/>
      <w:marRight w:val="0"/>
      <w:marTop w:val="0"/>
      <w:marBottom w:val="0"/>
      <w:divBdr>
        <w:top w:val="none" w:sz="0" w:space="0" w:color="auto"/>
        <w:left w:val="none" w:sz="0" w:space="0" w:color="auto"/>
        <w:bottom w:val="none" w:sz="0" w:space="0" w:color="auto"/>
        <w:right w:val="none" w:sz="0" w:space="0" w:color="auto"/>
      </w:divBdr>
    </w:div>
    <w:div w:id="1354069860">
      <w:bodyDiv w:val="1"/>
      <w:marLeft w:val="0"/>
      <w:marRight w:val="0"/>
      <w:marTop w:val="0"/>
      <w:marBottom w:val="0"/>
      <w:divBdr>
        <w:top w:val="none" w:sz="0" w:space="0" w:color="auto"/>
        <w:left w:val="none" w:sz="0" w:space="0" w:color="auto"/>
        <w:bottom w:val="none" w:sz="0" w:space="0" w:color="auto"/>
        <w:right w:val="none" w:sz="0" w:space="0" w:color="auto"/>
      </w:divBdr>
    </w:div>
    <w:div w:id="1356541899">
      <w:bodyDiv w:val="1"/>
      <w:marLeft w:val="0"/>
      <w:marRight w:val="0"/>
      <w:marTop w:val="0"/>
      <w:marBottom w:val="0"/>
      <w:divBdr>
        <w:top w:val="none" w:sz="0" w:space="0" w:color="auto"/>
        <w:left w:val="none" w:sz="0" w:space="0" w:color="auto"/>
        <w:bottom w:val="none" w:sz="0" w:space="0" w:color="auto"/>
        <w:right w:val="none" w:sz="0" w:space="0" w:color="auto"/>
      </w:divBdr>
    </w:div>
    <w:div w:id="1658000745">
      <w:bodyDiv w:val="1"/>
      <w:marLeft w:val="0"/>
      <w:marRight w:val="0"/>
      <w:marTop w:val="0"/>
      <w:marBottom w:val="0"/>
      <w:divBdr>
        <w:top w:val="none" w:sz="0" w:space="0" w:color="auto"/>
        <w:left w:val="none" w:sz="0" w:space="0" w:color="auto"/>
        <w:bottom w:val="none" w:sz="0" w:space="0" w:color="auto"/>
        <w:right w:val="none" w:sz="0" w:space="0" w:color="auto"/>
      </w:divBdr>
    </w:div>
    <w:div w:id="1828594786">
      <w:bodyDiv w:val="1"/>
      <w:marLeft w:val="0"/>
      <w:marRight w:val="0"/>
      <w:marTop w:val="0"/>
      <w:marBottom w:val="0"/>
      <w:divBdr>
        <w:top w:val="none" w:sz="0" w:space="0" w:color="auto"/>
        <w:left w:val="none" w:sz="0" w:space="0" w:color="auto"/>
        <w:bottom w:val="none" w:sz="0" w:space="0" w:color="auto"/>
        <w:right w:val="none" w:sz="0" w:space="0" w:color="auto"/>
      </w:divBdr>
    </w:div>
    <w:div w:id="207153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87.190.53.177:5588/sis/transparencia/sgc/Unidad_de_Tranparencia/Articulo_92/Fraccion_II_B_Organigrama/175109_ORGANIGRAMA.pdf"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pomex.org.mx/ipo3/lgt/indice/FGJEM/art_92_ii_b.web?token=03AFcWeA4ZIVyqXrAQBsOnNxfdZ98UXq485BzeGMaClw-tIu0t3GLMI0yzUUfAMUWzhOk8tyRTtwoimzaRrPKOMeeJkyPoZLvVQgJjDhnb16LC6S9oEZK8WDd8dCMvjSYqy3AihHAgsWTEDHZckSgY6b0ORBVlHPxLM1f91uYCxoy4qrsC0BfDbg6iwpXP7Fd6eTjvWbZCIZV-Xm6s1mxnZl3_7A8Ce1XUSmbrxd-2uelypOvG81dGcdtunHUPk1uU773UHzO1TeYnSspUbAbwXAgN9eSyou_VukNpRwG0BND02Q2L8DANCoU2qvZojTlPmaiVGuM_52kficdf_Z0Q7RWOF8cNNjcwSJn_c3Q6OsLt4xggNrbWMUsi6Glj9cu6MXFhZO_F6_n0Jiuhel_7ktOePTzXdSOqqGLXr_l8OFi_OqS24xnwBZY0CVwuo9BYz0XCbD3G4-W6OCD0gzH6StBZCNSl9bWSLogPwtUUHmBi_uTqNcN1_KTAqwrBKmnIKoPeAv2cFXUXc-W2i_x_bdzzxpq0wVVYIo3uxy1gFRkpquddMfySig4-auzAFTx5q7X3vq1RwC8f6lTYjCc4VZfnePJWthdGh88HqGuo297iy6jPELT1Br7cyzrKoC608P4fXQPWIif3I72S6osQSlWhSFPQ3vMCUDyhVTxpAr4RplHiciKF8L_Inr6NoEvBzS-5PAOoBtxcYBsGHe_iZIaUAiwdUo1XGaAEYgKU0fuF2eZ5kmfhHsUbh8C21Gc1DL_oi6bdlLm1bLZ8tOfqfXACL_SRaZJFSYyIQsL3Cy7T5wWtER12jw_NBH_g4-0K5K5LQUUQjlQhqDuHePamleQcnnsLUpr9hIPcuo0ePeFHHcNUqg9GEXjB02f8pI1hAoy8UvVNRG9YfZTSB-1-8kd8ePKKqTIX1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omex.org.mx/ipo3/lgt/indice/FGJEM/organigramas.web?token=03AFcWeA6gtoD0oMaZstdw4p-8e7E0rw4-wKAAM9owh2Wk_o655sCowaCq3MtX9kWXvfJFcLtqqpGZ-6OULrW1xRDk-Rt0eQTW0liU99ff6wdgfUbA-7W_OdbjuIL4Ta3hVxPoWFEWf9Wgn4lDO49JEe-8fce5_nBWieHrtQVUF_KLCh2oFfaCziMNYUfOF_aETD15yf-fHk7LmD88Z_uEigRRf6NnB-PbPEeJt2TSqOPqTZ7MmpxHoaqyy8cmKalfqBln_o8k6VDL5eBkqRrnyKyNHTDH-RuIIB_yEWEELTU8tK5ySLP_2cGZD5bwutQElgDh1eispmnmRDZKwTPnLkHfi4hgHNwdxaOT2pizfwpjXKyoLC48elaJCtpYSk2WBaG8LQfmQid8Y9CXtnVP7JoYDs2xp_DR5R2JnBaMMa56nYvYBw8PygSsIRY2VCT-s99uJUTTc5nBf4UfafHv-813ufW5R9oejVy_TFf0vOTwdQMTZlkboLbLmjanTjjN9NGL4zLqVTOJQxTEd1lb38B1F0zSQAOfY4nqb56QVpaNWaJglxZ17PS-zk5o16rvBGULaJUgYGK_-rAYmj0zHw1YRECcXMrPwspDvwv3v6W75VetvuVsx2xVidLIXjAbHqABTtvCjyZQA9FkMshialcX4oyT4a0ZAeeQ4qdBUJCYbt1DI4Y_8DukfFAURIpnXPzwxu24B55PTpU6l_aXRxX6NBU1Ifa8i5ohktlqssgk9bpkVwCqS5_fBAPhFbbXf8zlTjxBbmFJpJp6UEoqNTts5Sfo9wxecnW-eTFcASGClNCNoRcO1GI0Sn9r2750JkxMQwBkmzPpTIxJ0i8DtqrvKm-JNfF9MD5iywkOVwBO5Rpb8PHTSE7kzsH1sXz2shHEzZ-mTiJLvqQW7jZdN_bSLE2LuILrIg"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187.190.53.177:5588/sis/transparencia/sgc/Unidad_de_Tranparencia/Articulo_92/Fraccion_II_B_Organigrama/175109_ORGANIGRAMA.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gi.edomex.gob.mx/sites/dgi.edomex.gob.mx/files/organigramas/pdf/22891512618261.pdf"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vKRmvSi2i/8MG/yYCZ7T+T27Eg==">CgMxLjAyCGguZ2pkZ3hzMgloLjMwajB6bGwyCWguMnM4ZXlvMTIIaC50eWpjd3QyCWguMTdkcDh2dTIJaC4xZm9iOXRlOAByITFsTmlQVEZhYVczVm5EWGtMb3pfanc1ODVQV3prUmxURA==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6998</Words>
  <Characters>38489</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2025-03-14T16:51:00Z</cp:lastPrinted>
  <dcterms:created xsi:type="dcterms:W3CDTF">2025-04-01T18:43:00Z</dcterms:created>
  <dcterms:modified xsi:type="dcterms:W3CDTF">2025-04-01T18:43:00Z</dcterms:modified>
</cp:coreProperties>
</file>