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0AFEF4" w14:textId="77777777" w:rsidR="00104FE1" w:rsidRDefault="008C00BE">
      <w:pPr>
        <w:spacing w:before="240" w:after="240" w:line="360" w:lineRule="auto"/>
        <w:jc w:val="both"/>
        <w:rPr>
          <w:rFonts w:ascii="Palatino Linotype" w:eastAsia="Palatino Linotype" w:hAnsi="Palatino Linotype" w:cs="Palatino Linotype"/>
        </w:rPr>
      </w:pPr>
      <w:bookmarkStart w:id="0" w:name="_heading=h.3rdcrjn" w:colFirst="0" w:colLast="0"/>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diez de septiembre de dos mil veinticinco. </w:t>
      </w:r>
    </w:p>
    <w:p w14:paraId="13E3D858" w14:textId="77777777" w:rsidR="00104FE1" w:rsidRDefault="008C00BE">
      <w:pPr>
        <w:tabs>
          <w:tab w:val="left" w:pos="5812"/>
        </w:tabs>
        <w:spacing w:before="240" w:after="240" w:line="360" w:lineRule="auto"/>
        <w:jc w:val="both"/>
        <w:rPr>
          <w:rFonts w:ascii="Palatino Linotype" w:eastAsia="Palatino Linotype" w:hAnsi="Palatino Linotype" w:cs="Palatino Linotype"/>
        </w:rPr>
      </w:pPr>
      <w:bookmarkStart w:id="1" w:name="_heading=h.daj3j2xo6q66" w:colFirst="0" w:colLast="0"/>
      <w:bookmarkEnd w:id="1"/>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06364/INFOEM/IP/RR/2025</w:t>
      </w:r>
      <w:r>
        <w:rPr>
          <w:rFonts w:ascii="Palatino Linotype" w:eastAsia="Palatino Linotype" w:hAnsi="Palatino Linotype" w:cs="Palatino Linotype"/>
        </w:rPr>
        <w:t>, interpuesto por</w:t>
      </w:r>
      <w:r>
        <w:rPr>
          <w:rFonts w:ascii="Palatino Linotype" w:eastAsia="Palatino Linotype" w:hAnsi="Palatino Linotype" w:cs="Palatino Linotype"/>
          <w:b/>
        </w:rPr>
        <w:t xml:space="preserve"> una persona que no proporcionó nombre o seudónimo,</w:t>
      </w:r>
      <w:r>
        <w:rPr>
          <w:rFonts w:ascii="Palatino Linotype" w:eastAsia="Palatino Linotype" w:hAnsi="Palatino Linotype" w:cs="Palatino Linotype"/>
        </w:rPr>
        <w:t xml:space="preserve">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la solicitud de información con número de folio</w:t>
      </w:r>
      <w:r>
        <w:rPr>
          <w:rFonts w:ascii="Palatino Linotype" w:eastAsia="Palatino Linotype" w:hAnsi="Palatino Linotype" w:cs="Palatino Linotype"/>
          <w:b/>
        </w:rPr>
        <w:t xml:space="preserve"> 00166/METEPEC/IP/2025,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 xml:space="preserve">Ayuntamiento de Metepec,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14:paraId="26EF6BA1" w14:textId="77777777" w:rsidR="00104FE1" w:rsidRDefault="008C00BE">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14:paraId="4A00DA27" w14:textId="77777777" w:rsidR="00104FE1" w:rsidRDefault="008C00BE">
      <w:pPr>
        <w:spacing w:before="240" w:after="240" w:line="360" w:lineRule="auto"/>
        <w:jc w:val="both"/>
        <w:rPr>
          <w:rFonts w:ascii="Palatino Linotype" w:eastAsia="Palatino Linotype" w:hAnsi="Palatino Linotype" w:cs="Palatino Linotype"/>
        </w:rPr>
      </w:pPr>
      <w:bookmarkStart w:id="2" w:name="_heading=h.gjdgxs" w:colFirst="0" w:colLast="0"/>
      <w:bookmarkEnd w:id="2"/>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veintiocho de abril de dos mil veinticinco,</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presentó la solicitud de acceso a la información pública ante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mediante la cual requirió lo siguiente:</w:t>
      </w:r>
    </w:p>
    <w:p w14:paraId="1DBDDBC4" w14:textId="77777777" w:rsidR="00104FE1" w:rsidRDefault="008C00BE">
      <w:pPr>
        <w:spacing w:before="120" w:after="12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“quiero conocer todas las funciones de todos los servidores públicos adscritos a las áreas de educación, desarrollo urbano, servicios generales, gerencia de la ciudad, recursos humanos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(sic) </w:t>
      </w:r>
    </w:p>
    <w:p w14:paraId="17A4C0A1" w14:textId="77777777" w:rsidR="00104FE1" w:rsidRDefault="008C00BE">
      <w:pPr>
        <w:spacing w:before="240" w:after="240" w:line="360" w:lineRule="auto"/>
        <w:jc w:val="both"/>
        <w:rPr>
          <w:rFonts w:ascii="Palatino Linotype" w:eastAsia="Palatino Linotype" w:hAnsi="Palatino Linotype" w:cs="Palatino Linotype"/>
        </w:rPr>
      </w:pPr>
      <w:bookmarkStart w:id="3" w:name="_heading=h.3dy6vkm" w:colFirst="0" w:colLast="0"/>
      <w:bookmarkEnd w:id="3"/>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del</w:t>
      </w:r>
      <w:r>
        <w:rPr>
          <w:rFonts w:ascii="Palatino Linotype" w:eastAsia="Palatino Linotype" w:hAnsi="Palatino Linotype" w:cs="Palatino Linotype"/>
          <w:b/>
        </w:rPr>
        <w:t xml:space="preserve"> SAIMEX.</w:t>
      </w:r>
    </w:p>
    <w:p w14:paraId="267E8C79" w14:textId="77777777" w:rsidR="00104FE1" w:rsidRDefault="008C00BE">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Prórroga.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veintiuno de mayo de dos mil veinticinco,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notificó a la persona solicitante la prórroga para dar respuesta a la solicitud</w:t>
      </w:r>
      <w:r>
        <w:rPr>
          <w:rFonts w:ascii="Palatino Linotype" w:eastAsia="Palatino Linotype" w:hAnsi="Palatino Linotype" w:cs="Palatino Linotype"/>
          <w:b/>
        </w:rPr>
        <w:t>,</w:t>
      </w:r>
      <w:r>
        <w:rPr>
          <w:rFonts w:ascii="Palatino Linotype" w:eastAsia="Palatino Linotype" w:hAnsi="Palatino Linotype" w:cs="Palatino Linotype"/>
        </w:rPr>
        <w:t xml:space="preserve"> medularmente en los siguientes términos:</w:t>
      </w:r>
    </w:p>
    <w:p w14:paraId="5FDFC955" w14:textId="77777777" w:rsidR="00104FE1" w:rsidRDefault="008C00BE">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“SERVIDOR PÚBLICO HABILITADO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Décima Segunda Sesión Extraordinaria. Sin más por el momento quedo a sus órdenes. ATENTAMENTE GERARDO ARTURO </w:t>
      </w:r>
      <w:r>
        <w:rPr>
          <w:rFonts w:ascii="Palatino Linotype" w:eastAsia="Palatino Linotype" w:hAnsi="Palatino Linotype" w:cs="Palatino Linotype"/>
          <w:i/>
          <w:sz w:val="22"/>
          <w:szCs w:val="22"/>
        </w:rPr>
        <w:t>OZUNA MARTÍNEZ DIRECTOR DE TRANSPARENCIA Y GOBIERNO ABIERTO.” (sic)</w:t>
      </w:r>
    </w:p>
    <w:p w14:paraId="273BB7BE" w14:textId="77777777" w:rsidR="00104FE1" w:rsidRDefault="008C00B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refiere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w:t>
      </w:r>
      <w:r>
        <w:rPr>
          <w:rFonts w:ascii="Palatino Linotype" w:eastAsia="Palatino Linotype" w:hAnsi="Palatino Linotype" w:cs="Palatino Linotype"/>
        </w:rPr>
        <w:t>s ocupa y derivado de las constancias que obran en el expediente, se advierte que no se observaron las formalidades que establece la Ley de la materia, pues no se anexó la resolución mediante la cual el Comité de Transparencia aprobó la ampliación del plazo.</w:t>
      </w:r>
    </w:p>
    <w:p w14:paraId="3904C326" w14:textId="77777777" w:rsidR="00104FE1" w:rsidRDefault="008C00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Respuesta. </w:t>
      </w:r>
      <w:r>
        <w:rPr>
          <w:rFonts w:ascii="Palatino Linotype" w:eastAsia="Palatino Linotype" w:hAnsi="Palatino Linotype" w:cs="Palatino Linotype"/>
        </w:rPr>
        <w:t xml:space="preserve">El </w:t>
      </w:r>
      <w:r>
        <w:rPr>
          <w:rFonts w:ascii="Palatino Linotype" w:eastAsia="Palatino Linotype" w:hAnsi="Palatino Linotype" w:cs="Palatino Linotype"/>
          <w:b/>
        </w:rPr>
        <w:t>treinta de mayo de dos mil veinticinco,</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envió su respuesta a la solicitud de acceso a la información a través del SAIMEX, sustancialmente en los términos siguientes:   </w:t>
      </w:r>
    </w:p>
    <w:p w14:paraId="06BF5B74" w14:textId="77777777" w:rsidR="00104FE1" w:rsidRDefault="008C00BE">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“…Al respecto, le informo que esta Dirección de Transparencia y Gobierno Abierto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w:t>
      </w:r>
      <w:r>
        <w:rPr>
          <w:rFonts w:ascii="Palatino Linotype" w:eastAsia="Palatino Linotype" w:hAnsi="Palatino Linotype" w:cs="Palatino Linotype"/>
          <w:i/>
          <w:sz w:val="22"/>
          <w:szCs w:val="22"/>
        </w:rPr>
        <w:lastRenderedPageBreak/>
        <w:t>una búsqueda exhaustiva, se anexa la respuesta del servidor público habilitado...” (sic)</w:t>
      </w:r>
    </w:p>
    <w:p w14:paraId="76243207" w14:textId="77777777" w:rsidR="00104FE1" w:rsidRDefault="008C00B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adjuntó lo siguiente:</w:t>
      </w:r>
    </w:p>
    <w:p w14:paraId="65A01BEB" w14:textId="77777777" w:rsidR="00104FE1" w:rsidRDefault="008C00B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 Oficio número DA/2251/2025, mediante el cual el </w:t>
      </w:r>
      <w:proofErr w:type="gramStart"/>
      <w:r>
        <w:rPr>
          <w:rFonts w:ascii="Palatino Linotype" w:eastAsia="Palatino Linotype" w:hAnsi="Palatino Linotype" w:cs="Palatino Linotype"/>
        </w:rPr>
        <w:t>Director</w:t>
      </w:r>
      <w:proofErr w:type="gramEnd"/>
      <w:r>
        <w:rPr>
          <w:rFonts w:ascii="Palatino Linotype" w:eastAsia="Palatino Linotype" w:hAnsi="Palatino Linotype" w:cs="Palatino Linotype"/>
        </w:rPr>
        <w:t xml:space="preserve"> de Administración, por conducto de la Subdirección de Recursos Humanos refirió que la información solicitada constituye una obligación de transparencia común, publicada en el portal IPOMEX, y, para efectos de la consulta proporcionó dos direcciones electrónicas en formato cerrado, así como el procedimiento para la consulta de la información.</w:t>
      </w:r>
    </w:p>
    <w:p w14:paraId="4A5BFD6F" w14:textId="77777777" w:rsidR="00104FE1" w:rsidRDefault="008C00B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4.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dos de junio de dos mil veinticinco,</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14:paraId="461656DA" w14:textId="77777777" w:rsidR="00104FE1" w:rsidRDefault="008C00BE">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p>
    <w:p w14:paraId="620EC6A1" w14:textId="77777777" w:rsidR="00104FE1" w:rsidRDefault="008C00BE">
      <w:pPr>
        <w:tabs>
          <w:tab w:val="left" w:pos="2745"/>
        </w:tabs>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“niegan la información solicitada información incompleta” (sic)</w:t>
      </w:r>
    </w:p>
    <w:p w14:paraId="6BE6FBBB" w14:textId="77777777" w:rsidR="00104FE1" w:rsidRDefault="008C00BE">
      <w:pPr>
        <w:spacing w:line="360" w:lineRule="auto"/>
        <w:jc w:val="both"/>
        <w:rPr>
          <w:rFonts w:ascii="Palatino Linotype" w:eastAsia="Palatino Linotype" w:hAnsi="Palatino Linotype" w:cs="Palatino Linotype"/>
        </w:rPr>
      </w:pPr>
      <w:bookmarkStart w:id="4" w:name="_heading=h.30j0zll" w:colFirst="0" w:colLast="0"/>
      <w:bookmarkEnd w:id="4"/>
      <w:r>
        <w:rPr>
          <w:rFonts w:ascii="Palatino Linotype" w:eastAsia="Palatino Linotype" w:hAnsi="Palatino Linotype" w:cs="Palatino Linotype"/>
          <w:b/>
        </w:rPr>
        <w:t>Y, Razones o motivos de inconformidad</w:t>
      </w:r>
      <w:r>
        <w:rPr>
          <w:rFonts w:ascii="Palatino Linotype" w:eastAsia="Palatino Linotype" w:hAnsi="Palatino Linotype" w:cs="Palatino Linotype"/>
        </w:rPr>
        <w:t>:</w:t>
      </w:r>
    </w:p>
    <w:p w14:paraId="17542EB2" w14:textId="77777777" w:rsidR="00104FE1" w:rsidRDefault="008C00BE">
      <w:pPr>
        <w:tabs>
          <w:tab w:val="left" w:pos="2745"/>
        </w:tabs>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“niegan la información solicitada información incompleta” (sic)</w:t>
      </w:r>
    </w:p>
    <w:p w14:paraId="13901C96" w14:textId="77777777" w:rsidR="00104FE1" w:rsidRDefault="008C00B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1AA569A1" w14:textId="77777777" w:rsidR="00104FE1" w:rsidRDefault="008C00BE">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6. Admisión del Recurso de revisión.</w:t>
      </w:r>
      <w:r>
        <w:rPr>
          <w:rFonts w:ascii="Palatino Linotype" w:eastAsia="Palatino Linotype" w:hAnsi="Palatino Linotype" w:cs="Palatino Linotype"/>
        </w:rPr>
        <w:t xml:space="preserve"> El</w:t>
      </w:r>
      <w:r>
        <w:rPr>
          <w:rFonts w:ascii="Palatino Linotype" w:eastAsia="Palatino Linotype" w:hAnsi="Palatino Linotype" w:cs="Palatino Linotype"/>
          <w:b/>
        </w:rPr>
        <w:t xml:space="preserve"> cinco de junio de dos mil veinticinco,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14:paraId="56D215BC" w14:textId="77777777" w:rsidR="00104FE1" w:rsidRDefault="008C00BE">
      <w:pPr>
        <w:spacing w:before="240" w:after="240" w:line="360" w:lineRule="auto"/>
        <w:jc w:val="both"/>
        <w:rPr>
          <w:rFonts w:ascii="Palatino Linotype" w:eastAsia="Palatino Linotype" w:hAnsi="Palatino Linotype" w:cs="Palatino Linotype"/>
        </w:rPr>
      </w:pPr>
      <w:bookmarkStart w:id="5" w:name="_heading=h.2s8eyo1" w:colFirst="0" w:colLast="0"/>
      <w:bookmarkEnd w:id="5"/>
      <w:r>
        <w:rPr>
          <w:rFonts w:ascii="Palatino Linotype" w:eastAsia="Palatino Linotype" w:hAnsi="Palatino Linotype" w:cs="Palatino Linotype"/>
          <w:b/>
        </w:rPr>
        <w:t>7. Manifestaciones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nueve </w:t>
      </w:r>
      <w:r>
        <w:rPr>
          <w:rFonts w:ascii="Palatino Linotype" w:eastAsia="Palatino Linotype" w:hAnsi="Palatino Linotype" w:cs="Palatino Linotype"/>
        </w:rPr>
        <w:t xml:space="preserve">y </w:t>
      </w:r>
      <w:r>
        <w:rPr>
          <w:rFonts w:ascii="Palatino Linotype" w:eastAsia="Palatino Linotype" w:hAnsi="Palatino Linotype" w:cs="Palatino Linotype"/>
          <w:b/>
        </w:rPr>
        <w:t>trece de julio de dos mil veinticinco</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a través del SAIMEX, lo siguiente:</w:t>
      </w:r>
    </w:p>
    <w:p w14:paraId="5498BBBE" w14:textId="77777777" w:rsidR="00104FE1" w:rsidRDefault="008C00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Oficio número DTYGA/MET/551/2025, mediante el cual el </w:t>
      </w:r>
      <w:proofErr w:type="gramStart"/>
      <w:r>
        <w:rPr>
          <w:rFonts w:ascii="Palatino Linotype" w:eastAsia="Palatino Linotype" w:hAnsi="Palatino Linotype" w:cs="Palatino Linotype"/>
        </w:rPr>
        <w:t>Director</w:t>
      </w:r>
      <w:proofErr w:type="gramEnd"/>
      <w:r>
        <w:rPr>
          <w:rFonts w:ascii="Palatino Linotype" w:eastAsia="Palatino Linotype" w:hAnsi="Palatino Linotype" w:cs="Palatino Linotype"/>
        </w:rPr>
        <w:t xml:space="preserve"> de Transparencia y Gobierno Abierto informó al </w:t>
      </w:r>
      <w:proofErr w:type="gramStart"/>
      <w:r>
        <w:rPr>
          <w:rFonts w:ascii="Palatino Linotype" w:eastAsia="Palatino Linotype" w:hAnsi="Palatino Linotype" w:cs="Palatino Linotype"/>
        </w:rPr>
        <w:t>Director</w:t>
      </w:r>
      <w:proofErr w:type="gramEnd"/>
      <w:r>
        <w:rPr>
          <w:rFonts w:ascii="Palatino Linotype" w:eastAsia="Palatino Linotype" w:hAnsi="Palatino Linotype" w:cs="Palatino Linotype"/>
        </w:rPr>
        <w:t xml:space="preserve"> de Administración sobre la interposición del recurso de revisión, a efecto de que enviara la información que considerara conveniente para rendir el informe justificado.</w:t>
      </w:r>
    </w:p>
    <w:p w14:paraId="026737D3" w14:textId="77777777" w:rsidR="00104FE1" w:rsidRDefault="008C00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Oficio número BA/2486/2025, mediante el cual el </w:t>
      </w:r>
      <w:proofErr w:type="gramStart"/>
      <w:r>
        <w:rPr>
          <w:rFonts w:ascii="Palatino Linotype" w:eastAsia="Palatino Linotype" w:hAnsi="Palatino Linotype" w:cs="Palatino Linotype"/>
        </w:rPr>
        <w:t>Director</w:t>
      </w:r>
      <w:proofErr w:type="gramEnd"/>
      <w:r>
        <w:rPr>
          <w:rFonts w:ascii="Palatino Linotype" w:eastAsia="Palatino Linotype" w:hAnsi="Palatino Linotype" w:cs="Palatino Linotype"/>
        </w:rPr>
        <w:t xml:space="preserve"> de Administración confirmó la respuesta proporcionada en primera instancia. </w:t>
      </w:r>
    </w:p>
    <w:p w14:paraId="4CD55E49" w14:textId="77777777" w:rsidR="00104FE1" w:rsidRDefault="008C00B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analizados los documentos, se hicieron del conocimiento de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con la finalidad de que manifestara lo que a su derecho estimara conveniente, sin embargo, fue omisa en ejercer dicha prerrogativa.</w:t>
      </w:r>
    </w:p>
    <w:p w14:paraId="308EFF0C" w14:textId="77777777" w:rsidR="00104FE1" w:rsidRDefault="008C00BE">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Pr>
          <w:rFonts w:ascii="Palatino Linotype" w:eastAsia="Palatino Linotype" w:hAnsi="Palatino Linotype" w:cs="Palatino Linotype"/>
          <w:b/>
        </w:rPr>
        <w:t>tres de septiembre de dos mil veinticinco</w:t>
      </w:r>
      <w:r>
        <w:rPr>
          <w:rFonts w:ascii="Palatino Linotype" w:eastAsia="Palatino Linotype" w:hAnsi="Palatino Linotype" w:cs="Palatino Linotype"/>
        </w:rPr>
        <w:t xml:space="preserve">, la Comisionada Ponente determinó el </w:t>
      </w:r>
      <w:r>
        <w:rPr>
          <w:rFonts w:ascii="Palatino Linotype" w:eastAsia="Palatino Linotype" w:hAnsi="Palatino Linotype" w:cs="Palatino Linotype"/>
        </w:rPr>
        <w:lastRenderedPageBreak/>
        <w:t>cierre de instrucción en términos de la fracción VI del artículo 185 de la Ley de Transparencia y Acceso a la Información Pública del Estado de México y Municipios.</w:t>
      </w:r>
    </w:p>
    <w:p w14:paraId="78DB48BF" w14:textId="77777777" w:rsidR="00104FE1" w:rsidRDefault="008C00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9</w:t>
      </w:r>
      <w:r>
        <w:rPr>
          <w:rFonts w:ascii="Palatino Linotype" w:eastAsia="Palatino Linotype" w:hAnsi="Palatino Linotype" w:cs="Palatino Linotype"/>
        </w:rPr>
        <w:t xml:space="preserve">. </w:t>
      </w:r>
      <w:r>
        <w:rPr>
          <w:rFonts w:ascii="Palatino Linotype" w:eastAsia="Palatino Linotype" w:hAnsi="Palatino Linotype" w:cs="Palatino Linotype"/>
          <w:b/>
        </w:rPr>
        <w:t>Ampliación del término para resolver</w:t>
      </w:r>
      <w:r>
        <w:rPr>
          <w:rFonts w:ascii="Palatino Linotype" w:eastAsia="Palatino Linotype" w:hAnsi="Palatino Linotype" w:cs="Palatino Linotype"/>
        </w:rPr>
        <w:t xml:space="preserve">. El </w:t>
      </w:r>
      <w:r>
        <w:rPr>
          <w:rFonts w:ascii="Palatino Linotype" w:eastAsia="Palatino Linotype" w:hAnsi="Palatino Linotype" w:cs="Palatino Linotype"/>
          <w:b/>
        </w:rPr>
        <w:t>tres de septiembre de dos mil veinticinco</w:t>
      </w:r>
      <w:r>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0F82BBFA" w14:textId="77777777" w:rsidR="00104FE1" w:rsidRDefault="008C00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5723193" w14:textId="77777777" w:rsidR="00104FE1" w:rsidRDefault="008C00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8E4A062" w14:textId="77777777" w:rsidR="00104FE1" w:rsidRDefault="008C00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5E98A1E" w14:textId="77777777" w:rsidR="00104FE1" w:rsidRDefault="008C00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B649BC8" w14:textId="77777777" w:rsidR="00104FE1" w:rsidRDefault="008C00BE">
      <w:pPr>
        <w:spacing w:before="240" w:after="240" w:line="360" w:lineRule="auto"/>
        <w:jc w:val="both"/>
        <w:rPr>
          <w:rFonts w:ascii="Palatino Linotype" w:eastAsia="Palatino Linotype" w:hAnsi="Palatino Linotype" w:cs="Palatino Linotype"/>
          <w:strike/>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DB91D4C" w14:textId="77777777" w:rsidR="00104FE1" w:rsidRDefault="008C00BE">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71A5DE0C" w14:textId="77777777" w:rsidR="00104FE1" w:rsidRDefault="008C00BE">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034472DE" w14:textId="77777777" w:rsidR="00104FE1" w:rsidRDefault="008C00BE">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73F74F8A" w14:textId="77777777" w:rsidR="00104FE1" w:rsidRDefault="008C00BE">
      <w:pPr>
        <w:tabs>
          <w:tab w:val="left" w:pos="567"/>
        </w:tabs>
        <w:spacing w:before="240" w:after="240" w:line="360"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71B3575F" w14:textId="77777777" w:rsidR="00104FE1" w:rsidRDefault="008C00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82BBA32" w14:textId="77777777" w:rsidR="00104FE1" w:rsidRDefault="008C00BE">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1092CC2F" w14:textId="77777777" w:rsidR="00104FE1" w:rsidRDefault="008C00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w:t>
      </w:r>
      <w:r>
        <w:rPr>
          <w:rFonts w:ascii="Palatino Linotype" w:eastAsia="Palatino Linotype" w:hAnsi="Palatino Linotype" w:cs="Palatino Linotype"/>
        </w:rPr>
        <w:t>e, la extensión de los escritos y pruebas aportadas y desahogadas por las partes; lo que impide la tramitación de los recursos dentro de los términos legales previamente establecidos por la Ley, por tratarse de causas de fuerza mayor.</w:t>
      </w:r>
    </w:p>
    <w:p w14:paraId="6AAFED81" w14:textId="77777777" w:rsidR="00104FE1" w:rsidRDefault="008C00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A37642C" w14:textId="77777777" w:rsidR="00104FE1" w:rsidRDefault="008C00BE">
      <w:pPr>
        <w:spacing w:before="120" w:after="120"/>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PLAZO RAZONABLE PARA RESOLVER. DIMENSIÓN Y EFECTOS DE ESTE CONCEPTO CUANDO SE ADUCE EXCESIVA CARGA DE TRABAJO</w:t>
      </w: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 xml:space="preserve"> consultable en el Seminario Judicial de la Federación y su gaceta, con el registro digital 2002351.</w:t>
      </w:r>
    </w:p>
    <w:p w14:paraId="3A0AE4EB" w14:textId="77777777" w:rsidR="00104FE1" w:rsidRDefault="008C00BE">
      <w:pPr>
        <w:spacing w:before="120" w:after="120"/>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 visible en el Seminario Judicial de la Federación y su gaceta, con el registro digital 2002350.</w:t>
      </w:r>
    </w:p>
    <w:p w14:paraId="4EFCEBCE" w14:textId="77777777" w:rsidR="00104FE1" w:rsidRDefault="008C00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este Organismo Garante comprometido con la tutela de los derechos humanos confiados, señala que este exceso del plazo legal para resolver el presente </w:t>
      </w:r>
      <w:proofErr w:type="gramStart"/>
      <w:r>
        <w:rPr>
          <w:rFonts w:ascii="Palatino Linotype" w:eastAsia="Palatino Linotype" w:hAnsi="Palatino Linotype" w:cs="Palatino Linotype"/>
        </w:rPr>
        <w:t>asunto,</w:t>
      </w:r>
      <w:proofErr w:type="gramEnd"/>
      <w:r>
        <w:rPr>
          <w:rFonts w:ascii="Palatino Linotype" w:eastAsia="Palatino Linotype" w:hAnsi="Palatino Linotype" w:cs="Palatino Linotype"/>
        </w:rPr>
        <w:t xml:space="preserve"> resulta de carácter excepcional.</w:t>
      </w:r>
    </w:p>
    <w:p w14:paraId="57EF0EE8" w14:textId="77777777" w:rsidR="00104FE1" w:rsidRDefault="008C00BE">
      <w:pPr>
        <w:spacing w:before="240" w:after="240" w:line="360" w:lineRule="auto"/>
        <w:jc w:val="both"/>
        <w:rPr>
          <w:rFonts w:ascii="Palatino Linotype" w:eastAsia="Palatino Linotype" w:hAnsi="Palatino Linotype" w:cs="Palatino Linotype"/>
        </w:rPr>
      </w:pPr>
      <w:proofErr w:type="gramStart"/>
      <w:r>
        <w:rPr>
          <w:rFonts w:ascii="Palatino Linotype" w:eastAsia="Palatino Linotype" w:hAnsi="Palatino Linotype" w:cs="Palatino Linotype"/>
        </w:rPr>
        <w:t>En razón de</w:t>
      </w:r>
      <w:proofErr w:type="gramEnd"/>
      <w:r>
        <w:rPr>
          <w:rFonts w:ascii="Palatino Linotype" w:eastAsia="Palatino Linotype" w:hAnsi="Palatino Linotype" w:cs="Palatino Linotype"/>
        </w:rPr>
        <w:t xml:space="preserve"> que fue debidamente sustanciado el expediente electrónico y no existe diligencia pendiente de desahogo, se emite la Resolución que conforme a Derecho proceda, de acuerdo con los siguientes: </w:t>
      </w:r>
    </w:p>
    <w:p w14:paraId="091BC8A8" w14:textId="77777777" w:rsidR="00104FE1" w:rsidRDefault="008C00BE">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14:paraId="09ED7780" w14:textId="77777777" w:rsidR="00104FE1" w:rsidRDefault="008C00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w:t>
      </w:r>
      <w:r>
        <w:rPr>
          <w:rFonts w:ascii="Palatino Linotype" w:eastAsia="Palatino Linotype" w:hAnsi="Palatino Linotype" w:cs="Palatino Linotype"/>
        </w:rPr>
        <w:t>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60E3241" w14:textId="77777777" w:rsidR="00104FE1" w:rsidRDefault="008C00BE">
      <w:pPr>
        <w:spacing w:before="240" w:after="240" w:line="360" w:lineRule="auto"/>
        <w:jc w:val="both"/>
        <w:rPr>
          <w:rFonts w:ascii="Palatino Linotype" w:eastAsia="Palatino Linotype" w:hAnsi="Palatino Linotype" w:cs="Palatino Linotype"/>
        </w:rPr>
      </w:pPr>
      <w:bookmarkStart w:id="6" w:name="_heading=h.tyjcwt" w:colFirst="0" w:colLast="0"/>
      <w:bookmarkEnd w:id="6"/>
      <w:r>
        <w:rPr>
          <w:rFonts w:ascii="Palatino Linotype" w:eastAsia="Palatino Linotype" w:hAnsi="Palatino Linotype" w:cs="Palatino Linotype"/>
          <w:b/>
        </w:rPr>
        <w:lastRenderedPageBreak/>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9AACFC4" w14:textId="77777777" w:rsidR="00104FE1" w:rsidRDefault="008C00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la respuesta a la solicitud de información el día </w:t>
      </w:r>
      <w:r>
        <w:rPr>
          <w:rFonts w:ascii="Palatino Linotype" w:eastAsia="Palatino Linotype" w:hAnsi="Palatino Linotype" w:cs="Palatino Linotype"/>
          <w:b/>
        </w:rPr>
        <w:t xml:space="preserve">treinta de mayo de dos mil veinticinco, </w:t>
      </w:r>
      <w:r>
        <w:rPr>
          <w:rFonts w:ascii="Palatino Linotype" w:eastAsia="Palatino Linotype" w:hAnsi="Palatino Linotype" w:cs="Palatino Linotype"/>
        </w:rPr>
        <w:t xml:space="preserve">mientras que el recurso de revisión interpuesto por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se tuvo por presentado el día</w:t>
      </w:r>
      <w:r>
        <w:rPr>
          <w:rFonts w:ascii="Palatino Linotype" w:eastAsia="Palatino Linotype" w:hAnsi="Palatino Linotype" w:cs="Palatino Linotype"/>
          <w:b/>
        </w:rPr>
        <w:t xml:space="preserve"> dos de junio de dos mil veinticinco, </w:t>
      </w:r>
      <w:r>
        <w:rPr>
          <w:rFonts w:ascii="Palatino Linotype" w:eastAsia="Palatino Linotype" w:hAnsi="Palatino Linotype" w:cs="Palatino Linotype"/>
        </w:rPr>
        <w:t>esto es, al siguiente día hábil posterior a aquel en el que tuvo conocimiento de la respuesta impugnada. En este sentido, se concluye que el presente recurso de revisión se encuentra dentro de los márgenes temporales previstos en las disposiciones legales re</w:t>
      </w:r>
      <w:r>
        <w:rPr>
          <w:rFonts w:ascii="Palatino Linotype" w:eastAsia="Palatino Linotype" w:hAnsi="Palatino Linotype" w:cs="Palatino Linotype"/>
        </w:rPr>
        <w:t>feridas.</w:t>
      </w:r>
    </w:p>
    <w:p w14:paraId="48F15843" w14:textId="77777777" w:rsidR="00104FE1" w:rsidRDefault="008C00BE">
      <w:pPr>
        <w:spacing w:line="360" w:lineRule="auto"/>
        <w:jc w:val="both"/>
        <w:rPr>
          <w:rFonts w:ascii="Palatino Linotype" w:eastAsia="Palatino Linotype" w:hAnsi="Palatino Linotype" w:cs="Palatino Linotype"/>
        </w:rPr>
      </w:pPr>
      <w:bookmarkStart w:id="7" w:name="_heading=h.3znysh7" w:colFirst="0" w:colLast="0"/>
      <w:bookmarkEnd w:id="7"/>
      <w:r>
        <w:rPr>
          <w:rFonts w:ascii="Palatino Linotype" w:eastAsia="Palatino Linotype" w:hAnsi="Palatino Linotype" w:cs="Palatino Linotype"/>
        </w:rPr>
        <w:t>Además, por cuanto hace a la procedibilidad del recurso de revisión, es de suma importancia señalar que la parte</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no señaló </w:t>
      </w:r>
      <w:r>
        <w:rPr>
          <w:rFonts w:ascii="Palatino Linotype" w:eastAsia="Palatino Linotype" w:hAnsi="Palatino Linotype" w:cs="Palatino Linotype"/>
          <w:b/>
        </w:rPr>
        <w:t>nombre o seudónimo,</w:t>
      </w:r>
      <w:r>
        <w:rPr>
          <w:rFonts w:ascii="Palatino Linotype" w:eastAsia="Palatino Linotype" w:hAnsi="Palatino Linotype" w:cs="Palatino Linotype"/>
        </w:rPr>
        <w:t xml:space="preserve">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DD3D5CF" w14:textId="77777777" w:rsidR="00104FE1" w:rsidRDefault="008C00B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w:t>
      </w:r>
      <w:r>
        <w:rPr>
          <w:rFonts w:ascii="Palatino Linotype" w:eastAsia="Palatino Linotype" w:hAnsi="Palatino Linotype" w:cs="Palatino Linotype"/>
          <w:b/>
          <w:i/>
          <w:sz w:val="22"/>
          <w:szCs w:val="22"/>
        </w:rPr>
        <w:t>seudónimo</w:t>
      </w:r>
      <w:r>
        <w:rPr>
          <w:rFonts w:ascii="Palatino Linotype" w:eastAsia="Palatino Linotype" w:hAnsi="Palatino Linotype" w:cs="Palatino Linotype"/>
          <w:i/>
          <w:sz w:val="22"/>
          <w:szCs w:val="22"/>
        </w:rPr>
        <w:t xml:space="preserve"> serán procedentes para su trámite por parte del sujeto obligado ante quien se presente. </w:t>
      </w:r>
      <w:r>
        <w:rPr>
          <w:rFonts w:ascii="Palatino Linotype" w:eastAsia="Palatino Linotype" w:hAnsi="Palatino Linotype" w:cs="Palatino Linotype"/>
          <w:i/>
          <w:sz w:val="22"/>
          <w:szCs w:val="22"/>
        </w:rPr>
        <w:lastRenderedPageBreak/>
        <w:t>No podrá requerirse información adicional con motivo del nombre proporcionado por el solicitante."</w:t>
      </w:r>
    </w:p>
    <w:p w14:paraId="72BE4D5F" w14:textId="77777777" w:rsidR="00104FE1" w:rsidRDefault="008C00BE">
      <w:pPr>
        <w:spacing w:before="240" w:after="240" w:line="360" w:lineRule="auto"/>
        <w:jc w:val="both"/>
        <w:rPr>
          <w:rFonts w:ascii="Palatino Linotype" w:eastAsia="Palatino Linotype" w:hAnsi="Palatino Linotype" w:cs="Palatino Linotype"/>
          <w:b/>
        </w:rPr>
      </w:pPr>
      <w:proofErr w:type="gramStart"/>
      <w:r>
        <w:rPr>
          <w:rFonts w:ascii="Palatino Linotype" w:eastAsia="Palatino Linotype" w:hAnsi="Palatino Linotype" w:cs="Palatino Linotype"/>
        </w:rPr>
        <w:t>De acuerdo al</w:t>
      </w:r>
      <w:proofErr w:type="gramEnd"/>
      <w:r>
        <w:rPr>
          <w:rFonts w:ascii="Palatino Linotype" w:eastAsia="Palatino Linotype" w:hAnsi="Palatino Linotype" w:cs="Palatino Linotype"/>
        </w:rPr>
        <w:t xml:space="preserve">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Pr>
          <w:rFonts w:ascii="Palatino Linotype" w:eastAsia="Palatino Linotype" w:hAnsi="Palatino Linotype" w:cs="Palatino Linotype"/>
          <w:b/>
        </w:rPr>
        <w:t xml:space="preserve"> SAIMEX.</w:t>
      </w:r>
    </w:p>
    <w:p w14:paraId="09AB3A5D" w14:textId="77777777" w:rsidR="00104FE1" w:rsidRDefault="008C00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se advierte que resulta procedente la interposición del recurso, según lo manifestado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w:t>
      </w:r>
      <w:proofErr w:type="gramStart"/>
      <w:r>
        <w:rPr>
          <w:rFonts w:ascii="Palatino Linotype" w:eastAsia="Palatino Linotype" w:hAnsi="Palatino Linotype" w:cs="Palatino Linotype"/>
        </w:rPr>
        <w:t>de acuerdo al</w:t>
      </w:r>
      <w:proofErr w:type="gramEnd"/>
      <w:r>
        <w:rPr>
          <w:rFonts w:ascii="Palatino Linotype" w:eastAsia="Palatino Linotype" w:hAnsi="Palatino Linotype" w:cs="Palatino Linotype"/>
        </w:rPr>
        <w:t xml:space="preserve"> artículo 179, fracciones I y V del ordenamiento legal citado, que a la letra dice: </w:t>
      </w:r>
    </w:p>
    <w:p w14:paraId="08EAB736" w14:textId="77777777" w:rsidR="00104FE1" w:rsidRDefault="008C00BE">
      <w:pPr>
        <w:tabs>
          <w:tab w:val="left" w:pos="7938"/>
        </w:tabs>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F8359A7" w14:textId="77777777" w:rsidR="00104FE1" w:rsidRDefault="008C00BE">
      <w:pPr>
        <w:tabs>
          <w:tab w:val="left" w:pos="7938"/>
        </w:tabs>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La negativa a la información solicitada;</w:t>
      </w:r>
    </w:p>
    <w:p w14:paraId="5D1316A3" w14:textId="77777777" w:rsidR="00104FE1" w:rsidRDefault="008C00BE">
      <w:pPr>
        <w:tabs>
          <w:tab w:val="left" w:pos="7938"/>
        </w:tabs>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058432E" w14:textId="77777777" w:rsidR="00104FE1" w:rsidRDefault="008C00BE">
      <w:pPr>
        <w:tabs>
          <w:tab w:val="left" w:pos="7938"/>
        </w:tabs>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La entrega de información incompleta</w:t>
      </w:r>
      <w:r>
        <w:t>;</w:t>
      </w:r>
      <w:r>
        <w:rPr>
          <w:rFonts w:ascii="Palatino Linotype" w:eastAsia="Palatino Linotype" w:hAnsi="Palatino Linotype" w:cs="Palatino Linotype"/>
          <w:i/>
          <w:sz w:val="22"/>
          <w:szCs w:val="22"/>
        </w:rPr>
        <w:t>”</w:t>
      </w:r>
    </w:p>
    <w:p w14:paraId="15161EFE" w14:textId="77777777" w:rsidR="00104FE1" w:rsidRDefault="008C00BE">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Pr>
          <w:rFonts w:ascii="Palatino Linotype" w:eastAsia="Palatino Linotype" w:hAnsi="Palatino Linotype" w:cs="Palatino Linotype"/>
        </w:rPr>
        <w:t xml:space="preserve">de la parte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0CAFC39A" w14:textId="77777777" w:rsidR="00104FE1" w:rsidRDefault="008C00BE">
      <w:pPr>
        <w:spacing w:before="240" w:after="240" w:line="360" w:lineRule="auto"/>
        <w:jc w:val="both"/>
        <w:rPr>
          <w:rFonts w:ascii="Palatino Linotype" w:eastAsia="Palatino Linotype" w:hAnsi="Palatino Linotype" w:cs="Palatino Linotype"/>
        </w:rPr>
      </w:pPr>
      <w:bookmarkStart w:id="8" w:name="_heading=h.2et92p0" w:colFirst="0" w:colLast="0"/>
      <w:bookmarkEnd w:id="8"/>
      <w:r>
        <w:rPr>
          <w:rFonts w:ascii="Palatino Linotype" w:eastAsia="Palatino Linotype" w:hAnsi="Palatino Linotype" w:cs="Palatino Linotype"/>
          <w:b/>
        </w:rPr>
        <w:lastRenderedPageBreak/>
        <w:t xml:space="preserve">Cuarto. Estudio del asunto. </w:t>
      </w:r>
      <w:r>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DEFAFCE" w14:textId="77777777" w:rsidR="00104FE1" w:rsidRDefault="008C00B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F3848E6" w14:textId="77777777" w:rsidR="00104FE1" w:rsidRDefault="008C00B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w:t>
      </w:r>
      <w:r>
        <w:rPr>
          <w:rFonts w:ascii="Palatino Linotype" w:eastAsia="Palatino Linotype" w:hAnsi="Palatino Linotype" w:cs="Palatino Linotype"/>
          <w:i/>
          <w:sz w:val="22"/>
          <w:szCs w:val="22"/>
        </w:rPr>
        <w:t>nte necesarias previstas por esta Ley.</w:t>
      </w:r>
    </w:p>
    <w:p w14:paraId="2D51A24E" w14:textId="77777777" w:rsidR="00104FE1" w:rsidRDefault="008C00B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w:t>
      </w:r>
    </w:p>
    <w:p w14:paraId="2FCC62D4" w14:textId="77777777" w:rsidR="00104FE1" w:rsidRDefault="008C00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w:t>
      </w:r>
      <w:r>
        <w:rPr>
          <w:rFonts w:ascii="Palatino Linotype" w:eastAsia="Palatino Linotype" w:hAnsi="Palatino Linotype" w:cs="Palatino Linotype"/>
        </w:rPr>
        <w:lastRenderedPageBreak/>
        <w:t>Transparencia y Acceso a la Información Pública del Estado de México y Municipios, que a la letra dice:</w:t>
      </w:r>
    </w:p>
    <w:p w14:paraId="4EF82659" w14:textId="77777777" w:rsidR="00104FE1" w:rsidRDefault="008C00B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0E3FB2D" w14:textId="77777777" w:rsidR="00104FE1" w:rsidRDefault="008C00B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 obligación de proporcionar información no comprende el procesamiento de </w:t>
      </w:r>
      <w:proofErr w:type="gramStart"/>
      <w:r>
        <w:rPr>
          <w:rFonts w:ascii="Palatino Linotype" w:eastAsia="Palatino Linotype" w:hAnsi="Palatino Linotype" w:cs="Palatino Linotype"/>
          <w:b/>
          <w:i/>
          <w:sz w:val="22"/>
          <w:szCs w:val="22"/>
        </w:rPr>
        <w:t>la misma</w:t>
      </w:r>
      <w:proofErr w:type="gramEnd"/>
      <w:r>
        <w:rPr>
          <w:rFonts w:ascii="Palatino Linotype" w:eastAsia="Palatino Linotype" w:hAnsi="Palatino Linotype" w:cs="Palatino Linotype"/>
          <w:b/>
          <w:i/>
          <w:sz w:val="22"/>
          <w:szCs w:val="22"/>
        </w:rPr>
        <w:t>, ni el presentarla conforme al interés del solicitante; no estarán obligados a generarla, resumirla, efectuar cálculos o practicar investigaciones.”</w:t>
      </w:r>
    </w:p>
    <w:p w14:paraId="6527B4D4" w14:textId="77777777" w:rsidR="00104FE1" w:rsidRDefault="008C00BE">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w:t>
      </w:r>
      <w:r>
        <w:rPr>
          <w:rFonts w:ascii="Palatino Linotype" w:eastAsia="Palatino Linotype" w:hAnsi="Palatino Linotype" w:cs="Palatino Linotype"/>
        </w:rPr>
        <w:t>e al interés o términos específicos del solicitante.</w:t>
      </w:r>
    </w:p>
    <w:p w14:paraId="3F510DCB" w14:textId="77777777" w:rsidR="00104FE1" w:rsidRDefault="008C00BE">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Sirve de apoyo a lo anterior, el criterio orientador con clave de control SO/003/2017, emitido por el entonces Instituto Nacional de Transparencia, Acceso a la Información y Protección de Datos Personales,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por rubro y texto, dispone lo siguiente:</w:t>
      </w:r>
      <w:r>
        <w:rPr>
          <w:rFonts w:ascii="Palatino Linotype" w:eastAsia="Palatino Linotype" w:hAnsi="Palatino Linotype" w:cs="Palatino Linotype"/>
          <w:b/>
        </w:rPr>
        <w:t xml:space="preserve"> </w:t>
      </w:r>
    </w:p>
    <w:p w14:paraId="238B0A5A" w14:textId="77777777" w:rsidR="00104FE1" w:rsidRDefault="008C00B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No existe obligación de elaborar documentos ad hoc para atender las solicitudes de acceso a la información.</w:t>
      </w:r>
      <w:r>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w:t>
      </w:r>
      <w:r>
        <w:rPr>
          <w:rFonts w:ascii="Palatino Linotype" w:eastAsia="Palatino Linotype" w:hAnsi="Palatino Linotype" w:cs="Palatino Linotype"/>
          <w:i/>
          <w:sz w:val="22"/>
          <w:szCs w:val="22"/>
        </w:rPr>
        <w:lastRenderedPageBreak/>
        <w:t>con sus facultades, competencias o funciones, conforme a las caracter</w:t>
      </w:r>
      <w:r>
        <w:rPr>
          <w:rFonts w:ascii="Palatino Linotype" w:eastAsia="Palatino Linotype" w:hAnsi="Palatino Linotype" w:cs="Palatino Linotype"/>
          <w:i/>
          <w:sz w:val="22"/>
          <w:szCs w:val="22"/>
        </w:rPr>
        <w:t xml:space="preserve">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818DDDD" w14:textId="77777777" w:rsidR="00104FE1" w:rsidRDefault="008C00BE">
      <w:pPr>
        <w:spacing w:before="120" w:after="12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041F7B" w14:textId="77777777" w:rsidR="00104FE1" w:rsidRDefault="008C00BE">
      <w:pPr>
        <w:spacing w:before="120" w:after="12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w:t>
      </w:r>
      <w:r>
        <w:rPr>
          <w:rFonts w:ascii="Palatino Linotype" w:eastAsia="Palatino Linotype" w:hAnsi="Palatino Linotype" w:cs="Palatino Linotype"/>
        </w:rPr>
        <w:t xml:space="preserve">n cualquier medio, sea escrito, impreso, sonoro, visual, electrónico, informático u holográfico de conformidad con el artículo 3, fracción XI de la Ley de la materia, el cual señala lo siguiente: </w:t>
      </w:r>
    </w:p>
    <w:p w14:paraId="0238945E" w14:textId="77777777" w:rsidR="00104FE1" w:rsidRDefault="008C00B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4FA09617" w14:textId="77777777" w:rsidR="00104FE1" w:rsidRDefault="008C00B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EAAD62F" w14:textId="77777777" w:rsidR="00104FE1" w:rsidRDefault="008C00B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actas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w:t>
      </w:r>
      <w:r>
        <w:rPr>
          <w:rFonts w:ascii="Palatino Linotype" w:eastAsia="Palatino Linotype" w:hAnsi="Palatino Linotype" w:cs="Palatino Linotype"/>
          <w:i/>
          <w:sz w:val="22"/>
          <w:szCs w:val="22"/>
        </w:rPr>
        <w:lastRenderedPageBreak/>
        <w:t>sin importar su fuente o fecha de elaboración. Los documentos podrán estar en cualquier medio, sea escrito, impreso, sonoro, visual, electrónico</w:t>
      </w:r>
      <w:r>
        <w:rPr>
          <w:rFonts w:ascii="Palatino Linotype" w:eastAsia="Palatino Linotype" w:hAnsi="Palatino Linotype" w:cs="Palatino Linotype"/>
          <w:i/>
          <w:sz w:val="22"/>
          <w:szCs w:val="22"/>
        </w:rPr>
        <w:t xml:space="preserve">, informático u holográfico…” </w:t>
      </w:r>
    </w:p>
    <w:p w14:paraId="5AE7B425" w14:textId="77777777" w:rsidR="00104FE1" w:rsidRDefault="008C00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5F6DEF0" w14:textId="77777777" w:rsidR="00104FE1" w:rsidRDefault="008C00B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w:t>
      </w:r>
      <w:proofErr w:type="gramStart"/>
      <w:r>
        <w:rPr>
          <w:rFonts w:ascii="Palatino Linotype" w:eastAsia="Palatino Linotype" w:hAnsi="Palatino Linotype" w:cs="Palatino Linotype"/>
          <w:i/>
          <w:sz w:val="22"/>
          <w:szCs w:val="22"/>
        </w:rPr>
        <w:t>pública,</w:t>
      </w:r>
      <w:proofErr w:type="gramEnd"/>
      <w:r>
        <w:rPr>
          <w:rFonts w:ascii="Palatino Linotype" w:eastAsia="Palatino Linotype" w:hAnsi="Palatino Linotype" w:cs="Palatino Linotype"/>
          <w:i/>
          <w:sz w:val="22"/>
          <w:szCs w:val="22"/>
        </w:rPr>
        <w:t xml:space="preserve"> se define en cuanto a su alcance y resultado material, el acceso a los archivos, registros y documentos públicos, administrados, generados o en posesión de los órganos u organismos públicos, en virtud del ejercicio de sus funciones de derecho público, sin importar</w:t>
      </w:r>
      <w:r>
        <w:rPr>
          <w:rFonts w:ascii="Palatino Linotype" w:eastAsia="Palatino Linotype" w:hAnsi="Palatino Linotype" w:cs="Palatino Linotype"/>
          <w:i/>
          <w:sz w:val="22"/>
          <w:szCs w:val="22"/>
        </w:rPr>
        <w:t xml:space="preserve"> su fuente, soporte o fecha de elaboración.</w:t>
      </w:r>
    </w:p>
    <w:p w14:paraId="6AD35B73" w14:textId="77777777" w:rsidR="00104FE1" w:rsidRDefault="008C00B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w:t>
      </w:r>
      <w:proofErr w:type="gramStart"/>
      <w:r>
        <w:rPr>
          <w:rFonts w:ascii="Palatino Linotype" w:eastAsia="Palatino Linotype" w:hAnsi="Palatino Linotype" w:cs="Palatino Linotype"/>
          <w:i/>
          <w:sz w:val="22"/>
          <w:szCs w:val="22"/>
        </w:rPr>
        <w:t>consecuencia</w:t>
      </w:r>
      <w:proofErr w:type="gramEnd"/>
      <w:r>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96848CE" w14:textId="77777777" w:rsidR="00104FE1" w:rsidRDefault="008C00B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sea generada por los Sujetos Obligados;</w:t>
      </w:r>
    </w:p>
    <w:p w14:paraId="40BDF4C2" w14:textId="77777777" w:rsidR="00104FE1" w:rsidRDefault="008C00B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sea administrada por los Sujetos Obligados, y</w:t>
      </w:r>
    </w:p>
    <w:p w14:paraId="52637BDC" w14:textId="77777777" w:rsidR="00104FE1" w:rsidRDefault="008C00B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 encuentre en posesión de los Sujetos Obligados.”</w:t>
      </w:r>
    </w:p>
    <w:p w14:paraId="4D938867" w14:textId="77777777" w:rsidR="00104FE1" w:rsidRDefault="008C00BE">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w:t>
      </w:r>
      <w:r>
        <w:rPr>
          <w:rFonts w:ascii="Palatino Linotype" w:eastAsia="Palatino Linotype" w:hAnsi="Palatino Linotype" w:cs="Palatino Linotype"/>
        </w:rPr>
        <w:lastRenderedPageBreak/>
        <w:t>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FE4BD52" w14:textId="77777777" w:rsidR="00104FE1" w:rsidRDefault="008C00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w:t>
      </w:r>
      <w:r>
        <w:rPr>
          <w:rFonts w:ascii="Palatino Linotype" w:eastAsia="Palatino Linotype" w:hAnsi="Palatino Linotype" w:cs="Palatino Linotype"/>
        </w:rPr>
        <w:t>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753FCDD3" w14:textId="77777777" w:rsidR="00104FE1" w:rsidRDefault="008C00BE">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requirió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le proporcione, información consistente en lo siguiente:</w:t>
      </w:r>
    </w:p>
    <w:p w14:paraId="2BC80C18" w14:textId="77777777" w:rsidR="00104FE1" w:rsidRDefault="008C00BE">
      <w:pPr>
        <w:spacing w:before="240" w:after="240" w:line="360" w:lineRule="auto"/>
        <w:ind w:left="284" w:right="51"/>
        <w:jc w:val="both"/>
        <w:rPr>
          <w:rFonts w:ascii="Palatino Linotype" w:eastAsia="Palatino Linotype" w:hAnsi="Palatino Linotype" w:cs="Palatino Linotype"/>
        </w:rPr>
      </w:pPr>
      <w:r>
        <w:rPr>
          <w:rFonts w:ascii="Palatino Linotype" w:eastAsia="Palatino Linotype" w:hAnsi="Palatino Linotype" w:cs="Palatino Linotype"/>
        </w:rPr>
        <w:t>1. Todas las funciones de todos los servidores públicos adscritos a las áreas de educación, desarrollo urbano, servicios generales, gerencia de la ciudad, recursos humanos.</w:t>
      </w:r>
    </w:p>
    <w:p w14:paraId="3484B2AF" w14:textId="77777777" w:rsidR="00104FE1" w:rsidRDefault="008C00B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términos de los artículos 37, fracción VI, incisos e), f) y g), y 3.99, fracciones II y IV del Código Reglamentario Municipal de Metepec, las áreas a las que hace </w:t>
      </w:r>
      <w:r>
        <w:rPr>
          <w:rFonts w:ascii="Palatino Linotype" w:eastAsia="Palatino Linotype" w:hAnsi="Palatino Linotype" w:cs="Palatino Linotype"/>
        </w:rPr>
        <w:lastRenderedPageBreak/>
        <w:t>referencia la persona solicitante son la Dirección de Desarrollo Urbano y Metropolitano, la Dirección de Educación, la Dirección de Gerencia de la Ciudad, la Subdirección de Recursos Humanos y la Subdirección de Servicios Generales.</w:t>
      </w:r>
    </w:p>
    <w:p w14:paraId="61C7C5BB" w14:textId="77777777" w:rsidR="00104FE1" w:rsidRDefault="008C00B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por conducto de la Subdirección de Recursos Humanos y la Dirección de Administración, refirió que la información solicitada constituye una obligación de transparencia común, publicada en el portal IPOMEX, y, para efectos de la consulta proporcionó dos direcciones electrónicas en formato cerrado, así como el procedimiento para la consulta de la información, como a continuación se ilustra para mejor referencia:</w:t>
      </w:r>
    </w:p>
    <w:p w14:paraId="47F96ED3" w14:textId="77777777" w:rsidR="00104FE1" w:rsidRDefault="008C00BE">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38484F74" wp14:editId="491CD98D">
            <wp:extent cx="5040000" cy="3128476"/>
            <wp:effectExtent l="0" t="0" r="0" b="0"/>
            <wp:docPr id="21401318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040000" cy="3128476"/>
                    </a:xfrm>
                    <a:prstGeom prst="rect">
                      <a:avLst/>
                    </a:prstGeom>
                    <a:ln/>
                  </pic:spPr>
                </pic:pic>
              </a:graphicData>
            </a:graphic>
          </wp:inline>
        </w:drawing>
      </w:r>
    </w:p>
    <w:p w14:paraId="471D70F7" w14:textId="77777777" w:rsidR="00104FE1" w:rsidRDefault="008C00BE">
      <w:pPr>
        <w:pBdr>
          <w:top w:val="nil"/>
          <w:left w:val="nil"/>
          <w:bottom w:val="nil"/>
          <w:right w:val="nil"/>
          <w:between w:val="nil"/>
        </w:pBdr>
        <w:tabs>
          <w:tab w:val="left" w:pos="993"/>
        </w:tabs>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Sin embargo, al no estar conforme con los términos de la respuesta proporcionada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el recurso de revisión que nos ocupa, donde señaló como motivo de inconformidad que se le negó la información.</w:t>
      </w:r>
    </w:p>
    <w:p w14:paraId="4F83852D" w14:textId="77777777" w:rsidR="00104FE1" w:rsidRDefault="008C00BE">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Durante el periodo de manifestaciones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ratificó en lo sustancial la respuesta proporcionada en primera instancia, mientras que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fue omisa de rendir alegatos.</w:t>
      </w:r>
    </w:p>
    <w:p w14:paraId="0398FA33" w14:textId="77777777" w:rsidR="00104FE1" w:rsidRDefault="008C00BE">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Una vez establecidas las posturas de las partes, se procede al análisis de los requerimientos de información, así como la información proporcionada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 contraposición con el motivo de inconformidad alegado por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1EC32AC1" w14:textId="77777777" w:rsidR="00104FE1" w:rsidRDefault="008C00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tenor, conviene señalar que, en observancia del procedimiento previsto en los artículos 53 fracciones II y IV y 162 de la Ley de Transparencia y Acceso a la Información Pública del Estado de México, la Unidad de Transparencia, turnó la solicitud al área que pudiera tener la información materia de la solicitud, </w:t>
      </w:r>
      <w:proofErr w:type="gramStart"/>
      <w:r>
        <w:rPr>
          <w:rFonts w:ascii="Palatino Linotype" w:eastAsia="Palatino Linotype" w:hAnsi="Palatino Linotype" w:cs="Palatino Linotype"/>
        </w:rPr>
        <w:t>de acuerdo a</w:t>
      </w:r>
      <w:proofErr w:type="gramEnd"/>
      <w:r>
        <w:rPr>
          <w:rFonts w:ascii="Palatino Linotype" w:eastAsia="Palatino Linotype" w:hAnsi="Palatino Linotype" w:cs="Palatino Linotype"/>
        </w:rPr>
        <w:t xml:space="preserve"> sus atribuciones, competencias o funciones, esto es a la Dirección de Administración, la cual tiene bajo su adscripción a la Subdirección de Recursos Humanos.</w:t>
      </w:r>
    </w:p>
    <w:p w14:paraId="404BF8BE" w14:textId="77777777" w:rsidR="00104FE1" w:rsidRDefault="008C00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Cabe señalar que de conformidad con el artículo 3.100 del Código de Reglamentación Municipal de Metepec, la Subdirección de Recursos Humanos tiene conferidas, entre otras atribuciones, las siguientes:</w:t>
      </w:r>
    </w:p>
    <w:p w14:paraId="3D926791" w14:textId="77777777" w:rsidR="00104FE1" w:rsidRDefault="008C00BE">
      <w:pPr>
        <w:spacing w:before="240" w:after="240" w:line="360"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 Coordinar y dirigir los sistemas de reclutamiento, selección, contratación y desarrollo de personal de las diferentes unidades administrativas de la Administración Pública Municipal;</w:t>
      </w:r>
    </w:p>
    <w:p w14:paraId="349BF7A6" w14:textId="77777777" w:rsidR="00104FE1" w:rsidRDefault="008C00BE">
      <w:pPr>
        <w:spacing w:before="240" w:after="240" w:line="360" w:lineRule="auto"/>
        <w:ind w:left="284"/>
        <w:jc w:val="both"/>
        <w:rPr>
          <w:rFonts w:ascii="Palatino Linotype" w:eastAsia="Palatino Linotype" w:hAnsi="Palatino Linotype" w:cs="Palatino Linotype"/>
        </w:rPr>
      </w:pPr>
      <w:r>
        <w:rPr>
          <w:rFonts w:ascii="Palatino Linotype" w:eastAsia="Palatino Linotype" w:hAnsi="Palatino Linotype" w:cs="Palatino Linotype"/>
        </w:rPr>
        <w:lastRenderedPageBreak/>
        <w:t>- Atender todo lo inherente al reclutamiento, selección, inducción, capacitación, evaluación del desempeño y ascensos escalafonarios de las y los servidores públicos, con estricto apego a las disposiciones legales y normativas, convenios y cualquier documento contractual, que rija las relaciones entre el Ayuntamiento y las y los servidores públicos;</w:t>
      </w:r>
    </w:p>
    <w:p w14:paraId="5E786A34" w14:textId="77777777" w:rsidR="00104FE1" w:rsidRDefault="008C00BE">
      <w:pPr>
        <w:spacing w:before="240" w:after="240" w:line="360"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 Coordinar el resguardo y actualización del archivo de personal salvaguardando la información en términos de las disposiciones legales;</w:t>
      </w:r>
    </w:p>
    <w:p w14:paraId="4C8F30FF" w14:textId="77777777" w:rsidR="00104FE1" w:rsidRDefault="008C00BE">
      <w:pPr>
        <w:spacing w:before="240" w:after="240" w:line="360"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 Formular y mantener actualizados los catálogos de puestos y los tabuladores de sueldos;</w:t>
      </w:r>
    </w:p>
    <w:p w14:paraId="2C5773E4" w14:textId="77777777" w:rsidR="00104FE1" w:rsidRDefault="008C00BE">
      <w:pPr>
        <w:spacing w:before="240" w:after="240" w:line="360"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 Mantener actualizadas las plantillas de plazas autorizadas y de personal de las dependencias;</w:t>
      </w:r>
    </w:p>
    <w:p w14:paraId="3205AFB8" w14:textId="77777777" w:rsidR="00104FE1" w:rsidRDefault="008C00BE">
      <w:pPr>
        <w:tabs>
          <w:tab w:val="left" w:pos="3544"/>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Atento a lo anterior, se colige que la Dirección de Administración cuenta con atribuciones para conocer de la información solicitada por la parte </w:t>
      </w:r>
      <w:r>
        <w:rPr>
          <w:rFonts w:ascii="Palatino Linotype" w:eastAsia="Palatino Linotype" w:hAnsi="Palatino Linotype" w:cs="Palatino Linotype"/>
          <w:b/>
        </w:rPr>
        <w:t>Recurrente</w:t>
      </w:r>
      <w:r>
        <w:rPr>
          <w:rFonts w:ascii="Palatino Linotype" w:eastAsia="Palatino Linotype" w:hAnsi="Palatino Linotype" w:cs="Palatino Linotype"/>
        </w:rPr>
        <w:t>, por lo tanto, la Unidad de Transparencia cumplió el procedimiento de búsqueda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w:t>
      </w:r>
    </w:p>
    <w:p w14:paraId="1F330109" w14:textId="77777777" w:rsidR="00104FE1" w:rsidRDefault="008C00BE">
      <w:pPr>
        <w:tabs>
          <w:tab w:val="left" w:pos="3544"/>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en atención a la solicitud de información, la persona servidora pública habilitada manifestó que lo requerido constituye una obligación de transparencia común publicada en el portal de Información Pública de Oficio </w:t>
      </w:r>
      <w:r>
        <w:rPr>
          <w:rFonts w:ascii="Palatino Linotype" w:eastAsia="Palatino Linotype" w:hAnsi="Palatino Linotype" w:cs="Palatino Linotype"/>
        </w:rPr>
        <w:lastRenderedPageBreak/>
        <w:t>Mexiquense, IPOMEX, proporcionando dos direcciones electrónicas, así como el procedimiento para la consulta.</w:t>
      </w:r>
    </w:p>
    <w:p w14:paraId="02BB6BEC" w14:textId="77777777" w:rsidR="00104FE1" w:rsidRDefault="008C00BE">
      <w:pPr>
        <w:tabs>
          <w:tab w:val="left" w:pos="3544"/>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como se advierte en líneas anteriores, las ligas electrónicas se proporcionó a través de un documento digitalizado en formato cerrado que no permite editar, modificar o procesar su contenido, es decir, no permite la reutilización de la información o la interoperabilidad de la misma, requiere que la liga electrónica sea capturada carácter por carácter, tarea que se dificulta en gran medida ya que al componerse de diversos caracteres, es decir, letras, números, signos, espacios, etcétera, existe </w:t>
      </w:r>
      <w:r>
        <w:rPr>
          <w:rFonts w:ascii="Palatino Linotype" w:eastAsia="Palatino Linotype" w:hAnsi="Palatino Linotype" w:cs="Palatino Linotype"/>
        </w:rPr>
        <w:t xml:space="preserve">una gran probabilidad de cometer errores en la captura, lo cual implicaría invariablemente la imposibilidad de acceder a la información, por lo que se le insta a que en próximas ocasiones en la medida de lo posible, cuando haga entrega de información pública de manera electrónica, garantice la interoperabilidad de esta, es decir, que esta contenga datos en formatos y estándares abiertos para su reproducción y reutilización electrónica por parte de los solicitantes, </w:t>
      </w:r>
      <w:r>
        <w:rPr>
          <w:rFonts w:ascii="Palatino Linotype" w:eastAsia="Palatino Linotype" w:hAnsi="Palatino Linotype" w:cs="Palatino Linotype"/>
          <w:b/>
          <w:u w:val="single"/>
        </w:rPr>
        <w:t>preferentemente a través de enlaces o hipe</w:t>
      </w:r>
      <w:r>
        <w:rPr>
          <w:rFonts w:ascii="Palatino Linotype" w:eastAsia="Palatino Linotype" w:hAnsi="Palatino Linotype" w:cs="Palatino Linotype"/>
          <w:b/>
          <w:u w:val="single"/>
        </w:rPr>
        <w:t>rvínculos, que permitan la conexión directa a la página o sitio en el que se aloja la información, al dar clic al mismo</w:t>
      </w:r>
      <w:r>
        <w:rPr>
          <w:rFonts w:ascii="Palatino Linotype" w:eastAsia="Palatino Linotype" w:hAnsi="Palatino Linotype" w:cs="Palatino Linotype"/>
        </w:rPr>
        <w:t>, con la finalidad de asegurar el acceso a la información que es de su interés.</w:t>
      </w:r>
    </w:p>
    <w:p w14:paraId="6B27F24E" w14:textId="77777777" w:rsidR="00104FE1" w:rsidRDefault="008C00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de la lectura del motivo de inconformidad hecho valer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advierte que esta accedió a las ligas electrónicas, sin embargo, no contienen la información completa.</w:t>
      </w:r>
    </w:p>
    <w:p w14:paraId="768795AB" w14:textId="77777777" w:rsidR="00104FE1" w:rsidRDefault="008C00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es imprescindible traer a colación el artículo 161 de la Ley de Transparencia y Acceso a la Información Pública del Estado de México y Municipios</w:t>
      </w:r>
      <w:r>
        <w:rPr>
          <w:rFonts w:ascii="Palatino Linotype" w:eastAsia="Palatino Linotype" w:hAnsi="Palatino Linotype" w:cs="Palatino Linotype"/>
          <w:i/>
        </w:rPr>
        <w:t xml:space="preserve">, </w:t>
      </w:r>
      <w:r>
        <w:rPr>
          <w:rFonts w:ascii="Palatino Linotype" w:eastAsia="Palatino Linotype" w:hAnsi="Palatino Linotype" w:cs="Palatino Linotype"/>
        </w:rPr>
        <w:lastRenderedPageBreak/>
        <w:t>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4A85B14A" w14:textId="77777777" w:rsidR="00104FE1" w:rsidRDefault="008C00BE">
      <w:pPr>
        <w:spacing w:before="120" w:after="120" w:line="276" w:lineRule="auto"/>
        <w:ind w:left="284" w:right="51"/>
        <w:jc w:val="both"/>
        <w:rPr>
          <w:rFonts w:ascii="Palatino Linotype" w:eastAsia="Palatino Linotype" w:hAnsi="Palatino Linotype" w:cs="Palatino Linotype"/>
        </w:rPr>
      </w:pPr>
      <w:r>
        <w:rPr>
          <w:rFonts w:ascii="Palatino Linotype" w:eastAsia="Palatino Linotype" w:hAnsi="Palatino Linotype" w:cs="Palatino Linotype"/>
        </w:rPr>
        <w:t>a) La fuente</w:t>
      </w:r>
    </w:p>
    <w:p w14:paraId="05EF3A94" w14:textId="77777777" w:rsidR="00104FE1" w:rsidRDefault="008C00BE">
      <w:pPr>
        <w:spacing w:before="120" w:after="120" w:line="276" w:lineRule="auto"/>
        <w:ind w:left="284" w:right="51"/>
        <w:jc w:val="both"/>
        <w:rPr>
          <w:rFonts w:ascii="Palatino Linotype" w:eastAsia="Palatino Linotype" w:hAnsi="Palatino Linotype" w:cs="Palatino Linotype"/>
        </w:rPr>
      </w:pPr>
      <w:r>
        <w:rPr>
          <w:rFonts w:ascii="Palatino Linotype" w:eastAsia="Palatino Linotype" w:hAnsi="Palatino Linotype" w:cs="Palatino Linotype"/>
        </w:rPr>
        <w:t>b) El lugar y</w:t>
      </w:r>
    </w:p>
    <w:p w14:paraId="45A6F94F" w14:textId="77777777" w:rsidR="00104FE1" w:rsidRDefault="008C00BE">
      <w:pPr>
        <w:spacing w:before="120" w:after="120" w:line="276" w:lineRule="auto"/>
        <w:ind w:left="284" w:right="51"/>
        <w:jc w:val="both"/>
        <w:rPr>
          <w:rFonts w:ascii="Palatino Linotype" w:eastAsia="Palatino Linotype" w:hAnsi="Palatino Linotype" w:cs="Palatino Linotype"/>
        </w:rPr>
      </w:pPr>
      <w:r>
        <w:rPr>
          <w:rFonts w:ascii="Palatino Linotype" w:eastAsia="Palatino Linotype" w:hAnsi="Palatino Linotype" w:cs="Palatino Linotype"/>
        </w:rPr>
        <w:t>c) La forma</w:t>
      </w:r>
    </w:p>
    <w:p w14:paraId="31B738B9" w14:textId="77777777" w:rsidR="00104FE1" w:rsidRDefault="008C00B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Asimismo, se establece que la fuente de la información deberá ser:</w:t>
      </w:r>
    </w:p>
    <w:p w14:paraId="5D07CFB2" w14:textId="77777777" w:rsidR="00104FE1" w:rsidRDefault="008C00BE">
      <w:pPr>
        <w:spacing w:before="120" w:after="120" w:line="276" w:lineRule="auto"/>
        <w:ind w:left="284" w:right="51"/>
        <w:jc w:val="both"/>
        <w:rPr>
          <w:rFonts w:ascii="Palatino Linotype" w:eastAsia="Palatino Linotype" w:hAnsi="Palatino Linotype" w:cs="Palatino Linotype"/>
        </w:rPr>
      </w:pPr>
      <w:r>
        <w:rPr>
          <w:rFonts w:ascii="Palatino Linotype" w:eastAsia="Palatino Linotype" w:hAnsi="Palatino Linotype" w:cs="Palatino Linotype"/>
        </w:rPr>
        <w:t>a) Precisa</w:t>
      </w:r>
    </w:p>
    <w:p w14:paraId="0FB7CC3D" w14:textId="77777777" w:rsidR="00104FE1" w:rsidRDefault="008C00BE">
      <w:pPr>
        <w:spacing w:before="120" w:after="120" w:line="276" w:lineRule="auto"/>
        <w:ind w:left="284" w:right="51"/>
        <w:jc w:val="both"/>
        <w:rPr>
          <w:rFonts w:ascii="Palatino Linotype" w:eastAsia="Palatino Linotype" w:hAnsi="Palatino Linotype" w:cs="Palatino Linotype"/>
        </w:rPr>
      </w:pPr>
      <w:r>
        <w:rPr>
          <w:rFonts w:ascii="Palatino Linotype" w:eastAsia="Palatino Linotype" w:hAnsi="Palatino Linotype" w:cs="Palatino Linotype"/>
        </w:rPr>
        <w:t>b) Concreta</w:t>
      </w:r>
    </w:p>
    <w:p w14:paraId="1922FB35" w14:textId="77777777" w:rsidR="00104FE1" w:rsidRDefault="008C00BE">
      <w:pPr>
        <w:spacing w:before="120" w:after="120" w:line="276" w:lineRule="auto"/>
        <w:ind w:left="284" w:right="51"/>
        <w:jc w:val="both"/>
        <w:rPr>
          <w:rFonts w:ascii="Palatino Linotype" w:eastAsia="Palatino Linotype" w:hAnsi="Palatino Linotype" w:cs="Palatino Linotype"/>
        </w:rPr>
      </w:pPr>
      <w:r>
        <w:rPr>
          <w:rFonts w:ascii="Palatino Linotype" w:eastAsia="Palatino Linotype" w:hAnsi="Palatino Linotype" w:cs="Palatino Linotype"/>
        </w:rPr>
        <w:t>c) Y no debe implicar que el solicitante realice una búsqueda en toda la información que se encuentre disponible.</w:t>
      </w:r>
    </w:p>
    <w:p w14:paraId="6E0BD8D3" w14:textId="77777777" w:rsidR="00104FE1" w:rsidRDefault="008C00B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Imperativos legales que establecen el procedimiento que deben seguir los Sujetos Obligados para que pueda tomarse como válida su orientación sobre la forma en que puede consultar la información requerida.</w:t>
      </w:r>
    </w:p>
    <w:p w14:paraId="5789F5CF" w14:textId="77777777" w:rsidR="00104FE1" w:rsidRDefault="008C00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consiguiente, este Organismo Garante procedió a realizar la consulta de la información a través de las ligas electrónicas proporcionadas por el </w:t>
      </w:r>
      <w:r>
        <w:rPr>
          <w:rFonts w:ascii="Palatino Linotype" w:eastAsia="Palatino Linotype" w:hAnsi="Palatino Linotype" w:cs="Palatino Linotype"/>
          <w:b/>
        </w:rPr>
        <w:t>Sujeto Obligado</w:t>
      </w:r>
      <w:r>
        <w:rPr>
          <w:rFonts w:ascii="Palatino Linotype" w:eastAsia="Palatino Linotype" w:hAnsi="Palatino Linotype" w:cs="Palatino Linotype"/>
        </w:rPr>
        <w:t>, obteniendo como lo siguiente:</w:t>
      </w:r>
    </w:p>
    <w:p w14:paraId="62A7FA69" w14:textId="77777777" w:rsidR="00104FE1" w:rsidRDefault="008C00BE">
      <w:pPr>
        <w:tabs>
          <w:tab w:val="left" w:pos="3544"/>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72D2C9D7" wp14:editId="1B963239">
            <wp:extent cx="5612130" cy="4130675"/>
            <wp:effectExtent l="0" t="0" r="0" b="0"/>
            <wp:docPr id="21401318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612130" cy="4130675"/>
                    </a:xfrm>
                    <a:prstGeom prst="rect">
                      <a:avLst/>
                    </a:prstGeom>
                    <a:ln/>
                  </pic:spPr>
                </pic:pic>
              </a:graphicData>
            </a:graphic>
          </wp:inline>
        </w:drawing>
      </w:r>
    </w:p>
    <w:p w14:paraId="613E83C8" w14:textId="77777777" w:rsidR="00104FE1" w:rsidRDefault="008C00BE">
      <w:pPr>
        <w:tabs>
          <w:tab w:val="left" w:pos="3544"/>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Como se advierte, la orientación proporcionada dirige al portal de Información Pública de Oficio </w:t>
      </w:r>
      <w:proofErr w:type="gramStart"/>
      <w:r>
        <w:rPr>
          <w:rFonts w:ascii="Palatino Linotype" w:eastAsia="Palatino Linotype" w:hAnsi="Palatino Linotype" w:cs="Palatino Linotype"/>
        </w:rPr>
        <w:t>Mexiquense,  específicamente</w:t>
      </w:r>
      <w:proofErr w:type="gramEnd"/>
      <w:r>
        <w:rPr>
          <w:rFonts w:ascii="Palatino Linotype" w:eastAsia="Palatino Linotype" w:hAnsi="Palatino Linotype" w:cs="Palatino Linotype"/>
        </w:rPr>
        <w:t xml:space="preserve"> al apartado donde se encuentran las facultades de cada área.</w:t>
      </w:r>
    </w:p>
    <w:p w14:paraId="3652703D" w14:textId="77777777" w:rsidR="00104FE1" w:rsidRDefault="008C00B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 oportuno mencionar que dicha información se encuentra vinculada a las obligaciones de transparencia establecidas en la Ley de Transparencia y Acceso a la Información Pública del Estado de México y Municipios, relativa a la estructura orgánica contemplada en el artículo 92, fracción II, de la Ley de Transparencia y Acceso a la Información Pública del Estado de México y Municipios, que se transcribe a continuación:</w:t>
      </w:r>
    </w:p>
    <w:p w14:paraId="13A8B32C" w14:textId="77777777" w:rsidR="00104FE1" w:rsidRDefault="00104FE1">
      <w:pPr>
        <w:spacing w:line="360" w:lineRule="auto"/>
        <w:jc w:val="both"/>
        <w:rPr>
          <w:rFonts w:ascii="Palatino Linotype" w:eastAsia="Palatino Linotype" w:hAnsi="Palatino Linotype" w:cs="Palatino Linotype"/>
        </w:rPr>
      </w:pPr>
    </w:p>
    <w:p w14:paraId="49EE5EC0" w14:textId="77777777" w:rsidR="00104FE1" w:rsidRDefault="008C00B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92.</w:t>
      </w:r>
      <w:r>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w:t>
      </w:r>
    </w:p>
    <w:p w14:paraId="58B5B554" w14:textId="77777777" w:rsidR="00104FE1" w:rsidRDefault="008C00B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14:paraId="4DFA3F97" w14:textId="77777777" w:rsidR="00104FE1" w:rsidRDefault="008C00B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 </w:t>
      </w:r>
      <w:r>
        <w:rPr>
          <w:rFonts w:ascii="Palatino Linotype" w:eastAsia="Palatino Linotype" w:hAnsi="Palatino Linotype" w:cs="Palatino Linotype"/>
          <w:i/>
          <w:sz w:val="22"/>
          <w:szCs w:val="22"/>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14666929" w14:textId="77777777" w:rsidR="00104FE1" w:rsidRDefault="008C00BE">
      <w:pPr>
        <w:pBdr>
          <w:top w:val="nil"/>
          <w:left w:val="nil"/>
          <w:bottom w:val="nil"/>
          <w:right w:val="nil"/>
          <w:between w:val="nil"/>
        </w:pBdr>
        <w:spacing w:before="240" w:after="240" w:line="360" w:lineRule="auto"/>
        <w:ind w:right="51"/>
        <w:jc w:val="both"/>
      </w:pPr>
      <w:r>
        <w:rPr>
          <w:rFonts w:ascii="Palatino Linotype" w:eastAsia="Palatino Linotype" w:hAnsi="Palatino Linotype" w:cs="Palatino Linotype"/>
        </w:rPr>
        <w:t>A mayor abundamiento,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contemplan lo siguiente: </w:t>
      </w:r>
    </w:p>
    <w:p w14:paraId="37DD138D" w14:textId="77777777" w:rsidR="00104FE1" w:rsidRDefault="00104FE1"/>
    <w:p w14:paraId="3743D0E7" w14:textId="77777777" w:rsidR="00104FE1" w:rsidRDefault="008C00BE">
      <w:pPr>
        <w:pBdr>
          <w:top w:val="nil"/>
          <w:left w:val="nil"/>
          <w:bottom w:val="nil"/>
          <w:right w:val="nil"/>
          <w:between w:val="nil"/>
        </w:pBdr>
        <w:spacing w:before="120" w:after="120"/>
        <w:ind w:left="851" w:right="902"/>
        <w:jc w:val="both"/>
        <w:rPr>
          <w:sz w:val="22"/>
          <w:szCs w:val="22"/>
        </w:rPr>
      </w:pPr>
      <w:r>
        <w:rPr>
          <w:rFonts w:ascii="Palatino Linotype" w:eastAsia="Palatino Linotype" w:hAnsi="Palatino Linotype" w:cs="Palatino Linotype"/>
          <w:i/>
          <w:sz w:val="22"/>
          <w:szCs w:val="22"/>
        </w:rPr>
        <w:t xml:space="preserve">“II. Su estructura orgánica completa, </w:t>
      </w:r>
      <w:r>
        <w:rPr>
          <w:rFonts w:ascii="Palatino Linotype" w:eastAsia="Palatino Linotype" w:hAnsi="Palatino Linotype" w:cs="Palatino Linotype"/>
          <w:b/>
          <w:i/>
          <w:sz w:val="22"/>
          <w:szCs w:val="22"/>
        </w:rPr>
        <w:t xml:space="preserve">en un formato que permita vincular cada parte de la estructura, </w:t>
      </w:r>
      <w:r>
        <w:rPr>
          <w:rFonts w:ascii="Palatino Linotype" w:eastAsia="Palatino Linotype" w:hAnsi="Palatino Linotype" w:cs="Palatino Linotype"/>
          <w:b/>
          <w:i/>
          <w:sz w:val="22"/>
          <w:szCs w:val="22"/>
          <w:u w:val="single"/>
        </w:rPr>
        <w:t>las atribuciones y responsabilidades que le corresponden a cada servidor público</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prestador de servicios profesionales o miembro de los sujetos obligados de conformidad con las disposiciones aplicables</w:t>
      </w:r>
    </w:p>
    <w:p w14:paraId="3FB20F1A" w14:textId="77777777" w:rsidR="00104FE1" w:rsidRDefault="008C00BE">
      <w:pPr>
        <w:pBdr>
          <w:top w:val="nil"/>
          <w:left w:val="nil"/>
          <w:bottom w:val="nil"/>
          <w:right w:val="nil"/>
          <w:between w:val="nil"/>
        </w:pBdr>
        <w:spacing w:before="120" w:after="120"/>
        <w:ind w:left="851" w:right="902"/>
        <w:jc w:val="both"/>
        <w:rPr>
          <w:sz w:val="22"/>
          <w:szCs w:val="22"/>
        </w:rPr>
      </w:pPr>
      <w:r>
        <w:rPr>
          <w:rFonts w:ascii="Palatino Linotype" w:eastAsia="Palatino Linotype" w:hAnsi="Palatino Linotype" w:cs="Palatino Linotype"/>
          <w:b/>
          <w:i/>
          <w:sz w:val="22"/>
          <w:szCs w:val="22"/>
          <w:u w:val="single"/>
        </w:rPr>
        <w:t>El sujeto obligado incluirá la estructura orgánica que da cuenta de la distribución y orden de las funciones que se establecen para el cumplimiento de sus objetivos conforme a criterios de jerarquía y especialización, ordenados mediante los catálogos de las áreas que integran el sujeto obligado</w:t>
      </w: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 de tal forma que sea posible visualizar los niveles jerárquicos y sus relaciones de dependencia de acuerdo con el estatuto orgánico u otro ordenamiento que le aplique</w:t>
      </w:r>
      <w:r>
        <w:rPr>
          <w:rFonts w:ascii="Palatino Linotype" w:eastAsia="Palatino Linotype" w:hAnsi="Palatino Linotype" w:cs="Palatino Linotype"/>
          <w:i/>
          <w:sz w:val="22"/>
          <w:szCs w:val="22"/>
        </w:rPr>
        <w:t>. Se deberá publicar la estructura vigente, es decir, la que está en operación en el sujeto obligado y ha sido aprobada y/o dictaminada por la autoridad competente. </w:t>
      </w:r>
    </w:p>
    <w:p w14:paraId="2CFA227A" w14:textId="77777777" w:rsidR="00104FE1" w:rsidRDefault="008C00BE">
      <w:pPr>
        <w:pBdr>
          <w:top w:val="nil"/>
          <w:left w:val="nil"/>
          <w:bottom w:val="nil"/>
          <w:right w:val="nil"/>
          <w:between w:val="nil"/>
        </w:pBdr>
        <w:spacing w:before="120" w:after="120"/>
        <w:ind w:left="851" w:right="902"/>
        <w:jc w:val="both"/>
        <w:rPr>
          <w:sz w:val="22"/>
          <w:szCs w:val="22"/>
        </w:rPr>
      </w:pPr>
      <w:r>
        <w:rPr>
          <w:rFonts w:ascii="Palatino Linotype" w:eastAsia="Palatino Linotype" w:hAnsi="Palatino Linotype" w:cs="Palatino Linotype"/>
          <w:i/>
          <w:sz w:val="22"/>
          <w:szCs w:val="22"/>
        </w:rPr>
        <w:t>En aquellos casos en los que dicha estructura no corresponda con la funcional, deberá especificarse cuáles puestos se encuentran en tránsito de aprobación por parte de las autoridades competentes. </w:t>
      </w:r>
    </w:p>
    <w:p w14:paraId="1309677B" w14:textId="77777777" w:rsidR="00104FE1" w:rsidRDefault="008C00BE">
      <w:pPr>
        <w:pBdr>
          <w:top w:val="nil"/>
          <w:left w:val="nil"/>
          <w:bottom w:val="nil"/>
          <w:right w:val="nil"/>
          <w:between w:val="nil"/>
        </w:pBdr>
        <w:spacing w:before="120" w:after="120"/>
        <w:ind w:left="851" w:right="902"/>
        <w:jc w:val="both"/>
        <w:rPr>
          <w:sz w:val="22"/>
          <w:szCs w:val="22"/>
        </w:rPr>
      </w:pPr>
      <w:r>
        <w:rPr>
          <w:rFonts w:ascii="Palatino Linotype" w:eastAsia="Palatino Linotype" w:hAnsi="Palatino Linotype" w:cs="Palatino Linotype"/>
          <w:i/>
          <w:sz w:val="22"/>
          <w:szCs w:val="22"/>
        </w:rPr>
        <w:lastRenderedPageBreak/>
        <w:t>Si la estructura aprobada se modifica, los sujetos obligados deberán aclarar mediante una nota fundamentada, motivada y actualizada al periodo que corresponda, cuáles son las áreas de reciente creación, las que cambiaron de denominación (anterior y actual) y aquéllas que desaparecieron. Esta nota se conservará durante un trimestre, el cual empezará a contar a partir de la actualización de la fracción. Los sujetos obligados que no tengan estructura orgánica autorizada deberán incluir una nota fundamentada, m</w:t>
      </w:r>
      <w:r>
        <w:rPr>
          <w:rFonts w:ascii="Palatino Linotype" w:eastAsia="Palatino Linotype" w:hAnsi="Palatino Linotype" w:cs="Palatino Linotype"/>
          <w:i/>
          <w:sz w:val="22"/>
          <w:szCs w:val="22"/>
        </w:rPr>
        <w:t>otivada y actualizada al periodo que corresponda, que explique la situación del sujeto obligado. </w:t>
      </w:r>
    </w:p>
    <w:p w14:paraId="6AD3A642" w14:textId="77777777" w:rsidR="00104FE1" w:rsidRDefault="008C00BE">
      <w:pPr>
        <w:pBdr>
          <w:top w:val="nil"/>
          <w:left w:val="nil"/>
          <w:bottom w:val="nil"/>
          <w:right w:val="nil"/>
          <w:between w:val="nil"/>
        </w:pBdr>
        <w:spacing w:before="120" w:after="120"/>
        <w:ind w:left="851" w:right="902"/>
        <w:jc w:val="both"/>
        <w:rPr>
          <w:sz w:val="22"/>
          <w:szCs w:val="22"/>
        </w:rPr>
      </w:pPr>
      <w:r>
        <w:rPr>
          <w:rFonts w:ascii="Palatino Linotype" w:eastAsia="Palatino Linotype" w:hAnsi="Palatino Linotype" w:cs="Palatino Linotype"/>
          <w:b/>
          <w:i/>
          <w:sz w:val="22"/>
          <w:szCs w:val="22"/>
          <w:u w:val="single"/>
        </w:rPr>
        <w:t xml:space="preserve">La estructura orgánica deberá incluir al titular del sujeto obligado y todos los servidores públicos adscritos a las unidades administrativas, áreas, institutos o los que correspondan, incluido el personal de gabinete de apoyo </w:t>
      </w:r>
      <w:proofErr w:type="spellStart"/>
      <w:r>
        <w:rPr>
          <w:rFonts w:ascii="Palatino Linotype" w:eastAsia="Palatino Linotype" w:hAnsi="Palatino Linotype" w:cs="Palatino Linotype"/>
          <w:b/>
          <w:i/>
          <w:sz w:val="22"/>
          <w:szCs w:val="22"/>
          <w:u w:val="single"/>
        </w:rPr>
        <w:t>u</w:t>
      </w:r>
      <w:proofErr w:type="spellEnd"/>
      <w:r>
        <w:rPr>
          <w:rFonts w:ascii="Palatino Linotype" w:eastAsia="Palatino Linotype" w:hAnsi="Palatino Linotype" w:cs="Palatino Linotype"/>
          <w:b/>
          <w:i/>
          <w:sz w:val="22"/>
          <w:szCs w:val="22"/>
          <w:u w:val="single"/>
        </w:rPr>
        <w:t xml:space="preserve"> homólogo, prestadores de servicios profesionales, miembros de los sujetos obligados, así como los respectivos niveles de adjunto, homólogo o cualquier otro equivalente, según la denominación que se le dé.</w:t>
      </w:r>
    </w:p>
    <w:p w14:paraId="549E243E" w14:textId="77777777" w:rsidR="00104FE1" w:rsidRDefault="008C00BE">
      <w:pPr>
        <w:pBdr>
          <w:top w:val="nil"/>
          <w:left w:val="nil"/>
          <w:bottom w:val="nil"/>
          <w:right w:val="nil"/>
          <w:between w:val="nil"/>
        </w:pBdr>
        <w:spacing w:before="120" w:after="120"/>
        <w:ind w:left="851" w:right="902"/>
        <w:jc w:val="both"/>
        <w:rPr>
          <w:sz w:val="22"/>
          <w:szCs w:val="22"/>
        </w:rPr>
      </w:pPr>
      <w:r>
        <w:rPr>
          <w:rFonts w:ascii="Palatino Linotype" w:eastAsia="Palatino Linotype" w:hAnsi="Palatino Linotype" w:cs="Palatino Linotype"/>
          <w:i/>
          <w:sz w:val="22"/>
          <w:szCs w:val="22"/>
        </w:rPr>
        <w:t>…</w:t>
      </w:r>
    </w:p>
    <w:p w14:paraId="51E13883" w14:textId="77777777" w:rsidR="00104FE1" w:rsidRDefault="008C00BE">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Todos los sujetos obligados deberán publicar una nota que especifique claramente que los prestadores de servicios profesionales reportados no forman parte de la estructura orgánica en virtud de que fungen como apoyo para el desarrollo de las actividades de los puestos que sí conforman la estructura orgánica.</w:t>
      </w:r>
    </w:p>
    <w:p w14:paraId="4841D933" w14:textId="77777777" w:rsidR="00104FE1" w:rsidRDefault="008C00BE">
      <w:pPr>
        <w:pBdr>
          <w:top w:val="nil"/>
          <w:left w:val="nil"/>
          <w:bottom w:val="nil"/>
          <w:right w:val="nil"/>
          <w:between w:val="nil"/>
        </w:pBdr>
        <w:ind w:left="567" w:right="900"/>
        <w:jc w:val="both"/>
      </w:pPr>
      <w:r>
        <w:rPr>
          <w:rFonts w:ascii="Palatino Linotype" w:eastAsia="Palatino Linotype" w:hAnsi="Palatino Linotype" w:cs="Palatino Linotype"/>
          <w:i/>
          <w:noProof/>
        </w:rPr>
        <w:drawing>
          <wp:inline distT="0" distB="0" distL="0" distR="0" wp14:anchorId="6C116495" wp14:editId="724CAAF3">
            <wp:extent cx="4699051" cy="1675795"/>
            <wp:effectExtent l="0" t="0" r="0" b="0"/>
            <wp:docPr id="2140131846" name="image12.png" descr="https://lh7-us.googleusercontent.com/Em2T3FepT9VaJWw0tVO9TivCdmh6uCuZwpDBqMJDlWo9INEMu2dwLOf_dpW7-U0ArpYyJ1B94JFvCsgwNp-9v93PEM8cRC19Sz4VR8mr0gx6EZbdEvmx84HPZVaDwZveqEaoT8C-JB6q6fmYTLFn"/>
            <wp:cNvGraphicFramePr/>
            <a:graphic xmlns:a="http://schemas.openxmlformats.org/drawingml/2006/main">
              <a:graphicData uri="http://schemas.openxmlformats.org/drawingml/2006/picture">
                <pic:pic xmlns:pic="http://schemas.openxmlformats.org/drawingml/2006/picture">
                  <pic:nvPicPr>
                    <pic:cNvPr id="0" name="image12.png" descr="https://lh7-us.googleusercontent.com/Em2T3FepT9VaJWw0tVO9TivCdmh6uCuZwpDBqMJDlWo9INEMu2dwLOf_dpW7-U0ArpYyJ1B94JFvCsgwNp-9v93PEM8cRC19Sz4VR8mr0gx6EZbdEvmx84HPZVaDwZveqEaoT8C-JB6q6fmYTLFn"/>
                    <pic:cNvPicPr preferRelativeResize="0"/>
                  </pic:nvPicPr>
                  <pic:blipFill>
                    <a:blip r:embed="rId10"/>
                    <a:srcRect b="55620"/>
                    <a:stretch>
                      <a:fillRect/>
                    </a:stretch>
                  </pic:blipFill>
                  <pic:spPr>
                    <a:xfrm>
                      <a:off x="0" y="0"/>
                      <a:ext cx="4699051" cy="1675795"/>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0247322E" wp14:editId="005CB29B">
                <wp:simplePos x="0" y="0"/>
                <wp:positionH relativeFrom="column">
                  <wp:posOffset>608844</wp:posOffset>
                </wp:positionH>
                <wp:positionV relativeFrom="paragraph">
                  <wp:posOffset>805323</wp:posOffset>
                </wp:positionV>
                <wp:extent cx="4359934" cy="943873"/>
                <wp:effectExtent l="0" t="0" r="0" b="0"/>
                <wp:wrapNone/>
                <wp:docPr id="2140131842" name="Rectángulo 2140131842"/>
                <wp:cNvGraphicFramePr/>
                <a:graphic xmlns:a="http://schemas.openxmlformats.org/drawingml/2006/main">
                  <a:graphicData uri="http://schemas.microsoft.com/office/word/2010/wordprocessingShape">
                    <wps:wsp>
                      <wps:cNvSpPr/>
                      <wps:spPr>
                        <a:xfrm>
                          <a:off x="3185083" y="3327114"/>
                          <a:ext cx="4321834" cy="905773"/>
                        </a:xfrm>
                        <a:prstGeom prst="rect">
                          <a:avLst/>
                        </a:prstGeom>
                        <a:noFill/>
                        <a:ln w="38100" cap="flat" cmpd="sng">
                          <a:solidFill>
                            <a:srgbClr val="C00000"/>
                          </a:solidFill>
                          <a:prstDash val="solid"/>
                          <a:round/>
                          <a:headEnd type="none" w="sm" len="sm"/>
                          <a:tailEnd type="none" w="sm" len="sm"/>
                        </a:ln>
                      </wps:spPr>
                      <wps:txbx>
                        <w:txbxContent>
                          <w:p w14:paraId="5093286D" w14:textId="77777777" w:rsidR="00104FE1" w:rsidRDefault="00104FE1">
                            <w:pPr>
                              <w:textDirection w:val="btLr"/>
                            </w:pPr>
                          </w:p>
                        </w:txbxContent>
                      </wps:txbx>
                      <wps:bodyPr spcFirstLastPara="1" wrap="square" lIns="91425" tIns="91425" rIns="91425" bIns="91425" anchor="ctr" anchorCtr="0">
                        <a:noAutofit/>
                      </wps:bodyPr>
                    </wps:wsp>
                  </a:graphicData>
                </a:graphic>
              </wp:anchor>
            </w:drawing>
          </mc:Choice>
          <mc:Fallback>
            <w:pict>
              <v:rect w14:anchorId="0247322E" id="Rectángulo 2140131842" o:spid="_x0000_s1026" style="position:absolute;left:0;text-align:left;margin-left:47.95pt;margin-top:63.4pt;width:343.3pt;height:74.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" filled="f" strokecolor="#c00000" strokeweight="3pt">
                <v:stroke startarrowwidth="narrow" startarrowlength="short" endarrowwidth="narrow" endarrowlength="short" joinstyle="round"/>
                <v:textbox inset="2.53958mm,2.53958mm,2.53958mm,2.53958mm">
                  <w:txbxContent>
                    <w:p w14:paraId="5093286D" w14:textId="77777777" w:rsidR="00104FE1" w:rsidRDefault="00104FE1">
                      <w:pPr>
                        <w:textDirection w:val="btLr"/>
                      </w:pPr>
                    </w:p>
                  </w:txbxContent>
                </v:textbox>
              </v:rect>
            </w:pict>
          </mc:Fallback>
        </mc:AlternateContent>
      </w:r>
    </w:p>
    <w:p w14:paraId="21364AAD" w14:textId="77777777" w:rsidR="00104FE1" w:rsidRDefault="00104FE1">
      <w:pPr>
        <w:pBdr>
          <w:top w:val="nil"/>
          <w:left w:val="nil"/>
          <w:bottom w:val="nil"/>
          <w:right w:val="nil"/>
          <w:between w:val="nil"/>
        </w:pBdr>
        <w:ind w:left="567" w:right="900"/>
        <w:jc w:val="both"/>
      </w:pPr>
    </w:p>
    <w:p w14:paraId="3ADB9DD3" w14:textId="77777777" w:rsidR="00104FE1" w:rsidRDefault="008C00BE">
      <w:pPr>
        <w:pBdr>
          <w:top w:val="nil"/>
          <w:left w:val="nil"/>
          <w:bottom w:val="nil"/>
          <w:right w:val="nil"/>
          <w:between w:val="nil"/>
        </w:pBdr>
        <w:ind w:left="567" w:right="900"/>
        <w:jc w:val="both"/>
      </w:pPr>
      <w:r>
        <w:rPr>
          <w:rFonts w:ascii="Palatino Linotype" w:eastAsia="Palatino Linotype" w:hAnsi="Palatino Linotype" w:cs="Palatino Linotype"/>
          <w:i/>
          <w:noProof/>
        </w:rPr>
        <w:lastRenderedPageBreak/>
        <w:drawing>
          <wp:inline distT="0" distB="0" distL="0" distR="0" wp14:anchorId="7F3C9802" wp14:editId="52A0824D">
            <wp:extent cx="4460179" cy="1792035"/>
            <wp:effectExtent l="0" t="0" r="0" b="0"/>
            <wp:docPr id="2140131850" name="image12.png" descr="https://lh7-us.googleusercontent.com/Em2T3FepT9VaJWw0tVO9TivCdmh6uCuZwpDBqMJDlWo9INEMu2dwLOf_dpW7-U0ArpYyJ1B94JFvCsgwNp-9v93PEM8cRC19Sz4VR8mr0gx6EZbdEvmx84HPZVaDwZveqEaoT8C-JB6q6fmYTLFn"/>
            <wp:cNvGraphicFramePr/>
            <a:graphic xmlns:a="http://schemas.openxmlformats.org/drawingml/2006/main">
              <a:graphicData uri="http://schemas.openxmlformats.org/drawingml/2006/picture">
                <pic:pic xmlns:pic="http://schemas.openxmlformats.org/drawingml/2006/picture">
                  <pic:nvPicPr>
                    <pic:cNvPr id="0" name="image12.png" descr="https://lh7-us.googleusercontent.com/Em2T3FepT9VaJWw0tVO9TivCdmh6uCuZwpDBqMJDlWo9INEMu2dwLOf_dpW7-U0ArpYyJ1B94JFvCsgwNp-9v93PEM8cRC19Sz4VR8mr0gx6EZbdEvmx84HPZVaDwZveqEaoT8C-JB6q6fmYTLFn"/>
                    <pic:cNvPicPr preferRelativeResize="0"/>
                  </pic:nvPicPr>
                  <pic:blipFill>
                    <a:blip r:embed="rId10"/>
                    <a:srcRect t="48276"/>
                    <a:stretch>
                      <a:fillRect/>
                    </a:stretch>
                  </pic:blipFill>
                  <pic:spPr>
                    <a:xfrm>
                      <a:off x="0" y="0"/>
                      <a:ext cx="4460179" cy="1792035"/>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14:anchorId="72B39E1C" wp14:editId="6FC585B7">
                <wp:simplePos x="0" y="0"/>
                <wp:positionH relativeFrom="column">
                  <wp:posOffset>626098</wp:posOffset>
                </wp:positionH>
                <wp:positionV relativeFrom="paragraph">
                  <wp:posOffset>-97896</wp:posOffset>
                </wp:positionV>
                <wp:extent cx="4359934" cy="279640"/>
                <wp:effectExtent l="0" t="0" r="0" b="0"/>
                <wp:wrapNone/>
                <wp:docPr id="2140131844" name="Rectángulo 2140131844"/>
                <wp:cNvGraphicFramePr/>
                <a:graphic xmlns:a="http://schemas.openxmlformats.org/drawingml/2006/main">
                  <a:graphicData uri="http://schemas.microsoft.com/office/word/2010/wordprocessingShape">
                    <wps:wsp>
                      <wps:cNvSpPr/>
                      <wps:spPr>
                        <a:xfrm rot="10800000" flipH="1">
                          <a:off x="3185083" y="3659230"/>
                          <a:ext cx="4321834" cy="241540"/>
                        </a:xfrm>
                        <a:prstGeom prst="rect">
                          <a:avLst/>
                        </a:prstGeom>
                        <a:noFill/>
                        <a:ln w="38100" cap="flat" cmpd="sng">
                          <a:solidFill>
                            <a:srgbClr val="C00000"/>
                          </a:solidFill>
                          <a:prstDash val="solid"/>
                          <a:round/>
                          <a:headEnd type="none" w="sm" len="sm"/>
                          <a:tailEnd type="none" w="sm" len="sm"/>
                        </a:ln>
                      </wps:spPr>
                      <wps:txbx>
                        <w:txbxContent>
                          <w:p w14:paraId="08D85FF8" w14:textId="77777777" w:rsidR="00104FE1" w:rsidRDefault="00104FE1">
                            <w:pPr>
                              <w:textDirection w:val="btLr"/>
                            </w:pPr>
                          </w:p>
                        </w:txbxContent>
                      </wps:txbx>
                      <wps:bodyPr spcFirstLastPara="1" wrap="square" lIns="91425" tIns="91425" rIns="91425" bIns="91425" anchor="ctr" anchorCtr="0">
                        <a:noAutofit/>
                      </wps:bodyPr>
                    </wps:wsp>
                  </a:graphicData>
                </a:graphic>
              </wp:anchor>
            </w:drawing>
          </mc:Choice>
          <mc:Fallback>
            <w:pict>
              <v:rect w14:anchorId="72B39E1C" id="Rectángulo 2140131844" o:spid="_x0000_s1027" style="position:absolute;left:0;text-align:left;margin-left:49.3pt;margin-top:-7.7pt;width:343.3pt;height:22pt;rotation:180;flip:x;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" filled="f" strokecolor="#c00000" strokeweight="3pt">
                <v:stroke startarrowwidth="narrow" startarrowlength="short" endarrowwidth="narrow" endarrowlength="short" joinstyle="round"/>
                <v:textbox inset="2.53958mm,2.53958mm,2.53958mm,2.53958mm">
                  <w:txbxContent>
                    <w:p w14:paraId="08D85FF8" w14:textId="77777777" w:rsidR="00104FE1" w:rsidRDefault="00104FE1">
                      <w:pPr>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07A7ACE7" wp14:editId="46A0D14A">
                <wp:simplePos x="0" y="0"/>
                <wp:positionH relativeFrom="column">
                  <wp:posOffset>617471</wp:posOffset>
                </wp:positionH>
                <wp:positionV relativeFrom="paragraph">
                  <wp:posOffset>316109</wp:posOffset>
                </wp:positionV>
                <wp:extent cx="4359934" cy="460795"/>
                <wp:effectExtent l="0" t="0" r="0" b="0"/>
                <wp:wrapNone/>
                <wp:docPr id="2140131843" name="Rectángulo 2140131843"/>
                <wp:cNvGraphicFramePr/>
                <a:graphic xmlns:a="http://schemas.openxmlformats.org/drawingml/2006/main">
                  <a:graphicData uri="http://schemas.microsoft.com/office/word/2010/wordprocessingShape">
                    <wps:wsp>
                      <wps:cNvSpPr/>
                      <wps:spPr>
                        <a:xfrm rot="10800000" flipH="1">
                          <a:off x="3185083" y="3568653"/>
                          <a:ext cx="4321834" cy="422695"/>
                        </a:xfrm>
                        <a:prstGeom prst="rect">
                          <a:avLst/>
                        </a:prstGeom>
                        <a:noFill/>
                        <a:ln w="38100" cap="flat" cmpd="sng">
                          <a:solidFill>
                            <a:srgbClr val="C00000"/>
                          </a:solidFill>
                          <a:prstDash val="solid"/>
                          <a:round/>
                          <a:headEnd type="none" w="sm" len="sm"/>
                          <a:tailEnd type="none" w="sm" len="sm"/>
                        </a:ln>
                      </wps:spPr>
                      <wps:txbx>
                        <w:txbxContent>
                          <w:p w14:paraId="72E8A028" w14:textId="77777777" w:rsidR="00104FE1" w:rsidRDefault="00104FE1">
                            <w:pPr>
                              <w:textDirection w:val="btLr"/>
                            </w:pPr>
                          </w:p>
                        </w:txbxContent>
                      </wps:txbx>
                      <wps:bodyPr spcFirstLastPara="1" wrap="square" lIns="91425" tIns="91425" rIns="91425" bIns="91425" anchor="ctr" anchorCtr="0">
                        <a:noAutofit/>
                      </wps:bodyPr>
                    </wps:wsp>
                  </a:graphicData>
                </a:graphic>
              </wp:anchor>
            </w:drawing>
          </mc:Choice>
          <mc:Fallback>
            <w:pict>
              <v:rect w14:anchorId="07A7ACE7" id="Rectángulo 2140131843" o:spid="_x0000_s1028" style="position:absolute;left:0;text-align:left;margin-left:48.6pt;margin-top:24.9pt;width:343.3pt;height:36.3pt;rotation:180;flip:x;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" filled="f" strokecolor="#c00000" strokeweight="3pt">
                <v:stroke startarrowwidth="narrow" startarrowlength="short" endarrowwidth="narrow" endarrowlength="short" joinstyle="round"/>
                <v:textbox inset="2.53958mm,2.53958mm,2.53958mm,2.53958mm">
                  <w:txbxContent>
                    <w:p w14:paraId="72E8A028" w14:textId="77777777" w:rsidR="00104FE1" w:rsidRDefault="00104FE1">
                      <w:pPr>
                        <w:textDirection w:val="btLr"/>
                      </w:pPr>
                    </w:p>
                  </w:txbxContent>
                </v:textbox>
              </v:rect>
            </w:pict>
          </mc:Fallback>
        </mc:AlternateContent>
      </w:r>
    </w:p>
    <w:p w14:paraId="16426C5D" w14:textId="77777777" w:rsidR="00104FE1" w:rsidRDefault="008C00BE">
      <w:pPr>
        <w:tabs>
          <w:tab w:val="left" w:pos="3544"/>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la información que deben publicar los Sujetos Obligados en cumplimiento a dicha obligación de transparencia, debe estar estructurada en un formato que permita vincular cada parte de la estructura orgánica y las atribuciones y responsabilidades que le correspondan a cada servidor público, de acuerdo con el puesto o cargo que ostentan, y la norma que establece sus atribuciones, responsabilidades o funciones según sea el caso y el fundamento legal que sustenta el puesto.</w:t>
      </w:r>
    </w:p>
    <w:p w14:paraId="0D43F4EB" w14:textId="77777777" w:rsidR="00104FE1" w:rsidRDefault="008C00BE">
      <w:pPr>
        <w:tabs>
          <w:tab w:val="left" w:pos="3544"/>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Una vez acotado lo anterior, se procedió al análisis de la información publicada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respecto de las unidades administrativas referidas por la persona solicitante, y como resultado se obtuvo que en dicho portal únicamente se encuentran publicadas las facultades conferidas a mandos medios y superiores, como se ilustra a continuación de manera ejemplificativa:</w:t>
      </w:r>
    </w:p>
    <w:p w14:paraId="031799A4" w14:textId="77777777" w:rsidR="00104FE1" w:rsidRDefault="008C00BE">
      <w:pPr>
        <w:tabs>
          <w:tab w:val="left" w:pos="3544"/>
        </w:tabs>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2289E6A4" wp14:editId="1F61E47E">
            <wp:extent cx="4058216" cy="1009791"/>
            <wp:effectExtent l="0" t="0" r="0" b="0"/>
            <wp:docPr id="214013184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058216" cy="1009791"/>
                    </a:xfrm>
                    <a:prstGeom prst="rect">
                      <a:avLst/>
                    </a:prstGeom>
                    <a:ln/>
                  </pic:spPr>
                </pic:pic>
              </a:graphicData>
            </a:graphic>
          </wp:inline>
        </w:drawing>
      </w:r>
    </w:p>
    <w:p w14:paraId="3B6DD9E2" w14:textId="77777777" w:rsidR="00104FE1" w:rsidRDefault="008C00BE">
      <w:pPr>
        <w:tabs>
          <w:tab w:val="left" w:pos="3544"/>
        </w:tabs>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0987711F" wp14:editId="2C0B6058">
            <wp:extent cx="4500000" cy="2034623"/>
            <wp:effectExtent l="0" t="0" r="0" b="0"/>
            <wp:docPr id="21401318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500000" cy="2034623"/>
                    </a:xfrm>
                    <a:prstGeom prst="rect">
                      <a:avLst/>
                    </a:prstGeom>
                    <a:ln/>
                  </pic:spPr>
                </pic:pic>
              </a:graphicData>
            </a:graphic>
          </wp:inline>
        </w:drawing>
      </w:r>
    </w:p>
    <w:p w14:paraId="004C7A84" w14:textId="77777777" w:rsidR="00104FE1" w:rsidRDefault="008C00BE">
      <w:pPr>
        <w:tabs>
          <w:tab w:val="left" w:pos="3544"/>
        </w:tabs>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4B7BDEA5" wp14:editId="6A192F23">
            <wp:extent cx="4500000" cy="1978615"/>
            <wp:effectExtent l="0" t="0" r="0" b="0"/>
            <wp:docPr id="21401318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500000" cy="1978615"/>
                    </a:xfrm>
                    <a:prstGeom prst="rect">
                      <a:avLst/>
                    </a:prstGeom>
                    <a:ln/>
                  </pic:spPr>
                </pic:pic>
              </a:graphicData>
            </a:graphic>
          </wp:inline>
        </w:drawing>
      </w:r>
    </w:p>
    <w:p w14:paraId="1104C20B" w14:textId="77777777" w:rsidR="00104FE1" w:rsidRDefault="008C00BE">
      <w:pPr>
        <w:tabs>
          <w:tab w:val="left" w:pos="3544"/>
        </w:tabs>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633251B1" wp14:editId="1C74D66F">
            <wp:extent cx="4500000" cy="1965377"/>
            <wp:effectExtent l="0" t="0" r="0" b="0"/>
            <wp:docPr id="214013185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4500000" cy="1965377"/>
                    </a:xfrm>
                    <a:prstGeom prst="rect">
                      <a:avLst/>
                    </a:prstGeom>
                    <a:ln/>
                  </pic:spPr>
                </pic:pic>
              </a:graphicData>
            </a:graphic>
          </wp:inline>
        </w:drawing>
      </w:r>
    </w:p>
    <w:p w14:paraId="7E94DA4A" w14:textId="77777777" w:rsidR="00104FE1" w:rsidRDefault="008C00B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Como se logra vislumbrar, en el apartado en análisis se encuentra información sobre las facultades de la Subdirección de Recursos Humanos, así como a los Departamentos de Nómina y Relaciones laborales, y para la consulta de </w:t>
      </w:r>
      <w:proofErr w:type="gramStart"/>
      <w:r>
        <w:rPr>
          <w:rFonts w:ascii="Palatino Linotype" w:eastAsia="Palatino Linotype" w:hAnsi="Palatino Linotype" w:cs="Palatino Linotype"/>
        </w:rPr>
        <w:t>las mismas</w:t>
      </w:r>
      <w:proofErr w:type="gramEnd"/>
      <w:r>
        <w:rPr>
          <w:rFonts w:ascii="Palatino Linotype" w:eastAsia="Palatino Linotype" w:hAnsi="Palatino Linotype" w:cs="Palatino Linotype"/>
        </w:rPr>
        <w:t xml:space="preserve"> </w:t>
      </w:r>
      <w:r>
        <w:rPr>
          <w:rFonts w:ascii="Palatino Linotype" w:eastAsia="Palatino Linotype" w:hAnsi="Palatino Linotype" w:cs="Palatino Linotype"/>
        </w:rPr>
        <w:lastRenderedPageBreak/>
        <w:t xml:space="preserve">basta con acceder al Código de Reglamentación Municipal de Metepec, Estado de México, a través del hipervínculo que se facilita en el mismo portal, y localizar el </w:t>
      </w:r>
      <w:proofErr w:type="spellStart"/>
      <w:r>
        <w:rPr>
          <w:rFonts w:ascii="Palatino Linotype" w:eastAsia="Palatino Linotype" w:hAnsi="Palatino Linotype" w:cs="Palatino Linotype"/>
        </w:rPr>
        <w:t>articulo</w:t>
      </w:r>
      <w:proofErr w:type="spellEnd"/>
      <w:r>
        <w:rPr>
          <w:rFonts w:ascii="Palatino Linotype" w:eastAsia="Palatino Linotype" w:hAnsi="Palatino Linotype" w:cs="Palatino Linotype"/>
        </w:rPr>
        <w:t xml:space="preserve"> que se menciona, en el caso concreto, los artículos 3.100, 3.102 y 3.103:</w:t>
      </w:r>
    </w:p>
    <w:p w14:paraId="2F873D3B" w14:textId="77777777" w:rsidR="00104FE1" w:rsidRDefault="008C00BE">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49531FB7" wp14:editId="14F47C96">
            <wp:extent cx="4500000" cy="1341889"/>
            <wp:effectExtent l="0" t="0" r="0" b="0"/>
            <wp:docPr id="21401318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b="23409"/>
                    <a:stretch>
                      <a:fillRect/>
                    </a:stretch>
                  </pic:blipFill>
                  <pic:spPr>
                    <a:xfrm>
                      <a:off x="0" y="0"/>
                      <a:ext cx="4500000" cy="1341889"/>
                    </a:xfrm>
                    <a:prstGeom prst="rect">
                      <a:avLst/>
                    </a:prstGeom>
                    <a:ln/>
                  </pic:spPr>
                </pic:pic>
              </a:graphicData>
            </a:graphic>
          </wp:inline>
        </w:drawing>
      </w:r>
      <w:r>
        <w:rPr>
          <w:rFonts w:ascii="Palatino Linotype" w:eastAsia="Palatino Linotype" w:hAnsi="Palatino Linotype" w:cs="Palatino Linotype"/>
          <w:noProof/>
        </w:rPr>
        <w:drawing>
          <wp:inline distT="0" distB="0" distL="0" distR="0" wp14:anchorId="025C3673" wp14:editId="26A196D9">
            <wp:extent cx="4500000" cy="1227597"/>
            <wp:effectExtent l="0" t="0" r="0" b="0"/>
            <wp:docPr id="21401318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4500000" cy="1227597"/>
                    </a:xfrm>
                    <a:prstGeom prst="rect">
                      <a:avLst/>
                    </a:prstGeom>
                    <a:ln/>
                  </pic:spPr>
                </pic:pic>
              </a:graphicData>
            </a:graphic>
          </wp:inline>
        </w:drawing>
      </w:r>
      <w:r>
        <w:rPr>
          <w:rFonts w:ascii="Palatino Linotype" w:eastAsia="Palatino Linotype" w:hAnsi="Palatino Linotype" w:cs="Palatino Linotype"/>
          <w:noProof/>
        </w:rPr>
        <w:drawing>
          <wp:inline distT="0" distB="0" distL="0" distR="0" wp14:anchorId="2024B7BC" wp14:editId="3BA97AEB">
            <wp:extent cx="4500000" cy="1590631"/>
            <wp:effectExtent l="0" t="0" r="0" b="0"/>
            <wp:docPr id="21401318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500000" cy="1590631"/>
                    </a:xfrm>
                    <a:prstGeom prst="rect">
                      <a:avLst/>
                    </a:prstGeom>
                    <a:ln/>
                  </pic:spPr>
                </pic:pic>
              </a:graphicData>
            </a:graphic>
          </wp:inline>
        </w:drawing>
      </w:r>
    </w:p>
    <w:p w14:paraId="7244BF25" w14:textId="77777777" w:rsidR="00104FE1" w:rsidRDefault="008C00B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Sin embargo, de la confrontación con la información publicada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el portal IPOMEX en cumplimiento a la obligación de transparencia prevista en el artículo 92, fracción VIII de la Ley de Transparencia y Acceso a la Información Pública del Estado de México y Municipios, relativa a las remuneraciones de todos los servidores públicos, se advirtió que la Subdirección de Recursos Humanos se integra por lo menos por 5 servidores públicos, con cargos </w:t>
      </w:r>
      <w:r>
        <w:rPr>
          <w:rFonts w:ascii="Palatino Linotype" w:eastAsia="Palatino Linotype" w:hAnsi="Palatino Linotype" w:cs="Palatino Linotype"/>
        </w:rPr>
        <w:lastRenderedPageBreak/>
        <w:t>de Auxiliar Administrativo y Técnico Analista, además del Subdirector, como se observa en seguida:</w:t>
      </w:r>
    </w:p>
    <w:p w14:paraId="5265EFEB" w14:textId="77777777" w:rsidR="00104FE1" w:rsidRDefault="008C00BE">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6FDD581E" wp14:editId="198A736F">
            <wp:extent cx="4500000" cy="1961303"/>
            <wp:effectExtent l="0" t="0" r="0" b="0"/>
            <wp:docPr id="214013185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4500000" cy="1961303"/>
                    </a:xfrm>
                    <a:prstGeom prst="rect">
                      <a:avLst/>
                    </a:prstGeom>
                    <a:ln/>
                  </pic:spPr>
                </pic:pic>
              </a:graphicData>
            </a:graphic>
          </wp:inline>
        </w:drawing>
      </w:r>
    </w:p>
    <w:p w14:paraId="2BB1DF6B" w14:textId="77777777" w:rsidR="00104FE1" w:rsidRDefault="008C00B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Departamento de Nómina, adscrito a la Subdirección de Recursos Humanos, se integra por lo menos por 6 servidores públicos, con cargos de Analista y Auxiliar Administrativo, además del </w:t>
      </w:r>
      <w:proofErr w:type="gramStart"/>
      <w:r>
        <w:rPr>
          <w:rFonts w:ascii="Palatino Linotype" w:eastAsia="Palatino Linotype" w:hAnsi="Palatino Linotype" w:cs="Palatino Linotype"/>
        </w:rPr>
        <w:t>Jefe</w:t>
      </w:r>
      <w:proofErr w:type="gramEnd"/>
      <w:r>
        <w:rPr>
          <w:rFonts w:ascii="Palatino Linotype" w:eastAsia="Palatino Linotype" w:hAnsi="Palatino Linotype" w:cs="Palatino Linotype"/>
        </w:rPr>
        <w:t xml:space="preserve"> de Departamento:</w:t>
      </w:r>
    </w:p>
    <w:p w14:paraId="61D4C590" w14:textId="77777777" w:rsidR="00104FE1" w:rsidRDefault="008C00BE">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6F7B189A" wp14:editId="606BBD63">
            <wp:extent cx="4500000" cy="1380855"/>
            <wp:effectExtent l="0" t="0" r="0" b="0"/>
            <wp:docPr id="21401318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4500000" cy="1380855"/>
                    </a:xfrm>
                    <a:prstGeom prst="rect">
                      <a:avLst/>
                    </a:prstGeom>
                    <a:ln/>
                  </pic:spPr>
                </pic:pic>
              </a:graphicData>
            </a:graphic>
          </wp:inline>
        </w:drawing>
      </w:r>
    </w:p>
    <w:p w14:paraId="3AAC2045" w14:textId="77777777" w:rsidR="00104FE1" w:rsidRDefault="008C00B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Y, finalmente, el Departamento de Relaciones Laborales, adscrito a la Subdirección de Recursos Humanos, se integra por lo menos de 7 servidores públicos, con cargos de Analista, Archivista, Auxiliar Administrativo, además del </w:t>
      </w:r>
      <w:proofErr w:type="gramStart"/>
      <w:r>
        <w:rPr>
          <w:rFonts w:ascii="Palatino Linotype" w:eastAsia="Palatino Linotype" w:hAnsi="Palatino Linotype" w:cs="Palatino Linotype"/>
        </w:rPr>
        <w:t>Jefe</w:t>
      </w:r>
      <w:proofErr w:type="gramEnd"/>
      <w:r>
        <w:rPr>
          <w:rFonts w:ascii="Palatino Linotype" w:eastAsia="Palatino Linotype" w:hAnsi="Palatino Linotype" w:cs="Palatino Linotype"/>
        </w:rPr>
        <w:t xml:space="preserve"> de Departamento:</w:t>
      </w:r>
    </w:p>
    <w:p w14:paraId="785ED3AD" w14:textId="77777777" w:rsidR="00104FE1" w:rsidRDefault="008C00BE">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204D591B" wp14:editId="526027FD">
            <wp:extent cx="4500000" cy="1952138"/>
            <wp:effectExtent l="0" t="0" r="0" b="0"/>
            <wp:docPr id="21401318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4500000" cy="1952138"/>
                    </a:xfrm>
                    <a:prstGeom prst="rect">
                      <a:avLst/>
                    </a:prstGeom>
                    <a:ln/>
                  </pic:spPr>
                </pic:pic>
              </a:graphicData>
            </a:graphic>
          </wp:inline>
        </w:drawing>
      </w:r>
    </w:p>
    <w:p w14:paraId="68EB812A" w14:textId="77777777" w:rsidR="00104FE1" w:rsidRDefault="008C00B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en el apartado del artículo 92, fracción II de la Ley de la </w:t>
      </w:r>
      <w:proofErr w:type="gramStart"/>
      <w:r>
        <w:rPr>
          <w:rFonts w:ascii="Palatino Linotype" w:eastAsia="Palatino Linotype" w:hAnsi="Palatino Linotype" w:cs="Palatino Linotype"/>
        </w:rPr>
        <w:t>Materia,  no</w:t>
      </w:r>
      <w:proofErr w:type="gramEnd"/>
      <w:r>
        <w:rPr>
          <w:rFonts w:ascii="Palatino Linotype" w:eastAsia="Palatino Linotype" w:hAnsi="Palatino Linotype" w:cs="Palatino Linotype"/>
        </w:rPr>
        <w:t xml:space="preserve"> se hace referencia a las atribuciones o funciones que se les son conferidas a las personas servidoras públicas que ostentan los cargos referidos, es decir, las funciones que desempeñan los servidores públicos con puesto de Analista, Auxiliar Administrativo, Técnico Analista o Archivista. </w:t>
      </w:r>
    </w:p>
    <w:p w14:paraId="2DC72910" w14:textId="77777777" w:rsidR="00104FE1" w:rsidRDefault="008C00B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Atento a lo anterior, es claro que el motivo de inconformidad alegado por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deviene fundado, al no haberse proporcionado las funciones conferidas a todos los servidores públicos adscritos a las áreas que son de su interés, y por consiguiente no puede tenerse por satisfecho el Derecho de acceso a la información, siendo necesario, para tal efecto, que previa búsqueda exhaustiva y razonable se haga entrega del o los documentos que den cuenta de las funciones que desempeñan los servidores públicos faltantes, en versión pública de ser procedente.</w:t>
      </w:r>
    </w:p>
    <w:p w14:paraId="4C7F0781" w14:textId="77777777" w:rsidR="00104FE1" w:rsidRDefault="008C00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si bien la información requerida por la persona solicitante versa sobre una obligación de transparencia, y que por tal motivo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encuentra constreñido a poner a disposición del público dicha información, de manera permanente y actualizada a través de los portales de internet y en la </w:t>
      </w:r>
      <w:r>
        <w:rPr>
          <w:rFonts w:ascii="Palatino Linotype" w:eastAsia="Palatino Linotype" w:hAnsi="Palatino Linotype" w:cs="Palatino Linotype"/>
        </w:rPr>
        <w:lastRenderedPageBreak/>
        <w:t>Plataforma Nacional de Transparencia,  no es óbice para que éste sea el único medio por el cual la solicitud pueda ser atendida, en virtud de que los sujetos obligados se encuentran constreñidos a documentar todo acto que derive del ejercicio de sus facultades, competencias o funciones considerando su eventual publicación, en términos d</w:t>
      </w:r>
      <w:r>
        <w:rPr>
          <w:rFonts w:ascii="Palatino Linotype" w:eastAsia="Palatino Linotype" w:hAnsi="Palatino Linotype" w:cs="Palatino Linotype"/>
        </w:rPr>
        <w:t>e los artículos 18 y 24 fracción XXII de la Ley de la Materia, que a la letra señalan lo siguiente:</w:t>
      </w:r>
    </w:p>
    <w:p w14:paraId="404FBEA6" w14:textId="77777777" w:rsidR="00104FE1" w:rsidRDefault="008C00B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Los sujetos obligados </w:t>
      </w:r>
      <w:r>
        <w:rPr>
          <w:rFonts w:ascii="Palatino Linotype" w:eastAsia="Palatino Linotype" w:hAnsi="Palatino Linotype" w:cs="Palatino Linotype"/>
          <w:b/>
          <w:i/>
          <w:sz w:val="22"/>
          <w:szCs w:val="22"/>
        </w:rPr>
        <w:t>deberán documentar todo acto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que derive del ejercicio de sus facultades, competencias o funciones</w:t>
      </w:r>
      <w:r>
        <w:rPr>
          <w:rFonts w:ascii="Palatino Linotype" w:eastAsia="Palatino Linotype" w:hAnsi="Palatino Linotype" w:cs="Palatino Linotype"/>
          <w:i/>
          <w:sz w:val="22"/>
          <w:szCs w:val="22"/>
        </w:rPr>
        <w:t>, considerando desde su origen la eventual publicidad y reutilización de la información que generen.</w:t>
      </w:r>
    </w:p>
    <w:p w14:paraId="4E51B787" w14:textId="77777777" w:rsidR="00104FE1" w:rsidRDefault="008C00B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FFA8BFD" w14:textId="77777777" w:rsidR="00104FE1" w:rsidRDefault="008C00B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24.</w:t>
      </w:r>
      <w:r>
        <w:rPr>
          <w:rFonts w:ascii="Palatino Linotype" w:eastAsia="Palatino Linotype" w:hAnsi="Palatino Linotype" w:cs="Palatino Linotype"/>
          <w:i/>
          <w:sz w:val="22"/>
          <w:szCs w:val="22"/>
        </w:rPr>
        <w:t xml:space="preserve"> Para el cumplimiento de los objetivos de esta Ley</w:t>
      </w:r>
      <w:r>
        <w:rPr>
          <w:rFonts w:ascii="Palatino Linotype" w:eastAsia="Palatino Linotype" w:hAnsi="Palatino Linotype" w:cs="Palatino Linotype"/>
          <w:b/>
          <w:i/>
          <w:sz w:val="22"/>
          <w:szCs w:val="22"/>
        </w:rPr>
        <w:t>, los sujetos obligados deberán cumplir con las siguientes obligaciones</w:t>
      </w:r>
      <w:r>
        <w:rPr>
          <w:rFonts w:ascii="Palatino Linotype" w:eastAsia="Palatino Linotype" w:hAnsi="Palatino Linotype" w:cs="Palatino Linotype"/>
          <w:i/>
          <w:sz w:val="22"/>
          <w:szCs w:val="22"/>
        </w:rPr>
        <w:t xml:space="preserve">, según corresponda, </w:t>
      </w:r>
      <w:proofErr w:type="gramStart"/>
      <w:r>
        <w:rPr>
          <w:rFonts w:ascii="Palatino Linotype" w:eastAsia="Palatino Linotype" w:hAnsi="Palatino Linotype" w:cs="Palatino Linotype"/>
          <w:i/>
          <w:sz w:val="22"/>
          <w:szCs w:val="22"/>
        </w:rPr>
        <w:t>de acuerdo a</w:t>
      </w:r>
      <w:proofErr w:type="gramEnd"/>
      <w:r>
        <w:rPr>
          <w:rFonts w:ascii="Palatino Linotype" w:eastAsia="Palatino Linotype" w:hAnsi="Palatino Linotype" w:cs="Palatino Linotype"/>
          <w:i/>
          <w:sz w:val="22"/>
          <w:szCs w:val="22"/>
        </w:rPr>
        <w:t xml:space="preserve"> su naturaleza:</w:t>
      </w:r>
    </w:p>
    <w:p w14:paraId="39D92980" w14:textId="77777777" w:rsidR="00104FE1" w:rsidRDefault="008C00B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B19DD01" w14:textId="77777777" w:rsidR="00104FE1" w:rsidRDefault="008C00B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Documentar todo acto que derive del ejercicio de sus facultades, competencias o funciones</w:t>
      </w:r>
      <w:r>
        <w:rPr>
          <w:rFonts w:ascii="Palatino Linotype" w:eastAsia="Palatino Linotype" w:hAnsi="Palatino Linotype" w:cs="Palatino Linotype"/>
          <w:i/>
          <w:sz w:val="22"/>
          <w:szCs w:val="22"/>
        </w:rPr>
        <w:t xml:space="preserve"> y abstenerse de destruirlos u ocultarlos, dentro de los que destacan los procesos deliberativos y de decisión definitiva;”</w:t>
      </w:r>
    </w:p>
    <w:p w14:paraId="0A405079" w14:textId="77777777" w:rsidR="00104FE1" w:rsidRDefault="008C00BE">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hasta aquí expuesto, se concluye que los motivos de inconformidad de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devienen fundados, siendo procedente </w:t>
      </w:r>
      <w:r>
        <w:rPr>
          <w:rFonts w:ascii="Palatino Linotype" w:eastAsia="Palatino Linotype" w:hAnsi="Palatino Linotype" w:cs="Palatino Linotype"/>
          <w:i/>
        </w:rPr>
        <w:t xml:space="preserve">Modificar </w:t>
      </w:r>
      <w:r>
        <w:rPr>
          <w:rFonts w:ascii="Palatino Linotype" w:eastAsia="Palatino Linotype" w:hAnsi="Palatino Linotype" w:cs="Palatino Linotype"/>
        </w:rPr>
        <w:t xml:space="preserve">la respuesta proporcionada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605BF504" w14:textId="77777777" w:rsidR="00104FE1" w:rsidRDefault="008C00BE">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Como fue debidamente apuntado,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satisfacer la solicitud de acceso a la información; sin embargo, dada la naturaleza de la información de la cual se ordena su entrega, deberá hacerse en versión pública, toda vez que en los documentos que se ordenan, existe la </w:t>
      </w:r>
      <w:r>
        <w:rPr>
          <w:rFonts w:ascii="Palatino Linotype" w:eastAsia="Palatino Linotype" w:hAnsi="Palatino Linotype" w:cs="Palatino Linotype"/>
        </w:rPr>
        <w:lastRenderedPageBreak/>
        <w:t>posibilidad de que obren datos que son considerados confidenciales, cuyo acceso debe ser restringido que deben testarse al momento de la versión pública, atento a lo siguiente:</w:t>
      </w:r>
    </w:p>
    <w:p w14:paraId="42D38A19" w14:textId="77777777" w:rsidR="00104FE1" w:rsidRDefault="008C00B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derecho de acceso a la información pública tiene como limitante el respeto a la intimidad y a la vida privada de las personas, es por ello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4865AD49" w14:textId="77777777" w:rsidR="00104FE1" w:rsidRDefault="008C00B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7FB598F1" w14:textId="77777777" w:rsidR="00104FE1" w:rsidRDefault="008C00B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Al respecto, los artículos 3, fracciones IX, XX, XXI, XXXII, XLV; 6, 91, 132, 137, 143, fracción I, de la Ley de Transparencia y Acceso a la Información Pública del Estado de México y Municipios establecen:</w:t>
      </w:r>
    </w:p>
    <w:p w14:paraId="74B94411" w14:textId="77777777" w:rsidR="00104FE1" w:rsidRDefault="008C00B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 </w:t>
      </w: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de la presente Ley se entenderá por:</w:t>
      </w:r>
    </w:p>
    <w:p w14:paraId="02753D63" w14:textId="77777777" w:rsidR="00104FE1" w:rsidRDefault="008C00BE">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6C0A028" w14:textId="77777777" w:rsidR="00104FE1" w:rsidRDefault="008C00BE">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06CD0A49" w14:textId="77777777" w:rsidR="00104FE1" w:rsidRDefault="008C00BE">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3103E48" w14:textId="77777777" w:rsidR="00104FE1" w:rsidRDefault="008C00BE">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14:paraId="213206A2" w14:textId="77777777" w:rsidR="00104FE1" w:rsidRDefault="008C00BE">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w:t>
      </w:r>
      <w:r>
        <w:rPr>
          <w:rFonts w:ascii="Palatino Linotype" w:eastAsia="Palatino Linotype" w:hAnsi="Palatino Linotype" w:cs="Palatino Linotype"/>
          <w:i/>
          <w:sz w:val="22"/>
          <w:szCs w:val="22"/>
        </w:rPr>
        <w:lastRenderedPageBreak/>
        <w:t>bursátil y postal, cuya titularidad corresponda a particulares, sujetos de derecho internacional o a sujetos obligados cuando no involucren el ejercicio de recursos públicos;</w:t>
      </w:r>
    </w:p>
    <w:p w14:paraId="17352A5B" w14:textId="77777777" w:rsidR="00104FE1" w:rsidRDefault="008C00BE">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DA6A3B2" w14:textId="77777777" w:rsidR="00104FE1" w:rsidRDefault="008C00BE">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2CE2DE2C" w14:textId="77777777" w:rsidR="00104FE1" w:rsidRDefault="008C00BE">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672173A" w14:textId="77777777" w:rsidR="00104FE1" w:rsidRDefault="008C00BE">
      <w:pPr>
        <w:tabs>
          <w:tab w:val="left" w:pos="1276"/>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1F1CC5C" w14:textId="77777777" w:rsidR="00104FE1" w:rsidRDefault="008C00B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w:t>
      </w:r>
      <w:r>
        <w:rPr>
          <w:rFonts w:ascii="Palatino Linotype" w:eastAsia="Palatino Linotype" w:hAnsi="Palatino Linotype" w:cs="Palatino Linotype"/>
          <w:i/>
          <w:sz w:val="22"/>
          <w:szCs w:val="22"/>
        </w:rPr>
        <w:t>en las leyes de la materia.</w:t>
      </w:r>
    </w:p>
    <w:p w14:paraId="2439B96B" w14:textId="77777777" w:rsidR="00104FE1" w:rsidRDefault="008C00B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58B0919" w14:textId="77777777" w:rsidR="00104FE1" w:rsidRDefault="008C00B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Pr>
          <w:rFonts w:ascii="Palatino Linotype" w:eastAsia="Palatino Linotype" w:hAnsi="Palatino Linotype" w:cs="Palatino Linotype"/>
          <w:i/>
          <w:sz w:val="22"/>
          <w:szCs w:val="22"/>
        </w:rPr>
        <w:br/>
        <w:t>…</w:t>
      </w:r>
    </w:p>
    <w:p w14:paraId="51E8EC02" w14:textId="77777777" w:rsidR="00104FE1" w:rsidRDefault="008C00B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La clasificación de la información se llevará a cabo en el momento en que:</w:t>
      </w:r>
    </w:p>
    <w:p w14:paraId="6FB2E017" w14:textId="77777777" w:rsidR="00104FE1" w:rsidRDefault="008C00B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14:paraId="3C4BCA9E" w14:textId="77777777" w:rsidR="00104FE1" w:rsidRDefault="008C00B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42A8D768" w14:textId="77777777" w:rsidR="00104FE1" w:rsidRDefault="008C00B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625C799C" w14:textId="77777777" w:rsidR="00104FE1" w:rsidRDefault="008C00B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14:paraId="10B244CB" w14:textId="77777777" w:rsidR="00104FE1" w:rsidRDefault="008C00B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205E189" w14:textId="77777777" w:rsidR="00104FE1" w:rsidRDefault="008C00B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Artículo 143.</w:t>
      </w:r>
      <w:r>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56AA0AAD" w14:textId="77777777" w:rsidR="00104FE1" w:rsidRDefault="008C00B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54687ABE" w14:textId="77777777" w:rsidR="00104FE1" w:rsidRDefault="008C00BE">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w:t>
      </w:r>
      <w:r>
        <w:rPr>
          <w:rFonts w:ascii="Palatino Linotype" w:eastAsia="Palatino Linotype" w:hAnsi="Palatino Linotype" w:cs="Palatino Linotype"/>
        </w:rPr>
        <w:t>os que señala la fracción XII del artículo 4 de la Ley de Protección de Datos Personales en posesión de Sujeto Obligados del Estado de México.</w:t>
      </w:r>
    </w:p>
    <w:p w14:paraId="4739BA71" w14:textId="77777777" w:rsidR="00104FE1" w:rsidRDefault="008C00BE">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Datos que deberá clasificar como confidenciales por tratarse precisamente de información privada, puesto que los datos personales son irrenunciables, intransferibles e indelegables y los Sujetos Obligados no deberán hacer entrega de </w:t>
      </w:r>
      <w:proofErr w:type="gramStart"/>
      <w:r>
        <w:rPr>
          <w:rFonts w:ascii="Palatino Linotype" w:eastAsia="Palatino Linotype" w:hAnsi="Palatino Linotype" w:cs="Palatino Linotype"/>
        </w:rPr>
        <w:t>los mismos</w:t>
      </w:r>
      <w:proofErr w:type="gramEnd"/>
      <w:r>
        <w:rPr>
          <w:rFonts w:ascii="Palatino Linotype" w:eastAsia="Palatino Linotype" w:hAnsi="Palatino Linotype" w:cs="Palatino Linotype"/>
        </w:rPr>
        <w:t xml:space="preserve"> a personas ajenas a su titular.</w:t>
      </w:r>
    </w:p>
    <w:p w14:paraId="0CB25EB7" w14:textId="77777777" w:rsidR="00104FE1" w:rsidRDefault="008C00BE">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Pr>
          <w:rFonts w:ascii="Palatino Linotype" w:eastAsia="Palatino Linotype" w:hAnsi="Palatino Linotype" w:cs="Palatino Linotype"/>
        </w:rPr>
        <w:t>Responsable</w:t>
      </w:r>
      <w:proofErr w:type="gramEnd"/>
      <w:r>
        <w:rPr>
          <w:rFonts w:ascii="Palatino Linotype" w:eastAsia="Palatino Linotype" w:hAnsi="Palatino Linotype" w:cs="Palatino Linotype"/>
        </w:rPr>
        <w:t xml:space="preserve"> de la Unidad de Transparencia del Sujeto Obligado, sino que ello deberá realizarse en </w:t>
      </w:r>
      <w:r>
        <w:rPr>
          <w:rFonts w:ascii="Palatino Linotype" w:eastAsia="Palatino Linotype" w:hAnsi="Palatino Linotype" w:cs="Palatino Linotype"/>
        </w:rPr>
        <w:lastRenderedPageBreak/>
        <w:t>términos de lo que disponen los artículos 49 fracción VIII, 53, fracción X y 59, fracción V, de la Ley en consulta, cuyo sentido literal es el siguiente:</w:t>
      </w:r>
    </w:p>
    <w:p w14:paraId="31E847E8" w14:textId="77777777" w:rsidR="00104FE1" w:rsidRDefault="008C00B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14:paraId="371B5650" w14:textId="77777777" w:rsidR="00104FE1" w:rsidRDefault="008C00B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14:paraId="2ECB1C65" w14:textId="77777777" w:rsidR="00104FE1" w:rsidRDefault="008C00B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14:paraId="410D26A8" w14:textId="77777777" w:rsidR="00104FE1" w:rsidRDefault="008C00B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14:paraId="3090DE50" w14:textId="77777777" w:rsidR="00104FE1" w:rsidRDefault="008C00B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14:paraId="40AD7064" w14:textId="77777777" w:rsidR="00104FE1" w:rsidRDefault="008C00B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w:t>
      </w:r>
    </w:p>
    <w:p w14:paraId="58BD7130" w14:textId="77777777" w:rsidR="00104FE1" w:rsidRDefault="008C00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w:t>
      </w:r>
      <w:r>
        <w:rPr>
          <w:rFonts w:ascii="Palatino Linotype" w:eastAsia="Palatino Linotype" w:hAnsi="Palatino Linotype" w:cs="Palatino Linotype"/>
        </w:rPr>
        <w:t>información y finalmente sea éste último quien apruebe, modifique o revoque la clasificación de la información solicitada.</w:t>
      </w:r>
    </w:p>
    <w:p w14:paraId="76AC1580" w14:textId="77777777" w:rsidR="00104FE1" w:rsidRDefault="008C00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42C1D240" w14:textId="77777777" w:rsidR="00104FE1" w:rsidRDefault="008C00B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20ABB9BE" w14:textId="77777777" w:rsidR="00104FE1" w:rsidRDefault="008C00BE">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w:t>
      </w:r>
      <w:r>
        <w:rPr>
          <w:rFonts w:ascii="Palatino Linotype" w:eastAsia="Palatino Linotype" w:hAnsi="Palatino Linotype" w:cs="Palatino Linotype"/>
        </w:rPr>
        <w:t>era puntual las razones de la versión pública de la documentación entregada se estaría violentando el derecho de acceso a la información de la persona solicitante.</w:t>
      </w:r>
    </w:p>
    <w:p w14:paraId="7701755A" w14:textId="77777777" w:rsidR="00104FE1" w:rsidRDefault="008C00BE">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Asimismo, respecto a las formalidades que deberá llevar el acuerdo de clasificación que deberá emitir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0DFFFAE7" w14:textId="77777777" w:rsidR="00104FE1" w:rsidRDefault="008C00B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“Quincuagésimo. </w:t>
      </w:r>
      <w:r>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049377A" w14:textId="77777777" w:rsidR="00104FE1" w:rsidRDefault="008C00B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primero. </w:t>
      </w:r>
      <w:r>
        <w:rPr>
          <w:rFonts w:ascii="Palatino Linotype" w:eastAsia="Palatino Linotype" w:hAnsi="Palatino Linotype" w:cs="Palatino Linotype"/>
          <w:i/>
          <w:sz w:val="22"/>
          <w:szCs w:val="22"/>
        </w:rPr>
        <w:t xml:space="preserve">Toda acta del Comité de Transparencia deberá contener: </w:t>
      </w:r>
    </w:p>
    <w:p w14:paraId="03E208B5" w14:textId="77777777" w:rsidR="00104FE1" w:rsidRDefault="008C00B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El número de sesión y fecha; </w:t>
      </w:r>
    </w:p>
    <w:p w14:paraId="1174C2E0" w14:textId="77777777" w:rsidR="00104FE1" w:rsidRDefault="008C00B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del área que solicitó la clasificación de información; </w:t>
      </w:r>
    </w:p>
    <w:p w14:paraId="4764CAEA" w14:textId="77777777" w:rsidR="00104FE1" w:rsidRDefault="008C00B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fundamentación legal y motivación correspondiente; </w:t>
      </w:r>
    </w:p>
    <w:p w14:paraId="00C94E0D" w14:textId="77777777" w:rsidR="00104FE1" w:rsidRDefault="008C00B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IV</w:t>
      </w:r>
      <w:r>
        <w:rPr>
          <w:rFonts w:ascii="Palatino Linotype" w:eastAsia="Palatino Linotype" w:hAnsi="Palatino Linotype" w:cs="Palatino Linotype"/>
          <w:i/>
          <w:sz w:val="22"/>
          <w:szCs w:val="22"/>
        </w:rPr>
        <w:t xml:space="preserve">. La resolución o resoluciones aprobadas; y </w:t>
      </w:r>
    </w:p>
    <w:p w14:paraId="45C3F06F" w14:textId="77777777" w:rsidR="00104FE1" w:rsidRDefault="008C00B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xml:space="preserve">. La rúbrica o firma digital de cada integrante del Comité de Transparencia. </w:t>
      </w:r>
    </w:p>
    <w:p w14:paraId="08EBB682" w14:textId="77777777" w:rsidR="00104FE1" w:rsidRDefault="008C00B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5C5528C" w14:textId="77777777" w:rsidR="00104FE1" w:rsidRDefault="008C00B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Los motivos y razonamientos que sustenten la confirmación o modificación de la prueba de daño;</w:t>
      </w:r>
    </w:p>
    <w:p w14:paraId="0DFC9CFA" w14:textId="77777777" w:rsidR="00104FE1" w:rsidRDefault="008C00BE">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Descripción de las partes o secciones reservadas, en caso de clasificación parcial</w:t>
      </w:r>
      <w:r>
        <w:rPr>
          <w:rFonts w:ascii="Palatino Linotype" w:eastAsia="Palatino Linotype" w:hAnsi="Palatino Linotype" w:cs="Palatino Linotype"/>
          <w:b/>
          <w:i/>
          <w:sz w:val="22"/>
          <w:szCs w:val="22"/>
        </w:rPr>
        <w:t xml:space="preserve">; </w:t>
      </w:r>
    </w:p>
    <w:p w14:paraId="2F1EEDAD" w14:textId="77777777" w:rsidR="00104FE1" w:rsidRDefault="008C00B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El periodo por el que mantendrá su clasificación y fecha de expiración; y </w:t>
      </w:r>
    </w:p>
    <w:p w14:paraId="5090CAEE" w14:textId="77777777" w:rsidR="00104FE1" w:rsidRDefault="008C00B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5DC5F86E" w14:textId="77777777" w:rsidR="00104FE1" w:rsidRDefault="008C00B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ED88A5A" w14:textId="77777777" w:rsidR="00104FE1" w:rsidRDefault="008C00B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44051E0" w14:textId="77777777" w:rsidR="00104FE1" w:rsidRDefault="008C00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5291B42C" w14:textId="77777777" w:rsidR="00104FE1" w:rsidRDefault="008C00BE">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Quincuagésimo segundo</w:t>
      </w:r>
      <w:r>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AB9E5DC" w14:textId="77777777" w:rsidR="00104FE1" w:rsidRDefault="008C00BE">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08B3F5A7" w14:textId="77777777" w:rsidR="00104FE1" w:rsidRDefault="008C00BE">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7AE3BB24" w14:textId="77777777" w:rsidR="00104FE1" w:rsidRDefault="008C00BE">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w:t>
      </w:r>
      <w:r>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0D8F4C1E" w14:textId="77777777" w:rsidR="00104FE1" w:rsidRDefault="008C00BE">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Señalar las personas o instancias autorizadas a acceder a la información clasificada.</w:t>
      </w:r>
    </w:p>
    <w:p w14:paraId="4D67CE13" w14:textId="77777777" w:rsidR="00104FE1" w:rsidRDefault="008C00BE">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2598B11" w14:textId="77777777" w:rsidR="00104FE1" w:rsidRDefault="008C00BE">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038CEAF" w14:textId="77777777" w:rsidR="00104FE1" w:rsidRDefault="008C00BE">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Quincuagésimo cuarto. </w:t>
      </w:r>
      <w:r>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Pr>
          <w:rFonts w:ascii="Palatino Linotype" w:eastAsia="Palatino Linotype" w:hAnsi="Palatino Linotype" w:cs="Palatino Linotype"/>
          <w:b/>
          <w:i/>
          <w:sz w:val="22"/>
          <w:szCs w:val="22"/>
        </w:rPr>
        <w:t xml:space="preserve"> </w:t>
      </w:r>
    </w:p>
    <w:p w14:paraId="7E5E02A9" w14:textId="77777777" w:rsidR="00104FE1" w:rsidRDefault="008C00B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quinto. </w:t>
      </w:r>
      <w:r>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Pr>
          <w:rFonts w:ascii="Palatino Linotype" w:eastAsia="Palatino Linotype" w:hAnsi="Palatino Linotype" w:cs="Palatino Linotype"/>
          <w:i/>
          <w:sz w:val="22"/>
          <w:szCs w:val="22"/>
        </w:rPr>
        <w:t>testado</w:t>
      </w:r>
      <w:proofErr w:type="spellEnd"/>
      <w:r>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77990D98" w14:textId="77777777" w:rsidR="00104FE1" w:rsidRDefault="008C00BE">
      <w:pPr>
        <w:spacing w:before="120" w:after="12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45AB7854" w14:textId="77777777" w:rsidR="00104FE1" w:rsidRDefault="008C00B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5E340EF2" w14:textId="77777777" w:rsidR="00104FE1" w:rsidRDefault="008C00B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0E2E515A" w14:textId="77777777" w:rsidR="00104FE1" w:rsidRDefault="008C00B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21F3B1B4" w14:textId="77777777" w:rsidR="00104FE1" w:rsidRDefault="008C00BE">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w:t>
      </w:r>
      <w:proofErr w:type="gramStart"/>
      <w:r>
        <w:rPr>
          <w:rFonts w:ascii="Palatino Linotype" w:eastAsia="Palatino Linotype" w:hAnsi="Palatino Linotype" w:cs="Palatino Linotype"/>
          <w:i/>
          <w:sz w:val="22"/>
          <w:szCs w:val="22"/>
        </w:rPr>
        <w:t>los mismos</w:t>
      </w:r>
      <w:proofErr w:type="gramEnd"/>
      <w:r>
        <w:rPr>
          <w:rFonts w:ascii="Palatino Linotype" w:eastAsia="Palatino Linotype" w:hAnsi="Palatino Linotype" w:cs="Palatino Linotype"/>
          <w:i/>
          <w:sz w:val="22"/>
          <w:szCs w:val="22"/>
        </w:rPr>
        <w:t xml:space="preserve">. </w:t>
      </w:r>
    </w:p>
    <w:p w14:paraId="1CF50F39" w14:textId="77777777" w:rsidR="00104FE1" w:rsidRDefault="008C00B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Lo anterior, siempre y cuando no se acredite alguna causal de clasificación, prevista en las leyes o en los tratados internacionales suscritas por el Estado mexicano.  </w:t>
      </w:r>
    </w:p>
    <w:p w14:paraId="0055C677" w14:textId="77777777" w:rsidR="00104FE1" w:rsidRDefault="008C00B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xml:space="preserve">. Los sujetos obligados garantizarán que los sistemas o medios empleados para eliminar la información en las versiones públicas sean irreversibles, de tal forma que no permitan su recuperación o la visualización de </w:t>
      </w:r>
      <w:proofErr w:type="gramStart"/>
      <w:r>
        <w:rPr>
          <w:rFonts w:ascii="Palatino Linotype" w:eastAsia="Palatino Linotype" w:hAnsi="Palatino Linotype" w:cs="Palatino Linotype"/>
          <w:i/>
          <w:sz w:val="22"/>
          <w:szCs w:val="22"/>
        </w:rPr>
        <w:t>la misma</w:t>
      </w:r>
      <w:proofErr w:type="gramEnd"/>
      <w:r>
        <w:rPr>
          <w:rFonts w:ascii="Palatino Linotype" w:eastAsia="Palatino Linotype" w:hAnsi="Palatino Linotype" w:cs="Palatino Linotype"/>
          <w:i/>
          <w:sz w:val="22"/>
          <w:szCs w:val="22"/>
        </w:rPr>
        <w:t>.”</w:t>
      </w:r>
    </w:p>
    <w:p w14:paraId="75AB8504" w14:textId="77777777" w:rsidR="00104FE1" w:rsidRDefault="008C00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14:paraId="501AD6BA" w14:textId="77777777" w:rsidR="00104FE1" w:rsidRDefault="008C00BE">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 R E S U E L V E</w:t>
      </w:r>
    </w:p>
    <w:p w14:paraId="30AC7191" w14:textId="77777777" w:rsidR="00104FE1" w:rsidRDefault="008C00BE">
      <w:pPr>
        <w:spacing w:before="240" w:after="240" w:line="360" w:lineRule="auto"/>
        <w:jc w:val="both"/>
        <w:rPr>
          <w:rFonts w:ascii="Palatino Linotype" w:eastAsia="Palatino Linotype" w:hAnsi="Palatino Linotype" w:cs="Palatino Linotype"/>
        </w:rPr>
      </w:pPr>
      <w:bookmarkStart w:id="9" w:name="_heading=h.1t3h5sf" w:colFirst="0" w:colLast="0"/>
      <w:bookmarkEnd w:id="9"/>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fundadas</w:t>
      </w:r>
      <w:r>
        <w:rPr>
          <w:rFonts w:ascii="Palatino Linotype" w:eastAsia="Palatino Linotype" w:hAnsi="Palatino Linotype" w:cs="Palatino Linotype"/>
        </w:rPr>
        <w:t xml:space="preserve"> las razones o motivos de inconformidad hechos valer por la parte</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06364/INFOEM/IP/RR/2025</w:t>
      </w:r>
      <w:r>
        <w:rPr>
          <w:rFonts w:ascii="Palatino Linotype" w:eastAsia="Palatino Linotype" w:hAnsi="Palatino Linotype" w:cs="Palatino Linotype"/>
        </w:rPr>
        <w:t xml:space="preserve">; por lo que, en términos del </w:t>
      </w:r>
      <w:r>
        <w:rPr>
          <w:rFonts w:ascii="Palatino Linotype" w:eastAsia="Palatino Linotype" w:hAnsi="Palatino Linotype" w:cs="Palatino Linotype"/>
          <w:b/>
        </w:rPr>
        <w:t>Considerando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Modifica</w:t>
      </w:r>
      <w:r>
        <w:rPr>
          <w:rFonts w:ascii="Palatino Linotype" w:eastAsia="Palatino Linotype" w:hAnsi="Palatino Linotype" w:cs="Palatino Linotype"/>
        </w:rPr>
        <w:t xml:space="preserve"> la respuesta emitida por el </w:t>
      </w:r>
      <w:r>
        <w:rPr>
          <w:rFonts w:ascii="Palatino Linotype" w:eastAsia="Palatino Linotype" w:hAnsi="Palatino Linotype" w:cs="Palatino Linotype"/>
          <w:b/>
        </w:rPr>
        <w:t xml:space="preserve">Sujeto Obligado. </w:t>
      </w:r>
    </w:p>
    <w:p w14:paraId="628D92E7" w14:textId="77777777" w:rsidR="00104FE1" w:rsidRDefault="008C00B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 términos de los </w:t>
      </w:r>
      <w:r>
        <w:rPr>
          <w:rFonts w:ascii="Palatino Linotype" w:eastAsia="Palatino Linotype" w:hAnsi="Palatino Linotype" w:cs="Palatino Linotype"/>
          <w:b/>
        </w:rPr>
        <w:t>Considerandos</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y </w:t>
      </w:r>
      <w:r>
        <w:rPr>
          <w:rFonts w:ascii="Palatino Linotype" w:eastAsia="Palatino Linotype" w:hAnsi="Palatino Linotype" w:cs="Palatino Linotype"/>
          <w:b/>
        </w:rPr>
        <w:t xml:space="preserve">Quinto </w:t>
      </w:r>
      <w:r>
        <w:rPr>
          <w:rFonts w:ascii="Palatino Linotype" w:eastAsia="Palatino Linotype" w:hAnsi="Palatino Linotype" w:cs="Palatino Linotype"/>
        </w:rPr>
        <w:t xml:space="preserve">de esta resolución, haga entrega, vía </w:t>
      </w:r>
      <w:r>
        <w:rPr>
          <w:rFonts w:ascii="Palatino Linotype" w:eastAsia="Palatino Linotype" w:hAnsi="Palatino Linotype" w:cs="Palatino Linotype"/>
          <w:b/>
        </w:rPr>
        <w:t>SAIMEX</w:t>
      </w:r>
      <w:r>
        <w:rPr>
          <w:rFonts w:ascii="Palatino Linotype" w:eastAsia="Palatino Linotype" w:hAnsi="Palatino Linotype" w:cs="Palatino Linotype"/>
        </w:rPr>
        <w:t>, previa búsqueda exhaustica y razonable de lo siguiente:</w:t>
      </w:r>
    </w:p>
    <w:p w14:paraId="6C498FD7" w14:textId="77777777" w:rsidR="00104FE1" w:rsidRDefault="008C00BE">
      <w:pPr>
        <w:spacing w:before="240" w:after="240" w:line="360" w:lineRule="auto"/>
        <w:ind w:left="284"/>
        <w:jc w:val="both"/>
        <w:rPr>
          <w:rFonts w:ascii="Palatino Linotype" w:eastAsia="Palatino Linotype" w:hAnsi="Palatino Linotype" w:cs="Palatino Linotype"/>
        </w:rPr>
      </w:pPr>
      <w:bookmarkStart w:id="10" w:name="_heading=h.1fob9te" w:colFirst="0" w:colLast="0"/>
      <w:bookmarkEnd w:id="10"/>
      <w:r>
        <w:rPr>
          <w:rFonts w:ascii="Palatino Linotype" w:eastAsia="Palatino Linotype" w:hAnsi="Palatino Linotype" w:cs="Palatino Linotype"/>
        </w:rPr>
        <w:t xml:space="preserve">1. El o los documentos que den cuenta de las funciones de los servidores públicos faltantes adscritos a la Dirección de Desarrollo Urbano y Metropolitano, la Dirección de Educación, la Dirección de Gerencia de la Ciudad, la Subdirección </w:t>
      </w:r>
      <w:r>
        <w:rPr>
          <w:rFonts w:ascii="Palatino Linotype" w:eastAsia="Palatino Linotype" w:hAnsi="Palatino Linotype" w:cs="Palatino Linotype"/>
        </w:rPr>
        <w:lastRenderedPageBreak/>
        <w:t>de Recursos Humanos y la Subdirección de Servicios Generales, en funciones al veintiocho de abril de dos mil veinticinco.</w:t>
      </w:r>
    </w:p>
    <w:p w14:paraId="5D2028D5" w14:textId="77777777" w:rsidR="00104FE1" w:rsidRDefault="008C00BE">
      <w:pPr>
        <w:spacing w:before="120" w:after="120"/>
        <w:ind w:left="284"/>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Para la entrega de información en versión pública, se deberá emitir el Acuerdo del Comité de Transparencia de acuerdo con la Ley de Transparencia y Acceso a la Información Pública del Estado de México y Municipios, en el que funde y motive las razones sobre los datos que se supriman, mismo que también hará de conocimiento del particular.</w:t>
      </w:r>
    </w:p>
    <w:p w14:paraId="35CB6BCA" w14:textId="77777777" w:rsidR="00104FE1" w:rsidRDefault="008C00BE">
      <w:pPr>
        <w:spacing w:before="240" w:after="240" w:line="360" w:lineRule="auto"/>
        <w:jc w:val="both"/>
        <w:rPr>
          <w:rFonts w:ascii="Palatino Linotype" w:eastAsia="Palatino Linotype" w:hAnsi="Palatino Linotype" w:cs="Palatino Linotype"/>
        </w:rPr>
      </w:pPr>
      <w:bookmarkStart w:id="11" w:name="_heading=h.hnzxsch5gysz" w:colFirst="0" w:colLast="0"/>
      <w:bookmarkEnd w:id="11"/>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w:t>
      </w:r>
      <w:r>
        <w:rPr>
          <w:rFonts w:ascii="Palatino Linotype" w:eastAsia="Palatino Linotype" w:hAnsi="Palatino Linotype" w:cs="Palatino Linotype"/>
        </w:rPr>
        <w:t xml:space="preserve">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7F2FA40" w14:textId="77777777" w:rsidR="00104FE1" w:rsidRDefault="008C00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1F77493C" w14:textId="77777777" w:rsidR="00104FE1" w:rsidRDefault="008C00BE">
      <w:pPr>
        <w:spacing w:before="240" w:after="240" w:line="360" w:lineRule="auto"/>
        <w:jc w:val="both"/>
        <w:rPr>
          <w:rFonts w:ascii="Palatino Linotype" w:eastAsia="Palatino Linotype" w:hAnsi="Palatino Linotype" w:cs="Palatino Linotype"/>
        </w:rPr>
      </w:pPr>
      <w:bookmarkStart w:id="12" w:name="_heading=h.ot3qq6vxa08f" w:colFirst="0" w:colLast="0"/>
      <w:bookmarkEnd w:id="12"/>
      <w:r>
        <w:rPr>
          <w:rFonts w:ascii="Palatino Linotype" w:eastAsia="Palatino Linotype" w:hAnsi="Palatino Linotype" w:cs="Palatino Linotype"/>
          <w:b/>
        </w:rPr>
        <w:t xml:space="preserve">Cuarto.  Notifíquese,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3E41506C" w14:textId="77777777" w:rsidR="00104FE1" w:rsidRDefault="008C00BE">
      <w:pPr>
        <w:tabs>
          <w:tab w:val="left" w:pos="8647"/>
        </w:tabs>
        <w:spacing w:before="240" w:after="240" w:line="360" w:lineRule="auto"/>
        <w:ind w:right="51"/>
        <w:jc w:val="both"/>
        <w:rPr>
          <w:rFonts w:ascii="Palatino Linotype" w:eastAsia="Palatino Linotype" w:hAnsi="Palatino Linotype" w:cs="Palatino Linotype"/>
        </w:rPr>
      </w:pPr>
      <w:bookmarkStart w:id="13" w:name="_heading=h.lnxbz9" w:colFirst="0" w:colLast="0"/>
      <w:bookmarkEnd w:id="13"/>
      <w:r>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EMITIENDO VOTO PARTICULAR, Y GUADALUPE RAMÍREZ PEÑA, EN LA TRIGÉSIMA SEGUNDA SESIÓN ORDINARIA CELEBRADA EL DIEZ DE SEPTIEMBRE DE DOS MIL VEINTICINCO, ANTE EL SECRETARIO TÉCNICO DEL </w:t>
      </w:r>
      <w:r>
        <w:rPr>
          <w:rFonts w:ascii="Palatino Linotype" w:eastAsia="Palatino Linotype" w:hAnsi="Palatino Linotype" w:cs="Palatino Linotype"/>
        </w:rPr>
        <w:t>PLENO ALEXIS TAPIA RAMÍREZ.</w:t>
      </w:r>
    </w:p>
    <w:p w14:paraId="6AB71FF7" w14:textId="77777777" w:rsidR="00104FE1" w:rsidRDefault="00104FE1">
      <w:pPr>
        <w:spacing w:line="360" w:lineRule="auto"/>
        <w:jc w:val="both"/>
        <w:rPr>
          <w:rFonts w:ascii="Palatino Linotype" w:eastAsia="Palatino Linotype" w:hAnsi="Palatino Linotype" w:cs="Palatino Linotype"/>
        </w:rPr>
      </w:pPr>
    </w:p>
    <w:p w14:paraId="0E5233AE" w14:textId="77777777" w:rsidR="00104FE1" w:rsidRDefault="00104FE1">
      <w:pPr>
        <w:spacing w:line="360" w:lineRule="auto"/>
        <w:jc w:val="center"/>
        <w:rPr>
          <w:rFonts w:ascii="Palatino Linotype" w:eastAsia="Palatino Linotype" w:hAnsi="Palatino Linotype" w:cs="Palatino Linotype"/>
        </w:rPr>
      </w:pPr>
    </w:p>
    <w:p w14:paraId="029551BD" w14:textId="77777777" w:rsidR="00104FE1" w:rsidRDefault="00104FE1">
      <w:pPr>
        <w:spacing w:line="360" w:lineRule="auto"/>
        <w:jc w:val="both"/>
        <w:rPr>
          <w:rFonts w:ascii="Palatino Linotype" w:eastAsia="Palatino Linotype" w:hAnsi="Palatino Linotype" w:cs="Palatino Linotype"/>
        </w:rPr>
      </w:pPr>
    </w:p>
    <w:p w14:paraId="356D63A0" w14:textId="77777777" w:rsidR="00104FE1" w:rsidRDefault="00104FE1">
      <w:pPr>
        <w:spacing w:line="360" w:lineRule="auto"/>
        <w:jc w:val="both"/>
        <w:rPr>
          <w:rFonts w:ascii="Palatino Linotype" w:eastAsia="Palatino Linotype" w:hAnsi="Palatino Linotype" w:cs="Palatino Linotype"/>
        </w:rPr>
      </w:pPr>
    </w:p>
    <w:p w14:paraId="4093D229" w14:textId="77777777" w:rsidR="00104FE1" w:rsidRDefault="00104FE1">
      <w:pPr>
        <w:spacing w:line="360" w:lineRule="auto"/>
        <w:jc w:val="both"/>
        <w:rPr>
          <w:rFonts w:ascii="Palatino Linotype" w:eastAsia="Palatino Linotype" w:hAnsi="Palatino Linotype" w:cs="Palatino Linotype"/>
        </w:rPr>
      </w:pPr>
    </w:p>
    <w:p w14:paraId="01F241FE" w14:textId="77777777" w:rsidR="00104FE1" w:rsidRDefault="00104FE1">
      <w:pPr>
        <w:spacing w:line="360" w:lineRule="auto"/>
        <w:jc w:val="both"/>
        <w:rPr>
          <w:rFonts w:ascii="Palatino Linotype" w:eastAsia="Palatino Linotype" w:hAnsi="Palatino Linotype" w:cs="Palatino Linotype"/>
        </w:rPr>
      </w:pPr>
    </w:p>
    <w:p w14:paraId="45DA719C" w14:textId="77777777" w:rsidR="00104FE1" w:rsidRDefault="00104FE1">
      <w:pPr>
        <w:spacing w:line="360" w:lineRule="auto"/>
        <w:jc w:val="both"/>
        <w:rPr>
          <w:rFonts w:ascii="Palatino Linotype" w:eastAsia="Palatino Linotype" w:hAnsi="Palatino Linotype" w:cs="Palatino Linotype"/>
        </w:rPr>
      </w:pPr>
    </w:p>
    <w:p w14:paraId="68453A53" w14:textId="77777777" w:rsidR="00104FE1" w:rsidRDefault="00104FE1">
      <w:pPr>
        <w:spacing w:line="360" w:lineRule="auto"/>
        <w:jc w:val="both"/>
        <w:rPr>
          <w:rFonts w:ascii="Palatino Linotype" w:eastAsia="Palatino Linotype" w:hAnsi="Palatino Linotype" w:cs="Palatino Linotype"/>
        </w:rPr>
      </w:pPr>
    </w:p>
    <w:p w14:paraId="42DB6C07" w14:textId="77777777" w:rsidR="00104FE1" w:rsidRDefault="00104FE1">
      <w:pPr>
        <w:spacing w:line="360" w:lineRule="auto"/>
        <w:jc w:val="both"/>
        <w:rPr>
          <w:rFonts w:ascii="Palatino Linotype" w:eastAsia="Palatino Linotype" w:hAnsi="Palatino Linotype" w:cs="Palatino Linotype"/>
        </w:rPr>
      </w:pPr>
    </w:p>
    <w:p w14:paraId="76CC1544" w14:textId="77777777" w:rsidR="00104FE1" w:rsidRDefault="00104FE1">
      <w:pPr>
        <w:spacing w:line="360" w:lineRule="auto"/>
        <w:jc w:val="both"/>
        <w:rPr>
          <w:rFonts w:ascii="Palatino Linotype" w:eastAsia="Palatino Linotype" w:hAnsi="Palatino Linotype" w:cs="Palatino Linotype"/>
        </w:rPr>
      </w:pPr>
    </w:p>
    <w:p w14:paraId="0E58D1E9" w14:textId="77777777" w:rsidR="00104FE1" w:rsidRDefault="00104FE1">
      <w:pPr>
        <w:spacing w:line="360" w:lineRule="auto"/>
        <w:jc w:val="both"/>
        <w:rPr>
          <w:rFonts w:ascii="Palatino Linotype" w:eastAsia="Palatino Linotype" w:hAnsi="Palatino Linotype" w:cs="Palatino Linotype"/>
        </w:rPr>
      </w:pPr>
    </w:p>
    <w:p w14:paraId="00798308" w14:textId="77777777" w:rsidR="00104FE1" w:rsidRDefault="00104FE1">
      <w:pPr>
        <w:spacing w:line="360" w:lineRule="auto"/>
        <w:jc w:val="both"/>
        <w:rPr>
          <w:rFonts w:ascii="Palatino Linotype" w:eastAsia="Palatino Linotype" w:hAnsi="Palatino Linotype" w:cs="Palatino Linotype"/>
        </w:rPr>
      </w:pPr>
    </w:p>
    <w:p w14:paraId="50A483E6" w14:textId="77777777" w:rsidR="00104FE1" w:rsidRDefault="00104FE1">
      <w:pPr>
        <w:spacing w:line="360" w:lineRule="auto"/>
        <w:jc w:val="both"/>
        <w:rPr>
          <w:rFonts w:ascii="Palatino Linotype" w:eastAsia="Palatino Linotype" w:hAnsi="Palatino Linotype" w:cs="Palatino Linotype"/>
        </w:rPr>
      </w:pPr>
    </w:p>
    <w:p w14:paraId="5264FF06" w14:textId="77777777" w:rsidR="00104FE1" w:rsidRDefault="00104FE1">
      <w:pPr>
        <w:spacing w:line="360" w:lineRule="auto"/>
        <w:jc w:val="both"/>
        <w:rPr>
          <w:rFonts w:ascii="Palatino Linotype" w:eastAsia="Palatino Linotype" w:hAnsi="Palatino Linotype" w:cs="Palatino Linotype"/>
        </w:rPr>
      </w:pPr>
    </w:p>
    <w:p w14:paraId="079860C6" w14:textId="77777777" w:rsidR="00104FE1" w:rsidRDefault="00104FE1">
      <w:pPr>
        <w:spacing w:line="360" w:lineRule="auto"/>
        <w:jc w:val="both"/>
        <w:rPr>
          <w:rFonts w:ascii="Palatino Linotype" w:eastAsia="Palatino Linotype" w:hAnsi="Palatino Linotype" w:cs="Palatino Linotype"/>
        </w:rPr>
      </w:pPr>
    </w:p>
    <w:p w14:paraId="7BC54C5D" w14:textId="77777777" w:rsidR="00104FE1" w:rsidRDefault="00104FE1">
      <w:pPr>
        <w:spacing w:line="360" w:lineRule="auto"/>
        <w:jc w:val="both"/>
        <w:rPr>
          <w:rFonts w:ascii="Palatino Linotype" w:eastAsia="Palatino Linotype" w:hAnsi="Palatino Linotype" w:cs="Palatino Linotype"/>
        </w:rPr>
      </w:pPr>
    </w:p>
    <w:p w14:paraId="5B0F9414" w14:textId="77777777" w:rsidR="00104FE1" w:rsidRDefault="00104FE1">
      <w:pPr>
        <w:spacing w:line="360" w:lineRule="auto"/>
        <w:jc w:val="both"/>
        <w:rPr>
          <w:rFonts w:ascii="Palatino Linotype" w:eastAsia="Palatino Linotype" w:hAnsi="Palatino Linotype" w:cs="Palatino Linotype"/>
        </w:rPr>
      </w:pPr>
    </w:p>
    <w:p w14:paraId="7FB0ACB0" w14:textId="77777777" w:rsidR="00104FE1" w:rsidRDefault="00104FE1">
      <w:pPr>
        <w:spacing w:line="360" w:lineRule="auto"/>
        <w:jc w:val="both"/>
        <w:rPr>
          <w:rFonts w:ascii="Palatino Linotype" w:eastAsia="Palatino Linotype" w:hAnsi="Palatino Linotype" w:cs="Palatino Linotype"/>
        </w:rPr>
      </w:pPr>
    </w:p>
    <w:p w14:paraId="37DDCB95" w14:textId="77777777" w:rsidR="00104FE1" w:rsidRDefault="00104FE1">
      <w:pPr>
        <w:spacing w:line="360" w:lineRule="auto"/>
        <w:jc w:val="both"/>
        <w:rPr>
          <w:rFonts w:ascii="Palatino Linotype" w:eastAsia="Palatino Linotype" w:hAnsi="Palatino Linotype" w:cs="Palatino Linotype"/>
        </w:rPr>
      </w:pPr>
    </w:p>
    <w:p w14:paraId="52D7DF7B" w14:textId="77777777" w:rsidR="00104FE1" w:rsidRDefault="00104FE1">
      <w:pPr>
        <w:spacing w:line="360" w:lineRule="auto"/>
        <w:jc w:val="both"/>
        <w:rPr>
          <w:rFonts w:ascii="Palatino Linotype" w:eastAsia="Palatino Linotype" w:hAnsi="Palatino Linotype" w:cs="Palatino Linotype"/>
        </w:rPr>
      </w:pPr>
    </w:p>
    <w:p w14:paraId="3EA54F0B" w14:textId="77777777" w:rsidR="00104FE1" w:rsidRDefault="00104FE1">
      <w:pPr>
        <w:spacing w:line="360" w:lineRule="auto"/>
        <w:jc w:val="both"/>
        <w:rPr>
          <w:rFonts w:ascii="Palatino Linotype" w:eastAsia="Palatino Linotype" w:hAnsi="Palatino Linotype" w:cs="Palatino Linotype"/>
        </w:rPr>
      </w:pPr>
    </w:p>
    <w:p w14:paraId="66D63F45" w14:textId="77777777" w:rsidR="00104FE1" w:rsidRDefault="00104FE1">
      <w:pPr>
        <w:spacing w:line="360" w:lineRule="auto"/>
        <w:jc w:val="both"/>
        <w:rPr>
          <w:rFonts w:ascii="Palatino Linotype" w:eastAsia="Palatino Linotype" w:hAnsi="Palatino Linotype" w:cs="Palatino Linotype"/>
        </w:rPr>
      </w:pPr>
    </w:p>
    <w:p w14:paraId="444637F2" w14:textId="77777777" w:rsidR="00104FE1" w:rsidRDefault="00104FE1">
      <w:pPr>
        <w:spacing w:line="360" w:lineRule="auto"/>
        <w:jc w:val="both"/>
        <w:rPr>
          <w:rFonts w:ascii="Palatino Linotype" w:eastAsia="Palatino Linotype" w:hAnsi="Palatino Linotype" w:cs="Palatino Linotype"/>
        </w:rPr>
      </w:pPr>
    </w:p>
    <w:p w14:paraId="54DD1EBF" w14:textId="77777777" w:rsidR="00104FE1" w:rsidRDefault="00104FE1">
      <w:pPr>
        <w:spacing w:line="360" w:lineRule="auto"/>
        <w:jc w:val="both"/>
        <w:rPr>
          <w:rFonts w:ascii="Palatino Linotype" w:eastAsia="Palatino Linotype" w:hAnsi="Palatino Linotype" w:cs="Palatino Linotype"/>
        </w:rPr>
      </w:pPr>
    </w:p>
    <w:p w14:paraId="41F16B70" w14:textId="77777777" w:rsidR="00104FE1" w:rsidRDefault="00104FE1">
      <w:pPr>
        <w:spacing w:line="360" w:lineRule="auto"/>
        <w:jc w:val="both"/>
        <w:rPr>
          <w:rFonts w:ascii="Palatino Linotype" w:eastAsia="Palatino Linotype" w:hAnsi="Palatino Linotype" w:cs="Palatino Linotype"/>
        </w:rPr>
      </w:pPr>
    </w:p>
    <w:p w14:paraId="65B390A9" w14:textId="77777777" w:rsidR="00104FE1" w:rsidRDefault="00104FE1">
      <w:pPr>
        <w:spacing w:line="360" w:lineRule="auto"/>
        <w:jc w:val="both"/>
        <w:rPr>
          <w:rFonts w:ascii="Palatino Linotype" w:eastAsia="Palatino Linotype" w:hAnsi="Palatino Linotype" w:cs="Palatino Linotype"/>
        </w:rPr>
      </w:pPr>
    </w:p>
    <w:p w14:paraId="34C18F98" w14:textId="77777777" w:rsidR="00104FE1" w:rsidRDefault="00104FE1">
      <w:pPr>
        <w:spacing w:line="360" w:lineRule="auto"/>
        <w:jc w:val="both"/>
        <w:rPr>
          <w:rFonts w:ascii="Palatino Linotype" w:eastAsia="Palatino Linotype" w:hAnsi="Palatino Linotype" w:cs="Palatino Linotype"/>
        </w:rPr>
      </w:pPr>
    </w:p>
    <w:p w14:paraId="00AE78CA" w14:textId="77777777" w:rsidR="00104FE1" w:rsidRDefault="00104FE1">
      <w:pPr>
        <w:spacing w:line="360" w:lineRule="auto"/>
        <w:jc w:val="both"/>
        <w:rPr>
          <w:rFonts w:ascii="Palatino Linotype" w:eastAsia="Palatino Linotype" w:hAnsi="Palatino Linotype" w:cs="Palatino Linotype"/>
        </w:rPr>
      </w:pPr>
    </w:p>
    <w:p w14:paraId="405C8432" w14:textId="77777777" w:rsidR="00104FE1" w:rsidRDefault="00104FE1">
      <w:pPr>
        <w:spacing w:line="360" w:lineRule="auto"/>
        <w:jc w:val="both"/>
        <w:rPr>
          <w:rFonts w:ascii="Palatino Linotype" w:eastAsia="Palatino Linotype" w:hAnsi="Palatino Linotype" w:cs="Palatino Linotype"/>
        </w:rPr>
      </w:pPr>
    </w:p>
    <w:sectPr w:rsidR="00104FE1">
      <w:headerReference w:type="default" r:id="rId21"/>
      <w:footerReference w:type="default" r:id="rId22"/>
      <w:headerReference w:type="first" r:id="rId23"/>
      <w:footerReference w:type="first" r:id="rId2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EBBFE" w14:textId="77777777" w:rsidR="008C00BE" w:rsidRDefault="008C00BE">
      <w:r>
        <w:separator/>
      </w:r>
    </w:p>
  </w:endnote>
  <w:endnote w:type="continuationSeparator" w:id="0">
    <w:p w14:paraId="3966333D" w14:textId="77777777" w:rsidR="008C00BE" w:rsidRDefault="008C0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EE709AF-675D-4689-981F-E3380052727B}"/>
    <w:embedBold r:id="rId2" w:fontKey="{5E08F2F0-C0C5-413D-8692-4E8F34C58166}"/>
  </w:font>
  <w:font w:name="Cambria">
    <w:panose1 w:val="02040503050406030204"/>
    <w:charset w:val="00"/>
    <w:family w:val="roman"/>
    <w:pitch w:val="variable"/>
    <w:sig w:usb0="E00006FF" w:usb1="420024FF" w:usb2="02000000" w:usb3="00000000" w:csb0="0000019F" w:csb1="00000000"/>
    <w:embedRegular r:id="rId3" w:fontKey="{19C2141E-ADC6-41A2-9925-DC248E9323B1}"/>
    <w:embedBold r:id="rId4" w:fontKey="{779C0B30-EA46-498F-82FE-568141363C24}"/>
    <w:embedBoldItalic r:id="rId5" w:fontKey="{C10553CE-AA81-4CBF-92CD-AE3DADC28E5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roman"/>
    <w:notTrueType/>
    <w:pitch w:val="default"/>
    <w:embedRegular r:id="rId6" w:fontKey="{313E2450-6F71-4DBB-ADB4-8F3C24DF5992}"/>
  </w:font>
  <w:font w:name="Georgia">
    <w:panose1 w:val="02040502050405020303"/>
    <w:charset w:val="00"/>
    <w:family w:val="auto"/>
    <w:pitch w:val="default"/>
    <w:embedRegular r:id="rId7" w:fontKey="{D9CF219C-145C-4F6C-AD00-51D50E5D28A5}"/>
    <w:embedItalic r:id="rId8" w:fontKey="{D440785D-6233-4633-908C-45ECD067D40D}"/>
  </w:font>
  <w:font w:name="Palatino Linotype">
    <w:panose1 w:val="02040502050505030304"/>
    <w:charset w:val="00"/>
    <w:family w:val="roman"/>
    <w:pitch w:val="variable"/>
    <w:sig w:usb0="E0000287" w:usb1="40000013" w:usb2="00000000" w:usb3="00000000" w:csb0="0000019F" w:csb1="00000000"/>
    <w:embedRegular r:id="rId9" w:fontKey="{C7F62F60-1B59-4AF2-BE18-DC0C60501F87}"/>
    <w:embedBold r:id="rId10" w:fontKey="{235EEC83-5845-45BA-AD3F-3903A6B21151}"/>
    <w:embedItalic r:id="rId11" w:fontKey="{6379A2D8-2A49-449E-9A0F-689C3CF79CD0}"/>
    <w:embedBoldItalic r:id="rId12" w:fontKey="{0E5506C3-5C8A-40D0-A2D1-9BDD48D50D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6B766" w14:textId="77777777" w:rsidR="00104FE1" w:rsidRDefault="008C00B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3</w:t>
    </w:r>
    <w:r>
      <w:rPr>
        <w:rFonts w:ascii="Palatino Linotype" w:eastAsia="Palatino Linotype" w:hAnsi="Palatino Linotype" w:cs="Palatino Linotype"/>
        <w:b/>
        <w:color w:val="000000"/>
        <w:sz w:val="20"/>
        <w:szCs w:val="20"/>
      </w:rPr>
      <w:fldChar w:fldCharType="end"/>
    </w:r>
  </w:p>
  <w:p w14:paraId="744678CD" w14:textId="77777777" w:rsidR="00104FE1" w:rsidRDefault="00104FE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974A1" w14:textId="77777777" w:rsidR="00104FE1" w:rsidRDefault="008C00B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p>
  <w:p w14:paraId="782C3567" w14:textId="77777777" w:rsidR="00104FE1" w:rsidRDefault="00104FE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0C286F" w14:textId="77777777" w:rsidR="008C00BE" w:rsidRDefault="008C00BE">
      <w:r>
        <w:separator/>
      </w:r>
    </w:p>
  </w:footnote>
  <w:footnote w:type="continuationSeparator" w:id="0">
    <w:p w14:paraId="5DCB7F57" w14:textId="77777777" w:rsidR="008C00BE" w:rsidRDefault="008C0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BC249" w14:textId="77777777" w:rsidR="00104FE1" w:rsidRDefault="008C00BE">
    <w:pPr>
      <w:rPr>
        <w:rFonts w:ascii="Cambria" w:eastAsia="Cambria" w:hAnsi="Cambria" w:cs="Cambria"/>
        <w:color w:val="000000"/>
      </w:rPr>
    </w:pPr>
    <w:r>
      <w:rPr>
        <w:noProof/>
      </w:rPr>
      <w:drawing>
        <wp:anchor distT="0" distB="0" distL="0" distR="0" simplePos="0" relativeHeight="251658240" behindDoc="1" locked="0" layoutInCell="1" hidden="0" allowOverlap="1" wp14:anchorId="0DCDB170" wp14:editId="271CCEB6">
          <wp:simplePos x="0" y="0"/>
          <wp:positionH relativeFrom="column">
            <wp:posOffset>-1080132</wp:posOffset>
          </wp:positionH>
          <wp:positionV relativeFrom="paragraph">
            <wp:posOffset>-488259</wp:posOffset>
          </wp:positionV>
          <wp:extent cx="7809865" cy="10165715"/>
          <wp:effectExtent l="0" t="0" r="0" b="0"/>
          <wp:wrapNone/>
          <wp:docPr id="214013184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e"/>
      <w:tblW w:w="5953" w:type="dxa"/>
      <w:tblInd w:w="3261" w:type="dxa"/>
      <w:tblLayout w:type="fixed"/>
      <w:tblLook w:val="0400" w:firstRow="0" w:lastRow="0" w:firstColumn="0" w:lastColumn="0" w:noHBand="0" w:noVBand="1"/>
    </w:tblPr>
    <w:tblGrid>
      <w:gridCol w:w="2489"/>
      <w:gridCol w:w="3464"/>
    </w:tblGrid>
    <w:tr w:rsidR="00104FE1" w14:paraId="456E69CE" w14:textId="77777777">
      <w:tc>
        <w:tcPr>
          <w:tcW w:w="2489" w:type="dxa"/>
        </w:tcPr>
        <w:p w14:paraId="2349378C" w14:textId="77777777" w:rsidR="00104FE1" w:rsidRDefault="008C00B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4AE4C535" w14:textId="77777777" w:rsidR="00104FE1" w:rsidRDefault="008C00B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06364/INFOEM/IP/RR/2025</w:t>
          </w:r>
        </w:p>
      </w:tc>
    </w:tr>
    <w:tr w:rsidR="00104FE1" w14:paraId="4C9D1D2D" w14:textId="77777777">
      <w:trPr>
        <w:trHeight w:val="228"/>
      </w:trPr>
      <w:tc>
        <w:tcPr>
          <w:tcW w:w="2489" w:type="dxa"/>
          <w:vAlign w:val="center"/>
        </w:tcPr>
        <w:p w14:paraId="37DDDEBA" w14:textId="77777777" w:rsidR="00104FE1" w:rsidRDefault="008C00B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55B645B5" w14:textId="77777777" w:rsidR="00104FE1" w:rsidRDefault="008C00BE">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104FE1" w14:paraId="12BAE2DC" w14:textId="77777777">
      <w:tc>
        <w:tcPr>
          <w:tcW w:w="2489" w:type="dxa"/>
          <w:vAlign w:val="center"/>
        </w:tcPr>
        <w:p w14:paraId="42751AD1" w14:textId="77777777" w:rsidR="00104FE1" w:rsidRDefault="008C00B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2192AB1B" w14:textId="77777777" w:rsidR="00104FE1" w:rsidRDefault="008C00B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69DC04E" w14:textId="77777777" w:rsidR="00104FE1" w:rsidRDefault="008C00BE">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CD6DF" w14:textId="77777777" w:rsidR="00104FE1" w:rsidRDefault="008C00B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1732D85D" wp14:editId="14A31CC3">
          <wp:simplePos x="0" y="0"/>
          <wp:positionH relativeFrom="column">
            <wp:posOffset>-1080131</wp:posOffset>
          </wp:positionH>
          <wp:positionV relativeFrom="paragraph">
            <wp:posOffset>-369890</wp:posOffset>
          </wp:positionV>
          <wp:extent cx="7809865" cy="10165715"/>
          <wp:effectExtent l="0" t="0" r="0" b="0"/>
          <wp:wrapNone/>
          <wp:docPr id="214013185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
      <w:tblW w:w="5953" w:type="dxa"/>
      <w:tblInd w:w="3261" w:type="dxa"/>
      <w:tblLayout w:type="fixed"/>
      <w:tblLook w:val="0400" w:firstRow="0" w:lastRow="0" w:firstColumn="0" w:lastColumn="0" w:noHBand="0" w:noVBand="1"/>
    </w:tblPr>
    <w:tblGrid>
      <w:gridCol w:w="2489"/>
      <w:gridCol w:w="3464"/>
    </w:tblGrid>
    <w:tr w:rsidR="00104FE1" w14:paraId="5AE73F86" w14:textId="77777777">
      <w:tc>
        <w:tcPr>
          <w:tcW w:w="2489" w:type="dxa"/>
        </w:tcPr>
        <w:p w14:paraId="461C0493" w14:textId="77777777" w:rsidR="00104FE1" w:rsidRDefault="008C00B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3BE853E5" w14:textId="77777777" w:rsidR="00104FE1" w:rsidRDefault="008C00B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06364/INFOEM/IP/RR/2025</w:t>
          </w:r>
        </w:p>
      </w:tc>
    </w:tr>
    <w:tr w:rsidR="00104FE1" w14:paraId="22BEB3D3" w14:textId="77777777">
      <w:tc>
        <w:tcPr>
          <w:tcW w:w="2489" w:type="dxa"/>
        </w:tcPr>
        <w:p w14:paraId="747CCE85" w14:textId="77777777" w:rsidR="00104FE1" w:rsidRDefault="008C00B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vAlign w:val="center"/>
        </w:tcPr>
        <w:p w14:paraId="730BB229" w14:textId="77777777" w:rsidR="00104FE1" w:rsidRDefault="00104FE1">
          <w:pPr>
            <w:ind w:right="175"/>
            <w:jc w:val="both"/>
            <w:rPr>
              <w:rFonts w:ascii="Palatino Linotype" w:eastAsia="Palatino Linotype" w:hAnsi="Palatino Linotype" w:cs="Palatino Linotype"/>
              <w:b/>
              <w:color w:val="FF0000"/>
              <w:sz w:val="22"/>
              <w:szCs w:val="22"/>
              <w:highlight w:val="yellow"/>
            </w:rPr>
          </w:pPr>
        </w:p>
      </w:tc>
    </w:tr>
    <w:tr w:rsidR="00104FE1" w14:paraId="31122F2C" w14:textId="77777777">
      <w:trPr>
        <w:trHeight w:val="228"/>
      </w:trPr>
      <w:tc>
        <w:tcPr>
          <w:tcW w:w="2489" w:type="dxa"/>
          <w:vAlign w:val="center"/>
        </w:tcPr>
        <w:p w14:paraId="090572E8" w14:textId="77777777" w:rsidR="00104FE1" w:rsidRDefault="008C00B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3115EC2C" w14:textId="77777777" w:rsidR="00104FE1" w:rsidRDefault="008C00BE">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104FE1" w14:paraId="639B9C5F" w14:textId="77777777">
      <w:tc>
        <w:tcPr>
          <w:tcW w:w="2489" w:type="dxa"/>
          <w:vAlign w:val="center"/>
        </w:tcPr>
        <w:p w14:paraId="21A88700" w14:textId="77777777" w:rsidR="00104FE1" w:rsidRDefault="008C00B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594FC093" w14:textId="77777777" w:rsidR="00104FE1" w:rsidRDefault="008C00B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3CAC199" w14:textId="77777777" w:rsidR="00104FE1" w:rsidRDefault="00104F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4D1B5F"/>
    <w:multiLevelType w:val="multilevel"/>
    <w:tmpl w:val="308E32DA"/>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16cid:durableId="21125112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FE1"/>
    <w:rsid w:val="00104FE1"/>
    <w:rsid w:val="008C00BE"/>
    <w:rsid w:val="00D27D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E7031"/>
  <w15:docId w15:val="{F6F51986-0537-4CDB-9F49-9E9BA4D8C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a">
    <w:basedOn w:val="TableNormalf3"/>
    <w:tblPr>
      <w:tblStyleRowBandSize w:val="1"/>
      <w:tblStyleColBandSize w:val="1"/>
      <w:tblCellMar>
        <w:left w:w="115" w:type="dxa"/>
        <w:right w:w="115" w:type="dxa"/>
      </w:tblCellMar>
    </w:tblPr>
  </w:style>
  <w:style w:type="table" w:customStyle="1" w:styleId="a0">
    <w:basedOn w:val="TableNormalf3"/>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3"/>
    <w:tblPr>
      <w:tblStyleRowBandSize w:val="1"/>
      <w:tblStyleColBandSize w:val="1"/>
      <w:tblCellMar>
        <w:left w:w="115" w:type="dxa"/>
        <w:right w:w="115" w:type="dxa"/>
      </w:tblCellMar>
    </w:tblPr>
  </w:style>
  <w:style w:type="table" w:customStyle="1" w:styleId="a2">
    <w:basedOn w:val="TableNormalf3"/>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2"/>
    <w:tblPr>
      <w:tblStyleRowBandSize w:val="1"/>
      <w:tblStyleColBandSize w:val="1"/>
      <w:tblCellMar>
        <w:left w:w="115" w:type="dxa"/>
        <w:right w:w="115" w:type="dxa"/>
      </w:tblCellMar>
    </w:tblPr>
  </w:style>
  <w:style w:type="table" w:customStyle="1" w:styleId="a4">
    <w:basedOn w:val="TableNormalf2"/>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1"/>
    <w:tblPr>
      <w:tblStyleRowBandSize w:val="1"/>
      <w:tblStyleColBandSize w:val="1"/>
      <w:tblCellMar>
        <w:left w:w="108" w:type="dxa"/>
        <w:right w:w="108" w:type="dxa"/>
      </w:tblCellMar>
    </w:tblPr>
  </w:style>
  <w:style w:type="table" w:customStyle="1" w:styleId="a6">
    <w:basedOn w:val="TableNormalf1"/>
    <w:tblPr>
      <w:tblStyleRowBandSize w:val="1"/>
      <w:tblStyleColBandSize w:val="1"/>
      <w:tblCellMar>
        <w:left w:w="108" w:type="dxa"/>
        <w:right w:w="108" w:type="dxa"/>
      </w:tblCellMar>
    </w:tblPr>
  </w:style>
  <w:style w:type="table" w:customStyle="1" w:styleId="a7">
    <w:basedOn w:val="TableNormalf1"/>
    <w:tblPr>
      <w:tblStyleRowBandSize w:val="1"/>
      <w:tblStyleColBandSize w:val="1"/>
      <w:tblCellMar>
        <w:left w:w="108" w:type="dxa"/>
        <w:right w:w="108" w:type="dxa"/>
      </w:tblCellMar>
    </w:tblPr>
  </w:style>
  <w:style w:type="table" w:customStyle="1" w:styleId="a8">
    <w:basedOn w:val="TableNormalf1"/>
    <w:tblPr>
      <w:tblStyleRowBandSize w:val="1"/>
      <w:tblStyleColBandSize w:val="1"/>
      <w:tblCellMar>
        <w:left w:w="108" w:type="dxa"/>
        <w:right w:w="108" w:type="dxa"/>
      </w:tblCellMar>
    </w:tblPr>
  </w:style>
  <w:style w:type="table" w:customStyle="1" w:styleId="a9">
    <w:basedOn w:val="TableNormalf1"/>
    <w:tblPr>
      <w:tblStyleRowBandSize w:val="1"/>
      <w:tblStyleColBandSize w:val="1"/>
      <w:tblCellMar>
        <w:left w:w="108" w:type="dxa"/>
        <w:right w:w="108" w:type="dxa"/>
      </w:tblCellMar>
    </w:tblPr>
  </w:style>
  <w:style w:type="table" w:customStyle="1" w:styleId="aa">
    <w:basedOn w:val="TableNormalf1"/>
    <w:tblPr>
      <w:tblStyleRowBandSize w:val="1"/>
      <w:tblStyleColBandSize w:val="1"/>
      <w:tblCellMar>
        <w:left w:w="115" w:type="dxa"/>
        <w:right w:w="115" w:type="dxa"/>
      </w:tblCellMar>
    </w:tblPr>
  </w:style>
  <w:style w:type="table" w:customStyle="1" w:styleId="ab">
    <w:basedOn w:val="TableNormalf1"/>
    <w:tblPr>
      <w:tblStyleRowBandSize w:val="1"/>
      <w:tblStyleColBandSize w:val="1"/>
      <w:tblCellMar>
        <w:left w:w="115" w:type="dxa"/>
        <w:right w:w="115" w:type="dxa"/>
      </w:tblCellMar>
    </w:tblPr>
  </w:style>
  <w:style w:type="table" w:customStyle="1" w:styleId="ac">
    <w:basedOn w:val="TableNormalf0"/>
    <w:tblPr>
      <w:tblStyleRowBandSize w:val="1"/>
      <w:tblStyleColBandSize w:val="1"/>
      <w:tblCellMar>
        <w:left w:w="108" w:type="dxa"/>
        <w:right w:w="108" w:type="dxa"/>
      </w:tblCellMar>
    </w:tblPr>
  </w:style>
  <w:style w:type="table" w:customStyle="1" w:styleId="ad">
    <w:basedOn w:val="TableNormalf0"/>
    <w:tblPr>
      <w:tblStyleRowBandSize w:val="1"/>
      <w:tblStyleColBandSize w:val="1"/>
      <w:tblCellMar>
        <w:left w:w="115" w:type="dxa"/>
        <w:right w:w="115" w:type="dxa"/>
      </w:tblCellMar>
    </w:tblPr>
  </w:style>
  <w:style w:type="table" w:customStyle="1" w:styleId="ae">
    <w:basedOn w:val="TableNormalf0"/>
    <w:tblPr>
      <w:tblStyleRowBandSize w:val="1"/>
      <w:tblStyleColBandSize w:val="1"/>
      <w:tblCellMar>
        <w:left w:w="115" w:type="dxa"/>
        <w:right w:w="115" w:type="dxa"/>
      </w:tblCellMar>
    </w:tblPr>
  </w:style>
  <w:style w:type="table" w:customStyle="1" w:styleId="af">
    <w:basedOn w:val="TableNormalf"/>
    <w:tblPr>
      <w:tblStyleRowBandSize w:val="1"/>
      <w:tblStyleColBandSize w:val="1"/>
      <w:tblCellMar>
        <w:left w:w="115" w:type="dxa"/>
        <w:right w:w="115" w:type="dxa"/>
      </w:tblCellMar>
    </w:tblPr>
  </w:style>
  <w:style w:type="table" w:customStyle="1" w:styleId="af0">
    <w:basedOn w:val="TableNormalf"/>
    <w:tblPr>
      <w:tblStyleRowBandSize w:val="1"/>
      <w:tblStyleColBandSize w:val="1"/>
      <w:tblCellMar>
        <w:left w:w="115" w:type="dxa"/>
        <w:right w:w="115" w:type="dxa"/>
      </w:tblCellMar>
    </w:tblPr>
  </w:style>
  <w:style w:type="table" w:customStyle="1" w:styleId="af1">
    <w:basedOn w:val="TableNormalf"/>
    <w:tblPr>
      <w:tblStyleRowBandSize w:val="1"/>
      <w:tblStyleColBandSize w:val="1"/>
      <w:tblCellMar>
        <w:left w:w="115" w:type="dxa"/>
        <w:right w:w="115" w:type="dxa"/>
      </w:tblCellMar>
    </w:tblPr>
  </w:style>
  <w:style w:type="table" w:customStyle="1" w:styleId="af2">
    <w:basedOn w:val="TableNormale"/>
    <w:tblPr>
      <w:tblStyleRowBandSize w:val="1"/>
      <w:tblStyleColBandSize w:val="1"/>
      <w:tblCellMar>
        <w:left w:w="115" w:type="dxa"/>
        <w:right w:w="115" w:type="dxa"/>
      </w:tblCellMar>
    </w:tblPr>
  </w:style>
  <w:style w:type="table" w:customStyle="1" w:styleId="af3">
    <w:basedOn w:val="TableNormale"/>
    <w:tblPr>
      <w:tblStyleRowBandSize w:val="1"/>
      <w:tblStyleColBandSize w:val="1"/>
      <w:tblCellMar>
        <w:left w:w="115" w:type="dxa"/>
        <w:right w:w="115" w:type="dxa"/>
      </w:tblCellMar>
    </w:tblPr>
  </w:style>
  <w:style w:type="table" w:customStyle="1" w:styleId="af4">
    <w:basedOn w:val="TableNormald"/>
    <w:tblPr>
      <w:tblStyleRowBandSize w:val="1"/>
      <w:tblStyleColBandSize w:val="1"/>
      <w:tblCellMar>
        <w:left w:w="115" w:type="dxa"/>
        <w:right w:w="115" w:type="dxa"/>
      </w:tblCellMar>
    </w:tblPr>
  </w:style>
  <w:style w:type="table" w:customStyle="1" w:styleId="af5">
    <w:basedOn w:val="TableNormald"/>
    <w:tblPr>
      <w:tblStyleRowBandSize w:val="1"/>
      <w:tblStyleColBandSize w:val="1"/>
      <w:tblCellMar>
        <w:left w:w="115" w:type="dxa"/>
        <w:right w:w="115" w:type="dxa"/>
      </w:tblCellMar>
    </w:tblPr>
  </w:style>
  <w:style w:type="table" w:customStyle="1" w:styleId="af6">
    <w:basedOn w:val="TableNormalc"/>
    <w:tblPr>
      <w:tblStyleRowBandSize w:val="1"/>
      <w:tblStyleColBandSize w:val="1"/>
      <w:tblCellMar>
        <w:left w:w="115" w:type="dxa"/>
        <w:right w:w="115" w:type="dxa"/>
      </w:tblCellMar>
    </w:tblPr>
  </w:style>
  <w:style w:type="table" w:customStyle="1" w:styleId="af7">
    <w:basedOn w:val="TableNormalc"/>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b"/>
    <w:tblPr>
      <w:tblStyleRowBandSize w:val="1"/>
      <w:tblStyleColBandSize w:val="1"/>
      <w:tblCellMar>
        <w:left w:w="115" w:type="dxa"/>
        <w:right w:w="115" w:type="dxa"/>
      </w:tblCellMar>
    </w:tblPr>
  </w:style>
  <w:style w:type="table" w:customStyle="1" w:styleId="af9">
    <w:basedOn w:val="TableNormalb"/>
    <w:tblPr>
      <w:tblStyleRowBandSize w:val="1"/>
      <w:tblStyleColBandSize w:val="1"/>
      <w:tblCellMar>
        <w:left w:w="115" w:type="dxa"/>
        <w:right w:w="115" w:type="dxa"/>
      </w:tblCellMar>
    </w:tblPr>
  </w:style>
  <w:style w:type="table" w:customStyle="1" w:styleId="afa">
    <w:basedOn w:val="TableNormala"/>
    <w:tblPr>
      <w:tblStyleRowBandSize w:val="1"/>
      <w:tblStyleColBandSize w:val="1"/>
      <w:tblCellMar>
        <w:left w:w="115" w:type="dxa"/>
        <w:right w:w="115" w:type="dxa"/>
      </w:tblCellMar>
    </w:tblPr>
  </w:style>
  <w:style w:type="table" w:customStyle="1" w:styleId="afb">
    <w:basedOn w:val="TableNormala"/>
    <w:tblPr>
      <w:tblStyleRowBandSize w:val="1"/>
      <w:tblStyleColBandSize w:val="1"/>
      <w:tblCellMar>
        <w:left w:w="115" w:type="dxa"/>
        <w:right w:w="115" w:type="dxa"/>
      </w:tblCellMar>
    </w:tblPr>
  </w:style>
  <w:style w:type="table" w:customStyle="1" w:styleId="afc">
    <w:basedOn w:val="TableNormal9"/>
    <w:tblPr>
      <w:tblStyleRowBandSize w:val="1"/>
      <w:tblStyleColBandSize w:val="1"/>
      <w:tblCellMar>
        <w:left w:w="115" w:type="dxa"/>
        <w:right w:w="115" w:type="dxa"/>
      </w:tblCellMar>
    </w:tblPr>
  </w:style>
  <w:style w:type="table" w:customStyle="1" w:styleId="afd">
    <w:basedOn w:val="TableNormal9"/>
    <w:tblPr>
      <w:tblStyleRowBandSize w:val="1"/>
      <w:tblStyleColBandSize w:val="1"/>
      <w:tblCellMar>
        <w:left w:w="115" w:type="dxa"/>
        <w:right w:w="115" w:type="dxa"/>
      </w:tblCellMar>
    </w:tblPr>
  </w:style>
  <w:style w:type="table" w:customStyle="1" w:styleId="afe">
    <w:basedOn w:val="TableNormal8"/>
    <w:tblPr>
      <w:tblStyleRowBandSize w:val="1"/>
      <w:tblStyleColBandSize w:val="1"/>
      <w:tblCellMar>
        <w:left w:w="115" w:type="dxa"/>
        <w:right w:w="115" w:type="dxa"/>
      </w:tblCellMar>
    </w:tblPr>
  </w:style>
  <w:style w:type="table" w:customStyle="1" w:styleId="aff">
    <w:basedOn w:val="TableNormal8"/>
    <w:tblPr>
      <w:tblStyleRowBandSize w:val="1"/>
      <w:tblStyleColBandSize w:val="1"/>
      <w:tblCellMar>
        <w:left w:w="115" w:type="dxa"/>
        <w:right w:w="115" w:type="dxa"/>
      </w:tblCellMar>
    </w:tblPr>
  </w:style>
  <w:style w:type="table" w:customStyle="1" w:styleId="aff0">
    <w:basedOn w:val="TableNormal7"/>
    <w:tblPr>
      <w:tblStyleRowBandSize w:val="1"/>
      <w:tblStyleColBandSize w:val="1"/>
      <w:tblCellMar>
        <w:left w:w="115" w:type="dxa"/>
        <w:right w:w="115" w:type="dxa"/>
      </w:tblCellMar>
    </w:tblPr>
  </w:style>
  <w:style w:type="table" w:customStyle="1" w:styleId="aff1">
    <w:basedOn w:val="TableNormal7"/>
    <w:tblPr>
      <w:tblStyleRowBandSize w:val="1"/>
      <w:tblStyleColBandSize w:val="1"/>
      <w:tblCellMar>
        <w:left w:w="115" w:type="dxa"/>
        <w:right w:w="115" w:type="dxa"/>
      </w:tblCellMar>
    </w:tblPr>
  </w:style>
  <w:style w:type="table" w:customStyle="1" w:styleId="aff2">
    <w:basedOn w:val="TableNormal6"/>
    <w:tblPr>
      <w:tblStyleRowBandSize w:val="1"/>
      <w:tblStyleColBandSize w:val="1"/>
      <w:tblCellMar>
        <w:left w:w="115" w:type="dxa"/>
        <w:right w:w="115" w:type="dxa"/>
      </w:tblCellMar>
    </w:tblPr>
  </w:style>
  <w:style w:type="table" w:customStyle="1" w:styleId="aff3">
    <w:basedOn w:val="TableNormal6"/>
    <w:tblPr>
      <w:tblStyleRowBandSize w:val="1"/>
      <w:tblStyleColBandSize w:val="1"/>
      <w:tblCellMar>
        <w:left w:w="115" w:type="dxa"/>
        <w:right w:w="115" w:type="dxa"/>
      </w:tblCellMar>
    </w:tblPr>
  </w:style>
  <w:style w:type="table" w:customStyle="1" w:styleId="aff4">
    <w:basedOn w:val="TableNormal5"/>
    <w:tblPr>
      <w:tblStyleRowBandSize w:val="1"/>
      <w:tblStyleColBandSize w:val="1"/>
      <w:tblCellMar>
        <w:left w:w="115" w:type="dxa"/>
        <w:right w:w="115" w:type="dxa"/>
      </w:tblCellMar>
    </w:tblPr>
  </w:style>
  <w:style w:type="table" w:customStyle="1" w:styleId="aff5">
    <w:basedOn w:val="TableNormal5"/>
    <w:tblPr>
      <w:tblStyleRowBandSize w:val="1"/>
      <w:tblStyleColBandSize w:val="1"/>
      <w:tblCellMar>
        <w:left w:w="115" w:type="dxa"/>
        <w:right w:w="115" w:type="dxa"/>
      </w:tblCellMar>
    </w:tblPr>
  </w:style>
  <w:style w:type="table" w:customStyle="1" w:styleId="aff6">
    <w:basedOn w:val="TableNormal4"/>
    <w:tblPr>
      <w:tblStyleRowBandSize w:val="1"/>
      <w:tblStyleColBandSize w:val="1"/>
      <w:tblCellMar>
        <w:left w:w="115" w:type="dxa"/>
        <w:right w:w="115" w:type="dxa"/>
      </w:tblCellMar>
    </w:tblPr>
  </w:style>
  <w:style w:type="table" w:customStyle="1" w:styleId="aff7">
    <w:basedOn w:val="TableNormal4"/>
    <w:tblPr>
      <w:tblStyleRowBandSize w:val="1"/>
      <w:tblStyleColBandSize w:val="1"/>
      <w:tblCellMar>
        <w:left w:w="115" w:type="dxa"/>
        <w:right w:w="115" w:type="dxa"/>
      </w:tblCellMar>
    </w:tblPr>
  </w:style>
  <w:style w:type="table" w:customStyle="1" w:styleId="aff8">
    <w:basedOn w:val="TableNormal3"/>
    <w:tblPr>
      <w:tblStyleRowBandSize w:val="1"/>
      <w:tblStyleColBandSize w:val="1"/>
      <w:tblCellMar>
        <w:left w:w="115" w:type="dxa"/>
        <w:right w:w="115" w:type="dxa"/>
      </w:tblCellMar>
    </w:tblPr>
  </w:style>
  <w:style w:type="table" w:customStyle="1" w:styleId="aff9">
    <w:basedOn w:val="TableNormal3"/>
    <w:tblPr>
      <w:tblStyleRowBandSize w:val="1"/>
      <w:tblStyleColBandSize w:val="1"/>
      <w:tblCellMar>
        <w:left w:w="115" w:type="dxa"/>
        <w:right w:w="115" w:type="dxa"/>
      </w:tblCellMar>
    </w:tblPr>
  </w:style>
  <w:style w:type="table" w:customStyle="1" w:styleId="affa">
    <w:basedOn w:val="TableNormal2"/>
    <w:tblPr>
      <w:tblStyleRowBandSize w:val="1"/>
      <w:tblStyleColBandSize w:val="1"/>
      <w:tblCellMar>
        <w:left w:w="115" w:type="dxa"/>
        <w:right w:w="115" w:type="dxa"/>
      </w:tblCellMar>
    </w:tblPr>
  </w:style>
  <w:style w:type="table" w:customStyle="1" w:styleId="affb">
    <w:basedOn w:val="TableNormal2"/>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jMy1YfKKWS7y9xWDd6upTPyXfg==">CgMxLjAyCWguM3JkY3JqbjIOaC5kYWozajJ4bzZxNjYyCGguZ2pkZ3hzMgloLjNkeTZ2a20yCWguMzBqMHpsbDIJaC4yczhleW8xMghoLnR5amN3dDIJaC4zem55c2g3MgloLjJldDkycDAyCWguMXQzaDVzZjIJaC4xZm9iOXRlMg5oLmhuenhzY2g1Z3lzejIOaC5vdDNxcTZ2eGEwOGYyCGgubG54Yno5OAByITEwUmdUelMxUHNJckhqM1FoTmZDSzcwV1ZtOENMaTIz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9149</Words>
  <Characters>49768</Characters>
  <Application>Microsoft Office Word</Application>
  <DocSecurity>0</DocSecurity>
  <Lines>905</Lines>
  <Paragraphs>215</Paragraphs>
  <ScaleCrop>false</ScaleCrop>
  <Company/>
  <LinksUpToDate>false</LinksUpToDate>
  <CharactersWithSpaces>58761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dcterms:created xsi:type="dcterms:W3CDTF">2025-10-06T16:55:00Z</dcterms:created>
  <dcterms:modified xsi:type="dcterms:W3CDTF">2025-10-06T16:55:00Z</dcterms:modified>
</cp:coreProperties>
</file>