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E76C6" w14:textId="77777777" w:rsidR="00A4751E" w:rsidRDefault="00A4751E">
      <w:pPr>
        <w:widowControl w:val="0"/>
        <w:pBdr>
          <w:top w:val="nil"/>
          <w:left w:val="nil"/>
          <w:bottom w:val="nil"/>
          <w:right w:val="nil"/>
          <w:between w:val="nil"/>
        </w:pBdr>
        <w:spacing w:line="276" w:lineRule="auto"/>
      </w:pPr>
    </w:p>
    <w:p w14:paraId="1D4F7DD9" w14:textId="77777777" w:rsidR="00A4751E" w:rsidRDefault="00A4751E">
      <w:pPr>
        <w:spacing w:line="360" w:lineRule="auto"/>
        <w:jc w:val="both"/>
        <w:rPr>
          <w:rFonts w:ascii="Palatino Linotype" w:eastAsia="Palatino Linotype" w:hAnsi="Palatino Linotype" w:cs="Palatino Linotype"/>
          <w:color w:val="000000"/>
          <w:sz w:val="22"/>
          <w:szCs w:val="22"/>
        </w:rPr>
      </w:pPr>
    </w:p>
    <w:sdt>
      <w:sdtPr>
        <w:rPr>
          <w:rFonts w:ascii="Palatino Linotype" w:eastAsia="Palatino Linotype" w:hAnsi="Palatino Linotype" w:cs="Palatino Linotype"/>
          <w:color w:val="auto"/>
          <w:sz w:val="22"/>
          <w:szCs w:val="22"/>
          <w:lang w:val="es-ES" w:eastAsia="es-ES"/>
        </w:rPr>
        <w:id w:val="789625836"/>
        <w:docPartObj>
          <w:docPartGallery w:val="Table of Contents"/>
          <w:docPartUnique/>
        </w:docPartObj>
      </w:sdtPr>
      <w:sdtEndPr>
        <w:rPr>
          <w:rFonts w:ascii="Times New Roman" w:eastAsia="Times New Roman" w:hAnsi="Times New Roman" w:cs="Times New Roman"/>
          <w:b/>
          <w:bCs/>
          <w:color w:val="FF0000"/>
          <w:sz w:val="20"/>
          <w:szCs w:val="20"/>
        </w:rPr>
      </w:sdtEndPr>
      <w:sdtContent>
        <w:p w14:paraId="119B29BB" w14:textId="2E73D1CB" w:rsidR="00853236" w:rsidRPr="00B45C85" w:rsidRDefault="00853236" w:rsidP="00853236">
          <w:pPr>
            <w:pStyle w:val="TtulodeTDC"/>
            <w:spacing w:before="0" w:line="360" w:lineRule="auto"/>
            <w:jc w:val="center"/>
            <w:rPr>
              <w:rFonts w:ascii="Palatino Linotype" w:hAnsi="Palatino Linotype"/>
              <w:color w:val="auto"/>
              <w:sz w:val="22"/>
              <w:szCs w:val="22"/>
            </w:rPr>
          </w:pPr>
          <w:r w:rsidRPr="00B45C85">
            <w:rPr>
              <w:rFonts w:ascii="Palatino Linotype" w:hAnsi="Palatino Linotype"/>
              <w:color w:val="auto"/>
              <w:sz w:val="22"/>
              <w:szCs w:val="22"/>
              <w:lang w:val="es-ES"/>
            </w:rPr>
            <w:t xml:space="preserve">RESOLUCIÓN DEL RECURSO DE REVISIÓN </w:t>
          </w:r>
          <w:r w:rsidRPr="00B45C85">
            <w:rPr>
              <w:rFonts w:ascii="Palatino Linotype" w:hAnsi="Palatino Linotype"/>
              <w:color w:val="auto"/>
              <w:sz w:val="22"/>
              <w:szCs w:val="22"/>
            </w:rPr>
            <w:t>027</w:t>
          </w:r>
          <w:r>
            <w:rPr>
              <w:rFonts w:ascii="Palatino Linotype" w:hAnsi="Palatino Linotype"/>
              <w:color w:val="auto"/>
              <w:sz w:val="22"/>
              <w:szCs w:val="22"/>
            </w:rPr>
            <w:t>86</w:t>
          </w:r>
          <w:r w:rsidRPr="00B45C85">
            <w:rPr>
              <w:rFonts w:ascii="Palatino Linotype" w:hAnsi="Palatino Linotype"/>
              <w:color w:val="auto"/>
              <w:sz w:val="22"/>
              <w:szCs w:val="22"/>
            </w:rPr>
            <w:t>/INFOEM/IP/RR/2025</w:t>
          </w:r>
        </w:p>
        <w:p w14:paraId="089CA3CF" w14:textId="77777777" w:rsidR="00853236" w:rsidRPr="00853236" w:rsidRDefault="00853236" w:rsidP="00853236">
          <w:pPr>
            <w:spacing w:line="360" w:lineRule="auto"/>
            <w:rPr>
              <w:color w:val="FF0000"/>
            </w:rPr>
          </w:pPr>
        </w:p>
        <w:p w14:paraId="3B29EC0A" w14:textId="1BB8EC5D" w:rsidR="00853236" w:rsidRPr="00CE254A" w:rsidRDefault="00853236">
          <w:pPr>
            <w:pStyle w:val="TDC1"/>
            <w:tabs>
              <w:tab w:val="right" w:leader="dot" w:pos="9034"/>
            </w:tabs>
            <w:rPr>
              <w:rFonts w:asciiTheme="minorHAnsi" w:eastAsiaTheme="minorEastAsia" w:hAnsiTheme="minorHAnsi" w:cstheme="minorBidi"/>
              <w:noProof/>
              <w:kern w:val="2"/>
              <w:sz w:val="22"/>
              <w:szCs w:val="22"/>
              <w:lang w:eastAsia="es-MX"/>
              <w14:ligatures w14:val="standardContextual"/>
            </w:rPr>
          </w:pPr>
          <w:r w:rsidRPr="00853236">
            <w:rPr>
              <w:color w:val="FF0000"/>
            </w:rPr>
            <w:fldChar w:fldCharType="begin"/>
          </w:r>
          <w:r w:rsidRPr="00853236">
            <w:rPr>
              <w:color w:val="FF0000"/>
            </w:rPr>
            <w:instrText xml:space="preserve"> TOC \o "1-3" \h \z \u </w:instrText>
          </w:r>
          <w:r w:rsidRPr="00853236">
            <w:rPr>
              <w:color w:val="FF0000"/>
            </w:rPr>
            <w:fldChar w:fldCharType="separate"/>
          </w:r>
          <w:hyperlink w:anchor="_Toc195201246" w:history="1">
            <w:r w:rsidRPr="00CE254A">
              <w:rPr>
                <w:rStyle w:val="Hipervnculo"/>
                <w:rFonts w:ascii="Palatino Linotype" w:eastAsia="Palatino Linotype" w:hAnsi="Palatino Linotype" w:cs="Palatino Linotype"/>
                <w:noProof/>
              </w:rPr>
              <w:t>A N T E C E D E N T E S</w:t>
            </w:r>
            <w:r w:rsidRPr="00CE254A">
              <w:rPr>
                <w:noProof/>
                <w:webHidden/>
              </w:rPr>
              <w:tab/>
            </w:r>
            <w:r w:rsidRPr="00CE254A">
              <w:rPr>
                <w:noProof/>
                <w:webHidden/>
              </w:rPr>
              <w:fldChar w:fldCharType="begin"/>
            </w:r>
            <w:r w:rsidRPr="00CE254A">
              <w:rPr>
                <w:noProof/>
                <w:webHidden/>
              </w:rPr>
              <w:instrText xml:space="preserve"> PAGEREF _Toc195201246 \h </w:instrText>
            </w:r>
            <w:r w:rsidRPr="00CE254A">
              <w:rPr>
                <w:noProof/>
                <w:webHidden/>
              </w:rPr>
            </w:r>
            <w:r w:rsidRPr="00CE254A">
              <w:rPr>
                <w:noProof/>
                <w:webHidden/>
              </w:rPr>
              <w:fldChar w:fldCharType="separate"/>
            </w:r>
            <w:r w:rsidR="0079032A">
              <w:rPr>
                <w:noProof/>
                <w:webHidden/>
              </w:rPr>
              <w:t>2</w:t>
            </w:r>
            <w:r w:rsidRPr="00CE254A">
              <w:rPr>
                <w:noProof/>
                <w:webHidden/>
              </w:rPr>
              <w:fldChar w:fldCharType="end"/>
            </w:r>
          </w:hyperlink>
        </w:p>
        <w:p w14:paraId="52511519" w14:textId="4D7C4E48"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47" w:history="1">
            <w:r w:rsidR="00853236" w:rsidRPr="00CE254A">
              <w:rPr>
                <w:rStyle w:val="Hipervnculo"/>
                <w:rFonts w:ascii="Palatino Linotype" w:eastAsia="Palatino Linotype" w:hAnsi="Palatino Linotype" w:cs="Palatino Linotype"/>
                <w:noProof/>
              </w:rPr>
              <w:t>I. Presentación de la solicitud de información</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_Toc195201247 \h </w:instrText>
            </w:r>
            <w:r w:rsidR="00853236" w:rsidRPr="00CE254A">
              <w:rPr>
                <w:noProof/>
                <w:webHidden/>
              </w:rPr>
            </w:r>
            <w:r w:rsidR="00853236" w:rsidRPr="00CE254A">
              <w:rPr>
                <w:noProof/>
                <w:webHidden/>
              </w:rPr>
              <w:fldChar w:fldCharType="separate"/>
            </w:r>
            <w:r w:rsidR="0079032A">
              <w:rPr>
                <w:noProof/>
                <w:webHidden/>
              </w:rPr>
              <w:t>2</w:t>
            </w:r>
            <w:r w:rsidR="00853236" w:rsidRPr="00CE254A">
              <w:rPr>
                <w:noProof/>
                <w:webHidden/>
              </w:rPr>
              <w:fldChar w:fldCharType="end"/>
            </w:r>
          </w:hyperlink>
        </w:p>
        <w:p w14:paraId="0BA33547" w14:textId="5FC9AE07"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48" w:history="1">
            <w:r w:rsidR="00853236" w:rsidRPr="00CE254A">
              <w:rPr>
                <w:rStyle w:val="Hipervnculo"/>
                <w:rFonts w:ascii="Palatino Linotype" w:eastAsia="Palatino Linotype" w:hAnsi="Palatino Linotype" w:cs="Palatino Linotype"/>
                <w:noProof/>
              </w:rPr>
              <w:t>II. Respuesta del Sujeto Obligado</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_Toc195201248 \h </w:instrText>
            </w:r>
            <w:r w:rsidR="00853236" w:rsidRPr="00CE254A">
              <w:rPr>
                <w:noProof/>
                <w:webHidden/>
              </w:rPr>
            </w:r>
            <w:r w:rsidR="00853236" w:rsidRPr="00CE254A">
              <w:rPr>
                <w:noProof/>
                <w:webHidden/>
              </w:rPr>
              <w:fldChar w:fldCharType="separate"/>
            </w:r>
            <w:r w:rsidR="0079032A">
              <w:rPr>
                <w:noProof/>
                <w:webHidden/>
              </w:rPr>
              <w:t>3</w:t>
            </w:r>
            <w:r w:rsidR="00853236" w:rsidRPr="00CE254A">
              <w:rPr>
                <w:noProof/>
                <w:webHidden/>
              </w:rPr>
              <w:fldChar w:fldCharType="end"/>
            </w:r>
          </w:hyperlink>
        </w:p>
        <w:p w14:paraId="0F3FAC6D" w14:textId="06B2FB77"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49" w:history="1">
            <w:r w:rsidR="00853236" w:rsidRPr="00CE254A">
              <w:rPr>
                <w:rStyle w:val="Hipervnculo"/>
                <w:rFonts w:ascii="Palatino Linotype" w:eastAsia="Palatino Linotype" w:hAnsi="Palatino Linotype" w:cs="Palatino Linotype"/>
                <w:noProof/>
              </w:rPr>
              <w:t>III. Interposición del Recurso de Revisión</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_Toc195201249 \h </w:instrText>
            </w:r>
            <w:r w:rsidR="00853236" w:rsidRPr="00CE254A">
              <w:rPr>
                <w:noProof/>
                <w:webHidden/>
              </w:rPr>
            </w:r>
            <w:r w:rsidR="00853236" w:rsidRPr="00CE254A">
              <w:rPr>
                <w:noProof/>
                <w:webHidden/>
              </w:rPr>
              <w:fldChar w:fldCharType="separate"/>
            </w:r>
            <w:r w:rsidR="0079032A">
              <w:rPr>
                <w:noProof/>
                <w:webHidden/>
              </w:rPr>
              <w:t>3</w:t>
            </w:r>
            <w:r w:rsidR="00853236" w:rsidRPr="00CE254A">
              <w:rPr>
                <w:noProof/>
                <w:webHidden/>
              </w:rPr>
              <w:fldChar w:fldCharType="end"/>
            </w:r>
          </w:hyperlink>
        </w:p>
        <w:p w14:paraId="18C69DF4" w14:textId="53A71BEA"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50" w:history="1">
            <w:r w:rsidR="00853236" w:rsidRPr="00CE254A">
              <w:rPr>
                <w:rStyle w:val="Hipervnculo"/>
                <w:rFonts w:ascii="Palatino Linotype" w:eastAsia="Palatino Linotype" w:hAnsi="Palatino Linotype" w:cs="Palatino Linotype"/>
                <w:noProof/>
              </w:rPr>
              <w:t>IV. Trámite del Recurso de Revisión ante el Instituto</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_Toc195201250 \h </w:instrText>
            </w:r>
            <w:r w:rsidR="00853236" w:rsidRPr="00CE254A">
              <w:rPr>
                <w:noProof/>
                <w:webHidden/>
              </w:rPr>
            </w:r>
            <w:r w:rsidR="00853236" w:rsidRPr="00CE254A">
              <w:rPr>
                <w:noProof/>
                <w:webHidden/>
              </w:rPr>
              <w:fldChar w:fldCharType="separate"/>
            </w:r>
            <w:r w:rsidR="0079032A">
              <w:rPr>
                <w:noProof/>
                <w:webHidden/>
              </w:rPr>
              <w:t>4</w:t>
            </w:r>
            <w:r w:rsidR="00853236" w:rsidRPr="00CE254A">
              <w:rPr>
                <w:noProof/>
                <w:webHidden/>
              </w:rPr>
              <w:fldChar w:fldCharType="end"/>
            </w:r>
          </w:hyperlink>
        </w:p>
        <w:p w14:paraId="16A650A4" w14:textId="44625CE7" w:rsidR="00853236" w:rsidRPr="00CE254A" w:rsidRDefault="00B74A65">
          <w:pPr>
            <w:pStyle w:val="TDC1"/>
            <w:tabs>
              <w:tab w:val="right" w:leader="dot" w:pos="9034"/>
            </w:tabs>
            <w:rPr>
              <w:rFonts w:asciiTheme="minorHAnsi" w:eastAsiaTheme="minorEastAsia" w:hAnsiTheme="minorHAnsi" w:cstheme="minorBidi"/>
              <w:noProof/>
              <w:kern w:val="2"/>
              <w:sz w:val="22"/>
              <w:szCs w:val="22"/>
              <w:lang w:eastAsia="es-MX"/>
              <w14:ligatures w14:val="standardContextual"/>
            </w:rPr>
          </w:pPr>
          <w:hyperlink w:anchor="_Toc195201251" w:history="1">
            <w:r w:rsidR="00853236" w:rsidRPr="00CE254A">
              <w:rPr>
                <w:rStyle w:val="Hipervnculo"/>
                <w:rFonts w:ascii="Palatino Linotype" w:eastAsia="Palatino Linotype" w:hAnsi="Palatino Linotype" w:cs="Palatino Linotype"/>
                <w:noProof/>
              </w:rPr>
              <w:t>C O N S I D E R A N D O S</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_Toc195201251 \h </w:instrText>
            </w:r>
            <w:r w:rsidR="00853236" w:rsidRPr="00CE254A">
              <w:rPr>
                <w:noProof/>
                <w:webHidden/>
              </w:rPr>
            </w:r>
            <w:r w:rsidR="00853236" w:rsidRPr="00CE254A">
              <w:rPr>
                <w:noProof/>
                <w:webHidden/>
              </w:rPr>
              <w:fldChar w:fldCharType="separate"/>
            </w:r>
            <w:r w:rsidR="0079032A">
              <w:rPr>
                <w:noProof/>
                <w:webHidden/>
              </w:rPr>
              <w:t>5</w:t>
            </w:r>
            <w:r w:rsidR="00853236" w:rsidRPr="00CE254A">
              <w:rPr>
                <w:noProof/>
                <w:webHidden/>
              </w:rPr>
              <w:fldChar w:fldCharType="end"/>
            </w:r>
          </w:hyperlink>
        </w:p>
        <w:p w14:paraId="0570637F" w14:textId="12345B5B"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52" w:history="1">
            <w:r w:rsidR="00853236" w:rsidRPr="00CE254A">
              <w:rPr>
                <w:rStyle w:val="Hipervnculo"/>
                <w:rFonts w:ascii="Palatino Linotype" w:eastAsia="Palatino Linotype" w:hAnsi="Palatino Linotype" w:cs="Palatino Linotype"/>
                <w:noProof/>
              </w:rPr>
              <w:t>PRIMERO. Competencia</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_Toc195201252 \h </w:instrText>
            </w:r>
            <w:r w:rsidR="00853236" w:rsidRPr="00CE254A">
              <w:rPr>
                <w:noProof/>
                <w:webHidden/>
              </w:rPr>
            </w:r>
            <w:r w:rsidR="00853236" w:rsidRPr="00CE254A">
              <w:rPr>
                <w:noProof/>
                <w:webHidden/>
              </w:rPr>
              <w:fldChar w:fldCharType="separate"/>
            </w:r>
            <w:r w:rsidR="0079032A">
              <w:rPr>
                <w:noProof/>
                <w:webHidden/>
              </w:rPr>
              <w:t>5</w:t>
            </w:r>
            <w:r w:rsidR="00853236" w:rsidRPr="00CE254A">
              <w:rPr>
                <w:noProof/>
                <w:webHidden/>
              </w:rPr>
              <w:fldChar w:fldCharType="end"/>
            </w:r>
          </w:hyperlink>
        </w:p>
        <w:p w14:paraId="43A5B04A" w14:textId="39207D37"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53" w:history="1">
            <w:r w:rsidR="00853236" w:rsidRPr="00CE254A">
              <w:rPr>
                <w:rStyle w:val="Hipervnculo"/>
                <w:rFonts w:ascii="Palatino Linotype" w:eastAsia="Palatino Linotype" w:hAnsi="Palatino Linotype" w:cs="Palatino Linotype"/>
                <w:noProof/>
              </w:rPr>
              <w:t>SEGUNDO. Causales de improcedencia y sobreseimiento</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_Toc195201253 \h </w:instrText>
            </w:r>
            <w:r w:rsidR="00853236" w:rsidRPr="00CE254A">
              <w:rPr>
                <w:noProof/>
                <w:webHidden/>
              </w:rPr>
            </w:r>
            <w:r w:rsidR="00853236" w:rsidRPr="00CE254A">
              <w:rPr>
                <w:noProof/>
                <w:webHidden/>
              </w:rPr>
              <w:fldChar w:fldCharType="separate"/>
            </w:r>
            <w:r w:rsidR="0079032A">
              <w:rPr>
                <w:noProof/>
                <w:webHidden/>
              </w:rPr>
              <w:t>6</w:t>
            </w:r>
            <w:r w:rsidR="00853236" w:rsidRPr="00CE254A">
              <w:rPr>
                <w:noProof/>
                <w:webHidden/>
              </w:rPr>
              <w:fldChar w:fldCharType="end"/>
            </w:r>
          </w:hyperlink>
        </w:p>
        <w:p w14:paraId="4668E6B7" w14:textId="3B77EB7D"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54" w:history="1">
            <w:r w:rsidR="00853236" w:rsidRPr="00CE254A">
              <w:rPr>
                <w:rStyle w:val="Hipervnculo"/>
                <w:rFonts w:ascii="Palatino Linotype" w:eastAsia="Palatino Linotype" w:hAnsi="Palatino Linotype" w:cs="Palatino Linotype"/>
                <w:noProof/>
              </w:rPr>
              <w:t>TERCERO. Determinación de la Controversia</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_Toc195201254 \h </w:instrText>
            </w:r>
            <w:r w:rsidR="00853236" w:rsidRPr="00CE254A">
              <w:rPr>
                <w:noProof/>
                <w:webHidden/>
              </w:rPr>
            </w:r>
            <w:r w:rsidR="00853236" w:rsidRPr="00CE254A">
              <w:rPr>
                <w:noProof/>
                <w:webHidden/>
              </w:rPr>
              <w:fldChar w:fldCharType="separate"/>
            </w:r>
            <w:r w:rsidR="0079032A">
              <w:rPr>
                <w:noProof/>
                <w:webHidden/>
              </w:rPr>
              <w:t>7</w:t>
            </w:r>
            <w:r w:rsidR="00853236" w:rsidRPr="00CE254A">
              <w:rPr>
                <w:noProof/>
                <w:webHidden/>
              </w:rPr>
              <w:fldChar w:fldCharType="end"/>
            </w:r>
          </w:hyperlink>
        </w:p>
        <w:p w14:paraId="4167E088" w14:textId="2F4C2CC0"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55" w:history="1">
            <w:r w:rsidR="00853236" w:rsidRPr="00CE254A">
              <w:rPr>
                <w:rStyle w:val="Hipervnculo"/>
                <w:rFonts w:ascii="Palatino Linotype" w:eastAsia="Palatino Linotype" w:hAnsi="Palatino Linotype" w:cs="Palatino Linotype"/>
                <w:noProof/>
              </w:rPr>
              <w:t>CUARTO. Marco normativo aplicable en materia de transparencia y acceso a la información pública</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_Toc195201255 \h </w:instrText>
            </w:r>
            <w:r w:rsidR="00853236" w:rsidRPr="00CE254A">
              <w:rPr>
                <w:noProof/>
                <w:webHidden/>
              </w:rPr>
            </w:r>
            <w:r w:rsidR="00853236" w:rsidRPr="00CE254A">
              <w:rPr>
                <w:noProof/>
                <w:webHidden/>
              </w:rPr>
              <w:fldChar w:fldCharType="separate"/>
            </w:r>
            <w:r w:rsidR="0079032A">
              <w:rPr>
                <w:noProof/>
                <w:webHidden/>
              </w:rPr>
              <w:t>8</w:t>
            </w:r>
            <w:r w:rsidR="00853236" w:rsidRPr="00CE254A">
              <w:rPr>
                <w:noProof/>
                <w:webHidden/>
              </w:rPr>
              <w:fldChar w:fldCharType="end"/>
            </w:r>
          </w:hyperlink>
        </w:p>
        <w:p w14:paraId="491DAA61" w14:textId="0CA410ED"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56" w:history="1">
            <w:r w:rsidR="00853236" w:rsidRPr="00CE254A">
              <w:rPr>
                <w:rStyle w:val="Hipervnculo"/>
                <w:rFonts w:ascii="Palatino Linotype" w:eastAsia="Palatino Linotype" w:hAnsi="Palatino Linotype" w:cs="Palatino Linotype"/>
                <w:noProof/>
              </w:rPr>
              <w:t>QUINTO. Estudio de Fondo</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_Toc195201256 \h </w:instrText>
            </w:r>
            <w:r w:rsidR="00853236" w:rsidRPr="00CE254A">
              <w:rPr>
                <w:noProof/>
                <w:webHidden/>
              </w:rPr>
            </w:r>
            <w:r w:rsidR="00853236" w:rsidRPr="00CE254A">
              <w:rPr>
                <w:noProof/>
                <w:webHidden/>
              </w:rPr>
              <w:fldChar w:fldCharType="separate"/>
            </w:r>
            <w:r w:rsidR="0079032A">
              <w:rPr>
                <w:noProof/>
                <w:webHidden/>
              </w:rPr>
              <w:t>9</w:t>
            </w:r>
            <w:r w:rsidR="00853236" w:rsidRPr="00CE254A">
              <w:rPr>
                <w:noProof/>
                <w:webHidden/>
              </w:rPr>
              <w:fldChar w:fldCharType="end"/>
            </w:r>
          </w:hyperlink>
        </w:p>
        <w:p w14:paraId="121E3770" w14:textId="4EDE9EBE" w:rsidR="00853236" w:rsidRPr="00CE254A" w:rsidRDefault="00B74A65">
          <w:pPr>
            <w:pStyle w:val="TDC2"/>
            <w:rPr>
              <w:rFonts w:asciiTheme="minorHAnsi" w:eastAsiaTheme="minorEastAsia" w:hAnsiTheme="minorHAnsi" w:cstheme="minorBidi"/>
              <w:noProof/>
              <w:kern w:val="2"/>
              <w:sz w:val="22"/>
              <w:szCs w:val="22"/>
              <w:lang w:eastAsia="es-MX"/>
              <w14:ligatures w14:val="standardContextual"/>
            </w:rPr>
          </w:pPr>
          <w:hyperlink w:anchor="_Toc195201257" w:history="1">
            <w:r w:rsidR="00853236" w:rsidRPr="00CE254A">
              <w:rPr>
                <w:rStyle w:val="Hipervnculo"/>
                <w:rFonts w:ascii="Palatino Linotype" w:eastAsia="Palatino Linotype" w:hAnsi="Palatino Linotype" w:cs="Palatino Linotype"/>
                <w:noProof/>
              </w:rPr>
              <w:t>SEXTO. Decisión</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_Toc195201257 \h </w:instrText>
            </w:r>
            <w:r w:rsidR="00853236" w:rsidRPr="00CE254A">
              <w:rPr>
                <w:noProof/>
                <w:webHidden/>
              </w:rPr>
            </w:r>
            <w:r w:rsidR="00853236" w:rsidRPr="00CE254A">
              <w:rPr>
                <w:noProof/>
                <w:webHidden/>
              </w:rPr>
              <w:fldChar w:fldCharType="separate"/>
            </w:r>
            <w:r w:rsidR="0079032A">
              <w:rPr>
                <w:noProof/>
                <w:webHidden/>
              </w:rPr>
              <w:t>31</w:t>
            </w:r>
            <w:r w:rsidR="00853236" w:rsidRPr="00CE254A">
              <w:rPr>
                <w:noProof/>
                <w:webHidden/>
              </w:rPr>
              <w:fldChar w:fldCharType="end"/>
            </w:r>
          </w:hyperlink>
        </w:p>
        <w:p w14:paraId="2C418241" w14:textId="342D809E" w:rsidR="00853236" w:rsidRPr="00853236" w:rsidRDefault="00B74A65">
          <w:pPr>
            <w:pStyle w:val="TDC1"/>
            <w:tabs>
              <w:tab w:val="right" w:leader="dot" w:pos="9034"/>
            </w:tabs>
            <w:rPr>
              <w:rFonts w:asciiTheme="minorHAnsi" w:eastAsiaTheme="minorEastAsia" w:hAnsiTheme="minorHAnsi" w:cstheme="minorBidi"/>
              <w:noProof/>
              <w:kern w:val="2"/>
              <w:sz w:val="22"/>
              <w:szCs w:val="22"/>
              <w:lang w:eastAsia="es-MX"/>
              <w14:ligatures w14:val="standardContextual"/>
            </w:rPr>
          </w:pPr>
          <w:hyperlink w:anchor="_Toc195201258" w:history="1">
            <w:r w:rsidR="00853236" w:rsidRPr="00CE254A">
              <w:rPr>
                <w:rStyle w:val="Hipervnculo"/>
                <w:rFonts w:ascii="Palatino Linotype" w:eastAsia="Palatino Linotype" w:hAnsi="Palatino Linotype" w:cs="Palatino Linotype"/>
                <w:noProof/>
              </w:rPr>
              <w:t>R E S U E L V E</w:t>
            </w:r>
            <w:r w:rsidR="00853236" w:rsidRPr="00CE254A">
              <w:rPr>
                <w:noProof/>
                <w:webHidden/>
              </w:rPr>
              <w:tab/>
            </w:r>
            <w:r w:rsidR="00853236" w:rsidRPr="00CE254A">
              <w:rPr>
                <w:noProof/>
                <w:webHidden/>
              </w:rPr>
              <w:fldChar w:fldCharType="begin"/>
            </w:r>
            <w:r w:rsidR="00853236" w:rsidRPr="00CE254A">
              <w:rPr>
                <w:noProof/>
                <w:webHidden/>
              </w:rPr>
              <w:instrText xml:space="preserve"> PAGEREF _Toc195201258 \h </w:instrText>
            </w:r>
            <w:r w:rsidR="00853236" w:rsidRPr="00CE254A">
              <w:rPr>
                <w:noProof/>
                <w:webHidden/>
              </w:rPr>
            </w:r>
            <w:r w:rsidR="00853236" w:rsidRPr="00CE254A">
              <w:rPr>
                <w:noProof/>
                <w:webHidden/>
              </w:rPr>
              <w:fldChar w:fldCharType="separate"/>
            </w:r>
            <w:r w:rsidR="0079032A">
              <w:rPr>
                <w:noProof/>
                <w:webHidden/>
              </w:rPr>
              <w:t>32</w:t>
            </w:r>
            <w:r w:rsidR="00853236" w:rsidRPr="00CE254A">
              <w:rPr>
                <w:noProof/>
                <w:webHidden/>
              </w:rPr>
              <w:fldChar w:fldCharType="end"/>
            </w:r>
          </w:hyperlink>
        </w:p>
        <w:p w14:paraId="7FBCEEF5" w14:textId="682EC4CA" w:rsidR="00853236" w:rsidRDefault="00853236" w:rsidP="00853236">
          <w:pPr>
            <w:spacing w:line="360" w:lineRule="auto"/>
            <w:jc w:val="both"/>
            <w:rPr>
              <w:b/>
              <w:bCs/>
              <w:color w:val="FF0000"/>
              <w:lang w:val="es-ES"/>
            </w:rPr>
          </w:pPr>
          <w:r w:rsidRPr="00853236">
            <w:rPr>
              <w:color w:val="FF0000"/>
              <w:lang w:val="es-ES"/>
            </w:rPr>
            <w:fldChar w:fldCharType="end"/>
          </w:r>
        </w:p>
      </w:sdtContent>
    </w:sdt>
    <w:p w14:paraId="0D9BA150"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D1F292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FFE4945" w14:textId="77777777" w:rsidR="00853236" w:rsidRDefault="00853236">
      <w:pPr>
        <w:spacing w:line="360" w:lineRule="auto"/>
        <w:jc w:val="both"/>
        <w:rPr>
          <w:rFonts w:ascii="Palatino Linotype" w:eastAsia="Palatino Linotype" w:hAnsi="Palatino Linotype" w:cs="Palatino Linotype"/>
          <w:color w:val="000000"/>
          <w:sz w:val="22"/>
          <w:szCs w:val="22"/>
        </w:rPr>
      </w:pPr>
    </w:p>
    <w:p w14:paraId="75A172F1" w14:textId="77777777" w:rsidR="00853236" w:rsidRDefault="00853236">
      <w:pPr>
        <w:spacing w:line="360" w:lineRule="auto"/>
        <w:jc w:val="both"/>
        <w:rPr>
          <w:rFonts w:ascii="Palatino Linotype" w:eastAsia="Palatino Linotype" w:hAnsi="Palatino Linotype" w:cs="Palatino Linotype"/>
          <w:color w:val="000000"/>
          <w:sz w:val="22"/>
          <w:szCs w:val="22"/>
        </w:rPr>
      </w:pPr>
    </w:p>
    <w:p w14:paraId="5F44BF6A" w14:textId="77777777" w:rsidR="00853236" w:rsidRDefault="00853236">
      <w:pPr>
        <w:spacing w:line="360" w:lineRule="auto"/>
        <w:jc w:val="both"/>
        <w:rPr>
          <w:rFonts w:ascii="Palatino Linotype" w:eastAsia="Palatino Linotype" w:hAnsi="Palatino Linotype" w:cs="Palatino Linotype"/>
          <w:color w:val="000000"/>
          <w:sz w:val="22"/>
          <w:szCs w:val="22"/>
        </w:rPr>
      </w:pPr>
    </w:p>
    <w:p w14:paraId="4BF5D6E3" w14:textId="77777777" w:rsidR="00853236" w:rsidRDefault="00853236">
      <w:pPr>
        <w:spacing w:line="360" w:lineRule="auto"/>
        <w:jc w:val="both"/>
        <w:rPr>
          <w:rFonts w:ascii="Palatino Linotype" w:eastAsia="Palatino Linotype" w:hAnsi="Palatino Linotype" w:cs="Palatino Linotype"/>
          <w:color w:val="000000"/>
          <w:sz w:val="22"/>
          <w:szCs w:val="22"/>
        </w:rPr>
      </w:pPr>
    </w:p>
    <w:p w14:paraId="29506A20"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0D0425F8"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331547C"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nueve de abril de dos mil veinticinco. </w:t>
      </w:r>
    </w:p>
    <w:p w14:paraId="46831E7E" w14:textId="77777777" w:rsidR="00A4751E" w:rsidRDefault="00A4751E">
      <w:pPr>
        <w:spacing w:line="360" w:lineRule="auto"/>
        <w:jc w:val="both"/>
        <w:rPr>
          <w:rFonts w:ascii="Palatino Linotype" w:eastAsia="Palatino Linotype" w:hAnsi="Palatino Linotype" w:cs="Palatino Linotype"/>
          <w:sz w:val="22"/>
          <w:szCs w:val="22"/>
        </w:rPr>
      </w:pPr>
    </w:p>
    <w:p w14:paraId="2F35B4F2"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1551F6">
        <w:rPr>
          <w:rFonts w:ascii="Palatino Linotype" w:eastAsia="Palatino Linotype" w:hAnsi="Palatino Linotype" w:cs="Palatino Linotype"/>
          <w:b/>
          <w:color w:val="000000"/>
          <w:sz w:val="22"/>
          <w:szCs w:val="22"/>
        </w:rPr>
        <w:t>02786/INFOEM/IP/RR/2025</w:t>
      </w:r>
      <w:r>
        <w:rPr>
          <w:rFonts w:ascii="Palatino Linotype" w:eastAsia="Palatino Linotype" w:hAnsi="Palatino Linotype" w:cs="Palatino Linotype"/>
          <w:color w:val="000000"/>
          <w:sz w:val="22"/>
          <w:szCs w:val="22"/>
        </w:rPr>
        <w:t>, inter</w:t>
      </w:r>
      <w:r>
        <w:rPr>
          <w:rFonts w:ascii="Palatino Linotype" w:eastAsia="Palatino Linotype" w:hAnsi="Palatino Linotype" w:cs="Palatino Linotype"/>
          <w:color w:val="000000"/>
          <w:sz w:val="22"/>
          <w:szCs w:val="22"/>
        </w:rPr>
        <w:t xml:space="preserve">puesto en lo sucesivo la persona </w:t>
      </w:r>
      <w:r>
        <w:rPr>
          <w:rFonts w:ascii="Palatino Linotype" w:eastAsia="Palatino Linotype" w:hAnsi="Palatino Linotype" w:cs="Palatino Linotype"/>
          <w:color w:val="0D0D0D"/>
          <w:sz w:val="22"/>
          <w:szCs w:val="22"/>
        </w:rPr>
        <w:t xml:space="preserve"> Recurrente o Particular</w:t>
      </w:r>
      <w:r>
        <w:rPr>
          <w:rFonts w:ascii="Palatino Linotype" w:eastAsia="Palatino Linotype" w:hAnsi="Palatino Linotype" w:cs="Palatino Linotype"/>
          <w:color w:val="000000"/>
          <w:sz w:val="22"/>
          <w:szCs w:val="22"/>
        </w:rPr>
        <w:t xml:space="preserve">, en contra de la respuesta del Sujeto Obligado, </w:t>
      </w:r>
      <w:bookmarkStart w:id="0" w:name="_GoBack"/>
      <w:r w:rsidRPr="001551F6">
        <w:rPr>
          <w:rFonts w:ascii="Palatino Linotype" w:eastAsia="Palatino Linotype" w:hAnsi="Palatino Linotype" w:cs="Palatino Linotype"/>
          <w:b/>
          <w:sz w:val="22"/>
          <w:szCs w:val="22"/>
        </w:rPr>
        <w:t>Ayuntamiento de Cocotitlán</w:t>
      </w:r>
      <w:bookmarkEnd w:id="0"/>
      <w:r>
        <w:rPr>
          <w:rFonts w:ascii="Palatino Linotype" w:eastAsia="Palatino Linotype" w:hAnsi="Palatino Linotype" w:cs="Palatino Linotype"/>
          <w:color w:val="000000"/>
          <w:sz w:val="22"/>
          <w:szCs w:val="22"/>
        </w:rPr>
        <w:t xml:space="preserve">, a la solicitud de acceso a la información pública 00119/COCOTIT/IP/2025, se emite la presente Resolución, con base en los </w:t>
      </w:r>
      <w:r>
        <w:rPr>
          <w:rFonts w:ascii="Palatino Linotype" w:eastAsia="Palatino Linotype" w:hAnsi="Palatino Linotype" w:cs="Palatino Linotype"/>
          <w:color w:val="000000"/>
          <w:sz w:val="22"/>
          <w:szCs w:val="22"/>
        </w:rPr>
        <w:t>Antecedentes y Considerandos que a continuación se exponen:</w:t>
      </w:r>
    </w:p>
    <w:p w14:paraId="3A6B7457"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75B11EF" w14:textId="77777777" w:rsidR="00A4751E" w:rsidRDefault="00B74A65">
      <w:pPr>
        <w:pStyle w:val="Ttulo1"/>
        <w:spacing w:before="0" w:line="360" w:lineRule="auto"/>
        <w:jc w:val="center"/>
        <w:rPr>
          <w:rFonts w:ascii="Palatino Linotype" w:eastAsia="Palatino Linotype" w:hAnsi="Palatino Linotype" w:cs="Palatino Linotype"/>
          <w:b/>
          <w:color w:val="000000"/>
          <w:sz w:val="22"/>
          <w:szCs w:val="22"/>
        </w:rPr>
      </w:pPr>
      <w:bookmarkStart w:id="1" w:name="_Toc195201246"/>
      <w:r>
        <w:rPr>
          <w:rFonts w:ascii="Palatino Linotype" w:eastAsia="Palatino Linotype" w:hAnsi="Palatino Linotype" w:cs="Palatino Linotype"/>
          <w:b/>
          <w:color w:val="000000"/>
          <w:sz w:val="22"/>
          <w:szCs w:val="22"/>
        </w:rPr>
        <w:t>A N T E C E D E N T E S</w:t>
      </w:r>
      <w:bookmarkEnd w:id="1"/>
    </w:p>
    <w:p w14:paraId="0BCBDFFC" w14:textId="77777777" w:rsidR="00A4751E" w:rsidRDefault="00A4751E">
      <w:pPr>
        <w:spacing w:line="360" w:lineRule="auto"/>
        <w:ind w:right="-93"/>
        <w:jc w:val="both"/>
        <w:rPr>
          <w:rFonts w:ascii="Palatino Linotype" w:eastAsia="Palatino Linotype" w:hAnsi="Palatino Linotype" w:cs="Palatino Linotype"/>
          <w:sz w:val="22"/>
          <w:szCs w:val="22"/>
        </w:rPr>
      </w:pPr>
    </w:p>
    <w:p w14:paraId="275C7814"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2" w:name="_Toc195201247"/>
      <w:r>
        <w:rPr>
          <w:rFonts w:ascii="Palatino Linotype" w:eastAsia="Palatino Linotype" w:hAnsi="Palatino Linotype" w:cs="Palatino Linotype"/>
          <w:b/>
          <w:color w:val="000000"/>
          <w:sz w:val="22"/>
          <w:szCs w:val="22"/>
        </w:rPr>
        <w:t>I. Presentación de la solicitud de información</w:t>
      </w:r>
      <w:bookmarkEnd w:id="2"/>
    </w:p>
    <w:p w14:paraId="21774D37" w14:textId="77777777" w:rsidR="00A4751E" w:rsidRDefault="00A4751E">
      <w:pPr>
        <w:tabs>
          <w:tab w:val="left" w:pos="567"/>
        </w:tabs>
        <w:spacing w:line="360" w:lineRule="auto"/>
        <w:jc w:val="both"/>
        <w:rPr>
          <w:rFonts w:ascii="Palatino Linotype" w:eastAsia="Palatino Linotype" w:hAnsi="Palatino Linotype" w:cs="Palatino Linotype"/>
          <w:sz w:val="22"/>
          <w:szCs w:val="22"/>
        </w:rPr>
      </w:pPr>
    </w:p>
    <w:p w14:paraId="78DA086D"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Con fecha diecisiete de febrero de dos mil veinticinco, el Particular presentó una solicitud de acceso a la información pública, a través del Sistema de Acceso a la Información Mexiquense (SAIMEX), ante el </w:t>
      </w:r>
      <w:r>
        <w:rPr>
          <w:rFonts w:ascii="Palatino Linotype" w:eastAsia="Palatino Linotype" w:hAnsi="Palatino Linotype" w:cs="Palatino Linotype"/>
          <w:sz w:val="22"/>
          <w:szCs w:val="22"/>
        </w:rPr>
        <w:t>Ayuntamiento de Cocotitlán</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mediante la cual requi</w:t>
      </w:r>
      <w:r>
        <w:rPr>
          <w:rFonts w:ascii="Palatino Linotype" w:eastAsia="Palatino Linotype" w:hAnsi="Palatino Linotype" w:cs="Palatino Linotype"/>
          <w:sz w:val="22"/>
          <w:szCs w:val="22"/>
        </w:rPr>
        <w:t>rió:</w:t>
      </w:r>
    </w:p>
    <w:p w14:paraId="5F822872" w14:textId="77777777" w:rsidR="00A4751E" w:rsidRDefault="00A4751E">
      <w:pPr>
        <w:tabs>
          <w:tab w:val="left" w:pos="567"/>
        </w:tabs>
        <w:spacing w:line="360" w:lineRule="auto"/>
        <w:jc w:val="both"/>
        <w:rPr>
          <w:rFonts w:ascii="Palatino Linotype" w:eastAsia="Palatino Linotype" w:hAnsi="Palatino Linotype" w:cs="Palatino Linotype"/>
          <w:sz w:val="22"/>
          <w:szCs w:val="22"/>
        </w:rPr>
      </w:pPr>
    </w:p>
    <w:p w14:paraId="1F567828" w14:textId="77777777" w:rsidR="00A4751E" w:rsidRDefault="00B74A65">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DESCRIPCIÓN CLARA Y PRECISA DE LA INFORMACIÓN SOLICITADA</w:t>
      </w:r>
    </w:p>
    <w:p w14:paraId="534C48BB" w14:textId="77777777" w:rsidR="00A4751E" w:rsidRDefault="00B74A65">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favor de remitir la nómina general de todo el, personal del ayuntamiento de Cocotitlán del mes de enero y la primera quincena de febrero en el formato que se le entrega al órgano de fiscalizac</w:t>
      </w:r>
      <w:r>
        <w:rPr>
          <w:rFonts w:ascii="Palatino Linotype" w:eastAsia="Palatino Linotype" w:hAnsi="Palatino Linotype" w:cs="Palatino Linotype"/>
          <w:i/>
        </w:rPr>
        <w:t>ión.” (Sic)</w:t>
      </w:r>
    </w:p>
    <w:p w14:paraId="308F2299" w14:textId="77777777" w:rsidR="00A4751E" w:rsidRDefault="00A4751E">
      <w:pPr>
        <w:tabs>
          <w:tab w:val="left" w:pos="4667"/>
        </w:tabs>
        <w:spacing w:line="360" w:lineRule="auto"/>
        <w:ind w:left="567" w:right="567"/>
        <w:jc w:val="both"/>
        <w:rPr>
          <w:rFonts w:ascii="Palatino Linotype" w:eastAsia="Palatino Linotype" w:hAnsi="Palatino Linotype" w:cs="Palatino Linotype"/>
          <w:i/>
        </w:rPr>
      </w:pPr>
    </w:p>
    <w:p w14:paraId="7E2F1A4D" w14:textId="77777777" w:rsidR="00A4751E" w:rsidRDefault="00B74A65">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MODALIDAD DE ENTREGA</w:t>
      </w:r>
    </w:p>
    <w:p w14:paraId="7010EA31" w14:textId="77777777" w:rsidR="00A4751E" w:rsidRDefault="00B74A6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 través del SAIMEX”</w:t>
      </w:r>
    </w:p>
    <w:p w14:paraId="53F53B22" w14:textId="77777777" w:rsidR="00A4751E" w:rsidRDefault="00A4751E">
      <w:pPr>
        <w:spacing w:line="360" w:lineRule="auto"/>
        <w:jc w:val="both"/>
        <w:rPr>
          <w:rFonts w:ascii="Palatino Linotype" w:eastAsia="Palatino Linotype" w:hAnsi="Palatino Linotype" w:cs="Palatino Linotype"/>
          <w:b/>
          <w:color w:val="000000"/>
          <w:sz w:val="22"/>
          <w:szCs w:val="22"/>
        </w:rPr>
      </w:pPr>
    </w:p>
    <w:p w14:paraId="01EA5F65"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3" w:name="_Toc195201248"/>
      <w:r>
        <w:rPr>
          <w:rFonts w:ascii="Palatino Linotype" w:eastAsia="Palatino Linotype" w:hAnsi="Palatino Linotype" w:cs="Palatino Linotype"/>
          <w:b/>
          <w:color w:val="000000"/>
          <w:sz w:val="22"/>
          <w:szCs w:val="22"/>
        </w:rPr>
        <w:t>II. Respuesta del Sujeto Obligado</w:t>
      </w:r>
      <w:bookmarkEnd w:id="3"/>
    </w:p>
    <w:p w14:paraId="175A6994" w14:textId="77777777" w:rsidR="00A4751E" w:rsidRDefault="00A4751E">
      <w:pPr>
        <w:spacing w:line="360" w:lineRule="auto"/>
        <w:jc w:val="both"/>
        <w:rPr>
          <w:rFonts w:ascii="Palatino Linotype" w:eastAsia="Palatino Linotype" w:hAnsi="Palatino Linotype" w:cs="Palatino Linotype"/>
          <w:b/>
          <w:color w:val="000000"/>
          <w:sz w:val="22"/>
          <w:szCs w:val="22"/>
        </w:rPr>
      </w:pPr>
    </w:p>
    <w:p w14:paraId="02911BFA"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once de marzo de dos mil veinticinco, el Sujeto Obligado notificó, a través del Sistema de Acceso a la Información Mexiquense (SAIMEX), la respuesta a la </w:t>
      </w:r>
      <w:r>
        <w:rPr>
          <w:rFonts w:ascii="Palatino Linotype" w:eastAsia="Palatino Linotype" w:hAnsi="Palatino Linotype" w:cs="Palatino Linotype"/>
          <w:color w:val="000000"/>
          <w:sz w:val="22"/>
          <w:szCs w:val="22"/>
        </w:rPr>
        <w:t>solicitud de acceso a la información pública, en los siguientes términos:</w:t>
      </w:r>
    </w:p>
    <w:p w14:paraId="13EAFBB2"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8C6A625" w14:textId="77777777" w:rsidR="00A4751E" w:rsidRDefault="00B74A65">
      <w:pPr>
        <w:spacing w:line="360"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rPr>
        <w:t>Con fundamento en la Ley de Transparencia y Acceso o lo Información Pública del Estado de México y Municipios en el Artículo 12. Quienes generen, recopilen, administren, manejen, p</w:t>
      </w:r>
      <w:r>
        <w:rPr>
          <w:rFonts w:ascii="Palatino Linotype" w:eastAsia="Palatino Linotype" w:hAnsi="Palatino Linotype" w:cs="Palatino Linotype"/>
          <w:i/>
        </w:rPr>
        <w:t>rocesen, archiven o conserven información pública serán responsables de la misma en los términos de las disposiciones jurídicas aplicables. Los sujetos obligados sólo proporcionarán la información pública que se les requiera y que obre en sus archivos y en</w:t>
      </w:r>
      <w:r>
        <w:rPr>
          <w:rFonts w:ascii="Palatino Linotype" w:eastAsia="Palatino Linotype" w:hAnsi="Palatino Linotype" w:cs="Palatino Linotype"/>
          <w:i/>
        </w:rPr>
        <w:t xml:space="preserve"> el estado en que esto se encuentre. Lo obligación de proporcionar información no comprende el procesamiento de lo misma, ni el presentarla conforme al interés del solicitante; no estarán obligados o generarlo, resumirla, efectuar cálculos o practicar inve</w:t>
      </w:r>
      <w:r>
        <w:rPr>
          <w:rFonts w:ascii="Palatino Linotype" w:eastAsia="Palatino Linotype" w:hAnsi="Palatino Linotype" w:cs="Palatino Linotype"/>
          <w:i/>
        </w:rPr>
        <w:t>stigaciones. Informo o usted que, en referencia a su solicitud, esto unidad administrativa se encuentra limitada ya que no se especificó el ejercicio del cual requiere la información.”</w:t>
      </w:r>
    </w:p>
    <w:p w14:paraId="37E0B90D"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327F8DF"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4" w:name="_Toc195201249"/>
      <w:r>
        <w:rPr>
          <w:rFonts w:ascii="Palatino Linotype" w:eastAsia="Palatino Linotype" w:hAnsi="Palatino Linotype" w:cs="Palatino Linotype"/>
          <w:b/>
          <w:color w:val="000000"/>
          <w:sz w:val="22"/>
          <w:szCs w:val="22"/>
        </w:rPr>
        <w:t>III. Interposición del Recurso de Revisión</w:t>
      </w:r>
      <w:bookmarkEnd w:id="4"/>
    </w:p>
    <w:p w14:paraId="6F8351FC" w14:textId="77777777" w:rsidR="00A4751E" w:rsidRDefault="00A4751E">
      <w:pPr>
        <w:spacing w:line="360" w:lineRule="auto"/>
        <w:jc w:val="both"/>
        <w:rPr>
          <w:rFonts w:ascii="Palatino Linotype" w:eastAsia="Palatino Linotype" w:hAnsi="Palatino Linotype" w:cs="Palatino Linotype"/>
          <w:b/>
          <w:color w:val="000000"/>
          <w:sz w:val="22"/>
          <w:szCs w:val="22"/>
        </w:rPr>
      </w:pPr>
    </w:p>
    <w:p w14:paraId="1BED1B9F" w14:textId="77777777" w:rsidR="00A4751E" w:rsidRDefault="00B74A6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Con fecha once de marzo de</w:t>
      </w:r>
      <w:r>
        <w:rPr>
          <w:rFonts w:ascii="Palatino Linotype" w:eastAsia="Palatino Linotype" w:hAnsi="Palatino Linotype" w:cs="Palatino Linotype"/>
          <w:color w:val="000000"/>
          <w:sz w:val="22"/>
          <w:szCs w:val="22"/>
        </w:rPr>
        <w:t xml:space="preserve"> dos mil veinticinco, el Particular interpuso un Recurso de Revisión ante este Instituto, a través del Sistema de Acceso a la Información Mexiquense (SAIMEX), en contra de la falta de  respuesta otorgada por el  </w:t>
      </w:r>
      <w:r>
        <w:rPr>
          <w:rFonts w:ascii="Palatino Linotype" w:eastAsia="Palatino Linotype" w:hAnsi="Palatino Linotype" w:cs="Palatino Linotype"/>
          <w:sz w:val="22"/>
          <w:szCs w:val="22"/>
        </w:rPr>
        <w:t>Ayuntamiento de Cocotitlán</w:t>
      </w:r>
      <w:r>
        <w:rPr>
          <w:rFonts w:ascii="Palatino Linotype" w:eastAsia="Palatino Linotype" w:hAnsi="Palatino Linotype" w:cs="Palatino Linotype"/>
          <w:color w:val="000000"/>
          <w:sz w:val="22"/>
          <w:szCs w:val="22"/>
        </w:rPr>
        <w:t>, a la solicitud d</w:t>
      </w:r>
      <w:r>
        <w:rPr>
          <w:rFonts w:ascii="Palatino Linotype" w:eastAsia="Palatino Linotype" w:hAnsi="Palatino Linotype" w:cs="Palatino Linotype"/>
          <w:color w:val="000000"/>
          <w:sz w:val="22"/>
          <w:szCs w:val="22"/>
        </w:rPr>
        <w:t xml:space="preserve">e información, en los siguientes términos: </w:t>
      </w:r>
    </w:p>
    <w:p w14:paraId="72496BF7"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05BFCE55"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“ACTO IMPUGNADO</w:t>
      </w:r>
    </w:p>
    <w:p w14:paraId="2A5B4010"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 no entrega información. (Sic.)</w:t>
      </w:r>
    </w:p>
    <w:p w14:paraId="09B56D99" w14:textId="77777777" w:rsidR="00A4751E" w:rsidRDefault="00A4751E">
      <w:pPr>
        <w:spacing w:line="360" w:lineRule="auto"/>
        <w:ind w:right="567"/>
        <w:jc w:val="both"/>
        <w:rPr>
          <w:rFonts w:ascii="Palatino Linotype" w:eastAsia="Palatino Linotype" w:hAnsi="Palatino Linotype" w:cs="Palatino Linotype"/>
          <w:i/>
          <w:color w:val="000000"/>
        </w:rPr>
      </w:pPr>
    </w:p>
    <w:p w14:paraId="103A3A83" w14:textId="77777777" w:rsidR="00A4751E" w:rsidRDefault="00B74A65">
      <w:pPr>
        <w:spacing w:line="360" w:lineRule="auto"/>
        <w:ind w:left="567" w:right="56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“RAZONES O MOTIVOS DE LA INCONFORMIDAD</w:t>
      </w:r>
    </w:p>
    <w:p w14:paraId="24E36259"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no entrega información.” (Sic)</w:t>
      </w:r>
    </w:p>
    <w:p w14:paraId="4240B0F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6D2F71C"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5" w:name="_Toc195201250"/>
      <w:r>
        <w:rPr>
          <w:rFonts w:ascii="Palatino Linotype" w:eastAsia="Palatino Linotype" w:hAnsi="Palatino Linotype" w:cs="Palatino Linotype"/>
          <w:b/>
          <w:color w:val="000000"/>
          <w:sz w:val="22"/>
          <w:szCs w:val="22"/>
        </w:rPr>
        <w:t>IV. Trámite del Recurso de Revisión ante el Instituto</w:t>
      </w:r>
      <w:bookmarkEnd w:id="5"/>
    </w:p>
    <w:p w14:paraId="265ECA29"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1D7E4A55"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once de marzo de dos mil veinticinco, el Sistema de Acceso a la Información Mexiquense (SAIMEX), asignó el número de expediente </w:t>
      </w:r>
      <w:r>
        <w:rPr>
          <w:rFonts w:ascii="Palatino Linotype" w:eastAsia="Palatino Linotype" w:hAnsi="Palatino Linotype" w:cs="Palatino Linotype"/>
          <w:b/>
          <w:color w:val="000000"/>
          <w:sz w:val="22"/>
          <w:szCs w:val="22"/>
        </w:rPr>
        <w:t>02786/INFOEM/IP/RR/2025</w:t>
      </w:r>
      <w:r>
        <w:rPr>
          <w:rFonts w:ascii="Palatino Linotype" w:eastAsia="Palatino Linotype" w:hAnsi="Palatino Linotype" w:cs="Palatino Linotype"/>
          <w:color w:val="000000"/>
          <w:sz w:val="22"/>
          <w:szCs w:val="22"/>
        </w:rPr>
        <w:t>, al medio de impugnación que nos ocupa, con base en el sistema aprobado por el Pleno de este Órgano G</w:t>
      </w:r>
      <w:r>
        <w:rPr>
          <w:rFonts w:ascii="Palatino Linotype" w:eastAsia="Palatino Linotype" w:hAnsi="Palatino Linotype" w:cs="Palatino Linotype"/>
          <w:color w:val="000000"/>
          <w:sz w:val="22"/>
          <w:szCs w:val="22"/>
        </w:rPr>
        <w:t>arante y lo turnó al Comisionado Ponente Luis Gustavo Parra Noriega, para los efectos del artículo 185, fracción I de la Ley de Transparencia y Acceso a la Información Pública del Estado de México y Municipios.</w:t>
      </w:r>
    </w:p>
    <w:p w14:paraId="10F664A4"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77F9F2C"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b) Admisión del Recurso de Revisión. </w:t>
      </w:r>
      <w:r>
        <w:rPr>
          <w:rFonts w:ascii="Palatino Linotype" w:eastAsia="Palatino Linotype" w:hAnsi="Palatino Linotype" w:cs="Palatino Linotype"/>
          <w:color w:val="000000"/>
          <w:sz w:val="22"/>
          <w:szCs w:val="22"/>
        </w:rPr>
        <w:t>El cato</w:t>
      </w:r>
      <w:r>
        <w:rPr>
          <w:rFonts w:ascii="Palatino Linotype" w:eastAsia="Palatino Linotype" w:hAnsi="Palatino Linotype" w:cs="Palatino Linotype"/>
          <w:color w:val="000000"/>
          <w:sz w:val="22"/>
          <w:szCs w:val="22"/>
        </w:rPr>
        <w:t>rce de marzo de dos mil veinticinco, se acordó la admisión del Recurso de Revisión interpuesto por el Recurrente en contra del Sujeto Obligado, en términos del artículo 185, fracciones I y II de la Ley de Transparencia y Acceso a la Información Pública del</w:t>
      </w:r>
      <w:r>
        <w:rPr>
          <w:rFonts w:ascii="Palatino Linotype" w:eastAsia="Palatino Linotype" w:hAnsi="Palatino Linotype" w:cs="Palatino Linotype"/>
          <w:color w:val="000000"/>
          <w:sz w:val="22"/>
          <w:szCs w:val="22"/>
        </w:rPr>
        <w:t xml:space="preserve"> Estado de México y Municipios, el cual fue notificado a las partes el mismo día del mes y año, a través del Sistema de Acceso a la Información Mexiquense (SAIMEX), en el que se les otorgó un plazo de siete días hábiles posteriores a la misma, para que man</w:t>
      </w:r>
      <w:r>
        <w:rPr>
          <w:rFonts w:ascii="Palatino Linotype" w:eastAsia="Palatino Linotype" w:hAnsi="Palatino Linotype" w:cs="Palatino Linotype"/>
          <w:color w:val="000000"/>
          <w:sz w:val="22"/>
          <w:szCs w:val="22"/>
        </w:rPr>
        <w:t>ifestaran lo que a su derecho conviniera y formularan alegatos.</w:t>
      </w:r>
    </w:p>
    <w:p w14:paraId="560A52A5"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51160DA" w14:textId="77777777" w:rsidR="00A4751E" w:rsidRDefault="00B74A65">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 xml:space="preserve">Informe Justificado o manifestaciones. </w:t>
      </w:r>
      <w:r>
        <w:rPr>
          <w:rFonts w:ascii="Palatino Linotype" w:eastAsia="Palatino Linotype" w:hAnsi="Palatino Linotype" w:cs="Palatino Linotype"/>
          <w:color w:val="000000"/>
          <w:sz w:val="22"/>
          <w:szCs w:val="22"/>
        </w:rPr>
        <w:t>Las partes fueron omisas en emitir manifestaciones o alegatos</w:t>
      </w:r>
      <w:r>
        <w:rPr>
          <w:rFonts w:ascii="Palatino Linotype" w:eastAsia="Palatino Linotype" w:hAnsi="Palatino Linotype" w:cs="Palatino Linotype"/>
          <w:b/>
          <w:color w:val="000000"/>
          <w:sz w:val="22"/>
          <w:szCs w:val="22"/>
        </w:rPr>
        <w:t>.</w:t>
      </w:r>
    </w:p>
    <w:p w14:paraId="66BD6E06" w14:textId="77777777" w:rsidR="00A4751E" w:rsidRDefault="00A4751E">
      <w:pPr>
        <w:spacing w:line="360" w:lineRule="auto"/>
        <w:jc w:val="both"/>
        <w:rPr>
          <w:rFonts w:ascii="Palatino Linotype" w:eastAsia="Palatino Linotype" w:hAnsi="Palatino Linotype" w:cs="Palatino Linotype"/>
          <w:b/>
          <w:sz w:val="18"/>
          <w:szCs w:val="18"/>
        </w:rPr>
      </w:pPr>
    </w:p>
    <w:p w14:paraId="0C32CC6D" w14:textId="77777777" w:rsidR="00A4751E" w:rsidRDefault="00B74A6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d) Cierre de instrucción. </w:t>
      </w:r>
      <w:r>
        <w:rPr>
          <w:rFonts w:ascii="Palatino Linotype" w:eastAsia="Palatino Linotype" w:hAnsi="Palatino Linotype" w:cs="Palatino Linotype"/>
          <w:sz w:val="22"/>
          <w:szCs w:val="22"/>
        </w:rPr>
        <w:t>El dos de abril de dos mil veinticinco, al no existir diligencias pendientes por desahogar, se emitió el acuerdo por medio del cual se declaró cerrada la instrucción y, se pasó el expediente a resolución, en términos de lo dispuesto en los artículos 185, f</w:t>
      </w:r>
      <w:r>
        <w:rPr>
          <w:rFonts w:ascii="Palatino Linotype" w:eastAsia="Palatino Linotype" w:hAnsi="Palatino Linotype" w:cs="Palatino Linotype"/>
          <w:sz w:val="22"/>
          <w:szCs w:val="22"/>
        </w:rPr>
        <w:t xml:space="preserve">racciones VI y VIII, de la Ley de Transparencia y Acceso a la Información Pública del Estado de México y Municipios; acto que fue notificado a las partes el mismo día, a través del Sistema de Acceso a la Información Mexiquense (SAIMEX). </w:t>
      </w:r>
    </w:p>
    <w:p w14:paraId="13D928D3" w14:textId="77777777" w:rsidR="00A4751E" w:rsidRDefault="00A4751E">
      <w:pPr>
        <w:spacing w:line="360" w:lineRule="auto"/>
        <w:jc w:val="both"/>
        <w:rPr>
          <w:rFonts w:ascii="Palatino Linotype" w:eastAsia="Palatino Linotype" w:hAnsi="Palatino Linotype" w:cs="Palatino Linotype"/>
          <w:b/>
          <w:sz w:val="21"/>
          <w:szCs w:val="21"/>
        </w:rPr>
      </w:pPr>
    </w:p>
    <w:p w14:paraId="0CFFD51D"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razón de que f</w:t>
      </w:r>
      <w:r>
        <w:rPr>
          <w:rFonts w:ascii="Palatino Linotype" w:eastAsia="Palatino Linotype" w:hAnsi="Palatino Linotype" w:cs="Palatino Linotype"/>
          <w:color w:val="000000"/>
          <w:sz w:val="22"/>
          <w:szCs w:val="22"/>
        </w:rPr>
        <w:t xml:space="preserve">ue debidamente sustanciado el expediente electrónico y no existe diligencia pendiente de desahogo, se emite la Resolución que conforme a Derecho proceda, de acuerdo con los siguientes: </w:t>
      </w:r>
    </w:p>
    <w:p w14:paraId="4D9F5E53"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5F2771B" w14:textId="77777777" w:rsidR="00A4751E" w:rsidRDefault="00B74A65">
      <w:pPr>
        <w:pStyle w:val="Ttulo1"/>
        <w:spacing w:before="0" w:line="360" w:lineRule="auto"/>
        <w:jc w:val="center"/>
        <w:rPr>
          <w:rFonts w:ascii="Palatino Linotype" w:eastAsia="Palatino Linotype" w:hAnsi="Palatino Linotype" w:cs="Palatino Linotype"/>
          <w:b/>
          <w:color w:val="000000"/>
          <w:sz w:val="22"/>
          <w:szCs w:val="22"/>
        </w:rPr>
      </w:pPr>
      <w:bookmarkStart w:id="6" w:name="_Toc195201251"/>
      <w:r>
        <w:rPr>
          <w:rFonts w:ascii="Palatino Linotype" w:eastAsia="Palatino Linotype" w:hAnsi="Palatino Linotype" w:cs="Palatino Linotype"/>
          <w:b/>
          <w:color w:val="000000"/>
          <w:sz w:val="22"/>
          <w:szCs w:val="22"/>
        </w:rPr>
        <w:t>C O N S I D E R A N D O S</w:t>
      </w:r>
      <w:bookmarkEnd w:id="6"/>
    </w:p>
    <w:p w14:paraId="71D048A8" w14:textId="77777777" w:rsidR="00A4751E" w:rsidRDefault="00A4751E">
      <w:pPr>
        <w:spacing w:line="360" w:lineRule="auto"/>
        <w:jc w:val="both"/>
        <w:rPr>
          <w:rFonts w:ascii="Palatino Linotype" w:eastAsia="Palatino Linotype" w:hAnsi="Palatino Linotype" w:cs="Palatino Linotype"/>
          <w:b/>
          <w:sz w:val="22"/>
          <w:szCs w:val="22"/>
        </w:rPr>
      </w:pPr>
    </w:p>
    <w:p w14:paraId="5E804CFD"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7" w:name="_Toc195201252"/>
      <w:r>
        <w:rPr>
          <w:rFonts w:ascii="Palatino Linotype" w:eastAsia="Palatino Linotype" w:hAnsi="Palatino Linotype" w:cs="Palatino Linotype"/>
          <w:b/>
          <w:color w:val="000000"/>
          <w:sz w:val="22"/>
          <w:szCs w:val="22"/>
        </w:rPr>
        <w:t>PRIMERO. Competencia</w:t>
      </w:r>
      <w:bookmarkEnd w:id="7"/>
    </w:p>
    <w:p w14:paraId="7B167EC4" w14:textId="77777777" w:rsidR="00A4751E" w:rsidRDefault="00A4751E">
      <w:pPr>
        <w:spacing w:line="360" w:lineRule="auto"/>
        <w:jc w:val="both"/>
        <w:rPr>
          <w:rFonts w:ascii="Palatino Linotype" w:eastAsia="Palatino Linotype" w:hAnsi="Palatino Linotype" w:cs="Palatino Linotype"/>
          <w:b/>
          <w:sz w:val="22"/>
          <w:szCs w:val="22"/>
        </w:rPr>
      </w:pPr>
    </w:p>
    <w:p w14:paraId="290A24E2"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w:t>
      </w:r>
      <w:r>
        <w:rPr>
          <w:rFonts w:ascii="Palatino Linotype" w:eastAsia="Palatino Linotype" w:hAnsi="Palatino Linotype" w:cs="Palatino Linotype"/>
          <w:sz w:val="22"/>
          <w:szCs w:val="22"/>
        </w:rPr>
        <w:t>sparencia, Acceso a la Información Pública y Protección de Datos Personales del Estado de México y Municipios, es competente para conocer y resolver el presente recurso de revisión interpuesto por la persona recurrente, conforme a lo dispuesto en los artíc</w:t>
      </w:r>
      <w:r>
        <w:rPr>
          <w:rFonts w:ascii="Palatino Linotype" w:eastAsia="Palatino Linotype" w:hAnsi="Palatino Linotype" w:cs="Palatino Linotype"/>
          <w:sz w:val="22"/>
          <w:szCs w:val="22"/>
        </w:rPr>
        <w:t>ulos 5°, párrafos trigésimo séptimo, trigésimo octavo y trigésimo noveno, fracciones I, II, III, IV y V de la Constitución Política del Estado Libre y Soberano de México; 1°, 2°, fracciones II y IV; 13, 29. 36, fracciones I y II; 176, 178, 179, 181 párrafo</w:t>
      </w:r>
      <w:r>
        <w:rPr>
          <w:rFonts w:ascii="Palatino Linotype" w:eastAsia="Palatino Linotype" w:hAnsi="Palatino Linotype" w:cs="Palatino Linotype"/>
          <w:sz w:val="22"/>
          <w:szCs w:val="22"/>
        </w:rPr>
        <w:t xml:space="preserve"> tercero, 185, 188 y 189 de la Ley Transparencia y Acceso a la Información Pública del Estado de México y Municipios: 7°, 9°, fracciones I y XXIII y 11 del Reglamento Interior del Instituto de Transparencia, Acceso a la Información Pública y Protección de </w:t>
      </w:r>
      <w:r>
        <w:rPr>
          <w:rFonts w:ascii="Palatino Linotype" w:eastAsia="Palatino Linotype" w:hAnsi="Palatino Linotype" w:cs="Palatino Linotype"/>
          <w:sz w:val="22"/>
          <w:szCs w:val="22"/>
        </w:rPr>
        <w:t>Datos Personales del Estado de México y Municipios.</w:t>
      </w:r>
    </w:p>
    <w:p w14:paraId="0535B95D" w14:textId="77777777" w:rsidR="00A4751E" w:rsidRDefault="00A4751E">
      <w:pPr>
        <w:spacing w:line="360" w:lineRule="auto"/>
        <w:jc w:val="both"/>
        <w:rPr>
          <w:rFonts w:ascii="Palatino Linotype" w:eastAsia="Palatino Linotype" w:hAnsi="Palatino Linotype" w:cs="Palatino Linotype"/>
          <w:sz w:val="22"/>
          <w:szCs w:val="22"/>
        </w:rPr>
      </w:pPr>
    </w:p>
    <w:p w14:paraId="7914CE4B"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8" w:name="_Toc195201253"/>
      <w:r>
        <w:rPr>
          <w:rFonts w:ascii="Palatino Linotype" w:eastAsia="Palatino Linotype" w:hAnsi="Palatino Linotype" w:cs="Palatino Linotype"/>
          <w:b/>
          <w:color w:val="000000"/>
          <w:sz w:val="22"/>
          <w:szCs w:val="22"/>
        </w:rPr>
        <w:lastRenderedPageBreak/>
        <w:t>SEGUNDO. Causales de improcedencia y sobreseimiento</w:t>
      </w:r>
      <w:bookmarkEnd w:id="8"/>
    </w:p>
    <w:p w14:paraId="2E3B0537" w14:textId="77777777" w:rsidR="00A4751E" w:rsidRDefault="00A4751E">
      <w:pPr>
        <w:spacing w:line="360" w:lineRule="auto"/>
      </w:pPr>
    </w:p>
    <w:p w14:paraId="2943CD19"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sz w:val="22"/>
          <w:szCs w:val="22"/>
        </w:rPr>
        <w:t>litis</w:t>
      </w:r>
      <w:r>
        <w:rPr>
          <w:rFonts w:ascii="Palatino Linotype" w:eastAsia="Palatino Linotype" w:hAnsi="Palatino Linotype" w:cs="Palatino Linotype"/>
          <w:sz w:val="22"/>
          <w:szCs w:val="22"/>
        </w:rPr>
        <w:t xml:space="preserve">, es necesario </w:t>
      </w:r>
      <w:r>
        <w:rPr>
          <w:rFonts w:ascii="Palatino Linotype" w:eastAsia="Palatino Linotype" w:hAnsi="Palatino Linotype" w:cs="Palatino Linotype"/>
          <w:sz w:val="22"/>
          <w:szCs w:val="22"/>
        </w:rPr>
        <w:t>estudiar las causales de improcedencia y sobreseimiento que se adviertan, para determinar lo que en Derecho proceda.</w:t>
      </w:r>
    </w:p>
    <w:p w14:paraId="292001D0" w14:textId="77777777" w:rsidR="00A4751E" w:rsidRDefault="00A4751E">
      <w:pPr>
        <w:spacing w:line="360" w:lineRule="auto"/>
        <w:jc w:val="both"/>
        <w:rPr>
          <w:rFonts w:ascii="Palatino Linotype" w:eastAsia="Palatino Linotype" w:hAnsi="Palatino Linotype" w:cs="Palatino Linotype"/>
          <w:sz w:val="22"/>
          <w:szCs w:val="22"/>
        </w:rPr>
      </w:pPr>
    </w:p>
    <w:p w14:paraId="4BF25836" w14:textId="77777777" w:rsidR="00A4751E" w:rsidRDefault="00B74A6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improcedencia</w:t>
      </w:r>
    </w:p>
    <w:p w14:paraId="2B2EECAE" w14:textId="77777777" w:rsidR="00A4751E" w:rsidRDefault="00A4751E">
      <w:pPr>
        <w:spacing w:line="360" w:lineRule="auto"/>
        <w:jc w:val="both"/>
        <w:rPr>
          <w:rFonts w:ascii="Palatino Linotype" w:eastAsia="Palatino Linotype" w:hAnsi="Palatino Linotype" w:cs="Palatino Linotype"/>
          <w:sz w:val="22"/>
          <w:szCs w:val="22"/>
        </w:rPr>
      </w:pPr>
    </w:p>
    <w:p w14:paraId="423A999D"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w:t>
      </w:r>
      <w:r>
        <w:rPr>
          <w:rFonts w:ascii="Palatino Linotype" w:eastAsia="Palatino Linotype" w:hAnsi="Palatino Linotype" w:cs="Palatino Linotype"/>
          <w:sz w:val="22"/>
          <w:szCs w:val="22"/>
        </w:rPr>
        <w:t xml:space="preserve">den público y de estudio preferente (acorde con el Criterio orientador en la Tesis de Jurisprudencia “IMPROCEDENCIA.” (Semanario Judicial de la Federación, Quinta Época, 1985, pág. 262), el cual establece que debe examinarse previamente la procedencia del </w:t>
      </w:r>
      <w:r>
        <w:rPr>
          <w:rFonts w:ascii="Palatino Linotype" w:eastAsia="Palatino Linotype" w:hAnsi="Palatino Linotype" w:cs="Palatino Linotype"/>
          <w:sz w:val="22"/>
          <w:szCs w:val="22"/>
        </w:rPr>
        <w:t>juicio de amparo, sea que las partes lo soliciten o no, por ser una cuestión de orden público; de tal suerte, deberá ser desechado cualquier Recurso de Revisión que actualice alguno de los supuestos establecidos en el artículo 191 de la Ley de Transparenci</w:t>
      </w:r>
      <w:r>
        <w:rPr>
          <w:rFonts w:ascii="Palatino Linotype" w:eastAsia="Palatino Linotype" w:hAnsi="Palatino Linotype" w:cs="Palatino Linotype"/>
          <w:sz w:val="22"/>
          <w:szCs w:val="22"/>
        </w:rPr>
        <w:t>a y Acceso a la Información Pública del Estado de México y Municipios, por ser improcedente.</w:t>
      </w:r>
    </w:p>
    <w:p w14:paraId="5D240409" w14:textId="77777777" w:rsidR="00A4751E" w:rsidRDefault="00A4751E">
      <w:pPr>
        <w:spacing w:line="360" w:lineRule="auto"/>
        <w:jc w:val="both"/>
        <w:rPr>
          <w:rFonts w:ascii="Palatino Linotype" w:eastAsia="Palatino Linotype" w:hAnsi="Palatino Linotype" w:cs="Palatino Linotype"/>
          <w:sz w:val="22"/>
          <w:szCs w:val="22"/>
        </w:rPr>
      </w:pPr>
    </w:p>
    <w:p w14:paraId="49BBAB9B"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el presente caso, no se actualiza alguna de las causales de improcedencia establecidas en el ordenamiento jurídico previamente señalado, toda vez que: el recur</w:t>
      </w:r>
      <w:r>
        <w:rPr>
          <w:rFonts w:ascii="Palatino Linotype" w:eastAsia="Palatino Linotype" w:hAnsi="Palatino Linotype" w:cs="Palatino Linotype"/>
          <w:color w:val="000000"/>
          <w:sz w:val="22"/>
          <w:szCs w:val="22"/>
        </w:rPr>
        <w:t>so fue presentado dentro del plazo establecido en el artículo 178 de la Ley la materia; además, que este Instituto no tiene conocimiento de que se encuentre en trámite algún medio de defensa presentado por el Recurrente ante otra instancia; no existió prev</w:t>
      </w:r>
      <w:r>
        <w:rPr>
          <w:rFonts w:ascii="Palatino Linotype" w:eastAsia="Palatino Linotype" w:hAnsi="Palatino Linotype" w:cs="Palatino Linotype"/>
          <w:color w:val="000000"/>
          <w:sz w:val="22"/>
          <w:szCs w:val="22"/>
        </w:rPr>
        <w:t>ención alguna; la veracidad de la respuesta no formó parte del agravio; ni se realizó una ampliación a los alcances del requerimiento informativo.</w:t>
      </w:r>
    </w:p>
    <w:p w14:paraId="3FB32716" w14:textId="77777777" w:rsidR="00A4751E" w:rsidRDefault="00A4751E">
      <w:pPr>
        <w:spacing w:line="360" w:lineRule="auto"/>
        <w:jc w:val="both"/>
        <w:rPr>
          <w:rFonts w:ascii="Palatino Linotype" w:eastAsia="Palatino Linotype" w:hAnsi="Palatino Linotype" w:cs="Palatino Linotype"/>
          <w:color w:val="222222"/>
          <w:sz w:val="22"/>
          <w:szCs w:val="22"/>
        </w:rPr>
      </w:pPr>
    </w:p>
    <w:p w14:paraId="56EF3F4C" w14:textId="77777777" w:rsidR="00A4751E" w:rsidRDefault="00B74A6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Asimismo, se actualiza la causal de procedencia del Recurso de Revisión señalada en el artículo 179, fracción I, de la Ley en cita, </w:t>
      </w:r>
      <w:r>
        <w:rPr>
          <w:rFonts w:ascii="Palatino Linotype" w:eastAsia="Palatino Linotype" w:hAnsi="Palatino Linotype" w:cs="Palatino Linotype"/>
          <w:color w:val="000000"/>
          <w:sz w:val="22"/>
          <w:szCs w:val="22"/>
        </w:rPr>
        <w:t xml:space="preserve">pues el Recurrente se inconformó </w:t>
      </w:r>
      <w:r>
        <w:rPr>
          <w:rFonts w:ascii="Palatino Linotype" w:eastAsia="Palatino Linotype" w:hAnsi="Palatino Linotype" w:cs="Palatino Linotype"/>
          <w:sz w:val="22"/>
          <w:szCs w:val="22"/>
        </w:rPr>
        <w:t>con la negativa de la información</w:t>
      </w:r>
    </w:p>
    <w:p w14:paraId="335C2B50" w14:textId="77777777" w:rsidR="00A4751E" w:rsidRDefault="00A4751E">
      <w:pPr>
        <w:widowControl w:val="0"/>
        <w:spacing w:line="360" w:lineRule="auto"/>
        <w:jc w:val="both"/>
        <w:rPr>
          <w:rFonts w:ascii="Palatino Linotype" w:eastAsia="Palatino Linotype" w:hAnsi="Palatino Linotype" w:cs="Palatino Linotype"/>
          <w:b/>
          <w:color w:val="0D0D0D"/>
          <w:sz w:val="22"/>
          <w:szCs w:val="22"/>
        </w:rPr>
      </w:pPr>
    </w:p>
    <w:p w14:paraId="71F67AB2" w14:textId="77777777" w:rsidR="00A4751E" w:rsidRDefault="00B74A65">
      <w:pPr>
        <w:widowControl w:val="0"/>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b/>
          <w:color w:val="0D0D0D"/>
          <w:sz w:val="22"/>
          <w:szCs w:val="22"/>
        </w:rPr>
        <w:t>Causales de sobreseimiento</w:t>
      </w:r>
    </w:p>
    <w:p w14:paraId="17CDE851" w14:textId="77777777" w:rsidR="00A4751E" w:rsidRDefault="00A4751E">
      <w:pPr>
        <w:spacing w:line="360" w:lineRule="auto"/>
        <w:jc w:val="both"/>
        <w:rPr>
          <w:rFonts w:ascii="Palatino Linotype" w:eastAsia="Palatino Linotype" w:hAnsi="Palatino Linotype" w:cs="Palatino Linotype"/>
          <w:b/>
          <w:color w:val="0D0D0D"/>
          <w:sz w:val="22"/>
          <w:szCs w:val="22"/>
        </w:rPr>
      </w:pPr>
    </w:p>
    <w:p w14:paraId="51562366" w14:textId="77777777" w:rsidR="00A4751E" w:rsidRDefault="00B74A65">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w:t>
      </w:r>
      <w:r>
        <w:rPr>
          <w:rFonts w:ascii="Palatino Linotype" w:eastAsia="Palatino Linotype" w:hAnsi="Palatino Linotype" w:cs="Palatino Linotype"/>
          <w:color w:val="0D0D0D"/>
          <w:sz w:val="22"/>
          <w:szCs w:val="22"/>
        </w:rPr>
        <w:t xml:space="preserve"> pronunciamiento, este Instituto analiza si se actualiza alguna causal de sobreseimiento. </w:t>
      </w:r>
    </w:p>
    <w:p w14:paraId="7098CDD4" w14:textId="77777777" w:rsidR="00A4751E" w:rsidRDefault="00A4751E">
      <w:pPr>
        <w:spacing w:line="360" w:lineRule="auto"/>
        <w:jc w:val="both"/>
        <w:rPr>
          <w:rFonts w:ascii="Palatino Linotype" w:eastAsia="Palatino Linotype" w:hAnsi="Palatino Linotype" w:cs="Palatino Linotype"/>
          <w:color w:val="0D0D0D"/>
          <w:sz w:val="22"/>
          <w:szCs w:val="22"/>
        </w:rPr>
      </w:pPr>
    </w:p>
    <w:p w14:paraId="311D2CB0"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D0D0D"/>
          <w:sz w:val="22"/>
          <w:szCs w:val="22"/>
        </w:rPr>
        <w:t>Sobre el tema, e</w:t>
      </w:r>
      <w:r>
        <w:rPr>
          <w:rFonts w:ascii="Palatino Linotype" w:eastAsia="Palatino Linotype" w:hAnsi="Palatino Linotype" w:cs="Palatino Linotype"/>
          <w:sz w:val="22"/>
          <w:szCs w:val="22"/>
        </w:rPr>
        <w:t>l artículo 192 de la Ley Transparencia y Acceso a la Información Pública del Estado de México y Municipios, señala las causales por las cuales se pu</w:t>
      </w:r>
      <w:r>
        <w:rPr>
          <w:rFonts w:ascii="Palatino Linotype" w:eastAsia="Palatino Linotype" w:hAnsi="Palatino Linotype" w:cs="Palatino Linotype"/>
          <w:sz w:val="22"/>
          <w:szCs w:val="22"/>
        </w:rPr>
        <w:t>ede sobreseer en todo o en parte, el Recurso de Revisión; así, del análisis realizado por este Instituto, se advierte que no se actualiza algún supuesto de sobreseimiento; lo anterior, en virtud de que no hay constancias en el expediente en que se actúa, d</w:t>
      </w:r>
      <w:r>
        <w:rPr>
          <w:rFonts w:ascii="Palatino Linotype" w:eastAsia="Palatino Linotype" w:hAnsi="Palatino Linotype" w:cs="Palatino Linotype"/>
          <w:sz w:val="22"/>
          <w:szCs w:val="22"/>
        </w:rPr>
        <w:t>e que la persona Recurrente se haya desistido del recurso, haya fallecido, sobreviniera alguna causal de improcedencia, que el Sujeto Obligado hubiese modificado o revocado el acto impugnado o bien, haya quedado sin materia.</w:t>
      </w:r>
    </w:p>
    <w:p w14:paraId="47481A5A" w14:textId="77777777" w:rsidR="00A4751E" w:rsidRDefault="00A4751E">
      <w:pPr>
        <w:spacing w:line="360" w:lineRule="auto"/>
        <w:jc w:val="both"/>
        <w:rPr>
          <w:rFonts w:ascii="Palatino Linotype" w:eastAsia="Palatino Linotype" w:hAnsi="Palatino Linotype" w:cs="Palatino Linotype"/>
          <w:sz w:val="22"/>
          <w:szCs w:val="22"/>
        </w:rPr>
      </w:pPr>
    </w:p>
    <w:p w14:paraId="3427D44D" w14:textId="77777777" w:rsidR="00A4751E" w:rsidRDefault="00B74A65">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tales motivos, se consider</w:t>
      </w:r>
      <w:r>
        <w:rPr>
          <w:rFonts w:ascii="Palatino Linotype" w:eastAsia="Palatino Linotype" w:hAnsi="Palatino Linotype" w:cs="Palatino Linotype"/>
          <w:color w:val="0D0D0D"/>
          <w:sz w:val="22"/>
          <w:szCs w:val="22"/>
        </w:rPr>
        <w:t xml:space="preserve">a procedente entrar al fondo del presente asunto. </w:t>
      </w:r>
    </w:p>
    <w:p w14:paraId="77084D22" w14:textId="77777777" w:rsidR="00A4751E" w:rsidRDefault="00A4751E">
      <w:pPr>
        <w:spacing w:line="360" w:lineRule="auto"/>
        <w:jc w:val="both"/>
        <w:rPr>
          <w:rFonts w:ascii="Palatino Linotype" w:eastAsia="Palatino Linotype" w:hAnsi="Palatino Linotype" w:cs="Palatino Linotype"/>
          <w:color w:val="0D0D0D"/>
          <w:sz w:val="22"/>
          <w:szCs w:val="22"/>
        </w:rPr>
      </w:pPr>
    </w:p>
    <w:p w14:paraId="14841647"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9" w:name="_Toc195201254"/>
      <w:r>
        <w:rPr>
          <w:rFonts w:ascii="Palatino Linotype" w:eastAsia="Palatino Linotype" w:hAnsi="Palatino Linotype" w:cs="Palatino Linotype"/>
          <w:b/>
          <w:color w:val="000000"/>
          <w:sz w:val="22"/>
          <w:szCs w:val="22"/>
        </w:rPr>
        <w:t>TERCERO. Determinación de la Controversia</w:t>
      </w:r>
      <w:bookmarkEnd w:id="9"/>
    </w:p>
    <w:p w14:paraId="2A575E43" w14:textId="77777777" w:rsidR="00A4751E" w:rsidRDefault="00A4751E">
      <w:pPr>
        <w:spacing w:line="360" w:lineRule="auto"/>
        <w:jc w:val="both"/>
        <w:rPr>
          <w:rFonts w:ascii="Palatino Linotype" w:eastAsia="Palatino Linotype" w:hAnsi="Palatino Linotype" w:cs="Palatino Linotype"/>
          <w:b/>
          <w:sz w:val="22"/>
          <w:szCs w:val="22"/>
        </w:rPr>
      </w:pPr>
    </w:p>
    <w:p w14:paraId="74C7FA37" w14:textId="77777777" w:rsidR="00A4751E" w:rsidRDefault="00B74A6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Con el objetivo de ilustrar la controversia planteada, resulta conveniente precisar, que una vez realizado el estudio de las constancias que integran el expediente en el que se actúa, se desprende que el Particular requirió la Nómina general de la primera </w:t>
      </w:r>
      <w:r>
        <w:rPr>
          <w:rFonts w:ascii="Palatino Linotype" w:eastAsia="Palatino Linotype" w:hAnsi="Palatino Linotype" w:cs="Palatino Linotype"/>
          <w:sz w:val="22"/>
          <w:szCs w:val="22"/>
        </w:rPr>
        <w:t xml:space="preserve">y segunda quincena de </w:t>
      </w:r>
      <w:r>
        <w:rPr>
          <w:rFonts w:ascii="Palatino Linotype" w:eastAsia="Palatino Linotype" w:hAnsi="Palatino Linotype" w:cs="Palatino Linotype"/>
          <w:sz w:val="22"/>
          <w:szCs w:val="22"/>
        </w:rPr>
        <w:lastRenderedPageBreak/>
        <w:t>enero y la primera de febrero en el formato que se entrega al Órgano Superior de Fiscalización del Estado de México.</w:t>
      </w:r>
    </w:p>
    <w:p w14:paraId="36D713EE" w14:textId="77777777" w:rsidR="00A4751E" w:rsidRDefault="00A4751E">
      <w:pPr>
        <w:spacing w:line="360" w:lineRule="auto"/>
        <w:jc w:val="both"/>
        <w:rPr>
          <w:rFonts w:ascii="Palatino Linotype" w:eastAsia="Palatino Linotype" w:hAnsi="Palatino Linotype" w:cs="Palatino Linotype"/>
          <w:sz w:val="22"/>
          <w:szCs w:val="22"/>
        </w:rPr>
      </w:pPr>
    </w:p>
    <w:p w14:paraId="7424665A"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En respuesta, el Sujeto Obligado, por medio de la Tesorería Municipal, señaló que no podía realizar la búsqueda de l</w:t>
      </w:r>
      <w:r>
        <w:rPr>
          <w:rFonts w:ascii="Palatino Linotype" w:eastAsia="Palatino Linotype" w:hAnsi="Palatino Linotype" w:cs="Palatino Linotype"/>
          <w:sz w:val="22"/>
          <w:szCs w:val="22"/>
        </w:rPr>
        <w:t xml:space="preserve">o peticionado, al no señalar la temporalidad para su requerimiento; ante dicha circunstancia, la parte Recurrente se inconformó que no le entregan lo peticionado, </w:t>
      </w:r>
      <w:r>
        <w:rPr>
          <w:rFonts w:ascii="Palatino Linotype" w:eastAsia="Palatino Linotype" w:hAnsi="Palatino Linotype" w:cs="Palatino Linotype"/>
          <w:color w:val="000000"/>
          <w:sz w:val="22"/>
          <w:szCs w:val="22"/>
        </w:rPr>
        <w:t>lo cual actualiza el supuesto previsto en el artículo 179, fracción I, de la Ley de Transpare</w:t>
      </w:r>
      <w:r>
        <w:rPr>
          <w:rFonts w:ascii="Palatino Linotype" w:eastAsia="Palatino Linotype" w:hAnsi="Palatino Linotype" w:cs="Palatino Linotype"/>
          <w:color w:val="000000"/>
          <w:sz w:val="22"/>
          <w:szCs w:val="22"/>
        </w:rPr>
        <w:t>ncia y Acceso a la Información Pública del Estado de México y Municipios</w:t>
      </w:r>
      <w:r>
        <w:rPr>
          <w:rFonts w:ascii="Palatino Linotype" w:eastAsia="Palatino Linotype" w:hAnsi="Palatino Linotype" w:cs="Palatino Linotype"/>
          <w:color w:val="000000"/>
          <w:sz w:val="22"/>
          <w:szCs w:val="22"/>
          <w:highlight w:val="white"/>
        </w:rPr>
        <w:t>.</w:t>
      </w:r>
      <w:r>
        <w:rPr>
          <w:rFonts w:ascii="Palatino Linotype" w:eastAsia="Palatino Linotype" w:hAnsi="Palatino Linotype" w:cs="Palatino Linotype"/>
          <w:color w:val="000000"/>
          <w:sz w:val="22"/>
          <w:szCs w:val="22"/>
        </w:rPr>
        <w:t xml:space="preserve"> Así las cosas, una vez admitido y notificado el Recurso de Revisión a las partes, estas fueron omisas en emitir manifestaciones o alegatos.</w:t>
      </w:r>
    </w:p>
    <w:p w14:paraId="3377832E" w14:textId="77777777" w:rsidR="00A4751E" w:rsidRDefault="00A4751E">
      <w:pPr>
        <w:spacing w:line="360" w:lineRule="auto"/>
        <w:jc w:val="both"/>
        <w:rPr>
          <w:rFonts w:ascii="Palatino Linotype" w:eastAsia="Palatino Linotype" w:hAnsi="Palatino Linotype" w:cs="Palatino Linotype"/>
          <w:sz w:val="22"/>
          <w:szCs w:val="22"/>
          <w:highlight w:val="white"/>
        </w:rPr>
      </w:pPr>
    </w:p>
    <w:p w14:paraId="0AF0588D"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w:t>
      </w:r>
      <w:r>
        <w:rPr>
          <w:rFonts w:ascii="Palatino Linotype" w:eastAsia="Palatino Linotype" w:hAnsi="Palatino Linotype" w:cs="Palatino Linotype"/>
          <w:sz w:val="22"/>
          <w:szCs w:val="22"/>
        </w:rPr>
        <w:t>ales que obran en el expediente de referencia, materia de la presente resolución, consistentes en: la solicitud de acceso a la información; la respuesta proporcionada y el escrito recursal; instrumentales que se toman en cuenta a efecto de resolver el pres</w:t>
      </w:r>
      <w:r>
        <w:rPr>
          <w:rFonts w:ascii="Palatino Linotype" w:eastAsia="Palatino Linotype" w:hAnsi="Palatino Linotype" w:cs="Palatino Linotype"/>
          <w:sz w:val="22"/>
          <w:szCs w:val="22"/>
        </w:rPr>
        <w:t xml:space="preserve">ente medio de impugnación, conforme a lo dispuesto por el artículo 185, fracción IV, de la Ley de Transparencia y Acceso a la Información Pública del Estado de México y Municipios. </w:t>
      </w:r>
    </w:p>
    <w:p w14:paraId="4181CEB9" w14:textId="77777777" w:rsidR="00A4751E" w:rsidRDefault="00A4751E">
      <w:pPr>
        <w:spacing w:line="360" w:lineRule="auto"/>
        <w:jc w:val="both"/>
        <w:rPr>
          <w:rFonts w:ascii="Palatino Linotype" w:eastAsia="Palatino Linotype" w:hAnsi="Palatino Linotype" w:cs="Palatino Linotype"/>
          <w:sz w:val="22"/>
          <w:szCs w:val="22"/>
        </w:rPr>
      </w:pPr>
    </w:p>
    <w:p w14:paraId="2BE45D35" w14:textId="77777777" w:rsidR="00A4751E" w:rsidRDefault="00B74A65">
      <w:pPr>
        <w:pStyle w:val="Ttulo2"/>
        <w:spacing w:before="0" w:line="360" w:lineRule="auto"/>
        <w:jc w:val="both"/>
        <w:rPr>
          <w:rFonts w:ascii="Palatino Linotype" w:eastAsia="Palatino Linotype" w:hAnsi="Palatino Linotype" w:cs="Palatino Linotype"/>
          <w:b/>
          <w:color w:val="000000"/>
          <w:sz w:val="22"/>
          <w:szCs w:val="22"/>
        </w:rPr>
      </w:pPr>
      <w:bookmarkStart w:id="10" w:name="_Toc195201255"/>
      <w:r>
        <w:rPr>
          <w:rFonts w:ascii="Palatino Linotype" w:eastAsia="Palatino Linotype" w:hAnsi="Palatino Linotype" w:cs="Palatino Linotype"/>
          <w:b/>
          <w:color w:val="000000"/>
          <w:sz w:val="22"/>
          <w:szCs w:val="22"/>
        </w:rPr>
        <w:t xml:space="preserve">CUARTO. Marco normativo aplicable en materia de transparencia y acceso a </w:t>
      </w:r>
      <w:r>
        <w:rPr>
          <w:rFonts w:ascii="Palatino Linotype" w:eastAsia="Palatino Linotype" w:hAnsi="Palatino Linotype" w:cs="Palatino Linotype"/>
          <w:b/>
          <w:color w:val="000000"/>
          <w:sz w:val="22"/>
          <w:szCs w:val="22"/>
        </w:rPr>
        <w:t>la información pública</w:t>
      </w:r>
      <w:bookmarkEnd w:id="10"/>
    </w:p>
    <w:p w14:paraId="72D89776" w14:textId="77777777" w:rsidR="00A4751E" w:rsidRDefault="00A4751E">
      <w:pPr>
        <w:spacing w:line="360" w:lineRule="auto"/>
        <w:jc w:val="both"/>
        <w:rPr>
          <w:rFonts w:ascii="Palatino Linotype" w:eastAsia="Palatino Linotype" w:hAnsi="Palatino Linotype" w:cs="Palatino Linotype"/>
          <w:sz w:val="22"/>
          <w:szCs w:val="22"/>
        </w:rPr>
      </w:pPr>
    </w:p>
    <w:p w14:paraId="7A378891"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w:t>
      </w:r>
      <w:r>
        <w:rPr>
          <w:rFonts w:ascii="Palatino Linotype" w:eastAsia="Palatino Linotype" w:hAnsi="Palatino Linotype" w:cs="Palatino Linotype"/>
          <w:sz w:val="22"/>
          <w:szCs w:val="22"/>
        </w:rPr>
        <w:t>es de interés público.</w:t>
      </w:r>
    </w:p>
    <w:p w14:paraId="3F7F28DF" w14:textId="77777777" w:rsidR="00A4751E" w:rsidRDefault="00A4751E">
      <w:pPr>
        <w:spacing w:line="360" w:lineRule="auto"/>
        <w:jc w:val="both"/>
        <w:rPr>
          <w:rFonts w:ascii="Palatino Linotype" w:eastAsia="Palatino Linotype" w:hAnsi="Palatino Linotype" w:cs="Palatino Linotype"/>
          <w:sz w:val="22"/>
          <w:szCs w:val="22"/>
        </w:rPr>
      </w:pPr>
    </w:p>
    <w:p w14:paraId="0C4FD924"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su parte, en materia local, el artículo 5°, fracción I de la Constitución Política del Estado Libre y Soberano de México, es coincidente con la Constitución Política de los Estados Unidos Mexicanos, en el sentido de la publicida</w:t>
      </w:r>
      <w:r>
        <w:rPr>
          <w:rFonts w:ascii="Palatino Linotype" w:eastAsia="Palatino Linotype" w:hAnsi="Palatino Linotype" w:cs="Palatino Linotype"/>
          <w:sz w:val="22"/>
          <w:szCs w:val="22"/>
        </w:rPr>
        <w:t>d de toda la información, con la única restricción de proteger el interés público, así como la información referente a la intimidad de la vida privada y la imagen de las personas, con las excepciones que establezca la ley reglamentaria.</w:t>
      </w:r>
    </w:p>
    <w:p w14:paraId="6E4A03A8" w14:textId="77777777" w:rsidR="00A4751E" w:rsidRDefault="00A4751E">
      <w:pPr>
        <w:spacing w:line="360" w:lineRule="auto"/>
        <w:jc w:val="both"/>
        <w:rPr>
          <w:rFonts w:ascii="Palatino Linotype" w:eastAsia="Palatino Linotype" w:hAnsi="Palatino Linotype" w:cs="Palatino Linotype"/>
          <w:sz w:val="22"/>
          <w:szCs w:val="22"/>
        </w:rPr>
      </w:pPr>
    </w:p>
    <w:p w14:paraId="287B2C1C"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la Ley de </w:t>
      </w:r>
      <w:r>
        <w:rPr>
          <w:rFonts w:ascii="Palatino Linotype" w:eastAsia="Palatino Linotype" w:hAnsi="Palatino Linotype" w:cs="Palatino Linotype"/>
          <w:sz w:val="22"/>
          <w:szCs w:val="22"/>
        </w:rPr>
        <w:t>Transparencia y Acceso a la Información Pública del Estado de México y Municipios (Reglamentaria del artículo 5° de la Constitución Local), establece lo siguiente:</w:t>
      </w:r>
    </w:p>
    <w:p w14:paraId="1857ED30" w14:textId="77777777" w:rsidR="00A4751E" w:rsidRDefault="00A4751E">
      <w:pPr>
        <w:spacing w:line="360" w:lineRule="auto"/>
        <w:jc w:val="both"/>
        <w:rPr>
          <w:rFonts w:ascii="Palatino Linotype" w:eastAsia="Palatino Linotype" w:hAnsi="Palatino Linotype" w:cs="Palatino Linotype"/>
          <w:sz w:val="22"/>
          <w:szCs w:val="22"/>
        </w:rPr>
      </w:pPr>
    </w:p>
    <w:p w14:paraId="00331B11"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w:t>
      </w:r>
      <w:r>
        <w:rPr>
          <w:rFonts w:ascii="Palatino Linotype" w:eastAsia="Palatino Linotype" w:hAnsi="Palatino Linotype" w:cs="Palatino Linotype"/>
          <w:sz w:val="22"/>
          <w:szCs w:val="22"/>
        </w:rPr>
        <w:t xml:space="preserve"> conserven información pública serán responsables de la misma.</w:t>
      </w:r>
    </w:p>
    <w:p w14:paraId="43A1F95F" w14:textId="77777777" w:rsidR="00A4751E" w:rsidRDefault="00A4751E">
      <w:pPr>
        <w:spacing w:line="360" w:lineRule="auto"/>
        <w:jc w:val="both"/>
        <w:rPr>
          <w:rFonts w:ascii="Palatino Linotype" w:eastAsia="Palatino Linotype" w:hAnsi="Palatino Linotype" w:cs="Palatino Linotype"/>
          <w:sz w:val="22"/>
          <w:szCs w:val="22"/>
        </w:rPr>
      </w:pPr>
    </w:p>
    <w:p w14:paraId="37E89312"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w:t>
      </w:r>
      <w:r>
        <w:rPr>
          <w:rFonts w:ascii="Palatino Linotype" w:eastAsia="Palatino Linotype" w:hAnsi="Palatino Linotype" w:cs="Palatino Linotype"/>
          <w:sz w:val="22"/>
          <w:szCs w:val="22"/>
        </w:rPr>
        <w:t>d y reutilización de la información que generen.</w:t>
      </w:r>
    </w:p>
    <w:p w14:paraId="705EEE6E" w14:textId="77777777" w:rsidR="00A4751E" w:rsidRDefault="00A4751E">
      <w:pPr>
        <w:spacing w:line="360" w:lineRule="auto"/>
        <w:jc w:val="both"/>
        <w:rPr>
          <w:rFonts w:ascii="Palatino Linotype" w:eastAsia="Palatino Linotype" w:hAnsi="Palatino Linotype" w:cs="Palatino Linotype"/>
          <w:sz w:val="22"/>
          <w:szCs w:val="22"/>
        </w:rPr>
      </w:pPr>
    </w:p>
    <w:p w14:paraId="04EDEA73"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obligados y en caso </w:t>
      </w:r>
      <w:r>
        <w:rPr>
          <w:rFonts w:ascii="Palatino Linotype" w:eastAsia="Palatino Linotype" w:hAnsi="Palatino Linotype" w:cs="Palatino Linotype"/>
          <w:sz w:val="22"/>
          <w:szCs w:val="22"/>
        </w:rPr>
        <w:t xml:space="preserve">de que dichas facultades no se hayan ejercido, se deberá motivar la respuesta en función de las causas que motivaron tal circunstancia. </w:t>
      </w:r>
    </w:p>
    <w:p w14:paraId="3647F440" w14:textId="77777777" w:rsidR="00A4751E" w:rsidRDefault="00A4751E">
      <w:pPr>
        <w:spacing w:line="360" w:lineRule="auto"/>
        <w:jc w:val="both"/>
        <w:rPr>
          <w:rFonts w:ascii="Palatino Linotype" w:eastAsia="Palatino Linotype" w:hAnsi="Palatino Linotype" w:cs="Palatino Linotype"/>
          <w:sz w:val="22"/>
          <w:szCs w:val="22"/>
        </w:rPr>
      </w:pPr>
    </w:p>
    <w:p w14:paraId="0172171E"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11" w:name="_Toc195201256"/>
      <w:r>
        <w:rPr>
          <w:rFonts w:ascii="Palatino Linotype" w:eastAsia="Palatino Linotype" w:hAnsi="Palatino Linotype" w:cs="Palatino Linotype"/>
          <w:b/>
          <w:color w:val="000000"/>
          <w:sz w:val="22"/>
          <w:szCs w:val="22"/>
        </w:rPr>
        <w:t>QUINTO. Estudio de Fondo</w:t>
      </w:r>
      <w:bookmarkEnd w:id="11"/>
    </w:p>
    <w:p w14:paraId="10ED818A" w14:textId="77777777" w:rsidR="00A4751E" w:rsidRDefault="00A4751E">
      <w:pPr>
        <w:spacing w:line="360" w:lineRule="auto"/>
        <w:jc w:val="both"/>
        <w:rPr>
          <w:rFonts w:ascii="Palatino Linotype" w:eastAsia="Palatino Linotype" w:hAnsi="Palatino Linotype" w:cs="Palatino Linotype"/>
          <w:b/>
          <w:sz w:val="22"/>
          <w:szCs w:val="22"/>
        </w:rPr>
      </w:pPr>
    </w:p>
    <w:p w14:paraId="028F41FC"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Expuestas las posturas de las partes, se procede analizar el agravio hecho por la persona Re</w:t>
      </w:r>
      <w:r>
        <w:rPr>
          <w:rFonts w:ascii="Palatino Linotype" w:eastAsia="Palatino Linotype" w:hAnsi="Palatino Linotype" w:cs="Palatino Linotype"/>
          <w:sz w:val="22"/>
          <w:szCs w:val="22"/>
        </w:rPr>
        <w:t>currente, para lo cual, cabe recordar que el Sujeto Obligado precisó que no podía realizar la búsqueda de la información, al no precisar el ejercicio del cual se requería.</w:t>
      </w:r>
    </w:p>
    <w:p w14:paraId="4CE31E06" w14:textId="77777777" w:rsidR="00A4751E" w:rsidRDefault="00A4751E">
      <w:pPr>
        <w:tabs>
          <w:tab w:val="left" w:pos="4962"/>
        </w:tabs>
        <w:spacing w:line="360" w:lineRule="auto"/>
        <w:ind w:right="-28"/>
        <w:jc w:val="both"/>
        <w:rPr>
          <w:rFonts w:ascii="Palatino Linotype" w:eastAsia="Palatino Linotype" w:hAnsi="Palatino Linotype" w:cs="Palatino Linotype"/>
          <w:sz w:val="22"/>
          <w:szCs w:val="22"/>
        </w:rPr>
      </w:pPr>
    </w:p>
    <w:p w14:paraId="4003BA97" w14:textId="77777777" w:rsidR="00A4751E" w:rsidRDefault="00B74A65">
      <w:pPr>
        <w:tabs>
          <w:tab w:val="left" w:pos="4962"/>
        </w:tabs>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dicha circunstancia, el artículo 155, fracciones III y IV, de la Ley de </w:t>
      </w:r>
      <w:r>
        <w:rPr>
          <w:rFonts w:ascii="Palatino Linotype" w:eastAsia="Palatino Linotype" w:hAnsi="Palatino Linotype" w:cs="Palatino Linotype"/>
          <w:sz w:val="22"/>
          <w:szCs w:val="22"/>
        </w:rPr>
        <w:t>Transparencia y Acceso a la Información Pública del Estado de México y Municipios, establece que, en una solicitud de acceso a la información pública, se debe precisar la descripción de la información solicitada y cualquier otro dato que facilite la búsque</w:t>
      </w:r>
      <w:r>
        <w:rPr>
          <w:rFonts w:ascii="Palatino Linotype" w:eastAsia="Palatino Linotype" w:hAnsi="Palatino Linotype" w:cs="Palatino Linotype"/>
          <w:sz w:val="22"/>
          <w:szCs w:val="22"/>
        </w:rPr>
        <w:t>da y localización de la información.</w:t>
      </w:r>
    </w:p>
    <w:p w14:paraId="6A1A02F4" w14:textId="77777777" w:rsidR="00A4751E" w:rsidRDefault="00A4751E">
      <w:pPr>
        <w:tabs>
          <w:tab w:val="left" w:pos="4962"/>
        </w:tabs>
        <w:spacing w:line="360" w:lineRule="auto"/>
        <w:ind w:right="-28"/>
        <w:jc w:val="both"/>
        <w:rPr>
          <w:rFonts w:ascii="Palatino Linotype" w:eastAsia="Palatino Linotype" w:hAnsi="Palatino Linotype" w:cs="Palatino Linotype"/>
          <w:sz w:val="22"/>
          <w:szCs w:val="22"/>
        </w:rPr>
      </w:pPr>
    </w:p>
    <w:p w14:paraId="02F02B27" w14:textId="77777777" w:rsidR="00A4751E" w:rsidRDefault="00B74A65">
      <w:pPr>
        <w:tabs>
          <w:tab w:val="left" w:pos="4962"/>
        </w:tabs>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artículo 159 de la Ley de la materia, precisa que cuando los detalles proporcionados para localizar los documentos resulten insuficientes, incompletos o erróneos, la Unidad de Transparencia podrá requerir al</w:t>
      </w:r>
      <w:r>
        <w:rPr>
          <w:rFonts w:ascii="Palatino Linotype" w:eastAsia="Palatino Linotype" w:hAnsi="Palatino Linotype" w:cs="Palatino Linotype"/>
          <w:sz w:val="22"/>
          <w:szCs w:val="22"/>
        </w:rPr>
        <w:t xml:space="preserve"> Solicitante, por una sola vez, dentro de los cinco días hábiles siguientes contados a partir de la presentación de la solicitud, para que en un término de hasta diez días hábiles, indique otros elementos que complementen, corrijan o amplíen los datos prop</w:t>
      </w:r>
      <w:r>
        <w:rPr>
          <w:rFonts w:ascii="Palatino Linotype" w:eastAsia="Palatino Linotype" w:hAnsi="Palatino Linotype" w:cs="Palatino Linotype"/>
          <w:sz w:val="22"/>
          <w:szCs w:val="22"/>
        </w:rPr>
        <w:t>orcionados o precise los requerimientos de información.</w:t>
      </w:r>
    </w:p>
    <w:p w14:paraId="52B428D8" w14:textId="77777777" w:rsidR="00A4751E" w:rsidRDefault="00A4751E">
      <w:pPr>
        <w:tabs>
          <w:tab w:val="left" w:pos="4962"/>
        </w:tabs>
        <w:spacing w:line="360" w:lineRule="auto"/>
        <w:ind w:right="-28"/>
        <w:jc w:val="both"/>
        <w:rPr>
          <w:rFonts w:ascii="Palatino Linotype" w:eastAsia="Palatino Linotype" w:hAnsi="Palatino Linotype" w:cs="Palatino Linotype"/>
          <w:sz w:val="22"/>
          <w:szCs w:val="22"/>
        </w:rPr>
      </w:pPr>
    </w:p>
    <w:p w14:paraId="648FD0B8" w14:textId="77777777" w:rsidR="00A4751E" w:rsidRDefault="00B74A65">
      <w:pPr>
        <w:tabs>
          <w:tab w:val="left" w:pos="4962"/>
        </w:tabs>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Así, la solicitud de información se tendrá por no presentada, cuando el Solicitante no atienda el requerimiento de información adicional y del requerimiento inicial no se aprecien los elementos que p</w:t>
      </w:r>
      <w:r>
        <w:rPr>
          <w:rFonts w:ascii="Palatino Linotype" w:eastAsia="Palatino Linotype" w:hAnsi="Palatino Linotype" w:cs="Palatino Linotype"/>
          <w:sz w:val="22"/>
          <w:szCs w:val="22"/>
        </w:rPr>
        <w:t>ermitan identificar la información requerida.</w:t>
      </w:r>
    </w:p>
    <w:p w14:paraId="7C47030C" w14:textId="77777777" w:rsidR="00A4751E" w:rsidRDefault="00A4751E">
      <w:pPr>
        <w:tabs>
          <w:tab w:val="left" w:pos="4962"/>
        </w:tabs>
        <w:spacing w:line="360" w:lineRule="auto"/>
        <w:ind w:right="-28"/>
        <w:jc w:val="both"/>
        <w:rPr>
          <w:rFonts w:ascii="Palatino Linotype" w:eastAsia="Palatino Linotype" w:hAnsi="Palatino Linotype" w:cs="Palatino Linotype"/>
          <w:b/>
          <w:sz w:val="22"/>
          <w:szCs w:val="22"/>
        </w:rPr>
      </w:pPr>
    </w:p>
    <w:p w14:paraId="4B4CEC41"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otras palabras, cuando los Particulares no sean claros en la información peticionada, los Sujetos Obligados, tienen la posibilidad de solicitar información adicional, con el fin de esclarecer la solicitud y así dar una atención adecuada en esta; lo cual</w:t>
      </w:r>
      <w:r>
        <w:rPr>
          <w:rFonts w:ascii="Palatino Linotype" w:eastAsia="Palatino Linotype" w:hAnsi="Palatino Linotype" w:cs="Palatino Linotype"/>
          <w:sz w:val="22"/>
          <w:szCs w:val="22"/>
        </w:rPr>
        <w:t xml:space="preserve"> no aconteció, pues el Ayuntamiento ante la duda del requerimiento, se encontraba en posibilidades de solicitar una </w:t>
      </w:r>
      <w:r>
        <w:rPr>
          <w:rFonts w:ascii="Palatino Linotype" w:eastAsia="Palatino Linotype" w:hAnsi="Palatino Linotype" w:cs="Palatino Linotype"/>
          <w:sz w:val="22"/>
          <w:szCs w:val="22"/>
        </w:rPr>
        <w:lastRenderedPageBreak/>
        <w:t>aclaración, no obstante, se procede analizar si la solicitud de información del ahora Recurrente era clara para darle trámite.</w:t>
      </w:r>
    </w:p>
    <w:p w14:paraId="61104E0E"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498F6420"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w:t>
      </w:r>
      <w:r>
        <w:rPr>
          <w:rFonts w:ascii="Palatino Linotype" w:eastAsia="Palatino Linotype" w:hAnsi="Palatino Linotype" w:cs="Palatino Linotype"/>
          <w:sz w:val="22"/>
          <w:szCs w:val="22"/>
        </w:rPr>
        <w:t>a, el artículo 147 de la Constitución Política del Estado Libre y Soberano de México, que establece que los trabajadores al servicio del Estado, recibirán una remuneración adecuada e irrenunciable por el desempeño de su empleo, cargo o comisión, que será d</w:t>
      </w:r>
      <w:r>
        <w:rPr>
          <w:rFonts w:ascii="Palatino Linotype" w:eastAsia="Palatino Linotype" w:hAnsi="Palatino Linotype" w:cs="Palatino Linotype"/>
          <w:sz w:val="22"/>
          <w:szCs w:val="22"/>
        </w:rPr>
        <w:t>eterminada en el presupuesto de egresos que corresponda.</w:t>
      </w:r>
    </w:p>
    <w:p w14:paraId="1D00EED4"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47D6EE44"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orden de ideas, el artículo 3°, fracción LXVIII, del Código Financiero del Estado de México y Municipios establece que la remuneración consiste en los pagos hechos por concepto de sueldo, compens</w:t>
      </w:r>
      <w:r>
        <w:rPr>
          <w:rFonts w:ascii="Palatino Linotype" w:eastAsia="Palatino Linotype" w:hAnsi="Palatino Linotype" w:cs="Palatino Linotype"/>
          <w:sz w:val="22"/>
          <w:szCs w:val="22"/>
        </w:rPr>
        <w:t>aciones, gratificaciones, habitación, primas, comisiones, prestaciones, en especie y cualquier otra percepción o prestación que se entregue al servidor por su trabajo.</w:t>
      </w:r>
    </w:p>
    <w:p w14:paraId="1B7F89D6"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06D79623"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 misma manera, el Manual para la Planeación, Programación y presupuesto de egresos</w:t>
      </w:r>
      <w:r>
        <w:rPr>
          <w:rFonts w:ascii="Palatino Linotype" w:eastAsia="Palatino Linotype" w:hAnsi="Palatino Linotype" w:cs="Palatino Linotype"/>
          <w:sz w:val="22"/>
          <w:szCs w:val="22"/>
        </w:rPr>
        <w:t xml:space="preserve"> Municipal para el ejercicio fiscal dos mil veinticinco, refiere que las remuneraciones consisten en la percepción de un trabajador o atribución monetaria que se da en pago por su servicio o actividad.</w:t>
      </w:r>
    </w:p>
    <w:p w14:paraId="17A76375"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0B9F2F76"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92, fracción VIII, de la</w:t>
      </w:r>
      <w:r>
        <w:rPr>
          <w:rFonts w:ascii="Palatino Linotype" w:eastAsia="Palatino Linotype" w:hAnsi="Palatino Linotype" w:cs="Palatino Linotype"/>
          <w:sz w:val="22"/>
          <w:szCs w:val="22"/>
        </w:rPr>
        <w:t xml:space="preserve"> Ley de Transparencia y Acceso a la Información Pública del Estado de México y Municipios, establece que los Sujetos Obligados deberán poner a disposición del público de manera permanente y actualizada, las remuneraciones brutas y netas de todos los servid</w:t>
      </w:r>
      <w:r>
        <w:rPr>
          <w:rFonts w:ascii="Palatino Linotype" w:eastAsia="Palatino Linotype" w:hAnsi="Palatino Linotype" w:cs="Palatino Linotype"/>
          <w:sz w:val="22"/>
          <w:szCs w:val="22"/>
        </w:rPr>
        <w:t>ores públicos, que incluya todas las percepciones, entre las cuales, se encuentran los sueldos, prestaciones, gratificaciones, primas, comisiones, dietas, bonos, estímulos, ingresos, entre otros.</w:t>
      </w:r>
    </w:p>
    <w:p w14:paraId="74EC7EEE"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2FCE7217"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Además, respecto al documento requerido, el Glosario locali</w:t>
      </w:r>
      <w:r>
        <w:rPr>
          <w:rFonts w:ascii="Palatino Linotype" w:eastAsia="Palatino Linotype" w:hAnsi="Palatino Linotype" w:cs="Palatino Linotype"/>
          <w:sz w:val="22"/>
          <w:szCs w:val="22"/>
        </w:rPr>
        <w:t>zado en la página de Transparencia Presupuestaria de la Secretaría de Hacienda y Crédito Público (</w:t>
      </w:r>
      <w:hyperlink r:id="rId8">
        <w:r>
          <w:rPr>
            <w:rFonts w:ascii="Palatino Linotype" w:eastAsia="Palatino Linotype" w:hAnsi="Palatino Linotype" w:cs="Palatino Linotype"/>
            <w:color w:val="0563C1"/>
            <w:sz w:val="22"/>
            <w:szCs w:val="22"/>
            <w:u w:val="single"/>
          </w:rPr>
          <w:t>http://www.transparenciapresupuestaria.gob.mx/es/PTP/Glosario</w:t>
        </w:r>
      </w:hyperlink>
      <w:r>
        <w:rPr>
          <w:rFonts w:ascii="Palatino Linotype" w:eastAsia="Palatino Linotype" w:hAnsi="Palatino Linotype" w:cs="Palatino Linotype"/>
          <w:sz w:val="22"/>
          <w:szCs w:val="22"/>
        </w:rPr>
        <w:t>), establece que</w:t>
      </w:r>
      <w:r>
        <w:rPr>
          <w:rFonts w:ascii="Palatino Linotype" w:eastAsia="Palatino Linotype" w:hAnsi="Palatino Linotype" w:cs="Palatino Linotype"/>
          <w:sz w:val="22"/>
          <w:szCs w:val="22"/>
        </w:rPr>
        <w:t xml:space="preserve"> la </w:t>
      </w:r>
      <w:r>
        <w:rPr>
          <w:rFonts w:ascii="Palatino Linotype" w:eastAsia="Palatino Linotype" w:hAnsi="Palatino Linotype" w:cs="Palatino Linotype"/>
          <w:b/>
          <w:sz w:val="22"/>
          <w:szCs w:val="22"/>
        </w:rPr>
        <w:t>Nómina es el documento contable que contiene la relación de los trabajadores con las percepciones monetarias de cada uno; además, que también se refiere al recibo individual y justificativo que indica los sueldos de los trabajadores, incluyendo las pre</w:t>
      </w:r>
      <w:r>
        <w:rPr>
          <w:rFonts w:ascii="Palatino Linotype" w:eastAsia="Palatino Linotype" w:hAnsi="Palatino Linotype" w:cs="Palatino Linotype"/>
          <w:b/>
          <w:sz w:val="22"/>
          <w:szCs w:val="22"/>
        </w:rPr>
        <w:t>staciones y deducciones correspondientes.</w:t>
      </w:r>
    </w:p>
    <w:p w14:paraId="1DFB9920"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582E2003"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9">
        <w:r>
          <w:rPr>
            <w:rFonts w:ascii="Palatino Linotype" w:eastAsia="Palatino Linotype" w:hAnsi="Palatino Linotype" w:cs="Palatino Linotype"/>
            <w:color w:val="0563C1"/>
            <w:sz w:val="22"/>
            <w:szCs w:val="22"/>
            <w:u w:val="single"/>
          </w:rPr>
          <w:t>http://www.apartados.hacienda.gob.mx/contabilidad/documentos/informe_cuenta/1998/cuenta_pública/Glosario/n.htm</w:t>
        </w:r>
      </w:hyperlink>
      <w:r>
        <w:rPr>
          <w:rFonts w:ascii="Palatino Linotype" w:eastAsia="Palatino Linotype" w:hAnsi="Palatino Linotype" w:cs="Palatino Linotype"/>
          <w:sz w:val="22"/>
          <w:szCs w:val="22"/>
        </w:rPr>
        <w:t xml:space="preserve">), establece que </w:t>
      </w:r>
      <w:r>
        <w:rPr>
          <w:rFonts w:ascii="Palatino Linotype" w:eastAsia="Palatino Linotype" w:hAnsi="Palatino Linotype" w:cs="Palatino Linotype"/>
          <w:sz w:val="22"/>
          <w:szCs w:val="22"/>
          <w:u w:val="single"/>
        </w:rPr>
        <w:t>la nómina es un listado general</w:t>
      </w:r>
      <w:r>
        <w:rPr>
          <w:rFonts w:ascii="Palatino Linotype" w:eastAsia="Palatino Linotype" w:hAnsi="Palatino Linotype" w:cs="Palatino Linotype"/>
          <w:sz w:val="22"/>
          <w:szCs w:val="22"/>
        </w:rPr>
        <w:t xml:space="preserve"> de los trabajadores de u</w:t>
      </w:r>
      <w:r>
        <w:rPr>
          <w:rFonts w:ascii="Palatino Linotype" w:eastAsia="Palatino Linotype" w:hAnsi="Palatino Linotype" w:cs="Palatino Linotype"/>
          <w:sz w:val="22"/>
          <w:szCs w:val="22"/>
        </w:rPr>
        <w:t>na institución, en el cual se asientan las percepciones brutas, deducciones y alcance neto de las mismas. Conforme a lo anterior, se puede advertir que la nómina se puede referir a lo siguiente:</w:t>
      </w:r>
    </w:p>
    <w:p w14:paraId="7C8F068D"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15FB4BE8" w14:textId="77777777" w:rsidR="00A4751E" w:rsidRDefault="00B74A65">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Relación de trabajadores con las percepciones monetarias de </w:t>
      </w:r>
      <w:r>
        <w:rPr>
          <w:rFonts w:ascii="Palatino Linotype" w:eastAsia="Palatino Linotype" w:hAnsi="Palatino Linotype" w:cs="Palatino Linotype"/>
          <w:color w:val="000000"/>
          <w:sz w:val="22"/>
          <w:szCs w:val="22"/>
        </w:rPr>
        <w:t>cada uno. </w:t>
      </w:r>
    </w:p>
    <w:p w14:paraId="649BC059" w14:textId="77777777" w:rsidR="00A4751E" w:rsidRDefault="00B74A65">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Recibo individual que contiene las prestaciones y deducciones de un trabajador.</w:t>
      </w:r>
    </w:p>
    <w:p w14:paraId="462EF198" w14:textId="77777777" w:rsidR="00A4751E" w:rsidRDefault="00B74A65">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Listado general de los servidores públicos de una institución o dependencia, en el cual se asientan las percepciones brutas, deducciones y alcance neto de las </w:t>
      </w:r>
      <w:r>
        <w:rPr>
          <w:rFonts w:ascii="Palatino Linotype" w:eastAsia="Palatino Linotype" w:hAnsi="Palatino Linotype" w:cs="Palatino Linotype"/>
          <w:b/>
          <w:color w:val="000000"/>
          <w:sz w:val="22"/>
          <w:szCs w:val="22"/>
        </w:rPr>
        <w:t>mismas.</w:t>
      </w:r>
    </w:p>
    <w:p w14:paraId="11F73734"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540D7758"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Instructivo de llenado de los Informes Trimestrales emitidos por el Órgano Superior de Fiscalización del Estado de México, establece que la nómina es el concentrado de las cifras derivadas de todas las erogaciones realizadas por concepto de remu</w:t>
      </w:r>
      <w:r>
        <w:rPr>
          <w:rFonts w:ascii="Palatino Linotype" w:eastAsia="Palatino Linotype" w:hAnsi="Palatino Linotype" w:cs="Palatino Linotype"/>
          <w:sz w:val="22"/>
          <w:szCs w:val="22"/>
        </w:rPr>
        <w:t xml:space="preserve">neraciones al </w:t>
      </w:r>
      <w:r>
        <w:rPr>
          <w:rFonts w:ascii="Palatino Linotype" w:eastAsia="Palatino Linotype" w:hAnsi="Palatino Linotype" w:cs="Palatino Linotype"/>
          <w:sz w:val="22"/>
          <w:szCs w:val="22"/>
        </w:rPr>
        <w:lastRenderedPageBreak/>
        <w:t>trabajo, las cuales deben de coincidir con las contenidas en los registros contables, por concepto de remuneraciones al trabajo personal.</w:t>
      </w:r>
    </w:p>
    <w:p w14:paraId="23A84050"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08B812A2"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circunstancia, se logra vislumbrar que la pretensión del ahora Recurrente, es obtener el listado</w:t>
      </w:r>
      <w:r>
        <w:rPr>
          <w:rFonts w:ascii="Palatino Linotype" w:eastAsia="Palatino Linotype" w:hAnsi="Palatino Linotype" w:cs="Palatino Linotype"/>
          <w:sz w:val="22"/>
          <w:szCs w:val="22"/>
        </w:rPr>
        <w:t xml:space="preserve"> general de los servidores públicos adscritos al Ayuntamiento de Cocotitlán, que contengan las percepciones, prestaciones y deducciones realizadas, también conocido como nómina.</w:t>
      </w:r>
    </w:p>
    <w:p w14:paraId="18AF94F7"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22F27F7B"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respecto a la temporalidad de entrega, la persona Particular seña</w:t>
      </w:r>
      <w:r>
        <w:rPr>
          <w:rFonts w:ascii="Palatino Linotype" w:eastAsia="Palatino Linotype" w:hAnsi="Palatino Linotype" w:cs="Palatino Linotype"/>
          <w:sz w:val="22"/>
          <w:szCs w:val="22"/>
        </w:rPr>
        <w:t>ló que requería la información de la primera y segunda quincena de enero, así como, de la primera de febrero; por lo que, si bien no señaló el año del cual requería la información, lo cierto es de que de la simple lectura de la solicitud, se logra vislumbr</w:t>
      </w:r>
      <w:r>
        <w:rPr>
          <w:rFonts w:ascii="Palatino Linotype" w:eastAsia="Palatino Linotype" w:hAnsi="Palatino Linotype" w:cs="Palatino Linotype"/>
          <w:sz w:val="22"/>
          <w:szCs w:val="22"/>
        </w:rPr>
        <w:t>ar que requiere información del presente ejercicio fiscal, lo cual se traduce al año dos mil veinticinco.</w:t>
      </w:r>
    </w:p>
    <w:p w14:paraId="4C114A8E" w14:textId="77777777" w:rsidR="00A4751E" w:rsidRDefault="00B74A65">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Conforme a lo anterior, se logra vislumbrar que la pretensión de la parte Recurrente, es obtener los documentos donde conste la nómina pagada, de la p</w:t>
      </w:r>
      <w:r>
        <w:rPr>
          <w:rFonts w:ascii="Palatino Linotype" w:eastAsia="Palatino Linotype" w:hAnsi="Palatino Linotype" w:cs="Palatino Linotype"/>
          <w:sz w:val="22"/>
          <w:szCs w:val="22"/>
        </w:rPr>
        <w:t xml:space="preserve">rimera quincena de enero a la primera de febrero de dos mil veinticinco; por lo cual, se logra observar, por una parte, que el Solicitante, dio los elementos necesarios para atender el requerimiento de información </w:t>
      </w:r>
      <w:r>
        <w:rPr>
          <w:rFonts w:ascii="Palatino Linotype" w:eastAsia="Palatino Linotype" w:hAnsi="Palatino Linotype" w:cs="Palatino Linotype"/>
          <w:color w:val="000000"/>
          <w:sz w:val="22"/>
          <w:szCs w:val="22"/>
        </w:rPr>
        <w:t xml:space="preserve">y, por otra parte, que el Sujeto Obligado </w:t>
      </w:r>
      <w:r>
        <w:rPr>
          <w:rFonts w:ascii="Palatino Linotype" w:eastAsia="Palatino Linotype" w:hAnsi="Palatino Linotype" w:cs="Palatino Linotype"/>
          <w:color w:val="000000"/>
          <w:sz w:val="22"/>
          <w:szCs w:val="22"/>
        </w:rPr>
        <w:t xml:space="preserve">contaba con los datos elementales para dar trámite a la solicitud, lo cual da como resultado que el agravio sea </w:t>
      </w:r>
      <w:r>
        <w:rPr>
          <w:rFonts w:ascii="Palatino Linotype" w:eastAsia="Palatino Linotype" w:hAnsi="Palatino Linotype" w:cs="Palatino Linotype"/>
          <w:b/>
          <w:color w:val="000000"/>
          <w:sz w:val="22"/>
          <w:szCs w:val="22"/>
        </w:rPr>
        <w:t>FUNDADO</w:t>
      </w:r>
      <w:r>
        <w:rPr>
          <w:rFonts w:ascii="Palatino Linotype" w:eastAsia="Palatino Linotype" w:hAnsi="Palatino Linotype" w:cs="Palatino Linotype"/>
          <w:color w:val="000000"/>
          <w:sz w:val="22"/>
          <w:szCs w:val="22"/>
        </w:rPr>
        <w:t>, pues la Tesorería Municipal interpretó de manera restrictiva la solicitud de información.</w:t>
      </w:r>
    </w:p>
    <w:p w14:paraId="4E65FE41"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39D7E732"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 circunstancia para atender el requeri</w:t>
      </w:r>
      <w:r>
        <w:rPr>
          <w:rFonts w:ascii="Palatino Linotype" w:eastAsia="Palatino Linotype" w:hAnsi="Palatino Linotype" w:cs="Palatino Linotype"/>
          <w:color w:val="000000"/>
          <w:sz w:val="22"/>
          <w:szCs w:val="22"/>
        </w:rPr>
        <w:t xml:space="preserve">miento de la información, el Sujeto Obligado deberá realizar una búsqueda exhaustiva y razonable, en los archivos de la Tesorería Municipal (que conforme al Portal de Información Pública de Oficio Mexiquense, cuenta con la Coordinación de Administración y </w:t>
      </w:r>
      <w:r>
        <w:rPr>
          <w:rFonts w:ascii="Palatino Linotype" w:eastAsia="Palatino Linotype" w:hAnsi="Palatino Linotype" w:cs="Palatino Linotype"/>
          <w:color w:val="000000"/>
          <w:sz w:val="22"/>
          <w:szCs w:val="22"/>
        </w:rPr>
        <w:t xml:space="preserve">Desarrollo de Personal, encargada de regular las </w:t>
      </w:r>
      <w:r>
        <w:rPr>
          <w:rFonts w:ascii="Palatino Linotype" w:eastAsia="Palatino Linotype" w:hAnsi="Palatino Linotype" w:cs="Palatino Linotype"/>
          <w:color w:val="000000"/>
          <w:sz w:val="22"/>
          <w:szCs w:val="22"/>
        </w:rPr>
        <w:lastRenderedPageBreak/>
        <w:t>relaciones laborales y pago de remuneraciones), a efecto de que proporcione la nómina de la primera quincena de enero a la primera febrero de dos mil veinticinco.</w:t>
      </w:r>
    </w:p>
    <w:p w14:paraId="2ACD2C00"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1C1DD6BE"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Dicha circunstancia toma relevancia, pues e</w:t>
      </w:r>
      <w:r>
        <w:rPr>
          <w:rFonts w:ascii="Palatino Linotype" w:eastAsia="Palatino Linotype" w:hAnsi="Palatino Linotype" w:cs="Palatino Linotype"/>
          <w:sz w:val="22"/>
          <w:szCs w:val="22"/>
        </w:rPr>
        <w:t xml:space="preserve">s necesario recordar que la persona Recurrente solicitó la información tal como se entregaba al Órgano Superior de Fiscalización, sin embargo, a la fecha de presentación de la solicitud y del Recurso de Revisión, no se habían emitido los Lineamientos para </w:t>
      </w:r>
      <w:r>
        <w:rPr>
          <w:rFonts w:ascii="Palatino Linotype" w:eastAsia="Palatino Linotype" w:hAnsi="Palatino Linotype" w:cs="Palatino Linotype"/>
          <w:sz w:val="22"/>
          <w:szCs w:val="22"/>
        </w:rPr>
        <w:t>los trimestres del presente año; lo cual se acredita, pues el primero de abril de dos mil veinticinco, el Órgano Superior de Fiscalización del Estado de México, emitido el Acuerdo 7/2025, por el cual se emiten los Lineamientos para la integración y present</w:t>
      </w:r>
      <w:r>
        <w:rPr>
          <w:rFonts w:ascii="Palatino Linotype" w:eastAsia="Palatino Linotype" w:hAnsi="Palatino Linotype" w:cs="Palatino Linotype"/>
          <w:sz w:val="22"/>
          <w:szCs w:val="22"/>
        </w:rPr>
        <w:t>ación de los Informes Trimestrales Estatales y Municipales del Ejercicio Fiscal dos mil veinticinco.</w:t>
      </w:r>
    </w:p>
    <w:p w14:paraId="3FC3E93A" w14:textId="77777777" w:rsidR="00A4751E" w:rsidRDefault="00A4751E">
      <w:pPr>
        <w:tabs>
          <w:tab w:val="left" w:pos="4962"/>
        </w:tabs>
        <w:spacing w:line="360" w:lineRule="auto"/>
        <w:jc w:val="both"/>
        <w:rPr>
          <w:rFonts w:ascii="Palatino Linotype" w:eastAsia="Palatino Linotype" w:hAnsi="Palatino Linotype" w:cs="Palatino Linotype"/>
          <w:sz w:val="22"/>
          <w:szCs w:val="22"/>
        </w:rPr>
      </w:pPr>
    </w:p>
    <w:p w14:paraId="59D7245E" w14:textId="77777777" w:rsidR="00A4751E" w:rsidRDefault="00B74A6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otras palabras, a partir del dos de abril de dos mil veinticinco, los Sujetos Obligados estaban en posibilidades en generar los formatos requeridos por</w:t>
      </w:r>
      <w:r>
        <w:rPr>
          <w:rFonts w:ascii="Palatino Linotype" w:eastAsia="Palatino Linotype" w:hAnsi="Palatino Linotype" w:cs="Palatino Linotype"/>
          <w:sz w:val="22"/>
          <w:szCs w:val="22"/>
        </w:rPr>
        <w:t xml:space="preserve"> el Órgano Superior de Fiscalización del Estado de México, situación que no es del conocimiento del Particular, al no ser perito en la materia; por lo que, se considera que en el presente caso, para atender el requerimiento de información, el Sujeto Obliga</w:t>
      </w:r>
      <w:r>
        <w:rPr>
          <w:rFonts w:ascii="Palatino Linotype" w:eastAsia="Palatino Linotype" w:hAnsi="Palatino Linotype" w:cs="Palatino Linotype"/>
          <w:sz w:val="22"/>
          <w:szCs w:val="22"/>
        </w:rPr>
        <w:t>do deberá entregar la nómina, tal y como la haya generado.</w:t>
      </w:r>
    </w:p>
    <w:p w14:paraId="2D9B233C" w14:textId="77777777" w:rsidR="00A4751E" w:rsidRDefault="00A4751E">
      <w:pPr>
        <w:spacing w:line="360" w:lineRule="auto"/>
        <w:jc w:val="both"/>
        <w:rPr>
          <w:rFonts w:ascii="Palatino Linotype" w:eastAsia="Palatino Linotype" w:hAnsi="Palatino Linotype" w:cs="Palatino Linotype"/>
          <w:sz w:val="22"/>
          <w:szCs w:val="22"/>
        </w:rPr>
      </w:pPr>
    </w:p>
    <w:p w14:paraId="33A37CA7" w14:textId="77777777" w:rsidR="00A4751E" w:rsidRDefault="00B74A65">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D</w:t>
      </w:r>
      <w:r>
        <w:rPr>
          <w:rFonts w:ascii="Palatino Linotype" w:eastAsia="Palatino Linotype" w:hAnsi="Palatino Linotype" w:cs="Palatino Linotype"/>
          <w:color w:val="000000"/>
          <w:sz w:val="22"/>
          <w:szCs w:val="22"/>
        </w:rPr>
        <w:t>icha situación toma sustento en el artículo 12 de la Ley de Transparencia y Acceso a la Información Pública del Estado de México y Municipios, que establece que los Sujetos Obligados sólo están c</w:t>
      </w:r>
      <w:r>
        <w:rPr>
          <w:rFonts w:ascii="Palatino Linotype" w:eastAsia="Palatino Linotype" w:hAnsi="Palatino Linotype" w:cs="Palatino Linotype"/>
          <w:color w:val="000000"/>
          <w:sz w:val="22"/>
          <w:szCs w:val="22"/>
        </w:rPr>
        <w:t>onstreñidos a proporcionar la información pública que obre en sus archivos, en el estado en que esta se encuentre; por lo que, la entrega no comprende el procesamiento de esta, ni presentarla conforme al interés del Solicitante.</w:t>
      </w:r>
    </w:p>
    <w:p w14:paraId="21F1F3ED"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A279C18" w14:textId="77777777" w:rsidR="00A4751E" w:rsidRDefault="00B74A65">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esta manera, el derecho</w:t>
      </w:r>
      <w:r>
        <w:rPr>
          <w:rFonts w:ascii="Palatino Linotype" w:eastAsia="Palatino Linotype" w:hAnsi="Palatino Linotype" w:cs="Palatino Linotype"/>
          <w:color w:val="000000"/>
          <w:sz w:val="22"/>
          <w:szCs w:val="22"/>
        </w:rPr>
        <w:t xml:space="preserve"> de acceso a la información pública se satisface en aquellos casos en que se entregue el soporte documental en el que conste la información solicitada, sin necesidad </w:t>
      </w:r>
      <w:r>
        <w:rPr>
          <w:rFonts w:ascii="Palatino Linotype" w:eastAsia="Palatino Linotype" w:hAnsi="Palatino Linotype" w:cs="Palatino Linotype"/>
          <w:color w:val="000000"/>
          <w:sz w:val="22"/>
          <w:szCs w:val="22"/>
        </w:rPr>
        <w:lastRenderedPageBreak/>
        <w:t xml:space="preserve">de elaborar documentos </w:t>
      </w:r>
      <w:r>
        <w:rPr>
          <w:rFonts w:ascii="Palatino Linotype" w:eastAsia="Palatino Linotype" w:hAnsi="Palatino Linotype" w:cs="Palatino Linotype"/>
          <w:i/>
          <w:color w:val="000000"/>
          <w:sz w:val="22"/>
          <w:szCs w:val="22"/>
        </w:rPr>
        <w:t>ad hoc</w:t>
      </w:r>
      <w:r>
        <w:rPr>
          <w:rFonts w:ascii="Palatino Linotype" w:eastAsia="Palatino Linotype" w:hAnsi="Palatino Linotype" w:cs="Palatino Linotype"/>
          <w:color w:val="000000"/>
          <w:sz w:val="22"/>
          <w:szCs w:val="22"/>
        </w:rPr>
        <w:t>; lo cual, de conformidad con en el artículo 160 de la Ley de</w:t>
      </w:r>
      <w:r>
        <w:rPr>
          <w:rFonts w:ascii="Palatino Linotype" w:eastAsia="Palatino Linotype" w:hAnsi="Palatino Linotype" w:cs="Palatino Linotype"/>
          <w:color w:val="000000"/>
          <w:sz w:val="22"/>
          <w:szCs w:val="22"/>
        </w:rPr>
        <w:t xml:space="preserve"> Transparencia y Acceso a la Información Pública del Estado de México y Municipios, el cual refiere que los sujetos obligados deberán entregar la información que obre en sus archivos. </w:t>
      </w:r>
    </w:p>
    <w:p w14:paraId="3C9C2C1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E556E36"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tales circunstancias, se concluye que los sujetos obligados únicame</w:t>
      </w:r>
      <w:r>
        <w:rPr>
          <w:rFonts w:ascii="Palatino Linotype" w:eastAsia="Palatino Linotype" w:hAnsi="Palatino Linotype" w:cs="Palatino Linotype"/>
          <w:color w:val="000000"/>
          <w:sz w:val="22"/>
          <w:szCs w:val="22"/>
        </w:rPr>
        <w:t>nte se encuentran constreñidos a proporcionar los documentos que den cuenta de la información solicitada, como obren en sus archivos, sin tener que elaborarlos a las necesidades del Recurrente; por lo que, en el presente caso, deberá proporcionar la nómina</w:t>
      </w:r>
      <w:r>
        <w:rPr>
          <w:rFonts w:ascii="Palatino Linotype" w:eastAsia="Palatino Linotype" w:hAnsi="Palatino Linotype" w:cs="Palatino Linotype"/>
          <w:color w:val="000000"/>
          <w:sz w:val="22"/>
          <w:szCs w:val="22"/>
        </w:rPr>
        <w:t xml:space="preserve"> de las tres quincenas requeridas.</w:t>
      </w:r>
    </w:p>
    <w:p w14:paraId="3E71FC5D" w14:textId="77777777" w:rsidR="00A4751E" w:rsidRDefault="00A4751E">
      <w:pPr>
        <w:spacing w:line="360" w:lineRule="auto"/>
        <w:jc w:val="both"/>
        <w:rPr>
          <w:rFonts w:ascii="Palatino Linotype" w:eastAsia="Palatino Linotype" w:hAnsi="Palatino Linotype" w:cs="Palatino Linotype"/>
          <w:sz w:val="22"/>
          <w:szCs w:val="22"/>
        </w:rPr>
      </w:pPr>
    </w:p>
    <w:p w14:paraId="35EB4118"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de manera enunciativa más no limitativa, la documentación que da cuenta de lo solicitado pudiera contener los siguientes datos:</w:t>
      </w:r>
    </w:p>
    <w:p w14:paraId="1D2D103C"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4D49175" w14:textId="77777777" w:rsidR="00A4751E" w:rsidRDefault="00B74A6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Clave Única de Registro de Población (CURP); </w:t>
      </w:r>
    </w:p>
    <w:p w14:paraId="49DD102B" w14:textId="77777777" w:rsidR="00A4751E" w:rsidRDefault="00B74A6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Registro Federal de Contribuyentes del servidor público (RFC); </w:t>
      </w:r>
    </w:p>
    <w:p w14:paraId="40C21338" w14:textId="77777777" w:rsidR="00A4751E" w:rsidRDefault="00B74A6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Número de seguridad social del Instituto de Seguridad Social del Estado de México y Municipios, y</w:t>
      </w:r>
    </w:p>
    <w:p w14:paraId="70681DC3" w14:textId="77777777" w:rsidR="00A4751E" w:rsidRDefault="00B74A6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Deducciones personales.</w:t>
      </w:r>
    </w:p>
    <w:p w14:paraId="654ABA8C"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EE37EAC"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resulta procedente analizar si dichos datos son públicos </w:t>
      </w:r>
      <w:r>
        <w:rPr>
          <w:rFonts w:ascii="Palatino Linotype" w:eastAsia="Palatino Linotype" w:hAnsi="Palatino Linotype" w:cs="Palatino Linotype"/>
          <w:color w:val="000000"/>
          <w:sz w:val="22"/>
          <w:szCs w:val="22"/>
        </w:rPr>
        <w:t>o privados; en principio, cabe mencionar que el artículo 143, fracción I, de la Ley de Transparencia y Acceso a la Información Pública del Estado de México y Municipios, establece que la información privada y los datos personales, concernientes a una perso</w:t>
      </w:r>
      <w:r>
        <w:rPr>
          <w:rFonts w:ascii="Palatino Linotype" w:eastAsia="Palatino Linotype" w:hAnsi="Palatino Linotype" w:cs="Palatino Linotype"/>
          <w:color w:val="000000"/>
          <w:sz w:val="22"/>
          <w:szCs w:val="22"/>
        </w:rPr>
        <w:t>na física o jurídica colectiva identificada o identificable son confidenciales.</w:t>
      </w:r>
    </w:p>
    <w:p w14:paraId="787F8950"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FC3B394"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Asimismo, el artículo 145 de la Ley de Transparencia y Acceso a la Información Pública del Estado de México y Municipios, prevé que para que los Sujetos Obligados puedan permi</w:t>
      </w:r>
      <w:r>
        <w:rPr>
          <w:rFonts w:ascii="Palatino Linotype" w:eastAsia="Palatino Linotype" w:hAnsi="Palatino Linotype" w:cs="Palatino Linotype"/>
          <w:color w:val="000000"/>
          <w:sz w:val="22"/>
          <w:szCs w:val="22"/>
        </w:rPr>
        <w:t>tir el acceso a la información confidencial, requieren obtener el consentimiento de los particulares titulares de la información, excepto cuando i) la información se encuentre en registros públicos o fuentes de acceso público, ii) por ley tenga el carácter</w:t>
      </w:r>
      <w:r>
        <w:rPr>
          <w:rFonts w:ascii="Palatino Linotype" w:eastAsia="Palatino Linotype" w:hAnsi="Palatino Linotype" w:cs="Palatino Linotype"/>
          <w:color w:val="000000"/>
          <w:sz w:val="22"/>
          <w:szCs w:val="22"/>
        </w:rPr>
        <w:t xml:space="preserve"> de pública, iii) exista una orden judicial, iv) por razones de seguridad nacional y salubridad general o v) para proteger los derechos de terceros o cuando se transmita entre sujetos obligados en términos de los tratados y los acuerdos interinstitucionale</w:t>
      </w:r>
      <w:r>
        <w:rPr>
          <w:rFonts w:ascii="Palatino Linotype" w:eastAsia="Palatino Linotype" w:hAnsi="Palatino Linotype" w:cs="Palatino Linotype"/>
          <w:color w:val="000000"/>
          <w:sz w:val="22"/>
          <w:szCs w:val="22"/>
        </w:rPr>
        <w:t>s.</w:t>
      </w:r>
    </w:p>
    <w:p w14:paraId="21CD15CD"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3CA1590"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términos de lo expuesto, la documentación y aquellos datos que se consideren confidenciales, serán una limitante del derecho de acceso a la información, siempre y cuando:</w:t>
      </w:r>
    </w:p>
    <w:p w14:paraId="0AAA2915"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CF6B018" w14:textId="77777777" w:rsidR="00A4751E" w:rsidRDefault="00B74A6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trate de datos personales o información privada; esto es, información conc</w:t>
      </w:r>
      <w:r>
        <w:rPr>
          <w:rFonts w:ascii="Palatino Linotype" w:eastAsia="Palatino Linotype" w:hAnsi="Palatino Linotype" w:cs="Palatino Linotype"/>
          <w:color w:val="000000"/>
          <w:sz w:val="22"/>
          <w:szCs w:val="22"/>
        </w:rPr>
        <w:t xml:space="preserve">erniente a una persona física o jurídico colectiva y que esta sea identificada o identificable. </w:t>
      </w:r>
    </w:p>
    <w:p w14:paraId="5ECE5BAA"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2D9F6585" w14:textId="77777777" w:rsidR="00A4751E" w:rsidRDefault="00B74A6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la difusión de los datos, se requiera el consentimiento del titular.</w:t>
      </w:r>
    </w:p>
    <w:p w14:paraId="57067436" w14:textId="77777777" w:rsidR="00A4751E" w:rsidRDefault="00A4751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2DA50DBD"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orden de ideas, de conformidad con el artículo 3°, fracción IX, de la Ley de</w:t>
      </w:r>
      <w:r>
        <w:rPr>
          <w:rFonts w:ascii="Palatino Linotype" w:eastAsia="Palatino Linotype" w:hAnsi="Palatino Linotype" w:cs="Palatino Linotype"/>
          <w:color w:val="000000"/>
          <w:sz w:val="22"/>
          <w:szCs w:val="22"/>
        </w:rPr>
        <w:t xml:space="preserve"> Transparencia y Acceso a la Información Pública del Estado de México y Municipios, con relación el diverso 4°, fracciones XI y XII, de la Ley de Protección de Datos Personales en Posesión de Sujetos Obligados del Estado de México y Municipios, se advierte</w:t>
      </w:r>
      <w:r>
        <w:rPr>
          <w:rFonts w:ascii="Palatino Linotype" w:eastAsia="Palatino Linotype" w:hAnsi="Palatino Linotype" w:cs="Palatino Linotype"/>
          <w:color w:val="000000"/>
          <w:sz w:val="22"/>
          <w:szCs w:val="22"/>
        </w:rPr>
        <w:t xml:space="preserve"> que son datos personales, la información concerniente a una persona física o jurídico colectiva identificada o identificable (cuando su identidad pueda determinarse directa o indirectamente a través de cualquier documento informativo físico o electrónico)</w:t>
      </w:r>
      <w:r>
        <w:rPr>
          <w:rFonts w:ascii="Palatino Linotype" w:eastAsia="Palatino Linotype" w:hAnsi="Palatino Linotype" w:cs="Palatino Linotype"/>
          <w:color w:val="000000"/>
          <w:sz w:val="22"/>
          <w:szCs w:val="22"/>
        </w:rPr>
        <w:t>, establecida en cualquier formato o modalidad.</w:t>
      </w:r>
    </w:p>
    <w:p w14:paraId="300CE87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A402BFF"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Bajo ese contexto, se analizarán si los datos mencionados, deben ser considerados confidenciales, en términos del artículo 143, fracción I, de la Ley de Transparencia y Acceso a la Información Pública del Es</w:t>
      </w:r>
      <w:r>
        <w:rPr>
          <w:rFonts w:ascii="Palatino Linotype" w:eastAsia="Palatino Linotype" w:hAnsi="Palatino Linotype" w:cs="Palatino Linotype"/>
          <w:color w:val="000000"/>
          <w:sz w:val="22"/>
          <w:szCs w:val="22"/>
        </w:rPr>
        <w:t>tado de México y Municipios, o públicos.</w:t>
      </w:r>
    </w:p>
    <w:p w14:paraId="0AE4CA01"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06263F4A" w14:textId="77777777" w:rsidR="00A4751E" w:rsidRDefault="00B74A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Clave Única de Registro de Población (CURP)</w:t>
      </w:r>
    </w:p>
    <w:p w14:paraId="0456B2D5" w14:textId="77777777" w:rsidR="00A4751E" w:rsidRDefault="00A4751E">
      <w:pPr>
        <w:spacing w:line="360" w:lineRule="auto"/>
        <w:jc w:val="both"/>
        <w:rPr>
          <w:rFonts w:ascii="Palatino Linotype" w:eastAsia="Palatino Linotype" w:hAnsi="Palatino Linotype" w:cs="Palatino Linotype"/>
          <w:b/>
          <w:color w:val="000000"/>
          <w:sz w:val="22"/>
          <w:szCs w:val="22"/>
        </w:rPr>
      </w:pPr>
    </w:p>
    <w:p w14:paraId="0D174AA8"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artículo 36 de la Constitución Política de los Estados Unidos Mexicanos, dispone la obligación de los ciudadanos de inscribirse en el Registro Nacional de Ciudadanos;</w:t>
      </w:r>
      <w:r>
        <w:rPr>
          <w:rFonts w:ascii="Palatino Linotype" w:eastAsia="Palatino Linotype" w:hAnsi="Palatino Linotype" w:cs="Palatino Linotype"/>
          <w:color w:val="000000"/>
          <w:sz w:val="22"/>
          <w:szCs w:val="22"/>
        </w:rPr>
        <w:t xml:space="preserve"> además, el diverso 85 de la Ley General de Población, prevé que corresponde a la Secretaría de Gobernación el registro y acreditación de la identidad de todas las personas residentes en el país y de los nacionales que residan en el extranjero.</w:t>
      </w:r>
    </w:p>
    <w:p w14:paraId="5197C820"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6E55D33"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Acorde con</w:t>
      </w:r>
      <w:r>
        <w:rPr>
          <w:rFonts w:ascii="Palatino Linotype" w:eastAsia="Palatino Linotype" w:hAnsi="Palatino Linotype" w:cs="Palatino Linotype"/>
          <w:color w:val="000000"/>
          <w:sz w:val="22"/>
          <w:szCs w:val="22"/>
        </w:rPr>
        <w:t xml:space="preserve"> lo anterior, el artículo 22 del Reglamento Interior de la Secretaría de Gobernación, establece en su fracción III, que la Dirección General del Registro Nacional de Población e Identificación Personal tiene la atribución de asignar y depurar la Clave Únic</w:t>
      </w:r>
      <w:r>
        <w:rPr>
          <w:rFonts w:ascii="Palatino Linotype" w:eastAsia="Palatino Linotype" w:hAnsi="Palatino Linotype" w:cs="Palatino Linotype"/>
          <w:color w:val="000000"/>
          <w:sz w:val="22"/>
          <w:szCs w:val="22"/>
        </w:rPr>
        <w:t>a de Registro de Población a todas las personas residentes en el país, así como a los mexicanos que residan en el extranjero.</w:t>
      </w:r>
    </w:p>
    <w:p w14:paraId="683544BE"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E9B1758"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la Secretaría de Gobernación en las direcciones </w:t>
      </w:r>
      <w:hyperlink r:id="rId10">
        <w:r>
          <w:rPr>
            <w:rFonts w:ascii="Palatino Linotype" w:eastAsia="Palatino Linotype" w:hAnsi="Palatino Linotype" w:cs="Palatino Linotype"/>
            <w:color w:val="0563C1"/>
            <w:sz w:val="22"/>
            <w:szCs w:val="22"/>
            <w:u w:val="single"/>
          </w:rPr>
          <w:t>https://consultas.curp.gob.mx/CurpSP/html/informacionecurpPS.html</w:t>
        </w:r>
      </w:hyperlink>
      <w:r>
        <w:rPr>
          <w:rFonts w:ascii="Palatino Linotype" w:eastAsia="Palatino Linotype" w:hAnsi="Palatino Linotype" w:cs="Palatino Linotype"/>
          <w:color w:val="000000"/>
          <w:sz w:val="22"/>
          <w:szCs w:val="22"/>
        </w:rPr>
        <w:t xml:space="preserve">  y </w:t>
      </w:r>
      <w:hyperlink r:id="rId11">
        <w:r>
          <w:rPr>
            <w:rFonts w:ascii="Palatino Linotype" w:eastAsia="Palatino Linotype" w:hAnsi="Palatino Linotype" w:cs="Palatino Linotype"/>
            <w:color w:val="0563C1"/>
            <w:sz w:val="22"/>
            <w:szCs w:val="22"/>
            <w:u w:val="single"/>
          </w:rPr>
          <w:t>https://www.gob.mx/segob/renapo/acciones</w:t>
        </w:r>
        <w:r>
          <w:rPr>
            <w:rFonts w:ascii="Palatino Linotype" w:eastAsia="Palatino Linotype" w:hAnsi="Palatino Linotype" w:cs="Palatino Linotype"/>
            <w:color w:val="0563C1"/>
            <w:sz w:val="22"/>
            <w:szCs w:val="22"/>
            <w:u w:val="single"/>
          </w:rPr>
          <w:t>-y-programas/clave-unica-de-registro-depoblacion-curp-142226</w:t>
        </w:r>
      </w:hyperlink>
      <w:r>
        <w:rPr>
          <w:rFonts w:ascii="Palatino Linotype" w:eastAsia="Palatino Linotype" w:hAnsi="Palatino Linotype" w:cs="Palatino Linotype"/>
          <w:color w:val="000000"/>
          <w:sz w:val="22"/>
          <w:szCs w:val="22"/>
        </w:rPr>
        <w:t xml:space="preserve">  (consultadas el veinticinco de febrero de dos mil veinticinco), estableció que la Clave Única del Registro de Población, es un instrumento de registro que se asigna a todas las personas que vive</w:t>
      </w:r>
      <w:r>
        <w:rPr>
          <w:rFonts w:ascii="Palatino Linotype" w:eastAsia="Palatino Linotype" w:hAnsi="Palatino Linotype" w:cs="Palatino Linotype"/>
          <w:color w:val="000000"/>
          <w:sz w:val="22"/>
          <w:szCs w:val="22"/>
        </w:rPr>
        <w:t xml:space="preserve">n en el territorio nacional, así como a los mexicanos que </w:t>
      </w:r>
      <w:r>
        <w:rPr>
          <w:rFonts w:ascii="Palatino Linotype" w:eastAsia="Palatino Linotype" w:hAnsi="Palatino Linotype" w:cs="Palatino Linotype"/>
          <w:color w:val="000000"/>
          <w:sz w:val="22"/>
          <w:szCs w:val="22"/>
        </w:rPr>
        <w:lastRenderedPageBreak/>
        <w:t xml:space="preserve">residen en el extranjero y se compone de dieciocho elementos, representados por letras y números, que se </w:t>
      </w:r>
      <w:r>
        <w:rPr>
          <w:rFonts w:ascii="Palatino Linotype" w:eastAsia="Palatino Linotype" w:hAnsi="Palatino Linotype" w:cs="Palatino Linotype"/>
          <w:b/>
          <w:color w:val="000000"/>
          <w:sz w:val="22"/>
          <w:szCs w:val="22"/>
        </w:rPr>
        <w:t>generan a partir de los datos contenidos en el documento probatorio de la identidad del inter</w:t>
      </w:r>
      <w:r>
        <w:rPr>
          <w:rFonts w:ascii="Palatino Linotype" w:eastAsia="Palatino Linotype" w:hAnsi="Palatino Linotype" w:cs="Palatino Linotype"/>
          <w:b/>
          <w:color w:val="000000"/>
          <w:sz w:val="22"/>
          <w:szCs w:val="22"/>
        </w:rPr>
        <w:t xml:space="preserve">esado </w:t>
      </w:r>
      <w:r>
        <w:rPr>
          <w:rFonts w:ascii="Palatino Linotype" w:eastAsia="Palatino Linotype" w:hAnsi="Palatino Linotype" w:cs="Palatino Linotype"/>
          <w:color w:val="000000"/>
          <w:sz w:val="22"/>
          <w:szCs w:val="22"/>
        </w:rPr>
        <w:t>(acta de nacimiento, carta de naturalización o documento migratorio) de la siguiente forma:</w:t>
      </w:r>
    </w:p>
    <w:p w14:paraId="7EDB8180"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6041957" w14:textId="77777777" w:rsidR="00A4751E" w:rsidRDefault="00B74A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primero y segundo apellidos, así como al nombre de pila; </w:t>
      </w:r>
    </w:p>
    <w:p w14:paraId="264CF29A" w14:textId="77777777" w:rsidR="00A4751E" w:rsidRDefault="00B74A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fecha de nacimiento; </w:t>
      </w:r>
    </w:p>
    <w:p w14:paraId="7103C92C" w14:textId="77777777" w:rsidR="00A4751E" w:rsidRDefault="00B74A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sexo, y </w:t>
      </w:r>
    </w:p>
    <w:p w14:paraId="394984E9" w14:textId="77777777" w:rsidR="00A4751E" w:rsidRDefault="00B74A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entidad federativa de nacimiento.</w:t>
      </w:r>
    </w:p>
    <w:p w14:paraId="547CB616"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F6242DB"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dos últimos </w:t>
      </w:r>
      <w:r>
        <w:rPr>
          <w:rFonts w:ascii="Palatino Linotype" w:eastAsia="Palatino Linotype" w:hAnsi="Palatino Linotype" w:cs="Palatino Linotype"/>
          <w:color w:val="000000"/>
          <w:sz w:val="22"/>
          <w:szCs w:val="22"/>
        </w:rPr>
        <w:t>elementos de la Clave Única de Registro de Población evitan la duplicidad de la Clave y garantizan su correcta integración.</w:t>
      </w:r>
    </w:p>
    <w:p w14:paraId="07ABB5BC"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167AF88"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Como se desprende de lo anterior, la Clave Única de Registro de Población es un dato personal confidencial, ya que por sí sola brin</w:t>
      </w:r>
      <w:r>
        <w:rPr>
          <w:rFonts w:ascii="Palatino Linotype" w:eastAsia="Palatino Linotype" w:hAnsi="Palatino Linotype" w:cs="Palatino Linotype"/>
          <w:color w:val="000000"/>
          <w:sz w:val="22"/>
          <w:szCs w:val="22"/>
        </w:rPr>
        <w:t>da información personal de su titular y lo hace identificado e identificable, motivo por el cual se aprueba su eliminación de las versiones públicas, ya que además no guarda relación con el desempeño laboral de un individuo, simplemente se trata de un trám</w:t>
      </w:r>
      <w:r>
        <w:rPr>
          <w:rFonts w:ascii="Palatino Linotype" w:eastAsia="Palatino Linotype" w:hAnsi="Palatino Linotype" w:cs="Palatino Linotype"/>
          <w:color w:val="000000"/>
          <w:sz w:val="22"/>
          <w:szCs w:val="22"/>
        </w:rPr>
        <w:t>ite administrativo requerido por la autoridad federal para hacer identificables a las personas.</w:t>
      </w:r>
    </w:p>
    <w:p w14:paraId="61C5E41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FCD72CB"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Situación que se robustece, con el Criterio Orientador, con número de registro SO/018/2017, emitido por el entonces Instituto Nacional de Transparencia, Acceso</w:t>
      </w:r>
      <w:r>
        <w:rPr>
          <w:rFonts w:ascii="Palatino Linotype" w:eastAsia="Palatino Linotype" w:hAnsi="Palatino Linotype" w:cs="Palatino Linotype"/>
          <w:color w:val="000000"/>
          <w:sz w:val="22"/>
          <w:szCs w:val="22"/>
        </w:rPr>
        <w:t xml:space="preserve"> a la Información y Protección de Datos Personales, vigente a la fecha de la solicitud, que establece lo siguiente:</w:t>
      </w:r>
    </w:p>
    <w:p w14:paraId="07B9C76B"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D23F61C" w14:textId="77777777" w:rsidR="00A4751E" w:rsidRDefault="00B74A65">
      <w:pPr>
        <w:tabs>
          <w:tab w:val="left" w:pos="4667"/>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“Clave Única de Registro de Población (CURP).</w:t>
      </w:r>
      <w:r>
        <w:rPr>
          <w:rFonts w:ascii="Palatino Linotype" w:eastAsia="Palatino Linotype" w:hAnsi="Palatino Linotype" w:cs="Palatino Linotype"/>
          <w:i/>
          <w:color w:val="000000"/>
        </w:rPr>
        <w:t xml:space="preserve"> La Clave Única de Registro de Población se integra por datos personales que sólo conciernen al particular titular de la misma, como lo son su nombre, apellidos, fecha de nacimiento, lugar de nacimiento y sexo. Dichos datos, constituyen información que dis</w:t>
      </w:r>
      <w:r>
        <w:rPr>
          <w:rFonts w:ascii="Palatino Linotype" w:eastAsia="Palatino Linotype" w:hAnsi="Palatino Linotype" w:cs="Palatino Linotype"/>
          <w:i/>
          <w:color w:val="000000"/>
        </w:rPr>
        <w:t>tingue plenamente a una persona física del resto de los habitantes del país, por lo que la CURP está considerada como información confidencial.”</w:t>
      </w:r>
    </w:p>
    <w:p w14:paraId="67A590B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5AEE3E6"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acuerdo con lo anterior, resulta procedente la clasificación de la Clave Única de Registro de Población, po</w:t>
      </w:r>
      <w:r>
        <w:rPr>
          <w:rFonts w:ascii="Palatino Linotype" w:eastAsia="Palatino Linotype" w:hAnsi="Palatino Linotype" w:cs="Palatino Linotype"/>
          <w:color w:val="000000"/>
          <w:sz w:val="22"/>
          <w:szCs w:val="22"/>
        </w:rPr>
        <w:t>r tratarse de un dato personal confidencial, en términos del artículo 143, fracción I, de la Ley de Transparencia y Acceso a la Información Pública del Estado de México y Municipios.</w:t>
      </w:r>
    </w:p>
    <w:p w14:paraId="3169D9B4"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4D19E7D" w14:textId="77777777" w:rsidR="00A4751E" w:rsidRDefault="00B74A65">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Registro Federal de Contribuyentes (RFC)</w:t>
      </w:r>
    </w:p>
    <w:p w14:paraId="38BA01EB"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2E86C69"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cabe precisar que</w:t>
      </w:r>
      <w:r>
        <w:rPr>
          <w:rFonts w:ascii="Palatino Linotype" w:eastAsia="Palatino Linotype" w:hAnsi="Palatino Linotype" w:cs="Palatino Linotype"/>
          <w:color w:val="000000"/>
          <w:sz w:val="22"/>
          <w:szCs w:val="22"/>
        </w:rPr>
        <w:t xml:space="preserve"> las personas físicas que deban presentar declaraciones periódicas o que están obligadas a expedir comprobantes fiscales, tienen que solicitar su inscripción en el Registro Federal de Contribuyentes, esta inscripción es realizada por el Servicio de Adminis</w:t>
      </w:r>
      <w:r>
        <w:rPr>
          <w:rFonts w:ascii="Palatino Linotype" w:eastAsia="Palatino Linotype" w:hAnsi="Palatino Linotype" w:cs="Palatino Linotype"/>
          <w:color w:val="000000"/>
          <w:sz w:val="22"/>
          <w:szCs w:val="22"/>
        </w:rPr>
        <w:t>tración Tributaria, quien entrega una cédula de identificación fiscal en donde consta la clave que asigna este órgano desconcentrado de la Secretaría de Hacienda y Crédito Público, de acuerdo al artículo 27 del Código Fiscal de la Federación.</w:t>
      </w:r>
    </w:p>
    <w:p w14:paraId="3993E265"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acuerdo a </w:t>
      </w:r>
      <w:r>
        <w:rPr>
          <w:rFonts w:ascii="Palatino Linotype" w:eastAsia="Palatino Linotype" w:hAnsi="Palatino Linotype" w:cs="Palatino Linotype"/>
          <w:color w:val="000000"/>
          <w:sz w:val="22"/>
          <w:szCs w:val="22"/>
        </w:rPr>
        <w:t xml:space="preserve">lo establecido en el artículo en comento, esta clave se compone de trece caracteres alfanuméricos, con datos obtenidos de los apellidos, nombre(s), fecha de nacimiento del titular, más una </w:t>
      </w:r>
      <w:proofErr w:type="spellStart"/>
      <w:r>
        <w:rPr>
          <w:rFonts w:ascii="Palatino Linotype" w:eastAsia="Palatino Linotype" w:hAnsi="Palatino Linotype" w:cs="Palatino Linotype"/>
          <w:color w:val="000000"/>
          <w:sz w:val="22"/>
          <w:szCs w:val="22"/>
        </w:rPr>
        <w:t>homoclave</w:t>
      </w:r>
      <w:proofErr w:type="spellEnd"/>
      <w:r>
        <w:rPr>
          <w:rFonts w:ascii="Palatino Linotype" w:eastAsia="Palatino Linotype" w:hAnsi="Palatino Linotype" w:cs="Palatino Linotype"/>
          <w:color w:val="000000"/>
          <w:sz w:val="22"/>
          <w:szCs w:val="22"/>
        </w:rPr>
        <w:t xml:space="preserve"> que establece el sistema automático del Servicio de Admin</w:t>
      </w:r>
      <w:r>
        <w:rPr>
          <w:rFonts w:ascii="Palatino Linotype" w:eastAsia="Palatino Linotype" w:hAnsi="Palatino Linotype" w:cs="Palatino Linotype"/>
          <w:color w:val="000000"/>
          <w:sz w:val="22"/>
          <w:szCs w:val="22"/>
        </w:rPr>
        <w:t>istración Tributaria.</w:t>
      </w:r>
    </w:p>
    <w:p w14:paraId="796105E5"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1A2C0DCB"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w:t>
      </w:r>
      <w:r>
        <w:rPr>
          <w:rFonts w:ascii="Palatino Linotype" w:eastAsia="Palatino Linotype" w:hAnsi="Palatino Linotype" w:cs="Palatino Linotype"/>
          <w:color w:val="000000"/>
          <w:sz w:val="22"/>
          <w:szCs w:val="22"/>
        </w:rPr>
        <w:t>as obligaciones fiscales de los contribuyentes; mientras que los particulares tramitan dicho dato, con el único propósito de realizar mediante esa clave de identificación, operaciones o actividades de naturaleza fiscal.</w:t>
      </w:r>
    </w:p>
    <w:p w14:paraId="2719D1EE"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24975F3F"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el Registro Federal de Contrib</w:t>
      </w:r>
      <w:r>
        <w:rPr>
          <w:rFonts w:ascii="Palatino Linotype" w:eastAsia="Palatino Linotype" w:hAnsi="Palatino Linotype" w:cs="Palatino Linotype"/>
          <w:color w:val="000000"/>
          <w:sz w:val="22"/>
          <w:szCs w:val="22"/>
        </w:rPr>
        <w:t>uyentes, es un dato personal, ya que hace a las personas físicas identificas e identificables, además de que las relaciona como contribuyentes de las autoridades fiscales. Es de destacar que dicho dato únicamente sirve para efectos fiscales y pago de contr</w:t>
      </w:r>
      <w:r>
        <w:rPr>
          <w:rFonts w:ascii="Palatino Linotype" w:eastAsia="Palatino Linotype" w:hAnsi="Palatino Linotype" w:cs="Palatino Linotype"/>
          <w:color w:val="000000"/>
          <w:sz w:val="22"/>
          <w:szCs w:val="22"/>
        </w:rPr>
        <w:t xml:space="preserve">ibuciones, por lo que se trata de un dato relevante únicamente para las personas involucrada, en el pago de estos, en el presente caso, del pago del Impuesto Sobre el Producto del Trabajo. </w:t>
      </w:r>
    </w:p>
    <w:p w14:paraId="5E2DA7C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188BABAF"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resulta congruente con el Criterio Orientador, con n</w:t>
      </w:r>
      <w:r>
        <w:rPr>
          <w:rFonts w:ascii="Palatino Linotype" w:eastAsia="Palatino Linotype" w:hAnsi="Palatino Linotype" w:cs="Palatino Linotype"/>
          <w:color w:val="000000"/>
          <w:sz w:val="22"/>
          <w:szCs w:val="22"/>
        </w:rPr>
        <w:t>úmero de registro SO/019/2017, emitido por el entonces Instituto Nacional de Transparencia, Acceso a la Información y Protección de Datos Personales, vigente a la fecha de la solicitud, en el cual se señala lo siguiente:</w:t>
      </w:r>
    </w:p>
    <w:p w14:paraId="4146193D"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94309A2"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“Registro Federal de Contribuyente</w:t>
      </w:r>
      <w:r>
        <w:rPr>
          <w:rFonts w:ascii="Palatino Linotype" w:eastAsia="Palatino Linotype" w:hAnsi="Palatino Linotype" w:cs="Palatino Linotype"/>
          <w:b/>
          <w:i/>
          <w:color w:val="000000"/>
        </w:rPr>
        <w:t>s (RFC) de personas físicas.</w:t>
      </w:r>
      <w:r>
        <w:rPr>
          <w:rFonts w:ascii="Palatino Linotype" w:eastAsia="Palatino Linotype" w:hAnsi="Palatino Linotype" w:cs="Palatino Linotype"/>
          <w:i/>
          <w:color w:val="000000"/>
        </w:rPr>
        <w:t xml:space="preserve"> El RFC es una clave de carácter fiscal, única e irrepetible, que permite identificar al titular, su edad y fecha de nacimiento, por lo que es un dato personal de carácter confidencial.”</w:t>
      </w:r>
    </w:p>
    <w:p w14:paraId="5BD568D6"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 suerte, el Registro Federal de Con</w:t>
      </w:r>
      <w:r>
        <w:rPr>
          <w:rFonts w:ascii="Palatino Linotype" w:eastAsia="Palatino Linotype" w:hAnsi="Palatino Linotype" w:cs="Palatino Linotype"/>
          <w:color w:val="000000"/>
          <w:sz w:val="22"/>
          <w:szCs w:val="22"/>
        </w:rPr>
        <w:t xml:space="preserve">tribuyentes de los servidores públicos no guarda relación con la transparencia de los recursos públicos, así como tampoco con el desempeño laboral que pueda tener una persona, por lo que constituye un dato personal confidencial al </w:t>
      </w:r>
      <w:r>
        <w:rPr>
          <w:rFonts w:ascii="Palatino Linotype" w:eastAsia="Palatino Linotype" w:hAnsi="Palatino Linotype" w:cs="Palatino Linotype"/>
          <w:color w:val="000000"/>
          <w:sz w:val="22"/>
          <w:szCs w:val="22"/>
        </w:rPr>
        <w:lastRenderedPageBreak/>
        <w:t>actualizar el supuesto no</w:t>
      </w:r>
      <w:r>
        <w:rPr>
          <w:rFonts w:ascii="Palatino Linotype" w:eastAsia="Palatino Linotype" w:hAnsi="Palatino Linotype" w:cs="Palatino Linotype"/>
          <w:color w:val="000000"/>
          <w:sz w:val="22"/>
          <w:szCs w:val="22"/>
        </w:rPr>
        <w:t>rmativo del artículo 143, fracción I, de la Ley de Transparencia y Acceso a la Información Pública del Estado de México y Municipios.</w:t>
      </w:r>
    </w:p>
    <w:p w14:paraId="2523C38B"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8117141" w14:textId="77777777" w:rsidR="00A4751E" w:rsidRDefault="00B74A65">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Número de seguridad social del Instituto de Seguridad Social del Estado de México y Municipios</w:t>
      </w:r>
    </w:p>
    <w:p w14:paraId="0032A894" w14:textId="77777777" w:rsidR="00A4751E" w:rsidRDefault="00A4751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3279E0B3"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Instituto de Seguridad</w:t>
      </w:r>
      <w:r>
        <w:rPr>
          <w:rFonts w:ascii="Palatino Linotype" w:eastAsia="Palatino Linotype" w:hAnsi="Palatino Linotype" w:cs="Palatino Linotype"/>
          <w:color w:val="000000"/>
          <w:sz w:val="22"/>
          <w:szCs w:val="22"/>
        </w:rPr>
        <w:t xml:space="preserve"> Social del Estado de México y Municipios (ISSEMYM) es el organismo público encargado de proporcionar los servicios de seguridad social a los servidores públicos del Estado de México, con el objetivo de garantizar a los derechohabientes el acceso a las pre</w:t>
      </w:r>
      <w:r>
        <w:rPr>
          <w:rFonts w:ascii="Palatino Linotype" w:eastAsia="Palatino Linotype" w:hAnsi="Palatino Linotype" w:cs="Palatino Linotype"/>
          <w:color w:val="000000"/>
          <w:sz w:val="22"/>
          <w:szCs w:val="22"/>
        </w:rPr>
        <w:t>staciones que otorga, de conformidad con el artículo 14 de la Ley de Seguridad Social para los Servidores Públicos del Estado de México y Municipios.</w:t>
      </w:r>
    </w:p>
    <w:p w14:paraId="08AE0FF2"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18A65B68"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contexto, el artículo 9° del mismo ordenamiento, dispone que el Instituto de Seguridad Social del </w:t>
      </w:r>
      <w:r>
        <w:rPr>
          <w:rFonts w:ascii="Palatino Linotype" w:eastAsia="Palatino Linotype" w:hAnsi="Palatino Linotype" w:cs="Palatino Linotype"/>
          <w:color w:val="000000"/>
          <w:sz w:val="22"/>
          <w:szCs w:val="22"/>
        </w:rPr>
        <w:t>Estado de México y Municipios expedirá documentos de identificación para facilitar el acceso a las prestaciones a que tengan derecho; así, el artículo 158, fracción I del Reglamento de Servicios de Salud del Instituto de Seguridad Social del Estado de Méxi</w:t>
      </w:r>
      <w:r>
        <w:rPr>
          <w:rFonts w:ascii="Palatino Linotype" w:eastAsia="Palatino Linotype" w:hAnsi="Palatino Linotype" w:cs="Palatino Linotype"/>
          <w:color w:val="000000"/>
          <w:sz w:val="22"/>
          <w:szCs w:val="22"/>
        </w:rPr>
        <w:t xml:space="preserve">co y Municipios, establece que es obligación de los derechohabientes tramitar la credencial que los acredite como tal, la cual será de naturaleza personal e intransferible. En esta credencial se consignan diversos datos personales y se le asigna una clave </w:t>
      </w:r>
      <w:r>
        <w:rPr>
          <w:rFonts w:ascii="Palatino Linotype" w:eastAsia="Palatino Linotype" w:hAnsi="Palatino Linotype" w:cs="Palatino Linotype"/>
          <w:color w:val="000000"/>
          <w:sz w:val="22"/>
          <w:szCs w:val="22"/>
        </w:rPr>
        <w:t>para hacer identificable al trabajador con el objetivo de poder proporcionar los servicios que brinda el Instituto de Seguridad Social del Estado de México y Municipios.</w:t>
      </w:r>
    </w:p>
    <w:p w14:paraId="410D69DE"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AA32F42"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Como se advierte, el número del Instituto de Seguridad y Servicios Sociales del Estad</w:t>
      </w:r>
      <w:r>
        <w:rPr>
          <w:rFonts w:ascii="Palatino Linotype" w:eastAsia="Palatino Linotype" w:hAnsi="Palatino Linotype" w:cs="Palatino Linotype"/>
          <w:color w:val="000000"/>
          <w:sz w:val="22"/>
          <w:szCs w:val="22"/>
        </w:rPr>
        <w:t xml:space="preserve">o de México y Municipios, es un dato personal que permite identificar que una persona que trabajó o trabaja en alguna institución pública del Estado de México, por la que tiene o tuvo derecho </w:t>
      </w:r>
      <w:r>
        <w:rPr>
          <w:rFonts w:ascii="Palatino Linotype" w:eastAsia="Palatino Linotype" w:hAnsi="Palatino Linotype" w:cs="Palatino Linotype"/>
          <w:color w:val="000000"/>
          <w:sz w:val="22"/>
          <w:szCs w:val="22"/>
        </w:rPr>
        <w:lastRenderedPageBreak/>
        <w:t>a esta prestación de seguridad social; además, es de destacar qu</w:t>
      </w:r>
      <w:r>
        <w:rPr>
          <w:rFonts w:ascii="Palatino Linotype" w:eastAsia="Palatino Linotype" w:hAnsi="Palatino Linotype" w:cs="Palatino Linotype"/>
          <w:color w:val="000000"/>
          <w:sz w:val="22"/>
          <w:szCs w:val="22"/>
        </w:rPr>
        <w:t>e dicho dato no cambia, aunque el trabajador se dé de baja y alta en diversas ocasiones, con motivo de haber trabajado en diferentes instituciones gubernamentales de la Entidad.</w:t>
      </w:r>
    </w:p>
    <w:p w14:paraId="2158C701"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5D7248A"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sentido, contar con la prestación de seguridad social que brinda el In</w:t>
      </w:r>
      <w:r>
        <w:rPr>
          <w:rFonts w:ascii="Palatino Linotype" w:eastAsia="Palatino Linotype" w:hAnsi="Palatino Linotype" w:cs="Palatino Linotype"/>
          <w:color w:val="000000"/>
          <w:sz w:val="22"/>
          <w:szCs w:val="22"/>
        </w:rPr>
        <w:t>stituto de Seguridad Social del Estado de México y Municipios no es una obligación para entrar a trabajar, por el contrario, es un derecho que se adquiere cuando se ingresa al servicio público, por tal motivo, es un dato personal confidencial, que actualiz</w:t>
      </w:r>
      <w:r>
        <w:rPr>
          <w:rFonts w:ascii="Palatino Linotype" w:eastAsia="Palatino Linotype" w:hAnsi="Palatino Linotype" w:cs="Palatino Linotype"/>
          <w:color w:val="000000"/>
          <w:sz w:val="22"/>
          <w:szCs w:val="22"/>
        </w:rPr>
        <w:t>a el supuesto de confidencialidad, establecido en el artículo 143, fracción I, de la Ley de Transparencia y Acceso a la Información Pública del Estado de México y Municipios.</w:t>
      </w:r>
    </w:p>
    <w:p w14:paraId="09A19E4C"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18428D1F" w14:textId="77777777" w:rsidR="00A4751E" w:rsidRDefault="00B74A65">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Descuentos personales</w:t>
      </w:r>
    </w:p>
    <w:p w14:paraId="4C2CAAFD" w14:textId="77777777" w:rsidR="00A4751E" w:rsidRDefault="00A4751E">
      <w:pPr>
        <w:spacing w:line="360" w:lineRule="auto"/>
        <w:jc w:val="both"/>
        <w:rPr>
          <w:rFonts w:ascii="Palatino Linotype" w:eastAsia="Palatino Linotype" w:hAnsi="Palatino Linotype" w:cs="Palatino Linotype"/>
          <w:b/>
          <w:color w:val="000000"/>
          <w:sz w:val="22"/>
          <w:szCs w:val="22"/>
        </w:rPr>
      </w:pPr>
    </w:p>
    <w:p w14:paraId="68A885BF"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necesario precisar que existen deducciones que se gene</w:t>
      </w:r>
      <w:r>
        <w:rPr>
          <w:rFonts w:ascii="Palatino Linotype" w:eastAsia="Palatino Linotype" w:hAnsi="Palatino Linotype" w:cs="Palatino Linotype"/>
          <w:color w:val="000000"/>
          <w:sz w:val="22"/>
          <w:szCs w:val="22"/>
        </w:rPr>
        <w:t>ran con motivo de una decisión libre y voluntaria de los servidores públicos, como son: créditos personales, cuotas sindicales y fondo de resistencia del Sindicato Único de Trabajadores de los Poderes, Municipios e Institución Descentralizadas del Estado d</w:t>
      </w:r>
      <w:r>
        <w:rPr>
          <w:rFonts w:ascii="Palatino Linotype" w:eastAsia="Palatino Linotype" w:hAnsi="Palatino Linotype" w:cs="Palatino Linotype"/>
          <w:color w:val="000000"/>
          <w:sz w:val="22"/>
          <w:szCs w:val="22"/>
        </w:rPr>
        <w:t>e México, seguro de vida, accidentes y enfermedades.</w:t>
      </w:r>
    </w:p>
    <w:p w14:paraId="241FE86D"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724509F"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hay otras que se generan con motivo de una sentencia judicial, como es la pensión alimenticia que periódicamente se retira de la cuenta de un empleado, a efecto de que sea entregado a un terce</w:t>
      </w:r>
      <w:r>
        <w:rPr>
          <w:rFonts w:ascii="Palatino Linotype" w:eastAsia="Palatino Linotype" w:hAnsi="Palatino Linotype" w:cs="Palatino Linotype"/>
          <w:color w:val="000000"/>
          <w:sz w:val="22"/>
          <w:szCs w:val="22"/>
        </w:rPr>
        <w:t xml:space="preserve">ro.  </w:t>
      </w:r>
    </w:p>
    <w:p w14:paraId="4735D85A"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7B9C072"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consecuencia, este tipo de deducciones son fruto de decisiones que impactan en el patrimonio de un servidor público con la finalidad de obtener un beneficio conforme a la </w:t>
      </w:r>
      <w:r>
        <w:rPr>
          <w:rFonts w:ascii="Palatino Linotype" w:eastAsia="Palatino Linotype" w:hAnsi="Palatino Linotype" w:cs="Palatino Linotype"/>
          <w:color w:val="000000"/>
          <w:sz w:val="22"/>
          <w:szCs w:val="22"/>
        </w:rPr>
        <w:lastRenderedPageBreak/>
        <w:t>decisión de un trabajador, mismas que no implican la entrega de recursos co</w:t>
      </w:r>
      <w:r>
        <w:rPr>
          <w:rFonts w:ascii="Palatino Linotype" w:eastAsia="Palatino Linotype" w:hAnsi="Palatino Linotype" w:cs="Palatino Linotype"/>
          <w:color w:val="000000"/>
          <w:sz w:val="22"/>
          <w:szCs w:val="22"/>
        </w:rPr>
        <w:t xml:space="preserve">n cargo al erario, y tampoco reflejan el ejercicio de una prestación; por el contrario, en dichos casos se trata del libre ejercicio del servidor público para disponer de un ingreso que forma parte de su patrimonio. </w:t>
      </w:r>
    </w:p>
    <w:p w14:paraId="2C18C7C2"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DB41825"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dichas deducciones reflejan el destino que un servidor público da a su patrimonio y, por lo tanto, resulta procedente clasificar dichos datos, en el caso, que obren, en los documentos que dan cuenta de lo requerido, en términos del artículo 143, fracc</w:t>
      </w:r>
      <w:r>
        <w:rPr>
          <w:rFonts w:ascii="Palatino Linotype" w:eastAsia="Palatino Linotype" w:hAnsi="Palatino Linotype" w:cs="Palatino Linotype"/>
          <w:color w:val="000000"/>
          <w:sz w:val="22"/>
          <w:szCs w:val="22"/>
        </w:rPr>
        <w:t xml:space="preserve">ión I, de la Ley de Transparencia y Acceso a la Información Pública del Estado de México y Municipios. </w:t>
      </w:r>
    </w:p>
    <w:p w14:paraId="110F25E6" w14:textId="77777777" w:rsidR="00A4751E" w:rsidRDefault="00A4751E">
      <w:pPr>
        <w:spacing w:line="360" w:lineRule="auto"/>
        <w:jc w:val="both"/>
        <w:rPr>
          <w:rFonts w:ascii="Palatino Linotype" w:eastAsia="Palatino Linotype" w:hAnsi="Palatino Linotype" w:cs="Palatino Linotype"/>
          <w:b/>
          <w:color w:val="000000"/>
          <w:sz w:val="22"/>
          <w:szCs w:val="22"/>
        </w:rPr>
      </w:pPr>
    </w:p>
    <w:p w14:paraId="0D2DB5F6" w14:textId="77777777" w:rsidR="00A4751E" w:rsidRDefault="00B74A65">
      <w:pPr>
        <w:spacing w:line="360" w:lineRule="auto"/>
        <w:ind w:right="-9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otra parte, no pasa desapercibido, que conforme a la Gaceta Municipal, del año 1, número 2, del diez de enero de dos mil veinticinco, el Sujeto Obl</w:t>
      </w:r>
      <w:r>
        <w:rPr>
          <w:rFonts w:ascii="Palatino Linotype" w:eastAsia="Palatino Linotype" w:hAnsi="Palatino Linotype" w:cs="Palatino Linotype"/>
          <w:color w:val="000000"/>
          <w:sz w:val="22"/>
          <w:szCs w:val="22"/>
        </w:rPr>
        <w:t>igado cuenta con la Dirección de Seguridad Pública, encargada de garantizar el pleno goce de los derechos humanos y sociales de las personas, salvaguardando su integridad física y patrimonial, la paz, la tranquilidad y el orden público, así como prevenir l</w:t>
      </w:r>
      <w:r>
        <w:rPr>
          <w:rFonts w:ascii="Palatino Linotype" w:eastAsia="Palatino Linotype" w:hAnsi="Palatino Linotype" w:cs="Palatino Linotype"/>
          <w:color w:val="000000"/>
          <w:sz w:val="22"/>
          <w:szCs w:val="22"/>
        </w:rPr>
        <w:t>a comisión de delitos y la violación de la normatividad vigente.</w:t>
      </w:r>
    </w:p>
    <w:p w14:paraId="2DAA43D5" w14:textId="77777777" w:rsidR="00A4751E" w:rsidRDefault="00A4751E">
      <w:pPr>
        <w:spacing w:line="360" w:lineRule="auto"/>
        <w:ind w:right="-93"/>
        <w:jc w:val="both"/>
        <w:rPr>
          <w:rFonts w:ascii="Palatino Linotype" w:eastAsia="Palatino Linotype" w:hAnsi="Palatino Linotype" w:cs="Palatino Linotype"/>
          <w:color w:val="000000"/>
          <w:sz w:val="22"/>
          <w:szCs w:val="22"/>
        </w:rPr>
      </w:pPr>
    </w:p>
    <w:p w14:paraId="77F91552"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resulta necesario analizar si el nombre de los servidores públicos operativos en materia de seguridad, actualizan alguna causal de clasificación; al respecto, con relación, los primeros </w:t>
      </w:r>
      <w:r>
        <w:rPr>
          <w:rFonts w:ascii="Palatino Linotype" w:eastAsia="Palatino Linotype" w:hAnsi="Palatino Linotype" w:cs="Palatino Linotype"/>
          <w:color w:val="000000"/>
          <w:sz w:val="22"/>
          <w:szCs w:val="22"/>
        </w:rPr>
        <w:t>dos datos referidos, el artículo 140, fracción IV, de la Ley de Transparencia y Acceso a la Información Pública del Estado de México y Municipios, homólogo a parte del artículo 113, fracción V de la Ley General de Transparencia y Acceso a la Información Pú</w:t>
      </w:r>
      <w:r>
        <w:rPr>
          <w:rFonts w:ascii="Palatino Linotype" w:eastAsia="Palatino Linotype" w:hAnsi="Palatino Linotype" w:cs="Palatino Linotype"/>
          <w:color w:val="000000"/>
          <w:sz w:val="22"/>
          <w:szCs w:val="22"/>
        </w:rPr>
        <w:t>blica), prevé lo siguiente:</w:t>
      </w:r>
    </w:p>
    <w:p w14:paraId="29B3EDEA" w14:textId="77777777" w:rsidR="00A4751E" w:rsidRDefault="00A4751E">
      <w:pPr>
        <w:tabs>
          <w:tab w:val="left" w:pos="4962"/>
        </w:tabs>
        <w:spacing w:line="360" w:lineRule="auto"/>
        <w:ind w:left="567" w:right="567"/>
        <w:jc w:val="both"/>
        <w:rPr>
          <w:rFonts w:ascii="Palatino Linotype" w:eastAsia="Palatino Linotype" w:hAnsi="Palatino Linotype" w:cs="Palatino Linotype"/>
          <w:i/>
          <w:color w:val="000000"/>
        </w:rPr>
      </w:pPr>
    </w:p>
    <w:p w14:paraId="76BAFF0C" w14:textId="77777777" w:rsidR="00A4751E" w:rsidRDefault="00B74A65">
      <w:pPr>
        <w:tabs>
          <w:tab w:val="left" w:pos="4962"/>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 “</w:t>
      </w:r>
      <w:r>
        <w:rPr>
          <w:rFonts w:ascii="Palatino Linotype" w:eastAsia="Palatino Linotype" w:hAnsi="Palatino Linotype" w:cs="Palatino Linotype"/>
          <w:b/>
          <w:i/>
          <w:color w:val="000000"/>
        </w:rPr>
        <w:t>Artículo 140.</w:t>
      </w:r>
      <w:r>
        <w:rPr>
          <w:rFonts w:ascii="Palatino Linotype" w:eastAsia="Palatino Linotype" w:hAnsi="Palatino Linotype" w:cs="Palatino Linotype"/>
          <w:i/>
          <w:color w:val="000000"/>
        </w:rPr>
        <w:t xml:space="preserve"> El acceso a la información pública será restringido excepcionalmente, cuando por razones de interés público, ésta sea clasificada como reservada, conforme a los criterios siguientes: </w:t>
      </w:r>
    </w:p>
    <w:p w14:paraId="7ED775C7" w14:textId="77777777" w:rsidR="00A4751E" w:rsidRDefault="00B74A65">
      <w:pPr>
        <w:tabs>
          <w:tab w:val="left" w:pos="4962"/>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2ACE4E67" w14:textId="77777777" w:rsidR="00A4751E" w:rsidRDefault="00B74A65">
      <w:pPr>
        <w:tabs>
          <w:tab w:val="left" w:pos="4962"/>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Ponga en riesgo la </w:t>
      </w:r>
      <w:r>
        <w:rPr>
          <w:rFonts w:ascii="Palatino Linotype" w:eastAsia="Palatino Linotype" w:hAnsi="Palatino Linotype" w:cs="Palatino Linotype"/>
          <w:i/>
          <w:color w:val="000000"/>
        </w:rPr>
        <w:t>vida, la seguridad o la salud de una persona física;</w:t>
      </w:r>
    </w:p>
    <w:p w14:paraId="47A289AD" w14:textId="77777777" w:rsidR="00A4751E" w:rsidRDefault="00B74A65">
      <w:pPr>
        <w:tabs>
          <w:tab w:val="left" w:pos="4962"/>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14:paraId="41889DE5"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11E312F"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Del precepto legal anteriormente citado se desprende que como información reservada podrá clasificarse aquella cuya publicación pueda poner en riesgo la vida, seguridad o salud de una persona física</w:t>
      </w:r>
      <w:r>
        <w:rPr>
          <w:rFonts w:ascii="Palatino Linotype" w:eastAsia="Palatino Linotype" w:hAnsi="Palatino Linotype" w:cs="Palatino Linotype"/>
          <w:color w:val="000000"/>
          <w:sz w:val="22"/>
          <w:szCs w:val="22"/>
        </w:rPr>
        <w:t>; para acreditar lo anterior, los Lineamientos Generales, establecen lo siguiente:</w:t>
      </w:r>
    </w:p>
    <w:p w14:paraId="6E51AD7D"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E79974F"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“Vigésimo tercero. </w:t>
      </w:r>
      <w:r>
        <w:rPr>
          <w:rFonts w:ascii="Palatino Linotype" w:eastAsia="Palatino Linotype" w:hAnsi="Palatino Linotype" w:cs="Palatino Linotype"/>
          <w:i/>
          <w:color w:val="000000"/>
        </w:rPr>
        <w:t>Para clasificar la información como reservada, de conformidad con el artículo 113, fracción V de la Ley General, será necesario acreditar un vínculo, ent</w:t>
      </w:r>
      <w:r>
        <w:rPr>
          <w:rFonts w:ascii="Palatino Linotype" w:eastAsia="Palatino Linotype" w:hAnsi="Palatino Linotype" w:cs="Palatino Linotype"/>
          <w:i/>
          <w:color w:val="000000"/>
        </w:rPr>
        <w:t>re una o varias personas físicas y la información que pueda poner en riesgo su vida, seguridad o salud; especificando cuál de estos bienes jurídicos será afectado, así como el potencial daño o riesgo que causaría su difusión”</w:t>
      </w:r>
    </w:p>
    <w:p w14:paraId="29AE9821" w14:textId="77777777" w:rsidR="00A4751E" w:rsidRDefault="00A4751E">
      <w:pPr>
        <w:spacing w:line="360" w:lineRule="auto"/>
        <w:ind w:left="567" w:right="567"/>
        <w:jc w:val="both"/>
        <w:rPr>
          <w:rFonts w:ascii="Palatino Linotype" w:eastAsia="Palatino Linotype" w:hAnsi="Palatino Linotype" w:cs="Palatino Linotype"/>
          <w:i/>
          <w:color w:val="000000"/>
        </w:rPr>
      </w:pPr>
    </w:p>
    <w:p w14:paraId="2A0EE914" w14:textId="77777777" w:rsidR="00A4751E" w:rsidRDefault="00B74A65">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Del Lineamiento referido, se </w:t>
      </w:r>
      <w:r>
        <w:rPr>
          <w:rFonts w:ascii="Palatino Linotype" w:eastAsia="Palatino Linotype" w:hAnsi="Palatino Linotype" w:cs="Palatino Linotype"/>
          <w:color w:val="000000"/>
          <w:sz w:val="22"/>
          <w:szCs w:val="22"/>
        </w:rPr>
        <w:t>desprende que para clasificar la información como reservada, será necesario acreditar un vínculo, entre la persona física y la información que pueda poner en riesgo su vida, seguridad o salud, es decir, se deben señalar el bien jurídico específico afectado</w:t>
      </w:r>
      <w:r>
        <w:rPr>
          <w:rFonts w:ascii="Palatino Linotype" w:eastAsia="Palatino Linotype" w:hAnsi="Palatino Linotype" w:cs="Palatino Linotype"/>
          <w:color w:val="000000"/>
          <w:sz w:val="22"/>
          <w:szCs w:val="22"/>
        </w:rPr>
        <w:t xml:space="preserve"> y el potencial de daño o riesgo que causaría su difusión.</w:t>
      </w:r>
    </w:p>
    <w:p w14:paraId="19107BDC"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286C675D"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artículo 81, fracción III, de la Ley de Seguridad del Estado de México, establece lo siguiente:</w:t>
      </w:r>
    </w:p>
    <w:p w14:paraId="61C6165A"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0754640C"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81.-</w:t>
      </w:r>
      <w:r>
        <w:rPr>
          <w:rFonts w:ascii="Palatino Linotype" w:eastAsia="Palatino Linotype" w:hAnsi="Palatino Linotype" w:cs="Palatino Linotype"/>
          <w:i/>
          <w:color w:val="000000"/>
        </w:rPr>
        <w:t xml:space="preserve"> Toda información para la seguridad pública generada o en poder de Institu</w:t>
      </w:r>
      <w:r>
        <w:rPr>
          <w:rFonts w:ascii="Palatino Linotype" w:eastAsia="Palatino Linotype" w:hAnsi="Palatino Linotype" w:cs="Palatino Linotype"/>
          <w:i/>
          <w:color w:val="000000"/>
        </w:rPr>
        <w:t xml:space="preserve">ciones de Seguridad Pública o de cualquier instancia del Sistema Estatal debe registrarse, clasificarse y </w:t>
      </w:r>
      <w:r>
        <w:rPr>
          <w:rFonts w:ascii="Palatino Linotype" w:eastAsia="Palatino Linotype" w:hAnsi="Palatino Linotype" w:cs="Palatino Linotype"/>
          <w:i/>
          <w:color w:val="000000"/>
        </w:rPr>
        <w:lastRenderedPageBreak/>
        <w:t xml:space="preserve">tratarse de conformidad con las disposiciones aplicables. No obstante lo anterior, esta información se considerará reservada en los casos siguientes: </w:t>
      </w:r>
    </w:p>
    <w:p w14:paraId="4B8EE2AC"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439AB0CF"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La relativa a los servidores públicos integrantes de las instituciones de seguridad pública, cuya revelación pueda poner en riesgo su vida e integridad física con motivo de sus funciones;</w:t>
      </w:r>
    </w:p>
    <w:p w14:paraId="207DC440" w14:textId="77777777" w:rsidR="00A4751E" w:rsidRDefault="00B74A6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13DE96EE" w14:textId="77777777" w:rsidR="00A4751E" w:rsidRDefault="00A4751E">
      <w:pPr>
        <w:spacing w:line="360" w:lineRule="auto"/>
        <w:jc w:val="both"/>
        <w:rPr>
          <w:rFonts w:ascii="Palatino Linotype" w:eastAsia="Palatino Linotype" w:hAnsi="Palatino Linotype" w:cs="Palatino Linotype"/>
          <w:color w:val="000000"/>
        </w:rPr>
      </w:pPr>
    </w:p>
    <w:p w14:paraId="5D50ED78"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al citado artículo, se desprende que es </w:t>
      </w:r>
      <w:r>
        <w:rPr>
          <w:rFonts w:ascii="Palatino Linotype" w:eastAsia="Palatino Linotype" w:hAnsi="Palatino Linotype" w:cs="Palatino Linotype"/>
          <w:color w:val="000000"/>
          <w:sz w:val="22"/>
          <w:szCs w:val="22"/>
        </w:rPr>
        <w:t>reservada toda aquella información de los servidores públicos integrantes de las instituciones de seguridad pública, cuya revelación pueda poner en riesgo su vida e integridad física con motivo de sus funciones.</w:t>
      </w:r>
    </w:p>
    <w:p w14:paraId="04B2F99A"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11E36BA"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es de señalar que los dato</w:t>
      </w:r>
      <w:r>
        <w:rPr>
          <w:rFonts w:ascii="Palatino Linotype" w:eastAsia="Palatino Linotype" w:hAnsi="Palatino Linotype" w:cs="Palatino Linotype"/>
          <w:color w:val="000000"/>
          <w:sz w:val="22"/>
          <w:szCs w:val="22"/>
        </w:rPr>
        <w:t>s de servidores públicos, entre los que se encuentran el nombre y fotografía de los trabajadores, por regla general, son de naturaleza pública, de conformidad con el artículo 92, fracción VII, de la Ley de Transparencia y Acceso a la Información Pública de</w:t>
      </w:r>
      <w:r>
        <w:rPr>
          <w:rFonts w:ascii="Palatino Linotype" w:eastAsia="Palatino Linotype" w:hAnsi="Palatino Linotype" w:cs="Palatino Linotype"/>
          <w:color w:val="000000"/>
          <w:sz w:val="22"/>
          <w:szCs w:val="22"/>
        </w:rPr>
        <w:t>l Estado de México y Municipios.</w:t>
      </w:r>
    </w:p>
    <w:p w14:paraId="5F2656BC"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CDA49FB"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obstante, resulta necesario traer a colación por analogía, el Criterio de interpretación, con número de registro SO/006/2009, de la Primera Época, emitido por el entonces Instituto Federal de Acceso a la Información y P</w:t>
      </w:r>
      <w:r>
        <w:rPr>
          <w:rFonts w:ascii="Palatino Linotype" w:eastAsia="Palatino Linotype" w:hAnsi="Palatino Linotype" w:cs="Palatino Linotype"/>
          <w:color w:val="000000"/>
          <w:sz w:val="22"/>
          <w:szCs w:val="22"/>
        </w:rPr>
        <w:t>rotección de Datos ahora Instituto Nacional de Transparencia, Acceso a la Información y Protección de Datos Personales, que establece lo siguiente:</w:t>
      </w:r>
    </w:p>
    <w:p w14:paraId="3D54FA4D" w14:textId="77777777" w:rsidR="00A4751E" w:rsidRDefault="00A4751E">
      <w:pPr>
        <w:spacing w:line="360" w:lineRule="auto"/>
        <w:jc w:val="both"/>
        <w:rPr>
          <w:rFonts w:ascii="Palatino Linotype" w:eastAsia="Palatino Linotype" w:hAnsi="Palatino Linotype" w:cs="Palatino Linotype"/>
          <w:i/>
          <w:color w:val="000000"/>
          <w:sz w:val="22"/>
          <w:szCs w:val="22"/>
        </w:rPr>
      </w:pPr>
    </w:p>
    <w:p w14:paraId="001326D5" w14:textId="77777777" w:rsidR="00A4751E" w:rsidRDefault="00B74A65">
      <w:pPr>
        <w:tabs>
          <w:tab w:val="left" w:pos="4962"/>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“Nombres de servidores públicos dedicados a actividades en materia de seguridad, por excepción pueden consi</w:t>
      </w:r>
      <w:r>
        <w:rPr>
          <w:rFonts w:ascii="Palatino Linotype" w:eastAsia="Palatino Linotype" w:hAnsi="Palatino Linotype" w:cs="Palatino Linotype"/>
          <w:b/>
          <w:i/>
          <w:color w:val="000000"/>
        </w:rPr>
        <w:t>derarse información reservada.</w:t>
      </w:r>
      <w:r>
        <w:rPr>
          <w:rFonts w:ascii="Palatino Linotype" w:eastAsia="Palatino Linotype" w:hAnsi="Palatino Linotype" w:cs="Palatino Linotype"/>
          <w:i/>
          <w:color w:val="000000"/>
        </w:rPr>
        <w:t xml:space="preserve"> De conformidad con el artículo 7, fracciones I y III de la Ley Federal de Transparencia y Acceso a la Información Pública Gubernamental el nombre de los servidores públicos es información de naturaleza pública. No </w:t>
      </w:r>
      <w:r>
        <w:rPr>
          <w:rFonts w:ascii="Palatino Linotype" w:eastAsia="Palatino Linotype" w:hAnsi="Palatino Linotype" w:cs="Palatino Linotype"/>
          <w:i/>
          <w:color w:val="000000"/>
        </w:rPr>
        <w:lastRenderedPageBreak/>
        <w:t>obstante lo</w:t>
      </w:r>
      <w:r>
        <w:rPr>
          <w:rFonts w:ascii="Palatino Linotype" w:eastAsia="Palatino Linotype" w:hAnsi="Palatino Linotype" w:cs="Palatino Linotype"/>
          <w:i/>
          <w:color w:val="000000"/>
        </w:rPr>
        <w:t xml:space="preserve"> anterior, el mismo precepto establece la posibilidad de que existan excepciones a las obligaciones ahí establecidas cuando la información actualice algunos de los supuestos de reserva o confidencialidad previstos en los artículos 13, 14 y 18 de la citada </w:t>
      </w:r>
      <w:r>
        <w:rPr>
          <w:rFonts w:ascii="Palatino Linotype" w:eastAsia="Palatino Linotype" w:hAnsi="Palatino Linotype" w:cs="Palatino Linotype"/>
          <w:i/>
          <w:color w:val="000000"/>
        </w:rPr>
        <w:t>ley. En este sentido, se debe señalar que existen funciones a cargo de servidores públicos, tendientes a garantizar de manera directa la seguridad nacional y pública, a través de acciones preventivas y correctivas encaminadas a combatir a la delincuencia e</w:t>
      </w:r>
      <w:r>
        <w:rPr>
          <w:rFonts w:ascii="Palatino Linotype" w:eastAsia="Palatino Linotype" w:hAnsi="Palatino Linotype" w:cs="Palatino Linotype"/>
          <w:i/>
          <w:color w:val="000000"/>
        </w:rPr>
        <w:t>n sus diferentes manifestaciones. Así, es pertinente señalar que en el artículo 13, fracción I de la ley de referencia se establece que podrá clasificarse aquella información cuya difusión pueda comprometer la seguridad nacional y pública. En este orden de</w:t>
      </w:r>
      <w:r>
        <w:rPr>
          <w:rFonts w:ascii="Palatino Linotype" w:eastAsia="Palatino Linotype" w:hAnsi="Palatino Linotype" w:cs="Palatino Linotype"/>
          <w:i/>
          <w:color w:val="000000"/>
        </w:rPr>
        <w:t xml:space="preserve"> ideas, una de las formas en que la delincuencia puede llegar a poner en riesgo la seguridad del país es precisamente anulando, impidiendo u obstaculizando la actuación de los servidores públicos que realizan funciones de carácter operativo, mediante el co</w:t>
      </w:r>
      <w:r>
        <w:rPr>
          <w:rFonts w:ascii="Palatino Linotype" w:eastAsia="Palatino Linotype" w:hAnsi="Palatino Linotype" w:cs="Palatino Linotype"/>
          <w:i/>
          <w:color w:val="000000"/>
        </w:rPr>
        <w:t>nocimiento de dicha situación, por lo que la reserva de la relación de los nombres y las funciones que desempeñan los servidores públicos que prestan sus servicios en áreas de seguridad nacional o pública, puede llegar a constituirse en un componente funda</w:t>
      </w:r>
      <w:r>
        <w:rPr>
          <w:rFonts w:ascii="Palatino Linotype" w:eastAsia="Palatino Linotype" w:hAnsi="Palatino Linotype" w:cs="Palatino Linotype"/>
          <w:i/>
          <w:color w:val="000000"/>
        </w:rPr>
        <w:t>mental en el esfuerzo que realiza el Estado Mexicano para garantizar la seguridad del país en sus diferentes vertientes.”</w:t>
      </w:r>
    </w:p>
    <w:p w14:paraId="79C55819"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22D1A30F"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dicho criterio, se desprende que existen funciones a cargo de servidores públicos, tendientes a garantizar de manera directa la </w:t>
      </w:r>
      <w:r>
        <w:rPr>
          <w:rFonts w:ascii="Palatino Linotype" w:eastAsia="Palatino Linotype" w:hAnsi="Palatino Linotype" w:cs="Palatino Linotype"/>
          <w:color w:val="000000"/>
          <w:sz w:val="22"/>
          <w:szCs w:val="22"/>
        </w:rPr>
        <w:t>seguridad pública, a través de acciones preventivas y correctivas, encaminadas a combatir a la delincuencia en sus diferentes manifestaciones; por lo que, una forma en que la delincuencia puede llegar a poner en riesgo la seguridad del País, Estado y Munic</w:t>
      </w:r>
      <w:r>
        <w:rPr>
          <w:rFonts w:ascii="Palatino Linotype" w:eastAsia="Palatino Linotype" w:hAnsi="Palatino Linotype" w:cs="Palatino Linotype"/>
          <w:color w:val="000000"/>
          <w:sz w:val="22"/>
          <w:szCs w:val="22"/>
        </w:rPr>
        <w:t>ipio, anulando, impidiendo u obstaculizando la actuación de los servidores públicos que realizan funciones de carácter operativo.</w:t>
      </w:r>
    </w:p>
    <w:p w14:paraId="5F692DD2"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10FB40B"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el Criterio Reiterado 09/24, emitido por el Pleno de este Instituto, precisa que el nombre del personal operativo de </w:t>
      </w:r>
      <w:r>
        <w:rPr>
          <w:rFonts w:ascii="Palatino Linotype" w:eastAsia="Palatino Linotype" w:hAnsi="Palatino Linotype" w:cs="Palatino Linotype"/>
          <w:color w:val="000000"/>
          <w:sz w:val="22"/>
          <w:szCs w:val="22"/>
        </w:rPr>
        <w:t xml:space="preserve">seguridad pública debe clasificarse como información reservada, previa acreditación de la prueba de daño, ya que su publicidad podría poner en </w:t>
      </w:r>
      <w:r>
        <w:rPr>
          <w:rFonts w:ascii="Palatino Linotype" w:eastAsia="Palatino Linotype" w:hAnsi="Palatino Linotype" w:cs="Palatino Linotype"/>
          <w:color w:val="000000"/>
          <w:sz w:val="22"/>
          <w:szCs w:val="22"/>
        </w:rPr>
        <w:lastRenderedPageBreak/>
        <w:t>riesgo la vida, la seguridad o la salud del servidor público, ya que los vuelve plenamente identificables ante gr</w:t>
      </w:r>
      <w:r>
        <w:rPr>
          <w:rFonts w:ascii="Palatino Linotype" w:eastAsia="Palatino Linotype" w:hAnsi="Palatino Linotype" w:cs="Palatino Linotype"/>
          <w:color w:val="000000"/>
          <w:sz w:val="22"/>
          <w:szCs w:val="22"/>
        </w:rPr>
        <w:t>upos delictivos.</w:t>
      </w:r>
    </w:p>
    <w:p w14:paraId="327AF346"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1D37FC6"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si bien por regla general los nombres de los trabajadores gubernamentales son información pública de oficio, existe una excepción relativa a </w:t>
      </w:r>
      <w:r>
        <w:rPr>
          <w:rFonts w:ascii="Palatino Linotype" w:eastAsia="Palatino Linotype" w:hAnsi="Palatino Linotype" w:cs="Palatino Linotype"/>
          <w:b/>
          <w:color w:val="000000"/>
          <w:sz w:val="22"/>
          <w:szCs w:val="22"/>
        </w:rPr>
        <w:t>aquellos que realicen actividades operativas en materia de seguridad,</w:t>
      </w:r>
      <w:r>
        <w:rPr>
          <w:rFonts w:ascii="Palatino Linotype" w:eastAsia="Palatino Linotype" w:hAnsi="Palatino Linotype" w:cs="Palatino Linotype"/>
          <w:color w:val="000000"/>
          <w:sz w:val="22"/>
          <w:szCs w:val="22"/>
        </w:rPr>
        <w:t xml:space="preserve"> como</w:t>
      </w:r>
      <w:r>
        <w:rPr>
          <w:rFonts w:ascii="Palatino Linotype" w:eastAsia="Palatino Linotype" w:hAnsi="Palatino Linotype" w:cs="Palatino Linotype"/>
          <w:color w:val="000000"/>
          <w:sz w:val="22"/>
          <w:szCs w:val="22"/>
        </w:rPr>
        <w:t xml:space="preserve"> es el caso de los elementos operativos y la policía municipal.</w:t>
      </w:r>
    </w:p>
    <w:p w14:paraId="19D9A360"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D5D688D"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el artículo 4° de la Ley de Seguridad del Estado de México prevé que la función de seguridad pública se realizará, en los diversos ámbitos de competencia, por conducto de las In</w:t>
      </w:r>
      <w:r>
        <w:rPr>
          <w:rFonts w:ascii="Palatino Linotype" w:eastAsia="Palatino Linotype" w:hAnsi="Palatino Linotype" w:cs="Palatino Linotype"/>
          <w:color w:val="000000"/>
          <w:sz w:val="22"/>
          <w:szCs w:val="22"/>
        </w:rPr>
        <w:t>stituciones Policiales y de Procuración de Justicia, de los responsables de la prisión preventiva y ejecución de sentencias, de las autoridades competentes en materia de justicia para adolescentes, de las instancias encargadas de aplicar las infracción adm</w:t>
      </w:r>
      <w:r>
        <w:rPr>
          <w:rFonts w:ascii="Palatino Linotype" w:eastAsia="Palatino Linotype" w:hAnsi="Palatino Linotype" w:cs="Palatino Linotype"/>
          <w:color w:val="000000"/>
          <w:sz w:val="22"/>
          <w:szCs w:val="22"/>
        </w:rPr>
        <w:t>inistrativas, y de las demás autoridades de las instancias encargadas de aplicar las infracciones administrativas.</w:t>
      </w:r>
    </w:p>
    <w:p w14:paraId="1380B86D"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C2FE0D9"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el artículo 6°, fracciones XI y XII de dicho ordenamiento jurídico, establece los siguientes conceptos:</w:t>
      </w:r>
    </w:p>
    <w:p w14:paraId="63D1C7F6"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01F10E20" w14:textId="77777777" w:rsidR="00A4751E" w:rsidRDefault="00B74A65">
      <w:pPr>
        <w:numPr>
          <w:ilvl w:val="0"/>
          <w:numId w:val="3"/>
        </w:num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Instituciones Poli</w:t>
      </w:r>
      <w:r>
        <w:rPr>
          <w:rFonts w:ascii="Palatino Linotype" w:eastAsia="Palatino Linotype" w:hAnsi="Palatino Linotype" w:cs="Palatino Linotype"/>
          <w:b/>
          <w:color w:val="000000"/>
          <w:sz w:val="22"/>
          <w:szCs w:val="22"/>
        </w:rPr>
        <w:t xml:space="preserve">ciales: </w:t>
      </w:r>
      <w:r>
        <w:rPr>
          <w:rFonts w:ascii="Palatino Linotype" w:eastAsia="Palatino Linotype" w:hAnsi="Palatino Linotype" w:cs="Palatino Linotype"/>
          <w:color w:val="000000"/>
          <w:sz w:val="22"/>
          <w:szCs w:val="22"/>
        </w:rPr>
        <w:t xml:space="preserve">Son los cuerpos de policía, de vigilancia y custodia de los establecimientos penitenciarios, detención preventiva, centros de arraigo y en general, </w:t>
      </w:r>
      <w:r>
        <w:rPr>
          <w:rFonts w:ascii="Palatino Linotype" w:eastAsia="Palatino Linotype" w:hAnsi="Palatino Linotype" w:cs="Palatino Linotype"/>
          <w:b/>
          <w:color w:val="000000"/>
          <w:sz w:val="22"/>
          <w:szCs w:val="22"/>
        </w:rPr>
        <w:t>todas las dependencias encargadas de la seguridad pública a nivel</w:t>
      </w:r>
      <w:r>
        <w:rPr>
          <w:rFonts w:ascii="Palatino Linotype" w:eastAsia="Palatino Linotype" w:hAnsi="Palatino Linotype" w:cs="Palatino Linotype"/>
          <w:color w:val="000000"/>
          <w:sz w:val="22"/>
          <w:szCs w:val="22"/>
        </w:rPr>
        <w:t xml:space="preserve"> estatal y </w:t>
      </w:r>
      <w:r>
        <w:rPr>
          <w:rFonts w:ascii="Palatino Linotype" w:eastAsia="Palatino Linotype" w:hAnsi="Palatino Linotype" w:cs="Palatino Linotype"/>
          <w:b/>
          <w:color w:val="000000"/>
          <w:sz w:val="22"/>
          <w:szCs w:val="22"/>
        </w:rPr>
        <w:t>municipal.</w:t>
      </w:r>
    </w:p>
    <w:p w14:paraId="17B7885E" w14:textId="77777777" w:rsidR="00A4751E" w:rsidRDefault="00B74A65">
      <w:pPr>
        <w:numPr>
          <w:ilvl w:val="0"/>
          <w:numId w:val="3"/>
        </w:num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Instituciones</w:t>
      </w:r>
      <w:r>
        <w:rPr>
          <w:rFonts w:ascii="Palatino Linotype" w:eastAsia="Palatino Linotype" w:hAnsi="Palatino Linotype" w:cs="Palatino Linotype"/>
          <w:b/>
          <w:color w:val="000000"/>
          <w:sz w:val="22"/>
          <w:szCs w:val="22"/>
        </w:rPr>
        <w:t xml:space="preserve"> de Seguridad Pública: </w:t>
      </w:r>
      <w:r>
        <w:rPr>
          <w:rFonts w:ascii="Palatino Linotype" w:eastAsia="Palatino Linotype" w:hAnsi="Palatino Linotype" w:cs="Palatino Linotype"/>
          <w:color w:val="000000"/>
          <w:sz w:val="22"/>
          <w:szCs w:val="22"/>
        </w:rPr>
        <w:t xml:space="preserve">Instituciones Policiales, Procuración de Justicia, Sistema Penitenciario y </w:t>
      </w:r>
      <w:r>
        <w:rPr>
          <w:rFonts w:ascii="Palatino Linotype" w:eastAsia="Palatino Linotype" w:hAnsi="Palatino Linotype" w:cs="Palatino Linotype"/>
          <w:b/>
          <w:color w:val="000000"/>
          <w:sz w:val="22"/>
          <w:szCs w:val="22"/>
        </w:rPr>
        <w:t xml:space="preserve">dependencias encargadas de la seguridad pública a nivel </w:t>
      </w:r>
      <w:r>
        <w:rPr>
          <w:rFonts w:ascii="Palatino Linotype" w:eastAsia="Palatino Linotype" w:hAnsi="Palatino Linotype" w:cs="Palatino Linotype"/>
          <w:color w:val="000000"/>
          <w:sz w:val="22"/>
          <w:szCs w:val="22"/>
        </w:rPr>
        <w:t xml:space="preserve">estatal y </w:t>
      </w:r>
      <w:r>
        <w:rPr>
          <w:rFonts w:ascii="Palatino Linotype" w:eastAsia="Palatino Linotype" w:hAnsi="Palatino Linotype" w:cs="Palatino Linotype"/>
          <w:b/>
          <w:color w:val="000000"/>
          <w:sz w:val="22"/>
          <w:szCs w:val="22"/>
        </w:rPr>
        <w:t>municipal.</w:t>
      </w:r>
    </w:p>
    <w:p w14:paraId="76F72E1A" w14:textId="77777777" w:rsidR="00A4751E" w:rsidRDefault="00A4751E">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03B095E2"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anterior, se puede deducir que la Dirección de Seguridad Pública, </w:t>
      </w:r>
      <w:r>
        <w:rPr>
          <w:rFonts w:ascii="Palatino Linotype" w:eastAsia="Palatino Linotype" w:hAnsi="Palatino Linotype" w:cs="Palatino Linotype"/>
          <w:color w:val="000000"/>
          <w:sz w:val="22"/>
          <w:szCs w:val="22"/>
        </w:rPr>
        <w:t>es una institución de seguridad pública, pues tiene como atribución principal, la prevención de delitos y proteger a las personas, sus propiedades, posesiones y derechos.</w:t>
      </w:r>
    </w:p>
    <w:p w14:paraId="2872AB16" w14:textId="77777777" w:rsidR="00A4751E" w:rsidRDefault="00B74A65">
      <w:pPr>
        <w:tabs>
          <w:tab w:val="left" w:pos="4962"/>
        </w:tabs>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Instructivo de llenado del Formato “Personal de Seguridad Pública”, del Se</w:t>
      </w:r>
      <w:r>
        <w:rPr>
          <w:rFonts w:ascii="Palatino Linotype" w:eastAsia="Palatino Linotype" w:hAnsi="Palatino Linotype" w:cs="Palatino Linotype"/>
          <w:color w:val="000000"/>
          <w:sz w:val="22"/>
          <w:szCs w:val="22"/>
        </w:rPr>
        <w:t xml:space="preserve">cretariado Ejecutivo del Sistema Nacional de Seguridad Pública (consultado, en la liga </w:t>
      </w:r>
      <w:hyperlink r:id="rId12">
        <w:r>
          <w:rPr>
            <w:rFonts w:ascii="Palatino Linotype" w:eastAsia="Palatino Linotype" w:hAnsi="Palatino Linotype" w:cs="Palatino Linotype"/>
            <w:color w:val="0563C1"/>
            <w:sz w:val="22"/>
            <w:szCs w:val="22"/>
            <w:u w:val="single"/>
          </w:rPr>
          <w:t>http://secretariadoeje</w:t>
        </w:r>
        <w:r>
          <w:rPr>
            <w:rFonts w:ascii="Palatino Linotype" w:eastAsia="Palatino Linotype" w:hAnsi="Palatino Linotype" w:cs="Palatino Linotype"/>
            <w:color w:val="0563C1"/>
            <w:sz w:val="22"/>
            <w:szCs w:val="22"/>
            <w:u w:val="single"/>
          </w:rPr>
          <w:t>cutivo.gob.mx/work/models/SecretariadoEjecutivo/Resource/328/1/images/instructivo_final_edo_fuerza(1).pdf</w:t>
        </w:r>
      </w:hyperlink>
      <w:r>
        <w:rPr>
          <w:rFonts w:ascii="Palatino Linotype" w:eastAsia="Palatino Linotype" w:hAnsi="Palatino Linotype" w:cs="Palatino Linotype"/>
          <w:color w:val="000000"/>
          <w:sz w:val="22"/>
          <w:szCs w:val="22"/>
        </w:rPr>
        <w:t>), establece que los elementos operativos de seguridad pública, son aquellos que desempeñan funciones de campo (policiacas, especializadas o equivalent</w:t>
      </w:r>
      <w:r>
        <w:rPr>
          <w:rFonts w:ascii="Palatino Linotype" w:eastAsia="Palatino Linotype" w:hAnsi="Palatino Linotype" w:cs="Palatino Linotype"/>
          <w:color w:val="000000"/>
          <w:sz w:val="22"/>
          <w:szCs w:val="22"/>
        </w:rPr>
        <w:t xml:space="preserve">es y que no </w:t>
      </w:r>
      <w:r>
        <w:rPr>
          <w:rFonts w:ascii="Palatino Linotype" w:eastAsia="Palatino Linotype" w:hAnsi="Palatino Linotype" w:cs="Palatino Linotype"/>
          <w:b/>
          <w:color w:val="000000"/>
          <w:sz w:val="22"/>
          <w:szCs w:val="22"/>
        </w:rPr>
        <w:t>desempeña funciones de mando</w:t>
      </w:r>
      <w:r>
        <w:rPr>
          <w:rFonts w:ascii="Palatino Linotype" w:eastAsia="Palatino Linotype" w:hAnsi="Palatino Linotype" w:cs="Palatino Linotype"/>
          <w:color w:val="000000"/>
          <w:sz w:val="22"/>
          <w:szCs w:val="22"/>
        </w:rPr>
        <w:t xml:space="preserve">), entre los cuales, se encuentra </w:t>
      </w:r>
      <w:r>
        <w:rPr>
          <w:rFonts w:ascii="Palatino Linotype" w:eastAsia="Palatino Linotype" w:hAnsi="Palatino Linotype" w:cs="Palatino Linotype"/>
          <w:b/>
          <w:color w:val="000000"/>
          <w:sz w:val="22"/>
          <w:szCs w:val="22"/>
        </w:rPr>
        <w:t>la Policía Municipal</w:t>
      </w:r>
      <w:r>
        <w:rPr>
          <w:rFonts w:ascii="Palatino Linotype" w:eastAsia="Palatino Linotype" w:hAnsi="Palatino Linotype" w:cs="Palatino Linotype"/>
          <w:color w:val="000000"/>
          <w:sz w:val="22"/>
          <w:szCs w:val="22"/>
        </w:rPr>
        <w:t>.</w:t>
      </w:r>
    </w:p>
    <w:p w14:paraId="521A365F" w14:textId="77777777" w:rsidR="00A4751E" w:rsidRDefault="00A4751E">
      <w:pPr>
        <w:tabs>
          <w:tab w:val="left" w:pos="4962"/>
        </w:tabs>
        <w:spacing w:line="360" w:lineRule="auto"/>
        <w:ind w:right="-28"/>
        <w:jc w:val="both"/>
        <w:rPr>
          <w:rFonts w:ascii="Palatino Linotype" w:eastAsia="Palatino Linotype" w:hAnsi="Palatino Linotype" w:cs="Palatino Linotype"/>
          <w:color w:val="000000"/>
          <w:sz w:val="22"/>
          <w:szCs w:val="22"/>
        </w:rPr>
      </w:pPr>
    </w:p>
    <w:p w14:paraId="52A4AA03" w14:textId="77777777" w:rsidR="00A4751E" w:rsidRDefault="00B74A65">
      <w:pPr>
        <w:tabs>
          <w:tab w:val="left" w:pos="4962"/>
        </w:tabs>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se advierte que las Instituciones Policiales, se conforman del personal </w:t>
      </w:r>
      <w:r>
        <w:rPr>
          <w:rFonts w:ascii="Palatino Linotype" w:eastAsia="Palatino Linotype" w:hAnsi="Palatino Linotype" w:cs="Palatino Linotype"/>
          <w:b/>
          <w:color w:val="000000"/>
          <w:sz w:val="22"/>
          <w:szCs w:val="22"/>
        </w:rPr>
        <w:t>administrativo,</w:t>
      </w:r>
      <w:r>
        <w:rPr>
          <w:rFonts w:ascii="Palatino Linotype" w:eastAsia="Palatino Linotype" w:hAnsi="Palatino Linotype" w:cs="Palatino Linotype"/>
          <w:color w:val="000000"/>
          <w:sz w:val="22"/>
          <w:szCs w:val="22"/>
        </w:rPr>
        <w:t xml:space="preserve"> que son los trabajadores de apoyo (chofer, personal de manten</w:t>
      </w:r>
      <w:r>
        <w:rPr>
          <w:rFonts w:ascii="Palatino Linotype" w:eastAsia="Palatino Linotype" w:hAnsi="Palatino Linotype" w:cs="Palatino Linotype"/>
          <w:color w:val="000000"/>
          <w:sz w:val="22"/>
          <w:szCs w:val="22"/>
        </w:rPr>
        <w:t xml:space="preserve">imiento, servicios generales y área secretaria); </w:t>
      </w:r>
      <w:r>
        <w:rPr>
          <w:rFonts w:ascii="Palatino Linotype" w:eastAsia="Palatino Linotype" w:hAnsi="Palatino Linotype" w:cs="Palatino Linotype"/>
          <w:b/>
          <w:color w:val="000000"/>
          <w:sz w:val="22"/>
          <w:szCs w:val="22"/>
        </w:rPr>
        <w:t>así como, el personal de mando</w:t>
      </w:r>
      <w:r>
        <w:rPr>
          <w:rFonts w:ascii="Palatino Linotype" w:eastAsia="Palatino Linotype" w:hAnsi="Palatino Linotype" w:cs="Palatino Linotype"/>
          <w:color w:val="000000"/>
          <w:sz w:val="22"/>
          <w:szCs w:val="22"/>
        </w:rPr>
        <w:t xml:space="preserve"> (alto, medio y superior), que es aquel que realiza funciones de dirección, coordinación y supervisión, por lo cual, corresponde a aquel que tenga trabajadores a su cargo.</w:t>
      </w:r>
    </w:p>
    <w:p w14:paraId="121B0438"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17D84A1"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w:t>
      </w:r>
      <w:r>
        <w:rPr>
          <w:rFonts w:ascii="Palatino Linotype" w:eastAsia="Palatino Linotype" w:hAnsi="Palatino Linotype" w:cs="Palatino Linotype"/>
          <w:color w:val="000000"/>
          <w:sz w:val="22"/>
          <w:szCs w:val="22"/>
        </w:rPr>
        <w:t xml:space="preserve"> dar a conocer el nombre de las personas, vinculado con el hecho que son policías, los vuelve identificables y posiblemente reconocibles para grupos delictivos, puesto que pueden relacionarlos directamente con actividades u operativos pasados, presentes, o</w:t>
      </w:r>
      <w:r>
        <w:rPr>
          <w:rFonts w:ascii="Palatino Linotype" w:eastAsia="Palatino Linotype" w:hAnsi="Palatino Linotype" w:cs="Palatino Linotype"/>
          <w:color w:val="000000"/>
          <w:sz w:val="22"/>
          <w:szCs w:val="22"/>
        </w:rPr>
        <w:t xml:space="preserve"> ubicarlos simplemente por el hecho de pertenecer o haber sido parte de una organización que lleve a cabo actividades de prevención y salvaguarda de la integridad de las personas en el combate a la delincuencia; además, dicha información puede ser utilizad</w:t>
      </w:r>
      <w:r>
        <w:rPr>
          <w:rFonts w:ascii="Palatino Linotype" w:eastAsia="Palatino Linotype" w:hAnsi="Palatino Linotype" w:cs="Palatino Linotype"/>
          <w:color w:val="000000"/>
          <w:sz w:val="22"/>
          <w:szCs w:val="22"/>
        </w:rPr>
        <w:t xml:space="preserve">a para vulnerar su vida, seguridad o salud, incluso la de sus familias o entorno social, al aumentar el riesgo de que </w:t>
      </w:r>
      <w:r>
        <w:rPr>
          <w:rFonts w:ascii="Palatino Linotype" w:eastAsia="Palatino Linotype" w:hAnsi="Palatino Linotype" w:cs="Palatino Linotype"/>
          <w:color w:val="000000"/>
          <w:sz w:val="22"/>
          <w:szCs w:val="22"/>
        </w:rPr>
        <w:lastRenderedPageBreak/>
        <w:t>personas ajenas a los intereses institucionales que persigue dicha área, intenten realizar actos tendientes a inhibir o entrometerse en la</w:t>
      </w:r>
      <w:r>
        <w:rPr>
          <w:rFonts w:ascii="Palatino Linotype" w:eastAsia="Palatino Linotype" w:hAnsi="Palatino Linotype" w:cs="Palatino Linotype"/>
          <w:color w:val="000000"/>
          <w:sz w:val="22"/>
          <w:szCs w:val="22"/>
        </w:rPr>
        <w:t>s funciones de los policías municipales, lo cual causaría una vulneración a la seguridad municipal.</w:t>
      </w:r>
    </w:p>
    <w:p w14:paraId="3755D561"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2E7A940"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Sin embargo, por lo que hace al personal administrativo y los mandos medios y superiores, se advierte que estos no realizan funciones operativas, sino únic</w:t>
      </w:r>
      <w:r>
        <w:rPr>
          <w:rFonts w:ascii="Palatino Linotype" w:eastAsia="Palatino Linotype" w:hAnsi="Palatino Linotype" w:cs="Palatino Linotype"/>
          <w:color w:val="000000"/>
          <w:sz w:val="22"/>
          <w:szCs w:val="22"/>
        </w:rPr>
        <w:t>amente realizan actividades de apoyo y dirección respectivamente, por lo que, no procede la causal de reserva establecida en el artículo 140, fracción IV, de la Ley de la materia, pues por el tipo de funciones que realizan, no se pone en peligro su vida, s</w:t>
      </w:r>
      <w:r>
        <w:rPr>
          <w:rFonts w:ascii="Palatino Linotype" w:eastAsia="Palatino Linotype" w:hAnsi="Palatino Linotype" w:cs="Palatino Linotype"/>
          <w:color w:val="000000"/>
          <w:sz w:val="22"/>
          <w:szCs w:val="22"/>
        </w:rPr>
        <w:t>eguridad o salud de este tipo de trabajadores.</w:t>
      </w:r>
    </w:p>
    <w:p w14:paraId="3C54F33D"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22042FB9"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 situación, se considera que dar a conocer el nombre de los policías municipales, puede poner en riesgo la vida, seguridad y salud de estos, de sus familias e incluso su entorno social, pues al hacerlos</w:t>
      </w:r>
      <w:r>
        <w:rPr>
          <w:rFonts w:ascii="Palatino Linotype" w:eastAsia="Palatino Linotype" w:hAnsi="Palatino Linotype" w:cs="Palatino Linotype"/>
          <w:color w:val="000000"/>
          <w:sz w:val="22"/>
          <w:szCs w:val="22"/>
        </w:rPr>
        <w:t xml:space="preserve"> identificables, los hacen blancos de los agentes delincuenciales o inclusive a la delincuencia organizada, los cuales podrían amenazar o causarles algún daño, con el fin de entorpecer o disminuir la seguridad pública y aumentar la comisión de actos ilícit</w:t>
      </w:r>
      <w:r>
        <w:rPr>
          <w:rFonts w:ascii="Palatino Linotype" w:eastAsia="Palatino Linotype" w:hAnsi="Palatino Linotype" w:cs="Palatino Linotype"/>
          <w:color w:val="000000"/>
          <w:sz w:val="22"/>
          <w:szCs w:val="22"/>
        </w:rPr>
        <w:t>os.</w:t>
      </w:r>
    </w:p>
    <w:p w14:paraId="15A78767"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70240ED"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toma relevancia pues los individuos con pretensiones delictivas pudieran promover algún vínculo o relación directa con los elementos operativos, que incluye a la policía municipal o bien, someterla a extorsión o amenazas con el fin de obte</w:t>
      </w:r>
      <w:r>
        <w:rPr>
          <w:rFonts w:ascii="Palatino Linotype" w:eastAsia="Palatino Linotype" w:hAnsi="Palatino Linotype" w:cs="Palatino Linotype"/>
          <w:color w:val="000000"/>
          <w:sz w:val="22"/>
          <w:szCs w:val="22"/>
        </w:rPr>
        <w:t>ner información sensible sobre el modus operandi de dicha área, lo cual se traduciría en un detrimento al combate a la delincuencia y un perjuicio a la seguridad pública, vulnerando así, el interés general.</w:t>
      </w:r>
    </w:p>
    <w:p w14:paraId="0C819B05"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324B6E7" w14:textId="77777777" w:rsidR="00A4751E" w:rsidRDefault="00B74A65">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Por tales consideraciones, </w:t>
      </w:r>
      <w:r>
        <w:rPr>
          <w:rFonts w:ascii="Palatino Linotype" w:eastAsia="Palatino Linotype" w:hAnsi="Palatino Linotype" w:cs="Palatino Linotype"/>
          <w:b/>
          <w:color w:val="000000"/>
          <w:sz w:val="22"/>
          <w:szCs w:val="22"/>
        </w:rPr>
        <w:t xml:space="preserve">resulta procedente la reserva del nombre de los elementos operativos en materia de seguridad adscritos a la Dirección de Seguridad Pública, en </w:t>
      </w:r>
      <w:r>
        <w:rPr>
          <w:rFonts w:ascii="Palatino Linotype" w:eastAsia="Palatino Linotype" w:hAnsi="Palatino Linotype" w:cs="Palatino Linotype"/>
          <w:b/>
          <w:color w:val="000000"/>
          <w:sz w:val="22"/>
          <w:szCs w:val="22"/>
        </w:rPr>
        <w:lastRenderedPageBreak/>
        <w:t xml:space="preserve">términos del artículo 140, fracción IV, de  la Ley de Transparencia y Acceso a la Información Pública del Estado </w:t>
      </w:r>
      <w:r>
        <w:rPr>
          <w:rFonts w:ascii="Palatino Linotype" w:eastAsia="Palatino Linotype" w:hAnsi="Palatino Linotype" w:cs="Palatino Linotype"/>
          <w:b/>
          <w:color w:val="000000"/>
          <w:sz w:val="22"/>
          <w:szCs w:val="22"/>
        </w:rPr>
        <w:t>de México y Municipios.</w:t>
      </w:r>
    </w:p>
    <w:p w14:paraId="12899C94"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4489961" w14:textId="77777777" w:rsidR="00A4751E" w:rsidRDefault="00B74A65">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Sobre el particular, cabe traer a colación el artículo 141 de la Ley de Transparencia y Acceso a la Información Pública del Estado de México y Municipios, que establece que las causales de reserva se deberán fundar y motivar, a tra</w:t>
      </w:r>
      <w:r>
        <w:rPr>
          <w:rFonts w:ascii="Palatino Linotype" w:eastAsia="Palatino Linotype" w:hAnsi="Palatino Linotype" w:cs="Palatino Linotype"/>
          <w:color w:val="000000"/>
          <w:sz w:val="22"/>
          <w:szCs w:val="22"/>
        </w:rPr>
        <w:t>vés de la aplicación de la prueba de daño establecida en el artículo 129 de dicho ordenamiento, que se debe justificar de la siguiente manera:</w:t>
      </w:r>
    </w:p>
    <w:p w14:paraId="3031003F" w14:textId="77777777" w:rsidR="00A4751E" w:rsidRDefault="00A4751E">
      <w:pPr>
        <w:tabs>
          <w:tab w:val="left" w:pos="4962"/>
        </w:tabs>
        <w:spacing w:line="360" w:lineRule="auto"/>
        <w:jc w:val="both"/>
        <w:rPr>
          <w:rFonts w:ascii="Palatino Linotype" w:eastAsia="Palatino Linotype" w:hAnsi="Palatino Linotype" w:cs="Palatino Linotype"/>
          <w:color w:val="000000"/>
          <w:sz w:val="22"/>
          <w:szCs w:val="22"/>
        </w:rPr>
      </w:pPr>
    </w:p>
    <w:p w14:paraId="62E33AD7" w14:textId="77777777" w:rsidR="00A4751E" w:rsidRDefault="00B74A65">
      <w:pPr>
        <w:numPr>
          <w:ilvl w:val="0"/>
          <w:numId w:val="2"/>
        </w:numPr>
        <w:tabs>
          <w:tab w:val="left" w:pos="4962"/>
        </w:tabs>
        <w:spacing w:line="360" w:lineRule="auto"/>
        <w:ind w:left="709" w:hanging="43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divulgación de la información representa un riesgo real, demostrable e identificable de perjuicio </w:t>
      </w:r>
      <w:r>
        <w:rPr>
          <w:rFonts w:ascii="Palatino Linotype" w:eastAsia="Palatino Linotype" w:hAnsi="Palatino Linotype" w:cs="Palatino Linotype"/>
          <w:color w:val="000000"/>
          <w:sz w:val="22"/>
          <w:szCs w:val="22"/>
        </w:rPr>
        <w:t>significativo al interés público o a la seguridad nacional.</w:t>
      </w:r>
    </w:p>
    <w:p w14:paraId="42552EA9" w14:textId="77777777" w:rsidR="00A4751E" w:rsidRDefault="00A4751E">
      <w:pPr>
        <w:tabs>
          <w:tab w:val="left" w:pos="4962"/>
        </w:tabs>
        <w:spacing w:line="360" w:lineRule="auto"/>
        <w:ind w:left="709"/>
        <w:jc w:val="both"/>
        <w:rPr>
          <w:rFonts w:ascii="Palatino Linotype" w:eastAsia="Palatino Linotype" w:hAnsi="Palatino Linotype" w:cs="Palatino Linotype"/>
          <w:color w:val="000000"/>
          <w:sz w:val="22"/>
          <w:szCs w:val="22"/>
        </w:rPr>
      </w:pPr>
    </w:p>
    <w:p w14:paraId="58EBDA17" w14:textId="77777777" w:rsidR="00A4751E" w:rsidRDefault="00B74A65">
      <w:pPr>
        <w:numPr>
          <w:ilvl w:val="0"/>
          <w:numId w:val="2"/>
        </w:numPr>
        <w:tabs>
          <w:tab w:val="left" w:pos="4962"/>
        </w:tabs>
        <w:spacing w:line="360" w:lineRule="auto"/>
        <w:ind w:left="709" w:hanging="43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riesgo de perjuicio supera el interés público general de que se difunda.</w:t>
      </w:r>
    </w:p>
    <w:p w14:paraId="6B1A963F" w14:textId="77777777" w:rsidR="00A4751E" w:rsidRDefault="00A4751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7602CC52" w14:textId="77777777" w:rsidR="00A4751E" w:rsidRDefault="00B74A65">
      <w:pPr>
        <w:numPr>
          <w:ilvl w:val="0"/>
          <w:numId w:val="2"/>
        </w:numPr>
        <w:tabs>
          <w:tab w:val="left" w:pos="4962"/>
        </w:tabs>
        <w:spacing w:line="360" w:lineRule="auto"/>
        <w:ind w:left="709" w:hanging="43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Que la limitación se adecua al principio de proporcionalidad y representa el medio menos restrictivo disponible para e</w:t>
      </w:r>
      <w:r>
        <w:rPr>
          <w:rFonts w:ascii="Palatino Linotype" w:eastAsia="Palatino Linotype" w:hAnsi="Palatino Linotype" w:cs="Palatino Linotype"/>
          <w:color w:val="000000"/>
          <w:sz w:val="22"/>
          <w:szCs w:val="22"/>
        </w:rPr>
        <w:t>vitar el perjuicio.</w:t>
      </w:r>
    </w:p>
    <w:p w14:paraId="6465531C" w14:textId="77777777" w:rsidR="00A4751E" w:rsidRDefault="00A4751E">
      <w:pPr>
        <w:spacing w:line="360" w:lineRule="auto"/>
        <w:rPr>
          <w:rFonts w:ascii="Palatino Linotype" w:eastAsia="Palatino Linotype" w:hAnsi="Palatino Linotype" w:cs="Palatino Linotype"/>
          <w:color w:val="000000"/>
          <w:sz w:val="22"/>
          <w:szCs w:val="22"/>
        </w:rPr>
      </w:pPr>
    </w:p>
    <w:p w14:paraId="1E32339D"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artículo 125 de la Ley de la materia, establece que la información clasificada como reservada según el artículo 140 de la Ley de Transparencia y Acceso a la Información Pública del Estado de México y Municipios, podrá perman</w:t>
      </w:r>
      <w:r>
        <w:rPr>
          <w:rFonts w:ascii="Palatino Linotype" w:eastAsia="Palatino Linotype" w:hAnsi="Palatino Linotype" w:cs="Palatino Linotype"/>
          <w:color w:val="000000"/>
          <w:sz w:val="22"/>
          <w:szCs w:val="22"/>
        </w:rPr>
        <w:t>ecer con tal carácter hasta por un periodo de cinco años. Asimismo señala que los documentos reservados serán desclasificados cuando se extingan las causas que dieron origen a su clasificación, expire el plazo establecido, exista resolución de una autorida</w:t>
      </w:r>
      <w:r>
        <w:rPr>
          <w:rFonts w:ascii="Palatino Linotype" w:eastAsia="Palatino Linotype" w:hAnsi="Palatino Linotype" w:cs="Palatino Linotype"/>
          <w:color w:val="000000"/>
          <w:sz w:val="22"/>
          <w:szCs w:val="22"/>
        </w:rPr>
        <w:t>d competente que determine que existe una causa de interés público que prevalece sobre la reserva de la información, o bien el Comité de Transparencia considere pertinente la desclasificación o se trate de información que esté relacionada con violaciones g</w:t>
      </w:r>
      <w:r>
        <w:rPr>
          <w:rFonts w:ascii="Palatino Linotype" w:eastAsia="Palatino Linotype" w:hAnsi="Palatino Linotype" w:cs="Palatino Linotype"/>
          <w:color w:val="000000"/>
          <w:sz w:val="22"/>
          <w:szCs w:val="22"/>
        </w:rPr>
        <w:t xml:space="preserve">raves a derechos humanos o delitos de lesa humanidad; por lo que, en las </w:t>
      </w:r>
      <w:r>
        <w:rPr>
          <w:rFonts w:ascii="Palatino Linotype" w:eastAsia="Palatino Linotype" w:hAnsi="Palatino Linotype" w:cs="Palatino Linotype"/>
          <w:color w:val="000000"/>
          <w:sz w:val="22"/>
          <w:szCs w:val="22"/>
        </w:rPr>
        <w:lastRenderedPageBreak/>
        <w:t>versiones públicas, deberá clasificar el nombre de los elementos operativos de la Dirección General de Seguridad y Protección de manera fundada y motivada, mediante la respectiva prue</w:t>
      </w:r>
      <w:r>
        <w:rPr>
          <w:rFonts w:ascii="Palatino Linotype" w:eastAsia="Palatino Linotype" w:hAnsi="Palatino Linotype" w:cs="Palatino Linotype"/>
          <w:color w:val="000000"/>
          <w:sz w:val="22"/>
          <w:szCs w:val="22"/>
        </w:rPr>
        <w:t>ba de daño.</w:t>
      </w:r>
    </w:p>
    <w:p w14:paraId="06F2CABB"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2B58205B" w14:textId="77777777" w:rsidR="00A4751E" w:rsidRDefault="00B74A65">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que, para atender el requerimiento deberá proporcionar los documentos solicitados en versión pública; para tal situación, el Sujeto Obligado deberá seguir el procedimiento establecido en el artículo 168 de dicho ordenamiento jurídico; e</w:t>
      </w:r>
      <w:r>
        <w:rPr>
          <w:rFonts w:ascii="Palatino Linotype" w:eastAsia="Palatino Linotype" w:hAnsi="Palatino Linotype" w:cs="Palatino Linotype"/>
          <w:color w:val="000000"/>
          <w:sz w:val="22"/>
          <w:szCs w:val="22"/>
        </w:rPr>
        <w:t>sto es, que el área competente deberá elaborar la versión pública en los términos planteados en la presente Resolución, así como emitir el Acuerdo, por parte del Comité de Transparencia, donde confirme la clasificación de manera enunciativa más no limitati</w:t>
      </w:r>
      <w:r>
        <w:rPr>
          <w:rFonts w:ascii="Palatino Linotype" w:eastAsia="Palatino Linotype" w:hAnsi="Palatino Linotype" w:cs="Palatino Linotype"/>
          <w:color w:val="000000"/>
          <w:sz w:val="22"/>
          <w:szCs w:val="22"/>
        </w:rPr>
        <w:t>va los datos previamente señalados, fundando y motivando la clasificación.</w:t>
      </w:r>
    </w:p>
    <w:p w14:paraId="6EDE1447" w14:textId="77777777" w:rsidR="00A4751E" w:rsidRDefault="00A4751E">
      <w:pPr>
        <w:spacing w:line="360" w:lineRule="auto"/>
        <w:jc w:val="both"/>
        <w:rPr>
          <w:rFonts w:ascii="Palatino Linotype" w:eastAsia="Palatino Linotype" w:hAnsi="Palatino Linotype" w:cs="Palatino Linotype"/>
          <w:b/>
          <w:sz w:val="22"/>
          <w:szCs w:val="22"/>
        </w:rPr>
      </w:pPr>
    </w:p>
    <w:p w14:paraId="58BCE419" w14:textId="77777777" w:rsidR="00A4751E" w:rsidRDefault="00B74A65">
      <w:pPr>
        <w:pStyle w:val="Ttulo2"/>
        <w:spacing w:before="0" w:line="360" w:lineRule="auto"/>
        <w:rPr>
          <w:rFonts w:ascii="Palatino Linotype" w:eastAsia="Palatino Linotype" w:hAnsi="Palatino Linotype" w:cs="Palatino Linotype"/>
          <w:b/>
          <w:color w:val="000000"/>
          <w:sz w:val="22"/>
          <w:szCs w:val="22"/>
        </w:rPr>
      </w:pPr>
      <w:bookmarkStart w:id="12" w:name="_Toc195201257"/>
      <w:r>
        <w:rPr>
          <w:rFonts w:ascii="Palatino Linotype" w:eastAsia="Palatino Linotype" w:hAnsi="Palatino Linotype" w:cs="Palatino Linotype"/>
          <w:b/>
          <w:color w:val="000000"/>
          <w:sz w:val="22"/>
          <w:szCs w:val="22"/>
        </w:rPr>
        <w:t>SEXTO. Decisión</w:t>
      </w:r>
      <w:bookmarkEnd w:id="12"/>
    </w:p>
    <w:p w14:paraId="61877A1B" w14:textId="77777777" w:rsidR="00A4751E" w:rsidRDefault="00A4751E">
      <w:pPr>
        <w:spacing w:line="360" w:lineRule="auto"/>
        <w:jc w:val="both"/>
        <w:rPr>
          <w:rFonts w:ascii="Palatino Linotype" w:eastAsia="Palatino Linotype" w:hAnsi="Palatino Linotype" w:cs="Palatino Linotype"/>
          <w:b/>
          <w:sz w:val="22"/>
          <w:szCs w:val="22"/>
        </w:rPr>
      </w:pPr>
    </w:p>
    <w:p w14:paraId="256454A6"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con lo expuesto y, con fundamento en el artículo 186, fracción III, de la Ley de Transparencia y Acceso a la Información Pública del Estado de México y </w:t>
      </w:r>
      <w:r>
        <w:rPr>
          <w:rFonts w:ascii="Palatino Linotype" w:eastAsia="Palatino Linotype" w:hAnsi="Palatino Linotype" w:cs="Palatino Linotype"/>
          <w:sz w:val="22"/>
          <w:szCs w:val="22"/>
        </w:rPr>
        <w:t xml:space="preserve">Municipios, este Instituto considera procedente </w:t>
      </w:r>
      <w:r>
        <w:rPr>
          <w:rFonts w:ascii="Palatino Linotype" w:eastAsia="Palatino Linotype" w:hAnsi="Palatino Linotype" w:cs="Palatino Linotype"/>
          <w:b/>
          <w:sz w:val="22"/>
          <w:szCs w:val="22"/>
        </w:rPr>
        <w:t>REVOCAR</w:t>
      </w:r>
      <w:r>
        <w:rPr>
          <w:rFonts w:ascii="Palatino Linotype" w:eastAsia="Palatino Linotype" w:hAnsi="Palatino Linotype" w:cs="Palatino Linotype"/>
          <w:sz w:val="22"/>
          <w:szCs w:val="22"/>
        </w:rPr>
        <w:t xml:space="preserve"> la respuesta del Ayuntamiento de Cocotitlán, a efecto de que entregue la nómina del personal adscrito al Ayuntamiento, como se haya generado.</w:t>
      </w:r>
    </w:p>
    <w:p w14:paraId="15101AEE" w14:textId="77777777" w:rsidR="00A4751E" w:rsidRDefault="00A4751E">
      <w:pPr>
        <w:spacing w:line="360" w:lineRule="auto"/>
        <w:jc w:val="both"/>
        <w:rPr>
          <w:rFonts w:ascii="Palatino Linotype" w:eastAsia="Palatino Linotype" w:hAnsi="Palatino Linotype" w:cs="Palatino Linotype"/>
          <w:b/>
          <w:sz w:val="22"/>
          <w:szCs w:val="22"/>
        </w:rPr>
      </w:pPr>
    </w:p>
    <w:p w14:paraId="25E5DFE6" w14:textId="77777777" w:rsidR="00A4751E" w:rsidRDefault="00B74A6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Términos de la Resolución para conocimiento del Particula</w:t>
      </w:r>
      <w:r>
        <w:rPr>
          <w:rFonts w:ascii="Palatino Linotype" w:eastAsia="Palatino Linotype" w:hAnsi="Palatino Linotype" w:cs="Palatino Linotype"/>
          <w:b/>
          <w:sz w:val="22"/>
          <w:szCs w:val="22"/>
        </w:rPr>
        <w:t>r</w:t>
      </w:r>
    </w:p>
    <w:p w14:paraId="7ECB404F" w14:textId="77777777" w:rsidR="00A4751E" w:rsidRDefault="00A4751E">
      <w:pPr>
        <w:spacing w:line="360" w:lineRule="auto"/>
        <w:jc w:val="both"/>
        <w:rPr>
          <w:rFonts w:ascii="Palatino Linotype" w:eastAsia="Palatino Linotype" w:hAnsi="Palatino Linotype" w:cs="Palatino Linotype"/>
          <w:b/>
          <w:sz w:val="22"/>
          <w:szCs w:val="22"/>
        </w:rPr>
      </w:pPr>
    </w:p>
    <w:p w14:paraId="566F1B06"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concede la razón, pues el Sujeto Obligado, dentro de la normativa está obligado a expedir las nóminas como </w:t>
      </w:r>
      <w:r>
        <w:rPr>
          <w:rFonts w:ascii="Palatino Linotype" w:eastAsia="Palatino Linotype" w:hAnsi="Palatino Linotype" w:cs="Palatino Linotype"/>
          <w:sz w:val="22"/>
          <w:szCs w:val="22"/>
        </w:rPr>
        <w:lastRenderedPageBreak/>
        <w:t xml:space="preserve">anteriormente se mencionó, por lo que, deberá entregársela tal y como </w:t>
      </w:r>
      <w:r>
        <w:rPr>
          <w:rFonts w:ascii="Palatino Linotype" w:eastAsia="Palatino Linotype" w:hAnsi="Palatino Linotype" w:cs="Palatino Linotype"/>
          <w:sz w:val="22"/>
          <w:szCs w:val="22"/>
        </w:rPr>
        <w:t>la haya generado en versión pública.</w:t>
      </w:r>
    </w:p>
    <w:p w14:paraId="7F6C86A0" w14:textId="77777777" w:rsidR="00A4751E" w:rsidRDefault="00A4751E">
      <w:pPr>
        <w:spacing w:line="360" w:lineRule="auto"/>
        <w:jc w:val="both"/>
        <w:rPr>
          <w:rFonts w:ascii="Palatino Linotype" w:eastAsia="Palatino Linotype" w:hAnsi="Palatino Linotype" w:cs="Palatino Linotype"/>
          <w:sz w:val="22"/>
          <w:szCs w:val="22"/>
        </w:rPr>
      </w:pPr>
    </w:p>
    <w:p w14:paraId="017592FA"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le informa que la labor de este Instituto de Transparencia, Acceso a la Información Pública y Protección de Datos Personales del Estado de México y Municipios, es apoyar a la población a acceder a la inf</w:t>
      </w:r>
      <w:r>
        <w:rPr>
          <w:rFonts w:ascii="Palatino Linotype" w:eastAsia="Palatino Linotype" w:hAnsi="Palatino Linotype" w:cs="Palatino Linotype"/>
          <w:sz w:val="22"/>
          <w:szCs w:val="22"/>
        </w:rPr>
        <w:t>ormación pública y garantizar la protección de los datos personales.</w:t>
      </w:r>
    </w:p>
    <w:p w14:paraId="16943533" w14:textId="77777777" w:rsidR="00A4751E" w:rsidRDefault="00A4751E">
      <w:pPr>
        <w:spacing w:line="360" w:lineRule="auto"/>
        <w:jc w:val="both"/>
        <w:rPr>
          <w:rFonts w:ascii="Palatino Linotype" w:eastAsia="Palatino Linotype" w:hAnsi="Palatino Linotype" w:cs="Palatino Linotype"/>
          <w:b/>
          <w:sz w:val="22"/>
          <w:szCs w:val="22"/>
        </w:rPr>
      </w:pPr>
    </w:p>
    <w:p w14:paraId="4EC997BB"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26CEBABD" w14:textId="77777777" w:rsidR="00A4751E" w:rsidRDefault="00A4751E">
      <w:pPr>
        <w:spacing w:line="360" w:lineRule="auto"/>
        <w:jc w:val="both"/>
        <w:rPr>
          <w:rFonts w:ascii="Palatino Linotype" w:eastAsia="Palatino Linotype" w:hAnsi="Palatino Linotype" w:cs="Palatino Linotype"/>
          <w:b/>
          <w:sz w:val="22"/>
          <w:szCs w:val="22"/>
        </w:rPr>
      </w:pPr>
    </w:p>
    <w:p w14:paraId="63DE9FB4" w14:textId="77777777" w:rsidR="00A4751E" w:rsidRDefault="00B74A65">
      <w:pPr>
        <w:pStyle w:val="Ttulo1"/>
        <w:spacing w:before="0" w:line="360" w:lineRule="auto"/>
        <w:jc w:val="center"/>
        <w:rPr>
          <w:rFonts w:ascii="Palatino Linotype" w:eastAsia="Palatino Linotype" w:hAnsi="Palatino Linotype" w:cs="Palatino Linotype"/>
          <w:b/>
          <w:color w:val="000000"/>
          <w:sz w:val="22"/>
          <w:szCs w:val="22"/>
        </w:rPr>
      </w:pPr>
      <w:bookmarkStart w:id="13" w:name="_Toc195201258"/>
      <w:r>
        <w:rPr>
          <w:rFonts w:ascii="Palatino Linotype" w:eastAsia="Palatino Linotype" w:hAnsi="Palatino Linotype" w:cs="Palatino Linotype"/>
          <w:b/>
          <w:color w:val="000000"/>
          <w:sz w:val="22"/>
          <w:szCs w:val="22"/>
        </w:rPr>
        <w:t>R E S U E L V E</w:t>
      </w:r>
      <w:bookmarkEnd w:id="13"/>
    </w:p>
    <w:p w14:paraId="6EA19B52" w14:textId="77777777" w:rsidR="00A4751E" w:rsidRDefault="00A4751E">
      <w:pPr>
        <w:spacing w:line="360" w:lineRule="auto"/>
        <w:jc w:val="both"/>
        <w:rPr>
          <w:rFonts w:ascii="Palatino Linotype" w:eastAsia="Palatino Linotype" w:hAnsi="Palatino Linotype" w:cs="Palatino Linotype"/>
          <w:b/>
          <w:sz w:val="22"/>
          <w:szCs w:val="22"/>
        </w:rPr>
      </w:pPr>
    </w:p>
    <w:p w14:paraId="48D09E50" w14:textId="77777777" w:rsidR="00A4751E" w:rsidRDefault="00B74A6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PRIMERO. </w:t>
      </w:r>
      <w:r w:rsidRPr="00853236">
        <w:rPr>
          <w:rFonts w:ascii="Palatino Linotype" w:eastAsia="Palatino Linotype" w:hAnsi="Palatino Linotype" w:cs="Palatino Linotype"/>
          <w:bCs/>
          <w:sz w:val="22"/>
          <w:szCs w:val="22"/>
        </w:rPr>
        <w:t xml:space="preserve">Se </w:t>
      </w:r>
      <w:r w:rsidRPr="00853236">
        <w:rPr>
          <w:rFonts w:ascii="Palatino Linotype" w:eastAsia="Palatino Linotype" w:hAnsi="Palatino Linotype" w:cs="Palatino Linotype"/>
          <w:b/>
          <w:sz w:val="22"/>
          <w:szCs w:val="22"/>
        </w:rPr>
        <w:t>REV</w:t>
      </w:r>
      <w:r>
        <w:rPr>
          <w:rFonts w:ascii="Palatino Linotype" w:eastAsia="Palatino Linotype" w:hAnsi="Palatino Linotype" w:cs="Palatino Linotype"/>
          <w:b/>
          <w:sz w:val="22"/>
          <w:szCs w:val="22"/>
        </w:rPr>
        <w:t xml:space="preserve">OCA </w:t>
      </w:r>
      <w:r>
        <w:rPr>
          <w:rFonts w:ascii="Palatino Linotype" w:eastAsia="Palatino Linotype" w:hAnsi="Palatino Linotype" w:cs="Palatino Linotype"/>
          <w:sz w:val="22"/>
          <w:szCs w:val="22"/>
        </w:rPr>
        <w:t xml:space="preserve">la respuesta otorgada por el Sujeto Obligado a la solicitud de acceso a la información 00119/COCOTIT/IP/2025, por resultar </w:t>
      </w:r>
      <w:r>
        <w:rPr>
          <w:rFonts w:ascii="Palatino Linotype" w:eastAsia="Palatino Linotype" w:hAnsi="Palatino Linotype" w:cs="Palatino Linotype"/>
          <w:b/>
          <w:sz w:val="22"/>
          <w:szCs w:val="22"/>
        </w:rPr>
        <w:t xml:space="preserve">FUNDADOS </w:t>
      </w:r>
      <w:r>
        <w:rPr>
          <w:rFonts w:ascii="Palatino Linotype" w:eastAsia="Palatino Linotype" w:hAnsi="Palatino Linotype" w:cs="Palatino Linotype"/>
          <w:sz w:val="22"/>
          <w:szCs w:val="22"/>
        </w:rPr>
        <w:t>los agravios hechos valer por el Particular, en el Recurso de Revisión, en términos de los Considerandos QUINTO y SEXTO de l</w:t>
      </w:r>
      <w:r>
        <w:rPr>
          <w:rFonts w:ascii="Palatino Linotype" w:eastAsia="Palatino Linotype" w:hAnsi="Palatino Linotype" w:cs="Palatino Linotype"/>
          <w:sz w:val="22"/>
          <w:szCs w:val="22"/>
        </w:rPr>
        <w:t>a presente Resolución</w:t>
      </w:r>
      <w:r>
        <w:rPr>
          <w:rFonts w:ascii="Palatino Linotype" w:eastAsia="Palatino Linotype" w:hAnsi="Palatino Linotype" w:cs="Palatino Linotype"/>
          <w:b/>
          <w:sz w:val="22"/>
          <w:szCs w:val="22"/>
        </w:rPr>
        <w:t xml:space="preserve">.  </w:t>
      </w:r>
    </w:p>
    <w:p w14:paraId="065630EB" w14:textId="77777777" w:rsidR="00A4751E" w:rsidRDefault="00A4751E">
      <w:pPr>
        <w:spacing w:line="360" w:lineRule="auto"/>
        <w:jc w:val="both"/>
        <w:rPr>
          <w:rFonts w:ascii="Palatino Linotype" w:eastAsia="Palatino Linotype" w:hAnsi="Palatino Linotype" w:cs="Palatino Linotype"/>
          <w:b/>
          <w:sz w:val="22"/>
          <w:szCs w:val="22"/>
        </w:rPr>
      </w:pPr>
    </w:p>
    <w:p w14:paraId="339F5048" w14:textId="77777777" w:rsidR="00A4751E" w:rsidRDefault="00B74A6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sz w:val="22"/>
          <w:szCs w:val="22"/>
        </w:rPr>
        <w:t xml:space="preserve"> ORDENA </w:t>
      </w:r>
      <w:r>
        <w:rPr>
          <w:rFonts w:ascii="Palatino Linotype" w:eastAsia="Palatino Linotype" w:hAnsi="Palatino Linotype" w:cs="Palatino Linotype"/>
          <w:sz w:val="22"/>
          <w:szCs w:val="22"/>
        </w:rPr>
        <w:t>al Sujeto Obligado, a efecto de que, previa búsqueda exhaustiva y razonable en las áreas competentes, a través del Sistema de Acceso a la Información Mexiquense (SAIMEX), entregue, en versión pública, los docume</w:t>
      </w:r>
      <w:r>
        <w:rPr>
          <w:rFonts w:ascii="Palatino Linotype" w:eastAsia="Palatino Linotype" w:hAnsi="Palatino Linotype" w:cs="Palatino Linotype"/>
          <w:sz w:val="22"/>
          <w:szCs w:val="22"/>
        </w:rPr>
        <w:t>ntos donde conste lo siguiente</w:t>
      </w:r>
      <w:r>
        <w:rPr>
          <w:rFonts w:ascii="Palatino Linotype" w:eastAsia="Palatino Linotype" w:hAnsi="Palatino Linotype" w:cs="Palatino Linotype"/>
          <w:b/>
          <w:sz w:val="22"/>
          <w:szCs w:val="22"/>
        </w:rPr>
        <w:t xml:space="preserve">: </w:t>
      </w:r>
    </w:p>
    <w:p w14:paraId="01D7BABE" w14:textId="77777777" w:rsidR="00A4751E" w:rsidRDefault="00A4751E">
      <w:pPr>
        <w:spacing w:line="360" w:lineRule="auto"/>
        <w:jc w:val="both"/>
        <w:rPr>
          <w:rFonts w:ascii="Palatino Linotype" w:eastAsia="Palatino Linotype" w:hAnsi="Palatino Linotype" w:cs="Palatino Linotype"/>
          <w:sz w:val="22"/>
          <w:szCs w:val="22"/>
        </w:rPr>
      </w:pPr>
    </w:p>
    <w:p w14:paraId="4C23C3AB" w14:textId="129DE65F" w:rsidR="00A4751E" w:rsidRDefault="00B74A65">
      <w:pPr>
        <w:numPr>
          <w:ilvl w:val="0"/>
          <w:numId w:val="8"/>
        </w:numPr>
        <w:pBdr>
          <w:top w:val="nil"/>
          <w:left w:val="nil"/>
          <w:bottom w:val="nil"/>
          <w:right w:val="nil"/>
          <w:between w:val="nil"/>
        </w:pBdr>
        <w:tabs>
          <w:tab w:val="center" w:pos="452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nómina de la primera y segunda quincena de enero, así como, la primera de febrero de dos mil veinticinco, de los servidores públicos adscritos al Ayuntamiento </w:t>
      </w:r>
      <w:r w:rsidR="00CE254A">
        <w:rPr>
          <w:rFonts w:ascii="Palatino Linotype" w:eastAsia="Palatino Linotype" w:hAnsi="Palatino Linotype" w:cs="Palatino Linotype"/>
          <w:color w:val="000000"/>
          <w:sz w:val="22"/>
          <w:szCs w:val="22"/>
        </w:rPr>
        <w:t>de Cocotitlán</w:t>
      </w:r>
      <w:r>
        <w:rPr>
          <w:rFonts w:ascii="Palatino Linotype" w:eastAsia="Palatino Linotype" w:hAnsi="Palatino Linotype" w:cs="Palatino Linotype"/>
          <w:color w:val="000000"/>
          <w:sz w:val="22"/>
          <w:szCs w:val="22"/>
        </w:rPr>
        <w:t>.</w:t>
      </w:r>
    </w:p>
    <w:p w14:paraId="13165D41" w14:textId="77777777" w:rsidR="00A4751E" w:rsidRDefault="00A4751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5C0440D5" w14:textId="77777777"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deberá proporcionar el Acuerdo de </w:t>
      </w:r>
      <w:r>
        <w:rPr>
          <w:rFonts w:ascii="Palatino Linotype" w:eastAsia="Palatino Linotype" w:hAnsi="Palatino Linotype" w:cs="Palatino Linotype"/>
          <w:color w:val="000000"/>
          <w:sz w:val="22"/>
          <w:szCs w:val="22"/>
        </w:rPr>
        <w:t>Clasificación donde el Comité de Transparencia, confirme la eliminación de los datos o información clasificada, en la versión pública, en términos del Considerando QUINTO, de conformidad con los artículos 49, fracciones II y VIII, y 132, fracción II, de la</w:t>
      </w:r>
      <w:r>
        <w:rPr>
          <w:rFonts w:ascii="Palatino Linotype" w:eastAsia="Palatino Linotype" w:hAnsi="Palatino Linotype" w:cs="Palatino Linotype"/>
          <w:color w:val="000000"/>
          <w:sz w:val="22"/>
          <w:szCs w:val="22"/>
        </w:rPr>
        <w:t xml:space="preserve"> Ley de Transparencia y Acceso a la Información Pública del Estado de México y Municipios.</w:t>
      </w:r>
    </w:p>
    <w:p w14:paraId="2A380A64" w14:textId="77777777" w:rsidR="00A4751E" w:rsidRDefault="00A4751E">
      <w:pPr>
        <w:spacing w:line="360" w:lineRule="auto"/>
        <w:jc w:val="both"/>
        <w:rPr>
          <w:rFonts w:ascii="Palatino Linotype" w:eastAsia="Palatino Linotype" w:hAnsi="Palatino Linotype" w:cs="Palatino Linotype"/>
          <w:b/>
          <w:sz w:val="22"/>
          <w:szCs w:val="22"/>
        </w:rPr>
      </w:pPr>
    </w:p>
    <w:p w14:paraId="42F35E18"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w:t>
      </w:r>
      <w:r>
        <w:rPr>
          <w:rFonts w:ascii="Palatino Linotype" w:eastAsia="Palatino Linotype" w:hAnsi="Palatino Linotype" w:cs="Palatino Linotype"/>
          <w:sz w:val="22"/>
          <w:szCs w:val="22"/>
        </w:rPr>
        <w:t>fo, 189, segundo párrafo, y 194 de la Ley de Transparencia y Acceso a la Información Pública del Estado de México y Municipios; dé cumplimiento a lo ordenado dentro del plazo de diez días hábiles, e informe a este Instituto en un plazo de tres días hábiles</w:t>
      </w:r>
      <w:r>
        <w:rPr>
          <w:rFonts w:ascii="Palatino Linotype" w:eastAsia="Palatino Linotype" w:hAnsi="Palatino Linotype" w:cs="Palatino Linotype"/>
          <w:sz w:val="22"/>
          <w:szCs w:val="22"/>
        </w:rPr>
        <w:t xml:space="preserve"> siguientes sobre el cumplimiento dado a la presente, se le apercibe que en caso de negarse a cumplir la presente resolución o hacerlo de manera parcial, se le impondrá una medida de apremio de conformidad con lo previsto en los artículos 198, 200, fracció</w:t>
      </w:r>
      <w:r>
        <w:rPr>
          <w:rFonts w:ascii="Palatino Linotype" w:eastAsia="Palatino Linotype" w:hAnsi="Palatino Linotype" w:cs="Palatino Linotype"/>
          <w:sz w:val="22"/>
          <w:szCs w:val="22"/>
        </w:rPr>
        <w:t>n III, 214, 215 y 216 de la Ley de Transparencia y Acceso a la Información Pública del Estado de México y Municipios.</w:t>
      </w:r>
    </w:p>
    <w:p w14:paraId="0D6D884D" w14:textId="77777777" w:rsidR="00A4751E" w:rsidRDefault="00A4751E">
      <w:pPr>
        <w:spacing w:line="360" w:lineRule="auto"/>
        <w:jc w:val="both"/>
        <w:rPr>
          <w:rFonts w:ascii="Palatino Linotype" w:eastAsia="Palatino Linotype" w:hAnsi="Palatino Linotype" w:cs="Palatino Linotype"/>
          <w:sz w:val="22"/>
          <w:szCs w:val="22"/>
        </w:rPr>
      </w:pPr>
    </w:p>
    <w:p w14:paraId="3E12B3AF" w14:textId="77777777" w:rsidR="00A4751E" w:rsidRDefault="00B74A6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w:t>
      </w:r>
      <w:r>
        <w:rPr>
          <w:rFonts w:ascii="Palatino Linotype" w:eastAsia="Palatino Linotype" w:hAnsi="Palatino Linotype" w:cs="Palatino Linotype"/>
          <w:sz w:val="22"/>
          <w:szCs w:val="22"/>
        </w:rPr>
        <w:t>siderarlo procedente, el Sujeto Obligado de manera fundada y motivada, podrá solicitar una ampliación de plazo para el cumplimiento de la presente resolución.</w:t>
      </w:r>
    </w:p>
    <w:p w14:paraId="6E8425E0" w14:textId="77777777" w:rsidR="00A4751E" w:rsidRDefault="00A4751E">
      <w:pPr>
        <w:spacing w:line="360" w:lineRule="auto"/>
        <w:jc w:val="both"/>
        <w:rPr>
          <w:rFonts w:ascii="Palatino Linotype" w:eastAsia="Palatino Linotype" w:hAnsi="Palatino Linotype" w:cs="Palatino Linotype"/>
          <w:b/>
          <w:sz w:val="22"/>
          <w:szCs w:val="22"/>
        </w:rPr>
      </w:pPr>
    </w:p>
    <w:p w14:paraId="5EADF264" w14:textId="77777777" w:rsidR="00A4751E" w:rsidRDefault="00B74A6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CUARTO. NOTIFÍQUESE POR SAIMEX </w:t>
      </w:r>
      <w:r>
        <w:rPr>
          <w:rFonts w:ascii="Palatino Linotype" w:eastAsia="Palatino Linotype" w:hAnsi="Palatino Linotype" w:cs="Palatino Linotype"/>
          <w:sz w:val="22"/>
          <w:szCs w:val="22"/>
        </w:rPr>
        <w:t>a la persona Recurrente la presente Resolución, asimismo, se hace</w:t>
      </w:r>
      <w:r>
        <w:rPr>
          <w:rFonts w:ascii="Palatino Linotype" w:eastAsia="Palatino Linotype" w:hAnsi="Palatino Linotype" w:cs="Palatino Linotype"/>
          <w:sz w:val="22"/>
          <w:szCs w:val="22"/>
        </w:rPr>
        <w:t xml:space="preserve"> de su conocimiento que de conformidad con lo establecido en el artículo </w:t>
      </w:r>
      <w:r>
        <w:rPr>
          <w:rFonts w:ascii="Palatino Linotype" w:eastAsia="Palatino Linotype" w:hAnsi="Palatino Linotype" w:cs="Palatino Linotype"/>
          <w:sz w:val="22"/>
          <w:szCs w:val="22"/>
        </w:rPr>
        <w:lastRenderedPageBreak/>
        <w:t>196 de la Ley de Transparencia y Acceso a la Información Pública del Estado de México y Municipios podrá promover el Juicio de Amparo en los términos de las leyes aplicables</w:t>
      </w:r>
      <w:r>
        <w:rPr>
          <w:rFonts w:ascii="Palatino Linotype" w:eastAsia="Palatino Linotype" w:hAnsi="Palatino Linotype" w:cs="Palatino Linotype"/>
          <w:b/>
          <w:sz w:val="22"/>
          <w:szCs w:val="22"/>
        </w:rPr>
        <w:t>.</w:t>
      </w:r>
    </w:p>
    <w:p w14:paraId="5238D572" w14:textId="77777777" w:rsidR="00A4751E" w:rsidRDefault="00B74A6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b/>
      </w:r>
    </w:p>
    <w:p w14:paraId="69615E90" w14:textId="16ABA7AC" w:rsidR="00A4751E" w:rsidRDefault="00B74A6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ASÍ LO</w:t>
      </w:r>
      <w:r>
        <w:rPr>
          <w:rFonts w:ascii="Palatino Linotype" w:eastAsia="Palatino Linotype" w:hAnsi="Palatino Linotype" w:cs="Palatino Linotype"/>
          <w:sz w:val="22"/>
          <w:szCs w:val="22"/>
        </w:rPr>
        <w:t xml:space="preserve"> RESUELVE, POR </w:t>
      </w:r>
      <w:r>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w:t>
      </w:r>
      <w:r>
        <w:rPr>
          <w:rFonts w:ascii="Palatino Linotype" w:eastAsia="Palatino Linotype" w:hAnsi="Palatino Linotype" w:cs="Palatino Linotype"/>
          <w:sz w:val="22"/>
          <w:szCs w:val="22"/>
        </w:rPr>
        <w:t xml:space="preserve">YALA, SHARON CRISTINA MORALES MARTÍNEZ, LUIS GUSTAVO PARRA NORIEGA </w:t>
      </w:r>
      <w:r w:rsidR="00853236">
        <w:rPr>
          <w:rFonts w:ascii="Palatino Linotype" w:eastAsia="Palatino Linotype" w:hAnsi="Palatino Linotype" w:cs="Palatino Linotype"/>
          <w:sz w:val="22"/>
          <w:szCs w:val="22"/>
        </w:rPr>
        <w:t xml:space="preserve">CON VOTO PARTICUALR </w:t>
      </w:r>
      <w:r>
        <w:rPr>
          <w:rFonts w:ascii="Palatino Linotype" w:eastAsia="Palatino Linotype" w:hAnsi="Palatino Linotype" w:cs="Palatino Linotype"/>
          <w:sz w:val="22"/>
          <w:szCs w:val="22"/>
        </w:rPr>
        <w:t>Y GUADALUPE RAMÍREZ PEÑA</w:t>
      </w:r>
      <w:r w:rsidR="00853236">
        <w:rPr>
          <w:rFonts w:ascii="Palatino Linotype" w:eastAsia="Palatino Linotype" w:hAnsi="Palatino Linotype" w:cs="Palatino Linotype"/>
          <w:sz w:val="22"/>
          <w:szCs w:val="22"/>
        </w:rPr>
        <w:t xml:space="preserve"> CON VOTO PARTICULAR</w:t>
      </w:r>
      <w:r>
        <w:rPr>
          <w:rFonts w:ascii="Palatino Linotype" w:eastAsia="Palatino Linotype" w:hAnsi="Palatino Linotype" w:cs="Palatino Linotype"/>
          <w:sz w:val="22"/>
          <w:szCs w:val="22"/>
        </w:rPr>
        <w:t xml:space="preserve">, EN LA DÉCIMA TERCERA SESIÓN ORDINARIA, CELEBRADA EL NUEVE DE ABRIL DE DOS MIL VEINTICINCO, ANTE EL SECRETARIO TÉCNICO DEL </w:t>
      </w:r>
      <w:r>
        <w:rPr>
          <w:rFonts w:ascii="Palatino Linotype" w:eastAsia="Palatino Linotype" w:hAnsi="Palatino Linotype" w:cs="Palatino Linotype"/>
          <w:sz w:val="22"/>
          <w:szCs w:val="22"/>
        </w:rPr>
        <w:t>PLENO, ALEXIS TAPIA RAMÍREZ.</w:t>
      </w:r>
    </w:p>
    <w:p w14:paraId="5775A695"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7848E06"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13496B9A"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02B1AA3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4DCE84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9C90C18"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10E1ED22"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652E0DB"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7489118A"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4972CF1F"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5480B8FE"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6945D538"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711A33B"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3AAFD8C3" w14:textId="77777777" w:rsidR="00A4751E" w:rsidRDefault="00A4751E">
      <w:pPr>
        <w:spacing w:line="360" w:lineRule="auto"/>
        <w:jc w:val="both"/>
        <w:rPr>
          <w:rFonts w:ascii="Palatino Linotype" w:eastAsia="Palatino Linotype" w:hAnsi="Palatino Linotype" w:cs="Palatino Linotype"/>
          <w:color w:val="000000"/>
          <w:sz w:val="22"/>
          <w:szCs w:val="22"/>
        </w:rPr>
      </w:pPr>
    </w:p>
    <w:p w14:paraId="071B91E0" w14:textId="77777777" w:rsidR="00A4751E" w:rsidRDefault="00A4751E">
      <w:pPr>
        <w:spacing w:line="360" w:lineRule="auto"/>
        <w:jc w:val="both"/>
        <w:rPr>
          <w:rFonts w:ascii="Palatino Linotype" w:eastAsia="Palatino Linotype" w:hAnsi="Palatino Linotype" w:cs="Palatino Linotype"/>
          <w:color w:val="000000"/>
          <w:sz w:val="22"/>
          <w:szCs w:val="22"/>
        </w:rPr>
      </w:pPr>
    </w:p>
    <w:sectPr w:rsidR="00A4751E">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3D19F" w14:textId="77777777" w:rsidR="00B74A65" w:rsidRDefault="00B74A65">
      <w:r>
        <w:separator/>
      </w:r>
    </w:p>
  </w:endnote>
  <w:endnote w:type="continuationSeparator" w:id="0">
    <w:p w14:paraId="7674E014" w14:textId="77777777" w:rsidR="00B74A65" w:rsidRDefault="00B7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BB74FC1-3B33-48D0-BCF8-190B43E1E00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7E694345-1F25-4758-9B7B-C1782F53BC99}"/>
  </w:font>
  <w:font w:name="Century Gothic">
    <w:panose1 w:val="020B0502020202020204"/>
    <w:charset w:val="00"/>
    <w:family w:val="swiss"/>
    <w:pitch w:val="variable"/>
    <w:sig w:usb0="00000287" w:usb1="00000000" w:usb2="00000000" w:usb3="00000000" w:csb0="0000009F" w:csb1="00000000"/>
    <w:embedRegular r:id="rId3" w:fontKey="{DA8A29FE-FF43-4A5F-813E-45FE00654E9B}"/>
  </w:font>
  <w:font w:name="Calibri">
    <w:panose1 w:val="020F0502020204030204"/>
    <w:charset w:val="00"/>
    <w:family w:val="swiss"/>
    <w:pitch w:val="variable"/>
    <w:sig w:usb0="E4002EFF" w:usb1="C200247B" w:usb2="00000009" w:usb3="00000000" w:csb0="000001FF" w:csb1="00000000"/>
    <w:embedRegular r:id="rId4" w:fontKey="{F4E89DA2-4988-40A4-9897-84B893AC3E1D}"/>
  </w:font>
  <w:font w:name="Segoe UI">
    <w:panose1 w:val="020B0502040204020203"/>
    <w:charset w:val="00"/>
    <w:family w:val="swiss"/>
    <w:pitch w:val="variable"/>
    <w:sig w:usb0="E4002EFF" w:usb1="C000E47F" w:usb2="00000009" w:usb3="00000000" w:csb0="000001FF" w:csb1="00000000"/>
    <w:embedRegular r:id="rId5" w:fontKey="{18493BF1-3996-4867-AD1D-6FDE3F217FC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embedRegular r:id="rId6" w:fontKey="{29616FCC-888C-4953-BA64-F4EC31AF16DB}"/>
    <w:embedItalic r:id="rId7" w:fontKey="{481582F0-C3C3-484C-A222-BF72F8E9D951}"/>
  </w:font>
  <w:font w:name="Palatino Linotype">
    <w:panose1 w:val="02040502050505030304"/>
    <w:charset w:val="00"/>
    <w:family w:val="roman"/>
    <w:pitch w:val="variable"/>
    <w:sig w:usb0="E0000287" w:usb1="40000013" w:usb2="00000000" w:usb3="00000000" w:csb0="0000019F" w:csb1="00000000"/>
    <w:embedRegular r:id="rId8" w:fontKey="{53452B3D-8C01-44A2-BC56-82D798AEEB4B}"/>
    <w:embedBold r:id="rId9" w:fontKey="{A811261F-22F3-4431-8520-615D994C2239}"/>
    <w:embedItalic r:id="rId10" w:fontKey="{A82A22F4-453B-4CD0-B895-FF0BF70FDBD7}"/>
    <w:embedBoldItalic r:id="rId11" w:fontKey="{A34C746D-40CF-4B87-978D-67DE742648C8}"/>
  </w:font>
  <w:font w:name="Garamond">
    <w:panose1 w:val="02020404030301010803"/>
    <w:charset w:val="00"/>
    <w:family w:val="roman"/>
    <w:pitch w:val="variable"/>
    <w:sig w:usb0="00000287" w:usb1="00000000" w:usb2="00000000" w:usb3="00000000" w:csb0="0000009F" w:csb1="00000000"/>
    <w:embedRegular r:id="rId12" w:fontKey="{30890126-B580-4BE3-9CEF-37C1BA538B77}"/>
  </w:font>
  <w:font w:name="Tahoma">
    <w:panose1 w:val="020B0604030504040204"/>
    <w:charset w:val="00"/>
    <w:family w:val="swiss"/>
    <w:pitch w:val="variable"/>
    <w:sig w:usb0="E1002EFF" w:usb1="C000605B" w:usb2="00000029" w:usb3="00000000" w:csb0="000101FF" w:csb1="00000000"/>
    <w:embedRegular r:id="rId13" w:fontKey="{EF1069D0-B259-46BB-96BA-771388AEE68E}"/>
    <w:embedBold r:id="rId14" w:fontKey="{C72F19C9-1710-48D4-8CD7-4CEE87A6E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DBA6" w14:textId="77777777" w:rsidR="00A4751E" w:rsidRDefault="00A4751E">
    <w:pPr>
      <w:pBdr>
        <w:top w:val="nil"/>
        <w:left w:val="nil"/>
        <w:bottom w:val="nil"/>
        <w:right w:val="nil"/>
        <w:between w:val="nil"/>
      </w:pBdr>
      <w:tabs>
        <w:tab w:val="center" w:pos="4419"/>
        <w:tab w:val="right" w:pos="8838"/>
      </w:tabs>
      <w:jc w:val="right"/>
      <w:rPr>
        <w:color w:val="000000"/>
        <w:sz w:val="26"/>
        <w:szCs w:val="26"/>
      </w:rPr>
    </w:pPr>
  </w:p>
  <w:p w14:paraId="76353C41" w14:textId="77777777" w:rsidR="00A4751E" w:rsidRDefault="00B74A6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9032A">
      <w:rPr>
        <w:b/>
        <w:noProof/>
        <w:color w:val="000000"/>
        <w:sz w:val="24"/>
        <w:szCs w:val="24"/>
      </w:rPr>
      <w:t>34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9032A">
      <w:rPr>
        <w:b/>
        <w:noProof/>
        <w:color w:val="000000"/>
        <w:sz w:val="24"/>
        <w:szCs w:val="24"/>
      </w:rPr>
      <w:t>35</w:t>
    </w:r>
    <w:r>
      <w:rPr>
        <w:b/>
        <w:color w:val="000000"/>
        <w:sz w:val="24"/>
        <w:szCs w:val="24"/>
      </w:rPr>
      <w:fldChar w:fldCharType="end"/>
    </w:r>
  </w:p>
  <w:p w14:paraId="7355785B" w14:textId="77777777" w:rsidR="00A4751E" w:rsidRDefault="00A4751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F9DC8" w14:textId="77777777" w:rsidR="00A4751E" w:rsidRDefault="00A4751E">
    <w:pPr>
      <w:pBdr>
        <w:top w:val="nil"/>
        <w:left w:val="nil"/>
        <w:bottom w:val="nil"/>
        <w:right w:val="nil"/>
        <w:between w:val="nil"/>
      </w:pBdr>
      <w:tabs>
        <w:tab w:val="center" w:pos="4419"/>
        <w:tab w:val="right" w:pos="8838"/>
      </w:tabs>
      <w:jc w:val="right"/>
      <w:rPr>
        <w:color w:val="000000"/>
      </w:rPr>
    </w:pPr>
  </w:p>
  <w:p w14:paraId="2484BA9B" w14:textId="77777777" w:rsidR="00A4751E" w:rsidRDefault="00B74A6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9032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9032A">
      <w:rPr>
        <w:b/>
        <w:noProof/>
        <w:color w:val="000000"/>
        <w:sz w:val="24"/>
        <w:szCs w:val="24"/>
      </w:rPr>
      <w:t>35</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03732" w14:textId="77777777" w:rsidR="00B74A65" w:rsidRDefault="00B74A65">
      <w:r>
        <w:separator/>
      </w:r>
    </w:p>
  </w:footnote>
  <w:footnote w:type="continuationSeparator" w:id="0">
    <w:p w14:paraId="21CBD578" w14:textId="77777777" w:rsidR="00B74A65" w:rsidRDefault="00B74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56588" w14:textId="77777777" w:rsidR="00A4751E" w:rsidRDefault="00A4751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9568" w:type="dxa"/>
      <w:tblInd w:w="0" w:type="dxa"/>
      <w:tblLayout w:type="fixed"/>
      <w:tblLook w:val="0400" w:firstRow="0" w:lastRow="0" w:firstColumn="0" w:lastColumn="0" w:noHBand="0" w:noVBand="1"/>
    </w:tblPr>
    <w:tblGrid>
      <w:gridCol w:w="2835"/>
      <w:gridCol w:w="6733"/>
    </w:tblGrid>
    <w:tr w:rsidR="00A4751E" w14:paraId="1ACC67C3" w14:textId="77777777">
      <w:trPr>
        <w:trHeight w:val="1412"/>
      </w:trPr>
      <w:tc>
        <w:tcPr>
          <w:tcW w:w="2835" w:type="dxa"/>
          <w:shd w:val="clear" w:color="auto" w:fill="auto"/>
        </w:tcPr>
        <w:p w14:paraId="7DF4ECC4" w14:textId="77777777" w:rsidR="00A4751E" w:rsidRDefault="00A4751E">
          <w:pPr>
            <w:tabs>
              <w:tab w:val="right" w:pos="4273"/>
            </w:tabs>
            <w:rPr>
              <w:rFonts w:ascii="Garamond" w:eastAsia="Garamond" w:hAnsi="Garamond" w:cs="Garamond"/>
              <w:sz w:val="16"/>
              <w:szCs w:val="16"/>
            </w:rPr>
          </w:pPr>
        </w:p>
      </w:tc>
      <w:tc>
        <w:tcPr>
          <w:tcW w:w="6733" w:type="dxa"/>
          <w:shd w:val="clear" w:color="auto" w:fill="auto"/>
        </w:tcPr>
        <w:p w14:paraId="382C1DA7" w14:textId="77777777" w:rsidR="00A4751E" w:rsidRDefault="00A4751E"/>
        <w:tbl>
          <w:tblPr>
            <w:tblStyle w:val="a0"/>
            <w:tblW w:w="6094" w:type="dxa"/>
            <w:tblInd w:w="598" w:type="dxa"/>
            <w:tblBorders>
              <w:top w:val="nil"/>
              <w:left w:val="nil"/>
              <w:bottom w:val="nil"/>
              <w:right w:val="nil"/>
              <w:insideH w:val="nil"/>
              <w:insideV w:val="nil"/>
            </w:tblBorders>
            <w:tblLayout w:type="fixed"/>
            <w:tblLook w:val="0400" w:firstRow="0" w:lastRow="0" w:firstColumn="0" w:lastColumn="0" w:noHBand="0" w:noVBand="1"/>
          </w:tblPr>
          <w:tblGrid>
            <w:gridCol w:w="2126"/>
            <w:gridCol w:w="426"/>
            <w:gridCol w:w="3048"/>
            <w:gridCol w:w="494"/>
          </w:tblGrid>
          <w:tr w:rsidR="00A4751E" w14:paraId="2C62D49B" w14:textId="77777777">
            <w:trPr>
              <w:trHeight w:val="144"/>
            </w:trPr>
            <w:tc>
              <w:tcPr>
                <w:tcW w:w="2552" w:type="dxa"/>
                <w:gridSpan w:val="2"/>
              </w:tcPr>
              <w:p w14:paraId="0F7A72A7" w14:textId="77777777" w:rsidR="00A4751E" w:rsidRDefault="00B74A65">
                <w:pPr>
                  <w:tabs>
                    <w:tab w:val="right" w:pos="8838"/>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gridSpan w:val="2"/>
              </w:tcPr>
              <w:p w14:paraId="678D221E" w14:textId="77777777" w:rsidR="00A4751E" w:rsidRDefault="00B74A65">
                <w:pPr>
                  <w:tabs>
                    <w:tab w:val="right" w:pos="8838"/>
                  </w:tabs>
                  <w:ind w:lef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02786/INFOEM/IP/RR/2025</w:t>
                </w:r>
              </w:p>
            </w:tc>
          </w:tr>
          <w:tr w:rsidR="00A4751E" w14:paraId="5042FCF1" w14:textId="77777777">
            <w:trPr>
              <w:trHeight w:val="144"/>
            </w:trPr>
            <w:tc>
              <w:tcPr>
                <w:tcW w:w="2552" w:type="dxa"/>
                <w:gridSpan w:val="2"/>
              </w:tcPr>
              <w:p w14:paraId="668313E0" w14:textId="77777777" w:rsidR="00A4751E" w:rsidRDefault="00B74A65">
                <w:pPr>
                  <w:tabs>
                    <w:tab w:val="right" w:pos="8838"/>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gridSpan w:val="2"/>
              </w:tcPr>
              <w:p w14:paraId="4D9E62D9" w14:textId="77777777" w:rsidR="00A4751E" w:rsidRDefault="00B74A65">
                <w:pPr>
                  <w:tabs>
                    <w:tab w:val="right" w:pos="8838"/>
                  </w:tabs>
                  <w:ind w:lef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Cocotitlán </w:t>
                </w:r>
              </w:p>
            </w:tc>
          </w:tr>
          <w:tr w:rsidR="00A4751E" w14:paraId="1E5E7B28" w14:textId="77777777">
            <w:trPr>
              <w:trHeight w:val="138"/>
            </w:trPr>
            <w:tc>
              <w:tcPr>
                <w:tcW w:w="2552" w:type="dxa"/>
                <w:gridSpan w:val="2"/>
              </w:tcPr>
              <w:p w14:paraId="34EE88C9" w14:textId="77777777" w:rsidR="00A4751E" w:rsidRDefault="00B74A65">
                <w:pPr>
                  <w:tabs>
                    <w:tab w:val="right" w:pos="8838"/>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43" w:type="dxa"/>
                <w:gridSpan w:val="2"/>
              </w:tcPr>
              <w:p w14:paraId="3E025BB0" w14:textId="77777777" w:rsidR="00A4751E" w:rsidRDefault="00B74A65">
                <w:pPr>
                  <w:tabs>
                    <w:tab w:val="right" w:pos="8838"/>
                  </w:tabs>
                  <w:ind w:lef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7B845284" w14:textId="77777777" w:rsidR="00A4751E" w:rsidRDefault="00A4751E">
                <w:pPr>
                  <w:tabs>
                    <w:tab w:val="right" w:pos="8838"/>
                  </w:tabs>
                  <w:ind w:left="-108"/>
                  <w:jc w:val="both"/>
                  <w:rPr>
                    <w:rFonts w:ascii="Palatino Linotype" w:eastAsia="Palatino Linotype" w:hAnsi="Palatino Linotype" w:cs="Palatino Linotype"/>
                    <w:b/>
                    <w:sz w:val="22"/>
                    <w:szCs w:val="22"/>
                  </w:rPr>
                </w:pPr>
              </w:p>
            </w:tc>
          </w:tr>
          <w:tr w:rsidR="00A4751E" w14:paraId="32A92822" w14:textId="77777777">
            <w:trPr>
              <w:gridAfter w:val="1"/>
              <w:wAfter w:w="494" w:type="dxa"/>
              <w:trHeight w:val="283"/>
            </w:trPr>
            <w:tc>
              <w:tcPr>
                <w:tcW w:w="2126" w:type="dxa"/>
              </w:tcPr>
              <w:p w14:paraId="29A761E8" w14:textId="77777777" w:rsidR="00A4751E" w:rsidRDefault="00A4751E">
                <w:pPr>
                  <w:tabs>
                    <w:tab w:val="right" w:pos="8838"/>
                  </w:tabs>
                  <w:rPr>
                    <w:rFonts w:ascii="Tahoma" w:eastAsia="Tahoma" w:hAnsi="Tahoma" w:cs="Tahoma"/>
                    <w:b/>
                    <w:sz w:val="22"/>
                    <w:szCs w:val="22"/>
                  </w:rPr>
                </w:pPr>
              </w:p>
            </w:tc>
            <w:tc>
              <w:tcPr>
                <w:tcW w:w="3475" w:type="dxa"/>
                <w:gridSpan w:val="2"/>
              </w:tcPr>
              <w:p w14:paraId="1563D9D9" w14:textId="77777777" w:rsidR="00A4751E" w:rsidRDefault="00A4751E">
                <w:pPr>
                  <w:tabs>
                    <w:tab w:val="right" w:pos="8838"/>
                  </w:tabs>
                  <w:jc w:val="both"/>
                  <w:rPr>
                    <w:rFonts w:ascii="Tahoma" w:eastAsia="Tahoma" w:hAnsi="Tahoma" w:cs="Tahoma"/>
                    <w:b/>
                    <w:sz w:val="22"/>
                    <w:szCs w:val="22"/>
                  </w:rPr>
                </w:pPr>
              </w:p>
            </w:tc>
          </w:tr>
        </w:tbl>
        <w:p w14:paraId="1E757313" w14:textId="77777777" w:rsidR="00A4751E" w:rsidRDefault="00A4751E">
          <w:pPr>
            <w:tabs>
              <w:tab w:val="right" w:pos="8838"/>
            </w:tabs>
            <w:ind w:left="-28"/>
            <w:jc w:val="both"/>
            <w:rPr>
              <w:rFonts w:ascii="Arial" w:eastAsia="Arial" w:hAnsi="Arial" w:cs="Arial"/>
              <w:b/>
              <w:sz w:val="22"/>
              <w:szCs w:val="22"/>
            </w:rPr>
          </w:pPr>
        </w:p>
      </w:tc>
    </w:tr>
  </w:tbl>
  <w:p w14:paraId="2EB55EBC" w14:textId="77777777" w:rsidR="00A4751E" w:rsidRDefault="00B74A65">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0E103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88.4pt;margin-top:-144.2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B6E44" w14:textId="77777777" w:rsidR="00A4751E" w:rsidRDefault="00B74A65">
    <w:r>
      <w:rPr>
        <w:rFonts w:ascii="Palatino Linotype" w:eastAsia="Palatino Linotype" w:hAnsi="Palatino Linotype" w:cs="Palatino Linotype"/>
        <w:b/>
        <w:sz w:val="22"/>
        <w:szCs w:val="22"/>
      </w:rPr>
      <w:pict w14:anchorId="1EAA4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margin-left:-99.65pt;margin-top:-137.75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9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64"/>
      <w:gridCol w:w="2405"/>
      <w:gridCol w:w="3690"/>
    </w:tblGrid>
    <w:tr w:rsidR="00A4751E" w14:paraId="2646C6DA" w14:textId="77777777">
      <w:trPr>
        <w:trHeight w:val="466"/>
      </w:trPr>
      <w:tc>
        <w:tcPr>
          <w:tcW w:w="3864" w:type="dxa"/>
          <w:vAlign w:val="bottom"/>
        </w:tcPr>
        <w:p w14:paraId="29E1E917" w14:textId="77777777" w:rsidR="00A4751E" w:rsidRDefault="00A4751E">
          <w:pPr>
            <w:tabs>
              <w:tab w:val="right" w:pos="8838"/>
            </w:tabs>
            <w:ind w:right="-105"/>
            <w:rPr>
              <w:rFonts w:ascii="Palatino Linotype" w:eastAsia="Palatino Linotype" w:hAnsi="Palatino Linotype" w:cs="Palatino Linotype"/>
              <w:b/>
              <w:sz w:val="22"/>
              <w:szCs w:val="22"/>
            </w:rPr>
          </w:pPr>
        </w:p>
      </w:tc>
      <w:tc>
        <w:tcPr>
          <w:tcW w:w="2405" w:type="dxa"/>
          <w:vAlign w:val="bottom"/>
        </w:tcPr>
        <w:p w14:paraId="5AB7EEA5" w14:textId="77777777" w:rsidR="00A4751E" w:rsidRDefault="00B74A65">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90" w:type="dxa"/>
          <w:vAlign w:val="bottom"/>
        </w:tcPr>
        <w:p w14:paraId="5D4B213B" w14:textId="77777777" w:rsidR="00A4751E" w:rsidRDefault="00B74A65">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02786/INFOEM/IP/RR/2025</w:t>
          </w:r>
        </w:p>
      </w:tc>
    </w:tr>
    <w:tr w:rsidR="00A4751E" w14:paraId="49FAB0E0" w14:textId="77777777">
      <w:trPr>
        <w:trHeight w:val="119"/>
      </w:trPr>
      <w:tc>
        <w:tcPr>
          <w:tcW w:w="3864" w:type="dxa"/>
        </w:tcPr>
        <w:p w14:paraId="04475AB0" w14:textId="77777777" w:rsidR="00A4751E" w:rsidRDefault="00A4751E">
          <w:pPr>
            <w:tabs>
              <w:tab w:val="right" w:pos="8838"/>
            </w:tabs>
            <w:ind w:right="-105"/>
            <w:rPr>
              <w:rFonts w:ascii="Palatino Linotype" w:eastAsia="Palatino Linotype" w:hAnsi="Palatino Linotype" w:cs="Palatino Linotype"/>
              <w:b/>
              <w:sz w:val="22"/>
              <w:szCs w:val="22"/>
            </w:rPr>
          </w:pPr>
        </w:p>
      </w:tc>
      <w:tc>
        <w:tcPr>
          <w:tcW w:w="2405" w:type="dxa"/>
        </w:tcPr>
        <w:p w14:paraId="406EBBF9" w14:textId="77777777" w:rsidR="00A4751E" w:rsidRDefault="00B74A65">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3690" w:type="dxa"/>
        </w:tcPr>
        <w:p w14:paraId="732E1579" w14:textId="77777777" w:rsidR="00A4751E" w:rsidRDefault="00A4751E">
          <w:pPr>
            <w:tabs>
              <w:tab w:val="right" w:pos="8838"/>
            </w:tabs>
            <w:spacing w:line="276" w:lineRule="auto"/>
            <w:ind w:right="171"/>
            <w:jc w:val="both"/>
            <w:rPr>
              <w:rFonts w:ascii="Palatino Linotype" w:eastAsia="Palatino Linotype" w:hAnsi="Palatino Linotype" w:cs="Palatino Linotype"/>
              <w:sz w:val="22"/>
              <w:szCs w:val="22"/>
            </w:rPr>
          </w:pPr>
        </w:p>
      </w:tc>
    </w:tr>
    <w:tr w:rsidR="00A4751E" w14:paraId="6E322C56" w14:textId="77777777">
      <w:trPr>
        <w:trHeight w:val="234"/>
      </w:trPr>
      <w:tc>
        <w:tcPr>
          <w:tcW w:w="3864" w:type="dxa"/>
        </w:tcPr>
        <w:p w14:paraId="31606D33" w14:textId="77777777" w:rsidR="00A4751E" w:rsidRDefault="00A4751E">
          <w:pPr>
            <w:tabs>
              <w:tab w:val="right" w:pos="8838"/>
            </w:tabs>
            <w:ind w:right="-105"/>
            <w:rPr>
              <w:rFonts w:ascii="Palatino Linotype" w:eastAsia="Palatino Linotype" w:hAnsi="Palatino Linotype" w:cs="Palatino Linotype"/>
              <w:b/>
              <w:sz w:val="22"/>
              <w:szCs w:val="22"/>
            </w:rPr>
          </w:pPr>
        </w:p>
      </w:tc>
      <w:tc>
        <w:tcPr>
          <w:tcW w:w="2405" w:type="dxa"/>
        </w:tcPr>
        <w:p w14:paraId="5B49FF9D" w14:textId="77777777" w:rsidR="00A4751E" w:rsidRDefault="00B74A65">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90" w:type="dxa"/>
        </w:tcPr>
        <w:p w14:paraId="40E00BD1" w14:textId="77777777" w:rsidR="00A4751E" w:rsidRDefault="00B74A65">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Cocotitlán</w:t>
          </w:r>
        </w:p>
      </w:tc>
    </w:tr>
    <w:tr w:rsidR="00A4751E" w14:paraId="5A76295A" w14:textId="77777777">
      <w:trPr>
        <w:trHeight w:val="234"/>
      </w:trPr>
      <w:tc>
        <w:tcPr>
          <w:tcW w:w="3864" w:type="dxa"/>
        </w:tcPr>
        <w:p w14:paraId="15DBD029" w14:textId="77777777" w:rsidR="00A4751E" w:rsidRDefault="00A4751E">
          <w:pPr>
            <w:tabs>
              <w:tab w:val="right" w:pos="8838"/>
            </w:tabs>
            <w:ind w:right="-105"/>
            <w:rPr>
              <w:rFonts w:ascii="Palatino Linotype" w:eastAsia="Palatino Linotype" w:hAnsi="Palatino Linotype" w:cs="Palatino Linotype"/>
              <w:b/>
              <w:sz w:val="22"/>
              <w:szCs w:val="22"/>
            </w:rPr>
          </w:pPr>
        </w:p>
      </w:tc>
      <w:tc>
        <w:tcPr>
          <w:tcW w:w="2405" w:type="dxa"/>
        </w:tcPr>
        <w:p w14:paraId="2CCD848B" w14:textId="77777777" w:rsidR="00A4751E" w:rsidRDefault="00B74A65">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90" w:type="dxa"/>
        </w:tcPr>
        <w:p w14:paraId="6362A58E" w14:textId="77777777" w:rsidR="00A4751E" w:rsidRDefault="00B74A65">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021D49B3" w14:textId="77777777" w:rsidR="00A4751E" w:rsidRDefault="00A475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5612A"/>
    <w:multiLevelType w:val="multilevel"/>
    <w:tmpl w:val="A94C3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C18A8"/>
    <w:multiLevelType w:val="multilevel"/>
    <w:tmpl w:val="50F67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9A704F"/>
    <w:multiLevelType w:val="multilevel"/>
    <w:tmpl w:val="AEF21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1440D1"/>
    <w:multiLevelType w:val="multilevel"/>
    <w:tmpl w:val="98A20E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8F1F6B"/>
    <w:multiLevelType w:val="multilevel"/>
    <w:tmpl w:val="27A09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9050DF"/>
    <w:multiLevelType w:val="multilevel"/>
    <w:tmpl w:val="613A516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A8280C"/>
    <w:multiLevelType w:val="multilevel"/>
    <w:tmpl w:val="00C60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3C6EC3"/>
    <w:multiLevelType w:val="multilevel"/>
    <w:tmpl w:val="E966B6C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5"/>
  </w:num>
  <w:num w:numId="3">
    <w:abstractNumId w:val="1"/>
  </w:num>
  <w:num w:numId="4">
    <w:abstractNumId w:val="2"/>
  </w:num>
  <w:num w:numId="5">
    <w:abstractNumId w:val="3"/>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51E"/>
    <w:rsid w:val="001551F6"/>
    <w:rsid w:val="0079032A"/>
    <w:rsid w:val="00846484"/>
    <w:rsid w:val="00853236"/>
    <w:rsid w:val="008823E6"/>
    <w:rsid w:val="00A4751E"/>
    <w:rsid w:val="00B74A65"/>
    <w:rsid w:val="00BB3E09"/>
    <w:rsid w:val="00CE25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8923D7"/>
  <w15:docId w15:val="{0F464E68-1CD9-422E-AE85-EF3B944A9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C4"/>
    <w:rPr>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E66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semiHidden/>
    <w:unhideWhenUsed/>
    <w:rsid w:val="004F3A02"/>
    <w:pPr>
      <w:spacing w:after="160" w:line="259" w:lineRule="auto"/>
      <w:jc w:val="both"/>
    </w:pPr>
    <w:rPr>
      <w:rFonts w:eastAsiaTheme="minorHAnsi"/>
      <w:color w:val="000000" w:themeColor="text1"/>
      <w:sz w:val="24"/>
      <w:szCs w:val="24"/>
      <w:lang w:eastAsia="en-US"/>
    </w:rPr>
  </w:style>
  <w:style w:type="character" w:customStyle="1" w:styleId="Ttulo2Car">
    <w:name w:val="Título 2 Car"/>
    <w:basedOn w:val="Fuentedeprrafopredeter"/>
    <w:link w:val="Ttulo2"/>
    <w:uiPriority w:val="9"/>
    <w:rsid w:val="00CE669E"/>
    <w:rPr>
      <w:rFonts w:asciiTheme="majorHAnsi" w:eastAsiaTheme="majorEastAsia" w:hAnsiTheme="majorHAnsi" w:cstheme="majorBidi"/>
      <w:color w:val="2F5496" w:themeColor="accent1" w:themeShade="BF"/>
      <w:sz w:val="26"/>
      <w:szCs w:val="26"/>
      <w:lang w:eastAsia="es-ES"/>
    </w:rPr>
  </w:style>
  <w:style w:type="paragraph" w:styleId="TtulodeTDC">
    <w:name w:val="TOC Heading"/>
    <w:basedOn w:val="Ttulo1"/>
    <w:next w:val="Normal"/>
    <w:uiPriority w:val="39"/>
    <w:unhideWhenUsed/>
    <w:qFormat/>
    <w:rsid w:val="0045113E"/>
    <w:pPr>
      <w:spacing w:line="259" w:lineRule="auto"/>
      <w:outlineLvl w:val="9"/>
    </w:pPr>
    <w:rPr>
      <w:lang w:eastAsia="es-MX"/>
    </w:rPr>
  </w:style>
  <w:style w:type="paragraph" w:styleId="TDC1">
    <w:name w:val="toc 1"/>
    <w:basedOn w:val="Normal"/>
    <w:next w:val="Normal"/>
    <w:autoRedefine/>
    <w:uiPriority w:val="39"/>
    <w:unhideWhenUsed/>
    <w:rsid w:val="0045113E"/>
    <w:pPr>
      <w:spacing w:after="100"/>
    </w:pPr>
  </w:style>
  <w:style w:type="paragraph" w:styleId="TDC2">
    <w:name w:val="toc 2"/>
    <w:basedOn w:val="Normal"/>
    <w:next w:val="Normal"/>
    <w:autoRedefine/>
    <w:uiPriority w:val="39"/>
    <w:unhideWhenUsed/>
    <w:rsid w:val="0045113E"/>
    <w:pPr>
      <w:tabs>
        <w:tab w:val="right" w:leader="dot" w:pos="9034"/>
      </w:tabs>
      <w:spacing w:after="100" w:line="360" w:lineRule="auto"/>
      <w:ind w:left="200"/>
    </w:pPr>
  </w:style>
  <w:style w:type="character" w:customStyle="1" w:styleId="UnresolvedMention">
    <w:name w:val="Unresolved Mention"/>
    <w:basedOn w:val="Fuentedeprrafopredeter"/>
    <w:uiPriority w:val="99"/>
    <w:semiHidden/>
    <w:unhideWhenUsed/>
    <w:rsid w:val="004221A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retariadoejecutivo.gob.mx/work/models/SecretariadoEjecutivo/Resource/328/1/images/instructivo_final_edo_fuerza(1).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egob/renapo/acciones-y-programas/clave-unica-de-registro-depoblacion-curp-14222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C3%BAblica/Glosario/n.ht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5wepUcFawxzo00LptdOc8rn5xw==">CgMxLjAyDmguYWpqcHN4NHZ4Z2dsMg5oLjMxaTVzaXdzejJ1MDIOaC50Z3BubXN0c3JtN2QyDmguZGRkaHd3OHRqM254Mg5oLnUxZzA3OHloZWRybjIOaC5zemp2aWpmZWY2azgyDmguZ2xkcWxpdmcyMmJtMg5oLmI0ZW5qcnNxZmp2OTIOaC5uazc1N2FzMnV5bTkyDmguMjJsczd2cTNmZW96Mg5oLnRwMTYzcnQ2MnozZTIOaC5pMjA3dDY5ODN0b2oyDmguZ3VzYmNtYzJ1bG5uOAByITFKUHFySkJ4enVCOHlYOWxrOEo0NjgtdEFlQkwwV1p2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8358</Words>
  <Characters>45975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3</cp:revision>
  <cp:lastPrinted>2025-04-11T18:27:00Z</cp:lastPrinted>
  <dcterms:created xsi:type="dcterms:W3CDTF">2025-04-11T18:27:00Z</dcterms:created>
  <dcterms:modified xsi:type="dcterms:W3CDTF">2025-04-11T18:27:00Z</dcterms:modified>
</cp:coreProperties>
</file>