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6DF2E67D" w:rsidR="006168E4" w:rsidRDefault="006168E4" w:rsidP="006F5F55">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0279E">
        <w:rPr>
          <w:rFonts w:ascii="Palatino Linotype" w:eastAsia="Times New Roman" w:hAnsi="Palatino Linotype" w:cs="Arial"/>
          <w:color w:val="000000"/>
          <w:sz w:val="24"/>
          <w:szCs w:val="24"/>
          <w:lang w:eastAsia="es-MX"/>
        </w:rPr>
        <w:t xml:space="preserve">veintiséis de marzo de dos mil veinticinco. </w:t>
      </w:r>
      <w:r w:rsidR="002F5BAE">
        <w:rPr>
          <w:rFonts w:ascii="Palatino Linotype" w:eastAsia="Times New Roman" w:hAnsi="Palatino Linotype" w:cs="Arial"/>
          <w:color w:val="000000"/>
          <w:sz w:val="24"/>
          <w:szCs w:val="24"/>
          <w:lang w:eastAsia="es-MX"/>
        </w:rPr>
        <w:t xml:space="preserve"> </w:t>
      </w:r>
      <w:r w:rsidR="001D2729">
        <w:rPr>
          <w:rFonts w:ascii="Palatino Linotype" w:eastAsia="Times New Roman" w:hAnsi="Palatino Linotype" w:cs="Arial"/>
          <w:color w:val="000000"/>
          <w:sz w:val="24"/>
          <w:szCs w:val="24"/>
          <w:lang w:eastAsia="es-MX"/>
        </w:rPr>
        <w:t xml:space="preserve"> </w:t>
      </w:r>
      <w:r w:rsidR="00CE183D">
        <w:rPr>
          <w:rFonts w:ascii="Palatino Linotype" w:eastAsia="Times New Roman" w:hAnsi="Palatino Linotype" w:cs="Arial"/>
          <w:color w:val="000000"/>
          <w:sz w:val="24"/>
          <w:szCs w:val="24"/>
          <w:lang w:eastAsia="es-MX"/>
        </w:rPr>
        <w:t xml:space="preserve"> </w:t>
      </w:r>
      <w:r w:rsidR="007A4A04">
        <w:rPr>
          <w:rFonts w:ascii="Palatino Linotype" w:eastAsia="Times New Roman" w:hAnsi="Palatino Linotype" w:cs="Arial"/>
          <w:color w:val="000000"/>
          <w:sz w:val="24"/>
          <w:szCs w:val="24"/>
          <w:lang w:eastAsia="es-MX"/>
        </w:rPr>
        <w:t xml:space="preserve"> </w:t>
      </w:r>
      <w:r w:rsidR="00BE673B">
        <w:rPr>
          <w:rFonts w:ascii="Palatino Linotype" w:eastAsia="Times New Roman" w:hAnsi="Palatino Linotype" w:cs="Arial"/>
          <w:color w:val="000000"/>
          <w:sz w:val="24"/>
          <w:szCs w:val="24"/>
          <w:lang w:eastAsia="es-MX"/>
        </w:rPr>
        <w:t xml:space="preserve"> </w:t>
      </w:r>
      <w:r w:rsidR="00FB6049">
        <w:rPr>
          <w:rFonts w:ascii="Palatino Linotype" w:eastAsia="Times New Roman" w:hAnsi="Palatino Linotype" w:cs="Arial"/>
          <w:color w:val="000000"/>
          <w:sz w:val="24"/>
          <w:szCs w:val="24"/>
          <w:lang w:eastAsia="es-MX"/>
        </w:rPr>
        <w:t xml:space="preserve"> </w:t>
      </w:r>
      <w:r w:rsidR="00817A08">
        <w:rPr>
          <w:rFonts w:ascii="Palatino Linotype" w:eastAsia="Times New Roman" w:hAnsi="Palatino Linotype" w:cs="Arial"/>
          <w:color w:val="000000"/>
          <w:sz w:val="24"/>
          <w:szCs w:val="24"/>
          <w:lang w:eastAsia="es-MX"/>
        </w:rPr>
        <w:t xml:space="preserve"> </w:t>
      </w:r>
    </w:p>
    <w:p w14:paraId="64395592" w14:textId="36F293C8" w:rsidR="00CE183D" w:rsidRPr="00CE183D" w:rsidRDefault="006168E4" w:rsidP="006F5F55">
      <w:pPr>
        <w:tabs>
          <w:tab w:val="left" w:pos="1701"/>
        </w:tabs>
        <w:spacing w:before="240" w:line="360" w:lineRule="auto"/>
        <w:jc w:val="both"/>
        <w:rPr>
          <w:rFonts w:ascii="Palatino Linotype" w:hAnsi="Palatino Linotype" w:cs="Arial"/>
          <w:sz w:val="24"/>
          <w:szCs w:val="24"/>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bookmarkStart w:id="0" w:name="_GoBack"/>
      <w:r w:rsidR="002F5BAE">
        <w:rPr>
          <w:rFonts w:ascii="Palatino Linotype" w:hAnsi="Palatino Linotype" w:cs="Arial"/>
          <w:b/>
          <w:bCs/>
          <w:sz w:val="24"/>
          <w:lang w:eastAsia="es-MX"/>
        </w:rPr>
        <w:t>0</w:t>
      </w:r>
      <w:r w:rsidR="0090279E">
        <w:rPr>
          <w:rFonts w:ascii="Palatino Linotype" w:hAnsi="Palatino Linotype" w:cs="Arial"/>
          <w:b/>
          <w:bCs/>
          <w:sz w:val="24"/>
          <w:lang w:eastAsia="es-MX"/>
        </w:rPr>
        <w:t>1955/INFOEM/IP/RR/2025</w:t>
      </w:r>
      <w:bookmarkEnd w:id="0"/>
      <w:r w:rsidR="0090279E">
        <w:rPr>
          <w:rFonts w:ascii="Palatino Linotype" w:hAnsi="Palatino Linotype" w:cs="Arial"/>
          <w:b/>
          <w:bCs/>
          <w:sz w:val="24"/>
          <w:lang w:eastAsia="es-MX"/>
        </w:rPr>
        <w:t xml:space="preserve">, </w:t>
      </w:r>
      <w:r w:rsidR="0090279E">
        <w:rPr>
          <w:rFonts w:ascii="Palatino Linotype" w:hAnsi="Palatino Linotype" w:cs="Arial"/>
          <w:sz w:val="24"/>
          <w:lang w:eastAsia="es-MX"/>
        </w:rPr>
        <w:t xml:space="preserve">interpuesto por un particular, en lo sucesivo </w:t>
      </w:r>
      <w:r w:rsidR="0090279E">
        <w:rPr>
          <w:rFonts w:ascii="Palatino Linotype" w:hAnsi="Palatino Linotype" w:cs="Arial"/>
          <w:b/>
          <w:bCs/>
          <w:sz w:val="24"/>
          <w:lang w:eastAsia="es-MX"/>
        </w:rPr>
        <w:t xml:space="preserve">El Recurrente, </w:t>
      </w:r>
      <w:r w:rsidR="0090279E">
        <w:rPr>
          <w:rFonts w:ascii="Palatino Linotype" w:hAnsi="Palatino Linotype" w:cs="Arial"/>
          <w:sz w:val="24"/>
          <w:lang w:eastAsia="es-MX"/>
        </w:rPr>
        <w:t xml:space="preserve">en contra de la respuesta del </w:t>
      </w:r>
      <w:r w:rsidR="0090279E">
        <w:rPr>
          <w:rFonts w:ascii="Palatino Linotype" w:hAnsi="Palatino Linotype" w:cs="Arial"/>
          <w:b/>
          <w:bCs/>
          <w:sz w:val="24"/>
          <w:lang w:eastAsia="es-MX"/>
        </w:rPr>
        <w:t xml:space="preserve">Ayuntamiento de San José del Rincón, </w:t>
      </w:r>
      <w:r w:rsidR="00CE183D">
        <w:rPr>
          <w:rFonts w:ascii="Palatino Linotype" w:hAnsi="Palatino Linotype" w:cs="Arial"/>
          <w:sz w:val="24"/>
          <w:szCs w:val="24"/>
        </w:rPr>
        <w:t xml:space="preserve">en lo subsecuente </w:t>
      </w:r>
      <w:r w:rsidR="00CE183D">
        <w:rPr>
          <w:rFonts w:ascii="Palatino Linotype" w:hAnsi="Palatino Linotype" w:cs="Arial"/>
          <w:b/>
          <w:bCs/>
          <w:sz w:val="24"/>
          <w:szCs w:val="24"/>
        </w:rPr>
        <w:t xml:space="preserve">El Sujeto Obligado, </w:t>
      </w:r>
      <w:r w:rsidR="00CE183D">
        <w:rPr>
          <w:rFonts w:ascii="Palatino Linotype" w:hAnsi="Palatino Linotype" w:cs="Arial"/>
          <w:sz w:val="24"/>
          <w:szCs w:val="24"/>
        </w:rPr>
        <w:t xml:space="preserve">se procede a dictar la presente resolución. </w:t>
      </w:r>
    </w:p>
    <w:p w14:paraId="20B42EB4" w14:textId="77777777" w:rsidR="00FB6C8F" w:rsidRDefault="00FB6C8F" w:rsidP="006F5F55">
      <w:pPr>
        <w:tabs>
          <w:tab w:val="left" w:pos="1701"/>
        </w:tabs>
        <w:spacing w:before="240" w:line="360" w:lineRule="auto"/>
        <w:jc w:val="both"/>
        <w:rPr>
          <w:rFonts w:ascii="Palatino Linotype" w:hAnsi="Palatino Linotype" w:cs="Arial"/>
          <w:sz w:val="24"/>
          <w:szCs w:val="24"/>
        </w:rPr>
      </w:pPr>
    </w:p>
    <w:p w14:paraId="39A8E1A3" w14:textId="7B30AA56" w:rsidR="006168E4" w:rsidRPr="00F205B9" w:rsidRDefault="006168E4" w:rsidP="00844569">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EE5021C" w14:textId="77777777" w:rsidR="006168E4" w:rsidRDefault="006168E4" w:rsidP="0084456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3D74A7B2" w14:textId="7DAB5474" w:rsidR="0090279E" w:rsidRDefault="006168E4" w:rsidP="00844569">
      <w:pPr>
        <w:spacing w:before="240" w:line="360" w:lineRule="auto"/>
        <w:jc w:val="both"/>
        <w:rPr>
          <w:rFonts w:ascii="Palatino Linotype" w:hAnsi="Palatino Linotype" w:cs="Arial"/>
          <w:sz w:val="24"/>
        </w:rPr>
      </w:pPr>
      <w:r>
        <w:rPr>
          <w:rFonts w:ascii="Palatino Linotype" w:hAnsi="Palatino Linotype" w:cs="Arial"/>
          <w:sz w:val="24"/>
        </w:rPr>
        <w:t xml:space="preserve">Con </w:t>
      </w:r>
      <w:r w:rsidR="00C03F20">
        <w:rPr>
          <w:rFonts w:ascii="Palatino Linotype" w:hAnsi="Palatino Linotype" w:cs="Arial"/>
          <w:sz w:val="24"/>
        </w:rPr>
        <w:t>fecha</w:t>
      </w:r>
      <w:r w:rsidR="00F4623D">
        <w:rPr>
          <w:rFonts w:ascii="Palatino Linotype" w:hAnsi="Palatino Linotype" w:cs="Arial"/>
          <w:sz w:val="24"/>
        </w:rPr>
        <w:t xml:space="preserve"> </w:t>
      </w:r>
      <w:r w:rsidR="0090279E">
        <w:rPr>
          <w:rFonts w:ascii="Palatino Linotype" w:hAnsi="Palatino Linotype" w:cs="Arial"/>
          <w:b/>
          <w:bCs/>
          <w:sz w:val="24"/>
        </w:rPr>
        <w:t xml:space="preserve">treinta de enero de dos mil veinticinco, El Recurrente, </w:t>
      </w:r>
      <w:r w:rsidR="0090279E">
        <w:rPr>
          <w:rFonts w:ascii="Palatino Linotype" w:hAnsi="Palatino Linotype" w:cs="Arial"/>
          <w:sz w:val="24"/>
        </w:rPr>
        <w:t>presentó a través del Sistema de Acceso a la Información Mexiquense (</w:t>
      </w:r>
      <w:r w:rsidR="0090279E">
        <w:rPr>
          <w:rFonts w:ascii="Palatino Linotype" w:hAnsi="Palatino Linotype" w:cs="Arial"/>
          <w:b/>
          <w:sz w:val="24"/>
        </w:rPr>
        <w:t>SAIMEX)</w:t>
      </w:r>
      <w:r w:rsidR="0090279E">
        <w:rPr>
          <w:rFonts w:ascii="Palatino Linotype" w:hAnsi="Palatino Linotype" w:cs="Arial"/>
          <w:sz w:val="24"/>
        </w:rPr>
        <w:t xml:space="preserve"> ante </w:t>
      </w:r>
      <w:r w:rsidR="0090279E">
        <w:rPr>
          <w:rFonts w:ascii="Palatino Linotype" w:hAnsi="Palatino Linotype" w:cs="Arial"/>
          <w:b/>
          <w:sz w:val="24"/>
        </w:rPr>
        <w:t>El Sujeto Obligado</w:t>
      </w:r>
      <w:r w:rsidR="0090279E">
        <w:rPr>
          <w:rFonts w:ascii="Palatino Linotype" w:hAnsi="Palatino Linotype" w:cs="Arial"/>
          <w:sz w:val="24"/>
        </w:rPr>
        <w:t xml:space="preserve">, solicitud de acceso a la información pública, registrada bajo el número de expediente </w:t>
      </w:r>
      <w:r w:rsidR="0090279E">
        <w:rPr>
          <w:rFonts w:ascii="Palatino Linotype" w:hAnsi="Palatino Linotype" w:cs="Arial"/>
          <w:b/>
          <w:bCs/>
          <w:sz w:val="24"/>
        </w:rPr>
        <w:t xml:space="preserve">00030/JOSERIN/IP/2025, </w:t>
      </w:r>
      <w:r w:rsidR="0090279E">
        <w:rPr>
          <w:rFonts w:ascii="Palatino Linotype" w:hAnsi="Palatino Linotype" w:cs="Arial"/>
          <w:sz w:val="24"/>
        </w:rPr>
        <w:t>mediante la cual solicitó información en el tenor siguiente:</w:t>
      </w:r>
    </w:p>
    <w:p w14:paraId="493072A2" w14:textId="2B34DE8B" w:rsidR="0090279E" w:rsidRPr="0090279E" w:rsidRDefault="0090279E" w:rsidP="0090279E">
      <w:pPr>
        <w:pStyle w:val="Citas"/>
        <w:rPr>
          <w:b/>
          <w:bCs/>
        </w:rPr>
      </w:pPr>
      <w:bookmarkStart w:id="1" w:name="_Hlk193195141"/>
      <w:r>
        <w:t>“</w:t>
      </w:r>
      <w:r w:rsidRPr="0090279E">
        <w:t xml:space="preserve">Solicito el Programa Anual de Adquisiciones para el ejercicio 2025, de la administración 2025-2027, </w:t>
      </w:r>
      <w:proofErr w:type="spellStart"/>
      <w:r w:rsidRPr="0090279E">
        <w:t>padron</w:t>
      </w:r>
      <w:proofErr w:type="spellEnd"/>
      <w:r w:rsidRPr="0090279E">
        <w:t xml:space="preserve"> de proveedores autorizados para el ejercicio 2025, </w:t>
      </w:r>
      <w:proofErr w:type="gramStart"/>
      <w:r w:rsidRPr="0090279E">
        <w:t>listado</w:t>
      </w:r>
      <w:proofErr w:type="gramEnd"/>
      <w:r w:rsidRPr="0090279E">
        <w:t xml:space="preserve"> de adquisiciones de bienes y servicios del mes de enero del año 2025, modalidad de adquisición (Adjudicación Directa, Invitación restringida y Licitación </w:t>
      </w:r>
      <w:r w:rsidRPr="0090279E">
        <w:lastRenderedPageBreak/>
        <w:t xml:space="preserve">Pública), Acta de instalación del </w:t>
      </w:r>
      <w:proofErr w:type="spellStart"/>
      <w:r w:rsidRPr="0090279E">
        <w:t>Comite</w:t>
      </w:r>
      <w:proofErr w:type="spellEnd"/>
      <w:r w:rsidRPr="0090279E">
        <w:t xml:space="preserve"> de Adquisiciones de Bienes y Servicios, para el ejercicio 2025</w:t>
      </w:r>
      <w:r>
        <w:t xml:space="preserve">” </w:t>
      </w:r>
      <w:r>
        <w:rPr>
          <w:b/>
          <w:bCs/>
        </w:rPr>
        <w:t>(Sic)</w:t>
      </w:r>
    </w:p>
    <w:bookmarkEnd w:id="1"/>
    <w:p w14:paraId="73DDF68A" w14:textId="5E7DB1EA" w:rsidR="00F4623D"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sidR="0018726A">
        <w:rPr>
          <w:rFonts w:ascii="Palatino Linotype" w:eastAsia="Times New Roman" w:hAnsi="Palatino Linotype" w:cs="Times New Roman"/>
          <w:sz w:val="24"/>
          <w:szCs w:val="24"/>
          <w:lang w:val="es-ES_tradnl" w:eastAsia="es-ES"/>
        </w:rPr>
        <w:t xml:space="preserve">A </w:t>
      </w:r>
      <w:r w:rsidR="00F4623D">
        <w:rPr>
          <w:rFonts w:ascii="Palatino Linotype" w:eastAsia="Times New Roman" w:hAnsi="Palatino Linotype" w:cs="Times New Roman"/>
          <w:sz w:val="24"/>
          <w:szCs w:val="24"/>
          <w:lang w:val="es-ES_tradnl" w:eastAsia="es-ES"/>
        </w:rPr>
        <w:t xml:space="preserve">través del SAIMEX. </w:t>
      </w:r>
    </w:p>
    <w:p w14:paraId="48A06890" w14:textId="77777777" w:rsidR="00FB6049" w:rsidRDefault="00FB6049" w:rsidP="00844569">
      <w:pPr>
        <w:spacing w:before="240" w:line="360" w:lineRule="auto"/>
        <w:jc w:val="both"/>
        <w:rPr>
          <w:rFonts w:ascii="Palatino Linotype" w:hAnsi="Palatino Linotype" w:cs="Arial"/>
          <w:b/>
          <w:sz w:val="28"/>
        </w:rPr>
      </w:pPr>
    </w:p>
    <w:p w14:paraId="1B7C3267" w14:textId="0ADA7648" w:rsidR="006168E4" w:rsidRDefault="002F5BAE" w:rsidP="00844569">
      <w:pPr>
        <w:spacing w:before="240" w:line="360" w:lineRule="auto"/>
        <w:jc w:val="both"/>
        <w:rPr>
          <w:rFonts w:ascii="Palatino Linotype" w:hAnsi="Palatino Linotype" w:cs="Arial"/>
          <w:b/>
          <w:sz w:val="28"/>
        </w:rPr>
      </w:pPr>
      <w:r>
        <w:rPr>
          <w:rFonts w:ascii="Palatino Linotype" w:hAnsi="Palatino Linotype" w:cs="Arial"/>
          <w:b/>
          <w:sz w:val="28"/>
        </w:rPr>
        <w:t>SEGUNDO</w:t>
      </w:r>
      <w:r w:rsidR="006168E4">
        <w:rPr>
          <w:rFonts w:ascii="Palatino Linotype" w:hAnsi="Palatino Linotype" w:cs="Arial"/>
          <w:b/>
          <w:sz w:val="28"/>
        </w:rPr>
        <w:t xml:space="preserve">. </w:t>
      </w:r>
      <w:r w:rsidR="006168E4" w:rsidRPr="00165D6E">
        <w:rPr>
          <w:rFonts w:ascii="Palatino Linotype" w:hAnsi="Palatino Linotype" w:cs="Arial"/>
          <w:b/>
          <w:sz w:val="28"/>
          <w:szCs w:val="20"/>
        </w:rPr>
        <w:t xml:space="preserve">De la respuesta </w:t>
      </w:r>
      <w:r w:rsidR="006168E4">
        <w:rPr>
          <w:rFonts w:ascii="Palatino Linotype" w:hAnsi="Palatino Linotype" w:cs="Arial"/>
          <w:b/>
          <w:sz w:val="28"/>
          <w:szCs w:val="20"/>
        </w:rPr>
        <w:t>del Sujeto Obligado</w:t>
      </w:r>
      <w:r w:rsidR="006168E4" w:rsidRPr="00165D6E">
        <w:rPr>
          <w:rFonts w:ascii="Palatino Linotype" w:hAnsi="Palatino Linotype" w:cs="Arial"/>
          <w:b/>
          <w:sz w:val="28"/>
          <w:szCs w:val="20"/>
        </w:rPr>
        <w:t>.</w:t>
      </w:r>
    </w:p>
    <w:p w14:paraId="0825ABDF" w14:textId="7A08DFA7" w:rsidR="0090279E" w:rsidRDefault="006168E4" w:rsidP="00045379">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el </w:t>
      </w:r>
      <w:r w:rsidR="0090279E">
        <w:rPr>
          <w:rFonts w:ascii="Palatino Linotype" w:hAnsi="Palatino Linotype" w:cs="Arial"/>
          <w:b/>
          <w:bCs/>
          <w:sz w:val="24"/>
          <w:szCs w:val="24"/>
        </w:rPr>
        <w:t xml:space="preserve">veintiuno de febrero de dos mil veinticinco, El Sujeto Obligado </w:t>
      </w:r>
      <w:r w:rsidR="0090279E">
        <w:rPr>
          <w:rFonts w:ascii="Palatino Linotype" w:hAnsi="Palatino Linotype" w:cs="Arial"/>
          <w:sz w:val="24"/>
          <w:szCs w:val="24"/>
        </w:rPr>
        <w:t xml:space="preserve">dio respuesta a la solicitud de información </w:t>
      </w:r>
      <w:r w:rsidR="0090279E">
        <w:rPr>
          <w:rFonts w:ascii="Palatino Linotype" w:hAnsi="Palatino Linotype" w:cs="Arial"/>
          <w:b/>
          <w:bCs/>
          <w:sz w:val="24"/>
          <w:szCs w:val="24"/>
        </w:rPr>
        <w:t xml:space="preserve">00030/JOSERIN/IP/2025, </w:t>
      </w:r>
      <w:r w:rsidR="0090279E">
        <w:rPr>
          <w:rFonts w:ascii="Palatino Linotype" w:hAnsi="Palatino Linotype" w:cs="Arial"/>
          <w:sz w:val="24"/>
          <w:szCs w:val="24"/>
        </w:rPr>
        <w:t>resultando de nuestro interés lo siguiente:</w:t>
      </w:r>
    </w:p>
    <w:p w14:paraId="5B5A034F" w14:textId="0504D5CE" w:rsidR="0090279E" w:rsidRPr="0090279E" w:rsidRDefault="0090279E" w:rsidP="0090279E">
      <w:pPr>
        <w:pStyle w:val="Citas"/>
        <w:rPr>
          <w:b/>
          <w:bCs/>
        </w:rPr>
      </w:pPr>
      <w:r>
        <w:t>“</w:t>
      </w:r>
      <w:r w:rsidRPr="0090279E">
        <w:t>Se envía la información solicitada</w:t>
      </w:r>
      <w:r>
        <w:t xml:space="preserve">” </w:t>
      </w:r>
      <w:r>
        <w:rPr>
          <w:b/>
          <w:bCs/>
        </w:rPr>
        <w:t>(Sic)</w:t>
      </w:r>
    </w:p>
    <w:p w14:paraId="4992324C" w14:textId="1AEE57AB" w:rsidR="00817A08" w:rsidRPr="00817A08" w:rsidRDefault="00A37DAA" w:rsidP="00FD4D25">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90279E">
        <w:rPr>
          <w:rFonts w:ascii="Palatino Linotype" w:hAnsi="Palatino Linotype" w:cs="Arial"/>
          <w:sz w:val="24"/>
          <w:szCs w:val="24"/>
        </w:rPr>
        <w:t xml:space="preserve"> el documento electrónico </w:t>
      </w:r>
      <w:r w:rsidR="0090279E">
        <w:rPr>
          <w:rFonts w:ascii="Palatino Linotype" w:hAnsi="Palatino Linotype" w:cs="Arial"/>
          <w:b/>
          <w:bCs/>
          <w:sz w:val="24"/>
          <w:szCs w:val="24"/>
        </w:rPr>
        <w:t xml:space="preserve">“SOL30.pdf”, </w:t>
      </w:r>
      <w:r w:rsidR="002811F8">
        <w:rPr>
          <w:rFonts w:ascii="Palatino Linotype" w:hAnsi="Palatino Linotype" w:cs="Arial"/>
          <w:sz w:val="24"/>
          <w:szCs w:val="24"/>
        </w:rPr>
        <w:t xml:space="preserve">cuyo contenido se tiene por reproducido como si a la letra se </w:t>
      </w:r>
      <w:r w:rsidR="005202C4">
        <w:rPr>
          <w:rFonts w:ascii="Palatino Linotype" w:hAnsi="Palatino Linotype" w:cs="Arial"/>
          <w:sz w:val="24"/>
          <w:szCs w:val="24"/>
        </w:rPr>
        <w:t xml:space="preserve">insertase </w:t>
      </w:r>
      <w:r w:rsidR="00817A08">
        <w:rPr>
          <w:rFonts w:ascii="Palatino Linotype" w:hAnsi="Palatino Linotype" w:cs="Arial"/>
          <w:sz w:val="24"/>
          <w:szCs w:val="24"/>
        </w:rPr>
        <w:t xml:space="preserve">en virtud de que será materia de análisis en el considerando respectivo. </w:t>
      </w:r>
    </w:p>
    <w:p w14:paraId="796D7B1A" w14:textId="77777777" w:rsidR="00AA207C" w:rsidRPr="003869DF" w:rsidRDefault="00AA207C" w:rsidP="003869DF">
      <w:pPr>
        <w:pStyle w:val="Citas"/>
        <w:ind w:left="0" w:right="0"/>
        <w:rPr>
          <w:i w:val="0"/>
          <w:sz w:val="24"/>
          <w:szCs w:val="24"/>
          <w:lang w:eastAsia="es-MX"/>
        </w:rPr>
      </w:pPr>
    </w:p>
    <w:p w14:paraId="37F573AF" w14:textId="78F8068A" w:rsidR="006168E4" w:rsidRDefault="002F5BAE" w:rsidP="00844569">
      <w:pPr>
        <w:spacing w:before="240" w:line="360" w:lineRule="auto"/>
        <w:jc w:val="both"/>
        <w:rPr>
          <w:rFonts w:ascii="Palatino Linotype" w:hAnsi="Palatino Linotype" w:cs="Arial"/>
          <w:b/>
          <w:sz w:val="28"/>
        </w:rPr>
      </w:pPr>
      <w:r>
        <w:rPr>
          <w:rFonts w:ascii="Palatino Linotype" w:hAnsi="Palatino Linotype" w:cs="Arial"/>
          <w:b/>
          <w:sz w:val="28"/>
        </w:rPr>
        <w:t>TERCERO</w:t>
      </w:r>
      <w:r w:rsidR="006168E4">
        <w:rPr>
          <w:rFonts w:ascii="Palatino Linotype" w:hAnsi="Palatino Linotype" w:cs="Arial"/>
          <w:b/>
          <w:sz w:val="28"/>
        </w:rPr>
        <w:t xml:space="preserve">. </w:t>
      </w:r>
      <w:r w:rsidR="006168E4">
        <w:rPr>
          <w:rFonts w:ascii="Palatino Linotype" w:hAnsi="Palatino Linotype"/>
          <w:b/>
          <w:sz w:val="28"/>
        </w:rPr>
        <w:t>Del recurso de revisión.</w:t>
      </w:r>
    </w:p>
    <w:p w14:paraId="2D68CDA0" w14:textId="73872886" w:rsidR="0090279E" w:rsidRPr="0090279E" w:rsidRDefault="006168E4" w:rsidP="00844569">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008B42B1" w:rsidRPr="008B42B1">
        <w:rPr>
          <w:rFonts w:ascii="Palatino Linotype" w:hAnsi="Palatino Linotype" w:cs="Arial"/>
          <w:b/>
          <w:sz w:val="24"/>
          <w:szCs w:val="24"/>
        </w:rPr>
        <w:t>E</w:t>
      </w:r>
      <w:r w:rsidRPr="008B42B1">
        <w:rPr>
          <w:rFonts w:ascii="Palatino Linotype" w:hAnsi="Palatino Linotype" w:cs="Arial"/>
          <w:b/>
          <w:sz w:val="24"/>
          <w:szCs w:val="24"/>
        </w:rPr>
        <w:t xml:space="preserve">l </w:t>
      </w:r>
      <w:r w:rsidR="008B42B1" w:rsidRPr="008B42B1">
        <w:rPr>
          <w:rFonts w:ascii="Palatino Linotype" w:hAnsi="Palatino Linotype" w:cs="Arial"/>
          <w:b/>
          <w:sz w:val="24"/>
          <w:szCs w:val="24"/>
        </w:rPr>
        <w:t>S</w:t>
      </w:r>
      <w:r w:rsidRPr="008B42B1">
        <w:rPr>
          <w:rFonts w:ascii="Palatino Linotype" w:hAnsi="Palatino Linotype" w:cs="Arial"/>
          <w:b/>
          <w:sz w:val="24"/>
          <w:szCs w:val="24"/>
        </w:rPr>
        <w:t xml:space="preserve">ujeto </w:t>
      </w:r>
      <w:r w:rsidR="008B42B1" w:rsidRPr="008B42B1">
        <w:rPr>
          <w:rFonts w:ascii="Palatino Linotype" w:hAnsi="Palatino Linotype" w:cs="Arial"/>
          <w:b/>
          <w:sz w:val="24"/>
          <w:szCs w:val="24"/>
        </w:rPr>
        <w:t>O</w:t>
      </w:r>
      <w:r w:rsidRPr="008B42B1">
        <w:rPr>
          <w:rFonts w:ascii="Palatino Linotype" w:hAnsi="Palatino Linotype" w:cs="Arial"/>
          <w:b/>
          <w:sz w:val="24"/>
          <w:szCs w:val="24"/>
        </w:rPr>
        <w:t xml:space="preserve">bligado, </w:t>
      </w:r>
      <w:r w:rsidR="005202C4">
        <w:rPr>
          <w:rFonts w:ascii="Palatino Linotype" w:hAnsi="Palatino Linotype" w:cs="Arial"/>
          <w:b/>
          <w:sz w:val="24"/>
          <w:szCs w:val="24"/>
        </w:rPr>
        <w:t>El</w:t>
      </w:r>
      <w:r w:rsidR="00817A08">
        <w:rPr>
          <w:rFonts w:ascii="Palatino Linotype" w:hAnsi="Palatino Linotype" w:cs="Arial"/>
          <w:b/>
          <w:sz w:val="24"/>
          <w:szCs w:val="24"/>
        </w:rPr>
        <w:t xml:space="preserve"> Recurrente </w:t>
      </w:r>
      <w:r w:rsidR="00817A08">
        <w:rPr>
          <w:rFonts w:ascii="Palatino Linotype" w:hAnsi="Palatino Linotype" w:cs="Arial"/>
          <w:bCs/>
          <w:sz w:val="24"/>
          <w:szCs w:val="24"/>
        </w:rPr>
        <w:t>interpuso el recurso de revisión, en fecha</w:t>
      </w:r>
      <w:r w:rsidR="0065043F">
        <w:rPr>
          <w:rFonts w:ascii="Palatino Linotype" w:hAnsi="Palatino Linotype" w:cs="Arial"/>
          <w:bCs/>
          <w:sz w:val="24"/>
          <w:szCs w:val="24"/>
        </w:rPr>
        <w:t xml:space="preserve"> </w:t>
      </w:r>
      <w:r w:rsidR="0090279E">
        <w:rPr>
          <w:rFonts w:ascii="Palatino Linotype" w:hAnsi="Palatino Linotype" w:cs="Arial"/>
          <w:b/>
          <w:sz w:val="24"/>
          <w:szCs w:val="24"/>
        </w:rPr>
        <w:t xml:space="preserve">veinticuatro de febrero de dos mil veinticinco, </w:t>
      </w:r>
      <w:r w:rsidR="0090279E">
        <w:rPr>
          <w:rFonts w:ascii="Palatino Linotype" w:hAnsi="Palatino Linotype" w:cs="Arial"/>
          <w:bCs/>
          <w:sz w:val="24"/>
          <w:szCs w:val="24"/>
        </w:rPr>
        <w:t xml:space="preserve">el cual fue registrado en el sistema electrónico con el número </w:t>
      </w:r>
      <w:r w:rsidR="0090279E">
        <w:rPr>
          <w:rFonts w:ascii="Palatino Linotype" w:hAnsi="Palatino Linotype" w:cs="Arial"/>
          <w:b/>
          <w:sz w:val="24"/>
          <w:szCs w:val="24"/>
        </w:rPr>
        <w:t xml:space="preserve">01955/INFOEM/IP/RR/2025, </w:t>
      </w:r>
      <w:r w:rsidR="0090279E">
        <w:rPr>
          <w:rFonts w:ascii="Palatino Linotype" w:hAnsi="Palatino Linotype" w:cs="Arial"/>
          <w:bCs/>
          <w:sz w:val="24"/>
          <w:szCs w:val="24"/>
        </w:rPr>
        <w:t xml:space="preserve">en el cual arguye las siguientes manifestaciones: </w:t>
      </w:r>
    </w:p>
    <w:p w14:paraId="3774298B" w14:textId="77777777" w:rsidR="006168E4" w:rsidRDefault="006168E4" w:rsidP="00844569">
      <w:pPr>
        <w:spacing w:before="240" w:line="360" w:lineRule="auto"/>
        <w:jc w:val="both"/>
        <w:rPr>
          <w:rFonts w:ascii="Palatino Linotype" w:hAnsi="Palatino Linotype" w:cs="Arial"/>
          <w:b/>
          <w:sz w:val="24"/>
        </w:rPr>
      </w:pPr>
      <w:r>
        <w:rPr>
          <w:rFonts w:ascii="Palatino Linotype" w:hAnsi="Palatino Linotype" w:cs="Arial"/>
          <w:b/>
          <w:sz w:val="24"/>
        </w:rPr>
        <w:lastRenderedPageBreak/>
        <w:t>Acto Impugnado:</w:t>
      </w:r>
    </w:p>
    <w:p w14:paraId="40CA7A53" w14:textId="50155A0E" w:rsidR="003406C5" w:rsidRPr="003406C5" w:rsidRDefault="003406C5" w:rsidP="003406C5">
      <w:pPr>
        <w:pStyle w:val="Citas"/>
        <w:rPr>
          <w:b/>
          <w:bCs/>
          <w:sz w:val="24"/>
        </w:rPr>
      </w:pPr>
      <w:bookmarkStart w:id="2" w:name="_Hlk193195149"/>
      <w:r w:rsidRPr="002F5BAE">
        <w:t>“</w:t>
      </w:r>
      <w:r w:rsidR="0090279E" w:rsidRPr="0090279E">
        <w:t>SIENDO QUE MUESTRAN LA PRIMERA SESION DEL COMITE DE ADQUISICIONES, SE SOLICITA MUESTRAN LAS PROPUESTAS TECNICAS Y ECONOMICAS DEL PROVEEDOR PARA LA COMPRA DE ALIMENTO PARA CABALLOS. PARA EL EJERCICIO 2025</w:t>
      </w:r>
      <w:r w:rsidRPr="002F5BAE">
        <w:t>”</w:t>
      </w:r>
      <w:r>
        <w:t xml:space="preserve"> </w:t>
      </w:r>
      <w:r>
        <w:rPr>
          <w:b/>
          <w:bCs/>
        </w:rPr>
        <w:t>(Sic)</w:t>
      </w:r>
    </w:p>
    <w:bookmarkEnd w:id="2"/>
    <w:p w14:paraId="22A465CC" w14:textId="77777777" w:rsidR="006168E4" w:rsidRDefault="006168E4" w:rsidP="0084456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F651FB8" w14:textId="5029D372" w:rsidR="005202C4" w:rsidRPr="003406C5" w:rsidRDefault="003406C5" w:rsidP="003406C5">
      <w:pPr>
        <w:pStyle w:val="Citas"/>
        <w:rPr>
          <w:b/>
          <w:bCs/>
        </w:rPr>
      </w:pPr>
      <w:bookmarkStart w:id="3" w:name="_Hlk193195154"/>
      <w:r w:rsidRPr="002F5BAE">
        <w:t>“</w:t>
      </w:r>
      <w:r w:rsidR="0090279E" w:rsidRPr="0090279E">
        <w:t>FALTA DE INFORMACIÓN</w:t>
      </w:r>
      <w:r w:rsidRPr="002F5BAE">
        <w:t>”</w:t>
      </w:r>
      <w:r>
        <w:t xml:space="preserve"> </w:t>
      </w:r>
      <w:r>
        <w:rPr>
          <w:b/>
          <w:bCs/>
        </w:rPr>
        <w:t>(Sic)</w:t>
      </w:r>
    </w:p>
    <w:bookmarkEnd w:id="3"/>
    <w:p w14:paraId="5B263052" w14:textId="77777777" w:rsidR="003406C5" w:rsidRPr="00AA207C" w:rsidRDefault="003406C5" w:rsidP="00AA207C">
      <w:pPr>
        <w:pStyle w:val="Citas"/>
        <w:rPr>
          <w:b/>
        </w:rPr>
      </w:pPr>
    </w:p>
    <w:p w14:paraId="7E88DE81" w14:textId="73134A83" w:rsidR="006168E4" w:rsidRDefault="002F5BAE" w:rsidP="0084456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6168E4" w:rsidRPr="008551ED">
        <w:rPr>
          <w:rFonts w:ascii="Palatino Linotype" w:hAnsi="Palatino Linotype" w:cs="Arial"/>
          <w:b/>
          <w:sz w:val="24"/>
          <w:szCs w:val="24"/>
        </w:rPr>
        <w:t xml:space="preserve">. </w:t>
      </w:r>
      <w:r w:rsidR="006168E4" w:rsidRPr="0087163A">
        <w:rPr>
          <w:rFonts w:ascii="Palatino Linotype" w:hAnsi="Palatino Linotype" w:cs="Arial"/>
          <w:b/>
          <w:sz w:val="28"/>
          <w:szCs w:val="28"/>
        </w:rPr>
        <w:t>Del turno del recurso de revisión.</w:t>
      </w:r>
    </w:p>
    <w:p w14:paraId="63CCE915" w14:textId="0B8F03E9" w:rsidR="006168E4" w:rsidRDefault="006168E4" w:rsidP="0084456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w:t>
      </w:r>
      <w:r w:rsidR="0018726A">
        <w:rPr>
          <w:rFonts w:ascii="Palatino Linotype" w:hAnsi="Palatino Linotype" w:cs="Arial"/>
          <w:sz w:val="24"/>
          <w:szCs w:val="24"/>
        </w:rPr>
        <w:t>al Comisionado</w:t>
      </w:r>
      <w:r>
        <w:rPr>
          <w:rFonts w:ascii="Palatino Linotype" w:hAnsi="Palatino Linotype" w:cs="Arial"/>
          <w:sz w:val="24"/>
          <w:szCs w:val="24"/>
        </w:rPr>
        <w:t xml:space="preserve"> </w:t>
      </w:r>
      <w:r w:rsidR="000E5F05">
        <w:rPr>
          <w:rFonts w:ascii="Palatino Linotype" w:hAnsi="Palatino Linotype" w:cs="Arial"/>
          <w:b/>
          <w:sz w:val="24"/>
          <w:szCs w:val="24"/>
        </w:rPr>
        <w:t>José Martínez Vilchis</w:t>
      </w:r>
      <w:r>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Pr>
          <w:rFonts w:ascii="Palatino Linotype" w:hAnsi="Palatino Linotype" w:cs="Arial"/>
          <w:sz w:val="24"/>
          <w:szCs w:val="24"/>
        </w:rPr>
        <w:t xml:space="preserve"> </w:t>
      </w:r>
      <w:r w:rsidR="0090279E">
        <w:rPr>
          <w:rFonts w:ascii="Palatino Linotype" w:hAnsi="Palatino Linotype" w:cs="Arial"/>
          <w:b/>
          <w:bCs/>
          <w:sz w:val="24"/>
          <w:szCs w:val="24"/>
        </w:rPr>
        <w:t xml:space="preserve">veintisiete de febrero de dos mil veinticinco, </w:t>
      </w:r>
      <w:r w:rsidR="002811F8" w:rsidRPr="002811F8">
        <w:rPr>
          <w:rFonts w:ascii="Palatino Linotype" w:hAnsi="Palatino Linotype" w:cs="Arial"/>
          <w:sz w:val="24"/>
          <w:szCs w:val="24"/>
        </w:rPr>
        <w:t>d</w:t>
      </w:r>
      <w:r>
        <w:rPr>
          <w:rFonts w:ascii="Palatino Linotype" w:hAnsi="Palatino Linotype" w:cs="Arial"/>
          <w:sz w:val="24"/>
          <w:szCs w:val="24"/>
        </w:rPr>
        <w:t>eterminándose en él, un plazo de siete días para que las partes manifestaran lo que a su derecho corresponda en términos del numeral ya citado.</w:t>
      </w:r>
    </w:p>
    <w:p w14:paraId="4FCAD254" w14:textId="77777777" w:rsidR="005E46D0" w:rsidRDefault="005E46D0" w:rsidP="00844569">
      <w:pPr>
        <w:spacing w:before="240" w:line="360" w:lineRule="auto"/>
        <w:jc w:val="both"/>
        <w:rPr>
          <w:rFonts w:ascii="Palatino Linotype" w:hAnsi="Palatino Linotype" w:cs="Arial"/>
          <w:sz w:val="24"/>
          <w:szCs w:val="24"/>
        </w:rPr>
      </w:pPr>
    </w:p>
    <w:p w14:paraId="4BCFD455" w14:textId="304873A7" w:rsidR="006168E4" w:rsidRPr="00B07D6D" w:rsidRDefault="00D66A31" w:rsidP="00844569">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6168E4" w:rsidRPr="00B07D6D">
        <w:rPr>
          <w:rFonts w:ascii="Palatino Linotype" w:hAnsi="Palatino Linotype" w:cs="Arial"/>
          <w:b/>
          <w:sz w:val="24"/>
          <w:szCs w:val="24"/>
        </w:rPr>
        <w:t xml:space="preserve">. </w:t>
      </w:r>
      <w:r w:rsidR="006168E4" w:rsidRPr="00B07D6D">
        <w:rPr>
          <w:rFonts w:ascii="Palatino Linotype" w:hAnsi="Palatino Linotype" w:cs="Arial"/>
          <w:b/>
          <w:sz w:val="28"/>
          <w:szCs w:val="28"/>
        </w:rPr>
        <w:t>De la etapa de instrucción.</w:t>
      </w:r>
    </w:p>
    <w:p w14:paraId="64A29C32" w14:textId="77777777" w:rsidR="0090279E" w:rsidRDefault="007A4A04" w:rsidP="007A4A04">
      <w:pPr>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Así, en la etapa de instrucción, de las constancias que obran en</w:t>
      </w:r>
      <w:r w:rsidR="0090279E">
        <w:rPr>
          <w:rFonts w:ascii="Palatino Linotype" w:hAnsi="Palatino Linotype" w:cs="Arial"/>
          <w:sz w:val="24"/>
          <w:szCs w:val="24"/>
        </w:rPr>
        <w:t xml:space="preserve"> el expediente electrónico del recurso de revisión se advierte que </w:t>
      </w:r>
      <w:r w:rsidR="0090279E">
        <w:rPr>
          <w:rFonts w:ascii="Palatino Linotype" w:hAnsi="Palatino Linotype" w:cs="Arial"/>
          <w:b/>
          <w:bCs/>
          <w:sz w:val="24"/>
          <w:szCs w:val="24"/>
        </w:rPr>
        <w:t xml:space="preserve">El Sujeto Obligado </w:t>
      </w:r>
      <w:r w:rsidR="0090279E">
        <w:rPr>
          <w:rFonts w:ascii="Palatino Linotype" w:hAnsi="Palatino Linotype" w:cs="Arial"/>
          <w:sz w:val="24"/>
          <w:szCs w:val="24"/>
        </w:rPr>
        <w:t xml:space="preserve">fue omiso en rendir su informe justificado. </w:t>
      </w:r>
    </w:p>
    <w:p w14:paraId="743AE1F2" w14:textId="2EDCB899" w:rsidR="0090279E" w:rsidRPr="0090279E" w:rsidRDefault="0090279E" w:rsidP="007A4A04">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p>
    <w:p w14:paraId="28ECD5C0" w14:textId="090CA4A8" w:rsidR="007A4A04" w:rsidRDefault="007A4A04" w:rsidP="002F5BA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002F5BAE">
        <w:rPr>
          <w:rFonts w:ascii="Palatino Linotype" w:hAnsi="Palatino Linotype" w:cs="Arial"/>
          <w:sz w:val="24"/>
          <w:szCs w:val="24"/>
        </w:rPr>
        <w:t xml:space="preserve">Por lo cual se decretó instrucción con fecha </w:t>
      </w:r>
      <w:r w:rsidR="0090279E">
        <w:rPr>
          <w:rFonts w:ascii="Palatino Linotype" w:hAnsi="Palatino Linotype" w:cs="Arial"/>
          <w:b/>
          <w:bCs/>
          <w:sz w:val="24"/>
          <w:szCs w:val="24"/>
        </w:rPr>
        <w:t>doce de marzo</w:t>
      </w:r>
      <w:r w:rsidR="002F5BAE">
        <w:rPr>
          <w:rFonts w:ascii="Palatino Linotype" w:hAnsi="Palatino Linotype" w:cs="Arial"/>
          <w:b/>
          <w:bCs/>
          <w:sz w:val="24"/>
          <w:szCs w:val="24"/>
        </w:rPr>
        <w:t xml:space="preserve"> de dos mil </w:t>
      </w:r>
      <w:r w:rsidR="0090279E">
        <w:rPr>
          <w:rFonts w:ascii="Palatino Linotype" w:hAnsi="Palatino Linotype" w:cs="Arial"/>
          <w:b/>
          <w:bCs/>
          <w:sz w:val="24"/>
          <w:szCs w:val="24"/>
        </w:rPr>
        <w:t>veinticinco</w:t>
      </w:r>
      <w:r w:rsidR="002F5BAE">
        <w:rPr>
          <w:rFonts w:ascii="Palatino Linotype" w:hAnsi="Palatino Linotype" w:cs="Arial"/>
          <w:b/>
          <w:bCs/>
          <w:sz w:val="24"/>
          <w:szCs w:val="24"/>
        </w:rPr>
        <w:t xml:space="preserve">,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5E0D164F" w14:textId="77777777" w:rsidR="007E55D6" w:rsidRDefault="007E55D6" w:rsidP="002F5BAE">
      <w:pPr>
        <w:spacing w:after="0" w:line="360" w:lineRule="auto"/>
        <w:jc w:val="both"/>
        <w:rPr>
          <w:rFonts w:ascii="Palatino Linotype" w:hAnsi="Palatino Linotype" w:cs="Arial"/>
          <w:sz w:val="24"/>
          <w:szCs w:val="24"/>
        </w:rPr>
      </w:pPr>
    </w:p>
    <w:p w14:paraId="67D0FD90" w14:textId="77777777" w:rsidR="006168E4" w:rsidRDefault="006168E4" w:rsidP="00844569">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579C7ABE" w14:textId="77777777" w:rsidR="006168E4" w:rsidRDefault="006168E4" w:rsidP="00844569">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2AF48F4A" w14:textId="77777777" w:rsidR="0090279E" w:rsidRDefault="0090279E" w:rsidP="0090279E">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8E12413" w14:textId="77777777" w:rsidR="0090279E" w:rsidRDefault="0090279E" w:rsidP="0090279E">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031E5FC" w14:textId="77777777" w:rsidR="0090279E" w:rsidRDefault="0090279E" w:rsidP="0090279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4550F9D8" w14:textId="77777777" w:rsidR="0090279E" w:rsidRDefault="0090279E" w:rsidP="0090279E">
      <w:pPr>
        <w:pStyle w:val="Prrafodelista"/>
        <w:autoSpaceDE w:val="0"/>
        <w:autoSpaceDN w:val="0"/>
        <w:adjustRightInd w:val="0"/>
        <w:spacing w:before="240" w:after="160" w:line="360" w:lineRule="auto"/>
        <w:ind w:left="0"/>
        <w:jc w:val="both"/>
        <w:rPr>
          <w:rFonts w:ascii="Palatino Linotype" w:hAnsi="Palatino Linotype" w:cs="Arial"/>
        </w:rPr>
      </w:pPr>
    </w:p>
    <w:p w14:paraId="4E8DB2B4" w14:textId="77777777" w:rsidR="0090279E" w:rsidRPr="00161CEB" w:rsidRDefault="0090279E" w:rsidP="0090279E">
      <w:pPr>
        <w:autoSpaceDE w:val="0"/>
        <w:autoSpaceDN w:val="0"/>
        <w:adjustRightInd w:val="0"/>
        <w:spacing w:after="0" w:line="360" w:lineRule="auto"/>
        <w:jc w:val="both"/>
        <w:rPr>
          <w:rFonts w:ascii="Palatino Linotype" w:hAnsi="Palatino Linotype" w:cs="Arial"/>
          <w:b/>
        </w:rPr>
      </w:pPr>
      <w:r w:rsidRPr="007822E6">
        <w:rPr>
          <w:rFonts w:ascii="Palatino Linotype" w:hAnsi="Palatino Linotype" w:cs="Arial"/>
          <w:b/>
          <w:sz w:val="28"/>
        </w:rPr>
        <w:t>TERCERO</w:t>
      </w:r>
      <w:r w:rsidRPr="007822E6">
        <w:rPr>
          <w:rFonts w:ascii="Palatino Linotype" w:hAnsi="Palatino Linotype" w:cs="Arial"/>
          <w:b/>
        </w:rPr>
        <w:t xml:space="preserve">. </w:t>
      </w:r>
      <w:r w:rsidRPr="00161CEB">
        <w:rPr>
          <w:rFonts w:ascii="Palatino Linotype" w:hAnsi="Palatino Linotype" w:cs="Arial"/>
          <w:b/>
          <w:sz w:val="28"/>
        </w:rPr>
        <w:t>Cuestiones de previo y especial pronunciamiento</w:t>
      </w:r>
      <w:r w:rsidRPr="00161CEB">
        <w:rPr>
          <w:rFonts w:ascii="Palatino Linotype" w:hAnsi="Palatino Linotype" w:cs="Arial"/>
          <w:b/>
        </w:rPr>
        <w:t>.</w:t>
      </w:r>
    </w:p>
    <w:p w14:paraId="2D0D7810" w14:textId="77777777" w:rsidR="0090279E" w:rsidRPr="00AF17B1" w:rsidRDefault="0090279E" w:rsidP="0090279E">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78C3BB07"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07EAE4BF"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595627C3"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59403C67"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105A3016"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IV. La fecha en que fue notificada la respuesta al solicitante o tuvo conocimiento del acto reclamado, o de presentación de la solicitud, en caso de falta de respuesta;</w:t>
      </w:r>
    </w:p>
    <w:p w14:paraId="6EF36859"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0AF70C8E"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42A95E8E"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769D458C"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0A821582"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3B7FC344" w14:textId="77777777" w:rsidR="0090279E" w:rsidRPr="00AF17B1" w:rsidRDefault="0090279E" w:rsidP="0090279E">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2F72D388" w14:textId="77777777" w:rsidR="0090279E" w:rsidRPr="00AF17B1" w:rsidRDefault="0090279E" w:rsidP="0090279E">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6329DB5A" w14:textId="77777777" w:rsidR="0090279E" w:rsidRPr="00AF17B1" w:rsidRDefault="0090279E" w:rsidP="0090279E">
      <w:pPr>
        <w:spacing w:after="0" w:line="360" w:lineRule="auto"/>
        <w:jc w:val="both"/>
        <w:rPr>
          <w:rFonts w:ascii="Palatino Linotype" w:eastAsia="Times New Roman" w:hAnsi="Palatino Linotype" w:cs="Arial"/>
          <w:b/>
          <w:i/>
          <w:sz w:val="24"/>
          <w:szCs w:val="24"/>
          <w:lang w:eastAsia="es-ES"/>
        </w:rPr>
      </w:pPr>
    </w:p>
    <w:p w14:paraId="57D0E875" w14:textId="77777777" w:rsidR="0090279E" w:rsidRPr="00AF17B1" w:rsidRDefault="0090279E" w:rsidP="0090279E">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0472A567" w14:textId="77777777" w:rsidR="0090279E" w:rsidRPr="00AF17B1" w:rsidRDefault="0090279E" w:rsidP="0090279E">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3D400C2D" w14:textId="77777777" w:rsidR="0090279E" w:rsidRPr="00AF17B1" w:rsidRDefault="0090279E" w:rsidP="0090279E">
      <w:pPr>
        <w:spacing w:before="240" w:line="360" w:lineRule="auto"/>
        <w:ind w:left="851" w:right="851"/>
        <w:jc w:val="both"/>
        <w:rPr>
          <w:rFonts w:ascii="Palatino Linotype" w:hAnsi="Palatino Linotype" w:cs="Arial"/>
          <w:b/>
          <w:i/>
          <w:lang w:eastAsia="es-ES"/>
        </w:rPr>
      </w:pPr>
    </w:p>
    <w:p w14:paraId="5D1FF72F" w14:textId="77777777" w:rsidR="0090279E" w:rsidRPr="00AF17B1" w:rsidRDefault="0090279E" w:rsidP="0090279E">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2E5AA1F0" w14:textId="77777777" w:rsidR="0090279E" w:rsidRPr="00AF17B1" w:rsidRDefault="0090279E" w:rsidP="0090279E">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66034230"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60F08A6"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29CBA0A6"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03DEB9B4"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1286E71D"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5C5D0A44"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785FBE86" w14:textId="77777777" w:rsidR="0090279E" w:rsidRPr="00AF17B1" w:rsidRDefault="0090279E" w:rsidP="0090279E">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0C1D0322" w14:textId="77777777" w:rsidR="0090279E" w:rsidRPr="00AF17B1" w:rsidRDefault="0090279E" w:rsidP="0090279E">
      <w:pPr>
        <w:spacing w:before="240" w:line="360" w:lineRule="auto"/>
        <w:ind w:left="851" w:right="851"/>
        <w:jc w:val="both"/>
        <w:rPr>
          <w:rFonts w:ascii="Palatino Linotype" w:eastAsia="Times New Roman" w:hAnsi="Palatino Linotype" w:cs="Times New Roman"/>
          <w:b/>
          <w:i/>
          <w:lang w:eastAsia="es-ES"/>
        </w:rPr>
      </w:pPr>
    </w:p>
    <w:p w14:paraId="500DEAEB" w14:textId="77777777" w:rsidR="0090279E" w:rsidRPr="00AF17B1" w:rsidRDefault="0090279E" w:rsidP="0090279E">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40FA22B8"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712D584"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8961FA5"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0248A5A2"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3806DD2B"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7A5F7FA1"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CB03F7F"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5080B64A"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74DE15D6"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06F8B499" w14:textId="77777777" w:rsidR="0090279E" w:rsidRPr="00AF17B1" w:rsidRDefault="0090279E" w:rsidP="0090279E">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E34FCD2" w14:textId="77777777" w:rsidR="0090279E" w:rsidRPr="00AF17B1" w:rsidRDefault="0090279E" w:rsidP="0090279E">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w:t>
      </w:r>
      <w:r w:rsidRPr="00AF17B1">
        <w:rPr>
          <w:rFonts w:ascii="Palatino Linotype" w:eastAsia="Times New Roman" w:hAnsi="Palatino Linotype" w:cs="Times New Roman"/>
          <w:i/>
          <w:lang w:eastAsia="es-ES"/>
        </w:rPr>
        <w:lastRenderedPageBreak/>
        <w:t xml:space="preserve">personales en posesión de los sujetos obligados en los términos que establezca la ley. (…)” </w:t>
      </w:r>
      <w:r w:rsidRPr="00AF17B1">
        <w:rPr>
          <w:rFonts w:ascii="Palatino Linotype" w:eastAsia="Times New Roman" w:hAnsi="Palatino Linotype" w:cs="Times New Roman"/>
          <w:b/>
          <w:i/>
          <w:lang w:eastAsia="es-ES"/>
        </w:rPr>
        <w:t>[Sic]</w:t>
      </w:r>
    </w:p>
    <w:p w14:paraId="21D3B059" w14:textId="77777777" w:rsidR="0090279E" w:rsidRDefault="0090279E" w:rsidP="0090279E">
      <w:pPr>
        <w:spacing w:after="0" w:line="360" w:lineRule="auto"/>
        <w:jc w:val="both"/>
        <w:rPr>
          <w:rFonts w:ascii="Palatino Linotype" w:eastAsia="Times New Roman" w:hAnsi="Palatino Linotype" w:cs="Times New Roman"/>
          <w:sz w:val="24"/>
          <w:szCs w:val="24"/>
          <w:lang w:eastAsia="es-ES"/>
        </w:rPr>
      </w:pPr>
    </w:p>
    <w:p w14:paraId="512118AD" w14:textId="77777777" w:rsidR="0090279E" w:rsidRPr="00AF17B1" w:rsidRDefault="0090279E" w:rsidP="0090279E">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7DBC9696" w14:textId="77777777" w:rsidR="0090279E" w:rsidRPr="00AF17B1" w:rsidRDefault="0090279E" w:rsidP="0090279E">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6E9EE5B" w14:textId="77777777" w:rsidR="0090279E" w:rsidRPr="00AF17B1" w:rsidRDefault="0090279E" w:rsidP="0090279E">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1769E843" w14:textId="77777777" w:rsidR="0090279E" w:rsidRPr="00AF17B1" w:rsidRDefault="0090279E" w:rsidP="0090279E">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55000597" w14:textId="77777777" w:rsidR="0090279E" w:rsidRDefault="0090279E" w:rsidP="0090279E">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7CE354FB" w14:textId="77777777" w:rsidR="0090279E" w:rsidRDefault="0090279E" w:rsidP="0090279E">
      <w:pPr>
        <w:tabs>
          <w:tab w:val="left" w:pos="709"/>
        </w:tabs>
        <w:spacing w:before="240" w:line="360" w:lineRule="auto"/>
        <w:ind w:right="51"/>
        <w:jc w:val="both"/>
        <w:rPr>
          <w:rFonts w:ascii="Palatino Linotype" w:hAnsi="Palatino Linotype"/>
          <w:b/>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AF17B1">
        <w:rPr>
          <w:rFonts w:ascii="Palatino Linotype" w:eastAsia="Times New Roman" w:hAnsi="Palatino Linotype" w:cs="Times New Roman"/>
          <w:sz w:val="24"/>
          <w:szCs w:val="24"/>
          <w:lang w:eastAsia="es-ES"/>
        </w:rPr>
        <w:lastRenderedPageBreak/>
        <w:t xml:space="preserve">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incluso, la solicitud de acceso a la información pueda ser 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 xml:space="preserve">En conclusión, se cubrieron los requisitos de procedencia y </w:t>
      </w:r>
      <w:proofErr w:type="spellStart"/>
      <w:r w:rsidRPr="00AF17B1">
        <w:rPr>
          <w:rFonts w:ascii="Palatino Linotype" w:hAnsi="Palatino Linotype" w:cs="Arial"/>
          <w:sz w:val="24"/>
          <w:szCs w:val="24"/>
        </w:rPr>
        <w:t>procedibilidad</w:t>
      </w:r>
      <w:proofErr w:type="spellEnd"/>
      <w:r w:rsidRPr="00AF17B1">
        <w:rPr>
          <w:rFonts w:ascii="Palatino Linotype" w:hAnsi="Palatino Linotype" w:cs="Arial"/>
          <w:sz w:val="24"/>
          <w:szCs w:val="24"/>
        </w:rPr>
        <w:t xml:space="preserve"> y conforme a las constancias que obran en el expediente.</w:t>
      </w:r>
    </w:p>
    <w:p w14:paraId="4A0E9978" w14:textId="77777777" w:rsidR="000E5F05" w:rsidRPr="0090279E" w:rsidRDefault="000E5F05" w:rsidP="00BF01A7">
      <w:pPr>
        <w:spacing w:after="0" w:line="360" w:lineRule="auto"/>
        <w:jc w:val="both"/>
        <w:rPr>
          <w:rFonts w:ascii="Palatino Linotype" w:hAnsi="Palatino Linotype" w:cs="Arial"/>
          <w:sz w:val="24"/>
          <w:szCs w:val="24"/>
        </w:rPr>
      </w:pPr>
    </w:p>
    <w:p w14:paraId="7B4D5A25" w14:textId="77777777" w:rsidR="00AD3B5E" w:rsidRPr="0090279E" w:rsidRDefault="00AD3B5E" w:rsidP="00AD3B5E">
      <w:pPr>
        <w:tabs>
          <w:tab w:val="left" w:pos="709"/>
        </w:tabs>
        <w:spacing w:before="240" w:line="360" w:lineRule="auto"/>
        <w:ind w:right="51"/>
        <w:jc w:val="both"/>
        <w:rPr>
          <w:rFonts w:ascii="Palatino Linotype" w:hAnsi="Palatino Linotype"/>
          <w:b/>
          <w:sz w:val="28"/>
          <w:szCs w:val="28"/>
        </w:rPr>
      </w:pPr>
      <w:r w:rsidRPr="0090279E">
        <w:rPr>
          <w:rFonts w:ascii="Palatino Linotype" w:hAnsi="Palatino Linotype"/>
          <w:b/>
          <w:sz w:val="28"/>
          <w:szCs w:val="28"/>
        </w:rPr>
        <w:t xml:space="preserve">CUARTO. </w:t>
      </w:r>
      <w:r w:rsidRPr="0090279E">
        <w:rPr>
          <w:rFonts w:ascii="Palatino Linotype" w:hAnsi="Palatino Linotype" w:cs="Arial"/>
          <w:b/>
          <w:sz w:val="28"/>
          <w:szCs w:val="28"/>
        </w:rPr>
        <w:t>Del estudio de las causas de improcedencia y sobreseimiento</w:t>
      </w:r>
    </w:p>
    <w:p w14:paraId="61882E0F" w14:textId="77777777" w:rsidR="00AD3B5E" w:rsidRPr="0090279E" w:rsidRDefault="00AD3B5E" w:rsidP="00AD3B5E">
      <w:pPr>
        <w:pStyle w:val="Prrafodelista"/>
        <w:autoSpaceDE w:val="0"/>
        <w:autoSpaceDN w:val="0"/>
        <w:adjustRightInd w:val="0"/>
        <w:spacing w:line="360" w:lineRule="auto"/>
        <w:ind w:left="0"/>
        <w:jc w:val="both"/>
        <w:rPr>
          <w:rFonts w:ascii="Palatino Linotype" w:hAnsi="Palatino Linotype" w:cs="Arial"/>
        </w:rPr>
      </w:pPr>
      <w:r w:rsidRPr="0090279E">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90279E">
        <w:rPr>
          <w:rFonts w:ascii="Palatino Linotype" w:hAnsi="Palatino Linotype" w:cs="Arial"/>
        </w:rPr>
        <w:t>procedibilidad</w:t>
      </w:r>
      <w:proofErr w:type="spellEnd"/>
      <w:r w:rsidRPr="0090279E">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38F3E7D" w14:textId="77777777" w:rsidR="00051F5D" w:rsidRDefault="00051F5D" w:rsidP="00AD3B5E">
      <w:pPr>
        <w:pStyle w:val="Prrafodelista"/>
        <w:autoSpaceDE w:val="0"/>
        <w:autoSpaceDN w:val="0"/>
        <w:adjustRightInd w:val="0"/>
        <w:spacing w:line="360" w:lineRule="auto"/>
        <w:ind w:left="0"/>
        <w:jc w:val="both"/>
        <w:rPr>
          <w:rFonts w:ascii="Palatino Linotype" w:hAnsi="Palatino Linotype" w:cs="Arial"/>
        </w:rPr>
      </w:pPr>
    </w:p>
    <w:p w14:paraId="405BCF97" w14:textId="7C214634" w:rsidR="00AD3B5E" w:rsidRPr="0090279E" w:rsidRDefault="00AD3B5E" w:rsidP="00AD3B5E">
      <w:pPr>
        <w:pStyle w:val="Prrafodelista"/>
        <w:autoSpaceDE w:val="0"/>
        <w:autoSpaceDN w:val="0"/>
        <w:adjustRightInd w:val="0"/>
        <w:spacing w:line="360" w:lineRule="auto"/>
        <w:ind w:left="0"/>
        <w:jc w:val="both"/>
        <w:rPr>
          <w:rFonts w:ascii="Palatino Linotype" w:hAnsi="Palatino Linotype" w:cs="Arial"/>
        </w:rPr>
      </w:pPr>
      <w:r w:rsidRPr="0090279E">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90279E">
        <w:rPr>
          <w:rFonts w:ascii="Palatino Linotype" w:hAnsi="Palatino Linotype" w:cs="Arial"/>
        </w:rPr>
        <w:t>Resolutor</w:t>
      </w:r>
      <w:proofErr w:type="spellEnd"/>
      <w:r w:rsidRPr="0090279E">
        <w:rPr>
          <w:rFonts w:ascii="Palatino Linotype" w:hAnsi="Palatino Linotype" w:cs="Arial"/>
        </w:rPr>
        <w:t xml:space="preserve">; presupuestos procesales de inicio o trámite de un proceso que dotan de seguridad jurídica la resolución emitida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w:t>
      </w:r>
      <w:r w:rsidRPr="0090279E">
        <w:rPr>
          <w:rFonts w:ascii="Palatino Linotype" w:hAnsi="Palatino Linotype" w:cs="Arial"/>
        </w:rPr>
        <w:lastRenderedPageBreak/>
        <w:t>de improcedencia que no son incompatibles con el derecho de acceso a la justicia, ya que éste no se coarta por regular causas de improcedencia y sobreseimiento con tales fines</w:t>
      </w:r>
      <w:r w:rsidRPr="0090279E">
        <w:rPr>
          <w:rStyle w:val="Refdenotaalpie"/>
          <w:rFonts w:ascii="Palatino Linotype" w:hAnsi="Palatino Linotype" w:cs="Arial"/>
        </w:rPr>
        <w:footnoteReference w:id="1"/>
      </w:r>
      <w:r w:rsidRPr="0090279E">
        <w:rPr>
          <w:rFonts w:ascii="Palatino Linotype" w:hAnsi="Palatino Linotype" w:cs="Arial"/>
        </w:rPr>
        <w:t>.</w:t>
      </w:r>
    </w:p>
    <w:p w14:paraId="1D379B0A" w14:textId="77777777" w:rsidR="00AD3B5E" w:rsidRPr="0090279E" w:rsidRDefault="00AD3B5E" w:rsidP="00AD3B5E">
      <w:pPr>
        <w:autoSpaceDE w:val="0"/>
        <w:autoSpaceDN w:val="0"/>
        <w:adjustRightInd w:val="0"/>
        <w:spacing w:line="360" w:lineRule="auto"/>
        <w:jc w:val="both"/>
        <w:rPr>
          <w:rFonts w:ascii="Palatino Linotype" w:hAnsi="Palatino Linotype" w:cs="Arial"/>
          <w:sz w:val="24"/>
          <w:szCs w:val="24"/>
        </w:rPr>
      </w:pPr>
      <w:r w:rsidRPr="0090279E">
        <w:rPr>
          <w:rFonts w:ascii="Palatino Linotype" w:hAnsi="Palatino Linotype" w:cs="Arial"/>
          <w:sz w:val="24"/>
          <w:szCs w:val="24"/>
        </w:rPr>
        <w:t xml:space="preserve">En primer término es necesario hacer alusión a la solicitud de información ya que de ella deriva por un lado el procedimiento de acceso a la información ante </w:t>
      </w:r>
      <w:r w:rsidRPr="0090279E">
        <w:rPr>
          <w:rFonts w:ascii="Palatino Linotype" w:hAnsi="Palatino Linotype" w:cs="Arial"/>
          <w:b/>
          <w:sz w:val="24"/>
          <w:szCs w:val="24"/>
        </w:rPr>
        <w:t>El Sujeto Obligado</w:t>
      </w:r>
      <w:r w:rsidRPr="0090279E">
        <w:rPr>
          <w:rFonts w:ascii="Palatino Linotype" w:hAnsi="Palatino Linotype" w:cs="Arial"/>
          <w:sz w:val="24"/>
          <w:szCs w:val="24"/>
        </w:rPr>
        <w:t>, y por otro lado la materia sobre la que versara el recurso de revisión ante este Órgano Garante; se resalta la innegable necesidad de interpretar el texto de las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9439789" w14:textId="77777777" w:rsidR="00AD3B5E" w:rsidRDefault="00AD3B5E" w:rsidP="00AD3B5E">
      <w:pPr>
        <w:autoSpaceDE w:val="0"/>
        <w:autoSpaceDN w:val="0"/>
        <w:adjustRightInd w:val="0"/>
        <w:spacing w:line="360" w:lineRule="auto"/>
        <w:jc w:val="both"/>
        <w:rPr>
          <w:rFonts w:ascii="Palatino Linotype" w:hAnsi="Palatino Linotype" w:cs="Arial"/>
          <w:sz w:val="24"/>
          <w:szCs w:val="24"/>
        </w:rPr>
      </w:pPr>
      <w:r w:rsidRPr="0090279E">
        <w:rPr>
          <w:rFonts w:ascii="Palatino Linotype" w:hAnsi="Palatino Linotype" w:cs="Arial"/>
          <w:sz w:val="24"/>
          <w:szCs w:val="24"/>
        </w:rPr>
        <w:lastRenderedPageBreak/>
        <w:t>Ya que el planteamiento del problema es de toral importancia, a efecto de determinar la intención o voluntad del</w:t>
      </w:r>
      <w:r w:rsidRPr="0090279E">
        <w:rPr>
          <w:rFonts w:ascii="Palatino Linotype" w:hAnsi="Palatino Linotype" w:cs="Arial"/>
          <w:b/>
          <w:sz w:val="24"/>
          <w:szCs w:val="24"/>
        </w:rPr>
        <w:t xml:space="preserve"> Recurrente</w:t>
      </w:r>
      <w:r w:rsidRPr="0090279E">
        <w:rPr>
          <w:rFonts w:ascii="Palatino Linotype" w:hAnsi="Palatino Linotype" w:cs="Arial"/>
          <w:sz w:val="24"/>
          <w:szCs w:val="24"/>
        </w:rPr>
        <w:t xml:space="preserve"> a la luz de la interpretación de la solicitud de información, y que puede generar de forma objetiva y material </w:t>
      </w:r>
      <w:r w:rsidRPr="0090279E">
        <w:rPr>
          <w:rFonts w:ascii="Palatino Linotype" w:hAnsi="Palatino Linotype" w:cs="Arial"/>
          <w:b/>
          <w:sz w:val="24"/>
          <w:szCs w:val="24"/>
        </w:rPr>
        <w:t>El Sujeto Obligado</w:t>
      </w:r>
      <w:r w:rsidRPr="0090279E">
        <w:rPr>
          <w:rFonts w:ascii="Palatino Linotype" w:hAnsi="Palatino Linotype" w:cs="Arial"/>
          <w:sz w:val="24"/>
          <w:szCs w:val="24"/>
        </w:rPr>
        <w:t xml:space="preserve"> que se relacione con esa intención, respecto del presente asunto se realiza a continuación.</w:t>
      </w:r>
    </w:p>
    <w:p w14:paraId="77EE720E" w14:textId="7573B634" w:rsidR="00E16E78" w:rsidRPr="00E16E78" w:rsidRDefault="000E5F05" w:rsidP="000E5F05">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 xml:space="preserve">Una vez sentado lo anterior, de una interpretación armónica a la solicitud de información </w:t>
      </w:r>
      <w:r w:rsidR="0090279E">
        <w:rPr>
          <w:rFonts w:ascii="Palatino Linotype" w:hAnsi="Palatino Linotype" w:cs="Arial"/>
          <w:b/>
          <w:bCs/>
          <w:sz w:val="24"/>
          <w:szCs w:val="24"/>
        </w:rPr>
        <w:t>00030/JOSERIN/IP/2025</w:t>
      </w:r>
      <w:r w:rsidR="00E16E78" w:rsidRPr="00E16E78">
        <w:rPr>
          <w:rFonts w:ascii="Palatino Linotype" w:hAnsi="Palatino Linotype" w:cs="Arial"/>
          <w:b/>
          <w:bCs/>
          <w:sz w:val="24"/>
          <w:szCs w:val="24"/>
        </w:rPr>
        <w:t>,</w:t>
      </w:r>
      <w:r w:rsidR="00E16E78">
        <w:rPr>
          <w:rFonts w:ascii="Palatino Linotype" w:hAnsi="Palatino Linotype" w:cs="Arial"/>
          <w:sz w:val="24"/>
          <w:szCs w:val="24"/>
        </w:rPr>
        <w:t xml:space="preserve"> se desprenden las siguientes consideraciones: </w:t>
      </w:r>
    </w:p>
    <w:p w14:paraId="5AD5F544" w14:textId="77777777" w:rsidR="00061CD8" w:rsidRPr="00741962" w:rsidRDefault="00061CD8">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703744C2" w14:textId="77777777" w:rsidR="00741962" w:rsidRPr="00690743" w:rsidRDefault="00741962" w:rsidP="00741962">
      <w:pPr>
        <w:pStyle w:val="Prrafodelista"/>
        <w:autoSpaceDE w:val="0"/>
        <w:autoSpaceDN w:val="0"/>
        <w:adjustRightInd w:val="0"/>
        <w:spacing w:line="360" w:lineRule="auto"/>
        <w:ind w:left="785"/>
        <w:jc w:val="both"/>
        <w:rPr>
          <w:rFonts w:ascii="Palatino Linotype" w:hAnsi="Palatino Linotype" w:cs="Arial"/>
        </w:rPr>
      </w:pPr>
    </w:p>
    <w:p w14:paraId="6FF032D3" w14:textId="069937E5" w:rsidR="00741962" w:rsidRPr="00C95B50" w:rsidRDefault="00061CD8" w:rsidP="00DB2E17">
      <w:pPr>
        <w:pStyle w:val="Prrafodelista"/>
        <w:numPr>
          <w:ilvl w:val="0"/>
          <w:numId w:val="2"/>
        </w:numPr>
        <w:autoSpaceDE w:val="0"/>
        <w:autoSpaceDN w:val="0"/>
        <w:adjustRightInd w:val="0"/>
        <w:spacing w:line="360" w:lineRule="auto"/>
        <w:jc w:val="both"/>
        <w:rPr>
          <w:rFonts w:ascii="Palatino Linotype" w:hAnsi="Palatino Linotype" w:cs="Arial"/>
        </w:rPr>
      </w:pPr>
      <w:r w:rsidRPr="00C95B50">
        <w:rPr>
          <w:rFonts w:ascii="Palatino Linotype" w:hAnsi="Palatino Linotype" w:cs="Arial"/>
        </w:rPr>
        <w:t xml:space="preserve">Que </w:t>
      </w:r>
      <w:r w:rsidR="00466B0E" w:rsidRPr="00C95B50">
        <w:rPr>
          <w:rFonts w:ascii="Palatino Linotype" w:hAnsi="Palatino Linotype" w:cs="Arial"/>
        </w:rPr>
        <w:t xml:space="preserve">mediante la solicitud de información </w:t>
      </w:r>
      <w:r w:rsidRPr="00C95B50">
        <w:rPr>
          <w:rFonts w:ascii="Palatino Linotype" w:hAnsi="Palatino Linotype" w:cs="Arial"/>
        </w:rPr>
        <w:t>fue</w:t>
      </w:r>
      <w:r w:rsidR="00741962" w:rsidRPr="00C95B50">
        <w:rPr>
          <w:rFonts w:ascii="Palatino Linotype" w:hAnsi="Palatino Linotype" w:cs="Arial"/>
        </w:rPr>
        <w:t xml:space="preserve">ron formulados </w:t>
      </w:r>
      <w:r w:rsidR="005C7BB9" w:rsidRPr="00C95B50">
        <w:rPr>
          <w:rFonts w:ascii="Palatino Linotype" w:hAnsi="Palatino Linotype" w:cs="Arial"/>
          <w:b/>
          <w:bCs/>
        </w:rPr>
        <w:t xml:space="preserve">5 </w:t>
      </w:r>
      <w:r w:rsidR="00741962" w:rsidRPr="00C95B50">
        <w:rPr>
          <w:rFonts w:ascii="Palatino Linotype" w:hAnsi="Palatino Linotype" w:cs="Arial"/>
          <w:b/>
          <w:bCs/>
        </w:rPr>
        <w:t>-</w:t>
      </w:r>
      <w:r w:rsidR="005C7BB9" w:rsidRPr="00C95B50">
        <w:rPr>
          <w:rFonts w:ascii="Palatino Linotype" w:hAnsi="Palatino Linotype" w:cs="Arial"/>
          <w:b/>
          <w:bCs/>
        </w:rPr>
        <w:t>cinco-</w:t>
      </w:r>
      <w:r w:rsidR="00741962" w:rsidRPr="00C95B50">
        <w:rPr>
          <w:rFonts w:ascii="Palatino Linotype" w:hAnsi="Palatino Linotype" w:cs="Arial"/>
          <w:b/>
          <w:bCs/>
        </w:rPr>
        <w:t xml:space="preserve"> </w:t>
      </w:r>
      <w:r w:rsidR="00741962" w:rsidRPr="00C95B50">
        <w:rPr>
          <w:rFonts w:ascii="Palatino Linotype" w:hAnsi="Palatino Linotype" w:cs="Arial"/>
        </w:rPr>
        <w:t xml:space="preserve">requerimientos </w:t>
      </w:r>
      <w:r w:rsidR="005C7BB9" w:rsidRPr="00C95B50">
        <w:rPr>
          <w:rFonts w:ascii="Palatino Linotype" w:hAnsi="Palatino Linotype" w:cs="Arial"/>
        </w:rPr>
        <w:t xml:space="preserve">respecto de los cuales únicamente fue señalada temporalidad para los puntos </w:t>
      </w:r>
      <w:r w:rsidR="005C7BB9" w:rsidRPr="00C95B50">
        <w:rPr>
          <w:rFonts w:ascii="Palatino Linotype" w:hAnsi="Palatino Linotype" w:cs="Arial"/>
          <w:b/>
          <w:bCs/>
        </w:rPr>
        <w:t>1, 2, 3 y 5</w:t>
      </w:r>
      <w:r w:rsidR="00C95B50" w:rsidRPr="00C95B50">
        <w:rPr>
          <w:rFonts w:ascii="Palatino Linotype" w:hAnsi="Palatino Linotype" w:cs="Arial"/>
          <w:b/>
          <w:bCs/>
        </w:rPr>
        <w:t xml:space="preserve">. </w:t>
      </w:r>
      <w:r w:rsidR="00C95B50" w:rsidRPr="00C95B50">
        <w:rPr>
          <w:rFonts w:ascii="Palatino Linotype" w:hAnsi="Palatino Linotype" w:cs="Arial"/>
        </w:rPr>
        <w:t xml:space="preserve">Al </w:t>
      </w:r>
      <w:proofErr w:type="gramStart"/>
      <w:r w:rsidR="00C95B50" w:rsidRPr="00C95B50">
        <w:rPr>
          <w:rFonts w:ascii="Palatino Linotype" w:hAnsi="Palatino Linotype" w:cs="Arial"/>
        </w:rPr>
        <w:t xml:space="preserve">precisar </w:t>
      </w:r>
      <w:r w:rsidR="005C7BB9" w:rsidRPr="00C95B50">
        <w:rPr>
          <w:rFonts w:ascii="Palatino Linotype" w:hAnsi="Palatino Linotype" w:cs="Arial"/>
          <w:b/>
          <w:bCs/>
        </w:rPr>
        <w:t xml:space="preserve"> </w:t>
      </w:r>
      <w:r w:rsidR="005C7BB9" w:rsidRPr="00C95B50">
        <w:rPr>
          <w:rFonts w:ascii="Palatino Linotype" w:hAnsi="Palatino Linotype" w:cs="Arial"/>
          <w:i/>
          <w:iCs/>
        </w:rPr>
        <w:t>“</w:t>
      </w:r>
      <w:proofErr w:type="gramEnd"/>
      <w:r w:rsidR="005C7BB9" w:rsidRPr="00C95B50">
        <w:rPr>
          <w:rFonts w:ascii="Palatino Linotype" w:hAnsi="Palatino Linotype" w:cs="Arial"/>
          <w:i/>
          <w:iCs/>
        </w:rPr>
        <w:t xml:space="preserve">para el ejercicio 2025”, “para el ejercicio 2025”, “del mes de enero del año 2025” </w:t>
      </w:r>
      <w:r w:rsidR="005C7BB9" w:rsidRPr="00C95B50">
        <w:rPr>
          <w:rFonts w:ascii="Palatino Linotype" w:hAnsi="Palatino Linotype" w:cs="Arial"/>
        </w:rPr>
        <w:t xml:space="preserve">y </w:t>
      </w:r>
      <w:r w:rsidR="005C7BB9" w:rsidRPr="00C95B50">
        <w:rPr>
          <w:rFonts w:ascii="Palatino Linotype" w:hAnsi="Palatino Linotype" w:cs="Arial"/>
          <w:i/>
          <w:iCs/>
        </w:rPr>
        <w:t xml:space="preserve">“para el ejercicio 2025”. </w:t>
      </w:r>
    </w:p>
    <w:p w14:paraId="18D9348B" w14:textId="77777777" w:rsidR="004D0421" w:rsidRPr="004D0421" w:rsidRDefault="005C7BB9" w:rsidP="005C7BB9">
      <w:pPr>
        <w:pStyle w:val="Citas"/>
        <w:ind w:left="785" w:right="0"/>
        <w:rPr>
          <w:rStyle w:val="Hipervnculo"/>
          <w:i w:val="0"/>
          <w:iCs/>
          <w:color w:val="auto"/>
          <w:sz w:val="24"/>
          <w:szCs w:val="24"/>
          <w:u w:val="none"/>
        </w:rPr>
      </w:pPr>
      <w:r w:rsidRPr="004D0421">
        <w:rPr>
          <w:rStyle w:val="Hipervnculo"/>
          <w:i w:val="0"/>
          <w:iCs/>
          <w:color w:val="auto"/>
          <w:sz w:val="24"/>
          <w:szCs w:val="24"/>
          <w:u w:val="none"/>
        </w:rPr>
        <w:t xml:space="preserve">Luego entonces se comprende que la temporalidad </w:t>
      </w:r>
      <w:r w:rsidR="004D0421" w:rsidRPr="004D0421">
        <w:rPr>
          <w:rStyle w:val="Hipervnculo"/>
          <w:i w:val="0"/>
          <w:iCs/>
          <w:color w:val="auto"/>
          <w:sz w:val="24"/>
          <w:szCs w:val="24"/>
          <w:u w:val="none"/>
        </w:rPr>
        <w:t xml:space="preserve">del punto </w:t>
      </w:r>
      <w:r w:rsidR="004D0421" w:rsidRPr="004D0421">
        <w:rPr>
          <w:rStyle w:val="Hipervnculo"/>
          <w:b/>
          <w:bCs/>
          <w:i w:val="0"/>
          <w:iCs/>
          <w:color w:val="auto"/>
          <w:sz w:val="24"/>
          <w:szCs w:val="24"/>
          <w:u w:val="none"/>
        </w:rPr>
        <w:t xml:space="preserve">1 -uno- </w:t>
      </w:r>
      <w:r w:rsidR="004D0421" w:rsidRPr="004D0421">
        <w:rPr>
          <w:rStyle w:val="Hipervnculo"/>
          <w:i w:val="0"/>
          <w:iCs/>
          <w:color w:val="auto"/>
          <w:sz w:val="24"/>
          <w:szCs w:val="24"/>
          <w:u w:val="none"/>
        </w:rPr>
        <w:t>fue señalada de forma diligente.</w:t>
      </w:r>
    </w:p>
    <w:p w14:paraId="5B7AFE45" w14:textId="7719118E" w:rsidR="005C7BB9" w:rsidRPr="004D0421" w:rsidRDefault="004D0421" w:rsidP="005C7BB9">
      <w:pPr>
        <w:pStyle w:val="Citas"/>
        <w:ind w:left="785" w:right="0"/>
        <w:rPr>
          <w:rStyle w:val="Hipervnculo"/>
          <w:i w:val="0"/>
          <w:iCs/>
          <w:color w:val="auto"/>
          <w:sz w:val="24"/>
          <w:szCs w:val="24"/>
          <w:u w:val="none"/>
        </w:rPr>
      </w:pPr>
      <w:r w:rsidRPr="004D0421">
        <w:rPr>
          <w:rStyle w:val="Hipervnculo"/>
          <w:i w:val="0"/>
          <w:iCs/>
          <w:color w:val="auto"/>
          <w:sz w:val="24"/>
          <w:szCs w:val="24"/>
          <w:u w:val="none"/>
        </w:rPr>
        <w:t xml:space="preserve">Por cuanto hace al elemento temporal de los </w:t>
      </w:r>
      <w:r w:rsidR="00051F5D" w:rsidRPr="004D0421">
        <w:rPr>
          <w:rStyle w:val="Hipervnculo"/>
          <w:i w:val="0"/>
          <w:iCs/>
          <w:color w:val="auto"/>
          <w:sz w:val="24"/>
          <w:szCs w:val="24"/>
          <w:u w:val="none"/>
        </w:rPr>
        <w:t xml:space="preserve">puntos </w:t>
      </w:r>
      <w:r w:rsidR="00051F5D" w:rsidRPr="004D0421">
        <w:rPr>
          <w:rStyle w:val="Hipervnculo"/>
          <w:b/>
          <w:bCs/>
          <w:i w:val="0"/>
          <w:iCs/>
          <w:color w:val="auto"/>
          <w:sz w:val="24"/>
          <w:szCs w:val="24"/>
          <w:u w:val="none"/>
        </w:rPr>
        <w:t>2</w:t>
      </w:r>
      <w:r w:rsidR="00C95B50" w:rsidRPr="004D0421">
        <w:rPr>
          <w:rStyle w:val="Hipervnculo"/>
          <w:b/>
          <w:bCs/>
          <w:i w:val="0"/>
          <w:iCs/>
          <w:color w:val="auto"/>
          <w:sz w:val="24"/>
          <w:szCs w:val="24"/>
          <w:u w:val="none"/>
        </w:rPr>
        <w:t xml:space="preserve"> y 5</w:t>
      </w:r>
      <w:r w:rsidR="005C7BB9" w:rsidRPr="004D0421">
        <w:rPr>
          <w:rStyle w:val="Hipervnculo"/>
          <w:b/>
          <w:bCs/>
          <w:i w:val="0"/>
          <w:iCs/>
          <w:color w:val="auto"/>
          <w:sz w:val="24"/>
          <w:szCs w:val="24"/>
          <w:u w:val="none"/>
        </w:rPr>
        <w:t xml:space="preserve"> </w:t>
      </w:r>
      <w:r w:rsidR="005C7BB9" w:rsidRPr="004D0421">
        <w:rPr>
          <w:rStyle w:val="Hipervnculo"/>
          <w:i w:val="0"/>
          <w:iCs/>
          <w:color w:val="auto"/>
          <w:sz w:val="24"/>
          <w:szCs w:val="24"/>
          <w:u w:val="none"/>
        </w:rPr>
        <w:t>debe de ser delimitada al treinta de enero de dos mil veinticinco</w:t>
      </w:r>
      <w:r w:rsidR="00C95B50" w:rsidRPr="004D0421">
        <w:rPr>
          <w:rStyle w:val="Hipervnculo"/>
          <w:i w:val="0"/>
          <w:iCs/>
          <w:color w:val="auto"/>
          <w:sz w:val="24"/>
          <w:szCs w:val="24"/>
          <w:u w:val="none"/>
        </w:rPr>
        <w:t xml:space="preserve">, al corresponder a la fecha de la solicitud. </w:t>
      </w:r>
    </w:p>
    <w:p w14:paraId="50E25017" w14:textId="41740682" w:rsidR="005C7BB9" w:rsidRPr="00AF17B1" w:rsidRDefault="005C7BB9" w:rsidP="005C7BB9">
      <w:pPr>
        <w:pStyle w:val="Prrafodelista"/>
        <w:spacing w:before="240" w:line="360" w:lineRule="auto"/>
        <w:ind w:left="720"/>
        <w:jc w:val="both"/>
        <w:rPr>
          <w:rFonts w:ascii="Palatino Linotype" w:hAnsi="Palatino Linotype"/>
          <w:lang w:val="es-MX"/>
        </w:rPr>
      </w:pPr>
      <w:r w:rsidRPr="00C95B50">
        <w:rPr>
          <w:rStyle w:val="Hipervnculo"/>
          <w:rFonts w:ascii="Palatino Linotype" w:hAnsi="Palatino Linotype"/>
          <w:color w:val="auto"/>
          <w:u w:val="none"/>
        </w:rPr>
        <w:lastRenderedPageBreak/>
        <w:t xml:space="preserve">En contraste, respecto del punto </w:t>
      </w:r>
      <w:r w:rsidR="00C95B50">
        <w:rPr>
          <w:rStyle w:val="Hipervnculo"/>
          <w:rFonts w:ascii="Palatino Linotype" w:hAnsi="Palatino Linotype"/>
          <w:b/>
          <w:bCs/>
          <w:color w:val="auto"/>
          <w:u w:val="none"/>
        </w:rPr>
        <w:t>3</w:t>
      </w:r>
      <w:r w:rsidRPr="00C95B50">
        <w:rPr>
          <w:rStyle w:val="Hipervnculo"/>
          <w:rFonts w:ascii="Palatino Linotype" w:hAnsi="Palatino Linotype"/>
          <w:b/>
          <w:bCs/>
          <w:color w:val="auto"/>
          <w:u w:val="none"/>
        </w:rPr>
        <w:t xml:space="preserve"> -</w:t>
      </w:r>
      <w:r w:rsidR="00C95B50">
        <w:rPr>
          <w:rStyle w:val="Hipervnculo"/>
          <w:rFonts w:ascii="Palatino Linotype" w:hAnsi="Palatino Linotype"/>
          <w:b/>
          <w:bCs/>
          <w:color w:val="auto"/>
          <w:u w:val="none"/>
        </w:rPr>
        <w:t>tres</w:t>
      </w:r>
      <w:r w:rsidRPr="00C95B50">
        <w:rPr>
          <w:rStyle w:val="Hipervnculo"/>
          <w:rFonts w:ascii="Palatino Linotype" w:hAnsi="Palatino Linotype"/>
          <w:b/>
          <w:bCs/>
          <w:color w:val="auto"/>
          <w:u w:val="none"/>
        </w:rPr>
        <w:t>-</w:t>
      </w:r>
      <w:r w:rsidR="00C95B50">
        <w:rPr>
          <w:rStyle w:val="Hipervnculo"/>
          <w:rFonts w:ascii="Palatino Linotype" w:hAnsi="Palatino Linotype"/>
          <w:b/>
          <w:bCs/>
          <w:color w:val="auto"/>
          <w:u w:val="none"/>
        </w:rPr>
        <w:t xml:space="preserve"> </w:t>
      </w:r>
      <w:r w:rsidR="00C95B50">
        <w:rPr>
          <w:rStyle w:val="Hipervnculo"/>
          <w:rFonts w:ascii="Palatino Linotype" w:hAnsi="Palatino Linotype"/>
          <w:color w:val="auto"/>
          <w:u w:val="none"/>
        </w:rPr>
        <w:t>fue señalada como temporalidad</w:t>
      </w:r>
      <w:r w:rsidRPr="00C95B50">
        <w:rPr>
          <w:rStyle w:val="Hipervnculo"/>
          <w:rFonts w:ascii="Palatino Linotype" w:hAnsi="Palatino Linotype"/>
          <w:b/>
          <w:bCs/>
          <w:color w:val="auto"/>
          <w:u w:val="none"/>
        </w:rPr>
        <w:t xml:space="preserve"> </w:t>
      </w:r>
      <w:r w:rsidRPr="00C95B50">
        <w:rPr>
          <w:rStyle w:val="Hipervnculo"/>
          <w:rFonts w:ascii="Palatino Linotype" w:hAnsi="Palatino Linotype"/>
          <w:i/>
          <w:iCs/>
          <w:color w:val="auto"/>
          <w:u w:val="none"/>
        </w:rPr>
        <w:t>“del mes de enero del año 2025”,</w:t>
      </w:r>
      <w:r>
        <w:rPr>
          <w:rStyle w:val="Hipervnculo"/>
          <w:color w:val="auto"/>
          <w:u w:val="none"/>
        </w:rPr>
        <w:t xml:space="preserve"> </w:t>
      </w:r>
      <w:r w:rsidR="00C95B50">
        <w:rPr>
          <w:rStyle w:val="Hipervnculo"/>
          <w:color w:val="auto"/>
          <w:u w:val="none"/>
        </w:rPr>
        <w:t xml:space="preserve">por ello, </w:t>
      </w:r>
      <w:r>
        <w:rPr>
          <w:rFonts w:ascii="Palatino Linotype" w:hAnsi="Palatino Linotype" w:cs="Arial"/>
        </w:rPr>
        <w:t xml:space="preserve">se destaca que el </w:t>
      </w:r>
      <w:r w:rsidRPr="00AF17B1">
        <w:rPr>
          <w:rFonts w:ascii="Palatino Linotype" w:hAnsi="Palatino Linotype"/>
          <w:lang w:val="es-MX"/>
        </w:rPr>
        <w:t xml:space="preserve">derecho de acceso a la información estriba respecto de aquellos soportes documentales generados, poseídos o administrados por </w:t>
      </w:r>
      <w:r w:rsidRPr="00AF17B1">
        <w:rPr>
          <w:rFonts w:ascii="Palatino Linotype" w:hAnsi="Palatino Linotype"/>
          <w:b/>
          <w:bCs/>
          <w:lang w:val="es-MX"/>
        </w:rPr>
        <w:t xml:space="preserve">El Sujeto Obligado </w:t>
      </w:r>
      <w:r w:rsidRPr="00AF17B1">
        <w:rPr>
          <w:rFonts w:ascii="Palatino Linotype" w:hAnsi="Palatino Linotype"/>
          <w:lang w:val="es-MX"/>
        </w:rPr>
        <w:t>que se encuentren disponibles al momento de ejercer dicha prerrogativa, es decir, excluye los siguientes actos:</w:t>
      </w:r>
    </w:p>
    <w:p w14:paraId="15276F3B" w14:textId="77777777" w:rsidR="005C7BB9" w:rsidRPr="00AF17B1" w:rsidRDefault="005C7BB9" w:rsidP="005C7BB9">
      <w:pPr>
        <w:pStyle w:val="Prrafodelista"/>
        <w:numPr>
          <w:ilvl w:val="0"/>
          <w:numId w:val="9"/>
        </w:numPr>
        <w:spacing w:before="240" w:line="360" w:lineRule="auto"/>
        <w:jc w:val="both"/>
        <w:rPr>
          <w:rFonts w:ascii="Palatino Linotype" w:hAnsi="Palatino Linotype"/>
          <w:lang w:val="es-MX"/>
        </w:rPr>
      </w:pPr>
      <w:r w:rsidRPr="00AF17B1">
        <w:rPr>
          <w:rFonts w:ascii="Palatino Linotype" w:hAnsi="Palatino Linotype"/>
          <w:b/>
          <w:bCs/>
          <w:lang w:val="es-MX"/>
        </w:rPr>
        <w:t xml:space="preserve">Actos futuros inminentes: </w:t>
      </w:r>
      <w:r w:rsidRPr="00AF17B1">
        <w:rPr>
          <w:rFonts w:ascii="Palatino Linotype" w:hAnsi="Palatino Linotype"/>
          <w:lang w:val="es-MX"/>
        </w:rPr>
        <w:t xml:space="preserve">Son aquellos cuyo mandamiento ya se ha dictado y su ejecución puede realizarse de un momento a otro. </w:t>
      </w:r>
    </w:p>
    <w:p w14:paraId="24E2DAFD" w14:textId="77777777" w:rsidR="005C7BB9" w:rsidRPr="00AF17B1" w:rsidRDefault="005C7BB9" w:rsidP="005C7BB9">
      <w:pPr>
        <w:pStyle w:val="Prrafodelista"/>
        <w:numPr>
          <w:ilvl w:val="0"/>
          <w:numId w:val="9"/>
        </w:numPr>
        <w:spacing w:before="240" w:line="360" w:lineRule="auto"/>
        <w:jc w:val="both"/>
        <w:rPr>
          <w:rFonts w:ascii="Palatino Linotype" w:hAnsi="Palatino Linotype"/>
          <w:lang w:val="es-MX"/>
        </w:rPr>
      </w:pPr>
      <w:r w:rsidRPr="00AF17B1">
        <w:rPr>
          <w:rFonts w:ascii="Palatino Linotype" w:hAnsi="Palatino Linotype"/>
          <w:b/>
          <w:bCs/>
          <w:lang w:val="es-MX"/>
        </w:rPr>
        <w:t xml:space="preserve">Actos futuros probables: </w:t>
      </w:r>
      <w:r w:rsidRPr="00AF17B1">
        <w:rPr>
          <w:rFonts w:ascii="Palatino Linotype" w:hAnsi="Palatino Linotype"/>
          <w:lang w:val="es-MX"/>
        </w:rPr>
        <w:t xml:space="preserve">Son aquellos que pueden o no suceder, es decir, son de remota realización. </w:t>
      </w:r>
    </w:p>
    <w:p w14:paraId="6EB5E5E6" w14:textId="77777777" w:rsidR="00C95B50" w:rsidRDefault="00C95B50" w:rsidP="005C7BB9">
      <w:pPr>
        <w:pStyle w:val="Prrafodelista"/>
        <w:autoSpaceDE w:val="0"/>
        <w:autoSpaceDN w:val="0"/>
        <w:adjustRightInd w:val="0"/>
        <w:spacing w:line="360" w:lineRule="auto"/>
        <w:ind w:left="720"/>
        <w:jc w:val="both"/>
        <w:rPr>
          <w:rFonts w:ascii="Palatino Linotype" w:hAnsi="Palatino Linotype" w:cs="Arial"/>
          <w:lang w:val="es-MX"/>
        </w:rPr>
      </w:pPr>
    </w:p>
    <w:p w14:paraId="385CEC4C" w14:textId="312189F2" w:rsidR="005C7BB9" w:rsidRPr="005C7BB9" w:rsidRDefault="005C7BB9" w:rsidP="005C7BB9">
      <w:pPr>
        <w:pStyle w:val="Prrafodelista"/>
        <w:autoSpaceDE w:val="0"/>
        <w:autoSpaceDN w:val="0"/>
        <w:adjustRightInd w:val="0"/>
        <w:spacing w:line="360" w:lineRule="auto"/>
        <w:ind w:left="720"/>
        <w:jc w:val="both"/>
        <w:rPr>
          <w:rFonts w:ascii="Palatino Linotype" w:hAnsi="Palatino Linotype" w:cs="Arial"/>
          <w:b/>
          <w:bCs/>
          <w:lang w:val="es-MX"/>
        </w:rPr>
      </w:pPr>
      <w:r>
        <w:rPr>
          <w:rFonts w:ascii="Palatino Linotype" w:hAnsi="Palatino Linotype" w:cs="Arial"/>
          <w:lang w:val="es-MX"/>
        </w:rPr>
        <w:t xml:space="preserve">En este sentido, con relación al requerimiento </w:t>
      </w:r>
      <w:r>
        <w:rPr>
          <w:rFonts w:ascii="Palatino Linotype" w:hAnsi="Palatino Linotype" w:cs="Arial"/>
          <w:b/>
          <w:bCs/>
          <w:lang w:val="es-MX"/>
        </w:rPr>
        <w:t xml:space="preserve">3 -tres- </w:t>
      </w:r>
      <w:r>
        <w:rPr>
          <w:rFonts w:ascii="Palatino Linotype" w:hAnsi="Palatino Linotype" w:cs="Arial"/>
          <w:lang w:val="es-MX"/>
        </w:rPr>
        <w:t xml:space="preserve">de la solicitud de información </w:t>
      </w:r>
      <w:r>
        <w:rPr>
          <w:rFonts w:ascii="Palatino Linotype" w:hAnsi="Palatino Linotype" w:cs="Arial"/>
          <w:b/>
          <w:bCs/>
          <w:lang w:val="es-MX"/>
        </w:rPr>
        <w:t xml:space="preserve">00030/JOSERIN/IP/2025, </w:t>
      </w:r>
      <w:r>
        <w:rPr>
          <w:rFonts w:ascii="Palatino Linotype" w:hAnsi="Palatino Linotype" w:cs="Arial"/>
          <w:lang w:val="es-MX"/>
        </w:rPr>
        <w:t xml:space="preserve">al tomar en consideración que el derecho de acceso a la información fue ejercido el treinta de enero del presente, resulta inconcuso que el elemento temporal debe de ser fijado del uno al treinta de enero de dos mil veinticinco. </w:t>
      </w:r>
    </w:p>
    <w:p w14:paraId="78E11CD4" w14:textId="77777777" w:rsidR="005C7BB9" w:rsidRDefault="005C7BB9" w:rsidP="005C7BB9">
      <w:pPr>
        <w:pStyle w:val="Prrafodelista"/>
        <w:autoSpaceDE w:val="0"/>
        <w:autoSpaceDN w:val="0"/>
        <w:adjustRightInd w:val="0"/>
        <w:spacing w:line="360" w:lineRule="auto"/>
        <w:ind w:left="720"/>
        <w:jc w:val="both"/>
        <w:rPr>
          <w:rFonts w:ascii="Palatino Linotype" w:hAnsi="Palatino Linotype" w:cs="Arial"/>
          <w:lang w:val="es-MX"/>
        </w:rPr>
      </w:pPr>
    </w:p>
    <w:p w14:paraId="65B7DEFF" w14:textId="7C1F5748" w:rsidR="00C95B50" w:rsidRPr="004D0421" w:rsidRDefault="00C95B50" w:rsidP="005C7BB9">
      <w:pPr>
        <w:pStyle w:val="Prrafodelista"/>
        <w:autoSpaceDE w:val="0"/>
        <w:autoSpaceDN w:val="0"/>
        <w:adjustRightInd w:val="0"/>
        <w:spacing w:line="360" w:lineRule="auto"/>
        <w:ind w:left="720"/>
        <w:jc w:val="both"/>
        <w:rPr>
          <w:rFonts w:ascii="Palatino Linotype" w:hAnsi="Palatino Linotype" w:cs="Arial"/>
          <w:lang w:val="es-MX"/>
        </w:rPr>
      </w:pPr>
      <w:r>
        <w:rPr>
          <w:rFonts w:ascii="Palatino Linotype" w:hAnsi="Palatino Linotype" w:cs="Arial"/>
          <w:lang w:val="es-MX"/>
        </w:rPr>
        <w:t xml:space="preserve">Ahora bien, por cuanto hace al requerimiento </w:t>
      </w:r>
      <w:r>
        <w:rPr>
          <w:rFonts w:ascii="Palatino Linotype" w:hAnsi="Palatino Linotype" w:cs="Arial"/>
          <w:b/>
          <w:bCs/>
          <w:lang w:val="es-MX"/>
        </w:rPr>
        <w:t xml:space="preserve">4 -cuatro- </w:t>
      </w:r>
      <w:r>
        <w:rPr>
          <w:rFonts w:ascii="Palatino Linotype" w:hAnsi="Palatino Linotype" w:cs="Arial"/>
          <w:lang w:val="es-MX"/>
        </w:rPr>
        <w:t xml:space="preserve">no fue fijada temporalidad, sin embargo, de una interpretación literal </w:t>
      </w:r>
      <w:r w:rsidR="004D0421">
        <w:rPr>
          <w:rFonts w:ascii="Palatino Linotype" w:hAnsi="Palatino Linotype" w:cs="Arial"/>
          <w:lang w:val="es-MX"/>
        </w:rPr>
        <w:t xml:space="preserve">se desprende que guarda </w:t>
      </w:r>
      <w:proofErr w:type="spellStart"/>
      <w:r w:rsidR="004D0421">
        <w:rPr>
          <w:rFonts w:ascii="Palatino Linotype" w:hAnsi="Palatino Linotype" w:cs="Arial"/>
          <w:lang w:val="es-MX"/>
        </w:rPr>
        <w:t>intima</w:t>
      </w:r>
      <w:proofErr w:type="spellEnd"/>
      <w:r w:rsidR="004D0421">
        <w:rPr>
          <w:rFonts w:ascii="Palatino Linotype" w:hAnsi="Palatino Linotype" w:cs="Arial"/>
          <w:lang w:val="es-MX"/>
        </w:rPr>
        <w:t xml:space="preserve"> relación con el requerimiento </w:t>
      </w:r>
      <w:r w:rsidR="004D0421">
        <w:rPr>
          <w:rFonts w:ascii="Palatino Linotype" w:hAnsi="Palatino Linotype" w:cs="Arial"/>
          <w:b/>
          <w:bCs/>
          <w:lang w:val="es-MX"/>
        </w:rPr>
        <w:t xml:space="preserve">3 -tres-, </w:t>
      </w:r>
      <w:r w:rsidR="004D0421">
        <w:rPr>
          <w:rFonts w:ascii="Palatino Linotype" w:hAnsi="Palatino Linotype" w:cs="Arial"/>
          <w:lang w:val="es-MX"/>
        </w:rPr>
        <w:t>por ello, la temporalidad se hará de forma extensiva</w:t>
      </w:r>
      <w:r w:rsidR="00051F5D">
        <w:rPr>
          <w:rFonts w:ascii="Palatino Linotype" w:hAnsi="Palatino Linotype" w:cs="Arial"/>
          <w:lang w:val="es-MX"/>
        </w:rPr>
        <w:t xml:space="preserve">, al tratarse de un requerimiento accesorio a su predecesor. </w:t>
      </w:r>
      <w:r w:rsidR="004D0421">
        <w:rPr>
          <w:rFonts w:ascii="Palatino Linotype" w:hAnsi="Palatino Linotype" w:cs="Arial"/>
          <w:lang w:val="es-MX"/>
        </w:rPr>
        <w:t xml:space="preserve"> </w:t>
      </w:r>
    </w:p>
    <w:p w14:paraId="2D85DB76" w14:textId="1B2457C8" w:rsidR="00741962" w:rsidRPr="001349A8" w:rsidRDefault="00741962" w:rsidP="00741962">
      <w:pPr>
        <w:pStyle w:val="Prrafodelista"/>
        <w:numPr>
          <w:ilvl w:val="0"/>
          <w:numId w:val="9"/>
        </w:numPr>
        <w:autoSpaceDE w:val="0"/>
        <w:autoSpaceDN w:val="0"/>
        <w:adjustRightInd w:val="0"/>
        <w:spacing w:before="240" w:line="360" w:lineRule="auto"/>
        <w:jc w:val="both"/>
        <w:rPr>
          <w:rFonts w:ascii="Palatino Linotype" w:hAnsi="Palatino Linotype"/>
        </w:rPr>
      </w:pPr>
      <w:r>
        <w:rPr>
          <w:rFonts w:ascii="Palatino Linotype" w:hAnsi="Palatino Linotype" w:cs="Arial"/>
          <w:lang w:val="es-MX"/>
        </w:rPr>
        <w:lastRenderedPageBreak/>
        <w:t xml:space="preserve">Que, </w:t>
      </w:r>
      <w:r w:rsidRPr="001349A8">
        <w:rPr>
          <w:rFonts w:ascii="Palatino Linotype" w:hAnsi="Palatino Linotype"/>
        </w:rPr>
        <w:t xml:space="preserve">en alusión a los requerimientos </w:t>
      </w:r>
      <w:r w:rsidR="004D0421">
        <w:rPr>
          <w:rFonts w:ascii="Palatino Linotype" w:hAnsi="Palatino Linotype"/>
          <w:b/>
          <w:bCs/>
        </w:rPr>
        <w:t>3 -tres- y 4 -cuatro-</w:t>
      </w:r>
      <w:r>
        <w:rPr>
          <w:rFonts w:ascii="Palatino Linotype" w:hAnsi="Palatino Linotype"/>
        </w:rPr>
        <w:t>, se destaca que cuando no se identifica</w:t>
      </w:r>
      <w:r w:rsidRPr="001349A8">
        <w:rPr>
          <w:rFonts w:ascii="Palatino Linotype" w:hAnsi="Palatino Linotype"/>
        </w:rPr>
        <w:t xml:space="preserve"> de forma precisa los documentos requeridos, bastará con que se remita cualquiera que refleje la información requerida. Al respecto, cobra relevancia el criterio emitido por el Órgano Garante Nacional con número </w:t>
      </w:r>
      <w:r w:rsidRPr="001349A8">
        <w:rPr>
          <w:rFonts w:ascii="Palatino Linotype" w:hAnsi="Palatino Linotype"/>
          <w:b/>
          <w:bCs/>
        </w:rPr>
        <w:t xml:space="preserve">16/17 </w:t>
      </w:r>
      <w:r w:rsidRPr="001349A8">
        <w:rPr>
          <w:rFonts w:ascii="Palatino Linotype" w:hAnsi="Palatino Linotype"/>
        </w:rPr>
        <w:t>cuyo rubro y texto disponen a la literalidad lo siguiente:</w:t>
      </w:r>
    </w:p>
    <w:p w14:paraId="03410F05" w14:textId="77777777" w:rsidR="00741962" w:rsidRPr="00AB5B4A" w:rsidRDefault="00741962" w:rsidP="00741962">
      <w:pPr>
        <w:pStyle w:val="Citas"/>
        <w:jc w:val="center"/>
        <w:rPr>
          <w:b/>
          <w:bCs/>
          <w:sz w:val="24"/>
          <w:szCs w:val="24"/>
        </w:rPr>
      </w:pPr>
      <w:r w:rsidRPr="00AB5B4A">
        <w:rPr>
          <w:b/>
          <w:bCs/>
          <w:sz w:val="24"/>
          <w:szCs w:val="24"/>
        </w:rPr>
        <w:t>“EXPRESIÓN DOCUMENTAL.</w:t>
      </w:r>
    </w:p>
    <w:p w14:paraId="71E9DB6D" w14:textId="77777777" w:rsidR="00741962" w:rsidRPr="00AB5B4A" w:rsidRDefault="00741962" w:rsidP="00741962">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3393CFAC" w14:textId="77777777" w:rsidR="00741962" w:rsidRPr="00AB5B4A" w:rsidRDefault="00741962" w:rsidP="00741962">
      <w:pPr>
        <w:pStyle w:val="Citas"/>
        <w:rPr>
          <w:b/>
        </w:rPr>
      </w:pPr>
      <w:r w:rsidRPr="00AB5B4A">
        <w:rPr>
          <w:b/>
        </w:rPr>
        <w:t>Precedentes:</w:t>
      </w:r>
    </w:p>
    <w:p w14:paraId="4892D99E" w14:textId="77777777" w:rsidR="00741962" w:rsidRPr="00AB5B4A" w:rsidRDefault="00741962" w:rsidP="00741962">
      <w:pPr>
        <w:pStyle w:val="Citas"/>
        <w:numPr>
          <w:ilvl w:val="0"/>
          <w:numId w:val="10"/>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44B35DF6" w14:textId="77777777" w:rsidR="00741962" w:rsidRPr="00AB5B4A" w:rsidRDefault="00741962" w:rsidP="00741962">
      <w:pPr>
        <w:pStyle w:val="Citas"/>
        <w:numPr>
          <w:ilvl w:val="0"/>
          <w:numId w:val="10"/>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30287EDC" w14:textId="77777777" w:rsidR="00741962" w:rsidRPr="00AB5B4A" w:rsidRDefault="00741962" w:rsidP="00741962">
      <w:pPr>
        <w:pStyle w:val="Citas"/>
        <w:numPr>
          <w:ilvl w:val="0"/>
          <w:numId w:val="10"/>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w:t>
      </w:r>
      <w:r w:rsidRPr="00AB5B4A">
        <w:lastRenderedPageBreak/>
        <w:t xml:space="preserve">Secretaría de Economía. Comisionado Ponente Francisco Javier Acuña Llamas. “ </w:t>
      </w:r>
      <w:r w:rsidRPr="00AB5B4A">
        <w:rPr>
          <w:b/>
          <w:bCs/>
        </w:rPr>
        <w:t>(Sic)</w:t>
      </w:r>
    </w:p>
    <w:p w14:paraId="2C20B8A1" w14:textId="1C978542" w:rsidR="00741962" w:rsidRPr="00741962" w:rsidRDefault="00741962" w:rsidP="00741962">
      <w:pPr>
        <w:pStyle w:val="Prrafodelista"/>
        <w:autoSpaceDE w:val="0"/>
        <w:autoSpaceDN w:val="0"/>
        <w:adjustRightInd w:val="0"/>
        <w:spacing w:line="360" w:lineRule="auto"/>
        <w:ind w:left="785"/>
        <w:jc w:val="both"/>
        <w:rPr>
          <w:rFonts w:ascii="Palatino Linotype" w:hAnsi="Palatino Linotype" w:cs="Arial"/>
          <w:lang w:val="es-MX"/>
        </w:rPr>
      </w:pPr>
    </w:p>
    <w:p w14:paraId="0856926C" w14:textId="77777777" w:rsidR="00061CD8" w:rsidRPr="0051062B" w:rsidRDefault="00061CD8" w:rsidP="00061CD8">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7C3BF7B9" w14:textId="77777777" w:rsidR="00061CD8" w:rsidRPr="0051062B" w:rsidRDefault="00061CD8" w:rsidP="00061CD8">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239B60C8" w14:textId="77777777" w:rsidR="00061CD8" w:rsidRPr="0051062B" w:rsidRDefault="00061CD8" w:rsidP="00061CD8">
      <w:pPr>
        <w:pStyle w:val="Citas"/>
        <w:rPr>
          <w:b/>
        </w:rPr>
      </w:pPr>
      <w:r w:rsidRPr="0051062B">
        <w:rPr>
          <w:b/>
        </w:rPr>
        <w:t xml:space="preserve">Artículo 181. … </w:t>
      </w:r>
    </w:p>
    <w:p w14:paraId="1ADC93C7" w14:textId="77777777" w:rsidR="00061CD8" w:rsidRDefault="00061CD8" w:rsidP="00061CD8">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77FC5558" w14:textId="77777777" w:rsidR="00051F5D" w:rsidRDefault="00051F5D" w:rsidP="00061CD8">
      <w:pPr>
        <w:spacing w:before="240" w:line="360" w:lineRule="auto"/>
        <w:jc w:val="both"/>
        <w:rPr>
          <w:rFonts w:ascii="Palatino Linotype" w:hAnsi="Palatino Linotype"/>
          <w:sz w:val="24"/>
          <w:szCs w:val="24"/>
        </w:rPr>
      </w:pPr>
      <w:bookmarkStart w:id="4" w:name="_Hlk150170173"/>
    </w:p>
    <w:p w14:paraId="538D9120" w14:textId="59644D75" w:rsidR="00061CD8" w:rsidRDefault="00061CD8" w:rsidP="00061CD8">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5F3C0E39" w14:textId="0A618D5F" w:rsidR="004D0421" w:rsidRDefault="004D0421" w:rsidP="00741962">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Programa anual de adquisiciones correspondiente al año 2025.</w:t>
      </w:r>
    </w:p>
    <w:p w14:paraId="521DA3F8" w14:textId="402B2D67" w:rsidR="004D0421" w:rsidRDefault="004D0421" w:rsidP="00741962">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Padrón de proveedores autorizados al treinta de enero de dos mil veinticinco. </w:t>
      </w:r>
    </w:p>
    <w:p w14:paraId="79EE4B31" w14:textId="17D7A40F" w:rsidR="004D0421" w:rsidRDefault="004D0421" w:rsidP="00741962">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El o los documentos donde consten las adquisiciones de bienes y servicios, del periodo comprendido del uno al treinta de enero de dos mil veinticinco. </w:t>
      </w:r>
    </w:p>
    <w:p w14:paraId="737FE9B6" w14:textId="77777777" w:rsidR="004D0421" w:rsidRDefault="004D0421" w:rsidP="00741962">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 xml:space="preserve">El o los documentos donde conste la modalidad de las adquisiciones de bienes y servicios, del periodo comprendido del uno al treinta de enero de dos mil veinticinco. </w:t>
      </w:r>
    </w:p>
    <w:p w14:paraId="6F7B08F1" w14:textId="486020B4" w:rsidR="004D0421" w:rsidRDefault="004D0421" w:rsidP="00741962">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Acta de instalación del Comité de Adquisiciones de Bienes y Servicios, al treinta de enero de dos mil veinticinco.  </w:t>
      </w:r>
    </w:p>
    <w:p w14:paraId="73D6437A" w14:textId="76C875FE" w:rsidR="00741962" w:rsidRPr="00741962" w:rsidRDefault="00741962" w:rsidP="00741962">
      <w:pPr>
        <w:pStyle w:val="Prrafodelista"/>
        <w:autoSpaceDE w:val="0"/>
        <w:autoSpaceDN w:val="0"/>
        <w:adjustRightInd w:val="0"/>
        <w:spacing w:line="360" w:lineRule="auto"/>
        <w:ind w:left="720"/>
        <w:jc w:val="both"/>
        <w:rPr>
          <w:rFonts w:ascii="Palatino Linotype" w:hAnsi="Palatino Linotype" w:cs="Arial"/>
        </w:rPr>
      </w:pPr>
    </w:p>
    <w:bookmarkEnd w:id="4"/>
    <w:p w14:paraId="75C7BE7A" w14:textId="5B0E75D2" w:rsidR="00B465FF" w:rsidRPr="004D0421" w:rsidRDefault="00B465FF" w:rsidP="004D0421">
      <w:pPr>
        <w:spacing w:after="0" w:line="360" w:lineRule="auto"/>
        <w:jc w:val="both"/>
        <w:rPr>
          <w:rFonts w:ascii="Palatino Linotype" w:hAnsi="Palatino Linotype"/>
          <w:b/>
          <w:bCs/>
          <w:sz w:val="24"/>
          <w:szCs w:val="24"/>
        </w:rPr>
      </w:pPr>
      <w:r>
        <w:rPr>
          <w:rFonts w:ascii="Palatino Linotype" w:hAnsi="Palatino Linotype" w:cs="Arial"/>
          <w:sz w:val="24"/>
          <w:szCs w:val="24"/>
        </w:rPr>
        <w:t xml:space="preserve">Bajo este contexto, a efecto de identificar las unidades administrativas competentes se traen a colación </w:t>
      </w:r>
      <w:r w:rsidR="004D0421">
        <w:rPr>
          <w:rFonts w:ascii="Palatino Linotype" w:hAnsi="Palatino Linotype" w:cs="Arial"/>
          <w:sz w:val="24"/>
          <w:szCs w:val="24"/>
        </w:rPr>
        <w:t xml:space="preserve">las siguientes imágenes ilustrativas correspondientes al organigrama del </w:t>
      </w:r>
      <w:r w:rsidR="004D0421">
        <w:rPr>
          <w:rFonts w:ascii="Palatino Linotype" w:hAnsi="Palatino Linotype" w:cs="Arial"/>
          <w:b/>
          <w:bCs/>
          <w:sz w:val="24"/>
          <w:szCs w:val="24"/>
        </w:rPr>
        <w:t xml:space="preserve">Sujeto Obligado: </w:t>
      </w:r>
    </w:p>
    <w:p w14:paraId="299C1AD2" w14:textId="54CAF31F" w:rsidR="00AA4549" w:rsidRDefault="00051F5D" w:rsidP="00595568">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drawing>
          <wp:anchor distT="0" distB="0" distL="114300" distR="114300" simplePos="0" relativeHeight="251790324" behindDoc="0" locked="0" layoutInCell="1" allowOverlap="1" wp14:anchorId="2070F104" wp14:editId="08DDD371">
            <wp:simplePos x="0" y="0"/>
            <wp:positionH relativeFrom="page">
              <wp:align>center</wp:align>
            </wp:positionH>
            <wp:positionV relativeFrom="paragraph">
              <wp:posOffset>331470</wp:posOffset>
            </wp:positionV>
            <wp:extent cx="5674360" cy="3538855"/>
            <wp:effectExtent l="19050" t="19050" r="21590" b="23495"/>
            <wp:wrapThrough wrapText="bothSides">
              <wp:wrapPolygon edited="0">
                <wp:start x="-73" y="-116"/>
                <wp:lineTo x="-73" y="21627"/>
                <wp:lineTo x="21610" y="21627"/>
                <wp:lineTo x="21610" y="-116"/>
                <wp:lineTo x="-73" y="-116"/>
              </wp:wrapPolygon>
            </wp:wrapThrough>
            <wp:docPr id="2168372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4360" cy="35388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EFA5915" w14:textId="230CA438" w:rsidR="00AA4549" w:rsidRDefault="00AA4549" w:rsidP="00595568">
      <w:pPr>
        <w:spacing w:after="0" w:line="360" w:lineRule="auto"/>
        <w:jc w:val="both"/>
        <w:rPr>
          <w:rFonts w:ascii="Palatino Linotype" w:hAnsi="Palatino Linotype" w:cs="Arial"/>
          <w:sz w:val="24"/>
          <w:szCs w:val="24"/>
        </w:rPr>
      </w:pPr>
    </w:p>
    <w:p w14:paraId="11C01B72" w14:textId="4AB5E96C" w:rsidR="00011048" w:rsidRDefault="00051F5D" w:rsidP="00E8308B">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b/>
          <w:bCs/>
          <w:noProof/>
          <w:sz w:val="24"/>
          <w:szCs w:val="24"/>
          <w:lang w:eastAsia="es-MX"/>
        </w:rPr>
        <w:lastRenderedPageBreak/>
        <w:drawing>
          <wp:anchor distT="0" distB="0" distL="114300" distR="114300" simplePos="0" relativeHeight="251794420" behindDoc="0" locked="0" layoutInCell="1" allowOverlap="1" wp14:anchorId="72F1A0EF" wp14:editId="6B342347">
            <wp:simplePos x="0" y="0"/>
            <wp:positionH relativeFrom="page">
              <wp:align>center</wp:align>
            </wp:positionH>
            <wp:positionV relativeFrom="paragraph">
              <wp:posOffset>19050</wp:posOffset>
            </wp:positionV>
            <wp:extent cx="5718810" cy="3555365"/>
            <wp:effectExtent l="19050" t="19050" r="15240" b="26035"/>
            <wp:wrapThrough wrapText="bothSides">
              <wp:wrapPolygon edited="0">
                <wp:start x="-72" y="-116"/>
                <wp:lineTo x="-72" y="21642"/>
                <wp:lineTo x="21586" y="21642"/>
                <wp:lineTo x="21586" y="-116"/>
                <wp:lineTo x="-72" y="-116"/>
              </wp:wrapPolygon>
            </wp:wrapThrough>
            <wp:docPr id="8402308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810" cy="35553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474E1">
        <w:rPr>
          <w:rFonts w:ascii="Palatino Linotype" w:hAnsi="Palatino Linotype" w:cs="Arial"/>
          <w:sz w:val="24"/>
          <w:szCs w:val="24"/>
        </w:rPr>
        <w:t>D</w:t>
      </w:r>
      <w:r w:rsidR="009C5799">
        <w:rPr>
          <w:rFonts w:ascii="Palatino Linotype" w:hAnsi="Palatino Linotype" w:cs="Arial"/>
          <w:sz w:val="24"/>
          <w:szCs w:val="24"/>
        </w:rPr>
        <w:t xml:space="preserve">e lo expuesto con anterioridad, se desprende que </w:t>
      </w:r>
      <w:r w:rsidR="009C5799">
        <w:rPr>
          <w:rFonts w:ascii="Palatino Linotype" w:hAnsi="Palatino Linotype" w:cs="Arial"/>
          <w:b/>
          <w:bCs/>
          <w:sz w:val="24"/>
          <w:szCs w:val="24"/>
        </w:rPr>
        <w:t xml:space="preserve">El Sujeto Obligado </w:t>
      </w:r>
      <w:r w:rsidR="009C5799">
        <w:rPr>
          <w:rFonts w:ascii="Palatino Linotype" w:hAnsi="Palatino Linotype" w:cs="Arial"/>
          <w:sz w:val="24"/>
          <w:szCs w:val="24"/>
        </w:rPr>
        <w:t xml:space="preserve">se auxilia de diversas Coordinaciones, Direcciones y Departamentos para cumplir con sus fines y objetivos, resultando de nuestro interés </w:t>
      </w:r>
      <w:r w:rsidR="00B7593D">
        <w:rPr>
          <w:rFonts w:ascii="Palatino Linotype" w:hAnsi="Palatino Linotype" w:cs="Arial"/>
          <w:sz w:val="24"/>
          <w:szCs w:val="24"/>
        </w:rPr>
        <w:t xml:space="preserve">la dirección de administración, así como el departamento de licitaciones y contrataciones. </w:t>
      </w:r>
    </w:p>
    <w:p w14:paraId="7AFBE19E" w14:textId="00C4709A" w:rsidR="00011048" w:rsidRPr="0061024E" w:rsidRDefault="00B7593D" w:rsidP="00B465FF">
      <w:pPr>
        <w:autoSpaceDE w:val="0"/>
        <w:autoSpaceDN w:val="0"/>
        <w:adjustRightInd w:val="0"/>
        <w:spacing w:before="240" w:line="360" w:lineRule="auto"/>
        <w:jc w:val="both"/>
        <w:rPr>
          <w:rFonts w:ascii="Palatino Linotype" w:hAnsi="Palatino Linotype" w:cs="Arial"/>
          <w:sz w:val="24"/>
          <w:szCs w:val="24"/>
        </w:rPr>
      </w:pPr>
      <w:r w:rsidRPr="0061024E">
        <w:rPr>
          <w:rFonts w:ascii="Palatino Linotype" w:hAnsi="Palatino Linotype" w:cs="Arial"/>
          <w:sz w:val="24"/>
          <w:szCs w:val="24"/>
        </w:rPr>
        <w:t>E</w:t>
      </w:r>
      <w:r w:rsidR="00B465FF" w:rsidRPr="0061024E">
        <w:rPr>
          <w:rFonts w:ascii="Palatino Linotype" w:hAnsi="Palatino Linotype" w:cs="Arial"/>
          <w:sz w:val="24"/>
          <w:szCs w:val="24"/>
        </w:rPr>
        <w:t>n virtud de lo anterior, para delimitar las fronteras competenciales de la</w:t>
      </w:r>
      <w:r w:rsidR="00011048" w:rsidRPr="0061024E">
        <w:rPr>
          <w:rFonts w:ascii="Palatino Linotype" w:hAnsi="Palatino Linotype" w:cs="Arial"/>
          <w:sz w:val="24"/>
          <w:szCs w:val="24"/>
        </w:rPr>
        <w:t>s</w:t>
      </w:r>
      <w:r w:rsidR="00B465FF" w:rsidRPr="0061024E">
        <w:rPr>
          <w:rFonts w:ascii="Palatino Linotype" w:hAnsi="Palatino Linotype" w:cs="Arial"/>
          <w:sz w:val="24"/>
          <w:szCs w:val="24"/>
        </w:rPr>
        <w:t xml:space="preserve"> unidad</w:t>
      </w:r>
      <w:r w:rsidR="00011048" w:rsidRPr="0061024E">
        <w:rPr>
          <w:rFonts w:ascii="Palatino Linotype" w:hAnsi="Palatino Linotype" w:cs="Arial"/>
          <w:sz w:val="24"/>
          <w:szCs w:val="24"/>
        </w:rPr>
        <w:t>es</w:t>
      </w:r>
      <w:r w:rsidR="00B465FF" w:rsidRPr="0061024E">
        <w:rPr>
          <w:rFonts w:ascii="Palatino Linotype" w:hAnsi="Palatino Linotype" w:cs="Arial"/>
          <w:sz w:val="24"/>
          <w:szCs w:val="24"/>
        </w:rPr>
        <w:t xml:space="preserve"> administrativa</w:t>
      </w:r>
      <w:r w:rsidR="00011048" w:rsidRPr="0061024E">
        <w:rPr>
          <w:rFonts w:ascii="Palatino Linotype" w:hAnsi="Palatino Linotype" w:cs="Arial"/>
          <w:sz w:val="24"/>
          <w:szCs w:val="24"/>
        </w:rPr>
        <w:t>s</w:t>
      </w:r>
      <w:r w:rsidR="00B465FF" w:rsidRPr="0061024E">
        <w:rPr>
          <w:rFonts w:ascii="Palatino Linotype" w:hAnsi="Palatino Linotype" w:cs="Arial"/>
          <w:sz w:val="24"/>
          <w:szCs w:val="24"/>
        </w:rPr>
        <w:t xml:space="preserve"> en cita, resulta oportuno traer a colación </w:t>
      </w:r>
      <w:r w:rsidR="0061024E" w:rsidRPr="0061024E">
        <w:rPr>
          <w:rFonts w:ascii="Palatino Linotype" w:hAnsi="Palatino Linotype" w:cs="Arial"/>
          <w:sz w:val="24"/>
          <w:szCs w:val="24"/>
        </w:rPr>
        <w:t xml:space="preserve">el artículo 70 del Bando Municipal de San José del Rincón, los numerales 26, 27 de la Ley de contratación pública del Estado de México; así como los </w:t>
      </w:r>
      <w:r w:rsidR="0061024E">
        <w:rPr>
          <w:rFonts w:ascii="Palatino Linotype" w:hAnsi="Palatino Linotype" w:cs="Arial"/>
          <w:sz w:val="24"/>
          <w:szCs w:val="24"/>
        </w:rPr>
        <w:t>artículos</w:t>
      </w:r>
      <w:r w:rsidR="0061024E" w:rsidRPr="0061024E">
        <w:rPr>
          <w:rFonts w:ascii="Palatino Linotype" w:hAnsi="Palatino Linotype" w:cs="Arial"/>
          <w:sz w:val="24"/>
          <w:szCs w:val="24"/>
        </w:rPr>
        <w:t xml:space="preserve"> 43, 44, 54, 67, 90, 94, del Reglamento de la ley de contratación pública del Estado de México y Municipios</w:t>
      </w:r>
      <w:proofErr w:type="gramStart"/>
      <w:r w:rsidR="0061024E" w:rsidRPr="0061024E">
        <w:rPr>
          <w:rFonts w:ascii="Palatino Linotype" w:hAnsi="Palatino Linotype" w:cs="Arial"/>
          <w:sz w:val="24"/>
          <w:szCs w:val="24"/>
        </w:rPr>
        <w:t>,</w:t>
      </w:r>
      <w:r w:rsidR="0061024E" w:rsidRPr="0061024E">
        <w:rPr>
          <w:rFonts w:ascii="Palatino Linotype" w:hAnsi="Palatino Linotype"/>
          <w:sz w:val="24"/>
          <w:szCs w:val="24"/>
        </w:rPr>
        <w:t xml:space="preserve"> </w:t>
      </w:r>
      <w:r w:rsidR="00B465FF" w:rsidRPr="0061024E">
        <w:rPr>
          <w:rFonts w:ascii="Palatino Linotype" w:hAnsi="Palatino Linotype" w:cs="Arial"/>
          <w:sz w:val="24"/>
          <w:szCs w:val="24"/>
        </w:rPr>
        <w:t xml:space="preserve"> </w:t>
      </w:r>
      <w:r w:rsidR="0061024E">
        <w:rPr>
          <w:rFonts w:ascii="Palatino Linotype" w:hAnsi="Palatino Linotype" w:cs="Arial"/>
          <w:sz w:val="24"/>
          <w:szCs w:val="24"/>
        </w:rPr>
        <w:t>porciones</w:t>
      </w:r>
      <w:proofErr w:type="gramEnd"/>
      <w:r w:rsidR="0061024E">
        <w:rPr>
          <w:rFonts w:ascii="Palatino Linotype" w:hAnsi="Palatino Linotype" w:cs="Arial"/>
          <w:sz w:val="24"/>
          <w:szCs w:val="24"/>
        </w:rPr>
        <w:t xml:space="preserve"> normativas que disponen a la literalidad lo siguiente: </w:t>
      </w:r>
    </w:p>
    <w:p w14:paraId="62BB4A87" w14:textId="4278B8C0" w:rsidR="00B7593D" w:rsidRPr="00B7593D" w:rsidRDefault="00B7593D" w:rsidP="00B7593D">
      <w:pPr>
        <w:pStyle w:val="Citas"/>
        <w:jc w:val="center"/>
        <w:rPr>
          <w:b/>
          <w:bCs/>
          <w:i w:val="0"/>
          <w:iCs/>
          <w:sz w:val="24"/>
          <w:szCs w:val="24"/>
        </w:rPr>
      </w:pPr>
      <w:r w:rsidRPr="00B7593D">
        <w:rPr>
          <w:b/>
          <w:bCs/>
          <w:i w:val="0"/>
          <w:iCs/>
          <w:sz w:val="24"/>
          <w:szCs w:val="24"/>
        </w:rPr>
        <w:lastRenderedPageBreak/>
        <w:t>BANDO MUNICIPAL DEL AYUNTAMIENTO DE SAN JOSÉ DEL RINCÓN 2024</w:t>
      </w:r>
    </w:p>
    <w:p w14:paraId="1F903E31" w14:textId="1CA6BAB2" w:rsidR="00B7593D" w:rsidRPr="00B7593D" w:rsidRDefault="00B7593D" w:rsidP="00B7593D">
      <w:pPr>
        <w:pStyle w:val="Citas"/>
      </w:pPr>
      <w:r>
        <w:t>“</w:t>
      </w:r>
      <w:r w:rsidRPr="00B7593D">
        <w:t>Artículo 70.- La Dirección de Administración estará a cargo de un Director, quien será</w:t>
      </w:r>
      <w:r>
        <w:t xml:space="preserve"> </w:t>
      </w:r>
      <w:r w:rsidRPr="00B7593D">
        <w:t>propuesto por la Presidenta Municipal y aprobado por el Ayuntamiento.</w:t>
      </w:r>
    </w:p>
    <w:p w14:paraId="7BAE9ACA" w14:textId="77777777" w:rsidR="00B7593D" w:rsidRPr="00B7593D" w:rsidRDefault="00B7593D" w:rsidP="00B7593D">
      <w:pPr>
        <w:pStyle w:val="Citas"/>
      </w:pPr>
      <w:r w:rsidRPr="00B7593D">
        <w:t>I. La Dirección de Administración tendrá las siguientes atribuciones.</w:t>
      </w:r>
    </w:p>
    <w:p w14:paraId="4F0D90CF" w14:textId="2FEDBD51" w:rsidR="00B7593D" w:rsidRPr="00B7593D" w:rsidRDefault="00B7593D" w:rsidP="00B7593D">
      <w:pPr>
        <w:pStyle w:val="Citas"/>
        <w:rPr>
          <w:b/>
          <w:bCs/>
          <w:u w:val="single"/>
        </w:rPr>
      </w:pPr>
      <w:r w:rsidRPr="00B7593D">
        <w:rPr>
          <w:b/>
          <w:bCs/>
          <w:u w:val="single"/>
        </w:rPr>
        <w:t>II. Formular y expedir las normas y políticas para la administración del personal,</w:t>
      </w:r>
      <w:r>
        <w:rPr>
          <w:b/>
          <w:bCs/>
          <w:u w:val="single"/>
        </w:rPr>
        <w:t xml:space="preserve"> </w:t>
      </w:r>
      <w:r w:rsidRPr="00B7593D">
        <w:rPr>
          <w:b/>
          <w:bCs/>
          <w:u w:val="single"/>
        </w:rPr>
        <w:t>recursos materiales y bienes muebles del Gobierno Municipal;</w:t>
      </w:r>
    </w:p>
    <w:p w14:paraId="02C09C4A" w14:textId="4F5BEDDC" w:rsidR="00B7593D" w:rsidRPr="00B7593D" w:rsidRDefault="00B7593D" w:rsidP="00B7593D">
      <w:pPr>
        <w:pStyle w:val="Citas"/>
        <w:rPr>
          <w:b/>
          <w:bCs/>
          <w:u w:val="single"/>
        </w:rPr>
      </w:pPr>
      <w:r w:rsidRPr="00B7593D">
        <w:rPr>
          <w:b/>
          <w:bCs/>
          <w:u w:val="single"/>
        </w:rPr>
        <w:t>III. Cumplir y hacer cumplir las disposiciones legales que regulen la adquisición de</w:t>
      </w:r>
      <w:r>
        <w:rPr>
          <w:b/>
          <w:bCs/>
          <w:u w:val="single"/>
        </w:rPr>
        <w:t xml:space="preserve"> </w:t>
      </w:r>
      <w:r w:rsidRPr="00B7593D">
        <w:rPr>
          <w:b/>
          <w:bCs/>
          <w:u w:val="single"/>
        </w:rPr>
        <w:t>bienes y servicios;</w:t>
      </w:r>
    </w:p>
    <w:p w14:paraId="6C64FBBD" w14:textId="43683B4A" w:rsidR="00B7593D" w:rsidRPr="00B7593D" w:rsidRDefault="00B7593D" w:rsidP="00B7593D">
      <w:pPr>
        <w:pStyle w:val="Citas"/>
      </w:pPr>
      <w:r w:rsidRPr="00B7593D">
        <w:t>IV. Asignar a las dependencias de la Administración Pública Municipal, el personal</w:t>
      </w:r>
      <w:r>
        <w:t xml:space="preserve"> </w:t>
      </w:r>
      <w:r w:rsidRPr="00B7593D">
        <w:t>necesario para el ejercicio de sus atribuciones, suscribiendo los contratos respectivos</w:t>
      </w:r>
      <w:r>
        <w:t xml:space="preserve"> </w:t>
      </w:r>
      <w:r w:rsidRPr="00B7593D">
        <w:t>en coordinación con la Consejería Jurídica;</w:t>
      </w:r>
    </w:p>
    <w:p w14:paraId="18B80EA8" w14:textId="5A5E67E4" w:rsidR="00B7593D" w:rsidRPr="00B7593D" w:rsidRDefault="00B7593D" w:rsidP="00B7593D">
      <w:pPr>
        <w:pStyle w:val="Citas"/>
      </w:pPr>
      <w:r w:rsidRPr="00B7593D">
        <w:t>V. Elaborar, coordinar, supervisar y ejecutar programas y proyectos de profesionalización</w:t>
      </w:r>
      <w:r>
        <w:t xml:space="preserve"> </w:t>
      </w:r>
      <w:r w:rsidRPr="00B7593D">
        <w:t>y capacitación, para el desarrollo y formación integral de los servidores públicos, con</w:t>
      </w:r>
      <w:r>
        <w:t xml:space="preserve"> </w:t>
      </w:r>
      <w:r w:rsidRPr="00B7593D">
        <w:t>el fin de que otorguen un servicio eficiente, eficaz y de calidad a los ciudadanos;</w:t>
      </w:r>
    </w:p>
    <w:p w14:paraId="68170138" w14:textId="77777777" w:rsidR="00B7593D" w:rsidRPr="00B7593D" w:rsidRDefault="00B7593D" w:rsidP="00B7593D">
      <w:pPr>
        <w:pStyle w:val="Citas"/>
      </w:pPr>
      <w:r w:rsidRPr="00B7593D">
        <w:t>VI. Dar mantenimiento a los bienes muebles e inmuebles del Gobierno Municipal;</w:t>
      </w:r>
    </w:p>
    <w:p w14:paraId="122D3950" w14:textId="7558C0A7" w:rsidR="00B7593D" w:rsidRPr="00B7593D" w:rsidRDefault="00B7593D" w:rsidP="00B7593D">
      <w:pPr>
        <w:pStyle w:val="Citas"/>
        <w:rPr>
          <w:b/>
          <w:bCs/>
          <w:u w:val="single"/>
        </w:rPr>
      </w:pPr>
      <w:r w:rsidRPr="00B7593D">
        <w:rPr>
          <w:b/>
          <w:bCs/>
          <w:u w:val="single"/>
        </w:rPr>
        <w:t>VII. Formular los contratos por los que el Municipio adquiera y/o arriende bienes y</w:t>
      </w:r>
      <w:r>
        <w:rPr>
          <w:b/>
          <w:bCs/>
          <w:u w:val="single"/>
        </w:rPr>
        <w:t xml:space="preserve"> </w:t>
      </w:r>
      <w:r w:rsidRPr="00B7593D">
        <w:rPr>
          <w:b/>
          <w:bCs/>
          <w:u w:val="single"/>
        </w:rPr>
        <w:t>servicios;</w:t>
      </w:r>
    </w:p>
    <w:p w14:paraId="4D5A2A99" w14:textId="02C1C840" w:rsidR="00B7593D" w:rsidRPr="00B7593D" w:rsidRDefault="00B7593D" w:rsidP="00B7593D">
      <w:pPr>
        <w:pStyle w:val="Citas"/>
      </w:pPr>
      <w:r w:rsidRPr="00B7593D">
        <w:t>VIII. Apoyar, en coordinación con otras dependencias, la celebración de eventos</w:t>
      </w:r>
      <w:r>
        <w:t xml:space="preserve"> </w:t>
      </w:r>
      <w:r w:rsidRPr="00B7593D">
        <w:t>especiales;</w:t>
      </w:r>
    </w:p>
    <w:p w14:paraId="6881D0C4" w14:textId="321A519E" w:rsidR="00B7593D" w:rsidRPr="00B7593D" w:rsidRDefault="00B7593D" w:rsidP="00B7593D">
      <w:pPr>
        <w:pStyle w:val="Citas"/>
      </w:pPr>
      <w:r w:rsidRPr="00B7593D">
        <w:lastRenderedPageBreak/>
        <w:t>IX. Desarrollar programas de sistematización, mejoramiento y modernización de la</w:t>
      </w:r>
      <w:r>
        <w:t xml:space="preserve"> </w:t>
      </w:r>
      <w:r w:rsidRPr="00B7593D">
        <w:t>Administración Municipal, en coordinación con las demás dependencias;</w:t>
      </w:r>
    </w:p>
    <w:p w14:paraId="582879AD" w14:textId="17D88E74" w:rsidR="00B7593D" w:rsidRPr="00B7593D" w:rsidRDefault="00B7593D" w:rsidP="00B7593D">
      <w:pPr>
        <w:pStyle w:val="Citas"/>
      </w:pPr>
      <w:r w:rsidRPr="00B7593D">
        <w:t>X. Coordinarse con las demás dependencias de la Administración Municipal para la</w:t>
      </w:r>
      <w:r>
        <w:t xml:space="preserve"> </w:t>
      </w:r>
      <w:r w:rsidRPr="00B7593D">
        <w:t>elaboración y actualización de reglamentos y manuales de organización;</w:t>
      </w:r>
    </w:p>
    <w:p w14:paraId="5801A6D1" w14:textId="787CDD51" w:rsidR="00B7593D" w:rsidRPr="00B7593D" w:rsidRDefault="00B7593D" w:rsidP="00B7593D">
      <w:pPr>
        <w:pStyle w:val="Citas"/>
      </w:pPr>
      <w:r w:rsidRPr="00B7593D">
        <w:t>XI. Elaboración y seguimiento de las actas administrativas por faltas cometidas por los</w:t>
      </w:r>
      <w:r>
        <w:t xml:space="preserve"> </w:t>
      </w:r>
      <w:r w:rsidRPr="00B7593D">
        <w:t>servidores públicos, y realizar supervisiones de permanencia de personal en las</w:t>
      </w:r>
      <w:r>
        <w:t xml:space="preserve"> </w:t>
      </w:r>
      <w:r w:rsidRPr="00B7593D">
        <w:t>áreas de adscripción;</w:t>
      </w:r>
    </w:p>
    <w:p w14:paraId="35D56A54" w14:textId="2CE0A24F" w:rsidR="00B7593D" w:rsidRPr="00B7593D" w:rsidRDefault="00B7593D" w:rsidP="00B7593D">
      <w:pPr>
        <w:pStyle w:val="Citas"/>
      </w:pPr>
      <w:r w:rsidRPr="00B7593D">
        <w:t>XII. Dar cumplimiento a las disposiciones establecidas en la Ley de Gobierno Digital del</w:t>
      </w:r>
      <w:r w:rsidR="0061024E">
        <w:t xml:space="preserve"> </w:t>
      </w:r>
      <w:r w:rsidRPr="00B7593D">
        <w:t>Estado de México y Municipios;</w:t>
      </w:r>
    </w:p>
    <w:p w14:paraId="575CF679" w14:textId="77777777" w:rsidR="00B7593D" w:rsidRPr="00B7593D" w:rsidRDefault="00B7593D" w:rsidP="00B7593D">
      <w:pPr>
        <w:pStyle w:val="Citas"/>
      </w:pPr>
      <w:r w:rsidRPr="00B7593D">
        <w:t>XIII. Implementar acciones y estrategias en materia de Gobierno Digital; y</w:t>
      </w:r>
    </w:p>
    <w:p w14:paraId="20056F96" w14:textId="55809AB6" w:rsidR="00B7593D" w:rsidRPr="0061024E" w:rsidRDefault="00B7593D" w:rsidP="00B7593D">
      <w:pPr>
        <w:pStyle w:val="Citas"/>
        <w:rPr>
          <w:b/>
          <w:bCs/>
        </w:rPr>
      </w:pPr>
      <w:r w:rsidRPr="00B7593D">
        <w:t>XIV. Ejercer todas aquellas atribuciones que sean de su competencia.</w:t>
      </w:r>
      <w:r w:rsidR="0061024E">
        <w:t xml:space="preserve">” </w:t>
      </w:r>
      <w:r w:rsidR="0061024E">
        <w:rPr>
          <w:b/>
          <w:bCs/>
        </w:rPr>
        <w:t>(Sic)</w:t>
      </w:r>
    </w:p>
    <w:p w14:paraId="473B4733" w14:textId="77777777" w:rsidR="003D23B8" w:rsidRDefault="003D23B8" w:rsidP="00E8308B">
      <w:pPr>
        <w:autoSpaceDE w:val="0"/>
        <w:autoSpaceDN w:val="0"/>
        <w:adjustRightInd w:val="0"/>
        <w:spacing w:before="240" w:line="360" w:lineRule="auto"/>
        <w:jc w:val="both"/>
      </w:pPr>
    </w:p>
    <w:p w14:paraId="20B1FF05" w14:textId="77777777" w:rsidR="00B7593D" w:rsidRPr="006933BD" w:rsidRDefault="00B7593D" w:rsidP="00B7593D">
      <w:pPr>
        <w:spacing w:after="0" w:line="360" w:lineRule="auto"/>
        <w:jc w:val="center"/>
        <w:rPr>
          <w:rFonts w:ascii="Palatino Linotype" w:hAnsi="Palatino Linotype" w:cs="Arial"/>
          <w:b/>
          <w:iCs/>
          <w:color w:val="000000"/>
          <w:lang w:val="es-ES_tradnl"/>
        </w:rPr>
      </w:pPr>
      <w:r w:rsidRPr="006933BD">
        <w:rPr>
          <w:rFonts w:ascii="Palatino Linotype" w:hAnsi="Palatino Linotype" w:cs="Arial"/>
          <w:b/>
          <w:iCs/>
          <w:color w:val="000000"/>
          <w:lang w:val="es-ES_tradnl"/>
        </w:rPr>
        <w:t>LEY DE CONTRATACIÓN PÚBLICA DEL ESTADO DE MÉXICO</w:t>
      </w:r>
    </w:p>
    <w:p w14:paraId="67912713" w14:textId="77777777" w:rsidR="00B7593D" w:rsidRPr="002D0587" w:rsidRDefault="00B7593D" w:rsidP="00B7593D">
      <w:pPr>
        <w:spacing w:before="240" w:line="360" w:lineRule="auto"/>
        <w:ind w:left="851" w:right="851"/>
        <w:jc w:val="both"/>
        <w:rPr>
          <w:rFonts w:ascii="Palatino Linotype" w:hAnsi="Palatino Linotype"/>
          <w:i/>
        </w:rPr>
      </w:pPr>
      <w:r w:rsidRPr="002D0587">
        <w:rPr>
          <w:rFonts w:ascii="Palatino Linotype" w:hAnsi="Palatino Linotype"/>
          <w:i/>
        </w:rPr>
        <w:t xml:space="preserve">“Artículo 26.- Las adquisiciones, arrendamientos y servicios se adjudicarán a través de licitaciones públicas, mediante convocatoria pública. </w:t>
      </w:r>
    </w:p>
    <w:p w14:paraId="4694EFF3" w14:textId="77777777" w:rsidR="00B7593D" w:rsidRPr="002D0587" w:rsidRDefault="00B7593D" w:rsidP="00B7593D">
      <w:pPr>
        <w:spacing w:before="240" w:line="360" w:lineRule="auto"/>
        <w:ind w:left="851" w:right="851"/>
        <w:jc w:val="both"/>
        <w:rPr>
          <w:rFonts w:ascii="Palatino Linotype" w:hAnsi="Palatino Linotype"/>
          <w:i/>
        </w:rPr>
      </w:pPr>
      <w:r w:rsidRPr="002D0587">
        <w:rPr>
          <w:rFonts w:ascii="Palatino Linotype" w:hAnsi="Palatino Linotype"/>
          <w:i/>
        </w:rPr>
        <w:t>Artículo 27.- La Secretaría, las entidades, los tribunales administrativos y los ayuntamientos podrán adjudicar adquisiciones, arrendamientos y servicios, mediante las excepciones al procedimiento de licitación que a continuación se señalan:</w:t>
      </w:r>
    </w:p>
    <w:p w14:paraId="5AC61445" w14:textId="77777777" w:rsidR="00B7593D" w:rsidRPr="002D0587" w:rsidRDefault="00B7593D" w:rsidP="00B7593D">
      <w:pPr>
        <w:pStyle w:val="Prrafodelista"/>
        <w:numPr>
          <w:ilvl w:val="0"/>
          <w:numId w:val="20"/>
        </w:numPr>
        <w:spacing w:before="240" w:after="160" w:line="360" w:lineRule="auto"/>
        <w:ind w:left="851" w:right="851" w:firstLine="0"/>
        <w:jc w:val="both"/>
        <w:rPr>
          <w:rFonts w:ascii="Palatino Linotype" w:hAnsi="Palatino Linotype"/>
          <w:i/>
          <w:sz w:val="22"/>
          <w:szCs w:val="22"/>
        </w:rPr>
      </w:pPr>
      <w:r w:rsidRPr="002D0587">
        <w:rPr>
          <w:rFonts w:ascii="Palatino Linotype" w:hAnsi="Palatino Linotype"/>
          <w:i/>
          <w:sz w:val="22"/>
          <w:szCs w:val="22"/>
        </w:rPr>
        <w:t>Invitación restringida.</w:t>
      </w:r>
    </w:p>
    <w:p w14:paraId="7C04707B" w14:textId="77777777" w:rsidR="00B7593D" w:rsidRPr="002D0587" w:rsidRDefault="00B7593D" w:rsidP="00B7593D">
      <w:pPr>
        <w:pStyle w:val="Prrafodelista"/>
        <w:numPr>
          <w:ilvl w:val="0"/>
          <w:numId w:val="20"/>
        </w:numPr>
        <w:spacing w:before="240" w:after="160" w:line="360" w:lineRule="auto"/>
        <w:ind w:left="851" w:right="851" w:firstLine="0"/>
        <w:jc w:val="both"/>
        <w:rPr>
          <w:rFonts w:ascii="Palatino Linotype" w:hAnsi="Palatino Linotype" w:cs="Arial"/>
          <w:b/>
          <w:i/>
          <w:color w:val="000000"/>
          <w:sz w:val="22"/>
          <w:szCs w:val="22"/>
          <w:lang w:val="es-ES_tradnl"/>
        </w:rPr>
      </w:pPr>
      <w:r w:rsidRPr="002D0587">
        <w:rPr>
          <w:rFonts w:ascii="Palatino Linotype" w:hAnsi="Palatino Linotype"/>
          <w:i/>
          <w:sz w:val="22"/>
          <w:szCs w:val="22"/>
        </w:rPr>
        <w:lastRenderedPageBreak/>
        <w:t xml:space="preserve"> Adjudicación directa.” </w:t>
      </w:r>
      <w:r>
        <w:rPr>
          <w:rFonts w:ascii="Palatino Linotype" w:hAnsi="Palatino Linotype"/>
          <w:b/>
          <w:i/>
          <w:sz w:val="22"/>
          <w:szCs w:val="22"/>
        </w:rPr>
        <w:t>(Sic)</w:t>
      </w:r>
    </w:p>
    <w:p w14:paraId="515C2195" w14:textId="77777777" w:rsidR="00B7593D" w:rsidRDefault="00B7593D" w:rsidP="00B7593D">
      <w:pPr>
        <w:spacing w:before="240" w:line="360" w:lineRule="auto"/>
        <w:ind w:left="851" w:right="851"/>
        <w:jc w:val="center"/>
        <w:rPr>
          <w:rFonts w:ascii="Palatino Linotype" w:hAnsi="Palatino Linotype"/>
          <w:b/>
          <w:iCs/>
        </w:rPr>
      </w:pPr>
    </w:p>
    <w:p w14:paraId="5681378E" w14:textId="77777777" w:rsidR="00B7593D" w:rsidRPr="006933BD" w:rsidRDefault="00B7593D" w:rsidP="00B7593D">
      <w:pPr>
        <w:spacing w:before="240" w:line="360" w:lineRule="auto"/>
        <w:ind w:left="851" w:right="851"/>
        <w:jc w:val="center"/>
        <w:rPr>
          <w:rFonts w:ascii="Palatino Linotype" w:hAnsi="Palatino Linotype"/>
          <w:b/>
          <w:iCs/>
        </w:rPr>
      </w:pPr>
      <w:r w:rsidRPr="006933BD">
        <w:rPr>
          <w:rFonts w:ascii="Palatino Linotype" w:hAnsi="Palatino Linotype"/>
          <w:b/>
          <w:iCs/>
        </w:rPr>
        <w:t>REGLAMENTO DE LA LEY DE CONTRATACIÓN PÚBLICA DEL ESTADO DE MÉXICO Y MUNICIPIOS</w:t>
      </w:r>
    </w:p>
    <w:p w14:paraId="363D280A" w14:textId="77777777" w:rsidR="00B7593D" w:rsidRDefault="00B7593D" w:rsidP="00B7593D">
      <w:pPr>
        <w:spacing w:before="240" w:line="360" w:lineRule="auto"/>
        <w:ind w:left="851" w:right="851"/>
        <w:jc w:val="both"/>
        <w:rPr>
          <w:rFonts w:ascii="Palatino Linotype" w:hAnsi="Palatino Linotype"/>
          <w:i/>
        </w:rPr>
      </w:pPr>
      <w:r>
        <w:rPr>
          <w:rFonts w:ascii="Palatino Linotype" w:hAnsi="Palatino Linotype"/>
          <w:i/>
        </w:rPr>
        <w:t>“</w:t>
      </w:r>
      <w:r w:rsidRPr="00AA7EDD">
        <w:rPr>
          <w:rFonts w:ascii="Palatino Linotype" w:hAnsi="Palatino Linotype"/>
          <w:i/>
        </w:rPr>
        <w:t xml:space="preserve">Artículo 43.- La Secretaría, organismos auxiliares, tribunales administrativos y municipios, se auxiliarán de un Comité de Adquisiciones y Servicios, para la substanciación de los procedimientos de adquisición regulados en la Ley. </w:t>
      </w:r>
    </w:p>
    <w:p w14:paraId="6335DF39" w14:textId="77777777" w:rsidR="00B7593D" w:rsidRPr="00AA7EDD" w:rsidRDefault="00B7593D" w:rsidP="00B7593D">
      <w:pPr>
        <w:spacing w:before="240" w:line="360" w:lineRule="auto"/>
        <w:ind w:left="851" w:right="851"/>
        <w:jc w:val="both"/>
        <w:rPr>
          <w:rFonts w:ascii="Palatino Linotype" w:hAnsi="Palatino Linotype"/>
          <w:b/>
          <w:i/>
          <w:u w:val="single"/>
        </w:rPr>
      </w:pPr>
      <w:r w:rsidRPr="00AA7EDD">
        <w:rPr>
          <w:rFonts w:ascii="Palatino Linotype" w:hAnsi="Palatino Linotype"/>
          <w:b/>
          <w:i/>
          <w:u w:val="single"/>
        </w:rPr>
        <w:t xml:space="preserve">Artículo 44.- El Comité de Adquisiciones y Servicios se integrará por: </w:t>
      </w:r>
    </w:p>
    <w:p w14:paraId="24C17483" w14:textId="77777777" w:rsidR="00B7593D" w:rsidRPr="00E07D1E" w:rsidRDefault="00B7593D" w:rsidP="00B7593D">
      <w:pPr>
        <w:pStyle w:val="Prrafodelista"/>
        <w:numPr>
          <w:ilvl w:val="0"/>
          <w:numId w:val="21"/>
        </w:numPr>
        <w:spacing w:before="240" w:line="360" w:lineRule="auto"/>
        <w:ind w:right="851"/>
        <w:jc w:val="both"/>
        <w:rPr>
          <w:rFonts w:ascii="Palatino Linotype" w:hAnsi="Palatino Linotype"/>
          <w:b/>
          <w:i/>
          <w:sz w:val="22"/>
          <w:szCs w:val="22"/>
          <w:u w:val="single"/>
        </w:rPr>
      </w:pPr>
      <w:r w:rsidRPr="00AA7EDD">
        <w:rPr>
          <w:rFonts w:ascii="Palatino Linotype" w:hAnsi="Palatino Linotype"/>
          <w:i/>
          <w:sz w:val="22"/>
          <w:szCs w:val="22"/>
        </w:rPr>
        <w:t xml:space="preserve">En la Secretaría, por el titular del área encargada de operar el sistema de adquisiciones de las dependencias del Poder Ejecutivo, y en los organismos auxiliares, tribunales administrativos y </w:t>
      </w:r>
      <w:r w:rsidRPr="00E07D1E">
        <w:rPr>
          <w:rFonts w:ascii="Palatino Linotype" w:hAnsi="Palatino Linotype"/>
          <w:b/>
          <w:i/>
          <w:sz w:val="22"/>
          <w:szCs w:val="22"/>
          <w:u w:val="single"/>
        </w:rPr>
        <w:t xml:space="preserve">municipios, por el titular de la unidad administrativa, quien fungirá como presidente; </w:t>
      </w:r>
    </w:p>
    <w:p w14:paraId="2C9F8129" w14:textId="77777777" w:rsidR="00B7593D" w:rsidRPr="00AA7EDD" w:rsidRDefault="00B7593D" w:rsidP="00B7593D">
      <w:pPr>
        <w:pStyle w:val="Prrafodelista"/>
        <w:numPr>
          <w:ilvl w:val="0"/>
          <w:numId w:val="21"/>
        </w:numPr>
        <w:spacing w:before="240" w:line="360" w:lineRule="auto"/>
        <w:ind w:right="851"/>
        <w:jc w:val="both"/>
        <w:rPr>
          <w:rFonts w:ascii="Palatino Linotype" w:hAnsi="Palatino Linotype" w:cs="Arial"/>
          <w:b/>
          <w:i/>
          <w:sz w:val="22"/>
          <w:szCs w:val="22"/>
        </w:rPr>
      </w:pPr>
      <w:r w:rsidRPr="00AA7EDD">
        <w:rPr>
          <w:rFonts w:ascii="Palatino Linotype" w:hAnsi="Palatino Linotype"/>
          <w:i/>
          <w:sz w:val="22"/>
          <w:szCs w:val="22"/>
        </w:rPr>
        <w:t xml:space="preserve">Un representante del </w:t>
      </w:r>
      <w:r w:rsidRPr="00E07D1E">
        <w:rPr>
          <w:rFonts w:ascii="Palatino Linotype" w:hAnsi="Palatino Linotype"/>
          <w:b/>
          <w:i/>
          <w:sz w:val="22"/>
          <w:szCs w:val="22"/>
          <w:u w:val="single"/>
        </w:rPr>
        <w:t>área financiera</w:t>
      </w:r>
      <w:r w:rsidRPr="00AA7EDD">
        <w:rPr>
          <w:rFonts w:ascii="Palatino Linotype" w:hAnsi="Palatino Linotype"/>
          <w:i/>
          <w:sz w:val="22"/>
          <w:szCs w:val="22"/>
        </w:rPr>
        <w:t xml:space="preserve"> de la Secretaría, entidad, tribunal administrativo o municipio, con función de vocal; </w:t>
      </w:r>
    </w:p>
    <w:p w14:paraId="7E2AC4E1" w14:textId="77777777" w:rsidR="00B7593D" w:rsidRPr="00AA7EDD" w:rsidRDefault="00B7593D" w:rsidP="00B7593D">
      <w:pPr>
        <w:pStyle w:val="Prrafodelista"/>
        <w:numPr>
          <w:ilvl w:val="0"/>
          <w:numId w:val="21"/>
        </w:numPr>
        <w:spacing w:before="240" w:line="360" w:lineRule="auto"/>
        <w:ind w:right="851"/>
        <w:jc w:val="both"/>
        <w:rPr>
          <w:rFonts w:ascii="Palatino Linotype" w:hAnsi="Palatino Linotype" w:cs="Arial"/>
          <w:b/>
          <w:i/>
          <w:sz w:val="22"/>
          <w:szCs w:val="22"/>
        </w:rPr>
      </w:pPr>
      <w:r w:rsidRPr="00E07D1E">
        <w:rPr>
          <w:rFonts w:ascii="Palatino Linotype" w:hAnsi="Palatino Linotype"/>
          <w:b/>
          <w:i/>
          <w:sz w:val="22"/>
          <w:szCs w:val="22"/>
          <w:u w:val="single"/>
        </w:rPr>
        <w:t>Un representante de cada dependencia o unidad administrativa interesada</w:t>
      </w:r>
      <w:r w:rsidRPr="00AA7EDD">
        <w:rPr>
          <w:rFonts w:ascii="Palatino Linotype" w:hAnsi="Palatino Linotype"/>
          <w:i/>
          <w:sz w:val="22"/>
          <w:szCs w:val="22"/>
        </w:rPr>
        <w:t xml:space="preserve"> en la adquisición de los bienes o contratación del servicio, con función de vocal;</w:t>
      </w:r>
    </w:p>
    <w:p w14:paraId="49CFD46A" w14:textId="77777777" w:rsidR="00B7593D" w:rsidRPr="00AA7EDD" w:rsidRDefault="00B7593D" w:rsidP="00B7593D">
      <w:pPr>
        <w:pStyle w:val="Prrafodelista"/>
        <w:numPr>
          <w:ilvl w:val="0"/>
          <w:numId w:val="21"/>
        </w:numPr>
        <w:spacing w:before="240" w:line="360" w:lineRule="auto"/>
        <w:ind w:right="851"/>
        <w:jc w:val="both"/>
        <w:rPr>
          <w:rFonts w:ascii="Palatino Linotype" w:hAnsi="Palatino Linotype" w:cs="Arial"/>
          <w:b/>
          <w:i/>
          <w:sz w:val="22"/>
          <w:szCs w:val="22"/>
        </w:rPr>
      </w:pPr>
      <w:r w:rsidRPr="00AA7EDD">
        <w:rPr>
          <w:rFonts w:ascii="Palatino Linotype" w:hAnsi="Palatino Linotype"/>
          <w:i/>
          <w:sz w:val="22"/>
          <w:szCs w:val="22"/>
        </w:rPr>
        <w:t xml:space="preserve"> Un representante de la </w:t>
      </w:r>
      <w:r w:rsidRPr="00E07D1E">
        <w:rPr>
          <w:rFonts w:ascii="Palatino Linotype" w:hAnsi="Palatino Linotype"/>
          <w:b/>
          <w:i/>
          <w:sz w:val="22"/>
          <w:szCs w:val="22"/>
          <w:u w:val="single"/>
        </w:rPr>
        <w:t>Consejería Jurídica o del área jurídica respectiva</w:t>
      </w:r>
      <w:r w:rsidRPr="00AA7EDD">
        <w:rPr>
          <w:rFonts w:ascii="Palatino Linotype" w:hAnsi="Palatino Linotype"/>
          <w:i/>
          <w:sz w:val="22"/>
          <w:szCs w:val="22"/>
        </w:rPr>
        <w:t xml:space="preserve"> o quien lleve a cabo las funciones de esta naturaleza, con función de vocal; </w:t>
      </w:r>
    </w:p>
    <w:p w14:paraId="4514B6E8" w14:textId="77777777" w:rsidR="00B7593D" w:rsidRPr="00AA7EDD" w:rsidRDefault="00B7593D" w:rsidP="00B7593D">
      <w:pPr>
        <w:pStyle w:val="Prrafodelista"/>
        <w:numPr>
          <w:ilvl w:val="0"/>
          <w:numId w:val="21"/>
        </w:numPr>
        <w:spacing w:before="240" w:line="360" w:lineRule="auto"/>
        <w:ind w:right="851"/>
        <w:jc w:val="both"/>
        <w:rPr>
          <w:rFonts w:ascii="Palatino Linotype" w:hAnsi="Palatino Linotype" w:cs="Arial"/>
          <w:b/>
          <w:i/>
          <w:sz w:val="22"/>
          <w:szCs w:val="22"/>
        </w:rPr>
      </w:pPr>
      <w:r w:rsidRPr="00AA7EDD">
        <w:rPr>
          <w:rFonts w:ascii="Palatino Linotype" w:hAnsi="Palatino Linotype"/>
          <w:i/>
          <w:sz w:val="22"/>
          <w:szCs w:val="22"/>
        </w:rPr>
        <w:t xml:space="preserve">Un representante del </w:t>
      </w:r>
      <w:r w:rsidRPr="00E07D1E">
        <w:rPr>
          <w:rFonts w:ascii="Palatino Linotype" w:hAnsi="Palatino Linotype"/>
          <w:b/>
          <w:i/>
          <w:sz w:val="22"/>
          <w:szCs w:val="22"/>
          <w:u w:val="single"/>
        </w:rPr>
        <w:t>Órgano de Control,</w:t>
      </w:r>
      <w:r w:rsidRPr="00AA7EDD">
        <w:rPr>
          <w:rFonts w:ascii="Palatino Linotype" w:hAnsi="Palatino Linotype"/>
          <w:i/>
          <w:sz w:val="22"/>
          <w:szCs w:val="22"/>
        </w:rPr>
        <w:t xml:space="preserve"> con función de vocal; y </w:t>
      </w:r>
    </w:p>
    <w:p w14:paraId="46B9B84D" w14:textId="77777777" w:rsidR="00B7593D" w:rsidRPr="00AA7EDD" w:rsidRDefault="00B7593D" w:rsidP="00B7593D">
      <w:pPr>
        <w:pStyle w:val="Prrafodelista"/>
        <w:numPr>
          <w:ilvl w:val="0"/>
          <w:numId w:val="21"/>
        </w:numPr>
        <w:spacing w:before="240" w:line="360" w:lineRule="auto"/>
        <w:ind w:right="851"/>
        <w:jc w:val="both"/>
        <w:rPr>
          <w:rFonts w:ascii="Palatino Linotype" w:hAnsi="Palatino Linotype" w:cs="Arial"/>
          <w:b/>
          <w:i/>
          <w:sz w:val="22"/>
          <w:szCs w:val="22"/>
        </w:rPr>
      </w:pPr>
      <w:r w:rsidRPr="00E07D1E">
        <w:rPr>
          <w:rFonts w:ascii="Palatino Linotype" w:hAnsi="Palatino Linotype"/>
          <w:b/>
          <w:i/>
          <w:sz w:val="22"/>
          <w:szCs w:val="22"/>
          <w:u w:val="single"/>
        </w:rPr>
        <w:lastRenderedPageBreak/>
        <w:t>Un secretario ejecutivo,</w:t>
      </w:r>
      <w:r w:rsidRPr="00AA7EDD">
        <w:rPr>
          <w:rFonts w:ascii="Palatino Linotype" w:hAnsi="Palatino Linotype"/>
          <w:i/>
          <w:sz w:val="22"/>
          <w:szCs w:val="22"/>
        </w:rPr>
        <w:t xml:space="preserve"> que será designado por el presidente. </w:t>
      </w:r>
    </w:p>
    <w:p w14:paraId="5DE02987" w14:textId="77777777" w:rsidR="00B7593D" w:rsidRPr="00AA7EDD" w:rsidRDefault="00B7593D" w:rsidP="00B7593D">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7BA60BC9" w14:textId="77777777" w:rsidR="00B7593D" w:rsidRPr="00AA7EDD" w:rsidRDefault="00B7593D" w:rsidP="00B7593D">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Los integrantes del comité tendrán derecho a voz y voto a excepción de los indicados en las fracciones V y VI, quienes sólo participarán con voz, debiendo fundamentar y motivar el sentido de su opinión, a efecto de que sea incluida en el acta correspondiente. En caso de empate, el presidente tendrá voto de calidad. </w:t>
      </w:r>
    </w:p>
    <w:p w14:paraId="2C1F25DE" w14:textId="77777777" w:rsidR="00B7593D" w:rsidRPr="00AA7EDD" w:rsidRDefault="00B7593D" w:rsidP="00B7593D">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A las sesiones del comité podrá invitarse a cualquier persona cuya intervención se considere necesaria por el secretario ejecutivo, para aclarar aspectos técnicos o administrativos relacionados con los asuntos sometidos al comité. </w:t>
      </w:r>
    </w:p>
    <w:p w14:paraId="41FC7543" w14:textId="77777777" w:rsidR="00B7593D" w:rsidRPr="00AA7EDD" w:rsidRDefault="00B7593D" w:rsidP="00B7593D">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 xml:space="preserve">Los integrantes del comité designarán por escrito a sus respectivos suplentes, y sólo participarán en ausencia del titular. </w:t>
      </w:r>
    </w:p>
    <w:p w14:paraId="0D2B6D59" w14:textId="77777777" w:rsidR="00B7593D" w:rsidRDefault="00B7593D" w:rsidP="00B7593D">
      <w:pPr>
        <w:pStyle w:val="Prrafodelista"/>
        <w:spacing w:before="240" w:after="160" w:line="360" w:lineRule="auto"/>
        <w:ind w:left="851" w:right="851"/>
        <w:jc w:val="both"/>
        <w:rPr>
          <w:rFonts w:ascii="Palatino Linotype" w:hAnsi="Palatino Linotype"/>
          <w:i/>
          <w:sz w:val="22"/>
          <w:szCs w:val="22"/>
        </w:rPr>
      </w:pPr>
      <w:r w:rsidRPr="00AA7EDD">
        <w:rPr>
          <w:rFonts w:ascii="Palatino Linotype" w:hAnsi="Palatino Linotype"/>
          <w:i/>
          <w:sz w:val="22"/>
          <w:szCs w:val="22"/>
        </w:rPr>
        <w:t>Los cargos de los integrantes del comité serán honoríficos.</w:t>
      </w:r>
    </w:p>
    <w:p w14:paraId="560EB949" w14:textId="77777777" w:rsidR="00B7593D" w:rsidRDefault="00B7593D" w:rsidP="00B7593D">
      <w:pPr>
        <w:pStyle w:val="Citas"/>
      </w:pPr>
      <w:r>
        <w:t xml:space="preserve">Artículo 54.- Además de las establecidas en la Ley, el Comité de Arrendamientos, Adquisiciones de Inmuebles y Enajenaciones tendrá las siguientes funciones: </w:t>
      </w:r>
    </w:p>
    <w:p w14:paraId="0DE70A14" w14:textId="77777777" w:rsidR="00B7593D" w:rsidRDefault="00B7593D" w:rsidP="00B7593D">
      <w:pPr>
        <w:pStyle w:val="Citas"/>
      </w:pPr>
      <w:r>
        <w:t xml:space="preserve">I. Expedir su manual de operación; </w:t>
      </w:r>
    </w:p>
    <w:p w14:paraId="737A4B99" w14:textId="77777777" w:rsidR="00B7593D" w:rsidRDefault="00B7593D" w:rsidP="00B7593D">
      <w:pPr>
        <w:pStyle w:val="Citas"/>
      </w:pPr>
      <w:r>
        <w:t xml:space="preserve">II. Revisar y validar el programa anual de arrendamiento; así como formular las observaciones y recomendaciones que estimen convenientes; </w:t>
      </w:r>
    </w:p>
    <w:p w14:paraId="35B31E79" w14:textId="77777777" w:rsidR="00B7593D" w:rsidRDefault="00B7593D" w:rsidP="00B7593D">
      <w:pPr>
        <w:pStyle w:val="Citas"/>
      </w:pPr>
      <w:r>
        <w:lastRenderedPageBreak/>
        <w:t xml:space="preserve">III. Analizar la documentación de los actos relacionados con arrendamiento, adquisiciones de inmuebles y enajenaciones de muebles e inmuebles, y emitir la opinión correspondiente; </w:t>
      </w:r>
    </w:p>
    <w:p w14:paraId="33A4E565" w14:textId="77777777" w:rsidR="00B7593D" w:rsidRDefault="00B7593D" w:rsidP="00B7593D">
      <w:pPr>
        <w:pStyle w:val="Citas"/>
      </w:pPr>
      <w:r>
        <w:t xml:space="preserve">IV. Dictaminar sobre las solicitudes para adquirir inmuebles, arrendamientos y subarrendamientos; </w:t>
      </w:r>
    </w:p>
    <w:p w14:paraId="58011A93" w14:textId="77777777" w:rsidR="00B7593D" w:rsidRDefault="00B7593D" w:rsidP="00B7593D">
      <w:pPr>
        <w:pStyle w:val="Citas"/>
      </w:pPr>
      <w:r>
        <w:t xml:space="preserve">V. Dictaminar sobre las propuestas de enajenación de bienes muebles e inmuebles; </w:t>
      </w:r>
    </w:p>
    <w:p w14:paraId="3D654CCC" w14:textId="77777777" w:rsidR="00B7593D" w:rsidRDefault="00B7593D" w:rsidP="00B7593D">
      <w:pPr>
        <w:pStyle w:val="Citas"/>
      </w:pPr>
      <w:r>
        <w:t xml:space="preserve">VI. Solicitar asesoría técnica a las cámaras de comercio, industria de la construcción, de empresas inmobiliarias y colegios de profesionales o de las confederaciones que las agrupan; </w:t>
      </w:r>
    </w:p>
    <w:p w14:paraId="72400E51" w14:textId="77777777" w:rsidR="00B7593D" w:rsidRDefault="00B7593D" w:rsidP="00B7593D">
      <w:pPr>
        <w:pStyle w:val="Citas"/>
      </w:pPr>
      <w:r>
        <w:t xml:space="preserve">VII. Implementar acciones y emitir acuerdos que considere necesarios para el mejoramiento del procedimiento para arrendamiento, adquisiciones de inmuebles y enajenaciones de muebles e inmuebles; </w:t>
      </w:r>
    </w:p>
    <w:p w14:paraId="1E721BF5" w14:textId="77777777" w:rsidR="00B7593D" w:rsidRDefault="00B7593D" w:rsidP="00B7593D">
      <w:pPr>
        <w:pStyle w:val="Citas"/>
      </w:pPr>
      <w:r>
        <w:t>VIII. Evaluar las propuestas o posturas que se presenten en los procedimientos de licitación pública, subasta pública, invitación restringida o adjudicación directa;</w:t>
      </w:r>
    </w:p>
    <w:p w14:paraId="1AA75A73" w14:textId="77777777" w:rsidR="00B7593D" w:rsidRDefault="00B7593D" w:rsidP="00B7593D">
      <w:pPr>
        <w:pStyle w:val="Citas"/>
      </w:pPr>
      <w:r>
        <w:t xml:space="preserve"> IX. Emitir los dictámenes de adjudicación, que servirán para la emisión del fallo en los arrendamientos, adquisiciones de inmuebles y enajenaciones; </w:t>
      </w:r>
    </w:p>
    <w:p w14:paraId="2145BC74" w14:textId="77777777" w:rsidR="00B7593D" w:rsidRDefault="00B7593D" w:rsidP="00B7593D">
      <w:pPr>
        <w:pStyle w:val="Citas"/>
      </w:pPr>
      <w:r>
        <w:t xml:space="preserve">X. Crear subcomités y grupos de trabajo de orden administrativo y técnico que considere necesarios para el desarrollo de sus funciones; y </w:t>
      </w:r>
    </w:p>
    <w:p w14:paraId="0B5B7D58" w14:textId="77777777" w:rsidR="00B7593D" w:rsidRPr="00AA7EDD" w:rsidRDefault="00B7593D" w:rsidP="00B7593D">
      <w:pPr>
        <w:pStyle w:val="Citas"/>
        <w:rPr>
          <w:b/>
        </w:rPr>
      </w:pPr>
      <w:r>
        <w:t>XI. Las demás que sean necesarias para el cumplimiento de sus funciones.</w:t>
      </w:r>
    </w:p>
    <w:p w14:paraId="4FE44C38" w14:textId="77777777" w:rsidR="00B7593D" w:rsidRDefault="00B7593D" w:rsidP="00B7593D">
      <w:pPr>
        <w:pStyle w:val="Citas"/>
      </w:pPr>
      <w:bookmarkStart w:id="5" w:name="_Hlk152082571"/>
      <w:r>
        <w:t xml:space="preserve">Artículo 67.- El procedimiento de licitación pública comprende las siguientes fases: </w:t>
      </w:r>
    </w:p>
    <w:p w14:paraId="044CE37A" w14:textId="77777777" w:rsidR="00B7593D" w:rsidRDefault="00B7593D" w:rsidP="00B7593D">
      <w:pPr>
        <w:pStyle w:val="Citas"/>
      </w:pPr>
      <w:r>
        <w:lastRenderedPageBreak/>
        <w:t>I. Publicación de la convocatoria;</w:t>
      </w:r>
    </w:p>
    <w:p w14:paraId="14BF7EB6" w14:textId="77777777" w:rsidR="00B7593D" w:rsidRDefault="00B7593D" w:rsidP="00B7593D">
      <w:pPr>
        <w:pStyle w:val="Citas"/>
      </w:pPr>
      <w:r>
        <w:t xml:space="preserve"> II. Venta de las bases de licitación;</w:t>
      </w:r>
    </w:p>
    <w:p w14:paraId="116CD939" w14:textId="77777777" w:rsidR="00B7593D" w:rsidRDefault="00B7593D" w:rsidP="00B7593D">
      <w:pPr>
        <w:pStyle w:val="Citas"/>
      </w:pPr>
      <w:r>
        <w:t xml:space="preserve"> III. Visita, en su caso, al sitio donde se vayan a suministrar los bienes o a prestar los servicios;</w:t>
      </w:r>
    </w:p>
    <w:p w14:paraId="17D60FAA" w14:textId="77777777" w:rsidR="00B7593D" w:rsidRDefault="00B7593D" w:rsidP="00B7593D">
      <w:pPr>
        <w:pStyle w:val="Citas"/>
      </w:pPr>
      <w:r>
        <w:t xml:space="preserve"> IV. Junta de aclaraciones, en su caso; </w:t>
      </w:r>
    </w:p>
    <w:p w14:paraId="0A23A9D4" w14:textId="77777777" w:rsidR="00B7593D" w:rsidRDefault="00B7593D" w:rsidP="00B7593D">
      <w:pPr>
        <w:pStyle w:val="Citas"/>
      </w:pPr>
      <w:r>
        <w:t xml:space="preserve">V. Acto de presentación y apertura de propuestas; </w:t>
      </w:r>
    </w:p>
    <w:p w14:paraId="1536DEEB" w14:textId="77777777" w:rsidR="00B7593D" w:rsidRDefault="00B7593D" w:rsidP="00B7593D">
      <w:pPr>
        <w:pStyle w:val="Citas"/>
      </w:pPr>
      <w:r>
        <w:t xml:space="preserve">VI. Análisis y evaluación de propuestas; </w:t>
      </w:r>
    </w:p>
    <w:p w14:paraId="751299FC" w14:textId="77777777" w:rsidR="00B7593D" w:rsidRDefault="00B7593D" w:rsidP="00B7593D">
      <w:pPr>
        <w:pStyle w:val="Citas"/>
      </w:pPr>
      <w:proofErr w:type="spellStart"/>
      <w:r>
        <w:t>VII.Dictamen</w:t>
      </w:r>
      <w:proofErr w:type="spellEnd"/>
      <w:r>
        <w:t xml:space="preserve"> de adjudicación; </w:t>
      </w:r>
    </w:p>
    <w:p w14:paraId="65AA56B9" w14:textId="77777777" w:rsidR="00B7593D" w:rsidRDefault="00B7593D" w:rsidP="00B7593D">
      <w:pPr>
        <w:pStyle w:val="Citas"/>
      </w:pPr>
      <w:r>
        <w:t xml:space="preserve">VIII. Fallo; </w:t>
      </w:r>
    </w:p>
    <w:p w14:paraId="52CDF2EA" w14:textId="77777777" w:rsidR="00B7593D" w:rsidRPr="00F34349" w:rsidRDefault="00B7593D" w:rsidP="00B7593D">
      <w:pPr>
        <w:pStyle w:val="Citas"/>
        <w:rPr>
          <w:b/>
          <w:bCs/>
          <w:u w:val="single"/>
        </w:rPr>
      </w:pPr>
      <w:r w:rsidRPr="00F34349">
        <w:rPr>
          <w:b/>
          <w:bCs/>
          <w:u w:val="single"/>
        </w:rPr>
        <w:t xml:space="preserve">IX. Suscripción del contrato; y </w:t>
      </w:r>
    </w:p>
    <w:p w14:paraId="41ECD093" w14:textId="77777777" w:rsidR="00B7593D" w:rsidRDefault="00B7593D" w:rsidP="00B7593D">
      <w:pPr>
        <w:pStyle w:val="Citas"/>
      </w:pPr>
      <w:r>
        <w:t>X. Suministro de los bienes o inicio de la prestación del servicio.</w:t>
      </w:r>
    </w:p>
    <w:p w14:paraId="350A81E0" w14:textId="77777777" w:rsidR="00B7593D" w:rsidRDefault="00B7593D" w:rsidP="00B7593D">
      <w:pPr>
        <w:pStyle w:val="Citas"/>
      </w:pPr>
      <w:r>
        <w:t xml:space="preserve">Artículo 90.- En el procedimiento de invitación restringida se deberá observar lo siguiente: </w:t>
      </w:r>
    </w:p>
    <w:p w14:paraId="6F254C7B" w14:textId="77777777" w:rsidR="00B7593D" w:rsidRDefault="00B7593D" w:rsidP="00B7593D">
      <w:pPr>
        <w:pStyle w:val="Citas"/>
      </w:pPr>
      <w:r>
        <w:t xml:space="preserve">I. Se invitará a un mínimo de tres personas seleccionadas de entre las que se encuentren inscritas en el catálogo de proveedores y de prestadores de servicios. Se podrá invitar a personas que no se encuentren inscritas, cuando en el giro correspondiente del catálogo de proveedores y prestadores de servicios no exista el registro mínimo de personas requeridas para tal modalidad; </w:t>
      </w:r>
    </w:p>
    <w:p w14:paraId="04F41049" w14:textId="77777777" w:rsidR="00B7593D" w:rsidRDefault="00B7593D" w:rsidP="00B7593D">
      <w:pPr>
        <w:pStyle w:val="Citas"/>
      </w:pPr>
      <w:r>
        <w:lastRenderedPageBreak/>
        <w:t xml:space="preserve">II. Las bases de la invitación restringida indicarán los aspectos de la adquisición o contratación; y </w:t>
      </w:r>
    </w:p>
    <w:p w14:paraId="22216EE7" w14:textId="77777777" w:rsidR="00B7593D" w:rsidRDefault="00B7593D" w:rsidP="00B7593D">
      <w:pPr>
        <w:pStyle w:val="Citas"/>
      </w:pPr>
      <w:r>
        <w:t>III. Serán aplicables, en lo conducente, las disposiciones de la licitación pública</w:t>
      </w:r>
    </w:p>
    <w:p w14:paraId="77A8581A" w14:textId="77777777" w:rsidR="00B7593D" w:rsidRDefault="00B7593D" w:rsidP="00B7593D">
      <w:pPr>
        <w:pStyle w:val="Citas"/>
      </w:pPr>
      <w:r>
        <w:t xml:space="preserve">Artículo 94.- En el procedimiento de adjudicación directa se observará lo siguiente: </w:t>
      </w:r>
    </w:p>
    <w:p w14:paraId="1048C287" w14:textId="77777777" w:rsidR="00B7593D" w:rsidRDefault="00B7593D" w:rsidP="00B7593D">
      <w:pPr>
        <w:pStyle w:val="Citas"/>
      </w:pPr>
      <w:r>
        <w:t xml:space="preserve">I. Las adquisiciones de bienes y la contratación de servicios, se efectuaran previa </w:t>
      </w:r>
      <w:proofErr w:type="spellStart"/>
      <w:r>
        <w:t>dictaminación</w:t>
      </w:r>
      <w:proofErr w:type="spellEnd"/>
      <w:r>
        <w:t xml:space="preserve">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 </w:t>
      </w:r>
    </w:p>
    <w:p w14:paraId="525B69DE" w14:textId="77777777" w:rsidR="00B7593D" w:rsidRDefault="00B7593D" w:rsidP="00B7593D">
      <w:pPr>
        <w:pStyle w:val="Citas"/>
      </w:pPr>
      <w: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17F945AA" w14:textId="77777777" w:rsidR="00B7593D" w:rsidRDefault="00B7593D" w:rsidP="00B7593D">
      <w:pPr>
        <w:pStyle w:val="Citas"/>
      </w:pPr>
      <w:r>
        <w:t xml:space="preserve">III. La solicitud de participación contendrá, como mínimo, la descripción y cantidad de los bienes o servicios requeridos, lugar, plazo de entrega o duración del servicio y forma de pago; </w:t>
      </w:r>
    </w:p>
    <w:p w14:paraId="50F24055" w14:textId="77777777" w:rsidR="00B7593D" w:rsidRDefault="00B7593D" w:rsidP="00B7593D">
      <w:pPr>
        <w:pStyle w:val="Citas"/>
      </w:pPr>
      <w:r>
        <w:t xml:space="preserve">IV. La solicitud de participación deberá señalar el día, hora y lugar en que tendrá verificativo el acto de presentación y apertura de ofertas; </w:t>
      </w:r>
    </w:p>
    <w:p w14:paraId="789AD1D8" w14:textId="77777777" w:rsidR="00B7593D" w:rsidRDefault="00B7593D" w:rsidP="00B7593D">
      <w:pPr>
        <w:pStyle w:val="Citas"/>
      </w:pPr>
      <w:r>
        <w:t xml:space="preserve">V. Atendiendo a la naturaleza de los bienes o servicios, la convocante podrá optar entre celebrar o no junta de aclaraciones, en términos de lo dispuesto por este Reglamento; </w:t>
      </w:r>
    </w:p>
    <w:p w14:paraId="66714AEB" w14:textId="77777777" w:rsidR="00B7593D" w:rsidRDefault="00B7593D" w:rsidP="00B7593D">
      <w:pPr>
        <w:pStyle w:val="Citas"/>
      </w:pPr>
      <w:r>
        <w:lastRenderedPageBreak/>
        <w:t xml:space="preserve">VI. El servidor público designado por la convocante será el responsable de llevar a cabo el acto de presentación y apertura de propuestas; </w:t>
      </w:r>
    </w:p>
    <w:p w14:paraId="23541887" w14:textId="77777777" w:rsidR="00B7593D" w:rsidRDefault="00B7593D" w:rsidP="00B7593D">
      <w:pPr>
        <w:pStyle w:val="Citas"/>
      </w:pPr>
      <w:r>
        <w:t xml:space="preserve">VII. Se observarán, en lo conducente, las disposiciones relativas a la contraoferta; y </w:t>
      </w:r>
    </w:p>
    <w:p w14:paraId="6C3DAFE2" w14:textId="77777777" w:rsidR="00B7593D" w:rsidRDefault="00B7593D" w:rsidP="00B7593D">
      <w:pPr>
        <w:pStyle w:val="Citas"/>
      </w:pPr>
      <w:r>
        <w:t xml:space="preserve">VIII. El comité será responsable de emitir el dictamen de adjudicación que servirá de base para el fallo de adjudicación; correspondiendo a la convocante emitir dicho fallo, quien lo hará del conocimiento de los licitantes. </w:t>
      </w:r>
    </w:p>
    <w:p w14:paraId="15915DD3" w14:textId="77777777" w:rsidR="00B7593D" w:rsidRPr="006933BD" w:rsidRDefault="00B7593D" w:rsidP="00B7593D">
      <w:pPr>
        <w:pStyle w:val="Citas"/>
        <w:rPr>
          <w:b/>
          <w:bCs/>
        </w:rPr>
      </w:pPr>
      <w:r>
        <w:t xml:space="preserve">Los actos referidos en los incisos anteriores deberán documentarse en el acta correspondiente y publicarse en el sistema COMPRAMEX” </w:t>
      </w:r>
      <w:r>
        <w:rPr>
          <w:b/>
          <w:bCs/>
        </w:rPr>
        <w:t>(Sic)</w:t>
      </w:r>
    </w:p>
    <w:bookmarkEnd w:id="5"/>
    <w:p w14:paraId="04C930B6" w14:textId="77777777" w:rsidR="00B7593D" w:rsidRDefault="00B7593D" w:rsidP="00B7593D">
      <w:pPr>
        <w:pStyle w:val="Sinespaciado"/>
        <w:spacing w:line="360" w:lineRule="auto"/>
        <w:jc w:val="both"/>
        <w:rPr>
          <w:rFonts w:ascii="Palatino Linotype" w:hAnsi="Palatino Linotype"/>
        </w:rPr>
      </w:pPr>
    </w:p>
    <w:p w14:paraId="355E6D6A" w14:textId="77777777" w:rsidR="00B7593D" w:rsidRDefault="00B7593D" w:rsidP="00B7593D">
      <w:pPr>
        <w:spacing w:before="240" w:line="360" w:lineRule="auto"/>
        <w:jc w:val="both"/>
        <w:rPr>
          <w:rFonts w:ascii="Palatino Linotype" w:hAnsi="Palatino Linotype"/>
          <w:sz w:val="24"/>
          <w:szCs w:val="24"/>
        </w:rPr>
      </w:pPr>
      <w:r>
        <w:rPr>
          <w:rFonts w:ascii="Palatino Linotype" w:hAnsi="Palatino Linotype"/>
          <w:sz w:val="24"/>
          <w:szCs w:val="24"/>
        </w:rPr>
        <w:t xml:space="preserve">En función de lo planteado, la unidad administrativa referida con antelación regula diversas aristas tales como: </w:t>
      </w:r>
    </w:p>
    <w:p w14:paraId="0298574D" w14:textId="77777777" w:rsidR="00B7593D" w:rsidRDefault="00B7593D" w:rsidP="00B7593D">
      <w:pPr>
        <w:pStyle w:val="Prrafodelista"/>
        <w:numPr>
          <w:ilvl w:val="0"/>
          <w:numId w:val="22"/>
        </w:numPr>
        <w:spacing w:before="240" w:line="360" w:lineRule="auto"/>
        <w:jc w:val="both"/>
        <w:rPr>
          <w:rFonts w:ascii="Palatino Linotype" w:hAnsi="Palatino Linotype"/>
        </w:rPr>
      </w:pPr>
      <w:r>
        <w:rPr>
          <w:rFonts w:ascii="Palatino Linotype" w:hAnsi="Palatino Linotype"/>
        </w:rPr>
        <w:t>Nómina</w:t>
      </w:r>
    </w:p>
    <w:p w14:paraId="2959C5A5" w14:textId="77777777" w:rsidR="00B7593D" w:rsidRPr="009C3A7D" w:rsidRDefault="00B7593D" w:rsidP="00B7593D">
      <w:pPr>
        <w:pStyle w:val="Prrafodelista"/>
        <w:numPr>
          <w:ilvl w:val="0"/>
          <w:numId w:val="22"/>
        </w:numPr>
        <w:spacing w:before="240" w:line="360" w:lineRule="auto"/>
        <w:jc w:val="both"/>
        <w:rPr>
          <w:rFonts w:ascii="Palatino Linotype" w:hAnsi="Palatino Linotype"/>
          <w:b/>
          <w:bCs/>
          <w:u w:val="single"/>
        </w:rPr>
      </w:pPr>
      <w:r w:rsidRPr="009C3A7D">
        <w:rPr>
          <w:rFonts w:ascii="Palatino Linotype" w:hAnsi="Palatino Linotype"/>
          <w:b/>
          <w:bCs/>
          <w:u w:val="single"/>
        </w:rPr>
        <w:t>Procedimientos adquisitivos</w:t>
      </w:r>
    </w:p>
    <w:p w14:paraId="0FCB0C16" w14:textId="79727518" w:rsidR="00051F5D" w:rsidRPr="009C3A7D" w:rsidRDefault="00051F5D" w:rsidP="00B7593D">
      <w:pPr>
        <w:pStyle w:val="Prrafodelista"/>
        <w:numPr>
          <w:ilvl w:val="0"/>
          <w:numId w:val="22"/>
        </w:numPr>
        <w:spacing w:before="240" w:line="360" w:lineRule="auto"/>
        <w:jc w:val="both"/>
        <w:rPr>
          <w:rFonts w:ascii="Palatino Linotype" w:hAnsi="Palatino Linotype"/>
          <w:b/>
          <w:bCs/>
          <w:u w:val="single"/>
        </w:rPr>
      </w:pPr>
      <w:r w:rsidRPr="009C3A7D">
        <w:rPr>
          <w:rFonts w:ascii="Palatino Linotype" w:hAnsi="Palatino Linotype"/>
          <w:b/>
          <w:bCs/>
          <w:u w:val="single"/>
        </w:rPr>
        <w:t>Padrón de proveedores</w:t>
      </w:r>
    </w:p>
    <w:p w14:paraId="740005E9" w14:textId="77777777" w:rsidR="00B7593D" w:rsidRDefault="00B7593D" w:rsidP="00B7593D">
      <w:pPr>
        <w:pStyle w:val="Prrafodelista"/>
        <w:numPr>
          <w:ilvl w:val="0"/>
          <w:numId w:val="22"/>
        </w:numPr>
        <w:spacing w:before="240" w:line="360" w:lineRule="auto"/>
        <w:jc w:val="both"/>
        <w:rPr>
          <w:rFonts w:ascii="Palatino Linotype" w:hAnsi="Palatino Linotype"/>
        </w:rPr>
      </w:pPr>
      <w:r>
        <w:rPr>
          <w:rFonts w:ascii="Palatino Linotype" w:hAnsi="Palatino Linotype"/>
        </w:rPr>
        <w:t>Celebración de contratos con proveedores</w:t>
      </w:r>
    </w:p>
    <w:p w14:paraId="3FEFAA9D" w14:textId="77777777" w:rsidR="00B7593D" w:rsidRDefault="00B7593D" w:rsidP="00B7593D">
      <w:pPr>
        <w:pStyle w:val="Prrafodelista"/>
        <w:numPr>
          <w:ilvl w:val="0"/>
          <w:numId w:val="22"/>
        </w:numPr>
        <w:spacing w:before="240" w:line="360" w:lineRule="auto"/>
        <w:jc w:val="both"/>
        <w:rPr>
          <w:rFonts w:ascii="Palatino Linotype" w:hAnsi="Palatino Linotype"/>
        </w:rPr>
      </w:pPr>
      <w:r>
        <w:rPr>
          <w:rFonts w:ascii="Palatino Linotype" w:hAnsi="Palatino Linotype"/>
        </w:rPr>
        <w:t>Coordinar el ejercicio del presupuesto</w:t>
      </w:r>
    </w:p>
    <w:p w14:paraId="68712352" w14:textId="77777777" w:rsidR="00B7593D" w:rsidRDefault="00B7593D" w:rsidP="00B7593D">
      <w:pPr>
        <w:pStyle w:val="Prrafodelista"/>
        <w:numPr>
          <w:ilvl w:val="0"/>
          <w:numId w:val="22"/>
        </w:numPr>
        <w:spacing w:before="240" w:line="360" w:lineRule="auto"/>
        <w:jc w:val="both"/>
        <w:rPr>
          <w:rFonts w:ascii="Palatino Linotype" w:hAnsi="Palatino Linotype"/>
        </w:rPr>
      </w:pPr>
      <w:r>
        <w:rPr>
          <w:rFonts w:ascii="Palatino Linotype" w:hAnsi="Palatino Linotype"/>
        </w:rPr>
        <w:t>Estados financieros mensuales</w:t>
      </w:r>
    </w:p>
    <w:p w14:paraId="5764FC45" w14:textId="77777777" w:rsidR="00B7593D" w:rsidRPr="00FA234B" w:rsidRDefault="00B7593D" w:rsidP="00B7593D">
      <w:pPr>
        <w:pStyle w:val="Prrafodelista"/>
        <w:numPr>
          <w:ilvl w:val="0"/>
          <w:numId w:val="22"/>
        </w:numPr>
        <w:spacing w:before="240" w:line="360" w:lineRule="auto"/>
        <w:jc w:val="both"/>
        <w:rPr>
          <w:rFonts w:ascii="Palatino Linotype" w:hAnsi="Palatino Linotype"/>
        </w:rPr>
      </w:pPr>
      <w:r>
        <w:rPr>
          <w:rFonts w:ascii="Palatino Linotype" w:hAnsi="Palatino Linotype"/>
        </w:rPr>
        <w:t xml:space="preserve">Otros. </w:t>
      </w:r>
    </w:p>
    <w:p w14:paraId="160BCB32" w14:textId="6804C0A2" w:rsidR="00B7593D" w:rsidRPr="003721AF" w:rsidRDefault="00B7593D" w:rsidP="009C3A7D">
      <w:pPr>
        <w:spacing w:before="240" w:line="360" w:lineRule="auto"/>
        <w:jc w:val="both"/>
        <w:rPr>
          <w:rFonts w:ascii="Palatino Linotype" w:hAnsi="Palatino Linotype" w:cs="Arial"/>
          <w:sz w:val="24"/>
          <w:szCs w:val="24"/>
        </w:rPr>
      </w:pPr>
      <w:r>
        <w:rPr>
          <w:rFonts w:ascii="Palatino Linotype" w:hAnsi="Palatino Linotype"/>
          <w:b/>
          <w:bCs/>
          <w:sz w:val="24"/>
          <w:szCs w:val="24"/>
        </w:rPr>
        <w:lastRenderedPageBreak/>
        <w:t xml:space="preserve"> </w:t>
      </w:r>
      <w:r>
        <w:rPr>
          <w:rFonts w:ascii="Palatino Linotype" w:hAnsi="Palatino Linotype" w:cs="Arial"/>
          <w:sz w:val="24"/>
          <w:szCs w:val="24"/>
        </w:rPr>
        <w:t>Se quiere con ello significar</w:t>
      </w:r>
      <w:r w:rsidRPr="00EC5B60">
        <w:rPr>
          <w:rFonts w:ascii="Palatino Linotype" w:hAnsi="Palatino Linotype" w:cs="Arial"/>
          <w:sz w:val="24"/>
          <w:szCs w:val="24"/>
        </w:rPr>
        <w:t>, en términos de los</w:t>
      </w:r>
      <w:r w:rsidRPr="003721AF">
        <w:rPr>
          <w:rFonts w:ascii="Palatino Linotype" w:hAnsi="Palatino Linotype" w:cs="Arial"/>
          <w:sz w:val="24"/>
          <w:szCs w:val="24"/>
        </w:rPr>
        <w:t xml:space="preserve">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5D7EF3C9" w14:textId="77777777" w:rsidR="00B7593D" w:rsidRPr="003721AF" w:rsidRDefault="00B7593D" w:rsidP="00B7593D">
      <w:pPr>
        <w:pStyle w:val="Citas"/>
      </w:pPr>
      <w:r w:rsidRPr="003721AF">
        <w:t xml:space="preserve">“Artículo 18. Los sujetos obligados deberán documentar todo acto que derive del ejercicio de sus facultades, competencias o funciones, considerando desde su origen la eventual publicidad y reutilización de la información que generen. </w:t>
      </w:r>
    </w:p>
    <w:p w14:paraId="6A5B4FD1" w14:textId="77777777" w:rsidR="00B7593D" w:rsidRPr="003721AF" w:rsidRDefault="00B7593D" w:rsidP="00B7593D">
      <w:pPr>
        <w:pStyle w:val="Citas"/>
      </w:pPr>
      <w:r w:rsidRPr="003721AF">
        <w:t xml:space="preserve">Artículo 19. Se presume que la información debe existir si se refiere a las facultades, competencias y funciones que los ordenamientos jurídicos aplicables otorgan a los sujetos obligados. </w:t>
      </w:r>
    </w:p>
    <w:p w14:paraId="4C11F10C" w14:textId="77777777" w:rsidR="00B7593D" w:rsidRPr="003721AF" w:rsidRDefault="00B7593D" w:rsidP="00B7593D">
      <w:pPr>
        <w:pStyle w:val="Citas"/>
      </w:pPr>
      <w:r w:rsidRPr="003721AF">
        <w:t xml:space="preserve">En los casos en que ciertas facultades, competencias o funciones no se hayan ejercido, se debe motivar la respuesta en función de las causas que motiven tal circunstancia. </w:t>
      </w:r>
    </w:p>
    <w:p w14:paraId="67593751" w14:textId="77777777" w:rsidR="00B7593D" w:rsidRPr="003721AF" w:rsidRDefault="00B7593D" w:rsidP="00B7593D">
      <w:pPr>
        <w:pStyle w:val="Citas"/>
        <w:rPr>
          <w:b/>
          <w:bCs/>
          <w:sz w:val="24"/>
          <w:szCs w:val="24"/>
        </w:rPr>
      </w:pPr>
      <w:r w:rsidRPr="003721AF">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3721AF">
        <w:rPr>
          <w:b/>
          <w:bCs/>
        </w:rPr>
        <w:t>(Sic)</w:t>
      </w:r>
    </w:p>
    <w:p w14:paraId="64AC1616" w14:textId="77777777" w:rsidR="00B7593D" w:rsidRDefault="00B7593D" w:rsidP="00B7593D">
      <w:pPr>
        <w:spacing w:after="0" w:line="360" w:lineRule="auto"/>
        <w:jc w:val="both"/>
        <w:rPr>
          <w:rFonts w:ascii="Palatino Linotype" w:hAnsi="Palatino Linotype" w:cs="Arial"/>
          <w:sz w:val="24"/>
          <w:szCs w:val="24"/>
        </w:rPr>
      </w:pPr>
    </w:p>
    <w:p w14:paraId="38D826E7" w14:textId="719CDC9E" w:rsidR="00B7593D" w:rsidRDefault="00B7593D" w:rsidP="00B7593D">
      <w:pPr>
        <w:spacing w:before="240" w:line="360" w:lineRule="auto"/>
        <w:jc w:val="both"/>
        <w:rPr>
          <w:rFonts w:ascii="Palatino Linotype" w:hAnsi="Palatino Linotype"/>
          <w:bCs/>
          <w:sz w:val="24"/>
          <w:szCs w:val="24"/>
        </w:rPr>
      </w:pPr>
      <w:r w:rsidRPr="00322E78">
        <w:rPr>
          <w:rFonts w:ascii="Palatino Linotype" w:hAnsi="Palatino Linotype" w:cs="Arial"/>
          <w:sz w:val="24"/>
          <w:szCs w:val="24"/>
        </w:rPr>
        <w:t xml:space="preserve">Por otra parte, es óbice mencionar que la información requerida estriba parcialmente en las obligaciones en las obligaciones de transparencia común, lo anterior con fundamento </w:t>
      </w:r>
      <w:r w:rsidRPr="00322E78">
        <w:rPr>
          <w:rFonts w:ascii="Palatino Linotype" w:hAnsi="Palatino Linotype"/>
          <w:bCs/>
          <w:sz w:val="24"/>
          <w:szCs w:val="24"/>
        </w:rPr>
        <w:t xml:space="preserve">en </w:t>
      </w:r>
      <w:r>
        <w:rPr>
          <w:rFonts w:ascii="Palatino Linotype" w:hAnsi="Palatino Linotype"/>
          <w:bCs/>
          <w:sz w:val="24"/>
          <w:szCs w:val="24"/>
        </w:rPr>
        <w:t>los artículos</w:t>
      </w:r>
      <w:r w:rsidRPr="00322E78">
        <w:rPr>
          <w:rFonts w:ascii="Palatino Linotype" w:hAnsi="Palatino Linotype"/>
          <w:bCs/>
          <w:sz w:val="24"/>
          <w:szCs w:val="24"/>
        </w:rPr>
        <w:t xml:space="preserve"> 24, fracción XII, 92, </w:t>
      </w:r>
      <w:r w:rsidR="009C3A7D">
        <w:rPr>
          <w:rFonts w:ascii="Palatino Linotype" w:hAnsi="Palatino Linotype"/>
          <w:bCs/>
          <w:sz w:val="24"/>
          <w:szCs w:val="24"/>
        </w:rPr>
        <w:t>fracciones</w:t>
      </w:r>
      <w:r w:rsidRPr="009C3A7D">
        <w:rPr>
          <w:rFonts w:ascii="Palatino Linotype" w:hAnsi="Palatino Linotype"/>
          <w:bCs/>
          <w:sz w:val="24"/>
          <w:szCs w:val="24"/>
        </w:rPr>
        <w:t xml:space="preserve"> </w:t>
      </w:r>
      <w:r w:rsidR="009C3A7D" w:rsidRPr="009C3A7D">
        <w:rPr>
          <w:rFonts w:ascii="Palatino Linotype" w:hAnsi="Palatino Linotype"/>
          <w:bCs/>
          <w:iCs/>
          <w:sz w:val="24"/>
          <w:szCs w:val="24"/>
        </w:rPr>
        <w:t>XXIX y XXXVI</w:t>
      </w:r>
      <w:r>
        <w:rPr>
          <w:rFonts w:ascii="Palatino Linotype" w:hAnsi="Palatino Linotype"/>
          <w:bCs/>
          <w:sz w:val="24"/>
          <w:szCs w:val="24"/>
        </w:rPr>
        <w:t xml:space="preserve"> de la Ley de Transparencia y Acceso a la Información Pública del Estado de México y Municipios, porciones normativas que disponen a la literalidad lo siguiente:</w:t>
      </w:r>
    </w:p>
    <w:p w14:paraId="57594EBF" w14:textId="77777777" w:rsidR="00B7593D"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lastRenderedPageBreak/>
        <w:t>“Artículo 24. Para el cumplimiento de los objetivos de esta Ley, los sujetos obligados deberán cumplir con las siguientes obligaciones, según corresponda, de acuerdo a su naturaleza:</w:t>
      </w:r>
    </w:p>
    <w:p w14:paraId="182EE5A2" w14:textId="77777777" w:rsidR="00B7593D" w:rsidRPr="00E66BD3" w:rsidRDefault="00B7593D" w:rsidP="00B7593D">
      <w:pPr>
        <w:spacing w:before="240" w:line="360" w:lineRule="auto"/>
        <w:ind w:left="851" w:right="851"/>
        <w:jc w:val="both"/>
        <w:rPr>
          <w:rFonts w:ascii="Palatino Linotype" w:hAnsi="Palatino Linotype"/>
          <w:i/>
        </w:rPr>
      </w:pPr>
      <w:r>
        <w:rPr>
          <w:rFonts w:ascii="Palatino Linotype" w:hAnsi="Palatino Linotype"/>
          <w:i/>
        </w:rPr>
        <w:t>(…)</w:t>
      </w:r>
    </w:p>
    <w:p w14:paraId="5A2C2F13" w14:textId="77777777" w:rsidR="00B7593D" w:rsidRDefault="00B7593D" w:rsidP="00B7593D">
      <w:pPr>
        <w:spacing w:before="240" w:line="360" w:lineRule="auto"/>
        <w:ind w:left="851" w:right="851"/>
        <w:jc w:val="both"/>
        <w:rPr>
          <w:rFonts w:ascii="Palatino Linotype" w:hAnsi="Palatino Linotype"/>
          <w:bCs/>
          <w:i/>
        </w:rPr>
      </w:pPr>
      <w:r w:rsidRPr="000C0AAF">
        <w:rPr>
          <w:rFonts w:ascii="Palatino Linotype" w:hAnsi="Palatino Linotype"/>
          <w:bCs/>
          <w:i/>
        </w:rPr>
        <w:t>XII. Publicar y mantener actualizada la información relativa a las obligaciones generales de transparencia previstas en la presente Ley o determinadas así por el Instituto, y en general aquella que sea de interés público;</w:t>
      </w:r>
    </w:p>
    <w:p w14:paraId="6C16C0B8" w14:textId="77777777" w:rsidR="00B7593D" w:rsidRDefault="00B7593D" w:rsidP="00B7593D">
      <w:pPr>
        <w:spacing w:before="240" w:line="360" w:lineRule="auto"/>
        <w:ind w:left="851" w:right="851"/>
        <w:jc w:val="both"/>
        <w:rPr>
          <w:rFonts w:ascii="Palatino Linotype" w:hAnsi="Palatino Linotype"/>
          <w:bCs/>
          <w:i/>
        </w:rPr>
      </w:pPr>
      <w:r>
        <w:rPr>
          <w:rFonts w:ascii="Palatino Linotype" w:hAnsi="Palatino Linotype"/>
          <w:bCs/>
          <w:i/>
        </w:rPr>
        <w:t>(…)</w:t>
      </w:r>
    </w:p>
    <w:p w14:paraId="3FEC445C" w14:textId="77777777" w:rsidR="00B7593D" w:rsidRDefault="00B7593D" w:rsidP="00B7593D">
      <w:pPr>
        <w:spacing w:before="240" w:line="360" w:lineRule="auto"/>
        <w:ind w:left="851" w:right="851"/>
        <w:jc w:val="both"/>
        <w:rPr>
          <w:rFonts w:ascii="Palatino Linotype" w:hAnsi="Palatino Linotype"/>
          <w:bCs/>
          <w:sz w:val="24"/>
          <w:szCs w:val="24"/>
        </w:rPr>
      </w:pPr>
      <w:r w:rsidRPr="00E66BD3">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6075E74" w14:textId="77777777" w:rsidR="00B7593D" w:rsidRDefault="00B7593D" w:rsidP="00B7593D">
      <w:pPr>
        <w:pStyle w:val="Citas"/>
      </w:pPr>
      <w:r>
        <w:t>(…)</w:t>
      </w:r>
    </w:p>
    <w:p w14:paraId="43BF6A99" w14:textId="77777777" w:rsidR="00B7593D" w:rsidRPr="00E66BD3" w:rsidRDefault="00B7593D" w:rsidP="00B7593D">
      <w:pPr>
        <w:spacing w:before="240" w:line="360" w:lineRule="auto"/>
        <w:ind w:left="851" w:right="851"/>
        <w:jc w:val="both"/>
        <w:rPr>
          <w:rFonts w:ascii="Palatino Linotype" w:hAnsi="Palatino Linotype"/>
          <w:b/>
          <w:i/>
          <w:u w:val="single"/>
        </w:rPr>
      </w:pPr>
      <w:r w:rsidRPr="00E66BD3">
        <w:rPr>
          <w:rFonts w:ascii="Palatino Linotype" w:hAnsi="Palatino Linotype"/>
          <w:b/>
          <w:i/>
          <w:u w:val="single"/>
        </w:rPr>
        <w:t>XXIX.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21693CFC" w14:textId="77777777" w:rsidR="00B7593D" w:rsidRPr="00C85B50" w:rsidRDefault="00B7593D" w:rsidP="00B7593D">
      <w:pPr>
        <w:spacing w:before="240" w:line="360" w:lineRule="auto"/>
        <w:ind w:left="851" w:right="851"/>
        <w:jc w:val="both"/>
        <w:rPr>
          <w:rFonts w:ascii="Palatino Linotype" w:hAnsi="Palatino Linotype"/>
          <w:b/>
          <w:bCs/>
          <w:i/>
          <w:u w:val="single"/>
        </w:rPr>
      </w:pPr>
      <w:r w:rsidRPr="00C85B50">
        <w:rPr>
          <w:rFonts w:ascii="Palatino Linotype" w:hAnsi="Palatino Linotype"/>
          <w:b/>
          <w:bCs/>
          <w:i/>
          <w:u w:val="single"/>
        </w:rPr>
        <w:t xml:space="preserve">a) De licitaciones públicas o procedimientos de invitación restringida: </w:t>
      </w:r>
    </w:p>
    <w:p w14:paraId="5D555B5F"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1) La convocatoria o invitación emitida, así como los fundamentos legales aplicados para llevarla a cabo; </w:t>
      </w:r>
    </w:p>
    <w:p w14:paraId="2E9F44D2"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lastRenderedPageBreak/>
        <w:t xml:space="preserve">2) Los nombres de los participantes o invitados; </w:t>
      </w:r>
    </w:p>
    <w:p w14:paraId="2F20090D"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3) El nombre del ganador y las razones que lo justifican; </w:t>
      </w:r>
    </w:p>
    <w:p w14:paraId="7B080C9D"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4) El área solicitante y la responsable de su ejecución; </w:t>
      </w:r>
    </w:p>
    <w:p w14:paraId="7ED8DB84"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5) Las convocatorias e invitaciones emitidas; </w:t>
      </w:r>
    </w:p>
    <w:p w14:paraId="606A5A27"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6) Los dictámenes y fallo de adjudicación; </w:t>
      </w:r>
    </w:p>
    <w:p w14:paraId="6B11661A" w14:textId="77777777" w:rsidR="00B7593D" w:rsidRPr="00516A83" w:rsidRDefault="00B7593D" w:rsidP="00B7593D">
      <w:pPr>
        <w:spacing w:before="240" w:line="360" w:lineRule="auto"/>
        <w:ind w:left="851" w:right="851"/>
        <w:jc w:val="both"/>
        <w:rPr>
          <w:rFonts w:ascii="Palatino Linotype" w:hAnsi="Palatino Linotype"/>
          <w:b/>
          <w:bCs/>
          <w:i/>
          <w:u w:val="single"/>
        </w:rPr>
      </w:pPr>
      <w:r w:rsidRPr="00516A83">
        <w:rPr>
          <w:rFonts w:ascii="Palatino Linotype" w:hAnsi="Palatino Linotype"/>
          <w:b/>
          <w:bCs/>
          <w:i/>
          <w:u w:val="single"/>
        </w:rPr>
        <w:t xml:space="preserve">7) El contrato y, en su caso, sus anexos; </w:t>
      </w:r>
    </w:p>
    <w:p w14:paraId="1586EEC8"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8) Los mecanismos de vigilancia y supervisión, incluyendo en su caso, los estudios de impacto urbano y ambiental, según corresponda; </w:t>
      </w:r>
    </w:p>
    <w:p w14:paraId="74832188"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9) La partida presupuestal, de conformidad con el clasificador por objeto del gasto, en el caso de ser aplicable; </w:t>
      </w:r>
    </w:p>
    <w:p w14:paraId="65AA450E" w14:textId="77777777" w:rsidR="00B7593D" w:rsidRPr="00303BAD"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10) Origen de los recursos especificando si son federales, estatales o municipales, así </w:t>
      </w:r>
      <w:r w:rsidRPr="00303BAD">
        <w:rPr>
          <w:rFonts w:ascii="Palatino Linotype" w:hAnsi="Palatino Linotype"/>
          <w:i/>
        </w:rPr>
        <w:t xml:space="preserve">como el tipo de fondo de participación o aportación respectiva; </w:t>
      </w:r>
    </w:p>
    <w:p w14:paraId="50282498" w14:textId="77777777" w:rsidR="00B7593D" w:rsidRPr="00303BAD" w:rsidRDefault="00B7593D" w:rsidP="00B7593D">
      <w:pPr>
        <w:spacing w:before="240" w:line="360" w:lineRule="auto"/>
        <w:ind w:left="851" w:right="851"/>
        <w:jc w:val="both"/>
        <w:rPr>
          <w:rFonts w:ascii="Palatino Linotype" w:hAnsi="Palatino Linotype"/>
          <w:i/>
        </w:rPr>
      </w:pPr>
      <w:r w:rsidRPr="00303BAD">
        <w:rPr>
          <w:rFonts w:ascii="Palatino Linotype" w:hAnsi="Palatino Linotype"/>
          <w:i/>
        </w:rPr>
        <w:t>11) Los convenios modificatorios que, en su caso, sean firmados, precisando el objeto y la fecha de celebración;</w:t>
      </w:r>
    </w:p>
    <w:p w14:paraId="2F10B463"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 12) Los informes de avance físico y financiero sobre las obras o servicios contratados; 13) El convenio de terminación; y </w:t>
      </w:r>
    </w:p>
    <w:p w14:paraId="2EE4F349"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14) El finiquito. </w:t>
      </w:r>
    </w:p>
    <w:p w14:paraId="20560FA3" w14:textId="77777777" w:rsidR="00B7593D" w:rsidRPr="00303BAD" w:rsidRDefault="00B7593D" w:rsidP="00B7593D">
      <w:pPr>
        <w:spacing w:before="240" w:line="360" w:lineRule="auto"/>
        <w:ind w:left="851" w:right="851"/>
        <w:jc w:val="both"/>
        <w:rPr>
          <w:rFonts w:ascii="Palatino Linotype" w:hAnsi="Palatino Linotype"/>
          <w:b/>
          <w:i/>
          <w:u w:val="single"/>
        </w:rPr>
      </w:pPr>
      <w:r w:rsidRPr="00303BAD">
        <w:rPr>
          <w:rFonts w:ascii="Palatino Linotype" w:hAnsi="Palatino Linotype"/>
          <w:b/>
          <w:i/>
          <w:u w:val="single"/>
        </w:rPr>
        <w:t xml:space="preserve">b) De las adjudicaciones directas: </w:t>
      </w:r>
    </w:p>
    <w:p w14:paraId="20A2AB12"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1) La propuesta enviada por el participante; </w:t>
      </w:r>
    </w:p>
    <w:p w14:paraId="1B8996A0"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lastRenderedPageBreak/>
        <w:t xml:space="preserve">2) Los motivos y fundamentos legales aplicados para llevarla a cabo; </w:t>
      </w:r>
    </w:p>
    <w:p w14:paraId="08643DBD"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3) La autorización del ejercicio de la opción; </w:t>
      </w:r>
    </w:p>
    <w:p w14:paraId="08A12553" w14:textId="77777777" w:rsidR="00B7593D" w:rsidRPr="00303BAD" w:rsidRDefault="00B7593D" w:rsidP="00B7593D">
      <w:pPr>
        <w:spacing w:before="240" w:line="360" w:lineRule="auto"/>
        <w:ind w:left="851" w:right="851"/>
        <w:jc w:val="both"/>
        <w:rPr>
          <w:rFonts w:ascii="Palatino Linotype" w:hAnsi="Palatino Linotype"/>
          <w:i/>
        </w:rPr>
      </w:pPr>
      <w:r w:rsidRPr="00303BAD">
        <w:rPr>
          <w:rFonts w:ascii="Palatino Linotype" w:hAnsi="Palatino Linotype"/>
          <w:i/>
        </w:rPr>
        <w:t xml:space="preserve">4) En su caso, las cotizaciones consideradas, especificando los nombres de los proveedores y sus montos; </w:t>
      </w:r>
    </w:p>
    <w:p w14:paraId="29219455"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5) El nombre de la persona física o jurídica colectiva adjudicada; </w:t>
      </w:r>
    </w:p>
    <w:p w14:paraId="084436AE"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6) La unidad administrativa solicitante y la responsable de su ejecución; </w:t>
      </w:r>
    </w:p>
    <w:p w14:paraId="3BF274B9"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7) El número, fecha, el monto del contrato y el plazo de entrega o de ejecución de los servicios u obra; </w:t>
      </w:r>
    </w:p>
    <w:p w14:paraId="5F74A9EF"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8) Los mecanismos de vigilancia y supervisión, incluyendo, en su caso, los estudios de impacto urbano y ambiental, según corresponda; </w:t>
      </w:r>
    </w:p>
    <w:p w14:paraId="19A80FAA"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9) Los informes de avance sobre las obras o servicios contratados; </w:t>
      </w:r>
    </w:p>
    <w:p w14:paraId="5F6DBE6E" w14:textId="77777777" w:rsidR="00B7593D" w:rsidRPr="00E66BD3" w:rsidRDefault="00B7593D" w:rsidP="00B7593D">
      <w:pPr>
        <w:spacing w:before="240" w:line="360" w:lineRule="auto"/>
        <w:ind w:left="851" w:right="851"/>
        <w:jc w:val="both"/>
        <w:rPr>
          <w:rFonts w:ascii="Palatino Linotype" w:hAnsi="Palatino Linotype"/>
          <w:i/>
        </w:rPr>
      </w:pPr>
      <w:r w:rsidRPr="00E66BD3">
        <w:rPr>
          <w:rFonts w:ascii="Palatino Linotype" w:hAnsi="Palatino Linotype"/>
          <w:i/>
        </w:rPr>
        <w:t xml:space="preserve">10) El convenio de terminación; y </w:t>
      </w:r>
    </w:p>
    <w:p w14:paraId="102F5B5B" w14:textId="77777777" w:rsidR="00B7593D" w:rsidRDefault="00B7593D" w:rsidP="00B7593D">
      <w:pPr>
        <w:spacing w:before="240" w:line="360" w:lineRule="auto"/>
        <w:ind w:left="851" w:right="851"/>
        <w:jc w:val="both"/>
        <w:rPr>
          <w:rFonts w:ascii="Palatino Linotype" w:hAnsi="Palatino Linotype"/>
          <w:i/>
        </w:rPr>
      </w:pPr>
      <w:r>
        <w:rPr>
          <w:rFonts w:ascii="Palatino Linotype" w:hAnsi="Palatino Linotype"/>
          <w:i/>
        </w:rPr>
        <w:t>11) El finiquito.</w:t>
      </w:r>
    </w:p>
    <w:p w14:paraId="1279EBFF" w14:textId="13FD96A3" w:rsidR="00B7593D" w:rsidRDefault="00B7593D" w:rsidP="00B7593D">
      <w:pPr>
        <w:spacing w:before="240" w:line="360" w:lineRule="auto"/>
        <w:ind w:left="851" w:right="851"/>
        <w:jc w:val="both"/>
        <w:rPr>
          <w:rFonts w:ascii="Palatino Linotype" w:hAnsi="Palatino Linotype"/>
          <w:i/>
        </w:rPr>
      </w:pPr>
      <w:r w:rsidRPr="00B7593D">
        <w:rPr>
          <w:rFonts w:ascii="Palatino Linotype" w:hAnsi="Palatino Linotype"/>
          <w:i/>
        </w:rPr>
        <w:t>XXXVI. Padrón de proveedores y contratistas;</w:t>
      </w:r>
    </w:p>
    <w:p w14:paraId="4D6DC749" w14:textId="00D97054" w:rsidR="00B7593D" w:rsidRPr="00B7593D" w:rsidRDefault="00B7593D" w:rsidP="00B7593D">
      <w:pPr>
        <w:spacing w:before="240" w:line="360" w:lineRule="auto"/>
        <w:ind w:left="851" w:right="851"/>
        <w:jc w:val="both"/>
        <w:rPr>
          <w:rFonts w:ascii="Palatino Linotype" w:hAnsi="Palatino Linotype"/>
          <w:b/>
          <w:bCs/>
          <w:i/>
        </w:rPr>
      </w:pPr>
      <w:r>
        <w:rPr>
          <w:rFonts w:ascii="Palatino Linotype" w:hAnsi="Palatino Linotype"/>
          <w:i/>
        </w:rPr>
        <w:t xml:space="preserve">(…)” </w:t>
      </w:r>
      <w:r>
        <w:rPr>
          <w:rFonts w:ascii="Palatino Linotype" w:hAnsi="Palatino Linotype"/>
          <w:b/>
          <w:bCs/>
          <w:i/>
        </w:rPr>
        <w:t>(Sic)</w:t>
      </w:r>
    </w:p>
    <w:p w14:paraId="03D059ED" w14:textId="77777777" w:rsidR="00B7593D" w:rsidRDefault="00B7593D" w:rsidP="00B7593D">
      <w:pPr>
        <w:pStyle w:val="Citas"/>
        <w:ind w:left="0" w:right="0"/>
        <w:rPr>
          <w:i w:val="0"/>
          <w:iCs/>
          <w:sz w:val="24"/>
          <w:szCs w:val="24"/>
        </w:rPr>
      </w:pPr>
    </w:p>
    <w:p w14:paraId="6B167E7C" w14:textId="2809CF6E" w:rsidR="00B7593D" w:rsidRPr="00B8117F" w:rsidRDefault="00B7593D" w:rsidP="00B7593D">
      <w:pPr>
        <w:pStyle w:val="Citas"/>
        <w:ind w:left="0" w:right="0"/>
        <w:rPr>
          <w:i w:val="0"/>
          <w:iCs/>
          <w:sz w:val="24"/>
          <w:szCs w:val="24"/>
        </w:rPr>
      </w:pPr>
      <w:r w:rsidRPr="00B8117F">
        <w:rPr>
          <w:rFonts w:eastAsia="MS Mincho" w:cs="Tahoma"/>
          <w:i w:val="0"/>
          <w:iCs/>
          <w:sz w:val="24"/>
          <w:szCs w:val="24"/>
        </w:rPr>
        <w:t xml:space="preserve">Así </w:t>
      </w:r>
      <w:r w:rsidRPr="00B8117F">
        <w:rPr>
          <w:rFonts w:eastAsia="Arial Unicode MS"/>
          <w:i w:val="0"/>
          <w:iCs/>
          <w:sz w:val="24"/>
          <w:szCs w:val="24"/>
        </w:rPr>
        <w:t xml:space="preserve">el artículo 92 </w:t>
      </w:r>
      <w:r>
        <w:rPr>
          <w:rFonts w:eastAsia="Arial Unicode MS"/>
          <w:i w:val="0"/>
          <w:iCs/>
          <w:sz w:val="24"/>
          <w:szCs w:val="24"/>
        </w:rPr>
        <w:t>fracciones</w:t>
      </w:r>
      <w:r w:rsidRPr="00B8117F">
        <w:rPr>
          <w:rFonts w:eastAsia="Arial Unicode MS"/>
          <w:i w:val="0"/>
          <w:iCs/>
          <w:sz w:val="24"/>
          <w:szCs w:val="24"/>
        </w:rPr>
        <w:t xml:space="preserve"> </w:t>
      </w:r>
      <w:r w:rsidRPr="00B8117F">
        <w:rPr>
          <w:bCs/>
          <w:i w:val="0"/>
          <w:iCs/>
          <w:sz w:val="24"/>
          <w:szCs w:val="24"/>
        </w:rPr>
        <w:t>XXIX</w:t>
      </w:r>
      <w:r>
        <w:rPr>
          <w:bCs/>
          <w:i w:val="0"/>
          <w:iCs/>
          <w:sz w:val="24"/>
          <w:szCs w:val="24"/>
        </w:rPr>
        <w:t xml:space="preserve"> y XXXVI</w:t>
      </w:r>
      <w:r w:rsidRPr="00B8117F">
        <w:rPr>
          <w:bCs/>
          <w:i w:val="0"/>
          <w:iCs/>
          <w:sz w:val="24"/>
          <w:szCs w:val="24"/>
        </w:rPr>
        <w:t xml:space="preserve"> de la Ley de Transparencia y Acceso a la Información Pública del Estado de México y Municipios </w:t>
      </w:r>
      <w:r w:rsidRPr="00B8117F">
        <w:rPr>
          <w:rFonts w:eastAsia="Arial Unicode MS"/>
          <w:i w:val="0"/>
          <w:iCs/>
          <w:sz w:val="24"/>
          <w:szCs w:val="24"/>
        </w:rPr>
        <w:t xml:space="preserve">señala que la información </w:t>
      </w:r>
      <w:r w:rsidRPr="00B8117F">
        <w:rPr>
          <w:rFonts w:eastAsia="Arial Unicode MS"/>
          <w:i w:val="0"/>
          <w:iCs/>
          <w:sz w:val="24"/>
          <w:szCs w:val="24"/>
        </w:rPr>
        <w:lastRenderedPageBreak/>
        <w:t xml:space="preserve">requerida respecto de </w:t>
      </w:r>
      <w:r>
        <w:rPr>
          <w:rFonts w:eastAsia="Arial Unicode MS"/>
          <w:i w:val="0"/>
          <w:iCs/>
          <w:sz w:val="24"/>
          <w:szCs w:val="24"/>
        </w:rPr>
        <w:t>contratos derivados de</w:t>
      </w:r>
      <w:r w:rsidRPr="00B8117F">
        <w:rPr>
          <w:rFonts w:eastAsia="Arial Unicode MS"/>
          <w:i w:val="0"/>
          <w:iCs/>
          <w:sz w:val="24"/>
          <w:szCs w:val="24"/>
        </w:rPr>
        <w:t xml:space="preserve"> procedimientos de adjudicación directa, invitación restringida y licitación</w:t>
      </w:r>
      <w:r>
        <w:rPr>
          <w:rFonts w:eastAsia="Arial Unicode MS"/>
          <w:i w:val="0"/>
          <w:iCs/>
          <w:sz w:val="24"/>
          <w:szCs w:val="24"/>
        </w:rPr>
        <w:t xml:space="preserve">, así como la relativa al padrón de proveedores </w:t>
      </w:r>
      <w:r w:rsidRPr="00B8117F">
        <w:rPr>
          <w:rFonts w:eastAsia="Arial Unicode MS"/>
          <w:i w:val="0"/>
          <w:iCs/>
          <w:sz w:val="24"/>
          <w:szCs w:val="24"/>
        </w:rPr>
        <w:t xml:space="preserve">se </w:t>
      </w:r>
      <w:r w:rsidR="0061024E">
        <w:rPr>
          <w:rFonts w:eastAsia="Arial Unicode MS"/>
          <w:i w:val="0"/>
          <w:iCs/>
          <w:sz w:val="24"/>
          <w:szCs w:val="24"/>
        </w:rPr>
        <w:t xml:space="preserve">tratan de obligaciones de transparencia común. </w:t>
      </w:r>
    </w:p>
    <w:p w14:paraId="6C9F01A9" w14:textId="671D847B" w:rsidR="0061024E" w:rsidRDefault="00A6185A" w:rsidP="00A6185A">
      <w:pPr>
        <w:spacing w:after="240" w:line="360" w:lineRule="auto"/>
        <w:jc w:val="both"/>
        <w:rPr>
          <w:rFonts w:ascii="Palatino Linotype" w:hAnsi="Palatino Linotype" w:cs="Arial"/>
          <w:color w:val="000000"/>
          <w:sz w:val="24"/>
          <w:lang w:val="es-ES_tradnl"/>
        </w:rPr>
      </w:pPr>
      <w:r w:rsidRPr="00323B3E">
        <w:rPr>
          <w:rFonts w:ascii="Palatino Linotype" w:hAnsi="Palatino Linotype" w:cs="Arial"/>
          <w:color w:val="000000"/>
          <w:sz w:val="24"/>
          <w:lang w:val="es-ES_tradnl"/>
        </w:rPr>
        <w:t xml:space="preserve">Una vez sentado lo anterior, como se mencionó en el antecedente segundo, </w:t>
      </w:r>
      <w:r w:rsidRPr="00323B3E">
        <w:rPr>
          <w:rFonts w:ascii="Palatino Linotype" w:hAnsi="Palatino Linotype" w:cs="Arial"/>
          <w:b/>
          <w:color w:val="000000"/>
          <w:sz w:val="24"/>
          <w:lang w:val="es-ES_tradnl"/>
        </w:rPr>
        <w:t xml:space="preserve">El Sujeto Obligado </w:t>
      </w:r>
      <w:r w:rsidRPr="00323B3E">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sidR="00323B3E">
        <w:rPr>
          <w:rFonts w:ascii="Palatino Linotype" w:hAnsi="Palatino Linotype" w:cs="Arial"/>
          <w:b/>
          <w:bCs/>
          <w:color w:val="000000"/>
          <w:sz w:val="24"/>
          <w:lang w:val="es-ES_tradnl"/>
        </w:rPr>
        <w:t xml:space="preserve">veintiuno de febrero de dos mil veinticinco, </w:t>
      </w:r>
      <w:r w:rsidR="00323B3E">
        <w:rPr>
          <w:rFonts w:ascii="Palatino Linotype" w:hAnsi="Palatino Linotype" w:cs="Arial"/>
          <w:color w:val="000000"/>
          <w:sz w:val="24"/>
          <w:lang w:val="es-ES_tradnl"/>
        </w:rPr>
        <w:t>rindió su respuesta a la solicitud de información formulada por el particular, adjuntando para tal efecto lo siguiente:</w:t>
      </w:r>
    </w:p>
    <w:p w14:paraId="57BA67BF" w14:textId="7A33761E" w:rsidR="00323B3E" w:rsidRPr="00323B3E" w:rsidRDefault="00323B3E" w:rsidP="00323B3E">
      <w:pPr>
        <w:pStyle w:val="Prrafodelista"/>
        <w:numPr>
          <w:ilvl w:val="0"/>
          <w:numId w:val="23"/>
        </w:numPr>
        <w:spacing w:after="24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“SOL30.pdf”: </w:t>
      </w:r>
      <w:r>
        <w:rPr>
          <w:rFonts w:ascii="Palatino Linotype" w:hAnsi="Palatino Linotype" w:cs="Arial"/>
          <w:color w:val="000000"/>
          <w:lang w:val="es-ES_tradnl"/>
        </w:rPr>
        <w:t>Compila lo siguiente:</w:t>
      </w:r>
    </w:p>
    <w:p w14:paraId="039D8244" w14:textId="6A1FBDED" w:rsidR="00323B3E" w:rsidRPr="00323B3E" w:rsidRDefault="00323B3E" w:rsidP="00323B3E">
      <w:pPr>
        <w:pStyle w:val="Prrafodelista"/>
        <w:numPr>
          <w:ilvl w:val="0"/>
          <w:numId w:val="24"/>
        </w:numPr>
        <w:spacing w:after="240"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SJR/MM/AD/328/2025 </w:t>
      </w:r>
      <w:r>
        <w:rPr>
          <w:rFonts w:ascii="Palatino Linotype" w:hAnsi="Palatino Linotype" w:cs="Arial"/>
          <w:color w:val="000000"/>
          <w:lang w:val="es-ES_tradnl"/>
        </w:rPr>
        <w:t>signado por el director de administración, dirigido al encargado de despacho de la unidad de transparencia, de fecha veintiuno de febrero de dos mil veinticinco, expone las siguientes premisas argumentativas:</w:t>
      </w:r>
    </w:p>
    <w:p w14:paraId="68A1C889" w14:textId="548DEA2A" w:rsidR="00323B3E" w:rsidRPr="00F32329" w:rsidRDefault="00323B3E" w:rsidP="00323B3E">
      <w:pPr>
        <w:pStyle w:val="Prrafodelista"/>
        <w:numPr>
          <w:ilvl w:val="0"/>
          <w:numId w:val="25"/>
        </w:numPr>
        <w:spacing w:after="240" w:line="360" w:lineRule="auto"/>
        <w:jc w:val="both"/>
        <w:rPr>
          <w:rFonts w:ascii="Palatino Linotype" w:hAnsi="Palatino Linotype" w:cs="Arial"/>
          <w:b/>
          <w:bCs/>
          <w:color w:val="000000"/>
          <w:u w:val="single"/>
          <w:lang w:val="es-ES_tradnl"/>
        </w:rPr>
      </w:pPr>
      <w:r>
        <w:rPr>
          <w:rFonts w:ascii="Palatino Linotype" w:hAnsi="Palatino Linotype" w:cs="Arial"/>
          <w:color w:val="000000"/>
          <w:lang w:val="es-ES_tradnl"/>
        </w:rPr>
        <w:t xml:space="preserve">Que </w:t>
      </w:r>
      <w:r w:rsidR="0087789F">
        <w:rPr>
          <w:rFonts w:ascii="Palatino Linotype" w:hAnsi="Palatino Linotype" w:cs="Arial"/>
          <w:color w:val="000000"/>
          <w:lang w:val="es-ES_tradnl"/>
        </w:rPr>
        <w:t xml:space="preserve">a la fecha de respuesta no ha aprobado ni concluido el programa anual de adquisiciones de bienes y servicios 2025, señalando que será finalizado a más tardar el 25 de febrero del presente, en términos de los Lineamientos para la integración, envío y recepción electrónica del paquete presupuestal municipal publicados el 22 de enero de 2025 en el periódico oficial “Gaceta del Gobierno”. </w:t>
      </w:r>
      <w:r w:rsidR="00F32329" w:rsidRPr="00F32329">
        <w:rPr>
          <w:rFonts w:ascii="Palatino Linotype" w:hAnsi="Palatino Linotype" w:cs="Arial"/>
          <w:b/>
          <w:bCs/>
          <w:color w:val="000000"/>
          <w:u w:val="single"/>
          <w:lang w:val="es-ES_tradnl"/>
        </w:rPr>
        <w:t>Es decir, el plazo se encuentra transcurriendo a la fecha de respuesta</w:t>
      </w:r>
    </w:p>
    <w:p w14:paraId="5FC22531" w14:textId="4F1DC657" w:rsidR="0087789F" w:rsidRPr="0087789F" w:rsidRDefault="0087789F" w:rsidP="00323B3E">
      <w:pPr>
        <w:pStyle w:val="Prrafodelista"/>
        <w:numPr>
          <w:ilvl w:val="0"/>
          <w:numId w:val="25"/>
        </w:numPr>
        <w:spacing w:after="240"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Que adjuntar padrón de proveedores para el ejercicio 2025</w:t>
      </w:r>
    </w:p>
    <w:p w14:paraId="1FDCA78B" w14:textId="6AE21DFE" w:rsidR="0087789F" w:rsidRPr="0087789F" w:rsidRDefault="0087789F" w:rsidP="00323B3E">
      <w:pPr>
        <w:pStyle w:val="Prrafodelista"/>
        <w:numPr>
          <w:ilvl w:val="0"/>
          <w:numId w:val="25"/>
        </w:numPr>
        <w:spacing w:after="240"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lastRenderedPageBreak/>
        <w:t xml:space="preserve">Que anexa acta de instalación del comité de adquisiciones de bienes y servicios para el año 2025. </w:t>
      </w:r>
    </w:p>
    <w:p w14:paraId="7EC77948" w14:textId="77777777" w:rsidR="0087789F" w:rsidRPr="00323B3E" w:rsidRDefault="0087789F" w:rsidP="0087789F">
      <w:pPr>
        <w:pStyle w:val="Prrafodelista"/>
        <w:spacing w:after="240" w:line="360" w:lineRule="auto"/>
        <w:ind w:left="1440"/>
        <w:jc w:val="both"/>
        <w:rPr>
          <w:rFonts w:ascii="Palatino Linotype" w:hAnsi="Palatino Linotype" w:cs="Arial"/>
          <w:b/>
          <w:bCs/>
          <w:color w:val="000000"/>
          <w:lang w:val="es-ES_tradnl"/>
        </w:rPr>
      </w:pPr>
    </w:p>
    <w:p w14:paraId="1F23E198" w14:textId="2E62B4D8" w:rsidR="00323B3E" w:rsidRPr="0087789F" w:rsidRDefault="0087789F" w:rsidP="00323B3E">
      <w:pPr>
        <w:pStyle w:val="Prrafodelista"/>
        <w:numPr>
          <w:ilvl w:val="0"/>
          <w:numId w:val="24"/>
        </w:numPr>
        <w:spacing w:after="240"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Acta de instalación y primera sesión del Comité de adquisiciones y servicios del municipio de San José de Rincón, de fecha tres de enero de dos mil veinticinco, consistente en 10 -diez- fojas. </w:t>
      </w:r>
    </w:p>
    <w:p w14:paraId="32D13D3E" w14:textId="77777777" w:rsidR="0087789F" w:rsidRPr="0087789F" w:rsidRDefault="0087789F" w:rsidP="0087789F">
      <w:pPr>
        <w:pStyle w:val="Prrafodelista"/>
        <w:spacing w:after="240" w:line="360" w:lineRule="auto"/>
        <w:ind w:left="1080"/>
        <w:jc w:val="both"/>
        <w:rPr>
          <w:rFonts w:ascii="Palatino Linotype" w:hAnsi="Palatino Linotype" w:cs="Arial"/>
          <w:b/>
          <w:bCs/>
          <w:color w:val="000000"/>
          <w:lang w:val="es-ES_tradnl"/>
        </w:rPr>
      </w:pPr>
    </w:p>
    <w:p w14:paraId="459E46DD" w14:textId="3D91CDAF" w:rsidR="0087789F" w:rsidRPr="008164DB" w:rsidRDefault="0087789F" w:rsidP="00323B3E">
      <w:pPr>
        <w:pStyle w:val="Prrafodelista"/>
        <w:numPr>
          <w:ilvl w:val="0"/>
          <w:numId w:val="24"/>
        </w:numPr>
        <w:spacing w:after="240"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Padrón de proveedores del 07 de enero al 20 de febrero de 2025. </w:t>
      </w:r>
    </w:p>
    <w:p w14:paraId="0E1EC359" w14:textId="77777777" w:rsidR="008164DB" w:rsidRPr="008164DB" w:rsidRDefault="008164DB" w:rsidP="008164DB">
      <w:pPr>
        <w:pStyle w:val="Prrafodelista"/>
        <w:rPr>
          <w:rFonts w:ascii="Palatino Linotype" w:hAnsi="Palatino Linotype" w:cs="Arial"/>
          <w:b/>
          <w:bCs/>
          <w:color w:val="000000"/>
          <w:lang w:val="es-ES_tradnl"/>
        </w:rPr>
      </w:pPr>
    </w:p>
    <w:p w14:paraId="15E85C04" w14:textId="3DDE630E" w:rsidR="008164DB" w:rsidRPr="009C3A7D" w:rsidRDefault="008164DB" w:rsidP="008164DB">
      <w:pPr>
        <w:spacing w:after="240" w:line="360" w:lineRule="auto"/>
        <w:jc w:val="both"/>
        <w:rPr>
          <w:rFonts w:ascii="Palatino Linotype" w:hAnsi="Palatino Linotype" w:cs="Arial"/>
          <w:color w:val="000000"/>
          <w:sz w:val="24"/>
          <w:szCs w:val="24"/>
          <w:lang w:val="es-ES_tradnl"/>
        </w:rPr>
      </w:pPr>
      <w:r w:rsidRPr="009C3A7D">
        <w:rPr>
          <w:rFonts w:ascii="Palatino Linotype" w:hAnsi="Palatino Linotype" w:cs="Arial"/>
          <w:color w:val="000000"/>
          <w:sz w:val="24"/>
          <w:szCs w:val="24"/>
          <w:lang w:val="es-ES_tradnl"/>
        </w:rPr>
        <w:t>De ahí que deba arribarse a las siguientes inferencias:</w:t>
      </w:r>
    </w:p>
    <w:tbl>
      <w:tblPr>
        <w:tblStyle w:val="Tablaconcuadrcula"/>
        <w:tblW w:w="0" w:type="auto"/>
        <w:tblLook w:val="04A0" w:firstRow="1" w:lastRow="0" w:firstColumn="1" w:lastColumn="0" w:noHBand="0" w:noVBand="1"/>
      </w:tblPr>
      <w:tblGrid>
        <w:gridCol w:w="3681"/>
        <w:gridCol w:w="3544"/>
        <w:gridCol w:w="1827"/>
      </w:tblGrid>
      <w:tr w:rsidR="008164DB" w:rsidRPr="00DB4A5A" w14:paraId="404C518F" w14:textId="77777777" w:rsidTr="00900E0D">
        <w:trPr>
          <w:trHeight w:val="907"/>
        </w:trPr>
        <w:tc>
          <w:tcPr>
            <w:tcW w:w="3681" w:type="dxa"/>
            <w:tcBorders>
              <w:right w:val="single" w:sz="12" w:space="0" w:color="FFFFFF" w:themeColor="background1"/>
            </w:tcBorders>
            <w:shd w:val="clear" w:color="auto" w:fill="000000" w:themeFill="text1"/>
            <w:vAlign w:val="bottom"/>
          </w:tcPr>
          <w:p w14:paraId="6C3C33F0" w14:textId="77777777" w:rsidR="008164DB" w:rsidRPr="0087789F" w:rsidRDefault="008164DB" w:rsidP="00900E0D">
            <w:pPr>
              <w:jc w:val="center"/>
              <w:rPr>
                <w:rFonts w:ascii="Palatino Linotype" w:hAnsi="Palatino Linotype" w:cs="Arial"/>
                <w:b/>
                <w:bCs/>
                <w:noProof/>
                <w:color w:val="FFFFFF" w:themeColor="background1"/>
                <w:lang w:val="es-ES" w:eastAsia="es-MX"/>
              </w:rPr>
            </w:pPr>
          </w:p>
          <w:p w14:paraId="5CA16836" w14:textId="77777777" w:rsidR="008164DB" w:rsidRPr="0087789F" w:rsidRDefault="008164DB" w:rsidP="00900E0D">
            <w:pPr>
              <w:jc w:val="center"/>
              <w:rPr>
                <w:rFonts w:ascii="Palatino Linotype" w:hAnsi="Palatino Linotype" w:cs="Arial"/>
                <w:b/>
                <w:bCs/>
                <w:noProof/>
                <w:color w:val="FFFFFF" w:themeColor="background1"/>
                <w:lang w:val="es-ES" w:eastAsia="es-MX"/>
              </w:rPr>
            </w:pPr>
            <w:r w:rsidRPr="0087789F">
              <w:rPr>
                <w:rFonts w:ascii="Palatino Linotype" w:hAnsi="Palatino Linotype" w:cs="Arial"/>
                <w:b/>
                <w:bCs/>
                <w:noProof/>
                <w:color w:val="FFFFFF" w:themeColor="background1"/>
                <w:lang w:val="es-ES" w:eastAsia="es-MX"/>
              </w:rPr>
              <w:t>SOLICITUD DE INFORMACIÓN 00030/JOSERIN/IP/2025</w:t>
            </w:r>
          </w:p>
          <w:p w14:paraId="3727D149" w14:textId="77777777" w:rsidR="008164DB" w:rsidRPr="0087789F" w:rsidRDefault="008164DB" w:rsidP="00900E0D">
            <w:pPr>
              <w:jc w:val="center"/>
              <w:rPr>
                <w:rFonts w:ascii="Palatino Linotype" w:hAnsi="Palatino Linotype" w:cs="Arial"/>
                <w:b/>
                <w:bCs/>
                <w:noProof/>
                <w:color w:val="FFFFFF" w:themeColor="background1"/>
                <w:lang w:val="es-ES" w:eastAsia="es-MX"/>
              </w:rPr>
            </w:pPr>
          </w:p>
          <w:p w14:paraId="0D94A60E" w14:textId="77777777" w:rsidR="008164DB" w:rsidRPr="0087789F" w:rsidRDefault="008164DB" w:rsidP="00900E0D">
            <w:pPr>
              <w:spacing w:before="240" w:line="360" w:lineRule="auto"/>
              <w:jc w:val="center"/>
              <w:rPr>
                <w:rFonts w:ascii="Palatino Linotype" w:hAnsi="Palatino Linotype" w:cs="Arial"/>
                <w:b/>
                <w:bCs/>
                <w:noProof/>
                <w:color w:val="FFFFFF" w:themeColor="background1"/>
                <w:lang w:eastAsia="es-MX"/>
              </w:rPr>
            </w:pPr>
          </w:p>
        </w:tc>
        <w:tc>
          <w:tcPr>
            <w:tcW w:w="3544" w:type="dxa"/>
            <w:tcBorders>
              <w:left w:val="single" w:sz="12" w:space="0" w:color="FFFFFF" w:themeColor="background1"/>
              <w:right w:val="single" w:sz="12" w:space="0" w:color="FFFFFF" w:themeColor="background1"/>
            </w:tcBorders>
            <w:shd w:val="clear" w:color="auto" w:fill="000000" w:themeFill="text1"/>
            <w:vAlign w:val="center"/>
          </w:tcPr>
          <w:p w14:paraId="1AB313F8" w14:textId="77777777" w:rsidR="008164DB" w:rsidRPr="0087789F" w:rsidRDefault="008164DB" w:rsidP="00900E0D">
            <w:pPr>
              <w:jc w:val="center"/>
              <w:rPr>
                <w:rFonts w:ascii="Palatino Linotype" w:hAnsi="Palatino Linotype" w:cs="Arial"/>
                <w:b/>
                <w:bCs/>
                <w:noProof/>
                <w:color w:val="FFFFFF" w:themeColor="background1"/>
                <w:lang w:val="es-ES" w:eastAsia="es-MX"/>
              </w:rPr>
            </w:pPr>
            <w:r w:rsidRPr="0087789F">
              <w:rPr>
                <w:rFonts w:ascii="Palatino Linotype" w:hAnsi="Palatino Linotype" w:cs="Arial"/>
                <w:b/>
                <w:bCs/>
                <w:noProof/>
                <w:color w:val="FFFFFF" w:themeColor="background1"/>
                <w:lang w:val="es-ES" w:eastAsia="es-MX"/>
              </w:rPr>
              <w:t>RESPUESTA</w:t>
            </w:r>
          </w:p>
        </w:tc>
        <w:tc>
          <w:tcPr>
            <w:tcW w:w="1827" w:type="dxa"/>
            <w:tcBorders>
              <w:left w:val="single" w:sz="12" w:space="0" w:color="FFFFFF" w:themeColor="background1"/>
              <w:right w:val="single" w:sz="12" w:space="0" w:color="FFFFFF" w:themeColor="background1"/>
            </w:tcBorders>
            <w:shd w:val="clear" w:color="auto" w:fill="000000" w:themeFill="text1"/>
            <w:vAlign w:val="center"/>
          </w:tcPr>
          <w:p w14:paraId="6311E35D" w14:textId="77777777" w:rsidR="008164DB" w:rsidRPr="0087789F" w:rsidRDefault="008164DB" w:rsidP="00900E0D">
            <w:pPr>
              <w:jc w:val="center"/>
              <w:rPr>
                <w:rFonts w:ascii="Palatino Linotype" w:hAnsi="Palatino Linotype" w:cs="Arial"/>
                <w:b/>
                <w:bCs/>
                <w:noProof/>
                <w:color w:val="FFFFFF" w:themeColor="background1"/>
                <w:lang w:val="es-ES" w:eastAsia="es-MX"/>
              </w:rPr>
            </w:pPr>
            <w:r w:rsidRPr="0087789F">
              <w:rPr>
                <w:rFonts w:ascii="Palatino Linotype" w:hAnsi="Palatino Linotype" w:cs="Arial"/>
                <w:b/>
                <w:bCs/>
                <w:noProof/>
                <w:color w:val="FFFFFF" w:themeColor="background1"/>
                <w:lang w:val="es-ES" w:eastAsia="es-MX"/>
              </w:rPr>
              <w:t>COLMA</w:t>
            </w:r>
          </w:p>
        </w:tc>
      </w:tr>
      <w:tr w:rsidR="008164DB" w:rsidRPr="003B4509" w14:paraId="5A7059FC" w14:textId="77777777" w:rsidTr="00900E0D">
        <w:trPr>
          <w:trHeight w:val="453"/>
        </w:trPr>
        <w:tc>
          <w:tcPr>
            <w:tcW w:w="3681" w:type="dxa"/>
          </w:tcPr>
          <w:p w14:paraId="4AE1AE92" w14:textId="77777777" w:rsidR="008164DB" w:rsidRPr="009C3A7D" w:rsidRDefault="008164DB" w:rsidP="009C3A7D">
            <w:pPr>
              <w:pStyle w:val="Prrafodelista"/>
              <w:numPr>
                <w:ilvl w:val="0"/>
                <w:numId w:val="27"/>
              </w:numPr>
              <w:autoSpaceDE w:val="0"/>
              <w:autoSpaceDN w:val="0"/>
              <w:adjustRightInd w:val="0"/>
              <w:spacing w:line="360" w:lineRule="auto"/>
              <w:jc w:val="both"/>
              <w:rPr>
                <w:rFonts w:ascii="Palatino Linotype" w:hAnsi="Palatino Linotype" w:cs="Arial"/>
                <w:sz w:val="22"/>
                <w:szCs w:val="22"/>
              </w:rPr>
            </w:pPr>
            <w:r w:rsidRPr="009C3A7D">
              <w:rPr>
                <w:rFonts w:ascii="Palatino Linotype" w:hAnsi="Palatino Linotype" w:cs="Arial"/>
                <w:sz w:val="22"/>
                <w:szCs w:val="22"/>
              </w:rPr>
              <w:t>Programa anual de adquisiciones correspondiente al año 2025.</w:t>
            </w:r>
          </w:p>
          <w:p w14:paraId="4EF2E5CA" w14:textId="77777777" w:rsidR="008164DB" w:rsidRPr="009C3A7D" w:rsidRDefault="008164DB" w:rsidP="00900E0D">
            <w:pPr>
              <w:jc w:val="both"/>
              <w:rPr>
                <w:rFonts w:ascii="Palatino Linotype" w:hAnsi="Palatino Linotype" w:cs="Arial"/>
                <w:noProof/>
                <w:color w:val="000000"/>
                <w:lang w:val="es-ES" w:eastAsia="es-MX"/>
              </w:rPr>
            </w:pPr>
          </w:p>
        </w:tc>
        <w:tc>
          <w:tcPr>
            <w:tcW w:w="3544" w:type="dxa"/>
            <w:vAlign w:val="center"/>
          </w:tcPr>
          <w:p w14:paraId="41C50713" w14:textId="77777777" w:rsidR="008164DB" w:rsidRDefault="008164DB" w:rsidP="00900E0D">
            <w:pPr>
              <w:jc w:val="both"/>
              <w:rPr>
                <w:rFonts w:ascii="Palatino Linotype" w:hAnsi="Palatino Linotype" w:cs="Arial"/>
                <w:noProof/>
                <w:color w:val="000000"/>
                <w:lang w:val="es-ES" w:eastAsia="es-MX"/>
              </w:rPr>
            </w:pPr>
            <w:r w:rsidRPr="008164DB">
              <w:rPr>
                <w:rFonts w:ascii="Palatino Linotype" w:hAnsi="Palatino Linotype" w:cs="Arial"/>
                <w:noProof/>
                <w:color w:val="000000"/>
                <w:lang w:val="es-ES" w:eastAsia="es-MX"/>
              </w:rPr>
              <w:t>En proceso de aprobación y conclusión</w:t>
            </w:r>
            <w:r w:rsidR="00AB388D">
              <w:rPr>
                <w:rFonts w:ascii="Palatino Linotype" w:hAnsi="Palatino Linotype" w:cs="Arial"/>
                <w:noProof/>
                <w:color w:val="000000"/>
                <w:lang w:val="es-ES" w:eastAsia="es-MX"/>
              </w:rPr>
              <w:t xml:space="preserve">, se prevé su finalización el 25 de febrero de 2025 </w:t>
            </w:r>
          </w:p>
          <w:p w14:paraId="57664C8D" w14:textId="71E6CEE2" w:rsidR="00AB388D" w:rsidRPr="008164DB" w:rsidRDefault="00AB388D" w:rsidP="00900E0D">
            <w:pPr>
              <w:jc w:val="both"/>
              <w:rPr>
                <w:rFonts w:ascii="Palatino Linotype" w:hAnsi="Palatino Linotype" w:cs="Arial"/>
                <w:noProof/>
                <w:color w:val="000000"/>
                <w:lang w:val="es-ES" w:eastAsia="es-MX"/>
              </w:rPr>
            </w:pPr>
          </w:p>
        </w:tc>
        <w:tc>
          <w:tcPr>
            <w:tcW w:w="1827" w:type="dxa"/>
            <w:vAlign w:val="center"/>
          </w:tcPr>
          <w:p w14:paraId="0A9392B8" w14:textId="77777777" w:rsidR="008164DB" w:rsidRPr="008164DB" w:rsidRDefault="008164DB" w:rsidP="00900E0D">
            <w:pPr>
              <w:jc w:val="center"/>
              <w:rPr>
                <w:rFonts w:ascii="Palatino Linotype" w:hAnsi="Palatino Linotype" w:cs="Arial"/>
                <w:noProof/>
                <w:color w:val="000000"/>
                <w:lang w:val="es-ES" w:eastAsia="es-MX"/>
              </w:rPr>
            </w:pPr>
            <w:r w:rsidRPr="008164DB">
              <w:rPr>
                <w:rFonts w:ascii="Palatino Linotype" w:hAnsi="Palatino Linotype" w:cs="Arial"/>
                <w:noProof/>
                <w:color w:val="000000"/>
                <w:lang w:val="es-ES" w:eastAsia="es-MX"/>
              </w:rPr>
              <w:t>Sí, actos consentidos</w:t>
            </w:r>
          </w:p>
        </w:tc>
      </w:tr>
      <w:tr w:rsidR="008164DB" w:rsidRPr="003B4509" w14:paraId="77963FD9" w14:textId="77777777" w:rsidTr="00900E0D">
        <w:trPr>
          <w:trHeight w:val="541"/>
        </w:trPr>
        <w:tc>
          <w:tcPr>
            <w:tcW w:w="3681" w:type="dxa"/>
            <w:vAlign w:val="center"/>
          </w:tcPr>
          <w:p w14:paraId="5BF98327" w14:textId="57222D57" w:rsidR="008164DB" w:rsidRPr="009C3A7D" w:rsidRDefault="008164DB" w:rsidP="009C3A7D">
            <w:pPr>
              <w:pStyle w:val="Prrafodelista"/>
              <w:numPr>
                <w:ilvl w:val="0"/>
                <w:numId w:val="27"/>
              </w:numPr>
              <w:autoSpaceDE w:val="0"/>
              <w:autoSpaceDN w:val="0"/>
              <w:adjustRightInd w:val="0"/>
              <w:spacing w:line="360" w:lineRule="auto"/>
              <w:jc w:val="both"/>
              <w:rPr>
                <w:i/>
                <w:iCs/>
                <w:noProof/>
                <w:color w:val="000000"/>
                <w:sz w:val="22"/>
                <w:szCs w:val="22"/>
                <w:lang w:eastAsia="es-MX"/>
              </w:rPr>
            </w:pPr>
            <w:r w:rsidRPr="009C3A7D">
              <w:rPr>
                <w:rFonts w:ascii="Palatino Linotype" w:hAnsi="Palatino Linotype" w:cs="Arial"/>
                <w:sz w:val="22"/>
                <w:szCs w:val="22"/>
              </w:rPr>
              <w:t xml:space="preserve">Padrón de proveedores autorizados al treinta de enero de dos mil veinticinco. </w:t>
            </w:r>
          </w:p>
        </w:tc>
        <w:tc>
          <w:tcPr>
            <w:tcW w:w="3544" w:type="dxa"/>
            <w:vAlign w:val="center"/>
          </w:tcPr>
          <w:p w14:paraId="0E29475D" w14:textId="77777777" w:rsidR="008164DB" w:rsidRPr="008164DB" w:rsidRDefault="008164DB" w:rsidP="00AB388D">
            <w:pPr>
              <w:jc w:val="both"/>
              <w:rPr>
                <w:rFonts w:ascii="Palatino Linotype" w:hAnsi="Palatino Linotype" w:cs="Arial"/>
                <w:noProof/>
                <w:color w:val="000000"/>
                <w:lang w:val="es-ES" w:eastAsia="es-MX"/>
              </w:rPr>
            </w:pPr>
            <w:r w:rsidRPr="008164DB">
              <w:rPr>
                <w:rFonts w:ascii="Palatino Linotype" w:hAnsi="Palatino Linotype" w:cs="Arial"/>
                <w:noProof/>
                <w:color w:val="000000"/>
                <w:lang w:val="es-ES" w:eastAsia="es-MX"/>
              </w:rPr>
              <w:t xml:space="preserve">Se remite padrón de proveedores con 14 -catorce- registros- </w:t>
            </w:r>
          </w:p>
        </w:tc>
        <w:tc>
          <w:tcPr>
            <w:tcW w:w="1827" w:type="dxa"/>
            <w:vAlign w:val="center"/>
          </w:tcPr>
          <w:p w14:paraId="726D139A" w14:textId="77777777" w:rsidR="008164DB" w:rsidRDefault="008164DB" w:rsidP="00900E0D">
            <w:pPr>
              <w:jc w:val="center"/>
              <w:rPr>
                <w:rFonts w:ascii="Palatino Linotype" w:hAnsi="Palatino Linotype" w:cs="Arial"/>
                <w:noProof/>
                <w:color w:val="000000"/>
                <w:lang w:val="es-ES" w:eastAsia="es-MX"/>
              </w:rPr>
            </w:pPr>
            <w:r w:rsidRPr="008164DB">
              <w:rPr>
                <w:rFonts w:ascii="Palatino Linotype" w:hAnsi="Palatino Linotype" w:cs="Arial"/>
                <w:noProof/>
                <w:color w:val="000000"/>
                <w:lang w:val="es-ES" w:eastAsia="es-MX"/>
              </w:rPr>
              <w:t>Sí</w:t>
            </w:r>
          </w:p>
          <w:p w14:paraId="5DB6D3CA" w14:textId="77777777" w:rsidR="00AB388D" w:rsidRDefault="00AB388D" w:rsidP="00900E0D">
            <w:pPr>
              <w:jc w:val="center"/>
              <w:rPr>
                <w:rFonts w:ascii="Palatino Linotype" w:hAnsi="Palatino Linotype" w:cs="Arial"/>
                <w:noProof/>
                <w:color w:val="000000"/>
                <w:lang w:val="es-ES" w:eastAsia="es-MX"/>
              </w:rPr>
            </w:pPr>
          </w:p>
          <w:p w14:paraId="60A3663E" w14:textId="339786FB" w:rsidR="00AB388D" w:rsidRPr="008164DB" w:rsidRDefault="00AB388D" w:rsidP="009C3A7D">
            <w:pPr>
              <w:jc w:val="both"/>
              <w:rPr>
                <w:rFonts w:ascii="Palatino Linotype" w:hAnsi="Palatino Linotype" w:cs="Arial"/>
                <w:noProof/>
                <w:color w:val="000000"/>
                <w:lang w:val="es-ES" w:eastAsia="es-MX"/>
              </w:rPr>
            </w:pPr>
            <w:r>
              <w:rPr>
                <w:rFonts w:ascii="Palatino Linotype" w:hAnsi="Palatino Linotype" w:cs="Arial"/>
                <w:noProof/>
                <w:color w:val="000000"/>
                <w:lang w:val="es-ES" w:eastAsia="es-MX"/>
              </w:rPr>
              <w:t xml:space="preserve">Entrega de la información y actos consentidos </w:t>
            </w:r>
          </w:p>
        </w:tc>
      </w:tr>
      <w:tr w:rsidR="008164DB" w:rsidRPr="003B4509" w14:paraId="271A8CAB" w14:textId="77777777" w:rsidTr="00900E0D">
        <w:trPr>
          <w:trHeight w:val="541"/>
        </w:trPr>
        <w:tc>
          <w:tcPr>
            <w:tcW w:w="3681" w:type="dxa"/>
          </w:tcPr>
          <w:p w14:paraId="5A1C542D" w14:textId="77777777" w:rsidR="008164DB" w:rsidRPr="009C3A7D" w:rsidRDefault="008164DB" w:rsidP="009C3A7D">
            <w:pPr>
              <w:pStyle w:val="Prrafodelista"/>
              <w:numPr>
                <w:ilvl w:val="0"/>
                <w:numId w:val="27"/>
              </w:numPr>
              <w:autoSpaceDE w:val="0"/>
              <w:autoSpaceDN w:val="0"/>
              <w:adjustRightInd w:val="0"/>
              <w:spacing w:line="360" w:lineRule="auto"/>
              <w:jc w:val="both"/>
              <w:rPr>
                <w:rFonts w:ascii="Palatino Linotype" w:hAnsi="Palatino Linotype" w:cs="Arial"/>
                <w:sz w:val="22"/>
                <w:szCs w:val="22"/>
              </w:rPr>
            </w:pPr>
            <w:r w:rsidRPr="009C3A7D">
              <w:rPr>
                <w:rFonts w:ascii="Palatino Linotype" w:hAnsi="Palatino Linotype" w:cs="Arial"/>
                <w:sz w:val="22"/>
                <w:szCs w:val="22"/>
              </w:rPr>
              <w:lastRenderedPageBreak/>
              <w:t xml:space="preserve">El o los documentos donde consten las adquisiciones de bienes y servicios, del periodo comprendido del uno al treinta de enero de dos mil veinticinco. </w:t>
            </w:r>
          </w:p>
          <w:p w14:paraId="0BD6355E" w14:textId="77777777" w:rsidR="008164DB" w:rsidRPr="009C3A7D" w:rsidRDefault="008164DB" w:rsidP="00900E0D">
            <w:pPr>
              <w:pStyle w:val="Citas"/>
              <w:spacing w:line="240" w:lineRule="auto"/>
              <w:ind w:left="0" w:right="-12"/>
              <w:rPr>
                <w:i w:val="0"/>
                <w:iCs/>
                <w:noProof/>
                <w:color w:val="000000"/>
                <w:lang w:eastAsia="es-MX"/>
              </w:rPr>
            </w:pPr>
          </w:p>
        </w:tc>
        <w:tc>
          <w:tcPr>
            <w:tcW w:w="3544" w:type="dxa"/>
            <w:vAlign w:val="center"/>
          </w:tcPr>
          <w:p w14:paraId="20676FAB" w14:textId="77777777" w:rsidR="008164DB" w:rsidRDefault="008164DB" w:rsidP="00AB388D">
            <w:pPr>
              <w:jc w:val="both"/>
              <w:rPr>
                <w:rFonts w:ascii="Palatino Linotype" w:hAnsi="Palatino Linotype" w:cs="Arial"/>
                <w:noProof/>
                <w:color w:val="000000"/>
                <w:lang w:eastAsia="es-MX"/>
              </w:rPr>
            </w:pPr>
            <w:r w:rsidRPr="008164DB">
              <w:rPr>
                <w:rFonts w:ascii="Palatino Linotype" w:hAnsi="Palatino Linotype" w:cs="Arial"/>
                <w:noProof/>
                <w:color w:val="000000"/>
                <w:lang w:eastAsia="es-MX"/>
              </w:rPr>
              <w:t xml:space="preserve">En el acta relativa a la instalación y primera sesión del comité de adquisiciones y servicios, se advierten </w:t>
            </w:r>
            <w:r w:rsidRPr="008164DB">
              <w:rPr>
                <w:rFonts w:ascii="Palatino Linotype" w:hAnsi="Palatino Linotype" w:cs="Arial"/>
                <w:b/>
                <w:bCs/>
                <w:noProof/>
                <w:color w:val="000000"/>
                <w:lang w:eastAsia="es-MX"/>
              </w:rPr>
              <w:t>3 PROCEDIMIENTOS</w:t>
            </w:r>
            <w:r w:rsidRPr="008164DB">
              <w:rPr>
                <w:rFonts w:ascii="Palatino Linotype" w:hAnsi="Palatino Linotype" w:cs="Arial"/>
                <w:noProof/>
                <w:color w:val="000000"/>
                <w:lang w:eastAsia="es-MX"/>
              </w:rPr>
              <w:t xml:space="preserve"> de adjudicación directa, relacionados con la adquisición de avena y bultos de aliemnto para caballos; disposición final de residuos no peligrosos; adquisición de gasolina y diesel. </w:t>
            </w:r>
          </w:p>
          <w:p w14:paraId="33CA03A8" w14:textId="77777777" w:rsidR="00AB388D" w:rsidRPr="008164DB" w:rsidRDefault="00AB388D" w:rsidP="00AB388D">
            <w:pPr>
              <w:jc w:val="both"/>
              <w:rPr>
                <w:rFonts w:ascii="Palatino Linotype" w:hAnsi="Palatino Linotype" w:cs="Arial"/>
                <w:noProof/>
                <w:color w:val="000000"/>
                <w:lang w:eastAsia="es-MX"/>
              </w:rPr>
            </w:pPr>
          </w:p>
        </w:tc>
        <w:tc>
          <w:tcPr>
            <w:tcW w:w="1827" w:type="dxa"/>
            <w:vAlign w:val="center"/>
          </w:tcPr>
          <w:p w14:paraId="0D6D5C4F" w14:textId="77777777" w:rsidR="008164DB" w:rsidRDefault="008164DB" w:rsidP="00900E0D">
            <w:pPr>
              <w:jc w:val="center"/>
              <w:rPr>
                <w:rFonts w:ascii="Palatino Linotype" w:hAnsi="Palatino Linotype" w:cs="Arial"/>
                <w:noProof/>
                <w:color w:val="000000"/>
                <w:lang w:val="es-ES" w:eastAsia="es-MX"/>
              </w:rPr>
            </w:pPr>
            <w:r w:rsidRPr="008164DB">
              <w:rPr>
                <w:rFonts w:ascii="Palatino Linotype" w:hAnsi="Palatino Linotype" w:cs="Arial"/>
                <w:noProof/>
                <w:color w:val="000000"/>
                <w:lang w:val="es-ES" w:eastAsia="es-MX"/>
              </w:rPr>
              <w:t>Sí</w:t>
            </w:r>
          </w:p>
          <w:p w14:paraId="0203DC61" w14:textId="77777777" w:rsidR="00AB388D" w:rsidRDefault="00AB388D" w:rsidP="00900E0D">
            <w:pPr>
              <w:jc w:val="center"/>
              <w:rPr>
                <w:rFonts w:ascii="Palatino Linotype" w:hAnsi="Palatino Linotype" w:cs="Arial"/>
                <w:noProof/>
                <w:color w:val="000000"/>
                <w:lang w:val="es-ES" w:eastAsia="es-MX"/>
              </w:rPr>
            </w:pPr>
          </w:p>
          <w:p w14:paraId="67FB19D2" w14:textId="692A2557" w:rsidR="00AB388D" w:rsidRPr="008164DB" w:rsidRDefault="00AB388D" w:rsidP="00AB388D">
            <w:pPr>
              <w:jc w:val="both"/>
              <w:rPr>
                <w:rFonts w:ascii="Palatino Linotype" w:hAnsi="Palatino Linotype" w:cs="Arial"/>
                <w:noProof/>
                <w:color w:val="000000"/>
                <w:lang w:val="es-ES" w:eastAsia="es-MX"/>
              </w:rPr>
            </w:pPr>
            <w:r>
              <w:rPr>
                <w:rFonts w:ascii="Palatino Linotype" w:hAnsi="Palatino Linotype" w:cs="Arial"/>
                <w:noProof/>
                <w:color w:val="000000"/>
                <w:lang w:val="es-ES" w:eastAsia="es-MX"/>
              </w:rPr>
              <w:t>Entrega de la información y actos consentidos</w:t>
            </w:r>
          </w:p>
        </w:tc>
      </w:tr>
      <w:tr w:rsidR="008164DB" w:rsidRPr="003B4509" w14:paraId="1E1B7A8E" w14:textId="77777777" w:rsidTr="00900E0D">
        <w:trPr>
          <w:trHeight w:val="453"/>
        </w:trPr>
        <w:tc>
          <w:tcPr>
            <w:tcW w:w="3681" w:type="dxa"/>
          </w:tcPr>
          <w:p w14:paraId="40934DDE" w14:textId="77777777" w:rsidR="008164DB" w:rsidRPr="009C3A7D" w:rsidRDefault="008164DB" w:rsidP="009C3A7D">
            <w:pPr>
              <w:pStyle w:val="Prrafodelista"/>
              <w:numPr>
                <w:ilvl w:val="0"/>
                <w:numId w:val="27"/>
              </w:numPr>
              <w:autoSpaceDE w:val="0"/>
              <w:autoSpaceDN w:val="0"/>
              <w:adjustRightInd w:val="0"/>
              <w:spacing w:line="360" w:lineRule="auto"/>
              <w:jc w:val="both"/>
              <w:rPr>
                <w:rFonts w:ascii="Palatino Linotype" w:hAnsi="Palatino Linotype" w:cs="Arial"/>
                <w:sz w:val="22"/>
                <w:szCs w:val="22"/>
              </w:rPr>
            </w:pPr>
            <w:r w:rsidRPr="009C3A7D">
              <w:rPr>
                <w:rFonts w:ascii="Palatino Linotype" w:hAnsi="Palatino Linotype" w:cs="Arial"/>
                <w:sz w:val="22"/>
                <w:szCs w:val="22"/>
              </w:rPr>
              <w:t xml:space="preserve">El o los documentos donde conste la modalidad de las adquisiciones de bienes y servicios, del periodo comprendido del uno al treinta de enero de dos mil veinticinco. </w:t>
            </w:r>
          </w:p>
          <w:p w14:paraId="6E1F1E01" w14:textId="77777777" w:rsidR="008164DB" w:rsidRPr="009C3A7D" w:rsidRDefault="008164DB" w:rsidP="00900E0D">
            <w:pPr>
              <w:jc w:val="both"/>
              <w:rPr>
                <w:rFonts w:ascii="Palatino Linotype" w:hAnsi="Palatino Linotype" w:cs="Arial"/>
                <w:noProof/>
                <w:color w:val="000000"/>
                <w:lang w:eastAsia="es-MX"/>
              </w:rPr>
            </w:pPr>
          </w:p>
        </w:tc>
        <w:tc>
          <w:tcPr>
            <w:tcW w:w="3544" w:type="dxa"/>
            <w:vAlign w:val="center"/>
          </w:tcPr>
          <w:p w14:paraId="49E991F7" w14:textId="77777777" w:rsidR="008164DB" w:rsidRDefault="008164DB" w:rsidP="00900E0D">
            <w:pPr>
              <w:jc w:val="both"/>
              <w:rPr>
                <w:rFonts w:ascii="Palatino Linotype" w:hAnsi="Palatino Linotype" w:cs="Arial"/>
                <w:noProof/>
                <w:color w:val="000000"/>
                <w:lang w:eastAsia="es-MX"/>
              </w:rPr>
            </w:pPr>
            <w:r w:rsidRPr="008164DB">
              <w:rPr>
                <w:rFonts w:ascii="Palatino Linotype" w:hAnsi="Palatino Linotype" w:cs="Arial"/>
                <w:noProof/>
                <w:color w:val="000000"/>
                <w:lang w:eastAsia="es-MX"/>
              </w:rPr>
              <w:t xml:space="preserve">En el acta relativa a la instalación y primera sesión del comité de adquisiciones y servicios, se advierten 3 procedimientos de </w:t>
            </w:r>
            <w:r w:rsidRPr="008164DB">
              <w:rPr>
                <w:rFonts w:ascii="Palatino Linotype" w:hAnsi="Palatino Linotype" w:cs="Arial"/>
                <w:b/>
                <w:bCs/>
                <w:noProof/>
                <w:color w:val="000000"/>
                <w:lang w:eastAsia="es-MX"/>
              </w:rPr>
              <w:t>ADJUDICACIÓN DIRECTA</w:t>
            </w:r>
            <w:r w:rsidRPr="008164DB">
              <w:rPr>
                <w:rFonts w:ascii="Palatino Linotype" w:hAnsi="Palatino Linotype" w:cs="Arial"/>
                <w:noProof/>
                <w:color w:val="000000"/>
                <w:lang w:eastAsia="es-MX"/>
              </w:rPr>
              <w:t>, relacionados con la adquisición de avena y bultos de aliemnto para caballos; disposición final de residuos no peligrosos; adquisición de gasolina y diesel.</w:t>
            </w:r>
          </w:p>
          <w:p w14:paraId="3ACEFCD5" w14:textId="77777777" w:rsidR="00AB388D" w:rsidRPr="008164DB" w:rsidRDefault="00AB388D" w:rsidP="00900E0D">
            <w:pPr>
              <w:jc w:val="both"/>
              <w:rPr>
                <w:rFonts w:ascii="Palatino Linotype" w:hAnsi="Palatino Linotype" w:cs="Arial"/>
                <w:noProof/>
                <w:color w:val="000000"/>
                <w:lang w:eastAsia="es-MX"/>
              </w:rPr>
            </w:pPr>
          </w:p>
        </w:tc>
        <w:tc>
          <w:tcPr>
            <w:tcW w:w="1827" w:type="dxa"/>
            <w:vAlign w:val="center"/>
          </w:tcPr>
          <w:p w14:paraId="1926197C" w14:textId="77777777" w:rsidR="008164DB" w:rsidRDefault="008164DB" w:rsidP="00900E0D">
            <w:pPr>
              <w:jc w:val="center"/>
              <w:rPr>
                <w:rFonts w:ascii="Palatino Linotype" w:hAnsi="Palatino Linotype" w:cs="Arial"/>
                <w:noProof/>
                <w:color w:val="000000"/>
                <w:lang w:val="es-ES" w:eastAsia="es-MX"/>
              </w:rPr>
            </w:pPr>
            <w:r w:rsidRPr="008164DB">
              <w:rPr>
                <w:rFonts w:ascii="Palatino Linotype" w:hAnsi="Palatino Linotype" w:cs="Arial"/>
                <w:noProof/>
                <w:color w:val="000000"/>
                <w:lang w:val="es-ES" w:eastAsia="es-MX"/>
              </w:rPr>
              <w:t>Sí</w:t>
            </w:r>
          </w:p>
          <w:p w14:paraId="20AC4DEE" w14:textId="77777777" w:rsidR="00AB388D" w:rsidRDefault="00AB388D" w:rsidP="00900E0D">
            <w:pPr>
              <w:jc w:val="center"/>
              <w:rPr>
                <w:rFonts w:ascii="Palatino Linotype" w:hAnsi="Palatino Linotype" w:cs="Arial"/>
                <w:noProof/>
                <w:color w:val="000000"/>
                <w:lang w:val="es-ES" w:eastAsia="es-MX"/>
              </w:rPr>
            </w:pPr>
          </w:p>
          <w:p w14:paraId="31C64395" w14:textId="0D3675E3" w:rsidR="00AB388D" w:rsidRPr="008164DB" w:rsidRDefault="00AB388D" w:rsidP="00AB388D">
            <w:pPr>
              <w:jc w:val="both"/>
              <w:rPr>
                <w:rFonts w:ascii="Palatino Linotype" w:hAnsi="Palatino Linotype" w:cs="Arial"/>
                <w:noProof/>
                <w:color w:val="000000"/>
                <w:lang w:val="es-ES" w:eastAsia="es-MX"/>
              </w:rPr>
            </w:pPr>
            <w:r>
              <w:rPr>
                <w:rFonts w:ascii="Palatino Linotype" w:hAnsi="Palatino Linotype" w:cs="Arial"/>
                <w:noProof/>
                <w:color w:val="000000"/>
                <w:lang w:val="es-ES" w:eastAsia="es-MX"/>
              </w:rPr>
              <w:t>Entrega de la información y actos consentidos</w:t>
            </w:r>
          </w:p>
        </w:tc>
      </w:tr>
      <w:tr w:rsidR="008164DB" w:rsidRPr="003B4509" w14:paraId="7B88BA78" w14:textId="77777777" w:rsidTr="00AB388D">
        <w:trPr>
          <w:trHeight w:val="541"/>
        </w:trPr>
        <w:tc>
          <w:tcPr>
            <w:tcW w:w="3681" w:type="dxa"/>
            <w:vAlign w:val="center"/>
          </w:tcPr>
          <w:p w14:paraId="1F3961BF" w14:textId="497639F3" w:rsidR="008164DB" w:rsidRPr="009C3A7D" w:rsidRDefault="008164DB" w:rsidP="009C3A7D">
            <w:pPr>
              <w:pStyle w:val="Prrafodelista"/>
              <w:numPr>
                <w:ilvl w:val="0"/>
                <w:numId w:val="27"/>
              </w:numPr>
              <w:autoSpaceDE w:val="0"/>
              <w:autoSpaceDN w:val="0"/>
              <w:adjustRightInd w:val="0"/>
              <w:spacing w:line="360" w:lineRule="auto"/>
              <w:jc w:val="both"/>
              <w:rPr>
                <w:rFonts w:ascii="Palatino Linotype" w:hAnsi="Palatino Linotype" w:cs="Arial"/>
                <w:sz w:val="22"/>
                <w:szCs w:val="22"/>
              </w:rPr>
            </w:pPr>
            <w:r w:rsidRPr="009C3A7D">
              <w:rPr>
                <w:rFonts w:ascii="Palatino Linotype" w:hAnsi="Palatino Linotype" w:cs="Arial"/>
                <w:sz w:val="22"/>
                <w:szCs w:val="22"/>
              </w:rPr>
              <w:t>Acta de instalación del Comité de Adquisiciones de Bienes y Servicios, al treinta de enero de dos mil veinticinco.</w:t>
            </w:r>
          </w:p>
          <w:p w14:paraId="77678CCA" w14:textId="77777777" w:rsidR="008164DB" w:rsidRPr="009C3A7D" w:rsidRDefault="008164DB" w:rsidP="00AB388D">
            <w:pPr>
              <w:pStyle w:val="Citas"/>
              <w:spacing w:line="240" w:lineRule="auto"/>
              <w:ind w:left="0" w:right="72"/>
              <w:jc w:val="center"/>
              <w:rPr>
                <w:i w:val="0"/>
                <w:iCs/>
                <w:noProof/>
                <w:color w:val="000000"/>
                <w:lang w:eastAsia="es-MX"/>
              </w:rPr>
            </w:pPr>
          </w:p>
        </w:tc>
        <w:tc>
          <w:tcPr>
            <w:tcW w:w="3544" w:type="dxa"/>
            <w:vAlign w:val="center"/>
          </w:tcPr>
          <w:p w14:paraId="452036E3" w14:textId="77777777" w:rsidR="00AB388D" w:rsidRDefault="00AB388D" w:rsidP="00AB388D">
            <w:pPr>
              <w:jc w:val="center"/>
              <w:rPr>
                <w:rFonts w:ascii="Palatino Linotype" w:hAnsi="Palatino Linotype" w:cs="Arial"/>
                <w:noProof/>
                <w:color w:val="000000"/>
                <w:lang w:eastAsia="es-MX"/>
              </w:rPr>
            </w:pPr>
          </w:p>
          <w:p w14:paraId="47A614BC" w14:textId="77777777" w:rsidR="00AB388D" w:rsidRDefault="00AB388D" w:rsidP="00AB388D">
            <w:pPr>
              <w:jc w:val="center"/>
              <w:rPr>
                <w:rFonts w:ascii="Palatino Linotype" w:hAnsi="Palatino Linotype" w:cs="Arial"/>
                <w:noProof/>
                <w:color w:val="000000"/>
                <w:lang w:eastAsia="es-MX"/>
              </w:rPr>
            </w:pPr>
          </w:p>
          <w:p w14:paraId="0C581F60" w14:textId="7FE67867" w:rsidR="008164DB" w:rsidRDefault="008164DB" w:rsidP="009C3A7D">
            <w:pPr>
              <w:jc w:val="both"/>
              <w:rPr>
                <w:rFonts w:ascii="Palatino Linotype" w:hAnsi="Palatino Linotype" w:cs="Arial"/>
                <w:noProof/>
                <w:color w:val="000000"/>
                <w:lang w:eastAsia="es-MX"/>
              </w:rPr>
            </w:pPr>
            <w:r w:rsidRPr="008164DB">
              <w:rPr>
                <w:rFonts w:ascii="Palatino Linotype" w:hAnsi="Palatino Linotype" w:cs="Arial"/>
                <w:noProof/>
                <w:color w:val="000000"/>
                <w:lang w:eastAsia="es-MX"/>
              </w:rPr>
              <w:t>Se remite acta relativa a la instalación y primera sesión del comité de adquisiciones y servicios, de fecha tres de enero de dos mil veinticinco.</w:t>
            </w:r>
          </w:p>
          <w:p w14:paraId="5BCCB1E8" w14:textId="77777777" w:rsidR="00AB388D" w:rsidRDefault="00AB388D" w:rsidP="00AB388D">
            <w:pPr>
              <w:jc w:val="center"/>
              <w:rPr>
                <w:rFonts w:ascii="Palatino Linotype" w:hAnsi="Palatino Linotype" w:cs="Arial"/>
                <w:noProof/>
                <w:color w:val="000000"/>
                <w:lang w:eastAsia="es-MX"/>
              </w:rPr>
            </w:pPr>
          </w:p>
          <w:p w14:paraId="510195BB" w14:textId="77777777" w:rsidR="00AB388D" w:rsidRDefault="00AB388D" w:rsidP="00AB388D">
            <w:pPr>
              <w:jc w:val="center"/>
              <w:rPr>
                <w:rFonts w:ascii="Palatino Linotype" w:hAnsi="Palatino Linotype" w:cs="Arial"/>
                <w:noProof/>
                <w:color w:val="000000"/>
                <w:lang w:eastAsia="es-MX"/>
              </w:rPr>
            </w:pPr>
          </w:p>
          <w:p w14:paraId="5A910842" w14:textId="77777777" w:rsidR="00AB388D" w:rsidRPr="008164DB" w:rsidRDefault="00AB388D" w:rsidP="00AB388D">
            <w:pPr>
              <w:jc w:val="center"/>
              <w:rPr>
                <w:rFonts w:ascii="Palatino Linotype" w:hAnsi="Palatino Linotype" w:cs="Arial"/>
                <w:noProof/>
                <w:color w:val="000000"/>
                <w:lang w:eastAsia="es-MX"/>
              </w:rPr>
            </w:pPr>
          </w:p>
        </w:tc>
        <w:tc>
          <w:tcPr>
            <w:tcW w:w="1827" w:type="dxa"/>
            <w:vAlign w:val="center"/>
          </w:tcPr>
          <w:p w14:paraId="4856D428" w14:textId="77777777" w:rsidR="008164DB" w:rsidRDefault="008164DB" w:rsidP="00900E0D">
            <w:pPr>
              <w:jc w:val="center"/>
              <w:rPr>
                <w:rFonts w:ascii="Palatino Linotype" w:hAnsi="Palatino Linotype" w:cs="Arial"/>
                <w:noProof/>
                <w:color w:val="000000"/>
                <w:lang w:val="es-ES" w:eastAsia="es-MX"/>
              </w:rPr>
            </w:pPr>
            <w:r w:rsidRPr="008164DB">
              <w:rPr>
                <w:rFonts w:ascii="Palatino Linotype" w:hAnsi="Palatino Linotype" w:cs="Arial"/>
                <w:noProof/>
                <w:color w:val="000000"/>
                <w:lang w:val="es-ES" w:eastAsia="es-MX"/>
              </w:rPr>
              <w:t>Sí</w:t>
            </w:r>
          </w:p>
          <w:p w14:paraId="4E2D0BC5" w14:textId="77777777" w:rsidR="00AB388D" w:rsidRDefault="00AB388D" w:rsidP="00900E0D">
            <w:pPr>
              <w:jc w:val="center"/>
              <w:rPr>
                <w:rFonts w:ascii="Palatino Linotype" w:hAnsi="Palatino Linotype" w:cs="Arial"/>
                <w:noProof/>
                <w:color w:val="000000"/>
                <w:lang w:val="es-ES" w:eastAsia="es-MX"/>
              </w:rPr>
            </w:pPr>
          </w:p>
          <w:p w14:paraId="08F6B4F4" w14:textId="31297556" w:rsidR="00AB388D" w:rsidRPr="008164DB" w:rsidRDefault="00AB388D" w:rsidP="00AB388D">
            <w:pPr>
              <w:jc w:val="both"/>
              <w:rPr>
                <w:rFonts w:ascii="Palatino Linotype" w:hAnsi="Palatino Linotype" w:cs="Arial"/>
                <w:noProof/>
                <w:color w:val="000000"/>
                <w:lang w:val="es-ES" w:eastAsia="es-MX"/>
              </w:rPr>
            </w:pPr>
            <w:r>
              <w:rPr>
                <w:rFonts w:ascii="Palatino Linotype" w:hAnsi="Palatino Linotype" w:cs="Arial"/>
                <w:noProof/>
                <w:color w:val="000000"/>
                <w:lang w:val="es-ES" w:eastAsia="es-MX"/>
              </w:rPr>
              <w:t>Entrega de la información y actos consentidos</w:t>
            </w:r>
          </w:p>
        </w:tc>
      </w:tr>
    </w:tbl>
    <w:p w14:paraId="3E65C5B2" w14:textId="77777777" w:rsidR="008164DB" w:rsidRDefault="008164DB" w:rsidP="00A6185A">
      <w:pPr>
        <w:spacing w:after="240" w:line="360" w:lineRule="auto"/>
        <w:jc w:val="both"/>
        <w:rPr>
          <w:rFonts w:ascii="Palatino Linotype" w:hAnsi="Palatino Linotype" w:cs="Arial"/>
          <w:color w:val="000000"/>
          <w:sz w:val="24"/>
          <w:lang w:val="es-ES_tradnl"/>
        </w:rPr>
      </w:pPr>
    </w:p>
    <w:p w14:paraId="6C85AB86" w14:textId="43BA9B5D" w:rsidR="0025390F" w:rsidRDefault="00AB388D" w:rsidP="00A6185A">
      <w:pPr>
        <w:spacing w:after="240" w:line="360" w:lineRule="auto"/>
        <w:jc w:val="both"/>
        <w:rPr>
          <w:rFonts w:ascii="Palatino Linotype" w:hAnsi="Palatino Linotype" w:cs="Arial"/>
          <w:color w:val="000000"/>
          <w:sz w:val="24"/>
          <w:lang w:val="es-ES_tradnl"/>
        </w:rPr>
      </w:pPr>
      <w:r>
        <w:rPr>
          <w:rFonts w:ascii="Palatino Linotype" w:hAnsi="Palatino Linotype" w:cs="Arial"/>
          <w:noProof/>
          <w:color w:val="000000"/>
          <w:sz w:val="24"/>
          <w:lang w:eastAsia="es-MX"/>
        </w:rPr>
        <mc:AlternateContent>
          <mc:Choice Requires="wps">
            <w:drawing>
              <wp:anchor distT="0" distB="0" distL="114300" distR="114300" simplePos="0" relativeHeight="251792372" behindDoc="0" locked="0" layoutInCell="1" allowOverlap="1" wp14:anchorId="68E72AAE" wp14:editId="61528940">
                <wp:simplePos x="0" y="0"/>
                <wp:positionH relativeFrom="column">
                  <wp:posOffset>45932</wp:posOffset>
                </wp:positionH>
                <wp:positionV relativeFrom="paragraph">
                  <wp:posOffset>1629833</wp:posOffset>
                </wp:positionV>
                <wp:extent cx="5816600" cy="2387600"/>
                <wp:effectExtent l="0" t="0" r="31750" b="31750"/>
                <wp:wrapNone/>
                <wp:docPr id="1777149921" name="Conector recto 2"/>
                <wp:cNvGraphicFramePr/>
                <a:graphic xmlns:a="http://schemas.openxmlformats.org/drawingml/2006/main">
                  <a:graphicData uri="http://schemas.microsoft.com/office/word/2010/wordprocessingShape">
                    <wps:wsp>
                      <wps:cNvCnPr/>
                      <wps:spPr>
                        <a:xfrm>
                          <a:off x="0" y="0"/>
                          <a:ext cx="5816600" cy="2387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0B803" id="Conector recto 2" o:spid="_x0000_s1026" style="position:absolute;z-index:251792372;visibility:visible;mso-wrap-style:square;mso-wrap-distance-left:9pt;mso-wrap-distance-top:0;mso-wrap-distance-right:9pt;mso-wrap-distance-bottom:0;mso-position-horizontal:absolute;mso-position-horizontal-relative:text;mso-position-vertical:absolute;mso-position-vertical-relative:text" from="3.6pt,128.35pt" to="461.6pt,3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" strokecolor="#5b9bd5 [3204]" strokeweight=".5pt">
                <v:stroke joinstyle="miter"/>
              </v:line>
            </w:pict>
          </mc:Fallback>
        </mc:AlternateContent>
      </w:r>
      <w:r w:rsidR="00CF5787" w:rsidRPr="0025390F">
        <w:rPr>
          <w:rFonts w:ascii="Palatino Linotype" w:hAnsi="Palatino Linotype" w:cs="Arial"/>
          <w:color w:val="000000"/>
          <w:sz w:val="24"/>
          <w:lang w:val="es-ES_tradnl"/>
        </w:rPr>
        <w:t xml:space="preserve">Inconforme con la respuesta rendida por </w:t>
      </w:r>
      <w:r w:rsidR="00CF5787" w:rsidRPr="0025390F">
        <w:rPr>
          <w:rFonts w:ascii="Palatino Linotype" w:hAnsi="Palatino Linotype" w:cs="Arial"/>
          <w:b/>
          <w:bCs/>
          <w:color w:val="000000"/>
          <w:sz w:val="24"/>
          <w:lang w:val="es-ES_tradnl"/>
        </w:rPr>
        <w:t xml:space="preserve">El Sujeto Obligado, </w:t>
      </w:r>
      <w:r w:rsidR="00E71E1C" w:rsidRPr="0025390F">
        <w:rPr>
          <w:rFonts w:ascii="Palatino Linotype" w:hAnsi="Palatino Linotype" w:cs="Arial"/>
          <w:b/>
          <w:bCs/>
          <w:color w:val="000000"/>
          <w:sz w:val="24"/>
          <w:lang w:val="es-ES_tradnl"/>
        </w:rPr>
        <w:t xml:space="preserve">El Recurrente </w:t>
      </w:r>
      <w:r w:rsidR="00E71E1C" w:rsidRPr="0025390F">
        <w:rPr>
          <w:rFonts w:ascii="Palatino Linotype" w:hAnsi="Palatino Linotype" w:cs="Arial"/>
          <w:color w:val="000000"/>
          <w:sz w:val="24"/>
          <w:lang w:val="es-ES_tradnl"/>
        </w:rPr>
        <w:t xml:space="preserve">interpuso recurso de revisión en fecha </w:t>
      </w:r>
      <w:r w:rsidR="0025390F">
        <w:rPr>
          <w:rFonts w:ascii="Palatino Linotype" w:hAnsi="Palatino Linotype" w:cs="Arial"/>
          <w:b/>
          <w:bCs/>
          <w:color w:val="000000"/>
          <w:sz w:val="24"/>
          <w:lang w:val="es-ES_tradnl"/>
        </w:rPr>
        <w:t xml:space="preserve">veinticuatro de febrero, </w:t>
      </w:r>
      <w:r w:rsidR="0025390F">
        <w:rPr>
          <w:rFonts w:ascii="Palatino Linotype" w:hAnsi="Palatino Linotype" w:cs="Arial"/>
          <w:color w:val="000000"/>
          <w:sz w:val="24"/>
          <w:lang w:val="es-ES_tradnl"/>
        </w:rPr>
        <w:t xml:space="preserve">admitiéndose el </w:t>
      </w:r>
      <w:r w:rsidR="0025390F">
        <w:rPr>
          <w:rFonts w:ascii="Palatino Linotype" w:hAnsi="Palatino Linotype" w:cs="Arial"/>
          <w:b/>
          <w:bCs/>
          <w:color w:val="000000"/>
          <w:sz w:val="24"/>
          <w:lang w:val="es-ES_tradnl"/>
        </w:rPr>
        <w:t xml:space="preserve">veintisiete de </w:t>
      </w:r>
      <w:r w:rsidR="0025390F">
        <w:rPr>
          <w:rFonts w:ascii="Palatino Linotype" w:hAnsi="Palatino Linotype" w:cs="Arial"/>
          <w:b/>
          <w:bCs/>
          <w:color w:val="000000"/>
          <w:sz w:val="24"/>
          <w:lang w:val="es-ES_tradnl"/>
        </w:rPr>
        <w:lastRenderedPageBreak/>
        <w:t xml:space="preserve">febrero, ambos de dos mil veinticuatro. </w:t>
      </w:r>
      <w:r w:rsidR="0025390F">
        <w:rPr>
          <w:rFonts w:ascii="Palatino Linotype" w:hAnsi="Palatino Linotype" w:cs="Arial"/>
          <w:color w:val="000000"/>
          <w:sz w:val="24"/>
          <w:lang w:val="es-ES_tradnl"/>
        </w:rPr>
        <w:t xml:space="preserve">Para su mejor entendimiento, la información solicitada, el acto impugnado y los motivos de inconformidad, se muestran a continuación: </w:t>
      </w:r>
    </w:p>
    <w:tbl>
      <w:tblPr>
        <w:tblStyle w:val="Tablaconcuadrcula"/>
        <w:tblW w:w="8969" w:type="dxa"/>
        <w:tblLook w:val="04A0" w:firstRow="1" w:lastRow="0" w:firstColumn="1" w:lastColumn="0" w:noHBand="0" w:noVBand="1"/>
      </w:tblPr>
      <w:tblGrid>
        <w:gridCol w:w="3681"/>
        <w:gridCol w:w="2972"/>
        <w:gridCol w:w="2316"/>
      </w:tblGrid>
      <w:tr w:rsidR="005A4E41" w:rsidRPr="0025390F" w14:paraId="541F8AEC" w14:textId="77777777" w:rsidTr="00030F25">
        <w:tc>
          <w:tcPr>
            <w:tcW w:w="3681" w:type="dxa"/>
            <w:tcBorders>
              <w:right w:val="single" w:sz="12" w:space="0" w:color="FFFFFF" w:themeColor="background1"/>
            </w:tcBorders>
            <w:shd w:val="clear" w:color="auto" w:fill="000000" w:themeFill="text1"/>
            <w:vAlign w:val="center"/>
          </w:tcPr>
          <w:p w14:paraId="03A36811" w14:textId="77777777" w:rsidR="005A4E41" w:rsidRPr="00030F25" w:rsidRDefault="005A4E41" w:rsidP="0081319E">
            <w:pPr>
              <w:pStyle w:val="Prrafodelista"/>
              <w:autoSpaceDE w:val="0"/>
              <w:autoSpaceDN w:val="0"/>
              <w:adjustRightInd w:val="0"/>
              <w:spacing w:before="240" w:after="160" w:line="360" w:lineRule="auto"/>
              <w:ind w:left="0"/>
              <w:jc w:val="center"/>
              <w:rPr>
                <w:rFonts w:ascii="Palatino Linotype" w:hAnsi="Palatino Linotype" w:cs="Arial"/>
                <w:b/>
                <w:bCs/>
                <w:sz w:val="22"/>
                <w:szCs w:val="22"/>
                <w:lang w:val="es-MX"/>
              </w:rPr>
            </w:pPr>
            <w:r w:rsidRPr="00030F25">
              <w:rPr>
                <w:rFonts w:ascii="Palatino Linotype" w:hAnsi="Palatino Linotype" w:cs="Arial"/>
                <w:b/>
                <w:bCs/>
                <w:sz w:val="22"/>
                <w:szCs w:val="22"/>
                <w:lang w:val="es-MX"/>
              </w:rPr>
              <w:t>INFORMACIÓN SOLICITADA</w:t>
            </w:r>
          </w:p>
        </w:tc>
        <w:tc>
          <w:tcPr>
            <w:tcW w:w="2972" w:type="dxa"/>
            <w:tcBorders>
              <w:left w:val="single" w:sz="12" w:space="0" w:color="FFFFFF" w:themeColor="background1"/>
              <w:right w:val="single" w:sz="12" w:space="0" w:color="FFFFFF" w:themeColor="background1"/>
            </w:tcBorders>
            <w:shd w:val="clear" w:color="auto" w:fill="000000" w:themeFill="text1"/>
            <w:vAlign w:val="center"/>
          </w:tcPr>
          <w:p w14:paraId="2EDBF692" w14:textId="77777777" w:rsidR="005A4E41" w:rsidRPr="00030F25" w:rsidRDefault="005A4E41" w:rsidP="0081319E">
            <w:pPr>
              <w:pStyle w:val="Prrafodelista"/>
              <w:autoSpaceDE w:val="0"/>
              <w:autoSpaceDN w:val="0"/>
              <w:adjustRightInd w:val="0"/>
              <w:spacing w:before="240" w:after="160" w:line="360" w:lineRule="auto"/>
              <w:ind w:left="0"/>
              <w:jc w:val="center"/>
              <w:rPr>
                <w:rFonts w:ascii="Palatino Linotype" w:hAnsi="Palatino Linotype" w:cs="Arial"/>
                <w:b/>
                <w:bCs/>
                <w:sz w:val="22"/>
                <w:szCs w:val="22"/>
                <w:lang w:val="es-MX"/>
              </w:rPr>
            </w:pPr>
            <w:r w:rsidRPr="00030F25">
              <w:rPr>
                <w:rFonts w:ascii="Palatino Linotype" w:hAnsi="Palatino Linotype" w:cs="Arial"/>
                <w:b/>
                <w:bCs/>
                <w:sz w:val="22"/>
                <w:szCs w:val="22"/>
                <w:lang w:val="es-MX"/>
              </w:rPr>
              <w:t>ACTO IMPUGNADO</w:t>
            </w:r>
          </w:p>
        </w:tc>
        <w:tc>
          <w:tcPr>
            <w:tcW w:w="2316" w:type="dxa"/>
            <w:tcBorders>
              <w:left w:val="single" w:sz="12" w:space="0" w:color="FFFFFF" w:themeColor="background1"/>
            </w:tcBorders>
            <w:shd w:val="clear" w:color="auto" w:fill="000000" w:themeFill="text1"/>
            <w:vAlign w:val="center"/>
          </w:tcPr>
          <w:p w14:paraId="478F00D3" w14:textId="77777777" w:rsidR="005A4E41" w:rsidRPr="00030F25" w:rsidRDefault="005A4E41" w:rsidP="0081319E">
            <w:pPr>
              <w:pStyle w:val="Prrafodelista"/>
              <w:autoSpaceDE w:val="0"/>
              <w:autoSpaceDN w:val="0"/>
              <w:adjustRightInd w:val="0"/>
              <w:spacing w:before="240" w:after="160" w:line="360" w:lineRule="auto"/>
              <w:ind w:left="0"/>
              <w:jc w:val="center"/>
              <w:rPr>
                <w:rFonts w:ascii="Palatino Linotype" w:hAnsi="Palatino Linotype" w:cs="Arial"/>
                <w:b/>
                <w:bCs/>
                <w:sz w:val="22"/>
                <w:szCs w:val="22"/>
                <w:lang w:val="es-MX"/>
              </w:rPr>
            </w:pPr>
            <w:r w:rsidRPr="00030F25">
              <w:rPr>
                <w:rFonts w:ascii="Palatino Linotype" w:hAnsi="Palatino Linotype" w:cs="Arial"/>
                <w:b/>
                <w:bCs/>
                <w:sz w:val="22"/>
                <w:szCs w:val="22"/>
                <w:lang w:val="es-MX"/>
              </w:rPr>
              <w:t>RAZONES O MOTIVOS DE INCONFORMIDAD</w:t>
            </w:r>
          </w:p>
        </w:tc>
      </w:tr>
      <w:tr w:rsidR="005A4E41" w:rsidRPr="0025390F" w14:paraId="74CF547C" w14:textId="77777777" w:rsidTr="00030F25">
        <w:tc>
          <w:tcPr>
            <w:tcW w:w="3681" w:type="dxa"/>
          </w:tcPr>
          <w:p w14:paraId="59216BA1" w14:textId="6956EB85" w:rsidR="005A4E41" w:rsidRPr="008164DB" w:rsidRDefault="0025390F" w:rsidP="00030F25">
            <w:pPr>
              <w:pStyle w:val="Citas"/>
              <w:ind w:left="0" w:right="176"/>
              <w:rPr>
                <w:b/>
                <w:bCs/>
                <w:i w:val="0"/>
                <w:iCs/>
              </w:rPr>
            </w:pPr>
            <w:r w:rsidRPr="008164DB">
              <w:t xml:space="preserve">“Solicito el Programa Anual de Adquisiciones para el ejercicio 2025, de la administración 2025-2027, </w:t>
            </w:r>
            <w:proofErr w:type="spellStart"/>
            <w:r w:rsidRPr="008164DB">
              <w:t>padron</w:t>
            </w:r>
            <w:proofErr w:type="spellEnd"/>
            <w:r w:rsidRPr="008164DB">
              <w:t xml:space="preserve"> de proveedores autorizados para el ejercicio 2025, listado de adquisiciones de bienes y servicios del mes de enero del año 2025, modalidad de adquisición (Adjudicación Directa, Invitación restringida y Licitación Pública), Acta de instalación del </w:t>
            </w:r>
            <w:proofErr w:type="spellStart"/>
            <w:r w:rsidRPr="008164DB">
              <w:t>Comite</w:t>
            </w:r>
            <w:proofErr w:type="spellEnd"/>
            <w:r w:rsidRPr="008164DB">
              <w:t xml:space="preserve"> de Adquisiciones de Bienes y Servicios, para el ejercicio 2025” </w:t>
            </w:r>
            <w:r w:rsidRPr="008164DB">
              <w:rPr>
                <w:b/>
                <w:bCs/>
              </w:rPr>
              <w:t>(Sic)</w:t>
            </w:r>
          </w:p>
        </w:tc>
        <w:tc>
          <w:tcPr>
            <w:tcW w:w="2972" w:type="dxa"/>
          </w:tcPr>
          <w:p w14:paraId="722AEEE7" w14:textId="46962E0C" w:rsidR="005A4E41" w:rsidRPr="008164DB" w:rsidRDefault="0025390F" w:rsidP="00030F25">
            <w:pPr>
              <w:pStyle w:val="Citas"/>
              <w:ind w:left="0" w:right="142"/>
              <w:rPr>
                <w:b/>
                <w:bCs/>
                <w:i w:val="0"/>
                <w:iCs/>
              </w:rPr>
            </w:pPr>
            <w:r w:rsidRPr="008164DB">
              <w:t xml:space="preserve">“SIENDO QUE MUESTRAN LA PRIMERA SESION DEL COMITE DE ADQUISICIONES, </w:t>
            </w:r>
            <w:r w:rsidRPr="008164DB">
              <w:rPr>
                <w:b/>
                <w:bCs/>
                <w:u w:val="single"/>
              </w:rPr>
              <w:t>SE SOLICITA MUESTRAN LAS PROPUESTAS TECNICAS Y ECONOMICAS DEL PROVEEDOR PARA LA COMPRA DE ALIMENTO PARA CABALLOS. PARA EL EJERCICIO 2025”</w:t>
            </w:r>
            <w:r w:rsidRPr="008164DB">
              <w:t xml:space="preserve"> </w:t>
            </w:r>
            <w:r w:rsidRPr="008164DB">
              <w:rPr>
                <w:b/>
                <w:bCs/>
              </w:rPr>
              <w:t>(Sic)</w:t>
            </w:r>
          </w:p>
        </w:tc>
        <w:tc>
          <w:tcPr>
            <w:tcW w:w="2316" w:type="dxa"/>
          </w:tcPr>
          <w:p w14:paraId="5AEF4BE0" w14:textId="77777777" w:rsidR="0025390F" w:rsidRPr="008164DB" w:rsidRDefault="0025390F" w:rsidP="0025390F">
            <w:pPr>
              <w:pStyle w:val="Citas"/>
              <w:ind w:left="0" w:right="175"/>
              <w:rPr>
                <w:b/>
                <w:bCs/>
              </w:rPr>
            </w:pPr>
            <w:r w:rsidRPr="008164DB">
              <w:t xml:space="preserve">“FALTA DE INFORMACIÓN” </w:t>
            </w:r>
            <w:r w:rsidRPr="008164DB">
              <w:rPr>
                <w:b/>
                <w:bCs/>
              </w:rPr>
              <w:t>(Sic)</w:t>
            </w:r>
          </w:p>
          <w:p w14:paraId="741C17F0" w14:textId="56673FDA" w:rsidR="005A4E41" w:rsidRPr="008164DB" w:rsidRDefault="005A4E41" w:rsidP="0081319E">
            <w:pPr>
              <w:pStyle w:val="Prrafodelista"/>
              <w:autoSpaceDE w:val="0"/>
              <w:autoSpaceDN w:val="0"/>
              <w:adjustRightInd w:val="0"/>
              <w:spacing w:before="240" w:after="160" w:line="360" w:lineRule="auto"/>
              <w:ind w:left="0"/>
              <w:jc w:val="both"/>
              <w:rPr>
                <w:rFonts w:ascii="Palatino Linotype" w:hAnsi="Palatino Linotype" w:cs="Arial"/>
                <w:i/>
                <w:iCs/>
                <w:sz w:val="22"/>
                <w:szCs w:val="22"/>
                <w:lang w:val="es-MX"/>
              </w:rPr>
            </w:pPr>
          </w:p>
        </w:tc>
      </w:tr>
    </w:tbl>
    <w:p w14:paraId="72C30B8E" w14:textId="77777777" w:rsidR="008164DB" w:rsidRDefault="008164DB" w:rsidP="005A4E41">
      <w:pPr>
        <w:pStyle w:val="Prrafodelista"/>
        <w:spacing w:line="360" w:lineRule="auto"/>
        <w:ind w:left="0"/>
        <w:contextualSpacing/>
        <w:jc w:val="both"/>
        <w:rPr>
          <w:rFonts w:ascii="Palatino Linotype" w:hAnsi="Palatino Linotype"/>
        </w:rPr>
      </w:pPr>
    </w:p>
    <w:p w14:paraId="59A584FF" w14:textId="77777777" w:rsidR="008164DB" w:rsidRDefault="008164DB" w:rsidP="005A4E41">
      <w:pPr>
        <w:pStyle w:val="Prrafodelista"/>
        <w:spacing w:line="360" w:lineRule="auto"/>
        <w:ind w:left="0"/>
        <w:contextualSpacing/>
        <w:jc w:val="both"/>
        <w:rPr>
          <w:rFonts w:ascii="Palatino Linotype" w:hAnsi="Palatino Linotype"/>
        </w:rPr>
      </w:pPr>
    </w:p>
    <w:p w14:paraId="1656AA7B" w14:textId="3F9F3448" w:rsidR="005A4E41" w:rsidRPr="0025390F" w:rsidRDefault="005A4E41" w:rsidP="005A4E41">
      <w:pPr>
        <w:pStyle w:val="Prrafodelista"/>
        <w:spacing w:line="360" w:lineRule="auto"/>
        <w:ind w:left="0"/>
        <w:contextualSpacing/>
        <w:jc w:val="both"/>
        <w:rPr>
          <w:rFonts w:ascii="Palatino Linotype" w:hAnsi="Palatino Linotype"/>
          <w:b/>
          <w:bCs/>
          <w:color w:val="000000"/>
          <w:lang w:val="es-ES_tradnl"/>
        </w:rPr>
      </w:pPr>
      <w:r w:rsidRPr="0025390F">
        <w:rPr>
          <w:rFonts w:ascii="Palatino Linotype" w:hAnsi="Palatino Linotype"/>
        </w:rPr>
        <w:t xml:space="preserve">Por ello, con relación a </w:t>
      </w:r>
      <w:r w:rsidRPr="00030F25">
        <w:rPr>
          <w:rFonts w:ascii="Palatino Linotype" w:hAnsi="Palatino Linotype"/>
          <w:b/>
          <w:bCs/>
          <w:i/>
          <w:iCs/>
        </w:rPr>
        <w:t>“</w:t>
      </w:r>
      <w:r w:rsidR="00030F25" w:rsidRPr="00030F25">
        <w:rPr>
          <w:rFonts w:ascii="Palatino Linotype" w:hAnsi="Palatino Linotype"/>
          <w:b/>
          <w:bCs/>
          <w:i/>
          <w:iCs/>
          <w:u w:val="single"/>
        </w:rPr>
        <w:t xml:space="preserve">SE SOLICITA MUESTRAN LAS PROPUESTAS TECNICAS Y ECONOMICAS DEL PROVEEDOR PARA LA COMPRA DE ALIMENTO PARA </w:t>
      </w:r>
      <w:r w:rsidR="00030F25" w:rsidRPr="00030F25">
        <w:rPr>
          <w:rFonts w:ascii="Palatino Linotype" w:hAnsi="Palatino Linotype"/>
          <w:b/>
          <w:bCs/>
          <w:i/>
          <w:iCs/>
          <w:u w:val="single"/>
        </w:rPr>
        <w:lastRenderedPageBreak/>
        <w:t>CABALLOS. PARA EL EJERCICIO 2025</w:t>
      </w:r>
      <w:r w:rsidRPr="00030F25">
        <w:rPr>
          <w:rFonts w:ascii="Palatino Linotype" w:hAnsi="Palatino Linotype"/>
          <w:b/>
          <w:bCs/>
          <w:i/>
          <w:iCs/>
        </w:rPr>
        <w:t>”,</w:t>
      </w:r>
      <w:r w:rsidRPr="0025390F">
        <w:rPr>
          <w:rFonts w:ascii="Palatino Linotype" w:hAnsi="Palatino Linotype"/>
          <w:b/>
          <w:bCs/>
          <w:i/>
          <w:iCs/>
        </w:rPr>
        <w:t xml:space="preserve"> </w:t>
      </w:r>
      <w:r w:rsidRPr="0025390F">
        <w:rPr>
          <w:rFonts w:ascii="Palatino Linotype" w:hAnsi="Palatino Linotype"/>
          <w:color w:val="000000"/>
          <w:lang w:val="es-ES_tradnl"/>
        </w:rPr>
        <w:t xml:space="preserve">resulta claro que se añade un nuevo punto a su solicitud de información y se aleja de la materia que dio origen a la respuesta del </w:t>
      </w:r>
      <w:r w:rsidRPr="0025390F">
        <w:rPr>
          <w:rFonts w:ascii="Palatino Linotype" w:hAnsi="Palatino Linotype"/>
          <w:b/>
          <w:bCs/>
          <w:color w:val="000000"/>
          <w:lang w:val="es-ES_tradnl"/>
        </w:rPr>
        <w:t xml:space="preserve">Sujeto Obligado. </w:t>
      </w:r>
    </w:p>
    <w:p w14:paraId="15D6FD1D" w14:textId="5C0DA45C" w:rsidR="005A4E41" w:rsidRPr="00030F25" w:rsidRDefault="005A4E41" w:rsidP="005A4E41">
      <w:pPr>
        <w:spacing w:before="240" w:line="360" w:lineRule="auto"/>
        <w:jc w:val="both"/>
        <w:rPr>
          <w:rFonts w:ascii="Palatino Linotype" w:hAnsi="Palatino Linotype"/>
          <w:color w:val="000000"/>
          <w:sz w:val="24"/>
          <w:szCs w:val="24"/>
          <w:lang w:val="es-ES_tradnl"/>
        </w:rPr>
      </w:pPr>
      <w:r w:rsidRPr="00030F25">
        <w:rPr>
          <w:rFonts w:ascii="Palatino Linotype" w:hAnsi="Palatino Linotype"/>
          <w:color w:val="000000"/>
          <w:sz w:val="24"/>
          <w:szCs w:val="24"/>
          <w:lang w:val="es-ES_tradnl"/>
        </w:rPr>
        <w:t xml:space="preserve">A mayor abundamiento, el nuevo punto de la solicitud </w:t>
      </w:r>
      <w:r w:rsidRPr="00030F25">
        <w:rPr>
          <w:rFonts w:ascii="Palatino Linotype" w:hAnsi="Palatino Linotype"/>
          <w:b/>
          <w:bCs/>
          <w:color w:val="000000"/>
          <w:sz w:val="24"/>
          <w:szCs w:val="24"/>
          <w:lang w:val="es-ES_tradnl"/>
        </w:rPr>
        <w:t>-</w:t>
      </w:r>
      <w:r w:rsidR="00030F25" w:rsidRPr="00030F25">
        <w:rPr>
          <w:rFonts w:ascii="Palatino Linotype" w:hAnsi="Palatino Linotype"/>
          <w:b/>
          <w:bCs/>
          <w:color w:val="000000"/>
          <w:sz w:val="24"/>
          <w:szCs w:val="24"/>
          <w:lang w:val="es-ES_tradnl"/>
        </w:rPr>
        <w:t>propuestas técnicas y económicas para la compra de alimento para caballos</w:t>
      </w:r>
      <w:r w:rsidRPr="00030F25">
        <w:rPr>
          <w:rFonts w:ascii="Palatino Linotype" w:hAnsi="Palatino Linotype"/>
          <w:b/>
          <w:bCs/>
          <w:color w:val="000000"/>
          <w:sz w:val="24"/>
          <w:szCs w:val="24"/>
          <w:lang w:val="es-ES_tradnl"/>
        </w:rPr>
        <w:t xml:space="preserve">- </w:t>
      </w:r>
      <w:r w:rsidRPr="00030F25">
        <w:rPr>
          <w:rFonts w:ascii="Palatino Linotype" w:hAnsi="Palatino Linotype"/>
          <w:color w:val="000000"/>
          <w:sz w:val="24"/>
          <w:szCs w:val="24"/>
          <w:lang w:val="es-ES_tradnl"/>
        </w:rPr>
        <w:t xml:space="preserve">es considerado como </w:t>
      </w:r>
      <w:r w:rsidRPr="00030F25">
        <w:rPr>
          <w:rFonts w:ascii="Palatino Linotype" w:hAnsi="Palatino Linotype"/>
          <w:b/>
          <w:bCs/>
          <w:i/>
          <w:iCs/>
          <w:color w:val="000000"/>
          <w:sz w:val="24"/>
          <w:szCs w:val="24"/>
          <w:lang w:val="es-ES_tradnl"/>
        </w:rPr>
        <w:t xml:space="preserve">plus </w:t>
      </w:r>
      <w:proofErr w:type="spellStart"/>
      <w:r w:rsidRPr="00030F25">
        <w:rPr>
          <w:rFonts w:ascii="Palatino Linotype" w:hAnsi="Palatino Linotype"/>
          <w:b/>
          <w:bCs/>
          <w:i/>
          <w:iCs/>
          <w:color w:val="000000"/>
          <w:sz w:val="24"/>
          <w:szCs w:val="24"/>
          <w:lang w:val="es-ES_tradnl"/>
        </w:rPr>
        <w:t>petitio</w:t>
      </w:r>
      <w:proofErr w:type="spellEnd"/>
      <w:r w:rsidRPr="00030F25">
        <w:rPr>
          <w:rFonts w:ascii="Palatino Linotype" w:hAnsi="Palatino Linotype"/>
          <w:b/>
          <w:bCs/>
          <w:i/>
          <w:iCs/>
          <w:color w:val="000000"/>
          <w:sz w:val="24"/>
          <w:szCs w:val="24"/>
          <w:lang w:val="es-ES_tradnl"/>
        </w:rPr>
        <w:t xml:space="preserve"> </w:t>
      </w:r>
      <w:r w:rsidRPr="00030F25">
        <w:rPr>
          <w:rFonts w:ascii="Palatino Linotype" w:hAnsi="Palatino Linotype"/>
          <w:color w:val="000000"/>
          <w:sz w:val="24"/>
          <w:szCs w:val="24"/>
          <w:lang w:val="es-ES_tradnl"/>
        </w:rPr>
        <w:t xml:space="preserve">y no es susceptible de ser valorado. </w:t>
      </w:r>
    </w:p>
    <w:p w14:paraId="73B8FF7F" w14:textId="77777777" w:rsidR="005A4E41" w:rsidRPr="00030F25" w:rsidRDefault="005A4E41" w:rsidP="005A4E41">
      <w:pPr>
        <w:pStyle w:val="Prrafodelista"/>
        <w:tabs>
          <w:tab w:val="left" w:pos="7088"/>
        </w:tabs>
        <w:autoSpaceDE w:val="0"/>
        <w:autoSpaceDN w:val="0"/>
        <w:adjustRightInd w:val="0"/>
        <w:spacing w:line="360" w:lineRule="auto"/>
        <w:ind w:left="0"/>
        <w:jc w:val="both"/>
        <w:rPr>
          <w:rFonts w:ascii="Palatino Linotype" w:hAnsi="Palatino Linotype" w:cs="Arial"/>
        </w:rPr>
      </w:pPr>
      <w:r w:rsidRPr="00030F25">
        <w:rPr>
          <w:rFonts w:ascii="Palatino Linotype" w:hAnsi="Palatino Linotype" w:cs="Arial"/>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1B2EB3A9" w14:textId="77777777" w:rsidR="005A4E41" w:rsidRPr="00030F25" w:rsidRDefault="005A4E41" w:rsidP="005A4E41">
      <w:pPr>
        <w:tabs>
          <w:tab w:val="left" w:pos="7088"/>
        </w:tabs>
        <w:spacing w:before="240" w:line="360" w:lineRule="auto"/>
        <w:jc w:val="both"/>
        <w:rPr>
          <w:rFonts w:ascii="Palatino Linotype" w:hAnsi="Palatino Linotype" w:cs="Arial"/>
          <w:bCs/>
          <w:sz w:val="24"/>
          <w:szCs w:val="24"/>
          <w:lang w:eastAsia="es-MX"/>
        </w:rPr>
      </w:pPr>
      <w:r w:rsidRPr="00030F25">
        <w:rPr>
          <w:rFonts w:ascii="Palatino Linotype" w:hAnsi="Palatino Linotype" w:cs="Arial"/>
          <w:bCs/>
          <w:sz w:val="24"/>
          <w:szCs w:val="24"/>
          <w:lang w:eastAsia="es-MX"/>
        </w:rPr>
        <w:t>Sirve de apoyo a lo anterior por analogía, la Jurisprudencia No. 29 visible a foja 19 del Apéndice al Semanario Judicial de la Federación 1917-1995, Tomo IV, Materia Común, Primera Parte, Tesis de la Suprema Corte de Justicia, que señala:</w:t>
      </w:r>
    </w:p>
    <w:p w14:paraId="69AF0C12" w14:textId="77777777" w:rsidR="005A4E41" w:rsidRPr="00030F25" w:rsidRDefault="005A4E41" w:rsidP="005A4E41">
      <w:pPr>
        <w:spacing w:before="240" w:line="360" w:lineRule="auto"/>
        <w:ind w:left="851" w:right="851"/>
        <w:jc w:val="both"/>
        <w:rPr>
          <w:rFonts w:ascii="Palatino Linotype" w:hAnsi="Palatino Linotype" w:cs="Arial"/>
          <w:b/>
          <w:bCs/>
          <w:i/>
          <w:lang w:eastAsia="es-MX"/>
        </w:rPr>
      </w:pPr>
      <w:r w:rsidRPr="00030F25">
        <w:rPr>
          <w:rFonts w:ascii="Palatino Linotype" w:hAnsi="Palatino Linotype" w:cs="Arial"/>
          <w:b/>
          <w:bCs/>
          <w:i/>
          <w:lang w:eastAsia="es-MX"/>
        </w:rPr>
        <w:t>“AGRAVIOS EN LA REVISIÓN. DEBEN ESTAR EN RELACIÓN DIRECTA CON LOS FUNDAMENTOS Y CONSIDERACIONES DE LA SENTENCIA</w:t>
      </w:r>
    </w:p>
    <w:p w14:paraId="7B6EF8C9" w14:textId="77777777" w:rsidR="005A4E41" w:rsidRPr="00030F25" w:rsidRDefault="005A4E41" w:rsidP="005A4E41">
      <w:pPr>
        <w:tabs>
          <w:tab w:val="left" w:pos="7797"/>
        </w:tabs>
        <w:spacing w:before="240" w:line="360" w:lineRule="auto"/>
        <w:ind w:left="851" w:right="851"/>
        <w:jc w:val="both"/>
        <w:rPr>
          <w:rFonts w:ascii="Palatino Linotype" w:hAnsi="Palatino Linotype" w:cs="Arial"/>
          <w:bCs/>
          <w:i/>
          <w:lang w:eastAsia="es-MX"/>
        </w:rPr>
      </w:pPr>
      <w:r w:rsidRPr="00030F25">
        <w:rPr>
          <w:rFonts w:ascii="Palatino Linotype" w:hAnsi="Palatino Linotype" w:cs="Arial"/>
          <w:b/>
          <w:bCs/>
          <w:i/>
          <w:u w:val="single"/>
          <w:lang w:eastAsia="es-MX"/>
        </w:rPr>
        <w:t>Los agravios deben estar en relación directa e inmediata con los fundamentos contenidos en la sentencia que se recurre</w:t>
      </w:r>
      <w:r w:rsidRPr="00030F25">
        <w:rPr>
          <w:rFonts w:ascii="Palatino Linotype" w:hAnsi="Palatino Linotype" w:cs="Arial"/>
          <w:bCs/>
          <w:i/>
          <w:lang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w:t>
      </w:r>
      <w:r w:rsidRPr="00030F25">
        <w:rPr>
          <w:rFonts w:ascii="Palatino Linotype" w:hAnsi="Palatino Linotype" w:cs="Arial"/>
          <w:bCs/>
          <w:i/>
          <w:lang w:eastAsia="es-MX"/>
        </w:rPr>
        <w:lastRenderedPageBreak/>
        <w:t xml:space="preserve">introducción de nuevas cuestiones en la revisión, que no constituyen su materia, toda vez que esta se limita al estudio integral del fallo que se combate, con vista de los motivos de inconformidad que plantean los recurrentes.” </w:t>
      </w:r>
      <w:r w:rsidRPr="00030F25">
        <w:rPr>
          <w:rFonts w:ascii="Palatino Linotype" w:eastAsia="Times New Roman" w:hAnsi="Palatino Linotype" w:cs="Times New Roman"/>
          <w:b/>
          <w:i/>
          <w:sz w:val="24"/>
          <w:szCs w:val="24"/>
          <w:lang w:val="es-ES_tradnl" w:eastAsia="es-ES"/>
        </w:rPr>
        <w:t>[Sic]</w:t>
      </w:r>
    </w:p>
    <w:p w14:paraId="21A62941" w14:textId="77777777" w:rsidR="005A4E41" w:rsidRPr="00030F25" w:rsidRDefault="005A4E41" w:rsidP="005A4E41">
      <w:pPr>
        <w:tabs>
          <w:tab w:val="left" w:pos="1301"/>
        </w:tabs>
        <w:spacing w:before="240" w:line="360" w:lineRule="auto"/>
        <w:ind w:right="51"/>
        <w:jc w:val="both"/>
        <w:rPr>
          <w:rFonts w:ascii="Palatino Linotype" w:hAnsi="Palatino Linotype" w:cs="Arial"/>
          <w:bCs/>
          <w:sz w:val="24"/>
          <w:szCs w:val="24"/>
          <w:lang w:eastAsia="es-MX"/>
        </w:rPr>
      </w:pPr>
    </w:p>
    <w:p w14:paraId="6B4B2696" w14:textId="0CB7E941" w:rsidR="005A4E41" w:rsidRPr="00030F25" w:rsidRDefault="005A4E41" w:rsidP="005A4E41">
      <w:pPr>
        <w:tabs>
          <w:tab w:val="left" w:pos="1301"/>
        </w:tabs>
        <w:spacing w:before="240" w:line="360" w:lineRule="auto"/>
        <w:ind w:right="51"/>
        <w:jc w:val="both"/>
        <w:rPr>
          <w:rFonts w:ascii="Palatino Linotype" w:hAnsi="Palatino Linotype" w:cs="Arial"/>
          <w:bCs/>
          <w:sz w:val="24"/>
          <w:szCs w:val="24"/>
          <w:lang w:eastAsia="es-MX"/>
        </w:rPr>
      </w:pPr>
      <w:r w:rsidRPr="00030F25">
        <w:rPr>
          <w:rFonts w:ascii="Palatino Linotype" w:hAnsi="Palatino Linotype" w:cs="Arial"/>
          <w:bCs/>
          <w:sz w:val="24"/>
          <w:szCs w:val="24"/>
          <w:lang w:eastAsia="es-MX"/>
        </w:rPr>
        <w:t xml:space="preserve">Por lo anterior, se establece que dentro del recurso de revisión presentado por </w:t>
      </w:r>
      <w:r w:rsidRPr="00030F25">
        <w:rPr>
          <w:rFonts w:ascii="Palatino Linotype" w:hAnsi="Palatino Linotype" w:cs="Arial"/>
          <w:b/>
          <w:bCs/>
          <w:sz w:val="24"/>
          <w:szCs w:val="24"/>
          <w:lang w:eastAsia="es-MX"/>
        </w:rPr>
        <w:t xml:space="preserve">El Recurrente </w:t>
      </w:r>
      <w:r w:rsidRPr="00030F25">
        <w:rPr>
          <w:rFonts w:ascii="Palatino Linotype" w:hAnsi="Palatino Linotype" w:cs="Arial"/>
          <w:bCs/>
          <w:sz w:val="24"/>
          <w:szCs w:val="24"/>
          <w:lang w:eastAsia="es-MX"/>
        </w:rPr>
        <w:t xml:space="preserve">no debe variar el fondo de </w:t>
      </w:r>
      <w:r w:rsidRPr="00030F25">
        <w:rPr>
          <w:rFonts w:ascii="Palatino Linotype" w:hAnsi="Palatino Linotype" w:cs="Arial"/>
          <w:bCs/>
          <w:i/>
          <w:sz w:val="24"/>
          <w:szCs w:val="24"/>
          <w:lang w:eastAsia="es-MX"/>
        </w:rPr>
        <w:t xml:space="preserve">la </w:t>
      </w:r>
      <w:proofErr w:type="spellStart"/>
      <w:r w:rsidRPr="00030F25">
        <w:rPr>
          <w:rFonts w:ascii="Palatino Linotype" w:hAnsi="Palatino Linotype" w:cs="Arial"/>
          <w:bCs/>
          <w:i/>
          <w:sz w:val="24"/>
          <w:szCs w:val="24"/>
          <w:lang w:eastAsia="es-MX"/>
        </w:rPr>
        <w:t>litis</w:t>
      </w:r>
      <w:proofErr w:type="spellEnd"/>
      <w:r w:rsidRPr="00030F25">
        <w:rPr>
          <w:rFonts w:ascii="Palatino Linotype" w:hAnsi="Palatino Linotype" w:cs="Arial"/>
          <w:bCs/>
          <w:i/>
          <w:sz w:val="24"/>
          <w:szCs w:val="24"/>
          <w:lang w:eastAsia="es-MX"/>
        </w:rPr>
        <w:t>,</w:t>
      </w:r>
      <w:r w:rsidRPr="00030F25">
        <w:rPr>
          <w:rFonts w:ascii="Palatino Linotype" w:hAnsi="Palatino Linotype" w:cs="Arial"/>
          <w:bCs/>
          <w:sz w:val="24"/>
          <w:szCs w:val="24"/>
          <w:lang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3D14342A" w14:textId="77777777" w:rsidR="005A4E41" w:rsidRPr="00030F25" w:rsidRDefault="005A4E41" w:rsidP="005A4E41">
      <w:pPr>
        <w:tabs>
          <w:tab w:val="left" w:pos="7088"/>
          <w:tab w:val="left" w:pos="7230"/>
        </w:tabs>
        <w:spacing w:before="240" w:line="360" w:lineRule="auto"/>
        <w:jc w:val="both"/>
        <w:rPr>
          <w:rFonts w:ascii="Palatino Linotype" w:hAnsi="Palatino Linotype" w:cs="Arial"/>
          <w:bCs/>
          <w:sz w:val="24"/>
          <w:szCs w:val="24"/>
          <w:lang w:eastAsia="es-MX"/>
        </w:rPr>
      </w:pPr>
      <w:r w:rsidRPr="00030F25">
        <w:rPr>
          <w:rFonts w:ascii="Palatino Linotype" w:hAnsi="Palatino Linotype" w:cs="Arial"/>
          <w:bCs/>
          <w:sz w:val="24"/>
          <w:szCs w:val="24"/>
          <w:lang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4B2209D9" w14:textId="77777777" w:rsidR="005A4E41" w:rsidRPr="00030F25" w:rsidRDefault="005A4E41" w:rsidP="005A4E41">
      <w:pPr>
        <w:tabs>
          <w:tab w:val="left" w:pos="6237"/>
        </w:tabs>
        <w:spacing w:before="240" w:line="360" w:lineRule="auto"/>
        <w:ind w:left="851" w:right="851"/>
        <w:jc w:val="both"/>
        <w:rPr>
          <w:rFonts w:ascii="Palatino Linotype" w:hAnsi="Palatino Linotype" w:cs="Arial"/>
          <w:b/>
          <w:bCs/>
          <w:i/>
          <w:u w:val="single"/>
          <w:lang w:eastAsia="es-MX"/>
        </w:rPr>
      </w:pPr>
      <w:r w:rsidRPr="00030F25">
        <w:rPr>
          <w:rFonts w:ascii="Palatino Linotype" w:hAnsi="Palatino Linotype" w:cs="Arial"/>
          <w:b/>
          <w:bCs/>
          <w:i/>
          <w:lang w:eastAsia="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030F25">
        <w:rPr>
          <w:rFonts w:ascii="Palatino Linotype" w:hAnsi="Palatino Linotype" w:cs="Arial"/>
          <w:b/>
          <w:bCs/>
          <w:i/>
          <w:u w:val="single"/>
          <w:lang w:eastAsia="es-MX"/>
        </w:rPr>
        <w:t xml:space="preserve">O SEAN DISTINTOS A LOS DE SU PETICIÓN INICIAL. </w:t>
      </w:r>
    </w:p>
    <w:p w14:paraId="73E09475" w14:textId="77777777" w:rsidR="005A4E41" w:rsidRPr="00030F25" w:rsidRDefault="005A4E41" w:rsidP="005A4E41">
      <w:pPr>
        <w:tabs>
          <w:tab w:val="left" w:pos="6237"/>
        </w:tabs>
        <w:spacing w:before="240" w:line="360" w:lineRule="auto"/>
        <w:ind w:left="851" w:right="851"/>
        <w:jc w:val="both"/>
        <w:rPr>
          <w:rFonts w:ascii="Palatino Linotype" w:hAnsi="Palatino Linotype" w:cs="Arial"/>
          <w:b/>
          <w:bCs/>
          <w:i/>
          <w:lang w:eastAsia="es-MX"/>
        </w:rPr>
      </w:pPr>
      <w:r w:rsidRPr="00030F25">
        <w:rPr>
          <w:rFonts w:ascii="Palatino Linotype" w:hAnsi="Palatino Linotype" w:cs="Arial"/>
          <w:bCs/>
          <w:i/>
          <w:lang w:eastAsia="es-MX"/>
        </w:rPr>
        <w:t xml:space="preserve">Si bien es cierto que los artículos 1 y 2 de la Ley Federal de Transparencia y Acceso a la Información Pública Gubernamental establecen, respectivamente, que dicho </w:t>
      </w:r>
      <w:r w:rsidRPr="00030F25">
        <w:rPr>
          <w:rFonts w:ascii="Palatino Linotype" w:hAnsi="Palatino Linotype" w:cs="Arial"/>
          <w:bCs/>
          <w:i/>
          <w:lang w:eastAsia="es-MX"/>
        </w:rPr>
        <w:lastRenderedPageBreak/>
        <w:t xml:space="preserve">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030F25">
        <w:rPr>
          <w:rFonts w:ascii="Palatino Linotype" w:hAnsi="Palatino Linotype" w:cs="Arial"/>
          <w:b/>
          <w:bCs/>
          <w:i/>
          <w:u w:val="single"/>
          <w:lang w:eastAsia="es-MX"/>
        </w:rPr>
        <w:t>el precepto 6 de la propia legislación prevé el principio de máxima publicidad y disponibilidad de la información en posesión de los sujetos obligados;</w:t>
      </w:r>
      <w:r w:rsidRPr="00030F25">
        <w:rPr>
          <w:rFonts w:ascii="Palatino Linotype" w:hAnsi="Palatino Linotype" w:cs="Arial"/>
          <w:bCs/>
          <w:i/>
          <w:lang w:eastAsia="es-MX"/>
        </w:rPr>
        <w:t xml:space="preserve"> también lo es que ello no implica que tales numerales deban interpretarse en el sentido de permitir al gobernado que a su arbitrio solicite copia de documentos que no obren en los expedientes de los sujetos obligados</w:t>
      </w:r>
      <w:r w:rsidRPr="00030F25">
        <w:rPr>
          <w:rFonts w:ascii="Palatino Linotype" w:hAnsi="Palatino Linotype" w:cs="Arial"/>
          <w:b/>
          <w:bCs/>
          <w:i/>
          <w:lang w:eastAsia="es-MX"/>
        </w:rPr>
        <w:t xml:space="preserve">, </w:t>
      </w:r>
      <w:r w:rsidRPr="00030F25">
        <w:rPr>
          <w:rFonts w:ascii="Palatino Linotype" w:hAnsi="Palatino Linotype" w:cs="Arial"/>
          <w:b/>
          <w:bCs/>
          <w:i/>
          <w:u w:val="single"/>
          <w:lang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09AC496A" w14:textId="77777777" w:rsidR="005A4E41" w:rsidRPr="00030F25" w:rsidRDefault="005A4E41" w:rsidP="005A4E41">
      <w:pPr>
        <w:tabs>
          <w:tab w:val="left" w:pos="6237"/>
        </w:tabs>
        <w:spacing w:before="240" w:line="360" w:lineRule="auto"/>
        <w:ind w:left="851" w:right="851"/>
        <w:jc w:val="both"/>
        <w:rPr>
          <w:rFonts w:ascii="Palatino Linotype" w:hAnsi="Palatino Linotype" w:cs="Arial"/>
          <w:bCs/>
          <w:i/>
          <w:lang w:eastAsia="es-MX"/>
        </w:rPr>
      </w:pPr>
      <w:r w:rsidRPr="00030F25">
        <w:rPr>
          <w:rFonts w:ascii="Palatino Linotype" w:hAnsi="Palatino Linotype" w:cs="Arial"/>
          <w:bCs/>
          <w:i/>
          <w:lang w:eastAsia="es-MX"/>
        </w:rPr>
        <w:t xml:space="preserve">OCTAVO TRIBUNAL COLEGIADO EN MATERIA ADMINISTRATIVA DEL PRIMER CIRCUITO.” </w:t>
      </w:r>
      <w:r w:rsidRPr="00030F25">
        <w:rPr>
          <w:rFonts w:ascii="Palatino Linotype" w:eastAsia="Times New Roman" w:hAnsi="Palatino Linotype" w:cs="Times New Roman"/>
          <w:b/>
          <w:i/>
          <w:sz w:val="24"/>
          <w:szCs w:val="24"/>
          <w:lang w:val="es-ES_tradnl" w:eastAsia="es-ES"/>
        </w:rPr>
        <w:t>[Sic]</w:t>
      </w:r>
    </w:p>
    <w:p w14:paraId="31891331" w14:textId="77777777" w:rsidR="005A4E41" w:rsidRPr="00030F25" w:rsidRDefault="005A4E41" w:rsidP="005A4E41">
      <w:pPr>
        <w:spacing w:before="240" w:line="360" w:lineRule="auto"/>
        <w:jc w:val="both"/>
        <w:rPr>
          <w:rFonts w:ascii="Palatino Linotype" w:hAnsi="Palatino Linotype" w:cs="Arial"/>
          <w:bCs/>
          <w:sz w:val="24"/>
          <w:szCs w:val="24"/>
          <w:lang w:eastAsia="es-MX"/>
        </w:rPr>
      </w:pPr>
    </w:p>
    <w:p w14:paraId="72B214AA" w14:textId="77777777" w:rsidR="005A4E41" w:rsidRPr="00030F25" w:rsidRDefault="005A4E41" w:rsidP="005A4E41">
      <w:pPr>
        <w:spacing w:before="240" w:line="360" w:lineRule="auto"/>
        <w:jc w:val="both"/>
        <w:rPr>
          <w:rFonts w:ascii="Palatino Linotype" w:hAnsi="Palatino Linotype" w:cs="Arial"/>
          <w:bCs/>
          <w:sz w:val="24"/>
          <w:szCs w:val="24"/>
          <w:lang w:eastAsia="es-MX"/>
        </w:rPr>
      </w:pPr>
      <w:r w:rsidRPr="00030F25">
        <w:rPr>
          <w:rFonts w:ascii="Palatino Linotype" w:hAnsi="Palatino Linotype" w:cs="Arial"/>
          <w:bCs/>
          <w:sz w:val="24"/>
          <w:szCs w:val="24"/>
          <w:lang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w:t>
      </w:r>
      <w:r w:rsidRPr="00030F25">
        <w:rPr>
          <w:rFonts w:ascii="Palatino Linotype" w:hAnsi="Palatino Linotype" w:cs="Arial"/>
          <w:bCs/>
          <w:sz w:val="24"/>
          <w:szCs w:val="24"/>
          <w:lang w:eastAsia="es-MX"/>
        </w:rPr>
        <w:lastRenderedPageBreak/>
        <w:t xml:space="preserve">Lo anterior de conformidad con el criterio 27/10; por lo que este Órgano Garante insiste en la imposibilidad de entrar al estudio de información novedosa. Criterio que es de la literalidad siguiente: </w:t>
      </w:r>
    </w:p>
    <w:p w14:paraId="34CFC41B" w14:textId="77777777" w:rsidR="005A4E41" w:rsidRPr="00030F25" w:rsidRDefault="005A4E41" w:rsidP="005A4E41">
      <w:pPr>
        <w:tabs>
          <w:tab w:val="left" w:pos="7513"/>
        </w:tabs>
        <w:spacing w:before="240" w:line="360" w:lineRule="auto"/>
        <w:ind w:left="851" w:right="851"/>
        <w:jc w:val="both"/>
        <w:rPr>
          <w:rFonts w:ascii="Palatino Linotype" w:hAnsi="Palatino Linotype" w:cs="Arial"/>
          <w:b/>
          <w:bCs/>
          <w:i/>
          <w:lang w:eastAsia="es-MX"/>
        </w:rPr>
      </w:pPr>
      <w:r w:rsidRPr="00030F25">
        <w:rPr>
          <w:rFonts w:ascii="Palatino Linotype" w:hAnsi="Palatino Linotype" w:cs="Arial"/>
          <w:b/>
          <w:bCs/>
          <w:i/>
          <w:lang w:eastAsia="es-MX"/>
        </w:rPr>
        <w:t>“ES IMPROCEDENTE AMPLIAR LAS SOLICITUDES DE ACCESO A INFORMACIÓN PÚBLICA O DATOS PERSONALES, A TRAVÉS DE LA INTERPOSICIÓN DEL RECURSO DE REVISIÓN</w:t>
      </w:r>
    </w:p>
    <w:p w14:paraId="21A30D83" w14:textId="77777777" w:rsidR="005A4E41" w:rsidRPr="00030F25" w:rsidRDefault="005A4E41" w:rsidP="005A4E41">
      <w:pPr>
        <w:tabs>
          <w:tab w:val="left" w:pos="7513"/>
        </w:tabs>
        <w:spacing w:before="240" w:line="360" w:lineRule="auto"/>
        <w:ind w:left="851" w:right="851"/>
        <w:jc w:val="both"/>
        <w:rPr>
          <w:rFonts w:ascii="Palatino Linotype" w:hAnsi="Palatino Linotype" w:cs="Arial"/>
          <w:bCs/>
          <w:i/>
          <w:lang w:eastAsia="es-MX"/>
        </w:rPr>
      </w:pPr>
      <w:r w:rsidRPr="00030F25">
        <w:rPr>
          <w:rFonts w:ascii="Palatino Linotype" w:hAnsi="Palatino Linotype" w:cs="Arial"/>
          <w:b/>
          <w:bCs/>
          <w:i/>
          <w:u w:val="single"/>
          <w:lang w:eastAsia="es-MX"/>
        </w:rPr>
        <w:t>En aquellos casos en los que los recurrentes amplíen los alcances de la solicitud de información o acceso a datos personales a través de un recurso de revisión, esta</w:t>
      </w:r>
      <w:r w:rsidRPr="00030F25">
        <w:rPr>
          <w:rFonts w:ascii="Palatino Linotype" w:hAnsi="Palatino Linotype" w:cs="Arial"/>
          <w:bCs/>
          <w:i/>
          <w:u w:val="single"/>
          <w:lang w:eastAsia="es-MX"/>
        </w:rPr>
        <w:t xml:space="preserve"> </w:t>
      </w:r>
      <w:r w:rsidRPr="00030F25">
        <w:rPr>
          <w:rFonts w:ascii="Palatino Linotype" w:hAnsi="Palatino Linotype" w:cs="Arial"/>
          <w:b/>
          <w:bCs/>
          <w:i/>
          <w:u w:val="single"/>
          <w:lang w:eastAsia="es-MX"/>
        </w:rPr>
        <w:t>ampliación no podrá constituir materia del procedimiento a sustanciarse</w:t>
      </w:r>
      <w:r w:rsidRPr="00030F25">
        <w:rPr>
          <w:rFonts w:ascii="Palatino Linotype" w:hAnsi="Palatino Linotype" w:cs="Arial"/>
          <w:bCs/>
          <w:i/>
          <w:lang w:eastAsia="es-MX"/>
        </w:rPr>
        <w:t xml:space="preserve"> por el Instituto Federal de Acceso a la Información y Protección de Datos. Lo anterior, sin perjuicio de que los recurrentes puedan ejercer su derecho a realizar una nueva solicitud en términos de la Ley de la materia. </w:t>
      </w:r>
    </w:p>
    <w:p w14:paraId="074A1BEE" w14:textId="77777777" w:rsidR="005A4E41" w:rsidRPr="00030F25" w:rsidRDefault="005A4E41" w:rsidP="005A4E41">
      <w:pPr>
        <w:tabs>
          <w:tab w:val="left" w:pos="7513"/>
        </w:tabs>
        <w:spacing w:before="240" w:line="360" w:lineRule="auto"/>
        <w:ind w:left="851" w:right="851"/>
        <w:jc w:val="both"/>
        <w:rPr>
          <w:rFonts w:ascii="Palatino Linotype" w:hAnsi="Palatino Linotype" w:cs="Arial"/>
          <w:bCs/>
          <w:i/>
          <w:lang w:eastAsia="es-MX"/>
        </w:rPr>
      </w:pPr>
      <w:r w:rsidRPr="00030F25">
        <w:rPr>
          <w:rFonts w:ascii="Palatino Linotype" w:hAnsi="Palatino Linotype" w:cs="Arial"/>
          <w:bCs/>
          <w:i/>
          <w:lang w:eastAsia="es-MX"/>
        </w:rPr>
        <w:t xml:space="preserve">Expedientes: 5871/08 Secretaría de Educación Pública –Alonso Gómez- Robledo Verduzco 3468/09 Instituto de Seguridad y Servicios Sociales de los Trabajadores del Estado – Ángel Trinidad Zaldívar 5417/09 Procuraduría General de la </w:t>
      </w:r>
      <w:proofErr w:type="gramStart"/>
      <w:r w:rsidRPr="00030F25">
        <w:rPr>
          <w:rFonts w:ascii="Palatino Linotype" w:hAnsi="Palatino Linotype" w:cs="Arial"/>
          <w:bCs/>
          <w:i/>
          <w:lang w:eastAsia="es-MX"/>
        </w:rPr>
        <w:t>República  -</w:t>
      </w:r>
      <w:proofErr w:type="gramEnd"/>
      <w:r w:rsidRPr="00030F25">
        <w:rPr>
          <w:rFonts w:ascii="Palatino Linotype" w:hAnsi="Palatino Linotype" w:cs="Arial"/>
          <w:bCs/>
          <w:i/>
          <w:lang w:eastAsia="es-MX"/>
        </w:rPr>
        <w:t xml:space="preserve"> María </w:t>
      </w:r>
      <w:proofErr w:type="spellStart"/>
      <w:r w:rsidRPr="00030F25">
        <w:rPr>
          <w:rFonts w:ascii="Palatino Linotype" w:hAnsi="Palatino Linotype" w:cs="Arial"/>
          <w:bCs/>
          <w:i/>
          <w:lang w:eastAsia="es-MX"/>
        </w:rPr>
        <w:t>Marván</w:t>
      </w:r>
      <w:proofErr w:type="spellEnd"/>
      <w:r w:rsidRPr="00030F25">
        <w:rPr>
          <w:rFonts w:ascii="Palatino Linotype" w:hAnsi="Palatino Linotype" w:cs="Arial"/>
          <w:bCs/>
          <w:i/>
          <w:lang w:eastAsia="es-MX"/>
        </w:rPr>
        <w:t xml:space="preserve"> Laborde1523 1006/10 Instituto Mexicano del Seguro Social – Sigrid </w:t>
      </w:r>
      <w:proofErr w:type="spellStart"/>
      <w:r w:rsidRPr="00030F25">
        <w:rPr>
          <w:rFonts w:ascii="Palatino Linotype" w:hAnsi="Palatino Linotype" w:cs="Arial"/>
          <w:bCs/>
          <w:i/>
          <w:lang w:eastAsia="es-MX"/>
        </w:rPr>
        <w:t>Arzt</w:t>
      </w:r>
      <w:proofErr w:type="spellEnd"/>
      <w:r w:rsidRPr="00030F25">
        <w:rPr>
          <w:rFonts w:ascii="Palatino Linotype" w:hAnsi="Palatino Linotype" w:cs="Arial"/>
          <w:bCs/>
          <w:i/>
          <w:lang w:eastAsia="es-MX"/>
        </w:rPr>
        <w:t xml:space="preserve"> Colunga 1378/10 Instituto de Seguridad y Servicios Sociales de los Trabajadores del Estado – María Elena Pérez-Jaén Zermeño.” </w:t>
      </w:r>
      <w:r w:rsidRPr="00030F25">
        <w:rPr>
          <w:rFonts w:ascii="Palatino Linotype" w:eastAsia="Times New Roman" w:hAnsi="Palatino Linotype" w:cs="Times New Roman"/>
          <w:b/>
          <w:i/>
          <w:sz w:val="24"/>
          <w:szCs w:val="24"/>
          <w:lang w:val="es-ES_tradnl" w:eastAsia="es-ES"/>
        </w:rPr>
        <w:t>[Sic]</w:t>
      </w:r>
    </w:p>
    <w:p w14:paraId="411E3BEC" w14:textId="77777777" w:rsidR="005A4E41" w:rsidRPr="005A4E41" w:rsidRDefault="005A4E41" w:rsidP="005A4E41">
      <w:pPr>
        <w:spacing w:before="240" w:line="360" w:lineRule="auto"/>
        <w:jc w:val="both"/>
        <w:rPr>
          <w:rFonts w:ascii="Palatino Linotype" w:hAnsi="Palatino Linotype"/>
          <w:sz w:val="24"/>
          <w:szCs w:val="24"/>
          <w:highlight w:val="yellow"/>
        </w:rPr>
      </w:pPr>
    </w:p>
    <w:p w14:paraId="3FEDAAFF" w14:textId="56731DE0" w:rsidR="005A4E41" w:rsidRPr="005A4E41" w:rsidRDefault="005A4E41" w:rsidP="005A4E41">
      <w:pPr>
        <w:pStyle w:val="Sinespaciado"/>
        <w:spacing w:line="360" w:lineRule="auto"/>
        <w:ind w:right="141"/>
        <w:jc w:val="both"/>
        <w:rPr>
          <w:rFonts w:ascii="Palatino Linotype" w:hAnsi="Palatino Linotype"/>
          <w:bCs/>
          <w:highlight w:val="yellow"/>
        </w:rPr>
      </w:pPr>
      <w:r w:rsidRPr="00030F25">
        <w:rPr>
          <w:rFonts w:ascii="Palatino Linotype" w:hAnsi="Palatino Linotype"/>
          <w:bCs/>
        </w:rPr>
        <w:t xml:space="preserve">En consecuencia, </w:t>
      </w:r>
      <w:r w:rsidRPr="00030F25">
        <w:rPr>
          <w:rFonts w:ascii="Palatino Linotype" w:hAnsi="Palatino Linotype"/>
          <w:b/>
          <w:bCs/>
        </w:rPr>
        <w:t>El Sujeto Obligado</w:t>
      </w:r>
      <w:r w:rsidRPr="00030F25">
        <w:rPr>
          <w:rFonts w:ascii="Palatino Linotype" w:hAnsi="Palatino Linotype"/>
          <w:bCs/>
        </w:rPr>
        <w:t xml:space="preserve"> no se encontraba en condiciones de proporcionar la información antes señalada consistente en </w:t>
      </w:r>
      <w:r w:rsidR="00030F25" w:rsidRPr="00030F25">
        <w:rPr>
          <w:rFonts w:ascii="Palatino Linotype" w:hAnsi="Palatino Linotype"/>
          <w:b/>
          <w:bCs/>
          <w:color w:val="000000"/>
          <w:lang w:val="es-ES_tradnl"/>
        </w:rPr>
        <w:t xml:space="preserve">-propuestas técnicas y económicas para la compra de alimento para caballos-; </w:t>
      </w:r>
      <w:r w:rsidRPr="00030F25">
        <w:rPr>
          <w:rFonts w:ascii="Palatino Linotype" w:hAnsi="Palatino Linotype"/>
          <w:color w:val="000000"/>
          <w:lang w:val="es-ES_tradnl"/>
        </w:rPr>
        <w:t xml:space="preserve">en razón de que dicha </w:t>
      </w:r>
      <w:r w:rsidRPr="00030F25">
        <w:rPr>
          <w:rFonts w:ascii="Palatino Linotype" w:hAnsi="Palatino Linotype"/>
          <w:color w:val="000000"/>
          <w:lang w:val="es-ES_tradnl"/>
        </w:rPr>
        <w:lastRenderedPageBreak/>
        <w:t xml:space="preserve">información solicitada en los motivos de inconformidad, no fue requerida en la solicitud de información primigenia, resultando injustificado examinar tales argumentos pues </w:t>
      </w:r>
      <w:r w:rsidRPr="00030F25">
        <w:rPr>
          <w:rFonts w:ascii="Palatino Linotype" w:hAnsi="Palatino Linotype"/>
          <w:bCs/>
        </w:rPr>
        <w:t xml:space="preserve">éstos no fueron del conocimiento del </w:t>
      </w:r>
      <w:r w:rsidRPr="00030F25">
        <w:rPr>
          <w:rFonts w:ascii="Palatino Linotype" w:hAnsi="Palatino Linotype"/>
          <w:b/>
          <w:bCs/>
        </w:rPr>
        <w:t>Sujeto Obligado</w:t>
      </w:r>
      <w:r w:rsidRPr="00030F25">
        <w:rPr>
          <w:rFonts w:ascii="Palatino Linotype" w:hAnsi="Palatino Linotype"/>
          <w:bCs/>
        </w:rPr>
        <w:t xml:space="preserve"> inicialmente, por lo que este no tuvo la oportunidad legal de analizarla ni de pronunciarse sobre la misma. </w:t>
      </w:r>
    </w:p>
    <w:p w14:paraId="5F5C6B1D" w14:textId="20F5C82B" w:rsidR="00030F25" w:rsidRPr="00030F25" w:rsidRDefault="005A4E41" w:rsidP="005A4E41">
      <w:pPr>
        <w:pStyle w:val="Prrafodelista"/>
        <w:autoSpaceDE w:val="0"/>
        <w:autoSpaceDN w:val="0"/>
        <w:adjustRightInd w:val="0"/>
        <w:spacing w:before="240" w:after="160" w:line="360" w:lineRule="auto"/>
        <w:ind w:left="0"/>
        <w:jc w:val="both"/>
        <w:rPr>
          <w:rFonts w:ascii="Palatino Linotype" w:hAnsi="Palatino Linotype"/>
          <w:b/>
          <w:bCs/>
        </w:rPr>
      </w:pPr>
      <w:r w:rsidRPr="00030F25">
        <w:rPr>
          <w:rFonts w:ascii="Palatino Linotype" w:hAnsi="Palatino Linotype" w:cs="Arial"/>
          <w:lang w:val="es-MX"/>
        </w:rPr>
        <w:t xml:space="preserve">Por otra parte, de una </w:t>
      </w:r>
      <w:r w:rsidRPr="00030F25">
        <w:rPr>
          <w:rFonts w:ascii="Palatino Linotype" w:hAnsi="Palatino Linotype"/>
        </w:rPr>
        <w:t xml:space="preserve">interpretación literal y gramatical a los motivos de inconformidad aducidos por el particular se advierte que consiente los requerimientos identificados </w:t>
      </w:r>
      <w:r w:rsidR="00030F25" w:rsidRPr="00030F25">
        <w:rPr>
          <w:rFonts w:ascii="Palatino Linotype" w:hAnsi="Palatino Linotype"/>
        </w:rPr>
        <w:t xml:space="preserve">formulados mediante la solicitud de información </w:t>
      </w:r>
      <w:r w:rsidR="00030F25" w:rsidRPr="00030F25">
        <w:rPr>
          <w:rFonts w:ascii="Palatino Linotype" w:hAnsi="Palatino Linotype"/>
          <w:b/>
          <w:bCs/>
        </w:rPr>
        <w:t xml:space="preserve">00030/JOSERIN/IP/2025. </w:t>
      </w:r>
    </w:p>
    <w:p w14:paraId="2745B456" w14:textId="44F67A9E" w:rsidR="005A4E41" w:rsidRPr="00030F25" w:rsidRDefault="005A4E41" w:rsidP="005A4E41">
      <w:pPr>
        <w:tabs>
          <w:tab w:val="left" w:pos="709"/>
        </w:tabs>
        <w:spacing w:before="240" w:line="360" w:lineRule="auto"/>
        <w:ind w:right="51"/>
        <w:jc w:val="both"/>
        <w:rPr>
          <w:rFonts w:ascii="Palatino Linotype" w:hAnsi="Palatino Linotype" w:cs="Arial"/>
          <w:sz w:val="24"/>
          <w:szCs w:val="24"/>
        </w:rPr>
      </w:pPr>
      <w:r w:rsidRPr="00030F25">
        <w:rPr>
          <w:rFonts w:ascii="Palatino Linotype" w:hAnsi="Palatino Linotype"/>
          <w:sz w:val="24"/>
          <w:szCs w:val="24"/>
        </w:rPr>
        <w:t xml:space="preserve">Luego entonces, la parte de la solicitud sobre la que no se expresó inconformidad </w:t>
      </w:r>
      <w:r w:rsidRPr="00030F25">
        <w:rPr>
          <w:rFonts w:ascii="Palatino Linotype" w:hAnsi="Palatino Linotype"/>
          <w:sz w:val="24"/>
          <w:szCs w:val="24"/>
          <w:lang w:eastAsia="es-MX"/>
        </w:rPr>
        <w:t xml:space="preserve">debe declararse consentida por el hoy </w:t>
      </w:r>
      <w:r w:rsidRPr="00030F25">
        <w:rPr>
          <w:rFonts w:ascii="Palatino Linotype" w:hAnsi="Palatino Linotype"/>
          <w:b/>
          <w:sz w:val="24"/>
          <w:szCs w:val="24"/>
          <w:lang w:eastAsia="es-MX"/>
        </w:rPr>
        <w:t xml:space="preserve">Recurrente, </w:t>
      </w:r>
      <w:r w:rsidRPr="00030F25">
        <w:rPr>
          <w:rFonts w:ascii="Palatino Linotype" w:hAnsi="Palatino Linotype"/>
          <w:sz w:val="24"/>
          <w:szCs w:val="24"/>
          <w:lang w:eastAsia="es-MX"/>
        </w:rPr>
        <w:t xml:space="preserve">ya que </w:t>
      </w:r>
      <w:r w:rsidRPr="00030F25">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w:t>
      </w:r>
      <w:r w:rsidR="00030F25" w:rsidRPr="00030F25">
        <w:rPr>
          <w:rFonts w:ascii="Palatino Linotype" w:hAnsi="Palatino Linotype" w:cs="Arial"/>
          <w:sz w:val="24"/>
          <w:szCs w:val="24"/>
          <w:lang w:eastAsia="es-MX"/>
        </w:rPr>
        <w:t>del</w:t>
      </w:r>
      <w:r w:rsidRPr="00030F25">
        <w:rPr>
          <w:rFonts w:ascii="Palatino Linotype" w:hAnsi="Palatino Linotype" w:cs="Arial"/>
          <w:sz w:val="24"/>
          <w:szCs w:val="24"/>
          <w:lang w:eastAsia="es-MX"/>
        </w:rPr>
        <w:t xml:space="preserve"> </w:t>
      </w:r>
      <w:r w:rsidRPr="00030F25">
        <w:rPr>
          <w:rFonts w:ascii="Palatino Linotype" w:hAnsi="Palatino Linotype" w:cs="Arial"/>
          <w:b/>
          <w:sz w:val="24"/>
          <w:szCs w:val="24"/>
          <w:lang w:eastAsia="es-MX"/>
        </w:rPr>
        <w:t>Recurrente</w:t>
      </w:r>
      <w:r w:rsidRPr="00030F25">
        <w:rPr>
          <w:rFonts w:ascii="Palatino Linotype" w:hAnsi="Palatino Linotype" w:cs="Arial"/>
          <w:sz w:val="24"/>
          <w:szCs w:val="24"/>
          <w:lang w:eastAsia="es-MX"/>
        </w:rPr>
        <w:t xml:space="preserve"> ante la falta de impugnación eficaz. </w:t>
      </w:r>
      <w:r w:rsidRPr="00030F25">
        <w:rPr>
          <w:rFonts w:ascii="Palatino Linotype" w:hAnsi="Palatino Linotype" w:cs="Arial"/>
          <w:sz w:val="24"/>
          <w:szCs w:val="24"/>
        </w:rPr>
        <w:t xml:space="preserve">Sirve de sustento a lo anterior, por analogía, la tesis jurisprudencial, que a la letra dice: </w:t>
      </w:r>
    </w:p>
    <w:p w14:paraId="382404C2" w14:textId="77777777" w:rsidR="005A4E41" w:rsidRPr="00030F25" w:rsidRDefault="005A4E41" w:rsidP="005A4E41">
      <w:pPr>
        <w:pStyle w:val="Prrafodelista"/>
        <w:spacing w:before="240" w:after="160" w:line="360" w:lineRule="auto"/>
        <w:ind w:left="851" w:right="851"/>
        <w:jc w:val="both"/>
        <w:rPr>
          <w:rFonts w:ascii="Palatino Linotype" w:hAnsi="Palatino Linotype"/>
          <w:i/>
          <w:sz w:val="22"/>
          <w:szCs w:val="22"/>
        </w:rPr>
      </w:pPr>
      <w:r w:rsidRPr="00030F25">
        <w:rPr>
          <w:rFonts w:ascii="Palatino Linotype" w:hAnsi="Palatino Linotype"/>
          <w:i/>
          <w:sz w:val="22"/>
          <w:szCs w:val="22"/>
        </w:rPr>
        <w:t>“Época: Novena</w:t>
      </w:r>
    </w:p>
    <w:p w14:paraId="58D7652F" w14:textId="77777777" w:rsidR="005A4E41" w:rsidRPr="00030F25" w:rsidRDefault="005A4E41" w:rsidP="005A4E41">
      <w:pPr>
        <w:pStyle w:val="Prrafodelista"/>
        <w:spacing w:before="240" w:after="160" w:line="360" w:lineRule="auto"/>
        <w:ind w:left="851" w:right="851"/>
        <w:jc w:val="both"/>
        <w:rPr>
          <w:rFonts w:ascii="Palatino Linotype" w:hAnsi="Palatino Linotype"/>
          <w:i/>
          <w:sz w:val="22"/>
          <w:szCs w:val="22"/>
        </w:rPr>
      </w:pPr>
      <w:r w:rsidRPr="00030F25">
        <w:rPr>
          <w:rFonts w:ascii="Palatino Linotype" w:hAnsi="Palatino Linotype"/>
          <w:i/>
          <w:sz w:val="22"/>
          <w:szCs w:val="22"/>
        </w:rPr>
        <w:t>Registro: 176608</w:t>
      </w:r>
    </w:p>
    <w:p w14:paraId="5A51ACB1" w14:textId="77777777" w:rsidR="005A4E41" w:rsidRPr="00030F25" w:rsidRDefault="005A4E41" w:rsidP="005A4E41">
      <w:pPr>
        <w:pStyle w:val="Prrafodelista"/>
        <w:spacing w:before="240" w:after="160" w:line="360" w:lineRule="auto"/>
        <w:ind w:left="851" w:right="851"/>
        <w:jc w:val="both"/>
        <w:rPr>
          <w:rFonts w:ascii="Palatino Linotype" w:hAnsi="Palatino Linotype"/>
          <w:i/>
          <w:sz w:val="22"/>
          <w:szCs w:val="22"/>
        </w:rPr>
      </w:pPr>
      <w:r w:rsidRPr="00030F25">
        <w:rPr>
          <w:rFonts w:ascii="Palatino Linotype" w:hAnsi="Palatino Linotype"/>
          <w:i/>
          <w:sz w:val="22"/>
          <w:szCs w:val="22"/>
        </w:rPr>
        <w:t>Tipo de tesis: Jurisprudencia</w:t>
      </w:r>
    </w:p>
    <w:p w14:paraId="0A5ADC5E" w14:textId="77777777" w:rsidR="005A4E41" w:rsidRPr="00030F25" w:rsidRDefault="005A4E41" w:rsidP="005A4E41">
      <w:pPr>
        <w:pStyle w:val="Prrafodelista"/>
        <w:spacing w:before="240" w:after="160" w:line="360" w:lineRule="auto"/>
        <w:ind w:left="851" w:right="851"/>
        <w:jc w:val="both"/>
        <w:rPr>
          <w:rFonts w:ascii="Palatino Linotype" w:hAnsi="Palatino Linotype"/>
          <w:i/>
          <w:sz w:val="22"/>
          <w:szCs w:val="22"/>
        </w:rPr>
      </w:pPr>
      <w:r w:rsidRPr="00030F25">
        <w:rPr>
          <w:rFonts w:ascii="Palatino Linotype" w:hAnsi="Palatino Linotype"/>
          <w:i/>
          <w:sz w:val="22"/>
          <w:szCs w:val="22"/>
        </w:rPr>
        <w:t>Fuente: Semanario Judicial de la Federación y su Gaceta</w:t>
      </w:r>
    </w:p>
    <w:p w14:paraId="5AC4C25C" w14:textId="77777777" w:rsidR="005A4E41" w:rsidRPr="00030F25" w:rsidRDefault="005A4E41" w:rsidP="005A4E41">
      <w:pPr>
        <w:pStyle w:val="Prrafodelista"/>
        <w:spacing w:before="240" w:after="160" w:line="360" w:lineRule="auto"/>
        <w:ind w:left="851" w:right="851"/>
        <w:jc w:val="both"/>
        <w:rPr>
          <w:rFonts w:ascii="Palatino Linotype" w:hAnsi="Palatino Linotype"/>
          <w:i/>
          <w:sz w:val="22"/>
          <w:szCs w:val="22"/>
        </w:rPr>
      </w:pPr>
      <w:r w:rsidRPr="00030F25">
        <w:rPr>
          <w:rFonts w:ascii="Palatino Linotype" w:hAnsi="Palatino Linotype"/>
          <w:i/>
          <w:sz w:val="22"/>
          <w:szCs w:val="22"/>
        </w:rPr>
        <w:t>Diciembre de 2005, Tomo XXII</w:t>
      </w:r>
    </w:p>
    <w:p w14:paraId="496136D0" w14:textId="77777777" w:rsidR="005A4E41" w:rsidRPr="00030F25" w:rsidRDefault="005A4E41" w:rsidP="005A4E41">
      <w:pPr>
        <w:pStyle w:val="Prrafodelista"/>
        <w:spacing w:before="240" w:after="160" w:line="360" w:lineRule="auto"/>
        <w:ind w:left="851" w:right="851"/>
        <w:jc w:val="both"/>
        <w:rPr>
          <w:rFonts w:ascii="Palatino Linotype" w:hAnsi="Palatino Linotype"/>
          <w:i/>
          <w:sz w:val="22"/>
          <w:szCs w:val="22"/>
        </w:rPr>
      </w:pPr>
      <w:r w:rsidRPr="00030F25">
        <w:rPr>
          <w:rFonts w:ascii="Palatino Linotype" w:hAnsi="Palatino Linotype"/>
          <w:i/>
          <w:sz w:val="22"/>
          <w:szCs w:val="22"/>
        </w:rPr>
        <w:lastRenderedPageBreak/>
        <w:t>Materia (s): Común</w:t>
      </w:r>
    </w:p>
    <w:p w14:paraId="318098EA" w14:textId="77777777" w:rsidR="005A4E41" w:rsidRPr="00030F25" w:rsidRDefault="005A4E41" w:rsidP="005A4E41">
      <w:pPr>
        <w:pStyle w:val="Prrafodelista"/>
        <w:spacing w:before="240" w:after="160" w:line="360" w:lineRule="auto"/>
        <w:ind w:left="851" w:right="851"/>
        <w:jc w:val="both"/>
        <w:rPr>
          <w:rFonts w:ascii="Palatino Linotype" w:hAnsi="Palatino Linotype"/>
          <w:i/>
          <w:sz w:val="22"/>
          <w:szCs w:val="22"/>
        </w:rPr>
      </w:pPr>
      <w:r w:rsidRPr="00030F25">
        <w:rPr>
          <w:rFonts w:ascii="Palatino Linotype" w:hAnsi="Palatino Linotype"/>
          <w:i/>
          <w:sz w:val="22"/>
          <w:szCs w:val="22"/>
        </w:rPr>
        <w:t>Tesis: VI. 3o.C. J/60</w:t>
      </w:r>
    </w:p>
    <w:p w14:paraId="2D770A32" w14:textId="77777777" w:rsidR="005A4E41" w:rsidRPr="00030F25" w:rsidRDefault="005A4E41" w:rsidP="005A4E41">
      <w:pPr>
        <w:pStyle w:val="Prrafodelista"/>
        <w:spacing w:before="240" w:after="160" w:line="360" w:lineRule="auto"/>
        <w:ind w:left="851" w:right="851"/>
        <w:jc w:val="both"/>
        <w:rPr>
          <w:rFonts w:ascii="Palatino Linotype" w:hAnsi="Palatino Linotype"/>
          <w:i/>
          <w:sz w:val="22"/>
          <w:szCs w:val="22"/>
        </w:rPr>
      </w:pPr>
      <w:r w:rsidRPr="00030F25">
        <w:rPr>
          <w:rFonts w:ascii="Palatino Linotype" w:hAnsi="Palatino Linotype"/>
          <w:i/>
          <w:sz w:val="22"/>
          <w:szCs w:val="22"/>
        </w:rPr>
        <w:t>Página: 2365</w:t>
      </w:r>
    </w:p>
    <w:p w14:paraId="4ACEFB0D" w14:textId="77777777" w:rsidR="005A4E41" w:rsidRPr="00030F25" w:rsidRDefault="005A4E41" w:rsidP="005A4E41">
      <w:pPr>
        <w:spacing w:before="240" w:line="360" w:lineRule="auto"/>
        <w:ind w:left="851" w:right="851"/>
        <w:jc w:val="both"/>
        <w:rPr>
          <w:rFonts w:ascii="Palatino Linotype" w:hAnsi="Palatino Linotype" w:cs="Arial"/>
          <w:i/>
          <w:lang w:eastAsia="es-MX"/>
        </w:rPr>
      </w:pPr>
      <w:r w:rsidRPr="00030F25">
        <w:rPr>
          <w:rFonts w:ascii="Palatino Linotype" w:hAnsi="Palatino Linotype" w:cs="Arial"/>
          <w:i/>
          <w:lang w:eastAsia="es-MX"/>
        </w:rPr>
        <w:t xml:space="preserve"> </w:t>
      </w:r>
      <w:r w:rsidRPr="00030F25">
        <w:rPr>
          <w:rFonts w:ascii="Palatino Linotype" w:hAnsi="Palatino Linotype" w:cs="Arial"/>
          <w:b/>
          <w:i/>
          <w:lang w:eastAsia="es-MX"/>
        </w:rPr>
        <w:t>ACTOS CONSENTIDOS. SON LOS QUE NO SE IMPUGNAN MEDIANTE EL RECURSO IDÓNEO</w:t>
      </w:r>
      <w:r w:rsidRPr="00030F25">
        <w:rPr>
          <w:rFonts w:ascii="Palatino Linotype" w:hAnsi="Palatino Linotype" w:cs="Arial"/>
          <w:i/>
          <w:lang w:eastAsia="es-MX"/>
        </w:rPr>
        <w:t xml:space="preserve">. </w:t>
      </w:r>
    </w:p>
    <w:p w14:paraId="0182083B" w14:textId="77777777" w:rsidR="005A4E41" w:rsidRPr="00030F25" w:rsidRDefault="005A4E41" w:rsidP="005A4E41">
      <w:pPr>
        <w:spacing w:before="240" w:line="360" w:lineRule="auto"/>
        <w:ind w:left="851" w:right="851"/>
        <w:jc w:val="both"/>
        <w:rPr>
          <w:rFonts w:ascii="Palatino Linotype" w:hAnsi="Palatino Linotype" w:cs="Arial"/>
          <w:i/>
          <w:lang w:eastAsia="es-MX"/>
        </w:rPr>
      </w:pPr>
      <w:r w:rsidRPr="00030F25">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4825F20" w14:textId="77777777" w:rsidR="005A4E41" w:rsidRPr="00030F25" w:rsidRDefault="005A4E41" w:rsidP="005A4E41">
      <w:pPr>
        <w:spacing w:before="240" w:line="360" w:lineRule="auto"/>
        <w:ind w:left="851" w:right="851"/>
        <w:jc w:val="both"/>
        <w:rPr>
          <w:rFonts w:ascii="Palatino Linotype" w:eastAsia="Times New Roman" w:hAnsi="Palatino Linotype" w:cs="Calibri"/>
          <w:i/>
          <w:color w:val="000000"/>
          <w:lang w:eastAsia="es-MX"/>
        </w:rPr>
      </w:pPr>
      <w:r w:rsidRPr="00030F25">
        <w:rPr>
          <w:rFonts w:ascii="Palatino Linotype" w:eastAsia="Times New Roman" w:hAnsi="Palatino Linotype" w:cs="Calibri"/>
          <w:i/>
          <w:color w:val="000000"/>
          <w:lang w:eastAsia="es-MX"/>
        </w:rPr>
        <w:t>TERCER TRIBUNAL COLEGIADO EN MATERIA CIVIL DEL SEXTO CIRCUITO.</w:t>
      </w:r>
    </w:p>
    <w:p w14:paraId="48884876" w14:textId="77777777" w:rsidR="005A4E41" w:rsidRPr="00030F25" w:rsidRDefault="005A4E41" w:rsidP="005A4E41">
      <w:pPr>
        <w:spacing w:before="240" w:line="360" w:lineRule="auto"/>
        <w:ind w:left="851" w:right="851"/>
        <w:jc w:val="both"/>
        <w:rPr>
          <w:rFonts w:ascii="Palatino Linotype" w:eastAsia="Times New Roman" w:hAnsi="Palatino Linotype" w:cs="Calibri"/>
          <w:i/>
          <w:color w:val="444444"/>
          <w:lang w:eastAsia="es-MX"/>
        </w:rPr>
      </w:pPr>
      <w:r w:rsidRPr="00030F25">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2F50A338" w14:textId="77777777" w:rsidR="005A4E41" w:rsidRPr="00030F25" w:rsidRDefault="005A4E41" w:rsidP="005A4E41">
      <w:pPr>
        <w:spacing w:before="240" w:line="360" w:lineRule="auto"/>
        <w:ind w:left="851" w:right="851"/>
        <w:jc w:val="both"/>
        <w:rPr>
          <w:rFonts w:ascii="Palatino Linotype" w:eastAsia="Times New Roman" w:hAnsi="Palatino Linotype" w:cs="Calibri"/>
          <w:i/>
          <w:color w:val="444444"/>
          <w:lang w:eastAsia="es-MX"/>
        </w:rPr>
      </w:pPr>
      <w:r w:rsidRPr="00030F25">
        <w:rPr>
          <w:rFonts w:ascii="Palatino Linotype" w:eastAsia="Times New Roman" w:hAnsi="Palatino Linotype" w:cs="Calibri"/>
          <w:i/>
          <w:color w:val="444444"/>
          <w:lang w:eastAsia="es-MX"/>
        </w:rPr>
        <w:t xml:space="preserve">Amparo en revisión 393/90. Amparo </w:t>
      </w:r>
      <w:proofErr w:type="spellStart"/>
      <w:r w:rsidRPr="00030F25">
        <w:rPr>
          <w:rFonts w:ascii="Palatino Linotype" w:eastAsia="Times New Roman" w:hAnsi="Palatino Linotype" w:cs="Calibri"/>
          <w:i/>
          <w:color w:val="444444"/>
          <w:lang w:eastAsia="es-MX"/>
        </w:rPr>
        <w:t>Naylor</w:t>
      </w:r>
      <w:proofErr w:type="spellEnd"/>
      <w:r w:rsidRPr="00030F25">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439278B4" w14:textId="77777777" w:rsidR="005A4E41" w:rsidRPr="00030F25" w:rsidRDefault="005A4E41" w:rsidP="005A4E41">
      <w:pPr>
        <w:spacing w:before="240" w:line="360" w:lineRule="auto"/>
        <w:ind w:left="851" w:right="851"/>
        <w:jc w:val="both"/>
        <w:rPr>
          <w:rFonts w:ascii="Palatino Linotype" w:eastAsia="Times New Roman" w:hAnsi="Palatino Linotype" w:cs="Calibri"/>
          <w:i/>
          <w:color w:val="444444"/>
          <w:lang w:eastAsia="es-MX"/>
        </w:rPr>
      </w:pPr>
      <w:r w:rsidRPr="00030F25">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652D77AA" w14:textId="77777777" w:rsidR="005A4E41" w:rsidRPr="00030F25" w:rsidRDefault="005A4E41" w:rsidP="005A4E41">
      <w:pPr>
        <w:spacing w:before="240" w:line="360" w:lineRule="auto"/>
        <w:ind w:left="851" w:right="851"/>
        <w:jc w:val="both"/>
        <w:rPr>
          <w:rFonts w:ascii="Palatino Linotype" w:eastAsia="Times New Roman" w:hAnsi="Palatino Linotype" w:cs="Calibri"/>
          <w:i/>
          <w:color w:val="444444"/>
          <w:lang w:eastAsia="es-MX"/>
        </w:rPr>
      </w:pPr>
      <w:r w:rsidRPr="00030F25">
        <w:rPr>
          <w:rFonts w:ascii="Palatino Linotype" w:eastAsia="Times New Roman" w:hAnsi="Palatino Linotype" w:cs="Calibri"/>
          <w:i/>
          <w:color w:val="444444"/>
          <w:lang w:eastAsia="es-MX"/>
        </w:rPr>
        <w:lastRenderedPageBreak/>
        <w:t xml:space="preserve">Amparo directo 366/2005. Virginia </w:t>
      </w:r>
      <w:proofErr w:type="spellStart"/>
      <w:r w:rsidRPr="00030F25">
        <w:rPr>
          <w:rFonts w:ascii="Palatino Linotype" w:eastAsia="Times New Roman" w:hAnsi="Palatino Linotype" w:cs="Calibri"/>
          <w:i/>
          <w:color w:val="444444"/>
          <w:lang w:eastAsia="es-MX"/>
        </w:rPr>
        <w:t>Quixihuitl</w:t>
      </w:r>
      <w:proofErr w:type="spellEnd"/>
      <w:r w:rsidRPr="00030F25">
        <w:rPr>
          <w:rFonts w:ascii="Palatino Linotype" w:eastAsia="Times New Roman" w:hAnsi="Palatino Linotype" w:cs="Calibri"/>
          <w:i/>
          <w:color w:val="444444"/>
          <w:lang w:eastAsia="es-MX"/>
        </w:rPr>
        <w:t xml:space="preserve"> Burgos y otra. 14 de octubre de 2005. Unanimidad de votos. Ponente: Norma </w:t>
      </w:r>
      <w:proofErr w:type="spellStart"/>
      <w:r w:rsidRPr="00030F25">
        <w:rPr>
          <w:rFonts w:ascii="Palatino Linotype" w:eastAsia="Times New Roman" w:hAnsi="Palatino Linotype" w:cs="Calibri"/>
          <w:i/>
          <w:color w:val="444444"/>
          <w:lang w:eastAsia="es-MX"/>
        </w:rPr>
        <w:t>Fiallega</w:t>
      </w:r>
      <w:proofErr w:type="spellEnd"/>
      <w:r w:rsidRPr="00030F25">
        <w:rPr>
          <w:rFonts w:ascii="Palatino Linotype" w:eastAsia="Times New Roman" w:hAnsi="Palatino Linotype" w:cs="Calibri"/>
          <w:i/>
          <w:color w:val="444444"/>
          <w:lang w:eastAsia="es-MX"/>
        </w:rPr>
        <w:t xml:space="preserve"> Sánchez. Secretario: Horacio Óscar Rosete Mentado.</w:t>
      </w:r>
    </w:p>
    <w:p w14:paraId="1C54B2A4" w14:textId="77777777" w:rsidR="005A4E41" w:rsidRPr="00030F25" w:rsidRDefault="005A4E41" w:rsidP="005A4E41">
      <w:pPr>
        <w:spacing w:before="240" w:line="360" w:lineRule="auto"/>
        <w:ind w:left="851" w:right="851"/>
        <w:jc w:val="both"/>
        <w:rPr>
          <w:rFonts w:ascii="Palatino Linotype" w:eastAsia="Times New Roman" w:hAnsi="Palatino Linotype" w:cs="Calibri"/>
          <w:b/>
          <w:i/>
          <w:color w:val="444444"/>
          <w:lang w:eastAsia="es-MX"/>
        </w:rPr>
      </w:pPr>
      <w:r w:rsidRPr="00030F25">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030F25">
        <w:rPr>
          <w:rFonts w:ascii="Palatino Linotype" w:eastAsia="Times New Roman" w:hAnsi="Palatino Linotype" w:cs="Calibri"/>
          <w:i/>
          <w:color w:val="444444"/>
          <w:lang w:eastAsia="es-MX"/>
        </w:rPr>
        <w:t>Isselín</w:t>
      </w:r>
      <w:proofErr w:type="spellEnd"/>
      <w:r w:rsidRPr="00030F25">
        <w:rPr>
          <w:rFonts w:ascii="Palatino Linotype" w:eastAsia="Times New Roman" w:hAnsi="Palatino Linotype" w:cs="Calibri"/>
          <w:i/>
          <w:color w:val="444444"/>
          <w:lang w:eastAsia="es-MX"/>
        </w:rPr>
        <w:t xml:space="preserve"> Talavera.” </w:t>
      </w:r>
      <w:r w:rsidRPr="00030F25">
        <w:rPr>
          <w:rFonts w:ascii="Palatino Linotype" w:eastAsia="Times New Roman" w:hAnsi="Palatino Linotype" w:cs="Calibri"/>
          <w:b/>
          <w:i/>
          <w:color w:val="444444"/>
          <w:lang w:eastAsia="es-MX"/>
        </w:rPr>
        <w:t>[Sic]</w:t>
      </w:r>
    </w:p>
    <w:p w14:paraId="7855F70C" w14:textId="77777777" w:rsidR="005A4E41" w:rsidRPr="00030F25" w:rsidRDefault="005A4E41" w:rsidP="005A4E41">
      <w:pPr>
        <w:spacing w:after="0" w:line="360" w:lineRule="auto"/>
        <w:jc w:val="both"/>
        <w:rPr>
          <w:rFonts w:ascii="Palatino Linotype" w:hAnsi="Palatino Linotype" w:cs="Arial"/>
          <w:noProof/>
          <w:color w:val="000000"/>
          <w:sz w:val="24"/>
          <w:lang w:eastAsia="es-MX"/>
        </w:rPr>
      </w:pPr>
    </w:p>
    <w:p w14:paraId="14F36D6A" w14:textId="77777777" w:rsidR="005A4E41" w:rsidRPr="00030F25" w:rsidRDefault="005A4E41" w:rsidP="005A4E41">
      <w:pPr>
        <w:spacing w:after="0" w:line="360" w:lineRule="auto"/>
        <w:jc w:val="both"/>
        <w:rPr>
          <w:rFonts w:ascii="Palatino Linotype" w:hAnsi="Palatino Linotype" w:cs="Arial"/>
          <w:noProof/>
          <w:color w:val="000000"/>
          <w:sz w:val="24"/>
          <w:lang w:eastAsia="es-MX"/>
        </w:rPr>
      </w:pPr>
      <w:r w:rsidRPr="00030F25">
        <w:rPr>
          <w:rFonts w:ascii="Palatino Linotype" w:hAnsi="Palatino Linotype" w:cs="Arial"/>
          <w:noProof/>
          <w:color w:val="000000"/>
          <w:sz w:val="24"/>
          <w:lang w:eastAsia="es-MX"/>
        </w:rPr>
        <w:t xml:space="preserve">De forma complementaria, robustece lo anterior el criterio </w:t>
      </w:r>
      <w:r w:rsidRPr="00030F25">
        <w:rPr>
          <w:rFonts w:ascii="Palatino Linotype" w:hAnsi="Palatino Linotype" w:cs="Arial"/>
          <w:b/>
          <w:bCs/>
          <w:noProof/>
          <w:color w:val="000000"/>
          <w:sz w:val="24"/>
          <w:lang w:eastAsia="es-MX"/>
        </w:rPr>
        <w:t xml:space="preserve">01/20 </w:t>
      </w:r>
      <w:r w:rsidRPr="00030F25">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59B93E45" w14:textId="77777777" w:rsidR="005A4E41" w:rsidRPr="00030F25" w:rsidRDefault="005A4E41" w:rsidP="005A4E41">
      <w:pPr>
        <w:pStyle w:val="Citas"/>
        <w:rPr>
          <w:b/>
        </w:rPr>
      </w:pPr>
      <w:r w:rsidRPr="00030F25">
        <w:rPr>
          <w:b/>
        </w:rPr>
        <w:t xml:space="preserve">“ACTOS CONSENTIDOS TÁCITAMENTE. IMPROCEDENCIA DE SU ANÁLISIS. </w:t>
      </w:r>
    </w:p>
    <w:p w14:paraId="3296B0D6" w14:textId="77777777" w:rsidR="005A4E41" w:rsidRPr="00030F25" w:rsidRDefault="005A4E41" w:rsidP="005A4E41">
      <w:pPr>
        <w:pStyle w:val="Citas"/>
        <w:rPr>
          <w:strike/>
        </w:rPr>
      </w:pPr>
      <w:r w:rsidRPr="00030F25">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5A0ADE6D" w14:textId="77777777" w:rsidR="005A4E41" w:rsidRPr="00030F25" w:rsidRDefault="005A4E41" w:rsidP="005A4E41">
      <w:pPr>
        <w:pStyle w:val="Citas"/>
        <w:rPr>
          <w:b/>
          <w:bCs/>
        </w:rPr>
      </w:pPr>
      <w:r w:rsidRPr="00030F25">
        <w:rPr>
          <w:b/>
          <w:bCs/>
        </w:rPr>
        <w:t>Resoluciones:</w:t>
      </w:r>
    </w:p>
    <w:p w14:paraId="6E03EFE2" w14:textId="77777777" w:rsidR="005A4E41" w:rsidRPr="00030F25" w:rsidRDefault="005A4E41" w:rsidP="005A4E41">
      <w:pPr>
        <w:pStyle w:val="Citas"/>
      </w:pPr>
      <w:r w:rsidRPr="00030F25">
        <w:rPr>
          <w:b/>
        </w:rPr>
        <w:t xml:space="preserve">RRA 4548/18. </w:t>
      </w:r>
      <w:r w:rsidRPr="00030F25">
        <w:t>Instituto de Seguridad y Servicios Sociales de los Trabajadores del Estado. 12 de septiembre de 2018. Por unanimidad. Comisionado Ponente Oscar Mauricio Guerra Ford.</w:t>
      </w:r>
    </w:p>
    <w:p w14:paraId="2816ADB6" w14:textId="77777777" w:rsidR="005A4E41" w:rsidRPr="00030F25" w:rsidRDefault="003B0C14" w:rsidP="005A4E41">
      <w:pPr>
        <w:pStyle w:val="Citas"/>
        <w:rPr>
          <w:sz w:val="20"/>
        </w:rPr>
      </w:pPr>
      <w:hyperlink r:id="rId10" w:history="1">
        <w:r w:rsidR="005A4E41" w:rsidRPr="00030F25">
          <w:rPr>
            <w:rStyle w:val="Hipervnculo"/>
          </w:rPr>
          <w:t>http://consultas.ifai.org.mx/descargar.php?r=./pdf/resoluciones/2018/&amp;a=RRA%204548.pdf</w:t>
        </w:r>
      </w:hyperlink>
    </w:p>
    <w:p w14:paraId="0912D54B" w14:textId="77777777" w:rsidR="005A4E41" w:rsidRPr="00030F25" w:rsidRDefault="005A4E41" w:rsidP="005A4E41">
      <w:pPr>
        <w:pStyle w:val="Citas"/>
        <w:rPr>
          <w:b/>
        </w:rPr>
      </w:pPr>
      <w:r w:rsidRPr="00030F25">
        <w:rPr>
          <w:b/>
        </w:rPr>
        <w:lastRenderedPageBreak/>
        <w:t xml:space="preserve">RRA 5097/18. </w:t>
      </w:r>
      <w:r w:rsidRPr="00030F25">
        <w:t>Secretaría de Hacienda y Crédito Público. 05 de septiembre de 2018. Por unanimidad. Comisionado Ponente Joel Salas Suárez.</w:t>
      </w:r>
    </w:p>
    <w:p w14:paraId="328D5E3C" w14:textId="77777777" w:rsidR="005A4E41" w:rsidRPr="00030F25" w:rsidRDefault="003B0C14" w:rsidP="005A4E41">
      <w:pPr>
        <w:pStyle w:val="Citas"/>
        <w:rPr>
          <w:sz w:val="20"/>
        </w:rPr>
      </w:pPr>
      <w:hyperlink r:id="rId11" w:history="1">
        <w:r w:rsidR="005A4E41" w:rsidRPr="00030F25">
          <w:rPr>
            <w:rStyle w:val="Hipervnculo"/>
          </w:rPr>
          <w:t>http://consultas.ifai.org.mx/descargar.php?r=./pdf/resoluciones/2018/&amp;a=RRA%205097.pdf</w:t>
        </w:r>
      </w:hyperlink>
    </w:p>
    <w:p w14:paraId="74650247" w14:textId="77777777" w:rsidR="005A4E41" w:rsidRPr="00030F25" w:rsidRDefault="005A4E41" w:rsidP="005A4E41">
      <w:pPr>
        <w:pStyle w:val="Citas"/>
        <w:rPr>
          <w:b/>
        </w:rPr>
      </w:pPr>
      <w:r w:rsidRPr="00030F25">
        <w:rPr>
          <w:b/>
        </w:rPr>
        <w:t xml:space="preserve">RRA 14270/19. </w:t>
      </w:r>
      <w:r w:rsidRPr="00030F25">
        <w:t>Registro Agrario Nacional. 22 de enero de 2020. Por unanimidad. Comisionado Ponente Francisco Javier Acuña Llamas.</w:t>
      </w:r>
    </w:p>
    <w:p w14:paraId="62155FDE" w14:textId="77777777" w:rsidR="005A4E41" w:rsidRPr="00030F25" w:rsidRDefault="003B0C14" w:rsidP="005A4E41">
      <w:pPr>
        <w:pStyle w:val="Citas"/>
        <w:rPr>
          <w:rStyle w:val="Hipervnculo"/>
          <w:b/>
          <w:bCs/>
          <w:color w:val="auto"/>
          <w:sz w:val="24"/>
          <w:szCs w:val="24"/>
          <w:u w:val="none"/>
          <w:lang w:val="en-US"/>
        </w:rPr>
      </w:pPr>
      <w:hyperlink r:id="rId12" w:history="1">
        <w:r w:rsidR="005A4E41" w:rsidRPr="00030F25">
          <w:rPr>
            <w:rStyle w:val="Hipervnculo"/>
            <w:lang w:val="en-US"/>
          </w:rPr>
          <w:t>http://consultas.ifai.org.mx/descargar.php?r=./pdf/resoluciones/2019/&amp;a=RRA%2014270.pdf</w:t>
        </w:r>
      </w:hyperlink>
      <w:proofErr w:type="gramStart"/>
      <w:r w:rsidR="005A4E41" w:rsidRPr="00030F25">
        <w:rPr>
          <w:rStyle w:val="Hipervnculo"/>
          <w:sz w:val="20"/>
          <w:lang w:val="en-US"/>
        </w:rPr>
        <w:t xml:space="preserve">” </w:t>
      </w:r>
      <w:r w:rsidR="005A4E41" w:rsidRPr="00030F25">
        <w:rPr>
          <w:rStyle w:val="Hipervnculo"/>
          <w:i w:val="0"/>
          <w:iCs/>
          <w:sz w:val="24"/>
          <w:szCs w:val="24"/>
          <w:u w:val="none"/>
          <w:lang w:val="en-US"/>
        </w:rPr>
        <w:t xml:space="preserve"> </w:t>
      </w:r>
      <w:r w:rsidR="005A4E41" w:rsidRPr="00030F25">
        <w:rPr>
          <w:rStyle w:val="Hipervnculo"/>
          <w:b/>
          <w:bCs/>
          <w:color w:val="auto"/>
          <w:sz w:val="24"/>
          <w:szCs w:val="24"/>
          <w:u w:val="none"/>
          <w:lang w:val="en-US"/>
        </w:rPr>
        <w:t>[</w:t>
      </w:r>
      <w:proofErr w:type="gramEnd"/>
      <w:r w:rsidR="005A4E41" w:rsidRPr="00030F25">
        <w:rPr>
          <w:rStyle w:val="Hipervnculo"/>
          <w:b/>
          <w:bCs/>
          <w:color w:val="auto"/>
          <w:sz w:val="24"/>
          <w:szCs w:val="24"/>
          <w:u w:val="none"/>
          <w:lang w:val="en-US"/>
        </w:rPr>
        <w:t xml:space="preserve">Sic] </w:t>
      </w:r>
    </w:p>
    <w:p w14:paraId="690BAE13" w14:textId="77777777" w:rsidR="005A4E41" w:rsidRPr="00030F25" w:rsidRDefault="005A4E41" w:rsidP="005A4E41">
      <w:pPr>
        <w:spacing w:before="240" w:line="360" w:lineRule="auto"/>
        <w:jc w:val="both"/>
        <w:rPr>
          <w:rFonts w:ascii="Palatino Linotype" w:hAnsi="Palatino Linotype"/>
          <w:sz w:val="24"/>
          <w:szCs w:val="24"/>
          <w:lang w:val="en-US"/>
        </w:rPr>
      </w:pPr>
    </w:p>
    <w:p w14:paraId="0021F45C" w14:textId="01DCF2CF" w:rsidR="005A4E41" w:rsidRPr="00030F25" w:rsidRDefault="005A4E41" w:rsidP="005A4E41">
      <w:pPr>
        <w:pStyle w:val="infoemcitas"/>
        <w:tabs>
          <w:tab w:val="left" w:pos="7655"/>
        </w:tabs>
        <w:ind w:left="0" w:right="0"/>
        <w:rPr>
          <w:rFonts w:cs="Arial"/>
          <w:i w:val="0"/>
          <w:noProof/>
          <w:color w:val="000000"/>
          <w:sz w:val="24"/>
          <w:lang w:eastAsia="es-MX"/>
        </w:rPr>
      </w:pPr>
      <w:r w:rsidRPr="00030F25">
        <w:rPr>
          <w:i w:val="0"/>
          <w:sz w:val="24"/>
          <w:szCs w:val="24"/>
        </w:rPr>
        <w:t xml:space="preserve">Así las cosas, hasta aquí lo expuesto, resulta inconcuso que </w:t>
      </w:r>
      <w:r w:rsidRPr="00030F25">
        <w:rPr>
          <w:bCs/>
          <w:i w:val="0"/>
          <w:sz w:val="24"/>
          <w:szCs w:val="24"/>
        </w:rPr>
        <w:t>los motivos de inconformidad aducidos por</w:t>
      </w:r>
      <w:r w:rsidRPr="00030F25">
        <w:rPr>
          <w:rFonts w:cs="Arial"/>
          <w:i w:val="0"/>
          <w:noProof/>
          <w:color w:val="000000"/>
          <w:sz w:val="24"/>
          <w:lang w:eastAsia="es-MX"/>
        </w:rPr>
        <w:t xml:space="preserve"> </w:t>
      </w:r>
      <w:r w:rsidRPr="00030F25">
        <w:rPr>
          <w:rFonts w:cs="Arial"/>
          <w:b/>
          <w:i w:val="0"/>
          <w:noProof/>
          <w:color w:val="000000"/>
          <w:sz w:val="24"/>
          <w:lang w:eastAsia="es-MX"/>
        </w:rPr>
        <w:t xml:space="preserve">El Recurrente, </w:t>
      </w:r>
      <w:r w:rsidRPr="00030F25">
        <w:rPr>
          <w:rFonts w:cs="Arial"/>
          <w:i w:val="0"/>
          <w:noProof/>
          <w:color w:val="000000"/>
          <w:sz w:val="24"/>
          <w:lang w:eastAsia="es-MX"/>
        </w:rPr>
        <w:t xml:space="preserve">actualizan las hipotesis normativas previstas en el artículo 179, fracciones I y V de la Ley de Transparencia y Acceso a la Información Pública del Estado de Mexico y Municipios, cuyo contenido literal es el siguiente: </w:t>
      </w:r>
    </w:p>
    <w:p w14:paraId="31A81EA7" w14:textId="77777777" w:rsidR="005A4E41" w:rsidRPr="00030F25" w:rsidRDefault="005A4E41" w:rsidP="005A4E41">
      <w:pPr>
        <w:pStyle w:val="Citas"/>
      </w:pPr>
      <w:r w:rsidRPr="00030F25">
        <w:t xml:space="preserve"> “Artículo 179. El recurso de revisión es un medio de protección que la Ley otorga a los particulares, para hacer valer su derecho de acceso a la información pública, y procederá en contra de las siguientes causas:</w:t>
      </w:r>
    </w:p>
    <w:p w14:paraId="19ACAD1C" w14:textId="77777777" w:rsidR="005A4E41" w:rsidRPr="00030F25" w:rsidRDefault="005A4E41" w:rsidP="005A4E41">
      <w:pPr>
        <w:pStyle w:val="Citas"/>
      </w:pPr>
      <w:r w:rsidRPr="00030F25">
        <w:t>I. La negativa a la información solicitada;</w:t>
      </w:r>
    </w:p>
    <w:p w14:paraId="1079D521" w14:textId="77777777" w:rsidR="005A4E41" w:rsidRPr="00030F25" w:rsidRDefault="005A4E41" w:rsidP="005A4E41">
      <w:pPr>
        <w:pStyle w:val="Citas"/>
        <w:rPr>
          <w:noProof/>
          <w:color w:val="000000"/>
          <w:sz w:val="24"/>
          <w:lang w:eastAsia="es-MX"/>
        </w:rPr>
      </w:pPr>
      <w:r w:rsidRPr="00030F25">
        <w:rPr>
          <w:noProof/>
          <w:color w:val="000000"/>
          <w:sz w:val="24"/>
          <w:lang w:eastAsia="es-MX"/>
        </w:rPr>
        <w:t>(…)</w:t>
      </w:r>
    </w:p>
    <w:p w14:paraId="2CF2112E" w14:textId="77777777" w:rsidR="005A4E41" w:rsidRPr="00030F25" w:rsidRDefault="005A4E41" w:rsidP="005A4E41">
      <w:pPr>
        <w:pStyle w:val="Citas"/>
        <w:rPr>
          <w:noProof/>
          <w:color w:val="000000"/>
          <w:sz w:val="24"/>
          <w:lang w:eastAsia="es-MX"/>
        </w:rPr>
      </w:pPr>
      <w:r w:rsidRPr="00030F25">
        <w:t>V. La entrega de información incompleta;</w:t>
      </w:r>
    </w:p>
    <w:p w14:paraId="5D89E268" w14:textId="77777777" w:rsidR="005A4E41" w:rsidRPr="005A12AE" w:rsidRDefault="005A4E41" w:rsidP="005A4E41">
      <w:pPr>
        <w:pStyle w:val="Citas"/>
        <w:rPr>
          <w:b/>
          <w:bCs/>
          <w:noProof/>
          <w:color w:val="000000"/>
          <w:sz w:val="24"/>
          <w:lang w:eastAsia="es-MX"/>
        </w:rPr>
      </w:pPr>
      <w:r w:rsidRPr="00030F25">
        <w:rPr>
          <w:noProof/>
          <w:color w:val="000000"/>
          <w:sz w:val="24"/>
          <w:lang w:eastAsia="es-MX"/>
        </w:rPr>
        <w:lastRenderedPageBreak/>
        <w:t xml:space="preserve">” </w:t>
      </w:r>
      <w:r w:rsidRPr="00030F25">
        <w:rPr>
          <w:b/>
          <w:bCs/>
          <w:noProof/>
          <w:color w:val="000000"/>
          <w:sz w:val="24"/>
          <w:lang w:eastAsia="es-MX"/>
        </w:rPr>
        <w:t>(Sic)</w:t>
      </w:r>
    </w:p>
    <w:p w14:paraId="631E7248" w14:textId="77777777" w:rsidR="00A40D10" w:rsidRPr="00A40D10" w:rsidRDefault="00A40D10" w:rsidP="00A6185A">
      <w:pPr>
        <w:spacing w:after="240" w:line="360" w:lineRule="auto"/>
        <w:jc w:val="both"/>
        <w:rPr>
          <w:rFonts w:ascii="Palatino Linotype" w:hAnsi="Palatino Linotype" w:cs="Arial"/>
          <w:color w:val="000000"/>
          <w:sz w:val="24"/>
        </w:rPr>
      </w:pPr>
    </w:p>
    <w:p w14:paraId="206F5761" w14:textId="2255D258" w:rsidR="008A05F5" w:rsidRPr="008A05F5" w:rsidRDefault="007835B9" w:rsidP="00030F25">
      <w:pPr>
        <w:pStyle w:val="Default"/>
        <w:spacing w:before="240" w:after="160" w:line="360" w:lineRule="auto"/>
        <w:jc w:val="both"/>
        <w:rPr>
          <w:rFonts w:ascii="Palatino Linotype" w:hAnsi="Palatino Linotype"/>
          <w:iCs/>
        </w:rPr>
      </w:pPr>
      <w:r w:rsidRPr="00614EB8">
        <w:rPr>
          <w:rFonts w:ascii="Palatino Linotype" w:hAnsi="Palatino Linotype"/>
          <w:iCs/>
        </w:rPr>
        <w:t xml:space="preserve">Por otra parte, como fue mencionado en el antecedente </w:t>
      </w:r>
      <w:r>
        <w:rPr>
          <w:rFonts w:ascii="Palatino Linotype" w:hAnsi="Palatino Linotype"/>
          <w:iCs/>
        </w:rPr>
        <w:t>quinto</w:t>
      </w:r>
      <w:r w:rsidRPr="00614EB8">
        <w:rPr>
          <w:rFonts w:ascii="Palatino Linotype" w:hAnsi="Palatino Linotype"/>
          <w:iCs/>
        </w:rPr>
        <w:t xml:space="preserve">, </w:t>
      </w:r>
      <w:r w:rsidRPr="00614EB8">
        <w:rPr>
          <w:rFonts w:ascii="Palatino Linotype" w:hAnsi="Palatino Linotype"/>
          <w:b/>
          <w:bCs/>
          <w:iCs/>
        </w:rPr>
        <w:t>El Sujeto Obligado</w:t>
      </w:r>
      <w:r w:rsidR="00E75CF5">
        <w:rPr>
          <w:rFonts w:ascii="Palatino Linotype" w:hAnsi="Palatino Linotype"/>
          <w:b/>
          <w:bCs/>
          <w:iCs/>
        </w:rPr>
        <w:t xml:space="preserve"> </w:t>
      </w:r>
      <w:r w:rsidR="00030F25">
        <w:rPr>
          <w:rFonts w:ascii="Palatino Linotype" w:hAnsi="Palatino Linotype"/>
          <w:iCs/>
        </w:rPr>
        <w:t xml:space="preserve">fue omiso en rendir su informe justificado. </w:t>
      </w:r>
    </w:p>
    <w:p w14:paraId="6B951D59" w14:textId="77777777" w:rsidR="00AD3B5E" w:rsidRPr="00030F25" w:rsidRDefault="00AD3B5E" w:rsidP="00AD3B5E">
      <w:pPr>
        <w:autoSpaceDE w:val="0"/>
        <w:autoSpaceDN w:val="0"/>
        <w:adjustRightInd w:val="0"/>
        <w:spacing w:line="360" w:lineRule="auto"/>
        <w:jc w:val="both"/>
        <w:rPr>
          <w:rFonts w:ascii="Palatino Linotype" w:hAnsi="Palatino Linotype" w:cs="Arial"/>
          <w:sz w:val="24"/>
          <w:szCs w:val="24"/>
        </w:rPr>
      </w:pPr>
      <w:r w:rsidRPr="00030F25">
        <w:rPr>
          <w:rFonts w:ascii="Palatino Linotype" w:hAnsi="Palatino Linotype" w:cs="Arial"/>
          <w:sz w:val="24"/>
          <w:szCs w:val="24"/>
        </w:rPr>
        <w:t xml:space="preserve">Hasta lo aquí expuesto, se concluye que </w:t>
      </w:r>
      <w:r w:rsidRPr="00030F25">
        <w:rPr>
          <w:rFonts w:ascii="Palatino Linotype" w:hAnsi="Palatino Linotype" w:cs="Arial"/>
          <w:b/>
          <w:sz w:val="24"/>
          <w:szCs w:val="24"/>
        </w:rPr>
        <w:t>El Sujeto Obligado</w:t>
      </w:r>
      <w:r w:rsidRPr="00030F25">
        <w:rPr>
          <w:rFonts w:ascii="Palatino Linotype" w:hAnsi="Palatino Linotype" w:cs="Arial"/>
          <w:sz w:val="24"/>
          <w:szCs w:val="24"/>
        </w:rPr>
        <w:t xml:space="preserve"> satisfizo el derecho de acceso a la información mediante la respuesta primigenia, actualizándose la fracción IV, del arábigo 192, de la Ley de Transparencia vigente en la entidad</w:t>
      </w:r>
      <w:r w:rsidRPr="00030F25">
        <w:rPr>
          <w:rFonts w:ascii="Palatino Linotype" w:hAnsi="Palatino Linotype"/>
          <w:sz w:val="24"/>
          <w:szCs w:val="24"/>
        </w:rPr>
        <w:t xml:space="preserve">, por darse por satisfechos los elementos que integran dicha hipótesis, </w:t>
      </w:r>
      <w:r w:rsidRPr="00030F25">
        <w:rPr>
          <w:rFonts w:ascii="Palatino Linotype" w:hAnsi="Palatino Linotype" w:cs="Arial"/>
          <w:sz w:val="24"/>
          <w:szCs w:val="24"/>
        </w:rPr>
        <w:t xml:space="preserve">a saber: </w:t>
      </w:r>
    </w:p>
    <w:p w14:paraId="5293E0CF" w14:textId="1733216A" w:rsidR="00AD3B5E" w:rsidRPr="00030F25" w:rsidRDefault="00AD3B5E" w:rsidP="00AD3B5E">
      <w:pPr>
        <w:numPr>
          <w:ilvl w:val="0"/>
          <w:numId w:val="16"/>
        </w:numPr>
        <w:tabs>
          <w:tab w:val="left" w:pos="709"/>
        </w:tabs>
        <w:spacing w:line="360" w:lineRule="auto"/>
        <w:ind w:right="51"/>
        <w:jc w:val="both"/>
        <w:rPr>
          <w:rFonts w:ascii="Palatino Linotype" w:hAnsi="Palatino Linotype" w:cs="Arial"/>
          <w:sz w:val="24"/>
          <w:szCs w:val="24"/>
        </w:rPr>
      </w:pPr>
      <w:r w:rsidRPr="00030F25">
        <w:rPr>
          <w:rFonts w:ascii="Palatino Linotype" w:hAnsi="Palatino Linotype" w:cs="Arial"/>
          <w:sz w:val="24"/>
          <w:szCs w:val="24"/>
        </w:rPr>
        <w:t xml:space="preserve">El primero de ellos es que </w:t>
      </w:r>
      <w:r w:rsidRPr="00030F25">
        <w:rPr>
          <w:rFonts w:ascii="Palatino Linotype" w:hAnsi="Palatino Linotype" w:cs="Arial"/>
          <w:b/>
          <w:sz w:val="24"/>
          <w:szCs w:val="24"/>
        </w:rPr>
        <w:t>El</w:t>
      </w:r>
      <w:r w:rsidRPr="00030F25">
        <w:rPr>
          <w:rFonts w:ascii="Palatino Linotype" w:hAnsi="Palatino Linotype" w:cs="Arial"/>
          <w:sz w:val="24"/>
          <w:szCs w:val="24"/>
        </w:rPr>
        <w:t xml:space="preserve"> </w:t>
      </w:r>
      <w:r w:rsidRPr="00030F25">
        <w:rPr>
          <w:rFonts w:ascii="Palatino Linotype" w:hAnsi="Palatino Linotype" w:cs="Arial"/>
          <w:b/>
          <w:sz w:val="24"/>
          <w:szCs w:val="24"/>
        </w:rPr>
        <w:t>Recurrente</w:t>
      </w:r>
      <w:r w:rsidRPr="00030F25">
        <w:rPr>
          <w:rFonts w:ascii="Palatino Linotype" w:hAnsi="Palatino Linotype" w:cs="Arial"/>
          <w:sz w:val="24"/>
          <w:szCs w:val="24"/>
        </w:rPr>
        <w:t xml:space="preserve"> amplíe su solicitud en el recurso de revisión, únicamente respecto de los nuevos contenidos, lo que se demuestra con las documentales en la interposición del presente recurso de revisión de fecha </w:t>
      </w:r>
      <w:r w:rsidR="00030F25" w:rsidRPr="00030F25">
        <w:rPr>
          <w:rFonts w:ascii="Palatino Linotype" w:hAnsi="Palatino Linotype" w:cs="Arial"/>
          <w:b/>
          <w:sz w:val="24"/>
          <w:szCs w:val="24"/>
        </w:rPr>
        <w:t>veinticuatro de febrero de dos mil veinticinco</w:t>
      </w:r>
      <w:r w:rsidRPr="00030F25">
        <w:rPr>
          <w:rFonts w:ascii="Palatino Linotype" w:hAnsi="Palatino Linotype" w:cs="Arial"/>
          <w:sz w:val="24"/>
          <w:szCs w:val="24"/>
        </w:rPr>
        <w:t>, el cual deviene de la parte quien emitió el acto impugnado.</w:t>
      </w:r>
    </w:p>
    <w:p w14:paraId="0E243A3F" w14:textId="77777777" w:rsidR="00AD3B5E" w:rsidRPr="00030F25" w:rsidRDefault="00AD3B5E" w:rsidP="00AD3B5E">
      <w:pPr>
        <w:numPr>
          <w:ilvl w:val="0"/>
          <w:numId w:val="16"/>
        </w:numPr>
        <w:spacing w:after="0" w:line="360" w:lineRule="auto"/>
        <w:ind w:right="51"/>
        <w:jc w:val="both"/>
        <w:rPr>
          <w:rFonts w:ascii="Palatino Linotype" w:hAnsi="Palatino Linotype"/>
          <w:sz w:val="24"/>
          <w:szCs w:val="24"/>
        </w:rPr>
      </w:pPr>
      <w:r w:rsidRPr="00030F25">
        <w:rPr>
          <w:rFonts w:ascii="Palatino Linotype" w:hAnsi="Palatino Linotype" w:cs="Arial"/>
          <w:sz w:val="24"/>
          <w:szCs w:val="24"/>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030F25">
        <w:rPr>
          <w:rFonts w:ascii="Palatino Linotype" w:hAnsi="Palatino Linotype" w:cs="Arial"/>
          <w:b/>
          <w:sz w:val="24"/>
          <w:szCs w:val="24"/>
          <w:u w:val="single"/>
        </w:rPr>
        <w:t>ampliar su solicitud de información</w:t>
      </w:r>
      <w:r w:rsidRPr="00030F25">
        <w:rPr>
          <w:rFonts w:ascii="Palatino Linotype" w:hAnsi="Palatino Linotype" w:cs="Arial"/>
          <w:sz w:val="24"/>
          <w:szCs w:val="24"/>
        </w:rPr>
        <w:t>, proporcionando nuevos elementos en el recurso de revisión</w:t>
      </w:r>
      <w:r w:rsidRPr="00030F25">
        <w:rPr>
          <w:rFonts w:ascii="Palatino Linotype" w:hAnsi="Palatino Linotype"/>
          <w:bCs/>
          <w:sz w:val="24"/>
          <w:szCs w:val="24"/>
        </w:rPr>
        <w:t>.</w:t>
      </w:r>
    </w:p>
    <w:p w14:paraId="1EDB3C95" w14:textId="77777777" w:rsidR="00AD3B5E" w:rsidRPr="00030F25" w:rsidRDefault="00AD3B5E" w:rsidP="00AD3B5E">
      <w:pPr>
        <w:autoSpaceDE w:val="0"/>
        <w:autoSpaceDN w:val="0"/>
        <w:adjustRightInd w:val="0"/>
        <w:spacing w:line="360" w:lineRule="auto"/>
        <w:jc w:val="both"/>
        <w:rPr>
          <w:rFonts w:ascii="Palatino Linotype" w:hAnsi="Palatino Linotype" w:cs="Arial"/>
        </w:rPr>
      </w:pPr>
    </w:p>
    <w:p w14:paraId="5BAFF4B9" w14:textId="77777777" w:rsidR="00AD3B5E" w:rsidRPr="00030F25" w:rsidRDefault="00AD3B5E" w:rsidP="00AD3B5E">
      <w:pPr>
        <w:autoSpaceDE w:val="0"/>
        <w:autoSpaceDN w:val="0"/>
        <w:adjustRightInd w:val="0"/>
        <w:spacing w:line="360" w:lineRule="auto"/>
        <w:jc w:val="both"/>
        <w:rPr>
          <w:rFonts w:ascii="Palatino Linotype" w:hAnsi="Palatino Linotype" w:cs="Arial"/>
          <w:sz w:val="24"/>
          <w:szCs w:val="24"/>
        </w:rPr>
      </w:pPr>
      <w:r w:rsidRPr="00030F25">
        <w:rPr>
          <w:rFonts w:ascii="Palatino Linotype" w:hAnsi="Palatino Linotype" w:cs="Arial"/>
          <w:sz w:val="24"/>
          <w:szCs w:val="24"/>
        </w:rPr>
        <w:lastRenderedPageBreak/>
        <w:t>Esta fracción se relaciona con el artículo 191 de la Ley, que prevé siete supuestos de improcedencia, algunas de las cuales pueden aparecer antes de admitir el recurso, o bien, después, de conformidad con lo siguiente:</w:t>
      </w:r>
    </w:p>
    <w:p w14:paraId="084C39D2" w14:textId="77777777" w:rsidR="00AD3B5E" w:rsidRPr="00030F25" w:rsidRDefault="00AD3B5E" w:rsidP="00AD3B5E">
      <w:pPr>
        <w:pStyle w:val="Citas"/>
      </w:pPr>
      <w:r w:rsidRPr="00030F25">
        <w:rPr>
          <w:b/>
        </w:rPr>
        <w:t>“Artículo 191.</w:t>
      </w:r>
      <w:r w:rsidRPr="00030F25">
        <w:t xml:space="preserve"> El recurso será desechado por improcedente cuando:</w:t>
      </w:r>
    </w:p>
    <w:p w14:paraId="6F52F43E" w14:textId="77777777" w:rsidR="00AD3B5E" w:rsidRPr="00030F25" w:rsidRDefault="00AD3B5E" w:rsidP="00AD3B5E">
      <w:pPr>
        <w:pStyle w:val="Citas"/>
        <w:numPr>
          <w:ilvl w:val="0"/>
          <w:numId w:val="18"/>
        </w:numPr>
        <w:ind w:left="1418"/>
      </w:pPr>
      <w:r w:rsidRPr="00030F25">
        <w:t>Sea extemporáneo por haber transcurrido el plazo establecido en la presente Ley, a partir de la respuesta;</w:t>
      </w:r>
    </w:p>
    <w:p w14:paraId="5C70EF40" w14:textId="77777777" w:rsidR="00AD3B5E" w:rsidRPr="00030F25" w:rsidRDefault="00AD3B5E" w:rsidP="00AD3B5E">
      <w:pPr>
        <w:pStyle w:val="Citas"/>
        <w:numPr>
          <w:ilvl w:val="0"/>
          <w:numId w:val="18"/>
        </w:numPr>
        <w:ind w:left="1418"/>
      </w:pPr>
      <w:r w:rsidRPr="00030F25">
        <w:t>Se esté tramitando ante el Poder Judicial de la Federación algún recurso o medio de defensa interpuesto por el recurrente;</w:t>
      </w:r>
    </w:p>
    <w:p w14:paraId="7397467C" w14:textId="77777777" w:rsidR="00AD3B5E" w:rsidRPr="00030F25" w:rsidRDefault="00AD3B5E" w:rsidP="00AD3B5E">
      <w:pPr>
        <w:pStyle w:val="Citas"/>
        <w:numPr>
          <w:ilvl w:val="0"/>
          <w:numId w:val="18"/>
        </w:numPr>
        <w:ind w:left="1418"/>
      </w:pPr>
      <w:r w:rsidRPr="00030F25">
        <w:t>No actualice alguno de los supuestos previstos en la presente Ley;</w:t>
      </w:r>
    </w:p>
    <w:p w14:paraId="0D77F3E4" w14:textId="77777777" w:rsidR="00AD3B5E" w:rsidRPr="00030F25" w:rsidRDefault="00AD3B5E" w:rsidP="00AD3B5E">
      <w:pPr>
        <w:pStyle w:val="Citas"/>
        <w:numPr>
          <w:ilvl w:val="0"/>
          <w:numId w:val="18"/>
        </w:numPr>
        <w:ind w:left="1418"/>
      </w:pPr>
      <w:r w:rsidRPr="00030F25">
        <w:t>No se haya desahogado la prevención en los términos establecidos en la presente Ley;</w:t>
      </w:r>
    </w:p>
    <w:p w14:paraId="4DD43A95" w14:textId="77777777" w:rsidR="00AD3B5E" w:rsidRPr="00030F25" w:rsidRDefault="00AD3B5E" w:rsidP="00AD3B5E">
      <w:pPr>
        <w:pStyle w:val="Citas"/>
        <w:numPr>
          <w:ilvl w:val="0"/>
          <w:numId w:val="18"/>
        </w:numPr>
        <w:ind w:left="1418"/>
      </w:pPr>
      <w:r w:rsidRPr="00030F25">
        <w:t>Se impugne la veracidad de la información proporcionada;</w:t>
      </w:r>
    </w:p>
    <w:p w14:paraId="61D84E47" w14:textId="77777777" w:rsidR="00AD3B5E" w:rsidRPr="00030F25" w:rsidRDefault="00AD3B5E" w:rsidP="00AD3B5E">
      <w:pPr>
        <w:pStyle w:val="Citas"/>
        <w:numPr>
          <w:ilvl w:val="0"/>
          <w:numId w:val="18"/>
        </w:numPr>
        <w:ind w:left="1418"/>
      </w:pPr>
      <w:r w:rsidRPr="00030F25">
        <w:t>Se trate de una consulta, o trámite en específico; y</w:t>
      </w:r>
    </w:p>
    <w:p w14:paraId="423FE611" w14:textId="77777777" w:rsidR="00AD3B5E" w:rsidRPr="00030F25" w:rsidRDefault="00AD3B5E" w:rsidP="00AD3B5E">
      <w:pPr>
        <w:pStyle w:val="Citas"/>
        <w:numPr>
          <w:ilvl w:val="0"/>
          <w:numId w:val="18"/>
        </w:numPr>
        <w:ind w:left="1418"/>
      </w:pPr>
      <w:r w:rsidRPr="00030F25">
        <w:rPr>
          <w:b/>
          <w:u w:val="single"/>
        </w:rPr>
        <w:t>El recurrente amplíe su solicitud en el recurso de revisión, únicamente respecto de los nuevos contenidos</w:t>
      </w:r>
      <w:r w:rsidRPr="00030F25">
        <w:rPr>
          <w:u w:val="single"/>
        </w:rPr>
        <w:t>.”</w:t>
      </w:r>
      <w:r w:rsidRPr="00030F25">
        <w:t xml:space="preserve"> </w:t>
      </w:r>
      <w:r w:rsidRPr="00030F25">
        <w:rPr>
          <w:b/>
        </w:rPr>
        <w:t>(Sic)</w:t>
      </w:r>
    </w:p>
    <w:p w14:paraId="500CDE8A" w14:textId="77777777" w:rsidR="00AD3B5E" w:rsidRPr="00030F25" w:rsidRDefault="00AD3B5E" w:rsidP="00AD3B5E">
      <w:pPr>
        <w:autoSpaceDE w:val="0"/>
        <w:autoSpaceDN w:val="0"/>
        <w:adjustRightInd w:val="0"/>
        <w:spacing w:line="360" w:lineRule="auto"/>
        <w:jc w:val="both"/>
        <w:rPr>
          <w:rFonts w:ascii="Palatino Linotype" w:hAnsi="Palatino Linotype" w:cs="Arial"/>
          <w:sz w:val="24"/>
          <w:szCs w:val="24"/>
        </w:rPr>
      </w:pPr>
    </w:p>
    <w:p w14:paraId="2869DFB6" w14:textId="2255C901" w:rsidR="00AD3B5E" w:rsidRPr="00030F25" w:rsidRDefault="00AD3B5E" w:rsidP="00AD3B5E">
      <w:pPr>
        <w:autoSpaceDE w:val="0"/>
        <w:autoSpaceDN w:val="0"/>
        <w:adjustRightInd w:val="0"/>
        <w:spacing w:line="360" w:lineRule="auto"/>
        <w:jc w:val="both"/>
        <w:rPr>
          <w:rFonts w:ascii="Palatino Linotype" w:hAnsi="Palatino Linotype" w:cs="Arial"/>
          <w:sz w:val="24"/>
          <w:szCs w:val="24"/>
        </w:rPr>
      </w:pPr>
      <w:r w:rsidRPr="00030F25">
        <w:rPr>
          <w:rFonts w:ascii="Palatino Linotype" w:hAnsi="Palatino Linotype" w:cs="Arial"/>
          <w:sz w:val="24"/>
          <w:szCs w:val="24"/>
        </w:rPr>
        <w:t>En conclusión, la ley de la materia establece en la fracción IV, del artículo 192, de la Ley de Transparencia vigente en la entidad, que a la letra establecen:</w:t>
      </w:r>
    </w:p>
    <w:p w14:paraId="00B8122D" w14:textId="77777777" w:rsidR="00AD3B5E" w:rsidRPr="00030F25" w:rsidRDefault="00AD3B5E" w:rsidP="00AD3B5E">
      <w:pPr>
        <w:pStyle w:val="Citas"/>
      </w:pPr>
      <w:r w:rsidRPr="00030F25">
        <w:lastRenderedPageBreak/>
        <w:t>“Artículo 192. El recurso será sobreseído, en todo o en parte, cuando una vez admitido, se actualicen alguno de los siguientes supuestos:</w:t>
      </w:r>
    </w:p>
    <w:p w14:paraId="309DFFA5" w14:textId="77777777" w:rsidR="00AD3B5E" w:rsidRPr="00030F25" w:rsidRDefault="00AD3B5E" w:rsidP="00AD3B5E">
      <w:pPr>
        <w:pStyle w:val="Citas"/>
        <w:numPr>
          <w:ilvl w:val="0"/>
          <w:numId w:val="19"/>
        </w:numPr>
      </w:pPr>
      <w:r w:rsidRPr="00030F25">
        <w:t xml:space="preserve">El recurrente se desista expresamente del recurso; </w:t>
      </w:r>
    </w:p>
    <w:p w14:paraId="386538BB" w14:textId="77777777" w:rsidR="00AD3B5E" w:rsidRPr="00030F25" w:rsidRDefault="00AD3B5E" w:rsidP="00AD3B5E">
      <w:pPr>
        <w:pStyle w:val="Citas"/>
        <w:numPr>
          <w:ilvl w:val="0"/>
          <w:numId w:val="19"/>
        </w:numPr>
      </w:pPr>
      <w:r w:rsidRPr="00030F25">
        <w:t xml:space="preserve">El recurrente fallezca o, tratándose de personas jurídicas colectivas, se disuelva; </w:t>
      </w:r>
    </w:p>
    <w:p w14:paraId="1E3E3078" w14:textId="77777777" w:rsidR="00AD3B5E" w:rsidRPr="00030F25" w:rsidRDefault="00AD3B5E" w:rsidP="00AD3B5E">
      <w:pPr>
        <w:pStyle w:val="Citas"/>
        <w:numPr>
          <w:ilvl w:val="0"/>
          <w:numId w:val="19"/>
        </w:numPr>
      </w:pPr>
      <w:r w:rsidRPr="00030F25">
        <w:t xml:space="preserve">El sujeto obligado responsable del acto lo modifique o revoque de tal manera que el recurso de revisión quede sin materia; </w:t>
      </w:r>
    </w:p>
    <w:p w14:paraId="52D6352C" w14:textId="77777777" w:rsidR="00AD3B5E" w:rsidRPr="00030F25" w:rsidRDefault="00AD3B5E" w:rsidP="00AD3B5E">
      <w:pPr>
        <w:pStyle w:val="Citas"/>
        <w:numPr>
          <w:ilvl w:val="0"/>
          <w:numId w:val="19"/>
        </w:numPr>
        <w:rPr>
          <w:b/>
          <w:u w:val="single"/>
        </w:rPr>
      </w:pPr>
      <w:r w:rsidRPr="00030F25">
        <w:rPr>
          <w:b/>
          <w:u w:val="single"/>
        </w:rPr>
        <w:t xml:space="preserve">Admitido el recurso de revisión, aparezca alguna causal de improcedencia en los términos de la presente Ley; y </w:t>
      </w:r>
    </w:p>
    <w:p w14:paraId="7EC2C10E" w14:textId="77777777" w:rsidR="00AD3B5E" w:rsidRPr="00030F25" w:rsidRDefault="00AD3B5E" w:rsidP="00AD3B5E">
      <w:pPr>
        <w:pStyle w:val="Citas"/>
        <w:numPr>
          <w:ilvl w:val="0"/>
          <w:numId w:val="19"/>
        </w:numPr>
        <w:rPr>
          <w:b/>
        </w:rPr>
      </w:pPr>
      <w:r w:rsidRPr="00030F25">
        <w:t>Cuando por cualquier motivo quede sin materia el recurso.”</w:t>
      </w:r>
      <w:r w:rsidRPr="00030F25">
        <w:rPr>
          <w:b/>
        </w:rPr>
        <w:t xml:space="preserve"> (Sic)</w:t>
      </w:r>
    </w:p>
    <w:p w14:paraId="107541C1" w14:textId="77777777" w:rsidR="00AD3B5E" w:rsidRPr="00030F25" w:rsidRDefault="00AD3B5E" w:rsidP="00AD3B5E">
      <w:pPr>
        <w:rPr>
          <w:rFonts w:ascii="Palatino Linotype" w:hAnsi="Palatino Linotype"/>
        </w:rPr>
      </w:pPr>
    </w:p>
    <w:p w14:paraId="7D6852C4" w14:textId="77777777" w:rsidR="00AD3B5E" w:rsidRPr="00030F25" w:rsidRDefault="00AD3B5E" w:rsidP="00AD3B5E">
      <w:pPr>
        <w:autoSpaceDE w:val="0"/>
        <w:autoSpaceDN w:val="0"/>
        <w:adjustRightInd w:val="0"/>
        <w:spacing w:line="360" w:lineRule="auto"/>
        <w:jc w:val="both"/>
        <w:rPr>
          <w:rFonts w:ascii="Palatino Linotype" w:hAnsi="Palatino Linotype" w:cs="Arial"/>
          <w:sz w:val="24"/>
          <w:szCs w:val="24"/>
        </w:rPr>
      </w:pPr>
      <w:r w:rsidRPr="00030F25">
        <w:rPr>
          <w:rFonts w:ascii="Palatino Linotype" w:hAnsi="Palatino Linotype" w:cs="Arial"/>
          <w:sz w:val="24"/>
          <w:szCs w:val="24"/>
        </w:rPr>
        <w:t>Por lo que hace a los requisitos de procedencia del sobreseimiento en términos del artículo 192, de la Ley de Transparencia estatal se establece lo siguiente:</w:t>
      </w:r>
    </w:p>
    <w:p w14:paraId="263C1840" w14:textId="3A3E6706" w:rsidR="00AD3B5E" w:rsidRPr="00030F25" w:rsidRDefault="00AD3B5E" w:rsidP="00AD3B5E">
      <w:pPr>
        <w:numPr>
          <w:ilvl w:val="0"/>
          <w:numId w:val="17"/>
        </w:numPr>
        <w:autoSpaceDE w:val="0"/>
        <w:autoSpaceDN w:val="0"/>
        <w:adjustRightInd w:val="0"/>
        <w:spacing w:line="360" w:lineRule="auto"/>
        <w:ind w:left="851" w:right="850" w:firstLine="10"/>
        <w:jc w:val="both"/>
        <w:rPr>
          <w:rFonts w:ascii="Palatino Linotype" w:hAnsi="Palatino Linotype" w:cs="Arial"/>
          <w:sz w:val="24"/>
          <w:szCs w:val="24"/>
        </w:rPr>
      </w:pPr>
      <w:r w:rsidRPr="00030F25">
        <w:rPr>
          <w:rFonts w:ascii="Palatino Linotype" w:hAnsi="Palatino Linotype" w:cs="Arial"/>
          <w:sz w:val="24"/>
          <w:szCs w:val="24"/>
        </w:rPr>
        <w:t xml:space="preserve">Mediante acuerdo de fecha </w:t>
      </w:r>
      <w:r w:rsidR="00030F25">
        <w:rPr>
          <w:rFonts w:ascii="Palatino Linotype" w:hAnsi="Palatino Linotype" w:cs="Arial"/>
          <w:b/>
          <w:sz w:val="24"/>
          <w:szCs w:val="24"/>
        </w:rPr>
        <w:t>veintisiete de febrero del presente</w:t>
      </w:r>
      <w:r w:rsidRPr="00030F25">
        <w:rPr>
          <w:rFonts w:ascii="Palatino Linotype" w:hAnsi="Palatino Linotype" w:cs="Arial"/>
          <w:sz w:val="24"/>
          <w:szCs w:val="24"/>
        </w:rPr>
        <w:t xml:space="preserve">, el Comisionado presidente </w:t>
      </w:r>
      <w:r w:rsidRPr="00030F25">
        <w:rPr>
          <w:rFonts w:ascii="Palatino Linotype" w:hAnsi="Palatino Linotype" w:cs="Arial"/>
          <w:b/>
          <w:sz w:val="24"/>
          <w:szCs w:val="24"/>
        </w:rPr>
        <w:t>José Martínez Vilchis</w:t>
      </w:r>
      <w:r w:rsidRPr="00030F25">
        <w:rPr>
          <w:rFonts w:ascii="Palatino Linotype" w:hAnsi="Palatino Linotype" w:cs="Arial"/>
          <w:sz w:val="24"/>
          <w:szCs w:val="24"/>
        </w:rPr>
        <w:t>, admitió a trámite el recurso de revisión que nos ocupa.</w:t>
      </w:r>
    </w:p>
    <w:p w14:paraId="6A7B0A37" w14:textId="77777777" w:rsidR="00AD3B5E" w:rsidRPr="00030F25" w:rsidRDefault="00AD3B5E" w:rsidP="00AD3B5E">
      <w:pPr>
        <w:numPr>
          <w:ilvl w:val="0"/>
          <w:numId w:val="17"/>
        </w:numPr>
        <w:autoSpaceDE w:val="0"/>
        <w:autoSpaceDN w:val="0"/>
        <w:adjustRightInd w:val="0"/>
        <w:spacing w:line="360" w:lineRule="auto"/>
        <w:ind w:left="851" w:right="850" w:firstLine="10"/>
        <w:jc w:val="both"/>
        <w:rPr>
          <w:sz w:val="24"/>
          <w:szCs w:val="24"/>
        </w:rPr>
      </w:pPr>
      <w:r w:rsidRPr="00030F25">
        <w:rPr>
          <w:rFonts w:ascii="Palatino Linotype" w:hAnsi="Palatino Linotype" w:cs="Arial"/>
          <w:sz w:val="24"/>
          <w:szCs w:val="24"/>
        </w:rPr>
        <w:t xml:space="preserve">Lo esgrimido por el particular dentro del recurso de revisión impugnado queda sin materia, toda vez que la parte </w:t>
      </w:r>
      <w:proofErr w:type="gramStart"/>
      <w:r w:rsidRPr="00030F25">
        <w:rPr>
          <w:rFonts w:ascii="Palatino Linotype" w:hAnsi="Palatino Linotype" w:cs="Arial"/>
          <w:b/>
          <w:sz w:val="24"/>
          <w:szCs w:val="24"/>
        </w:rPr>
        <w:t xml:space="preserve">Recurrente  </w:t>
      </w:r>
      <w:r w:rsidRPr="00030F25">
        <w:rPr>
          <w:rFonts w:ascii="Palatino Linotype" w:hAnsi="Palatino Linotype" w:cs="Arial"/>
          <w:sz w:val="24"/>
          <w:szCs w:val="24"/>
        </w:rPr>
        <w:t>amplío</w:t>
      </w:r>
      <w:proofErr w:type="gramEnd"/>
      <w:r w:rsidRPr="00030F25">
        <w:rPr>
          <w:rFonts w:ascii="Palatino Linotype" w:hAnsi="Palatino Linotype" w:cs="Arial"/>
          <w:sz w:val="24"/>
          <w:szCs w:val="24"/>
        </w:rPr>
        <w:t xml:space="preserve"> su solicitud en el recurso de revisión.</w:t>
      </w:r>
    </w:p>
    <w:p w14:paraId="0D43DE50" w14:textId="0EF1214A" w:rsidR="00AD3B5E" w:rsidRPr="00030F25" w:rsidRDefault="00AD3B5E" w:rsidP="00AD3B5E">
      <w:pPr>
        <w:numPr>
          <w:ilvl w:val="0"/>
          <w:numId w:val="17"/>
        </w:numPr>
        <w:autoSpaceDE w:val="0"/>
        <w:autoSpaceDN w:val="0"/>
        <w:adjustRightInd w:val="0"/>
        <w:spacing w:line="360" w:lineRule="auto"/>
        <w:ind w:left="851" w:right="850" w:firstLine="10"/>
        <w:jc w:val="both"/>
        <w:rPr>
          <w:rFonts w:ascii="Palatino Linotype" w:hAnsi="Palatino Linotype" w:cs="Arial"/>
          <w:sz w:val="24"/>
          <w:szCs w:val="24"/>
        </w:rPr>
      </w:pPr>
      <w:r w:rsidRPr="00030F25">
        <w:rPr>
          <w:rFonts w:ascii="Palatino Linotype" w:hAnsi="Palatino Linotype" w:cs="Arial"/>
          <w:sz w:val="24"/>
          <w:szCs w:val="24"/>
        </w:rPr>
        <w:t xml:space="preserve">El recurso </w:t>
      </w:r>
      <w:r w:rsidR="00030F25">
        <w:rPr>
          <w:rFonts w:ascii="Palatino Linotype" w:hAnsi="Palatino Linotype" w:cs="Arial"/>
          <w:b/>
          <w:bCs/>
          <w:sz w:val="24"/>
          <w:szCs w:val="24"/>
          <w:lang w:eastAsia="es-MX"/>
        </w:rPr>
        <w:t>01955</w:t>
      </w:r>
      <w:r w:rsidRPr="00030F25">
        <w:rPr>
          <w:rFonts w:ascii="Palatino Linotype" w:hAnsi="Palatino Linotype" w:cs="Arial"/>
          <w:b/>
          <w:bCs/>
          <w:sz w:val="24"/>
          <w:szCs w:val="24"/>
          <w:lang w:eastAsia="es-MX"/>
        </w:rPr>
        <w:t>/INFOEM/IP/RR/202</w:t>
      </w:r>
      <w:r w:rsidR="00030F25">
        <w:rPr>
          <w:rFonts w:ascii="Palatino Linotype" w:hAnsi="Palatino Linotype" w:cs="Arial"/>
          <w:b/>
          <w:bCs/>
          <w:sz w:val="24"/>
          <w:szCs w:val="24"/>
          <w:lang w:eastAsia="es-MX"/>
        </w:rPr>
        <w:t>5</w:t>
      </w:r>
      <w:r w:rsidRPr="00030F25">
        <w:rPr>
          <w:rFonts w:ascii="Palatino Linotype" w:hAnsi="Palatino Linotype" w:cs="Arial"/>
          <w:bCs/>
          <w:sz w:val="24"/>
          <w:szCs w:val="24"/>
          <w:lang w:eastAsia="es-MX"/>
        </w:rPr>
        <w:t>,</w:t>
      </w:r>
      <w:r w:rsidRPr="00030F25">
        <w:rPr>
          <w:rFonts w:ascii="Palatino Linotype" w:hAnsi="Palatino Linotype" w:cs="Arial"/>
          <w:sz w:val="24"/>
          <w:szCs w:val="24"/>
        </w:rPr>
        <w:t xml:space="preserve"> </w:t>
      </w:r>
      <w:r w:rsidR="00030F25">
        <w:rPr>
          <w:rFonts w:ascii="Palatino Linotype" w:hAnsi="Palatino Linotype" w:cs="Arial"/>
          <w:sz w:val="24"/>
          <w:szCs w:val="24"/>
        </w:rPr>
        <w:t xml:space="preserve">versa esencialmente en contenidos no advertidos en </w:t>
      </w:r>
      <w:r w:rsidR="009C3A7D">
        <w:rPr>
          <w:rFonts w:ascii="Palatino Linotype" w:hAnsi="Palatino Linotype" w:cs="Arial"/>
          <w:sz w:val="24"/>
          <w:szCs w:val="24"/>
        </w:rPr>
        <w:t xml:space="preserve">la solicitud de información. </w:t>
      </w:r>
      <w:r w:rsidR="00030F25">
        <w:rPr>
          <w:rFonts w:ascii="Palatino Linotype" w:hAnsi="Palatino Linotype" w:cs="Arial"/>
          <w:sz w:val="24"/>
          <w:szCs w:val="24"/>
        </w:rPr>
        <w:t xml:space="preserve"> </w:t>
      </w:r>
    </w:p>
    <w:p w14:paraId="7FB45FFA" w14:textId="77777777" w:rsidR="00AD3B5E" w:rsidRPr="00D435BA" w:rsidRDefault="00AD3B5E" w:rsidP="00AD3B5E">
      <w:pPr>
        <w:autoSpaceDE w:val="0"/>
        <w:autoSpaceDN w:val="0"/>
        <w:adjustRightInd w:val="0"/>
        <w:spacing w:line="360" w:lineRule="auto"/>
        <w:jc w:val="both"/>
        <w:rPr>
          <w:rFonts w:ascii="Palatino Linotype" w:hAnsi="Palatino Linotype"/>
          <w:sz w:val="16"/>
        </w:rPr>
      </w:pPr>
    </w:p>
    <w:p w14:paraId="45D2ED82" w14:textId="77777777" w:rsidR="00AD3B5E" w:rsidRPr="00030F25" w:rsidRDefault="00AD3B5E" w:rsidP="00AD3B5E">
      <w:pPr>
        <w:autoSpaceDE w:val="0"/>
        <w:autoSpaceDN w:val="0"/>
        <w:adjustRightInd w:val="0"/>
        <w:spacing w:line="360" w:lineRule="auto"/>
        <w:jc w:val="both"/>
        <w:rPr>
          <w:rFonts w:ascii="Palatino Linotype" w:hAnsi="Palatino Linotype"/>
          <w:b/>
          <w:sz w:val="24"/>
          <w:szCs w:val="24"/>
          <w:u w:val="single"/>
        </w:rPr>
      </w:pPr>
      <w:r w:rsidRPr="00030F25">
        <w:rPr>
          <w:rFonts w:ascii="Palatino Linotype" w:hAnsi="Palatino Linotype"/>
          <w:sz w:val="24"/>
          <w:szCs w:val="24"/>
        </w:rPr>
        <w:t xml:space="preserve">Es importante resaltar a manera de analogía que la Suprema Corte de Justicia de la Nación mediante el número 2 de la Serie </w:t>
      </w:r>
      <w:r w:rsidRPr="00030F25">
        <w:rPr>
          <w:rFonts w:ascii="Palatino Linotype" w:hAnsi="Palatino Linotype"/>
          <w:i/>
          <w:sz w:val="24"/>
          <w:szCs w:val="24"/>
        </w:rPr>
        <w:t xml:space="preserve">Estudios Introductorios sobre el Juicio de Amparo </w:t>
      </w:r>
      <w:r w:rsidRPr="00030F25">
        <w:rPr>
          <w:rFonts w:ascii="Palatino Linotype" w:hAnsi="Palatino Linotype"/>
          <w:sz w:val="24"/>
          <w:szCs w:val="24"/>
        </w:rPr>
        <w:t xml:space="preserve">relativo a </w:t>
      </w:r>
      <w:r w:rsidRPr="00030F25">
        <w:rPr>
          <w:rFonts w:ascii="Palatino Linotype" w:hAnsi="Palatino Linotype"/>
          <w:i/>
          <w:sz w:val="24"/>
          <w:szCs w:val="24"/>
        </w:rPr>
        <w:t xml:space="preserve">LA IMPROCEDENCIA DE LA ACCIÓN DE AMPARO </w:t>
      </w:r>
      <w:r w:rsidRPr="00030F25">
        <w:rPr>
          <w:rFonts w:ascii="Palatino Linotype" w:hAnsi="Palatino Linotype"/>
          <w:sz w:val="24"/>
          <w:szCs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030F25">
        <w:rPr>
          <w:rFonts w:ascii="Palatino Linotype" w:hAnsi="Palatino Linotype"/>
          <w:b/>
          <w:sz w:val="24"/>
          <w:szCs w:val="24"/>
          <w:u w:val="single"/>
        </w:rPr>
        <w:t>lo que generará que la demanda sea desechada; o bien, después de admitida la demanda, lo que tendrá como consecuencia que se sobresea en el juicio.</w:t>
      </w:r>
    </w:p>
    <w:p w14:paraId="47EE7F73" w14:textId="66FB1270" w:rsidR="00AD3B5E" w:rsidRPr="00030F25" w:rsidRDefault="00AD3B5E" w:rsidP="00AD3B5E">
      <w:pPr>
        <w:spacing w:line="360" w:lineRule="auto"/>
        <w:ind w:right="51"/>
        <w:jc w:val="both"/>
        <w:rPr>
          <w:rFonts w:ascii="Palatino Linotype" w:hAnsi="Palatino Linotype" w:cs="Arial"/>
          <w:bCs/>
          <w:sz w:val="24"/>
          <w:szCs w:val="24"/>
          <w:lang w:eastAsia="es-MX"/>
        </w:rPr>
      </w:pPr>
      <w:r w:rsidRPr="00030F25">
        <w:rPr>
          <w:rFonts w:ascii="Palatino Linotype" w:hAnsi="Palatino Linotype" w:cs="Arial"/>
          <w:sz w:val="24"/>
          <w:szCs w:val="24"/>
        </w:rPr>
        <w:t>En mérito de lo expuesto en líneas anteriores</w:t>
      </w:r>
      <w:r w:rsidRPr="00030F25">
        <w:rPr>
          <w:rFonts w:ascii="Palatino Linotype" w:hAnsi="Palatino Linotype"/>
          <w:noProof/>
          <w:sz w:val="24"/>
          <w:szCs w:val="24"/>
          <w:lang w:eastAsia="es-MX"/>
        </w:rPr>
        <w:t xml:space="preserve">, resultan </w:t>
      </w:r>
      <w:r w:rsidR="00B853E6">
        <w:rPr>
          <w:rFonts w:ascii="Palatino Linotype" w:hAnsi="Palatino Linotype"/>
          <w:noProof/>
          <w:sz w:val="24"/>
          <w:szCs w:val="24"/>
          <w:lang w:eastAsia="es-MX"/>
        </w:rPr>
        <w:t>improcedentes</w:t>
      </w:r>
      <w:r w:rsidRPr="00030F25">
        <w:rPr>
          <w:rFonts w:ascii="Palatino Linotype" w:hAnsi="Palatino Linotype"/>
          <w:noProof/>
          <w:sz w:val="24"/>
          <w:szCs w:val="24"/>
          <w:lang w:eastAsia="es-MX"/>
        </w:rPr>
        <w:t xml:space="preserve"> los motivos de inconformidad que arguye el </w:t>
      </w:r>
      <w:r w:rsidRPr="00030F25">
        <w:rPr>
          <w:rFonts w:ascii="Palatino Linotype" w:hAnsi="Palatino Linotype"/>
          <w:b/>
          <w:noProof/>
          <w:sz w:val="24"/>
          <w:szCs w:val="24"/>
          <w:lang w:eastAsia="es-MX"/>
        </w:rPr>
        <w:t>Recurrente</w:t>
      </w:r>
      <w:r w:rsidRPr="00030F25">
        <w:rPr>
          <w:rFonts w:ascii="Palatino Linotype" w:hAnsi="Palatino Linotype"/>
          <w:noProof/>
          <w:sz w:val="24"/>
          <w:szCs w:val="24"/>
          <w:lang w:eastAsia="es-MX"/>
        </w:rPr>
        <w:t xml:space="preserve"> en su medio de impugnación que fue materia de estudio, </w:t>
      </w:r>
      <w:r w:rsidRPr="00030F25">
        <w:rPr>
          <w:rFonts w:ascii="Palatino Linotype" w:hAnsi="Palatino Linotype" w:cs="Arial"/>
          <w:sz w:val="24"/>
          <w:szCs w:val="24"/>
        </w:rPr>
        <w:t xml:space="preserve">por ello con fundamento en el artículo 186, fracción I, en concordancia con el artículo 192, fracción IV, de la Ley de Transparencia y Acceso a la Información Pública del Estado de México y Municipios, se </w:t>
      </w:r>
      <w:r w:rsidRPr="00030F25">
        <w:rPr>
          <w:rFonts w:ascii="Palatino Linotype" w:hAnsi="Palatino Linotype" w:cs="Arial"/>
          <w:b/>
          <w:sz w:val="24"/>
          <w:szCs w:val="24"/>
        </w:rPr>
        <w:t>SOBRESEE</w:t>
      </w:r>
      <w:r w:rsidRPr="00030F25">
        <w:rPr>
          <w:rFonts w:ascii="Palatino Linotype" w:hAnsi="Palatino Linotype" w:cs="Arial"/>
          <w:sz w:val="24"/>
          <w:szCs w:val="24"/>
        </w:rPr>
        <w:t xml:space="preserve"> el recurso de revisión </w:t>
      </w:r>
      <w:r w:rsidR="00B853E6">
        <w:rPr>
          <w:rFonts w:ascii="Palatino Linotype" w:hAnsi="Palatino Linotype" w:cs="Arial"/>
          <w:b/>
          <w:bCs/>
          <w:sz w:val="24"/>
          <w:szCs w:val="24"/>
          <w:lang w:eastAsia="es-MX"/>
        </w:rPr>
        <w:t>01955/INFOEM/IP/RR/2025</w:t>
      </w:r>
      <w:r w:rsidRPr="00030F25">
        <w:rPr>
          <w:rFonts w:ascii="Palatino Linotype" w:eastAsiaTheme="minorEastAsia" w:hAnsi="Palatino Linotype"/>
          <w:sz w:val="24"/>
          <w:szCs w:val="24"/>
          <w:lang w:val="es-ES_tradnl"/>
        </w:rPr>
        <w:t>,</w:t>
      </w:r>
      <w:r w:rsidRPr="00030F25">
        <w:rPr>
          <w:rFonts w:ascii="Palatino Linotype" w:eastAsiaTheme="minorEastAsia" w:hAnsi="Palatino Linotype"/>
          <w:b/>
          <w:sz w:val="24"/>
          <w:szCs w:val="24"/>
          <w:lang w:val="es-ES_tradnl"/>
        </w:rPr>
        <w:t xml:space="preserve"> </w:t>
      </w:r>
      <w:r w:rsidRPr="00030F25">
        <w:rPr>
          <w:rFonts w:ascii="Palatino Linotype" w:hAnsi="Palatino Linotype" w:cs="Arial"/>
          <w:bCs/>
          <w:sz w:val="24"/>
          <w:szCs w:val="24"/>
          <w:lang w:eastAsia="es-MX"/>
        </w:rPr>
        <w:t>que ha sido materia del presente fallo.</w:t>
      </w:r>
    </w:p>
    <w:p w14:paraId="239C35D9" w14:textId="77777777" w:rsidR="00AD3B5E" w:rsidRDefault="00AD3B5E" w:rsidP="00AD3B5E">
      <w:pPr>
        <w:tabs>
          <w:tab w:val="left" w:pos="8931"/>
        </w:tabs>
        <w:spacing w:line="360" w:lineRule="auto"/>
        <w:ind w:right="51"/>
        <w:jc w:val="both"/>
        <w:rPr>
          <w:i/>
          <w:sz w:val="24"/>
          <w:szCs w:val="24"/>
        </w:rPr>
      </w:pPr>
      <w:r w:rsidRPr="00030F25">
        <w:rPr>
          <w:rFonts w:ascii="Palatino Linotype" w:hAnsi="Palatino Linotype"/>
        </w:rPr>
        <w:t>Por lo antes expuesto y fundado es de resolverse y,</w:t>
      </w:r>
      <w:r>
        <w:rPr>
          <w:sz w:val="24"/>
          <w:szCs w:val="24"/>
        </w:rPr>
        <w:t xml:space="preserve"> </w:t>
      </w:r>
    </w:p>
    <w:p w14:paraId="3ACA7BDB" w14:textId="77777777" w:rsidR="00AD3B5E" w:rsidRDefault="00AD3B5E" w:rsidP="00AD3B5E">
      <w:pPr>
        <w:spacing w:before="240" w:line="360" w:lineRule="auto"/>
        <w:jc w:val="center"/>
        <w:rPr>
          <w:rFonts w:ascii="Palatino Linotype" w:eastAsia="Times New Roman" w:hAnsi="Palatino Linotype"/>
          <w:b/>
          <w:bCs/>
          <w:spacing w:val="60"/>
          <w:sz w:val="24"/>
          <w:szCs w:val="24"/>
          <w:lang w:val="es-ES_tradnl"/>
        </w:rPr>
      </w:pPr>
    </w:p>
    <w:p w14:paraId="04FE58FA" w14:textId="77777777" w:rsidR="00AD3B5E" w:rsidRPr="00B853E6" w:rsidRDefault="00AD3B5E" w:rsidP="00AD3B5E">
      <w:pPr>
        <w:spacing w:before="240" w:line="360" w:lineRule="auto"/>
        <w:jc w:val="center"/>
        <w:rPr>
          <w:rFonts w:ascii="Palatino Linotype" w:eastAsia="Times New Roman" w:hAnsi="Palatino Linotype"/>
          <w:b/>
          <w:bCs/>
          <w:spacing w:val="60"/>
          <w:sz w:val="24"/>
          <w:szCs w:val="24"/>
          <w:lang w:val="es-ES_tradnl"/>
        </w:rPr>
      </w:pPr>
      <w:r w:rsidRPr="00B853E6">
        <w:rPr>
          <w:rFonts w:ascii="Palatino Linotype" w:eastAsia="Times New Roman" w:hAnsi="Palatino Linotype"/>
          <w:b/>
          <w:bCs/>
          <w:spacing w:val="60"/>
          <w:sz w:val="24"/>
          <w:szCs w:val="24"/>
          <w:lang w:val="es-ES_tradnl"/>
        </w:rPr>
        <w:t>SE    RESUELVE</w:t>
      </w:r>
    </w:p>
    <w:p w14:paraId="2CA82F2F" w14:textId="4AEE0E1A" w:rsidR="00AD3B5E" w:rsidRPr="00B853E6" w:rsidRDefault="00AD3B5E" w:rsidP="00AD3B5E">
      <w:pPr>
        <w:tabs>
          <w:tab w:val="left" w:pos="8647"/>
        </w:tabs>
        <w:spacing w:line="360" w:lineRule="auto"/>
        <w:ind w:right="51"/>
        <w:jc w:val="both"/>
        <w:rPr>
          <w:rFonts w:ascii="Palatino Linotype" w:eastAsiaTheme="minorEastAsia" w:hAnsi="Palatino Linotype" w:cs="Arial"/>
          <w:sz w:val="24"/>
          <w:szCs w:val="24"/>
          <w:lang w:val="es-ES_tradnl"/>
        </w:rPr>
      </w:pPr>
      <w:r w:rsidRPr="00B853E6">
        <w:rPr>
          <w:rFonts w:ascii="Palatino Linotype" w:eastAsiaTheme="minorEastAsia" w:hAnsi="Palatino Linotype" w:cs="Arial"/>
          <w:b/>
          <w:sz w:val="24"/>
          <w:szCs w:val="24"/>
          <w:lang w:val="es-ES_tradnl"/>
        </w:rPr>
        <w:t>PRIMERO.</w:t>
      </w:r>
      <w:r w:rsidRPr="00B853E6">
        <w:rPr>
          <w:rFonts w:ascii="Palatino Linotype" w:eastAsiaTheme="minorEastAsia" w:hAnsi="Palatino Linotype" w:cs="Arial"/>
          <w:sz w:val="24"/>
          <w:szCs w:val="24"/>
          <w:lang w:val="es-ES_tradnl"/>
        </w:rPr>
        <w:t xml:space="preserve"> Se </w:t>
      </w:r>
      <w:r w:rsidRPr="00B853E6">
        <w:rPr>
          <w:rFonts w:ascii="Palatino Linotype" w:eastAsiaTheme="minorEastAsia" w:hAnsi="Palatino Linotype" w:cs="Arial"/>
          <w:b/>
          <w:sz w:val="24"/>
          <w:szCs w:val="24"/>
          <w:lang w:val="es-ES_tradnl"/>
        </w:rPr>
        <w:t>SOBRESEE</w:t>
      </w:r>
      <w:r w:rsidRPr="00B853E6">
        <w:rPr>
          <w:rFonts w:ascii="Palatino Linotype" w:eastAsiaTheme="minorEastAsia" w:hAnsi="Palatino Linotype" w:cs="Arial"/>
          <w:sz w:val="24"/>
          <w:szCs w:val="24"/>
          <w:lang w:val="es-ES_tradnl"/>
        </w:rPr>
        <w:t xml:space="preserve"> el recurso de revisión </w:t>
      </w:r>
      <w:r w:rsidR="00B853E6" w:rsidRPr="00B853E6">
        <w:rPr>
          <w:rFonts w:ascii="Palatino Linotype" w:hAnsi="Palatino Linotype" w:cs="Arial"/>
          <w:b/>
          <w:bCs/>
          <w:sz w:val="24"/>
          <w:szCs w:val="24"/>
          <w:lang w:eastAsia="es-MX"/>
        </w:rPr>
        <w:t>01955/INFOEM/IP/RR/2025</w:t>
      </w:r>
      <w:r w:rsidRPr="00B853E6">
        <w:rPr>
          <w:rFonts w:ascii="Palatino Linotype" w:eastAsiaTheme="minorEastAsia" w:hAnsi="Palatino Linotype" w:cs="Arial"/>
          <w:sz w:val="24"/>
          <w:szCs w:val="24"/>
          <w:lang w:val="es-ES_tradnl"/>
        </w:rPr>
        <w:t xml:space="preserve">, por </w:t>
      </w:r>
      <w:r w:rsidRPr="00B853E6">
        <w:rPr>
          <w:rFonts w:ascii="Palatino Linotype" w:eastAsia="Palatino Linotype" w:hAnsi="Palatino Linotype" w:cs="Palatino Linotype"/>
          <w:color w:val="000000"/>
          <w:sz w:val="24"/>
          <w:szCs w:val="24"/>
        </w:rPr>
        <w:t xml:space="preserve">improcedente al actualizarse lo dispuesto en el artículo 192 fracción IV, con relación a </w:t>
      </w:r>
      <w:r w:rsidRPr="00B853E6">
        <w:rPr>
          <w:rFonts w:ascii="Palatino Linotype" w:eastAsia="Palatino Linotype" w:hAnsi="Palatino Linotype" w:cs="Palatino Linotype"/>
          <w:color w:val="000000"/>
          <w:sz w:val="24"/>
          <w:szCs w:val="24"/>
        </w:rPr>
        <w:lastRenderedPageBreak/>
        <w:t xml:space="preserve">la fracción VII del artículo 191 de la Ley de Transparencia y Acceso a la Información Pública del Estado de México y Municipios, </w:t>
      </w:r>
      <w:r w:rsidRPr="00B853E6">
        <w:rPr>
          <w:rFonts w:ascii="Palatino Linotype" w:hAnsi="Palatino Linotype" w:cs="Arial"/>
          <w:sz w:val="24"/>
          <w:szCs w:val="24"/>
          <w:lang w:val="es-ES_tradnl"/>
        </w:rPr>
        <w:t xml:space="preserve">en términos del Considerando </w:t>
      </w:r>
      <w:r w:rsidRPr="00B853E6">
        <w:rPr>
          <w:rFonts w:ascii="Palatino Linotype" w:hAnsi="Palatino Linotype" w:cs="Arial"/>
          <w:b/>
          <w:sz w:val="24"/>
          <w:szCs w:val="24"/>
          <w:lang w:val="es-ES_tradnl"/>
        </w:rPr>
        <w:t xml:space="preserve">CUARTO </w:t>
      </w:r>
      <w:r w:rsidRPr="00B853E6">
        <w:rPr>
          <w:rFonts w:ascii="Palatino Linotype" w:hAnsi="Palatino Linotype" w:cs="Arial"/>
          <w:sz w:val="24"/>
          <w:szCs w:val="24"/>
          <w:lang w:val="es-ES_tradnl"/>
        </w:rPr>
        <w:t>de la presente resolución.</w:t>
      </w:r>
    </w:p>
    <w:p w14:paraId="4B26F909" w14:textId="77777777" w:rsidR="00AD3B5E" w:rsidRPr="00B853E6" w:rsidRDefault="00AD3B5E" w:rsidP="00AD3B5E">
      <w:pPr>
        <w:tabs>
          <w:tab w:val="left" w:pos="8647"/>
        </w:tabs>
        <w:spacing w:line="360" w:lineRule="auto"/>
        <w:ind w:right="51"/>
        <w:jc w:val="both"/>
        <w:rPr>
          <w:rFonts w:ascii="Palatino Linotype" w:eastAsiaTheme="minorEastAsia" w:hAnsi="Palatino Linotype" w:cs="Arial"/>
          <w:sz w:val="24"/>
          <w:szCs w:val="24"/>
          <w:lang w:val="es-ES_tradnl"/>
        </w:rPr>
      </w:pPr>
    </w:p>
    <w:p w14:paraId="312CBBBE" w14:textId="77777777" w:rsidR="00AD3B5E" w:rsidRPr="00B853E6" w:rsidRDefault="00AD3B5E" w:rsidP="00AD3B5E">
      <w:pPr>
        <w:tabs>
          <w:tab w:val="left" w:pos="8647"/>
        </w:tabs>
        <w:spacing w:line="360" w:lineRule="auto"/>
        <w:ind w:right="51"/>
        <w:jc w:val="both"/>
        <w:rPr>
          <w:rFonts w:ascii="Palatino Linotype" w:eastAsiaTheme="minorEastAsia" w:hAnsi="Palatino Linotype" w:cs="Arial"/>
          <w:sz w:val="24"/>
          <w:szCs w:val="24"/>
          <w:lang w:val="es-ES_tradnl"/>
        </w:rPr>
      </w:pPr>
      <w:r w:rsidRPr="00B853E6">
        <w:rPr>
          <w:rFonts w:ascii="Palatino Linotype" w:eastAsiaTheme="minorEastAsia" w:hAnsi="Palatino Linotype" w:cs="Arial"/>
          <w:b/>
          <w:sz w:val="24"/>
          <w:szCs w:val="24"/>
          <w:lang w:val="es-ES_tradnl"/>
        </w:rPr>
        <w:t>SEGUNDO.</w:t>
      </w:r>
      <w:r w:rsidRPr="00B853E6">
        <w:rPr>
          <w:rFonts w:ascii="Palatino Linotype" w:eastAsiaTheme="minorEastAsia" w:hAnsi="Palatino Linotype" w:cs="Arial"/>
          <w:sz w:val="24"/>
          <w:szCs w:val="24"/>
          <w:lang w:val="es-ES_tradnl"/>
        </w:rPr>
        <w:t xml:space="preserve"> </w:t>
      </w:r>
      <w:r w:rsidRPr="00B853E6">
        <w:rPr>
          <w:rFonts w:ascii="Palatino Linotype" w:eastAsiaTheme="minorEastAsia" w:hAnsi="Palatino Linotype" w:cs="Arial"/>
          <w:b/>
          <w:sz w:val="24"/>
          <w:szCs w:val="24"/>
          <w:lang w:val="es-ES_tradnl"/>
        </w:rPr>
        <w:t>Notifíquese</w:t>
      </w:r>
      <w:r w:rsidRPr="00B853E6">
        <w:rPr>
          <w:rFonts w:ascii="Palatino Linotype" w:eastAsiaTheme="minorEastAsia" w:hAnsi="Palatino Linotype" w:cs="Arial"/>
          <w:sz w:val="24"/>
          <w:szCs w:val="24"/>
          <w:lang w:val="es-ES_tradnl"/>
        </w:rPr>
        <w:t xml:space="preserve"> vía Sistema de Acceso a la información Mexiquense (</w:t>
      </w:r>
      <w:r w:rsidRPr="00B853E6">
        <w:rPr>
          <w:rFonts w:ascii="Palatino Linotype" w:eastAsiaTheme="minorEastAsia" w:hAnsi="Palatino Linotype" w:cs="Arial"/>
          <w:b/>
          <w:bCs/>
          <w:sz w:val="24"/>
          <w:szCs w:val="24"/>
          <w:lang w:val="es-ES_tradnl"/>
        </w:rPr>
        <w:t>SAIMEX</w:t>
      </w:r>
      <w:r w:rsidRPr="00B853E6">
        <w:rPr>
          <w:rFonts w:ascii="Palatino Linotype" w:eastAsiaTheme="minorEastAsia" w:hAnsi="Palatino Linotype" w:cs="Arial"/>
          <w:sz w:val="24"/>
          <w:szCs w:val="24"/>
          <w:lang w:val="es-ES_tradnl"/>
        </w:rPr>
        <w:t xml:space="preserve">) la presente resolución al Titular de la Unidad de Transparencia del </w:t>
      </w:r>
      <w:r w:rsidRPr="00B853E6">
        <w:rPr>
          <w:rFonts w:ascii="Palatino Linotype" w:eastAsiaTheme="minorEastAsia" w:hAnsi="Palatino Linotype" w:cs="Arial"/>
          <w:b/>
          <w:sz w:val="24"/>
          <w:szCs w:val="24"/>
          <w:lang w:val="es-ES_tradnl"/>
        </w:rPr>
        <w:t>Sujeto Obligado</w:t>
      </w:r>
      <w:r w:rsidRPr="00B853E6">
        <w:rPr>
          <w:rFonts w:ascii="Palatino Linotype" w:eastAsiaTheme="minorEastAsia" w:hAnsi="Palatino Linotype" w:cs="Arial"/>
          <w:sz w:val="24"/>
          <w:szCs w:val="24"/>
          <w:lang w:val="es-ES_tradnl"/>
        </w:rPr>
        <w:t>.</w:t>
      </w:r>
    </w:p>
    <w:p w14:paraId="1C2B29F6" w14:textId="77777777" w:rsidR="00AD3B5E" w:rsidRPr="00B853E6" w:rsidRDefault="00AD3B5E" w:rsidP="00AD3B5E">
      <w:pPr>
        <w:spacing w:line="360" w:lineRule="auto"/>
        <w:jc w:val="both"/>
        <w:rPr>
          <w:rFonts w:ascii="Palatino Linotype" w:eastAsia="Batang" w:hAnsi="Palatino Linotype" w:cs="Arial"/>
          <w:sz w:val="24"/>
          <w:szCs w:val="24"/>
        </w:rPr>
      </w:pPr>
    </w:p>
    <w:p w14:paraId="3EF59636" w14:textId="77777777" w:rsidR="00AD3B5E" w:rsidRPr="006E3ED8" w:rsidRDefault="00AD3B5E" w:rsidP="00AD3B5E">
      <w:pPr>
        <w:spacing w:line="360" w:lineRule="auto"/>
        <w:jc w:val="both"/>
        <w:rPr>
          <w:rFonts w:ascii="Palatino Linotype" w:hAnsi="Palatino Linotype" w:cs="Arial"/>
          <w:sz w:val="24"/>
          <w:szCs w:val="24"/>
        </w:rPr>
      </w:pPr>
      <w:r w:rsidRPr="00B853E6">
        <w:rPr>
          <w:rFonts w:ascii="Palatino Linotype" w:hAnsi="Palatino Linotype" w:cs="Arial"/>
          <w:b/>
          <w:sz w:val="24"/>
          <w:szCs w:val="24"/>
        </w:rPr>
        <w:t>TERCERO.</w:t>
      </w:r>
      <w:r w:rsidRPr="00B853E6">
        <w:rPr>
          <w:rFonts w:ascii="Palatino Linotype" w:hAnsi="Palatino Linotype" w:cs="Arial"/>
          <w:sz w:val="24"/>
          <w:szCs w:val="24"/>
        </w:rPr>
        <w:t xml:space="preserve"> </w:t>
      </w:r>
      <w:r w:rsidRPr="00B853E6">
        <w:rPr>
          <w:rFonts w:ascii="Palatino Linotype" w:hAnsi="Palatino Linotype" w:cs="Arial"/>
          <w:b/>
          <w:sz w:val="24"/>
          <w:szCs w:val="24"/>
        </w:rPr>
        <w:t>NOTIFÍQUESE</w:t>
      </w:r>
      <w:r w:rsidRPr="00B853E6">
        <w:rPr>
          <w:rFonts w:ascii="Palatino Linotype" w:hAnsi="Palatino Linotype" w:cs="Arial"/>
          <w:sz w:val="24"/>
          <w:szCs w:val="24"/>
        </w:rPr>
        <w:t xml:space="preserve"> al </w:t>
      </w:r>
      <w:r w:rsidRPr="00B853E6">
        <w:rPr>
          <w:rFonts w:ascii="Palatino Linotype" w:hAnsi="Palatino Linotype" w:cs="Arial"/>
          <w:b/>
          <w:sz w:val="24"/>
          <w:szCs w:val="24"/>
        </w:rPr>
        <w:t xml:space="preserve">Recurrente </w:t>
      </w:r>
      <w:r w:rsidRPr="00B853E6">
        <w:rPr>
          <w:rFonts w:ascii="Palatino Linotype" w:hAnsi="Palatino Linotype" w:cs="Arial"/>
          <w:sz w:val="24"/>
          <w:szCs w:val="24"/>
        </w:rPr>
        <w:t xml:space="preserve">la presente resolución </w:t>
      </w:r>
      <w:r w:rsidRPr="00B853E6">
        <w:rPr>
          <w:rFonts w:ascii="Palatino Linotype" w:eastAsiaTheme="minorEastAsia" w:hAnsi="Palatino Linotype" w:cs="Arial"/>
          <w:sz w:val="24"/>
          <w:szCs w:val="24"/>
          <w:lang w:val="es-ES_tradnl"/>
        </w:rPr>
        <w:t>vía Sistema de Acceso a la información Mexiquense (</w:t>
      </w:r>
      <w:r w:rsidRPr="00B853E6">
        <w:rPr>
          <w:rFonts w:ascii="Palatino Linotype" w:eastAsiaTheme="minorEastAsia" w:hAnsi="Palatino Linotype" w:cs="Arial"/>
          <w:b/>
          <w:bCs/>
          <w:sz w:val="24"/>
          <w:szCs w:val="24"/>
          <w:lang w:val="es-ES_tradnl"/>
        </w:rPr>
        <w:t>SAIMEX</w:t>
      </w:r>
      <w:r w:rsidRPr="00B853E6">
        <w:rPr>
          <w:rFonts w:ascii="Palatino Linotype" w:eastAsiaTheme="minorEastAsia" w:hAnsi="Palatino Linotype" w:cs="Arial"/>
          <w:sz w:val="24"/>
          <w:szCs w:val="24"/>
          <w:lang w:val="es-ES_tradnl"/>
        </w:rPr>
        <w:t xml:space="preserve">) </w:t>
      </w:r>
      <w:r w:rsidRPr="00B853E6">
        <w:rPr>
          <w:rFonts w:ascii="Palatino Linotype" w:hAnsi="Palatino Linotype" w:cs="Arial"/>
          <w:sz w:val="24"/>
          <w:szCs w:val="24"/>
        </w:rPr>
        <w:t>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E907945" w14:textId="77777777" w:rsidR="00AD3B5E" w:rsidRDefault="00AD3B5E" w:rsidP="00AD3B5E">
      <w:pPr>
        <w:tabs>
          <w:tab w:val="left" w:pos="1284"/>
        </w:tabs>
        <w:spacing w:line="360" w:lineRule="auto"/>
        <w:jc w:val="both"/>
        <w:rPr>
          <w:rFonts w:ascii="Palatino Linotype" w:hAnsi="Palatino Linotype" w:cs="Arial"/>
          <w:sz w:val="24"/>
          <w:szCs w:val="24"/>
        </w:rPr>
      </w:pPr>
    </w:p>
    <w:p w14:paraId="7092900A" w14:textId="0F6D0C4C" w:rsidR="00660D95" w:rsidRPr="00627D99" w:rsidRDefault="00660D95" w:rsidP="00660D95">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w:t>
      </w:r>
      <w:r w:rsidR="008B327C">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w:t>
      </w:r>
      <w:r w:rsidR="00B853E6">
        <w:rPr>
          <w:rFonts w:ascii="Palatino Linotype" w:hAnsi="Palatino Linotype" w:cs="Arial"/>
        </w:rPr>
        <w:t xml:space="preserve">MARTÍNEZ, </w:t>
      </w:r>
      <w:r w:rsidR="00B853E6" w:rsidRPr="00266B85">
        <w:rPr>
          <w:rFonts w:ascii="Palatino Linotype" w:hAnsi="Palatino Linotype" w:cs="Arial"/>
        </w:rPr>
        <w:t>LUIS GUSTAVO PARRA NORIEGA</w:t>
      </w:r>
      <w:r w:rsidR="00B853E6">
        <w:rPr>
          <w:rFonts w:ascii="Palatino Linotype" w:hAnsi="Palatino Linotype" w:cs="Arial"/>
        </w:rPr>
        <w:t xml:space="preserve"> </w:t>
      </w:r>
      <w:r w:rsidR="00B853E6" w:rsidRPr="00266B85">
        <w:rPr>
          <w:rFonts w:ascii="Palatino Linotype" w:hAnsi="Palatino Linotype" w:cs="Arial"/>
        </w:rPr>
        <w:t xml:space="preserve">Y GUADALUPE RAMÍREZ PEÑA; EN LA </w:t>
      </w:r>
      <w:r w:rsidR="00B853E6">
        <w:rPr>
          <w:rFonts w:ascii="Palatino Linotype" w:hAnsi="Palatino Linotype" w:cs="Arial"/>
        </w:rPr>
        <w:t xml:space="preserve">DÉCIMA </w:t>
      </w:r>
      <w:r w:rsidR="00F67CCC">
        <w:rPr>
          <w:rFonts w:ascii="Palatino Linotype" w:hAnsi="Palatino Linotype" w:cs="Arial"/>
        </w:rPr>
        <w:t xml:space="preserve">PRIMERA </w:t>
      </w:r>
      <w:r w:rsidR="00B853E6">
        <w:rPr>
          <w:rFonts w:ascii="Palatino Linotype" w:hAnsi="Palatino Linotype" w:cs="Arial"/>
        </w:rPr>
        <w:lastRenderedPageBreak/>
        <w:t xml:space="preserve">SESIÓN ORDINARIA CELEBRADA EL VEINTISÉIS DE MARZO DE DOS MIL VEINTICINCO, ANTE EL SECRETARIO </w:t>
      </w:r>
      <w:r w:rsidR="00B853E6" w:rsidRPr="00627D99">
        <w:rPr>
          <w:rFonts w:ascii="Palatino Linotype" w:hAnsi="Palatino Linotype" w:cs="Arial"/>
          <w:sz w:val="23"/>
          <w:szCs w:val="23"/>
        </w:rPr>
        <w:t xml:space="preserve">TÉCNICO DEL PLENO, ALEXIS TAPIA RAMÍREZ. </w:t>
      </w:r>
    </w:p>
    <w:p w14:paraId="41ACD4C8" w14:textId="77777777" w:rsidR="00660D95" w:rsidRDefault="00660D95" w:rsidP="00660D95">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43CE29B7" w14:textId="5C3F7103" w:rsidR="00C56CD2" w:rsidRDefault="009C3A7D"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noProof/>
          <w:sz w:val="18"/>
          <w:szCs w:val="18"/>
          <w:lang w:val="es-MX" w:eastAsia="es-MX"/>
        </w:rPr>
        <mc:AlternateContent>
          <mc:Choice Requires="wps">
            <w:drawing>
              <wp:anchor distT="0" distB="0" distL="114300" distR="114300" simplePos="0" relativeHeight="251795444" behindDoc="0" locked="0" layoutInCell="1" allowOverlap="1" wp14:anchorId="08DF6C4A" wp14:editId="4100B590">
                <wp:simplePos x="0" y="0"/>
                <wp:positionH relativeFrom="column">
                  <wp:posOffset>-89535</wp:posOffset>
                </wp:positionH>
                <wp:positionV relativeFrom="paragraph">
                  <wp:posOffset>86360</wp:posOffset>
                </wp:positionV>
                <wp:extent cx="5806440" cy="5753100"/>
                <wp:effectExtent l="0" t="0" r="22860" b="19050"/>
                <wp:wrapNone/>
                <wp:docPr id="701816751" name="Conector recto 3"/>
                <wp:cNvGraphicFramePr/>
                <a:graphic xmlns:a="http://schemas.openxmlformats.org/drawingml/2006/main">
                  <a:graphicData uri="http://schemas.microsoft.com/office/word/2010/wordprocessingShape">
                    <wps:wsp>
                      <wps:cNvCnPr/>
                      <wps:spPr>
                        <a:xfrm>
                          <a:off x="0" y="0"/>
                          <a:ext cx="5806440" cy="5753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AE953" id="Conector recto 3" o:spid="_x0000_s1026" style="position:absolute;z-index:251795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6.8pt" to="450.15pt,4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" strokecolor="#5b9bd5 [3204]" strokeweight=".5pt">
                <v:stroke joinstyle="miter"/>
              </v:line>
            </w:pict>
          </mc:Fallback>
        </mc:AlternateContent>
      </w:r>
    </w:p>
    <w:p w14:paraId="7D94BFB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AFFFE2D"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B27618E"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6DDDC37"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6C3822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33E8CE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EEF5C42"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BA21745"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AC44BE7"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8822553"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3EEE5FA"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7292889"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3F03DF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527B175"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EAC49FA"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69396D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sectPr w:rsidR="00C56CD2" w:rsidSect="007E19BC">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3A12E" w14:textId="77777777" w:rsidR="00FF6ACE" w:rsidRDefault="00FF6ACE" w:rsidP="006168E4">
      <w:pPr>
        <w:spacing w:after="0" w:line="240" w:lineRule="auto"/>
      </w:pPr>
      <w:r>
        <w:separator/>
      </w:r>
    </w:p>
  </w:endnote>
  <w:endnote w:type="continuationSeparator" w:id="0">
    <w:p w14:paraId="7A563EB7" w14:textId="77777777" w:rsidR="00FF6ACE" w:rsidRDefault="00FF6ACE"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B0C14">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B0C14">
      <w:rPr>
        <w:rFonts w:ascii="Palatino Linotype" w:hAnsi="Palatino Linotype"/>
        <w:bCs/>
        <w:noProof/>
        <w:sz w:val="20"/>
      </w:rPr>
      <w:t>49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B0C1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B0C14">
      <w:rPr>
        <w:rFonts w:ascii="Palatino Linotype" w:hAnsi="Palatino Linotype"/>
        <w:bCs/>
        <w:noProof/>
        <w:sz w:val="20"/>
      </w:rPr>
      <w:t>49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02A83" w14:textId="77777777" w:rsidR="00FF6ACE" w:rsidRDefault="00FF6ACE" w:rsidP="006168E4">
      <w:pPr>
        <w:spacing w:after="0" w:line="240" w:lineRule="auto"/>
      </w:pPr>
      <w:r>
        <w:separator/>
      </w:r>
    </w:p>
  </w:footnote>
  <w:footnote w:type="continuationSeparator" w:id="0">
    <w:p w14:paraId="12017516" w14:textId="77777777" w:rsidR="00FF6ACE" w:rsidRDefault="00FF6ACE" w:rsidP="006168E4">
      <w:pPr>
        <w:spacing w:after="0" w:line="240" w:lineRule="auto"/>
      </w:pPr>
      <w:r>
        <w:continuationSeparator/>
      </w:r>
    </w:p>
  </w:footnote>
  <w:footnote w:id="1">
    <w:p w14:paraId="311958DC" w14:textId="77777777" w:rsidR="00AD3B5E" w:rsidRPr="00911081" w:rsidRDefault="00AD3B5E" w:rsidP="00AD3B5E">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472AD97" w14:textId="77777777" w:rsidR="00AD3B5E" w:rsidRPr="00911081" w:rsidRDefault="00AD3B5E" w:rsidP="00AD3B5E">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4B86A48D" w:rsidR="00D338F0" w:rsidRPr="00B4142F" w:rsidRDefault="00736C2C"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90279E">
            <w:rPr>
              <w:rFonts w:ascii="Palatino Linotype" w:hAnsi="Palatino Linotype" w:cs="Arial"/>
              <w:bCs/>
              <w:sz w:val="24"/>
              <w:lang w:eastAsia="es-MX"/>
            </w:rPr>
            <w:t>1955</w:t>
          </w:r>
          <w:r w:rsidR="00D338F0">
            <w:rPr>
              <w:rFonts w:ascii="Palatino Linotype" w:hAnsi="Palatino Linotype" w:cs="Arial"/>
              <w:bCs/>
              <w:sz w:val="24"/>
              <w:lang w:eastAsia="es-MX"/>
            </w:rPr>
            <w:t>/INFOEM/IP/RR/202</w:t>
          </w:r>
          <w:r w:rsidR="0090279E">
            <w:rPr>
              <w:rFonts w:ascii="Palatino Linotype" w:hAnsi="Palatino Linotype" w:cs="Arial"/>
              <w:bCs/>
              <w:sz w:val="24"/>
              <w:lang w:eastAsia="es-MX"/>
            </w:rPr>
            <w:t>5</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73331744" w:rsidR="00D338F0" w:rsidRPr="00F06FED" w:rsidRDefault="0090279E" w:rsidP="00F4623D">
          <w:pPr>
            <w:spacing w:after="120" w:line="256" w:lineRule="auto"/>
            <w:ind w:left="639" w:right="214"/>
            <w:jc w:val="both"/>
            <w:rPr>
              <w:rFonts w:ascii="Palatino Linotype" w:hAnsi="Palatino Linotype" w:cs="Arial"/>
            </w:rPr>
          </w:pPr>
          <w:r>
            <w:rPr>
              <w:rFonts w:ascii="Palatino Linotype" w:hAnsi="Palatino Linotype" w:cs="Arial"/>
              <w:szCs w:val="20"/>
            </w:rPr>
            <w:t>Ayuntamiento de San José del Rincón</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4B7E171A"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90279E">
            <w:rPr>
              <w:rFonts w:ascii="Palatino Linotype" w:hAnsi="Palatino Linotype" w:cs="Arial"/>
              <w:bCs/>
              <w:sz w:val="24"/>
              <w:lang w:eastAsia="es-MX"/>
            </w:rPr>
            <w:t>1955</w:t>
          </w:r>
          <w:r w:rsidR="00D338F0">
            <w:rPr>
              <w:rFonts w:ascii="Palatino Linotype" w:hAnsi="Palatino Linotype" w:cs="Arial"/>
              <w:bCs/>
              <w:sz w:val="24"/>
              <w:lang w:eastAsia="es-MX"/>
            </w:rPr>
            <w:t>/INFOEM/IP/RR/202</w:t>
          </w:r>
          <w:r w:rsidR="0090279E">
            <w:rPr>
              <w:rFonts w:ascii="Palatino Linotype" w:hAnsi="Palatino Linotype" w:cs="Arial"/>
              <w:bCs/>
              <w:sz w:val="24"/>
              <w:lang w:eastAsia="es-MX"/>
            </w:rPr>
            <w:t>5</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3ACA358C" w:rsidR="00D338F0" w:rsidRPr="00F06FED" w:rsidRDefault="00736C2C"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3B0C14">
            <w:rPr>
              <w:rFonts w:ascii="Palatino Linotype" w:hAnsi="Palatino Linotype" w:cs="Arial"/>
            </w:rPr>
            <w:t>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0E61949C" w:rsidR="00D338F0" w:rsidRDefault="0090279E"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San José del Rincón</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543"/>
    <w:multiLevelType w:val="hybridMultilevel"/>
    <w:tmpl w:val="404AE6B0"/>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 w15:restartNumberingAfterBreak="0">
    <w:nsid w:val="09C162A5"/>
    <w:multiLevelType w:val="hybridMultilevel"/>
    <w:tmpl w:val="F1E21B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241D5F"/>
    <w:multiLevelType w:val="hybridMultilevel"/>
    <w:tmpl w:val="189C611C"/>
    <w:lvl w:ilvl="0" w:tplc="17F43FD4">
      <w:start w:val="1"/>
      <w:numFmt w:val="bullet"/>
      <w:lvlText w:val="-"/>
      <w:lvlJc w:val="left"/>
      <w:pPr>
        <w:ind w:left="1440" w:hanging="360"/>
      </w:pPr>
      <w:rPr>
        <w:rFonts w:ascii="Palatino Linotype" w:eastAsia="Times New Roman" w:hAnsi="Palatino Linotype" w:cs="Arial" w:hint="default"/>
        <w:b w:val="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60B6869"/>
    <w:multiLevelType w:val="hybridMultilevel"/>
    <w:tmpl w:val="22CEC3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51516D"/>
    <w:multiLevelType w:val="hybridMultilevel"/>
    <w:tmpl w:val="05AC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020232"/>
    <w:multiLevelType w:val="hybridMultilevel"/>
    <w:tmpl w:val="E6E44B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E5415"/>
    <w:multiLevelType w:val="hybridMultilevel"/>
    <w:tmpl w:val="DB8E725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83182D"/>
    <w:multiLevelType w:val="hybridMultilevel"/>
    <w:tmpl w:val="F9CA48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1" w15:restartNumberingAfterBreak="0">
    <w:nsid w:val="3AD418CE"/>
    <w:multiLevelType w:val="hybridMultilevel"/>
    <w:tmpl w:val="BE7E6A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4D788C"/>
    <w:multiLevelType w:val="hybridMultilevel"/>
    <w:tmpl w:val="F1E21B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D369B9"/>
    <w:multiLevelType w:val="hybridMultilevel"/>
    <w:tmpl w:val="6956A03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483E3854"/>
    <w:multiLevelType w:val="hybridMultilevel"/>
    <w:tmpl w:val="48928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4C092D3F"/>
    <w:multiLevelType w:val="hybridMultilevel"/>
    <w:tmpl w:val="F1E21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90221B"/>
    <w:multiLevelType w:val="hybridMultilevel"/>
    <w:tmpl w:val="89BA2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9" w15:restartNumberingAfterBreak="0">
    <w:nsid w:val="6902328A"/>
    <w:multiLevelType w:val="hybridMultilevel"/>
    <w:tmpl w:val="38F0C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403C8A"/>
    <w:multiLevelType w:val="hybridMultilevel"/>
    <w:tmpl w:val="818C597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1" w15:restartNumberingAfterBreak="0">
    <w:nsid w:val="6F863D9D"/>
    <w:multiLevelType w:val="hybridMultilevel"/>
    <w:tmpl w:val="31EED702"/>
    <w:lvl w:ilvl="0" w:tplc="55B2F8F4">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962AC"/>
    <w:multiLevelType w:val="hybridMultilevel"/>
    <w:tmpl w:val="110A1BB8"/>
    <w:lvl w:ilvl="0" w:tplc="ECEEF606">
      <w:start w:val="1"/>
      <w:numFmt w:val="upperRoman"/>
      <w:lvlText w:val="%1."/>
      <w:lvlJc w:val="righ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06D47"/>
    <w:multiLevelType w:val="hybridMultilevel"/>
    <w:tmpl w:val="235C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67C87"/>
    <w:multiLevelType w:val="hybridMultilevel"/>
    <w:tmpl w:val="3A74D8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0"/>
  </w:num>
  <w:num w:numId="3">
    <w:abstractNumId w:val="16"/>
  </w:num>
  <w:num w:numId="4">
    <w:abstractNumId w:val="24"/>
  </w:num>
  <w:num w:numId="5">
    <w:abstractNumId w:val="17"/>
  </w:num>
  <w:num w:numId="6">
    <w:abstractNumId w:val="21"/>
  </w:num>
  <w:num w:numId="7">
    <w:abstractNumId w:val="6"/>
  </w:num>
  <w:num w:numId="8">
    <w:abstractNumId w:val="19"/>
  </w:num>
  <w:num w:numId="9">
    <w:abstractNumId w:val="22"/>
  </w:num>
  <w:num w:numId="10">
    <w:abstractNumId w:val="5"/>
  </w:num>
  <w:num w:numId="11">
    <w:abstractNumId w:val="14"/>
  </w:num>
  <w:num w:numId="12">
    <w:abstractNumId w:val="1"/>
  </w:num>
  <w:num w:numId="13">
    <w:abstractNumId w:val="7"/>
  </w:num>
  <w:num w:numId="14">
    <w:abstractNumId w:val="23"/>
  </w:num>
  <w:num w:numId="15">
    <w:abstractNumId w:val="25"/>
  </w:num>
  <w:num w:numId="16">
    <w:abstractNumId w:val="26"/>
  </w:num>
  <w:num w:numId="17">
    <w:abstractNumId w:val="10"/>
  </w:num>
  <w:num w:numId="18">
    <w:abstractNumId w:val="20"/>
  </w:num>
  <w:num w:numId="19">
    <w:abstractNumId w:val="13"/>
  </w:num>
  <w:num w:numId="20">
    <w:abstractNumId w:val="9"/>
  </w:num>
  <w:num w:numId="21">
    <w:abstractNumId w:val="15"/>
  </w:num>
  <w:num w:numId="22">
    <w:abstractNumId w:val="4"/>
  </w:num>
  <w:num w:numId="23">
    <w:abstractNumId w:val="8"/>
  </w:num>
  <w:num w:numId="24">
    <w:abstractNumId w:val="3"/>
  </w:num>
  <w:num w:numId="25">
    <w:abstractNumId w:val="2"/>
  </w:num>
  <w:num w:numId="26">
    <w:abstractNumId w:val="12"/>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57CA"/>
    <w:rsid w:val="00006FB9"/>
    <w:rsid w:val="00011048"/>
    <w:rsid w:val="00011426"/>
    <w:rsid w:val="000114DC"/>
    <w:rsid w:val="00012201"/>
    <w:rsid w:val="00012220"/>
    <w:rsid w:val="00014FD1"/>
    <w:rsid w:val="00015D83"/>
    <w:rsid w:val="000213BA"/>
    <w:rsid w:val="00022EAF"/>
    <w:rsid w:val="00023875"/>
    <w:rsid w:val="0002427C"/>
    <w:rsid w:val="00024913"/>
    <w:rsid w:val="000271CC"/>
    <w:rsid w:val="000306A7"/>
    <w:rsid w:val="00030F25"/>
    <w:rsid w:val="00031605"/>
    <w:rsid w:val="00032CE7"/>
    <w:rsid w:val="0003685F"/>
    <w:rsid w:val="0004190A"/>
    <w:rsid w:val="00041F04"/>
    <w:rsid w:val="00042133"/>
    <w:rsid w:val="000426E3"/>
    <w:rsid w:val="00045379"/>
    <w:rsid w:val="000459AC"/>
    <w:rsid w:val="00045B3C"/>
    <w:rsid w:val="0004682D"/>
    <w:rsid w:val="00047EAF"/>
    <w:rsid w:val="00051F5D"/>
    <w:rsid w:val="00055224"/>
    <w:rsid w:val="00061821"/>
    <w:rsid w:val="00061CD8"/>
    <w:rsid w:val="000623F9"/>
    <w:rsid w:val="00063A10"/>
    <w:rsid w:val="00063AE3"/>
    <w:rsid w:val="000662F8"/>
    <w:rsid w:val="00066B01"/>
    <w:rsid w:val="00071571"/>
    <w:rsid w:val="00073CC6"/>
    <w:rsid w:val="00073E78"/>
    <w:rsid w:val="00090745"/>
    <w:rsid w:val="00091552"/>
    <w:rsid w:val="00091C3A"/>
    <w:rsid w:val="00092363"/>
    <w:rsid w:val="00092586"/>
    <w:rsid w:val="00094155"/>
    <w:rsid w:val="00094C05"/>
    <w:rsid w:val="00094F1D"/>
    <w:rsid w:val="00096CA4"/>
    <w:rsid w:val="000A03E0"/>
    <w:rsid w:val="000A04D9"/>
    <w:rsid w:val="000A3486"/>
    <w:rsid w:val="000A378C"/>
    <w:rsid w:val="000A79DA"/>
    <w:rsid w:val="000B37C1"/>
    <w:rsid w:val="000B3E98"/>
    <w:rsid w:val="000B426F"/>
    <w:rsid w:val="000B4B51"/>
    <w:rsid w:val="000B6D7D"/>
    <w:rsid w:val="000B7158"/>
    <w:rsid w:val="000B7D23"/>
    <w:rsid w:val="000C06C3"/>
    <w:rsid w:val="000C0F57"/>
    <w:rsid w:val="000C51A0"/>
    <w:rsid w:val="000C5B8B"/>
    <w:rsid w:val="000D1B34"/>
    <w:rsid w:val="000D1B55"/>
    <w:rsid w:val="000D3C75"/>
    <w:rsid w:val="000D6422"/>
    <w:rsid w:val="000E0F23"/>
    <w:rsid w:val="000E2252"/>
    <w:rsid w:val="000E365E"/>
    <w:rsid w:val="000E5F05"/>
    <w:rsid w:val="000E686B"/>
    <w:rsid w:val="000F1FAB"/>
    <w:rsid w:val="000F2554"/>
    <w:rsid w:val="000F4793"/>
    <w:rsid w:val="0010372C"/>
    <w:rsid w:val="00105C41"/>
    <w:rsid w:val="00111DCD"/>
    <w:rsid w:val="00113D3E"/>
    <w:rsid w:val="00114CF9"/>
    <w:rsid w:val="00115A39"/>
    <w:rsid w:val="00115F16"/>
    <w:rsid w:val="001164A1"/>
    <w:rsid w:val="001179DB"/>
    <w:rsid w:val="00121ED7"/>
    <w:rsid w:val="00122EC2"/>
    <w:rsid w:val="00124855"/>
    <w:rsid w:val="001254F5"/>
    <w:rsid w:val="001269A0"/>
    <w:rsid w:val="00136FAD"/>
    <w:rsid w:val="0014029B"/>
    <w:rsid w:val="00143ABC"/>
    <w:rsid w:val="00146C08"/>
    <w:rsid w:val="00146F0A"/>
    <w:rsid w:val="00151EBC"/>
    <w:rsid w:val="00152C2B"/>
    <w:rsid w:val="0015319B"/>
    <w:rsid w:val="00156EC9"/>
    <w:rsid w:val="001611CC"/>
    <w:rsid w:val="001612E6"/>
    <w:rsid w:val="00161D54"/>
    <w:rsid w:val="00162A4D"/>
    <w:rsid w:val="001649A0"/>
    <w:rsid w:val="001678DF"/>
    <w:rsid w:val="00172924"/>
    <w:rsid w:val="00172C77"/>
    <w:rsid w:val="00172CEE"/>
    <w:rsid w:val="00173E45"/>
    <w:rsid w:val="00175897"/>
    <w:rsid w:val="00176157"/>
    <w:rsid w:val="00180B9F"/>
    <w:rsid w:val="00181CC5"/>
    <w:rsid w:val="00182911"/>
    <w:rsid w:val="0018726A"/>
    <w:rsid w:val="00193784"/>
    <w:rsid w:val="0019396C"/>
    <w:rsid w:val="00194B4C"/>
    <w:rsid w:val="001957D7"/>
    <w:rsid w:val="001A02EC"/>
    <w:rsid w:val="001A1D9B"/>
    <w:rsid w:val="001A1FF5"/>
    <w:rsid w:val="001A318E"/>
    <w:rsid w:val="001A577E"/>
    <w:rsid w:val="001A7C9B"/>
    <w:rsid w:val="001B05B9"/>
    <w:rsid w:val="001B48E2"/>
    <w:rsid w:val="001B7451"/>
    <w:rsid w:val="001B7B88"/>
    <w:rsid w:val="001C01B7"/>
    <w:rsid w:val="001C1363"/>
    <w:rsid w:val="001C2D1E"/>
    <w:rsid w:val="001C3E7E"/>
    <w:rsid w:val="001C5B3C"/>
    <w:rsid w:val="001C7319"/>
    <w:rsid w:val="001C7D87"/>
    <w:rsid w:val="001D0192"/>
    <w:rsid w:val="001D2729"/>
    <w:rsid w:val="001D3DE9"/>
    <w:rsid w:val="001D3E87"/>
    <w:rsid w:val="001D4438"/>
    <w:rsid w:val="001D4669"/>
    <w:rsid w:val="001D67B5"/>
    <w:rsid w:val="001D7575"/>
    <w:rsid w:val="001E456C"/>
    <w:rsid w:val="001F3F3C"/>
    <w:rsid w:val="001F4025"/>
    <w:rsid w:val="00202CC4"/>
    <w:rsid w:val="00211C66"/>
    <w:rsid w:val="0021296D"/>
    <w:rsid w:val="00212CB5"/>
    <w:rsid w:val="0021501E"/>
    <w:rsid w:val="00215A83"/>
    <w:rsid w:val="00216ABF"/>
    <w:rsid w:val="00217852"/>
    <w:rsid w:val="00220339"/>
    <w:rsid w:val="002205C0"/>
    <w:rsid w:val="00226760"/>
    <w:rsid w:val="002303A7"/>
    <w:rsid w:val="00231D77"/>
    <w:rsid w:val="002324F1"/>
    <w:rsid w:val="0023373D"/>
    <w:rsid w:val="0023423C"/>
    <w:rsid w:val="00236C82"/>
    <w:rsid w:val="0024638F"/>
    <w:rsid w:val="00246807"/>
    <w:rsid w:val="00247537"/>
    <w:rsid w:val="00247D10"/>
    <w:rsid w:val="00250470"/>
    <w:rsid w:val="00252985"/>
    <w:rsid w:val="0025390F"/>
    <w:rsid w:val="002577FE"/>
    <w:rsid w:val="00266DEC"/>
    <w:rsid w:val="00266E00"/>
    <w:rsid w:val="002674C9"/>
    <w:rsid w:val="00271EED"/>
    <w:rsid w:val="002725E3"/>
    <w:rsid w:val="00273D0E"/>
    <w:rsid w:val="002766A4"/>
    <w:rsid w:val="002811F8"/>
    <w:rsid w:val="00283BF1"/>
    <w:rsid w:val="0028788A"/>
    <w:rsid w:val="002915F2"/>
    <w:rsid w:val="00292885"/>
    <w:rsid w:val="002942AD"/>
    <w:rsid w:val="00296A44"/>
    <w:rsid w:val="00297140"/>
    <w:rsid w:val="00297368"/>
    <w:rsid w:val="00297870"/>
    <w:rsid w:val="002A0104"/>
    <w:rsid w:val="002A2034"/>
    <w:rsid w:val="002A24F4"/>
    <w:rsid w:val="002A38BF"/>
    <w:rsid w:val="002A597E"/>
    <w:rsid w:val="002B1410"/>
    <w:rsid w:val="002B1C1D"/>
    <w:rsid w:val="002B5069"/>
    <w:rsid w:val="002B5DBD"/>
    <w:rsid w:val="002B70DD"/>
    <w:rsid w:val="002C51F7"/>
    <w:rsid w:val="002C72D2"/>
    <w:rsid w:val="002D29D7"/>
    <w:rsid w:val="002D4C5A"/>
    <w:rsid w:val="002D64A8"/>
    <w:rsid w:val="002D662C"/>
    <w:rsid w:val="002E043D"/>
    <w:rsid w:val="002E0A1A"/>
    <w:rsid w:val="002E1E52"/>
    <w:rsid w:val="002E2D7B"/>
    <w:rsid w:val="002E3488"/>
    <w:rsid w:val="002E5721"/>
    <w:rsid w:val="002E5E6A"/>
    <w:rsid w:val="002F0D76"/>
    <w:rsid w:val="002F2D0B"/>
    <w:rsid w:val="002F37BE"/>
    <w:rsid w:val="002F3FC4"/>
    <w:rsid w:val="002F5A7C"/>
    <w:rsid w:val="002F5BA9"/>
    <w:rsid w:val="002F5BAE"/>
    <w:rsid w:val="002F700B"/>
    <w:rsid w:val="00300D0B"/>
    <w:rsid w:val="00301522"/>
    <w:rsid w:val="0030471E"/>
    <w:rsid w:val="00306096"/>
    <w:rsid w:val="00306848"/>
    <w:rsid w:val="00311566"/>
    <w:rsid w:val="0031645D"/>
    <w:rsid w:val="0032024D"/>
    <w:rsid w:val="00320A67"/>
    <w:rsid w:val="0032220E"/>
    <w:rsid w:val="00323B3E"/>
    <w:rsid w:val="00324C2A"/>
    <w:rsid w:val="003266DA"/>
    <w:rsid w:val="00326AAA"/>
    <w:rsid w:val="003272FB"/>
    <w:rsid w:val="00330F3C"/>
    <w:rsid w:val="0033299C"/>
    <w:rsid w:val="00334158"/>
    <w:rsid w:val="003349F3"/>
    <w:rsid w:val="003406C5"/>
    <w:rsid w:val="003410F2"/>
    <w:rsid w:val="003449BE"/>
    <w:rsid w:val="00344BDE"/>
    <w:rsid w:val="003450B5"/>
    <w:rsid w:val="0035016E"/>
    <w:rsid w:val="003507D3"/>
    <w:rsid w:val="00353C25"/>
    <w:rsid w:val="00356E3E"/>
    <w:rsid w:val="00357457"/>
    <w:rsid w:val="00357F5B"/>
    <w:rsid w:val="00361B9C"/>
    <w:rsid w:val="0036339F"/>
    <w:rsid w:val="00364209"/>
    <w:rsid w:val="00365DA0"/>
    <w:rsid w:val="00367CC7"/>
    <w:rsid w:val="003733F5"/>
    <w:rsid w:val="003749D9"/>
    <w:rsid w:val="00375BBA"/>
    <w:rsid w:val="00376CEC"/>
    <w:rsid w:val="00380010"/>
    <w:rsid w:val="00380758"/>
    <w:rsid w:val="00381214"/>
    <w:rsid w:val="003812E0"/>
    <w:rsid w:val="003869DF"/>
    <w:rsid w:val="00394A1E"/>
    <w:rsid w:val="003969CB"/>
    <w:rsid w:val="00397C0C"/>
    <w:rsid w:val="003A378D"/>
    <w:rsid w:val="003A61F9"/>
    <w:rsid w:val="003B0C14"/>
    <w:rsid w:val="003B171C"/>
    <w:rsid w:val="003B1E88"/>
    <w:rsid w:val="003B4030"/>
    <w:rsid w:val="003B45EA"/>
    <w:rsid w:val="003B5FD0"/>
    <w:rsid w:val="003B750C"/>
    <w:rsid w:val="003C4F65"/>
    <w:rsid w:val="003C5DEB"/>
    <w:rsid w:val="003D08E9"/>
    <w:rsid w:val="003D23B8"/>
    <w:rsid w:val="003D2D99"/>
    <w:rsid w:val="003D4107"/>
    <w:rsid w:val="003D78A3"/>
    <w:rsid w:val="003E05A5"/>
    <w:rsid w:val="003E128A"/>
    <w:rsid w:val="003E16E1"/>
    <w:rsid w:val="003E5144"/>
    <w:rsid w:val="003F3A54"/>
    <w:rsid w:val="004012CF"/>
    <w:rsid w:val="00402831"/>
    <w:rsid w:val="00402A46"/>
    <w:rsid w:val="00402FF3"/>
    <w:rsid w:val="00403A1E"/>
    <w:rsid w:val="004069EB"/>
    <w:rsid w:val="004071A7"/>
    <w:rsid w:val="00410789"/>
    <w:rsid w:val="00412901"/>
    <w:rsid w:val="00417D1F"/>
    <w:rsid w:val="00417E4F"/>
    <w:rsid w:val="00423213"/>
    <w:rsid w:val="00423ECD"/>
    <w:rsid w:val="0042416D"/>
    <w:rsid w:val="00426B98"/>
    <w:rsid w:val="0042798A"/>
    <w:rsid w:val="00433D7C"/>
    <w:rsid w:val="00433F2D"/>
    <w:rsid w:val="00442582"/>
    <w:rsid w:val="00442C1A"/>
    <w:rsid w:val="004469CB"/>
    <w:rsid w:val="004512DF"/>
    <w:rsid w:val="004516EB"/>
    <w:rsid w:val="004529B6"/>
    <w:rsid w:val="00453DBD"/>
    <w:rsid w:val="00454CE6"/>
    <w:rsid w:val="00455C30"/>
    <w:rsid w:val="00462881"/>
    <w:rsid w:val="004639CF"/>
    <w:rsid w:val="004668C1"/>
    <w:rsid w:val="00466B0E"/>
    <w:rsid w:val="00472678"/>
    <w:rsid w:val="00473342"/>
    <w:rsid w:val="00475F48"/>
    <w:rsid w:val="00477CC2"/>
    <w:rsid w:val="00480D38"/>
    <w:rsid w:val="0048180A"/>
    <w:rsid w:val="00481C7A"/>
    <w:rsid w:val="004855D1"/>
    <w:rsid w:val="004857CF"/>
    <w:rsid w:val="0049054A"/>
    <w:rsid w:val="004906C8"/>
    <w:rsid w:val="00491085"/>
    <w:rsid w:val="004924B8"/>
    <w:rsid w:val="004967E2"/>
    <w:rsid w:val="004A290F"/>
    <w:rsid w:val="004A5FFD"/>
    <w:rsid w:val="004A7CE2"/>
    <w:rsid w:val="004B15D1"/>
    <w:rsid w:val="004B38AC"/>
    <w:rsid w:val="004B7109"/>
    <w:rsid w:val="004C39DC"/>
    <w:rsid w:val="004D0421"/>
    <w:rsid w:val="004D08EB"/>
    <w:rsid w:val="004D0C64"/>
    <w:rsid w:val="004D2B23"/>
    <w:rsid w:val="004D2C8F"/>
    <w:rsid w:val="004D2D18"/>
    <w:rsid w:val="004D5AD4"/>
    <w:rsid w:val="004E0136"/>
    <w:rsid w:val="004E1318"/>
    <w:rsid w:val="004E2371"/>
    <w:rsid w:val="004E5994"/>
    <w:rsid w:val="004E6BE9"/>
    <w:rsid w:val="004F17FE"/>
    <w:rsid w:val="004F66EC"/>
    <w:rsid w:val="00503655"/>
    <w:rsid w:val="005037B3"/>
    <w:rsid w:val="005039A0"/>
    <w:rsid w:val="00504FB2"/>
    <w:rsid w:val="00506846"/>
    <w:rsid w:val="00506A6D"/>
    <w:rsid w:val="00512DA7"/>
    <w:rsid w:val="00515090"/>
    <w:rsid w:val="005202C4"/>
    <w:rsid w:val="00520D7E"/>
    <w:rsid w:val="005211D9"/>
    <w:rsid w:val="00521E57"/>
    <w:rsid w:val="00522FD2"/>
    <w:rsid w:val="005245A9"/>
    <w:rsid w:val="00524B68"/>
    <w:rsid w:val="00524E8D"/>
    <w:rsid w:val="005305C0"/>
    <w:rsid w:val="005305EA"/>
    <w:rsid w:val="00530F74"/>
    <w:rsid w:val="00531170"/>
    <w:rsid w:val="00531E18"/>
    <w:rsid w:val="00535F50"/>
    <w:rsid w:val="005371E7"/>
    <w:rsid w:val="005404AB"/>
    <w:rsid w:val="00540538"/>
    <w:rsid w:val="00540ACB"/>
    <w:rsid w:val="00545E93"/>
    <w:rsid w:val="005472FB"/>
    <w:rsid w:val="0054773D"/>
    <w:rsid w:val="00547D93"/>
    <w:rsid w:val="00550E2E"/>
    <w:rsid w:val="005520FE"/>
    <w:rsid w:val="005523D5"/>
    <w:rsid w:val="00556513"/>
    <w:rsid w:val="005575CB"/>
    <w:rsid w:val="0056015B"/>
    <w:rsid w:val="0056134C"/>
    <w:rsid w:val="00562653"/>
    <w:rsid w:val="00567998"/>
    <w:rsid w:val="00572979"/>
    <w:rsid w:val="005733EB"/>
    <w:rsid w:val="00575651"/>
    <w:rsid w:val="005759BB"/>
    <w:rsid w:val="00576BCC"/>
    <w:rsid w:val="005803A1"/>
    <w:rsid w:val="00580802"/>
    <w:rsid w:val="00581A22"/>
    <w:rsid w:val="00582A33"/>
    <w:rsid w:val="00584D8B"/>
    <w:rsid w:val="0058505F"/>
    <w:rsid w:val="0058671A"/>
    <w:rsid w:val="00593E91"/>
    <w:rsid w:val="00595568"/>
    <w:rsid w:val="005A0B49"/>
    <w:rsid w:val="005A1BC9"/>
    <w:rsid w:val="005A4E41"/>
    <w:rsid w:val="005A5930"/>
    <w:rsid w:val="005A6D57"/>
    <w:rsid w:val="005A7F1F"/>
    <w:rsid w:val="005B36D5"/>
    <w:rsid w:val="005B5B70"/>
    <w:rsid w:val="005B5F05"/>
    <w:rsid w:val="005B60F0"/>
    <w:rsid w:val="005B630C"/>
    <w:rsid w:val="005C04BB"/>
    <w:rsid w:val="005C123F"/>
    <w:rsid w:val="005C6605"/>
    <w:rsid w:val="005C6982"/>
    <w:rsid w:val="005C741B"/>
    <w:rsid w:val="005C7BB9"/>
    <w:rsid w:val="005D0AD1"/>
    <w:rsid w:val="005D15A3"/>
    <w:rsid w:val="005D1602"/>
    <w:rsid w:val="005D2B59"/>
    <w:rsid w:val="005D362F"/>
    <w:rsid w:val="005D370F"/>
    <w:rsid w:val="005E2749"/>
    <w:rsid w:val="005E46D0"/>
    <w:rsid w:val="005E48E4"/>
    <w:rsid w:val="005E4D7C"/>
    <w:rsid w:val="005E5834"/>
    <w:rsid w:val="005E65F2"/>
    <w:rsid w:val="005E6E57"/>
    <w:rsid w:val="005F048E"/>
    <w:rsid w:val="005F4734"/>
    <w:rsid w:val="005F57F0"/>
    <w:rsid w:val="005F6252"/>
    <w:rsid w:val="005F7598"/>
    <w:rsid w:val="00607168"/>
    <w:rsid w:val="0061024E"/>
    <w:rsid w:val="0061042F"/>
    <w:rsid w:val="00610C37"/>
    <w:rsid w:val="006114BA"/>
    <w:rsid w:val="006168E4"/>
    <w:rsid w:val="00624EB5"/>
    <w:rsid w:val="00626A70"/>
    <w:rsid w:val="00631FD7"/>
    <w:rsid w:val="006323CA"/>
    <w:rsid w:val="006329AB"/>
    <w:rsid w:val="00633DE8"/>
    <w:rsid w:val="006360F3"/>
    <w:rsid w:val="00636327"/>
    <w:rsid w:val="006369B4"/>
    <w:rsid w:val="00637512"/>
    <w:rsid w:val="00640EE4"/>
    <w:rsid w:val="00641150"/>
    <w:rsid w:val="0064185C"/>
    <w:rsid w:val="006466F5"/>
    <w:rsid w:val="0064761A"/>
    <w:rsid w:val="0065043F"/>
    <w:rsid w:val="00650C5E"/>
    <w:rsid w:val="00650D60"/>
    <w:rsid w:val="0065263E"/>
    <w:rsid w:val="00652A6B"/>
    <w:rsid w:val="00654718"/>
    <w:rsid w:val="00657DAD"/>
    <w:rsid w:val="00660C59"/>
    <w:rsid w:val="00660D95"/>
    <w:rsid w:val="00661753"/>
    <w:rsid w:val="00662035"/>
    <w:rsid w:val="006620AC"/>
    <w:rsid w:val="006652F8"/>
    <w:rsid w:val="00667DD9"/>
    <w:rsid w:val="006772FD"/>
    <w:rsid w:val="00677379"/>
    <w:rsid w:val="006816EF"/>
    <w:rsid w:val="006848B7"/>
    <w:rsid w:val="00684ED7"/>
    <w:rsid w:val="00686FD5"/>
    <w:rsid w:val="00697278"/>
    <w:rsid w:val="006A02AC"/>
    <w:rsid w:val="006A04CA"/>
    <w:rsid w:val="006A2BEC"/>
    <w:rsid w:val="006A4785"/>
    <w:rsid w:val="006B10D7"/>
    <w:rsid w:val="006B1953"/>
    <w:rsid w:val="006B1BF1"/>
    <w:rsid w:val="006B26E3"/>
    <w:rsid w:val="006B34A6"/>
    <w:rsid w:val="006B4B63"/>
    <w:rsid w:val="006B5DDC"/>
    <w:rsid w:val="006B68FC"/>
    <w:rsid w:val="006B7294"/>
    <w:rsid w:val="006B7444"/>
    <w:rsid w:val="006C698B"/>
    <w:rsid w:val="006D1F6B"/>
    <w:rsid w:val="006D23FC"/>
    <w:rsid w:val="006D7FD9"/>
    <w:rsid w:val="006E21BB"/>
    <w:rsid w:val="006E7563"/>
    <w:rsid w:val="006F082F"/>
    <w:rsid w:val="006F3C14"/>
    <w:rsid w:val="006F5F55"/>
    <w:rsid w:val="00701033"/>
    <w:rsid w:val="00701B61"/>
    <w:rsid w:val="00702C82"/>
    <w:rsid w:val="00703614"/>
    <w:rsid w:val="00711911"/>
    <w:rsid w:val="007164CD"/>
    <w:rsid w:val="007172F5"/>
    <w:rsid w:val="00717E41"/>
    <w:rsid w:val="0072689F"/>
    <w:rsid w:val="007316B6"/>
    <w:rsid w:val="00732104"/>
    <w:rsid w:val="00734B46"/>
    <w:rsid w:val="00736C2C"/>
    <w:rsid w:val="00736D41"/>
    <w:rsid w:val="0074122D"/>
    <w:rsid w:val="00741327"/>
    <w:rsid w:val="00741962"/>
    <w:rsid w:val="00742EAF"/>
    <w:rsid w:val="00744EEF"/>
    <w:rsid w:val="007456B7"/>
    <w:rsid w:val="00754CAE"/>
    <w:rsid w:val="007550F3"/>
    <w:rsid w:val="007568AD"/>
    <w:rsid w:val="00763C1A"/>
    <w:rsid w:val="00770CD1"/>
    <w:rsid w:val="00770FCE"/>
    <w:rsid w:val="00771AC2"/>
    <w:rsid w:val="00772E31"/>
    <w:rsid w:val="007747DF"/>
    <w:rsid w:val="007748C4"/>
    <w:rsid w:val="00774A9C"/>
    <w:rsid w:val="007770C2"/>
    <w:rsid w:val="00777164"/>
    <w:rsid w:val="00780B57"/>
    <w:rsid w:val="00781530"/>
    <w:rsid w:val="007830E9"/>
    <w:rsid w:val="007835B9"/>
    <w:rsid w:val="00783A07"/>
    <w:rsid w:val="007851D5"/>
    <w:rsid w:val="00787D06"/>
    <w:rsid w:val="007929FA"/>
    <w:rsid w:val="0079486A"/>
    <w:rsid w:val="00794F80"/>
    <w:rsid w:val="0079735D"/>
    <w:rsid w:val="007A1C9E"/>
    <w:rsid w:val="007A3206"/>
    <w:rsid w:val="007A4692"/>
    <w:rsid w:val="007A4A04"/>
    <w:rsid w:val="007A62CC"/>
    <w:rsid w:val="007B0046"/>
    <w:rsid w:val="007B2303"/>
    <w:rsid w:val="007B2C77"/>
    <w:rsid w:val="007B3414"/>
    <w:rsid w:val="007B403C"/>
    <w:rsid w:val="007B68F7"/>
    <w:rsid w:val="007C1116"/>
    <w:rsid w:val="007C4168"/>
    <w:rsid w:val="007C45D8"/>
    <w:rsid w:val="007D1A27"/>
    <w:rsid w:val="007D1B24"/>
    <w:rsid w:val="007D1F15"/>
    <w:rsid w:val="007D25B1"/>
    <w:rsid w:val="007D2878"/>
    <w:rsid w:val="007D3203"/>
    <w:rsid w:val="007D4303"/>
    <w:rsid w:val="007D43D3"/>
    <w:rsid w:val="007E19BC"/>
    <w:rsid w:val="007E55D6"/>
    <w:rsid w:val="007E5D51"/>
    <w:rsid w:val="007E6161"/>
    <w:rsid w:val="007E7BAB"/>
    <w:rsid w:val="007E7DCE"/>
    <w:rsid w:val="007F0A4D"/>
    <w:rsid w:val="007F1441"/>
    <w:rsid w:val="007F20AC"/>
    <w:rsid w:val="007F53A0"/>
    <w:rsid w:val="007F7A92"/>
    <w:rsid w:val="0080158F"/>
    <w:rsid w:val="008024BA"/>
    <w:rsid w:val="00802C56"/>
    <w:rsid w:val="00807A3D"/>
    <w:rsid w:val="00811205"/>
    <w:rsid w:val="00811D55"/>
    <w:rsid w:val="00812C48"/>
    <w:rsid w:val="0081447E"/>
    <w:rsid w:val="008146F9"/>
    <w:rsid w:val="00814DDC"/>
    <w:rsid w:val="008164DB"/>
    <w:rsid w:val="00817A08"/>
    <w:rsid w:val="00822215"/>
    <w:rsid w:val="00822853"/>
    <w:rsid w:val="00824DCD"/>
    <w:rsid w:val="00825CB5"/>
    <w:rsid w:val="008276FC"/>
    <w:rsid w:val="00832CE7"/>
    <w:rsid w:val="00833011"/>
    <w:rsid w:val="00836B8D"/>
    <w:rsid w:val="008427E4"/>
    <w:rsid w:val="00843314"/>
    <w:rsid w:val="00844569"/>
    <w:rsid w:val="008466EC"/>
    <w:rsid w:val="008474E1"/>
    <w:rsid w:val="00847D23"/>
    <w:rsid w:val="0085196B"/>
    <w:rsid w:val="00853BED"/>
    <w:rsid w:val="00855266"/>
    <w:rsid w:val="00863327"/>
    <w:rsid w:val="00866F25"/>
    <w:rsid w:val="00870F44"/>
    <w:rsid w:val="00871DC1"/>
    <w:rsid w:val="008724F6"/>
    <w:rsid w:val="00872F83"/>
    <w:rsid w:val="0087789F"/>
    <w:rsid w:val="00884054"/>
    <w:rsid w:val="00887CDA"/>
    <w:rsid w:val="00891C7A"/>
    <w:rsid w:val="00892DB9"/>
    <w:rsid w:val="008936E7"/>
    <w:rsid w:val="00895089"/>
    <w:rsid w:val="008951ED"/>
    <w:rsid w:val="008960D1"/>
    <w:rsid w:val="008A05F5"/>
    <w:rsid w:val="008A0A23"/>
    <w:rsid w:val="008A60C7"/>
    <w:rsid w:val="008A68CA"/>
    <w:rsid w:val="008A75BE"/>
    <w:rsid w:val="008B02FB"/>
    <w:rsid w:val="008B0679"/>
    <w:rsid w:val="008B1E28"/>
    <w:rsid w:val="008B327C"/>
    <w:rsid w:val="008B3A59"/>
    <w:rsid w:val="008B42B1"/>
    <w:rsid w:val="008B5224"/>
    <w:rsid w:val="008B7382"/>
    <w:rsid w:val="008C0375"/>
    <w:rsid w:val="008C2B32"/>
    <w:rsid w:val="008C32A8"/>
    <w:rsid w:val="008C55A3"/>
    <w:rsid w:val="008C5A03"/>
    <w:rsid w:val="008C5E94"/>
    <w:rsid w:val="008D038F"/>
    <w:rsid w:val="008D1D2A"/>
    <w:rsid w:val="008D3703"/>
    <w:rsid w:val="008D4154"/>
    <w:rsid w:val="008D4EB7"/>
    <w:rsid w:val="008D6297"/>
    <w:rsid w:val="008D6D04"/>
    <w:rsid w:val="008E3791"/>
    <w:rsid w:val="008E6375"/>
    <w:rsid w:val="008F0117"/>
    <w:rsid w:val="008F4C65"/>
    <w:rsid w:val="0090279E"/>
    <w:rsid w:val="00905422"/>
    <w:rsid w:val="00913133"/>
    <w:rsid w:val="00913221"/>
    <w:rsid w:val="0091728F"/>
    <w:rsid w:val="00920128"/>
    <w:rsid w:val="00921DB9"/>
    <w:rsid w:val="0092403D"/>
    <w:rsid w:val="009268BB"/>
    <w:rsid w:val="00926D4D"/>
    <w:rsid w:val="00927858"/>
    <w:rsid w:val="00935D2F"/>
    <w:rsid w:val="00936B04"/>
    <w:rsid w:val="00940116"/>
    <w:rsid w:val="009402DB"/>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706B5"/>
    <w:rsid w:val="00970CB5"/>
    <w:rsid w:val="0097184A"/>
    <w:rsid w:val="00972BDF"/>
    <w:rsid w:val="0098182D"/>
    <w:rsid w:val="00990C92"/>
    <w:rsid w:val="00991F20"/>
    <w:rsid w:val="009923E0"/>
    <w:rsid w:val="00992B5E"/>
    <w:rsid w:val="009950AD"/>
    <w:rsid w:val="00996BFF"/>
    <w:rsid w:val="00997E87"/>
    <w:rsid w:val="009A0AF8"/>
    <w:rsid w:val="009A0B2D"/>
    <w:rsid w:val="009A1139"/>
    <w:rsid w:val="009A3D4D"/>
    <w:rsid w:val="009A49FE"/>
    <w:rsid w:val="009A507E"/>
    <w:rsid w:val="009A686F"/>
    <w:rsid w:val="009A77EC"/>
    <w:rsid w:val="009A7DBA"/>
    <w:rsid w:val="009B057C"/>
    <w:rsid w:val="009B33A8"/>
    <w:rsid w:val="009B3487"/>
    <w:rsid w:val="009B5FB5"/>
    <w:rsid w:val="009B7C61"/>
    <w:rsid w:val="009C2422"/>
    <w:rsid w:val="009C2AE5"/>
    <w:rsid w:val="009C3793"/>
    <w:rsid w:val="009C3A7D"/>
    <w:rsid w:val="009C5799"/>
    <w:rsid w:val="009C5DB9"/>
    <w:rsid w:val="009C7074"/>
    <w:rsid w:val="009D25FE"/>
    <w:rsid w:val="009D68A0"/>
    <w:rsid w:val="009E0867"/>
    <w:rsid w:val="009E0A25"/>
    <w:rsid w:val="009E1411"/>
    <w:rsid w:val="009E45A0"/>
    <w:rsid w:val="009E49A3"/>
    <w:rsid w:val="009E52F2"/>
    <w:rsid w:val="009F0515"/>
    <w:rsid w:val="009F1A4C"/>
    <w:rsid w:val="009F3C1F"/>
    <w:rsid w:val="009F51E1"/>
    <w:rsid w:val="009F614E"/>
    <w:rsid w:val="009F6571"/>
    <w:rsid w:val="009F762B"/>
    <w:rsid w:val="009F7D21"/>
    <w:rsid w:val="00A00E96"/>
    <w:rsid w:val="00A02047"/>
    <w:rsid w:val="00A036BE"/>
    <w:rsid w:val="00A12205"/>
    <w:rsid w:val="00A131D2"/>
    <w:rsid w:val="00A155B9"/>
    <w:rsid w:val="00A214B4"/>
    <w:rsid w:val="00A32D63"/>
    <w:rsid w:val="00A345F6"/>
    <w:rsid w:val="00A348B5"/>
    <w:rsid w:val="00A34DDD"/>
    <w:rsid w:val="00A351D7"/>
    <w:rsid w:val="00A35F12"/>
    <w:rsid w:val="00A37243"/>
    <w:rsid w:val="00A37DAA"/>
    <w:rsid w:val="00A40D10"/>
    <w:rsid w:val="00A41327"/>
    <w:rsid w:val="00A4436A"/>
    <w:rsid w:val="00A453DC"/>
    <w:rsid w:val="00A45721"/>
    <w:rsid w:val="00A457D1"/>
    <w:rsid w:val="00A47E87"/>
    <w:rsid w:val="00A47F39"/>
    <w:rsid w:val="00A516E8"/>
    <w:rsid w:val="00A51D94"/>
    <w:rsid w:val="00A520C9"/>
    <w:rsid w:val="00A525D9"/>
    <w:rsid w:val="00A52BA3"/>
    <w:rsid w:val="00A54F8B"/>
    <w:rsid w:val="00A565E7"/>
    <w:rsid w:val="00A6185A"/>
    <w:rsid w:val="00A625E2"/>
    <w:rsid w:val="00A67B13"/>
    <w:rsid w:val="00A71080"/>
    <w:rsid w:val="00A72465"/>
    <w:rsid w:val="00A72DCB"/>
    <w:rsid w:val="00A75001"/>
    <w:rsid w:val="00A80C92"/>
    <w:rsid w:val="00A812C8"/>
    <w:rsid w:val="00A82461"/>
    <w:rsid w:val="00A83323"/>
    <w:rsid w:val="00A85006"/>
    <w:rsid w:val="00A851D8"/>
    <w:rsid w:val="00A86352"/>
    <w:rsid w:val="00A90295"/>
    <w:rsid w:val="00A91E94"/>
    <w:rsid w:val="00A9227B"/>
    <w:rsid w:val="00A93540"/>
    <w:rsid w:val="00A953BA"/>
    <w:rsid w:val="00AA1142"/>
    <w:rsid w:val="00AA11D5"/>
    <w:rsid w:val="00AA1A2C"/>
    <w:rsid w:val="00AA207C"/>
    <w:rsid w:val="00AA4549"/>
    <w:rsid w:val="00AA5D62"/>
    <w:rsid w:val="00AB3710"/>
    <w:rsid w:val="00AB37EB"/>
    <w:rsid w:val="00AB388D"/>
    <w:rsid w:val="00AB4B0F"/>
    <w:rsid w:val="00AB6C3B"/>
    <w:rsid w:val="00AB7525"/>
    <w:rsid w:val="00AC1971"/>
    <w:rsid w:val="00AC5D43"/>
    <w:rsid w:val="00AC69F7"/>
    <w:rsid w:val="00AD15A7"/>
    <w:rsid w:val="00AD3B5E"/>
    <w:rsid w:val="00AD6BEE"/>
    <w:rsid w:val="00AE008F"/>
    <w:rsid w:val="00AE1EF2"/>
    <w:rsid w:val="00AE33FE"/>
    <w:rsid w:val="00AF1248"/>
    <w:rsid w:val="00AF4795"/>
    <w:rsid w:val="00AF55AC"/>
    <w:rsid w:val="00B07D6D"/>
    <w:rsid w:val="00B1003A"/>
    <w:rsid w:val="00B103E0"/>
    <w:rsid w:val="00B11E08"/>
    <w:rsid w:val="00B12E48"/>
    <w:rsid w:val="00B13C33"/>
    <w:rsid w:val="00B15E79"/>
    <w:rsid w:val="00B269B2"/>
    <w:rsid w:val="00B26C37"/>
    <w:rsid w:val="00B32CD3"/>
    <w:rsid w:val="00B35834"/>
    <w:rsid w:val="00B35A93"/>
    <w:rsid w:val="00B3635B"/>
    <w:rsid w:val="00B3672D"/>
    <w:rsid w:val="00B36D2B"/>
    <w:rsid w:val="00B465FF"/>
    <w:rsid w:val="00B47192"/>
    <w:rsid w:val="00B4745C"/>
    <w:rsid w:val="00B477AC"/>
    <w:rsid w:val="00B6107A"/>
    <w:rsid w:val="00B61D75"/>
    <w:rsid w:val="00B62F0D"/>
    <w:rsid w:val="00B66CCB"/>
    <w:rsid w:val="00B66DB3"/>
    <w:rsid w:val="00B7258D"/>
    <w:rsid w:val="00B72B0F"/>
    <w:rsid w:val="00B72D1B"/>
    <w:rsid w:val="00B741B2"/>
    <w:rsid w:val="00B7593D"/>
    <w:rsid w:val="00B75A86"/>
    <w:rsid w:val="00B7668E"/>
    <w:rsid w:val="00B80028"/>
    <w:rsid w:val="00B833EA"/>
    <w:rsid w:val="00B85271"/>
    <w:rsid w:val="00B853E6"/>
    <w:rsid w:val="00B85EF3"/>
    <w:rsid w:val="00B86B05"/>
    <w:rsid w:val="00B9223B"/>
    <w:rsid w:val="00B960DA"/>
    <w:rsid w:val="00B97604"/>
    <w:rsid w:val="00BA11EC"/>
    <w:rsid w:val="00BA2262"/>
    <w:rsid w:val="00BA4D1F"/>
    <w:rsid w:val="00BA7AD1"/>
    <w:rsid w:val="00BB04EC"/>
    <w:rsid w:val="00BB18B7"/>
    <w:rsid w:val="00BB2250"/>
    <w:rsid w:val="00BB4A68"/>
    <w:rsid w:val="00BB58EE"/>
    <w:rsid w:val="00BB739A"/>
    <w:rsid w:val="00BC0FDD"/>
    <w:rsid w:val="00BC14E6"/>
    <w:rsid w:val="00BC22E0"/>
    <w:rsid w:val="00BD001D"/>
    <w:rsid w:val="00BD30FE"/>
    <w:rsid w:val="00BD65B1"/>
    <w:rsid w:val="00BE0E4A"/>
    <w:rsid w:val="00BE0F79"/>
    <w:rsid w:val="00BE21EF"/>
    <w:rsid w:val="00BE28ED"/>
    <w:rsid w:val="00BE3E18"/>
    <w:rsid w:val="00BE673B"/>
    <w:rsid w:val="00BE688D"/>
    <w:rsid w:val="00BE7C9B"/>
    <w:rsid w:val="00BF01A7"/>
    <w:rsid w:val="00BF0A4C"/>
    <w:rsid w:val="00BF0D34"/>
    <w:rsid w:val="00BF1ECA"/>
    <w:rsid w:val="00BF3A47"/>
    <w:rsid w:val="00BF3F7C"/>
    <w:rsid w:val="00C00463"/>
    <w:rsid w:val="00C0147E"/>
    <w:rsid w:val="00C03F20"/>
    <w:rsid w:val="00C04FE4"/>
    <w:rsid w:val="00C05AAC"/>
    <w:rsid w:val="00C1588F"/>
    <w:rsid w:val="00C219E6"/>
    <w:rsid w:val="00C230AD"/>
    <w:rsid w:val="00C25084"/>
    <w:rsid w:val="00C266D8"/>
    <w:rsid w:val="00C30A4F"/>
    <w:rsid w:val="00C31401"/>
    <w:rsid w:val="00C378D4"/>
    <w:rsid w:val="00C41665"/>
    <w:rsid w:val="00C41758"/>
    <w:rsid w:val="00C429E1"/>
    <w:rsid w:val="00C462F8"/>
    <w:rsid w:val="00C56CD2"/>
    <w:rsid w:val="00C70B66"/>
    <w:rsid w:val="00C71CD1"/>
    <w:rsid w:val="00C71E9F"/>
    <w:rsid w:val="00C73143"/>
    <w:rsid w:val="00C73B63"/>
    <w:rsid w:val="00C77685"/>
    <w:rsid w:val="00C77815"/>
    <w:rsid w:val="00C80100"/>
    <w:rsid w:val="00C8239D"/>
    <w:rsid w:val="00C84901"/>
    <w:rsid w:val="00C8491D"/>
    <w:rsid w:val="00C85378"/>
    <w:rsid w:val="00C928F1"/>
    <w:rsid w:val="00C9297C"/>
    <w:rsid w:val="00C94D5F"/>
    <w:rsid w:val="00C95B50"/>
    <w:rsid w:val="00C9700F"/>
    <w:rsid w:val="00CA201A"/>
    <w:rsid w:val="00CA621B"/>
    <w:rsid w:val="00CA6FDA"/>
    <w:rsid w:val="00CB0AFB"/>
    <w:rsid w:val="00CB266D"/>
    <w:rsid w:val="00CB3B6F"/>
    <w:rsid w:val="00CC0C5F"/>
    <w:rsid w:val="00CC14B6"/>
    <w:rsid w:val="00CC2F3D"/>
    <w:rsid w:val="00CC3508"/>
    <w:rsid w:val="00CC5144"/>
    <w:rsid w:val="00CC5FF3"/>
    <w:rsid w:val="00CD08E2"/>
    <w:rsid w:val="00CD422C"/>
    <w:rsid w:val="00CD783C"/>
    <w:rsid w:val="00CE183D"/>
    <w:rsid w:val="00CE2766"/>
    <w:rsid w:val="00CE2ADF"/>
    <w:rsid w:val="00CE3713"/>
    <w:rsid w:val="00CF0807"/>
    <w:rsid w:val="00CF1463"/>
    <w:rsid w:val="00CF1976"/>
    <w:rsid w:val="00CF1D7D"/>
    <w:rsid w:val="00CF45D3"/>
    <w:rsid w:val="00CF5787"/>
    <w:rsid w:val="00CF6B6C"/>
    <w:rsid w:val="00D01197"/>
    <w:rsid w:val="00D042BB"/>
    <w:rsid w:val="00D058B0"/>
    <w:rsid w:val="00D05C8E"/>
    <w:rsid w:val="00D06CA0"/>
    <w:rsid w:val="00D11F7D"/>
    <w:rsid w:val="00D11FC3"/>
    <w:rsid w:val="00D1275E"/>
    <w:rsid w:val="00D13098"/>
    <w:rsid w:val="00D17789"/>
    <w:rsid w:val="00D1789C"/>
    <w:rsid w:val="00D17B5C"/>
    <w:rsid w:val="00D17EDC"/>
    <w:rsid w:val="00D20AC2"/>
    <w:rsid w:val="00D21565"/>
    <w:rsid w:val="00D226BE"/>
    <w:rsid w:val="00D25860"/>
    <w:rsid w:val="00D2737E"/>
    <w:rsid w:val="00D274A9"/>
    <w:rsid w:val="00D32347"/>
    <w:rsid w:val="00D32644"/>
    <w:rsid w:val="00D33229"/>
    <w:rsid w:val="00D33619"/>
    <w:rsid w:val="00D338F0"/>
    <w:rsid w:val="00D40FD4"/>
    <w:rsid w:val="00D4693D"/>
    <w:rsid w:val="00D52AC7"/>
    <w:rsid w:val="00D53772"/>
    <w:rsid w:val="00D54CA9"/>
    <w:rsid w:val="00D556EC"/>
    <w:rsid w:val="00D56D67"/>
    <w:rsid w:val="00D6340F"/>
    <w:rsid w:val="00D66A31"/>
    <w:rsid w:val="00D72D16"/>
    <w:rsid w:val="00D74213"/>
    <w:rsid w:val="00D7792E"/>
    <w:rsid w:val="00D8049E"/>
    <w:rsid w:val="00D804D4"/>
    <w:rsid w:val="00D81032"/>
    <w:rsid w:val="00D81914"/>
    <w:rsid w:val="00D8195B"/>
    <w:rsid w:val="00D83FD2"/>
    <w:rsid w:val="00D8561C"/>
    <w:rsid w:val="00D8619F"/>
    <w:rsid w:val="00D86764"/>
    <w:rsid w:val="00D90DA7"/>
    <w:rsid w:val="00D924C9"/>
    <w:rsid w:val="00D92F0C"/>
    <w:rsid w:val="00D957E3"/>
    <w:rsid w:val="00D970E2"/>
    <w:rsid w:val="00DA5ABC"/>
    <w:rsid w:val="00DB0873"/>
    <w:rsid w:val="00DB235D"/>
    <w:rsid w:val="00DB2772"/>
    <w:rsid w:val="00DB5528"/>
    <w:rsid w:val="00DB5C0A"/>
    <w:rsid w:val="00DB5E40"/>
    <w:rsid w:val="00DC0C93"/>
    <w:rsid w:val="00DC0E09"/>
    <w:rsid w:val="00DC168A"/>
    <w:rsid w:val="00DC68EB"/>
    <w:rsid w:val="00DD13E2"/>
    <w:rsid w:val="00DD4351"/>
    <w:rsid w:val="00DD6A37"/>
    <w:rsid w:val="00DE153B"/>
    <w:rsid w:val="00DE3B70"/>
    <w:rsid w:val="00DF003C"/>
    <w:rsid w:val="00DF4501"/>
    <w:rsid w:val="00DF719A"/>
    <w:rsid w:val="00DF723C"/>
    <w:rsid w:val="00DF783E"/>
    <w:rsid w:val="00DF78AE"/>
    <w:rsid w:val="00E01ADB"/>
    <w:rsid w:val="00E029A8"/>
    <w:rsid w:val="00E0409B"/>
    <w:rsid w:val="00E06C54"/>
    <w:rsid w:val="00E117EC"/>
    <w:rsid w:val="00E11E2E"/>
    <w:rsid w:val="00E15602"/>
    <w:rsid w:val="00E16E78"/>
    <w:rsid w:val="00E173AC"/>
    <w:rsid w:val="00E20A5F"/>
    <w:rsid w:val="00E24CF4"/>
    <w:rsid w:val="00E26A43"/>
    <w:rsid w:val="00E27279"/>
    <w:rsid w:val="00E31699"/>
    <w:rsid w:val="00E316D8"/>
    <w:rsid w:val="00E32707"/>
    <w:rsid w:val="00E32BF3"/>
    <w:rsid w:val="00E348A5"/>
    <w:rsid w:val="00E371EC"/>
    <w:rsid w:val="00E422D7"/>
    <w:rsid w:val="00E469E1"/>
    <w:rsid w:val="00E6063A"/>
    <w:rsid w:val="00E62A59"/>
    <w:rsid w:val="00E64A3C"/>
    <w:rsid w:val="00E65AC5"/>
    <w:rsid w:val="00E679CA"/>
    <w:rsid w:val="00E703E8"/>
    <w:rsid w:val="00E71E1C"/>
    <w:rsid w:val="00E72AE3"/>
    <w:rsid w:val="00E72D63"/>
    <w:rsid w:val="00E73B0B"/>
    <w:rsid w:val="00E73B51"/>
    <w:rsid w:val="00E743B7"/>
    <w:rsid w:val="00E75CF5"/>
    <w:rsid w:val="00E76D3D"/>
    <w:rsid w:val="00E81B17"/>
    <w:rsid w:val="00E8308B"/>
    <w:rsid w:val="00E83125"/>
    <w:rsid w:val="00E83F26"/>
    <w:rsid w:val="00E86A13"/>
    <w:rsid w:val="00E86CA7"/>
    <w:rsid w:val="00E91DCA"/>
    <w:rsid w:val="00EA1F89"/>
    <w:rsid w:val="00EA5BCC"/>
    <w:rsid w:val="00EB117B"/>
    <w:rsid w:val="00EB15E0"/>
    <w:rsid w:val="00EB39C0"/>
    <w:rsid w:val="00EB40D6"/>
    <w:rsid w:val="00EB58BC"/>
    <w:rsid w:val="00EB5F75"/>
    <w:rsid w:val="00EB79CD"/>
    <w:rsid w:val="00EB7F18"/>
    <w:rsid w:val="00EC305D"/>
    <w:rsid w:val="00EC3BF2"/>
    <w:rsid w:val="00EC3C36"/>
    <w:rsid w:val="00ED6131"/>
    <w:rsid w:val="00EE0578"/>
    <w:rsid w:val="00EE0AB9"/>
    <w:rsid w:val="00EE0F2E"/>
    <w:rsid w:val="00EE1454"/>
    <w:rsid w:val="00EE2A41"/>
    <w:rsid w:val="00EE2C8C"/>
    <w:rsid w:val="00EE3054"/>
    <w:rsid w:val="00EE3257"/>
    <w:rsid w:val="00EE575D"/>
    <w:rsid w:val="00EE5F8D"/>
    <w:rsid w:val="00EF09FB"/>
    <w:rsid w:val="00EF22EE"/>
    <w:rsid w:val="00EF4C15"/>
    <w:rsid w:val="00EF4E37"/>
    <w:rsid w:val="00EF5689"/>
    <w:rsid w:val="00EF5956"/>
    <w:rsid w:val="00F02923"/>
    <w:rsid w:val="00F02B2C"/>
    <w:rsid w:val="00F0351B"/>
    <w:rsid w:val="00F04E34"/>
    <w:rsid w:val="00F0638B"/>
    <w:rsid w:val="00F06472"/>
    <w:rsid w:val="00F06F04"/>
    <w:rsid w:val="00F0721E"/>
    <w:rsid w:val="00F0754E"/>
    <w:rsid w:val="00F0756F"/>
    <w:rsid w:val="00F07BC6"/>
    <w:rsid w:val="00F110DB"/>
    <w:rsid w:val="00F13693"/>
    <w:rsid w:val="00F16026"/>
    <w:rsid w:val="00F1764C"/>
    <w:rsid w:val="00F22566"/>
    <w:rsid w:val="00F22963"/>
    <w:rsid w:val="00F25D50"/>
    <w:rsid w:val="00F2654F"/>
    <w:rsid w:val="00F32329"/>
    <w:rsid w:val="00F360CF"/>
    <w:rsid w:val="00F37993"/>
    <w:rsid w:val="00F403EA"/>
    <w:rsid w:val="00F42753"/>
    <w:rsid w:val="00F4623D"/>
    <w:rsid w:val="00F47DEC"/>
    <w:rsid w:val="00F510DB"/>
    <w:rsid w:val="00F54525"/>
    <w:rsid w:val="00F56B30"/>
    <w:rsid w:val="00F64643"/>
    <w:rsid w:val="00F647F3"/>
    <w:rsid w:val="00F67CCC"/>
    <w:rsid w:val="00F7260C"/>
    <w:rsid w:val="00F727B0"/>
    <w:rsid w:val="00F72B5D"/>
    <w:rsid w:val="00F750BE"/>
    <w:rsid w:val="00F83A89"/>
    <w:rsid w:val="00F84FFF"/>
    <w:rsid w:val="00F90E93"/>
    <w:rsid w:val="00F91F36"/>
    <w:rsid w:val="00F946D3"/>
    <w:rsid w:val="00F94BD5"/>
    <w:rsid w:val="00F95A73"/>
    <w:rsid w:val="00F96CCD"/>
    <w:rsid w:val="00F97F52"/>
    <w:rsid w:val="00FA2545"/>
    <w:rsid w:val="00FA5036"/>
    <w:rsid w:val="00FA5363"/>
    <w:rsid w:val="00FA7EED"/>
    <w:rsid w:val="00FB2CFE"/>
    <w:rsid w:val="00FB4AAD"/>
    <w:rsid w:val="00FB4E3D"/>
    <w:rsid w:val="00FB5348"/>
    <w:rsid w:val="00FB5F2A"/>
    <w:rsid w:val="00FB6049"/>
    <w:rsid w:val="00FB6C8F"/>
    <w:rsid w:val="00FC02ED"/>
    <w:rsid w:val="00FC4E89"/>
    <w:rsid w:val="00FC4F9B"/>
    <w:rsid w:val="00FC59F0"/>
    <w:rsid w:val="00FC5E56"/>
    <w:rsid w:val="00FD2899"/>
    <w:rsid w:val="00FD40C6"/>
    <w:rsid w:val="00FD4599"/>
    <w:rsid w:val="00FD4784"/>
    <w:rsid w:val="00FD4D25"/>
    <w:rsid w:val="00FD65FE"/>
    <w:rsid w:val="00FD68C0"/>
    <w:rsid w:val="00FD6B1B"/>
    <w:rsid w:val="00FE08B8"/>
    <w:rsid w:val="00FE0C67"/>
    <w:rsid w:val="00FE17F7"/>
    <w:rsid w:val="00FE3D5E"/>
    <w:rsid w:val="00FE4640"/>
    <w:rsid w:val="00FF1EFA"/>
    <w:rsid w:val="00FF6ACE"/>
    <w:rsid w:val="00FF7F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D1275E"/>
    <w:rPr>
      <w:color w:val="605E5C"/>
      <w:shd w:val="clear" w:color="auto" w:fill="E1DFDD"/>
    </w:rPr>
  </w:style>
  <w:style w:type="paragraph" w:customStyle="1" w:styleId="CitasINFOEM">
    <w:name w:val="Citas INFOEM"/>
    <w:basedOn w:val="Normal"/>
    <w:qFormat/>
    <w:rsid w:val="00BB18B7"/>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12406106">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8/&amp;a=RRA%20454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7BA8-7A8C-4C56-894B-F1792707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49</Pages>
  <Words>9039</Words>
  <Characters>49717</Characters>
  <Application>Microsoft Office Word</Application>
  <DocSecurity>0</DocSecurity>
  <Lines>414</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cp:lastPrinted>2020-01-30T23:10:00Z</cp:lastPrinted>
  <dcterms:created xsi:type="dcterms:W3CDTF">2025-03-18T16:40:00Z</dcterms:created>
  <dcterms:modified xsi:type="dcterms:W3CDTF">2025-04-02T21:07:00Z</dcterms:modified>
</cp:coreProperties>
</file>