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EndPr/>
      <w:sdtContent>
        <w:p w14:paraId="5DF29B94" w14:textId="77777777" w:rsidR="00342378" w:rsidRPr="00BC23D7" w:rsidRDefault="00342378" w:rsidP="00BE44E6">
          <w:pPr>
            <w:pStyle w:val="TtulodeTDC"/>
            <w:spacing w:before="0" w:line="360" w:lineRule="auto"/>
            <w:ind w:left="567" w:right="567"/>
            <w:jc w:val="both"/>
            <w:rPr>
              <w:rFonts w:ascii="Palatino Linotype" w:hAnsi="Palatino Linotype"/>
              <w:color w:val="auto"/>
              <w:sz w:val="20"/>
              <w:szCs w:val="20"/>
            </w:rPr>
          </w:pPr>
          <w:r w:rsidRPr="00BC23D7">
            <w:rPr>
              <w:rFonts w:ascii="Palatino Linotype" w:hAnsi="Palatino Linotype"/>
              <w:color w:val="auto"/>
              <w:sz w:val="20"/>
              <w:szCs w:val="20"/>
              <w:lang w:val="es-ES"/>
            </w:rPr>
            <w:t>Contenido</w:t>
          </w:r>
        </w:p>
        <w:p w14:paraId="30931791" w14:textId="04BB4720" w:rsidR="00BC23D7" w:rsidRPr="00BC23D7" w:rsidRDefault="00342378">
          <w:pPr>
            <w:pStyle w:val="TDC1"/>
            <w:tabs>
              <w:tab w:val="right" w:leader="dot" w:pos="9034"/>
            </w:tabs>
            <w:rPr>
              <w:rFonts w:ascii="Palatino Linotype" w:eastAsiaTheme="minorEastAsia" w:hAnsi="Palatino Linotype" w:cstheme="minorBidi"/>
              <w:noProof/>
              <w:kern w:val="2"/>
              <w:sz w:val="24"/>
              <w:szCs w:val="24"/>
              <w:lang w:eastAsia="es-MX"/>
              <w14:ligatures w14:val="standardContextual"/>
            </w:rPr>
          </w:pPr>
          <w:r w:rsidRPr="00BC23D7">
            <w:rPr>
              <w:rFonts w:ascii="Palatino Linotype" w:hAnsi="Palatino Linotype"/>
              <w:lang w:val="es-ES"/>
            </w:rPr>
            <w:fldChar w:fldCharType="begin"/>
          </w:r>
          <w:r w:rsidRPr="00BC23D7">
            <w:rPr>
              <w:rFonts w:ascii="Palatino Linotype" w:hAnsi="Palatino Linotype"/>
              <w:lang w:val="es-ES"/>
            </w:rPr>
            <w:instrText xml:space="preserve"> TOC \o "1-3" \h \z \u </w:instrText>
          </w:r>
          <w:r w:rsidRPr="00BC23D7">
            <w:rPr>
              <w:rFonts w:ascii="Palatino Linotype" w:hAnsi="Palatino Linotype"/>
              <w:lang w:val="es-ES"/>
            </w:rPr>
            <w:fldChar w:fldCharType="separate"/>
          </w:r>
          <w:hyperlink w:anchor="_Toc210315182" w:history="1">
            <w:r w:rsidR="00BC23D7" w:rsidRPr="00BC23D7">
              <w:rPr>
                <w:rStyle w:val="Hipervnculo"/>
                <w:rFonts w:ascii="Palatino Linotype" w:hAnsi="Palatino Linotype"/>
                <w:noProof/>
              </w:rPr>
              <w:t>A N T E C E D E N T E S</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_Toc210315182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2</w:t>
            </w:r>
            <w:r w:rsidR="00BC23D7" w:rsidRPr="00BC23D7">
              <w:rPr>
                <w:rFonts w:ascii="Palatino Linotype" w:hAnsi="Palatino Linotype"/>
                <w:noProof/>
                <w:webHidden/>
              </w:rPr>
              <w:fldChar w:fldCharType="end"/>
            </w:r>
          </w:hyperlink>
        </w:p>
        <w:p w14:paraId="15FBDAD6" w14:textId="79FE38AB"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83" w:history="1">
            <w:r w:rsidR="00BC23D7" w:rsidRPr="00BC23D7">
              <w:rPr>
                <w:rStyle w:val="Hipervnculo"/>
                <w:rFonts w:ascii="Palatino Linotype" w:hAnsi="Palatino Linotype" w:cs="Tahoma"/>
                <w:noProof/>
              </w:rPr>
              <w:t>I. Presentación de la solicitud de información</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_Toc210315183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2</w:t>
            </w:r>
            <w:r w:rsidR="00BC23D7" w:rsidRPr="00BC23D7">
              <w:rPr>
                <w:rFonts w:ascii="Palatino Linotype" w:hAnsi="Palatino Linotype"/>
                <w:noProof/>
                <w:webHidden/>
              </w:rPr>
              <w:fldChar w:fldCharType="end"/>
            </w:r>
          </w:hyperlink>
        </w:p>
        <w:p w14:paraId="7A071051" w14:textId="74F88CB4"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84" w:history="1">
            <w:r w:rsidR="00BC23D7" w:rsidRPr="00BC23D7">
              <w:rPr>
                <w:rStyle w:val="Hipervnculo"/>
                <w:rFonts w:ascii="Palatino Linotype" w:hAnsi="Palatino Linotype" w:cs="Tahoma"/>
                <w:noProof/>
              </w:rPr>
              <w:t>II. Prórroga</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_Toc210315184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2</w:t>
            </w:r>
            <w:r w:rsidR="00BC23D7" w:rsidRPr="00BC23D7">
              <w:rPr>
                <w:rFonts w:ascii="Palatino Linotype" w:hAnsi="Palatino Linotype"/>
                <w:noProof/>
                <w:webHidden/>
              </w:rPr>
              <w:fldChar w:fldCharType="end"/>
            </w:r>
          </w:hyperlink>
        </w:p>
        <w:p w14:paraId="7C09E5B0" w14:textId="335A4BCC"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85" w:history="1">
            <w:r w:rsidR="00BC23D7" w:rsidRPr="00BC23D7">
              <w:rPr>
                <w:rStyle w:val="Hipervnculo"/>
                <w:rFonts w:ascii="Palatino Linotype" w:hAnsi="Palatino Linotype" w:cs="Tahoma"/>
                <w:noProof/>
              </w:rPr>
              <w:t>III. Respuesta del Sujeto Obligado</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_Toc210315185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3</w:t>
            </w:r>
            <w:r w:rsidR="00BC23D7" w:rsidRPr="00BC23D7">
              <w:rPr>
                <w:rFonts w:ascii="Palatino Linotype" w:hAnsi="Palatino Linotype"/>
                <w:noProof/>
                <w:webHidden/>
              </w:rPr>
              <w:fldChar w:fldCharType="end"/>
            </w:r>
          </w:hyperlink>
        </w:p>
        <w:p w14:paraId="22BD914B" w14:textId="57FB2D8A"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86" w:history="1">
            <w:r w:rsidR="00BC23D7" w:rsidRPr="00BC23D7">
              <w:rPr>
                <w:rStyle w:val="Hipervnculo"/>
                <w:rFonts w:ascii="Palatino Linotype" w:hAnsi="Palatino Linotype" w:cs="Tahoma"/>
                <w:noProof/>
              </w:rPr>
              <w:t>IV. Interposición del Recurso de Revisión</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_Toc210315186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3</w:t>
            </w:r>
            <w:r w:rsidR="00BC23D7" w:rsidRPr="00BC23D7">
              <w:rPr>
                <w:rFonts w:ascii="Palatino Linotype" w:hAnsi="Palatino Linotype"/>
                <w:noProof/>
                <w:webHidden/>
              </w:rPr>
              <w:fldChar w:fldCharType="end"/>
            </w:r>
          </w:hyperlink>
        </w:p>
        <w:p w14:paraId="5D7BA391" w14:textId="0AD61FBB"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87" w:history="1">
            <w:r w:rsidR="00BC23D7" w:rsidRPr="00BC23D7">
              <w:rPr>
                <w:rStyle w:val="Hipervnculo"/>
                <w:rFonts w:ascii="Palatino Linotype" w:hAnsi="Palatino Linotype"/>
                <w:noProof/>
              </w:rPr>
              <w:t>IV. Trámite del Recurso de Revisión ante el Instituto</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_Toc210315187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4</w:t>
            </w:r>
            <w:r w:rsidR="00BC23D7" w:rsidRPr="00BC23D7">
              <w:rPr>
                <w:rFonts w:ascii="Palatino Linotype" w:hAnsi="Palatino Linotype"/>
                <w:noProof/>
                <w:webHidden/>
              </w:rPr>
              <w:fldChar w:fldCharType="end"/>
            </w:r>
          </w:hyperlink>
        </w:p>
        <w:p w14:paraId="6B3EC9CA" w14:textId="3EC07E66" w:rsidR="00BC23D7" w:rsidRPr="00BC23D7" w:rsidRDefault="00FC4B86">
          <w:pPr>
            <w:pStyle w:val="TDC3"/>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88" w:history="1">
            <w:r w:rsidR="00BC23D7" w:rsidRPr="00BC23D7">
              <w:rPr>
                <w:rStyle w:val="Hipervnculo"/>
                <w:rFonts w:ascii="Palatino Linotype" w:hAnsi="Palatino Linotype"/>
                <w:noProof/>
              </w:rPr>
              <w:t>a) Turno del Recurso de Revisión.</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_Toc210315188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4</w:t>
            </w:r>
            <w:r w:rsidR="00BC23D7" w:rsidRPr="00BC23D7">
              <w:rPr>
                <w:rFonts w:ascii="Palatino Linotype" w:hAnsi="Palatino Linotype"/>
                <w:noProof/>
                <w:webHidden/>
              </w:rPr>
              <w:fldChar w:fldCharType="end"/>
            </w:r>
          </w:hyperlink>
        </w:p>
        <w:p w14:paraId="62D03B99" w14:textId="06D89CA4" w:rsidR="00BC23D7" w:rsidRPr="00BC23D7" w:rsidRDefault="00FC4B86">
          <w:pPr>
            <w:pStyle w:val="TDC3"/>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89" w:history="1">
            <w:r w:rsidR="00BC23D7" w:rsidRPr="00BC23D7">
              <w:rPr>
                <w:rStyle w:val="Hipervnculo"/>
                <w:rFonts w:ascii="Palatino Linotype" w:hAnsi="Palatino Linotype"/>
                <w:noProof/>
              </w:rPr>
              <w:t>b) Admisión del Recurso de Revisión.</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_Toc210315189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4</w:t>
            </w:r>
            <w:r w:rsidR="00BC23D7" w:rsidRPr="00BC23D7">
              <w:rPr>
                <w:rFonts w:ascii="Palatino Linotype" w:hAnsi="Palatino Linotype"/>
                <w:noProof/>
                <w:webHidden/>
              </w:rPr>
              <w:fldChar w:fldCharType="end"/>
            </w:r>
          </w:hyperlink>
        </w:p>
        <w:p w14:paraId="698B481A" w14:textId="305F2661" w:rsidR="00BC23D7" w:rsidRPr="00BC23D7" w:rsidRDefault="00FC4B86">
          <w:pPr>
            <w:pStyle w:val="TDC3"/>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0" w:history="1">
            <w:r w:rsidR="00BC23D7" w:rsidRPr="00BC23D7">
              <w:rPr>
                <w:rStyle w:val="Hipervnculo"/>
                <w:rFonts w:ascii="Palatino Linotype" w:hAnsi="Palatino Linotype"/>
                <w:noProof/>
              </w:rPr>
              <w:t>c) Informe Justificado.</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_Toc210315190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5</w:t>
            </w:r>
            <w:r w:rsidR="00BC23D7" w:rsidRPr="00BC23D7">
              <w:rPr>
                <w:rFonts w:ascii="Palatino Linotype" w:hAnsi="Palatino Linotype"/>
                <w:noProof/>
                <w:webHidden/>
              </w:rPr>
              <w:fldChar w:fldCharType="end"/>
            </w:r>
          </w:hyperlink>
        </w:p>
        <w:p w14:paraId="1F5A0063" w14:textId="15CB7CB8" w:rsidR="00BC23D7" w:rsidRPr="00BC23D7" w:rsidRDefault="00FC4B86">
          <w:pPr>
            <w:pStyle w:val="TDC3"/>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1" w:history="1">
            <w:r w:rsidR="00BC23D7" w:rsidRPr="00BC23D7">
              <w:rPr>
                <w:rStyle w:val="Hipervnculo"/>
                <w:rFonts w:ascii="Palatino Linotype" w:hAnsi="Palatino Linotype"/>
                <w:noProof/>
              </w:rPr>
              <w:t>d). Manifestaciones.</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_Toc210315191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5</w:t>
            </w:r>
            <w:r w:rsidR="00BC23D7" w:rsidRPr="00BC23D7">
              <w:rPr>
                <w:rFonts w:ascii="Palatino Linotype" w:hAnsi="Palatino Linotype"/>
                <w:noProof/>
                <w:webHidden/>
              </w:rPr>
              <w:fldChar w:fldCharType="end"/>
            </w:r>
          </w:hyperlink>
        </w:p>
        <w:p w14:paraId="5ACDA1DE" w14:textId="519F40BB" w:rsidR="00BC23D7" w:rsidRPr="00BC23D7" w:rsidRDefault="00FC4B86">
          <w:pPr>
            <w:pStyle w:val="TDC3"/>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2" w:history="1">
            <w:r w:rsidR="00BC23D7" w:rsidRPr="00BC23D7">
              <w:rPr>
                <w:rStyle w:val="Hipervnculo"/>
                <w:rFonts w:ascii="Palatino Linotype" w:hAnsi="Palatino Linotype"/>
                <w:noProof/>
              </w:rPr>
              <w:t>e). Cierre de instrucción</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_Toc210315192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5</w:t>
            </w:r>
            <w:r w:rsidR="00BC23D7" w:rsidRPr="00BC23D7">
              <w:rPr>
                <w:rFonts w:ascii="Palatino Linotype" w:hAnsi="Palatino Linotype"/>
                <w:noProof/>
                <w:webHidden/>
              </w:rPr>
              <w:fldChar w:fldCharType="end"/>
            </w:r>
          </w:hyperlink>
        </w:p>
        <w:p w14:paraId="1DC79B91" w14:textId="7529E0C9" w:rsidR="00BC23D7" w:rsidRPr="00BC23D7" w:rsidRDefault="00FC4B86">
          <w:pPr>
            <w:pStyle w:val="TDC1"/>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3" w:history="1">
            <w:r w:rsidR="00BC23D7" w:rsidRPr="00BC23D7">
              <w:rPr>
                <w:rStyle w:val="Hipervnculo"/>
                <w:rFonts w:ascii="Palatino Linotype" w:hAnsi="Palatino Linotype"/>
                <w:noProof/>
              </w:rPr>
              <w:t>C O N S I D E R A N D O S</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_Toc210315193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5</w:t>
            </w:r>
            <w:r w:rsidR="00BC23D7" w:rsidRPr="00BC23D7">
              <w:rPr>
                <w:rFonts w:ascii="Palatino Linotype" w:hAnsi="Palatino Linotype"/>
                <w:noProof/>
                <w:webHidden/>
              </w:rPr>
              <w:fldChar w:fldCharType="end"/>
            </w:r>
          </w:hyperlink>
        </w:p>
        <w:p w14:paraId="0DA7BBF5" w14:textId="66169C6C"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4" w:history="1">
            <w:r w:rsidR="00BC23D7" w:rsidRPr="00BC23D7">
              <w:rPr>
                <w:rStyle w:val="Hipervnculo"/>
                <w:rFonts w:ascii="Palatino Linotype" w:eastAsia="Calibri" w:hAnsi="Palatino Linotype" w:cs="Palatino Linotype"/>
                <w:noProof/>
                <w:lang w:val="es-ES" w:eastAsia="es-MX"/>
              </w:rPr>
              <w:t xml:space="preserve">PRIMERO. </w:t>
            </w:r>
            <w:r w:rsidR="00BC23D7" w:rsidRPr="00BC23D7">
              <w:rPr>
                <w:rStyle w:val="Hipervnculo"/>
                <w:rFonts w:ascii="Palatino Linotype" w:eastAsia="Palatino Linotype" w:hAnsi="Palatino Linotype" w:cs="Palatino Linotype"/>
                <w:noProof/>
                <w:lang w:val="es-ES" w:eastAsia="es-MX"/>
              </w:rPr>
              <w:t>Competencia</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_Toc210315194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5</w:t>
            </w:r>
            <w:r w:rsidR="00BC23D7" w:rsidRPr="00BC23D7">
              <w:rPr>
                <w:rFonts w:ascii="Palatino Linotype" w:hAnsi="Palatino Linotype"/>
                <w:noProof/>
                <w:webHidden/>
              </w:rPr>
              <w:fldChar w:fldCharType="end"/>
            </w:r>
          </w:hyperlink>
        </w:p>
        <w:p w14:paraId="76E254E8" w14:textId="02347C30"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5" w:history="1">
            <w:r w:rsidR="00BC23D7" w:rsidRPr="00BC23D7">
              <w:rPr>
                <w:rStyle w:val="Hipervnculo"/>
                <w:rFonts w:ascii="Palatino Linotype" w:eastAsia="Palatino Linotype" w:hAnsi="Palatino Linotype" w:cs="Palatino Linotype"/>
                <w:noProof/>
                <w:lang w:eastAsia="es-MX"/>
              </w:rPr>
              <w:t>SEGUNDO. Causales de improcedencia y sobreseimiento</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_Toc210315195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6</w:t>
            </w:r>
            <w:r w:rsidR="00BC23D7" w:rsidRPr="00BC23D7">
              <w:rPr>
                <w:rFonts w:ascii="Palatino Linotype" w:hAnsi="Palatino Linotype"/>
                <w:noProof/>
                <w:webHidden/>
              </w:rPr>
              <w:fldChar w:fldCharType="end"/>
            </w:r>
          </w:hyperlink>
        </w:p>
        <w:p w14:paraId="63E03D3E" w14:textId="6530E51A"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6" w:history="1">
            <w:r w:rsidR="00BC23D7" w:rsidRPr="00BC23D7">
              <w:rPr>
                <w:rStyle w:val="Hipervnculo"/>
                <w:rFonts w:ascii="Palatino Linotype" w:eastAsia="Palatino Linotype" w:hAnsi="Palatino Linotype" w:cs="Palatino Linotype"/>
                <w:noProof/>
                <w:lang w:eastAsia="es-MX"/>
              </w:rPr>
              <w:t>TERCERO. Determinación de la Controversia</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_Toc210315196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7</w:t>
            </w:r>
            <w:r w:rsidR="00BC23D7" w:rsidRPr="00BC23D7">
              <w:rPr>
                <w:rFonts w:ascii="Palatino Linotype" w:hAnsi="Palatino Linotype"/>
                <w:noProof/>
                <w:webHidden/>
              </w:rPr>
              <w:fldChar w:fldCharType="end"/>
            </w:r>
          </w:hyperlink>
        </w:p>
        <w:p w14:paraId="2C9A6232" w14:textId="55C21DC2"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7" w:history="1">
            <w:r w:rsidR="00BC23D7" w:rsidRPr="00BC23D7">
              <w:rPr>
                <w:rStyle w:val="Hipervnculo"/>
                <w:rFonts w:ascii="Palatino Linotype" w:eastAsia="Palatino Linotype" w:hAnsi="Palatino Linotype" w:cs="Palatino Linotype"/>
                <w:noProof/>
                <w:lang w:eastAsia="es-MX"/>
              </w:rPr>
              <w:t>CUARTO. Marco normativo aplicable en materia de transparencia y acceso a la información pública</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_Toc210315197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8</w:t>
            </w:r>
            <w:r w:rsidR="00BC23D7" w:rsidRPr="00BC23D7">
              <w:rPr>
                <w:rFonts w:ascii="Palatino Linotype" w:hAnsi="Palatino Linotype"/>
                <w:noProof/>
                <w:webHidden/>
              </w:rPr>
              <w:fldChar w:fldCharType="end"/>
            </w:r>
          </w:hyperlink>
        </w:p>
        <w:p w14:paraId="39B5D681" w14:textId="7A44750F"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8" w:history="1">
            <w:r w:rsidR="00BC23D7" w:rsidRPr="00BC23D7">
              <w:rPr>
                <w:rStyle w:val="Hipervnculo"/>
                <w:rFonts w:ascii="Palatino Linotype" w:eastAsia="Palatino Linotype" w:hAnsi="Palatino Linotype" w:cs="Palatino Linotype"/>
                <w:noProof/>
                <w:lang w:eastAsia="es-MX"/>
              </w:rPr>
              <w:t>QUINTO. Estudio de Fondo</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_Toc210315198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9</w:t>
            </w:r>
            <w:r w:rsidR="00BC23D7" w:rsidRPr="00BC23D7">
              <w:rPr>
                <w:rFonts w:ascii="Palatino Linotype" w:hAnsi="Palatino Linotype"/>
                <w:noProof/>
                <w:webHidden/>
              </w:rPr>
              <w:fldChar w:fldCharType="end"/>
            </w:r>
          </w:hyperlink>
        </w:p>
        <w:p w14:paraId="0FF2F180" w14:textId="08E84FE2"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199" w:history="1">
            <w:r w:rsidR="00BC23D7" w:rsidRPr="00BC23D7">
              <w:rPr>
                <w:rStyle w:val="Hipervnculo"/>
                <w:rFonts w:ascii="Palatino Linotype" w:eastAsia="Palatino Linotype" w:hAnsi="Palatino Linotype" w:cs="Palatino Linotype"/>
                <w:noProof/>
                <w:lang w:eastAsia="es-MX"/>
              </w:rPr>
              <w:t>SEXTO. Versión pública</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_Toc210315199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29</w:t>
            </w:r>
            <w:r w:rsidR="00BC23D7" w:rsidRPr="00BC23D7">
              <w:rPr>
                <w:rFonts w:ascii="Palatino Linotype" w:hAnsi="Palatino Linotype"/>
                <w:noProof/>
                <w:webHidden/>
              </w:rPr>
              <w:fldChar w:fldCharType="end"/>
            </w:r>
          </w:hyperlink>
        </w:p>
        <w:p w14:paraId="76277EC8" w14:textId="56C28E22" w:rsidR="00BC23D7" w:rsidRPr="00BC23D7" w:rsidRDefault="00FC4B86">
          <w:pPr>
            <w:pStyle w:val="TDC2"/>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200" w:history="1">
            <w:r w:rsidR="00BC23D7" w:rsidRPr="00BC23D7">
              <w:rPr>
                <w:rStyle w:val="Hipervnculo"/>
                <w:rFonts w:ascii="Palatino Linotype" w:eastAsia="Palatino Linotype" w:hAnsi="Palatino Linotype" w:cs="Palatino Linotype"/>
                <w:noProof/>
                <w:lang w:eastAsia="es-MX"/>
              </w:rPr>
              <w:t>SÉPTIMO. Decisión</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_Toc210315200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33</w:t>
            </w:r>
            <w:r w:rsidR="00BC23D7" w:rsidRPr="00BC23D7">
              <w:rPr>
                <w:rFonts w:ascii="Palatino Linotype" w:hAnsi="Palatino Linotype"/>
                <w:noProof/>
                <w:webHidden/>
              </w:rPr>
              <w:fldChar w:fldCharType="end"/>
            </w:r>
          </w:hyperlink>
        </w:p>
        <w:p w14:paraId="6437C334" w14:textId="51780ACE" w:rsidR="00BC23D7" w:rsidRPr="00BC23D7" w:rsidRDefault="00FC4B86">
          <w:pPr>
            <w:pStyle w:val="TDC1"/>
            <w:tabs>
              <w:tab w:val="right" w:leader="dot" w:pos="9034"/>
            </w:tabs>
            <w:rPr>
              <w:rFonts w:ascii="Palatino Linotype" w:eastAsiaTheme="minorEastAsia" w:hAnsi="Palatino Linotype" w:cstheme="minorBidi"/>
              <w:noProof/>
              <w:kern w:val="2"/>
              <w:sz w:val="24"/>
              <w:szCs w:val="24"/>
              <w:lang w:eastAsia="es-MX"/>
              <w14:ligatures w14:val="standardContextual"/>
            </w:rPr>
          </w:pPr>
          <w:hyperlink w:anchor="_Toc210315201" w:history="1">
            <w:r w:rsidR="00BC23D7" w:rsidRPr="00BC23D7">
              <w:rPr>
                <w:rStyle w:val="Hipervnculo"/>
                <w:rFonts w:ascii="Palatino Linotype" w:eastAsia="Palatino Linotype" w:hAnsi="Palatino Linotype" w:cs="Palatino Linotype"/>
                <w:noProof/>
                <w:lang w:eastAsia="es-MX"/>
              </w:rPr>
              <w:t>R E S U E L V E</w:t>
            </w:r>
            <w:r w:rsidR="00BC23D7" w:rsidRPr="00BC23D7">
              <w:rPr>
                <w:rFonts w:ascii="Palatino Linotype" w:hAnsi="Palatino Linotype"/>
                <w:noProof/>
                <w:webHidden/>
              </w:rPr>
              <w:tab/>
            </w:r>
            <w:r w:rsidR="00BC23D7" w:rsidRPr="00BC23D7">
              <w:rPr>
                <w:rFonts w:ascii="Palatino Linotype" w:hAnsi="Palatino Linotype"/>
                <w:noProof/>
                <w:webHidden/>
              </w:rPr>
              <w:fldChar w:fldCharType="begin"/>
            </w:r>
            <w:r w:rsidR="00BC23D7" w:rsidRPr="00BC23D7">
              <w:rPr>
                <w:rFonts w:ascii="Palatino Linotype" w:hAnsi="Palatino Linotype"/>
                <w:noProof/>
                <w:webHidden/>
              </w:rPr>
              <w:instrText xml:space="preserve"> PAGEREF _Toc210315201 \h </w:instrText>
            </w:r>
            <w:r w:rsidR="00BC23D7" w:rsidRPr="00BC23D7">
              <w:rPr>
                <w:rFonts w:ascii="Palatino Linotype" w:hAnsi="Palatino Linotype"/>
                <w:noProof/>
                <w:webHidden/>
              </w:rPr>
            </w:r>
            <w:r w:rsidR="00BC23D7" w:rsidRPr="00BC23D7">
              <w:rPr>
                <w:rFonts w:ascii="Palatino Linotype" w:hAnsi="Palatino Linotype"/>
                <w:noProof/>
                <w:webHidden/>
              </w:rPr>
              <w:fldChar w:fldCharType="separate"/>
            </w:r>
            <w:r w:rsidR="004E4ACE">
              <w:rPr>
                <w:rFonts w:ascii="Palatino Linotype" w:hAnsi="Palatino Linotype"/>
                <w:noProof/>
                <w:webHidden/>
              </w:rPr>
              <w:t>33</w:t>
            </w:r>
            <w:r w:rsidR="00BC23D7" w:rsidRPr="00BC23D7">
              <w:rPr>
                <w:rFonts w:ascii="Palatino Linotype" w:hAnsi="Palatino Linotype"/>
                <w:noProof/>
                <w:webHidden/>
              </w:rPr>
              <w:fldChar w:fldCharType="end"/>
            </w:r>
          </w:hyperlink>
        </w:p>
        <w:p w14:paraId="0994FEFD" w14:textId="4A48882B" w:rsidR="00342378" w:rsidRPr="00BC23D7" w:rsidRDefault="00342378" w:rsidP="00BE44E6">
          <w:pPr>
            <w:spacing w:line="360" w:lineRule="auto"/>
            <w:ind w:left="567" w:right="567"/>
            <w:jc w:val="both"/>
            <w:rPr>
              <w:rFonts w:ascii="Palatino Linotype" w:hAnsi="Palatino Linotype"/>
              <w:sz w:val="22"/>
              <w:szCs w:val="22"/>
            </w:rPr>
          </w:pPr>
          <w:r w:rsidRPr="00BC23D7">
            <w:rPr>
              <w:rFonts w:ascii="Palatino Linotype" w:hAnsi="Palatino Linotype"/>
              <w:lang w:val="es-ES"/>
            </w:rPr>
            <w:fldChar w:fldCharType="end"/>
          </w:r>
        </w:p>
      </w:sdtContent>
    </w:sdt>
    <w:p w14:paraId="3406E08A" w14:textId="77777777" w:rsidR="00ED76AF" w:rsidRPr="00BC23D7" w:rsidRDefault="00ED76AF" w:rsidP="00F272B6">
      <w:pPr>
        <w:tabs>
          <w:tab w:val="left" w:pos="3969"/>
        </w:tabs>
        <w:spacing w:line="360" w:lineRule="auto"/>
        <w:ind w:left="567"/>
        <w:contextualSpacing/>
        <w:jc w:val="both"/>
        <w:rPr>
          <w:rFonts w:ascii="Palatino Linotype" w:hAnsi="Palatino Linotype" w:cs="Tahoma"/>
          <w:sz w:val="22"/>
          <w:szCs w:val="22"/>
        </w:rPr>
      </w:pPr>
    </w:p>
    <w:p w14:paraId="6F003328" w14:textId="77777777" w:rsidR="00BC23D7" w:rsidRPr="00BC23D7" w:rsidRDefault="00BC23D7" w:rsidP="00F272B6">
      <w:pPr>
        <w:tabs>
          <w:tab w:val="left" w:pos="3969"/>
        </w:tabs>
        <w:spacing w:line="360" w:lineRule="auto"/>
        <w:ind w:left="567"/>
        <w:contextualSpacing/>
        <w:jc w:val="both"/>
        <w:rPr>
          <w:rFonts w:ascii="Palatino Linotype" w:hAnsi="Palatino Linotype" w:cs="Tahoma"/>
          <w:sz w:val="22"/>
          <w:szCs w:val="22"/>
        </w:rPr>
      </w:pPr>
    </w:p>
    <w:p w14:paraId="18A15C5D" w14:textId="77777777" w:rsidR="00BC23D7" w:rsidRPr="00BC23D7" w:rsidRDefault="00BC23D7" w:rsidP="00F272B6">
      <w:pPr>
        <w:tabs>
          <w:tab w:val="left" w:pos="3969"/>
        </w:tabs>
        <w:spacing w:line="360" w:lineRule="auto"/>
        <w:ind w:left="567"/>
        <w:contextualSpacing/>
        <w:jc w:val="both"/>
        <w:rPr>
          <w:rFonts w:ascii="Palatino Linotype" w:hAnsi="Palatino Linotype" w:cs="Tahoma"/>
          <w:sz w:val="22"/>
          <w:szCs w:val="22"/>
        </w:rPr>
      </w:pPr>
    </w:p>
    <w:p w14:paraId="0792A0FA" w14:textId="77777777" w:rsidR="00BC23D7" w:rsidRPr="00BC23D7" w:rsidRDefault="00BC23D7" w:rsidP="00F272B6">
      <w:pPr>
        <w:tabs>
          <w:tab w:val="left" w:pos="3969"/>
        </w:tabs>
        <w:spacing w:line="360" w:lineRule="auto"/>
        <w:ind w:left="567"/>
        <w:contextualSpacing/>
        <w:jc w:val="both"/>
        <w:rPr>
          <w:rFonts w:ascii="Palatino Linotype" w:hAnsi="Palatino Linotype" w:cs="Tahoma"/>
          <w:sz w:val="22"/>
          <w:szCs w:val="22"/>
        </w:rPr>
      </w:pPr>
    </w:p>
    <w:p w14:paraId="7F577397" w14:textId="77777777" w:rsidR="00BC23D7" w:rsidRPr="00BC23D7" w:rsidRDefault="00BC23D7" w:rsidP="00F272B6">
      <w:pPr>
        <w:tabs>
          <w:tab w:val="left" w:pos="3969"/>
        </w:tabs>
        <w:spacing w:line="360" w:lineRule="auto"/>
        <w:ind w:left="567"/>
        <w:contextualSpacing/>
        <w:jc w:val="both"/>
        <w:rPr>
          <w:rFonts w:ascii="Palatino Linotype" w:hAnsi="Palatino Linotype" w:cs="Tahoma"/>
          <w:sz w:val="22"/>
          <w:szCs w:val="22"/>
        </w:rPr>
      </w:pPr>
    </w:p>
    <w:p w14:paraId="1B63D30E" w14:textId="77777777" w:rsidR="00BC23D7" w:rsidRPr="00BC23D7" w:rsidRDefault="00BC23D7" w:rsidP="00F272B6">
      <w:pPr>
        <w:tabs>
          <w:tab w:val="left" w:pos="3969"/>
        </w:tabs>
        <w:spacing w:line="360" w:lineRule="auto"/>
        <w:ind w:left="567"/>
        <w:contextualSpacing/>
        <w:jc w:val="both"/>
        <w:rPr>
          <w:rFonts w:ascii="Palatino Linotype" w:hAnsi="Palatino Linotype" w:cs="Tahoma"/>
          <w:sz w:val="22"/>
          <w:szCs w:val="22"/>
        </w:rPr>
      </w:pPr>
    </w:p>
    <w:p w14:paraId="5EF8B122" w14:textId="77777777" w:rsidR="008E426C" w:rsidRPr="00BC23D7" w:rsidRDefault="008E426C" w:rsidP="00DA638D">
      <w:pPr>
        <w:tabs>
          <w:tab w:val="left" w:pos="3969"/>
        </w:tabs>
        <w:spacing w:line="360" w:lineRule="auto"/>
        <w:contextualSpacing/>
        <w:jc w:val="both"/>
        <w:rPr>
          <w:rFonts w:ascii="Palatino Linotype" w:hAnsi="Palatino Linotype" w:cs="Tahoma"/>
          <w:bCs/>
          <w:sz w:val="22"/>
          <w:szCs w:val="22"/>
        </w:rPr>
      </w:pPr>
    </w:p>
    <w:p w14:paraId="299FD1AB" w14:textId="3A921F00" w:rsidR="00E35DF9" w:rsidRPr="00BC23D7" w:rsidRDefault="00E35DF9" w:rsidP="00DA638D">
      <w:pPr>
        <w:spacing w:line="360" w:lineRule="auto"/>
        <w:contextualSpacing/>
        <w:jc w:val="both"/>
        <w:rPr>
          <w:rFonts w:ascii="Palatino Linotype" w:hAnsi="Palatino Linotype" w:cs="Tahoma"/>
          <w:bCs/>
          <w:sz w:val="22"/>
          <w:szCs w:val="22"/>
        </w:rPr>
      </w:pPr>
      <w:r w:rsidRPr="00BC23D7">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BC23D7">
        <w:rPr>
          <w:rFonts w:ascii="Palatino Linotype" w:hAnsi="Palatino Linotype" w:cs="Tahoma"/>
          <w:bCs/>
          <w:sz w:val="22"/>
          <w:szCs w:val="22"/>
        </w:rPr>
        <w:t xml:space="preserve"> </w:t>
      </w:r>
      <w:r w:rsidR="00BE44E6" w:rsidRPr="00BC23D7">
        <w:rPr>
          <w:rFonts w:ascii="Palatino Linotype" w:hAnsi="Palatino Linotype" w:cs="Tahoma"/>
          <w:bCs/>
          <w:sz w:val="22"/>
          <w:szCs w:val="22"/>
        </w:rPr>
        <w:t>primero</w:t>
      </w:r>
      <w:r w:rsidR="00D75C95" w:rsidRPr="00BC23D7">
        <w:rPr>
          <w:rFonts w:ascii="Palatino Linotype" w:hAnsi="Palatino Linotype" w:cs="Tahoma"/>
          <w:bCs/>
          <w:sz w:val="22"/>
          <w:szCs w:val="22"/>
        </w:rPr>
        <w:t xml:space="preserve"> de </w:t>
      </w:r>
      <w:r w:rsidR="00BE44E6" w:rsidRPr="00BC23D7">
        <w:rPr>
          <w:rFonts w:ascii="Palatino Linotype" w:hAnsi="Palatino Linotype" w:cs="Tahoma"/>
          <w:bCs/>
          <w:sz w:val="22"/>
          <w:szCs w:val="22"/>
        </w:rPr>
        <w:t>octubre</w:t>
      </w:r>
      <w:r w:rsidR="00D75C95" w:rsidRPr="00BC23D7">
        <w:rPr>
          <w:rFonts w:ascii="Palatino Linotype" w:hAnsi="Palatino Linotype" w:cs="Tahoma"/>
          <w:bCs/>
          <w:sz w:val="22"/>
          <w:szCs w:val="22"/>
        </w:rPr>
        <w:t xml:space="preserve"> </w:t>
      </w:r>
      <w:r w:rsidR="008453FA" w:rsidRPr="00BC23D7">
        <w:rPr>
          <w:rFonts w:ascii="Palatino Linotype" w:hAnsi="Palatino Linotype" w:cs="Tahoma"/>
          <w:bCs/>
          <w:sz w:val="22"/>
          <w:szCs w:val="22"/>
        </w:rPr>
        <w:t>de dos mil veinti</w:t>
      </w:r>
      <w:r w:rsidR="00F93A36" w:rsidRPr="00BC23D7">
        <w:rPr>
          <w:rFonts w:ascii="Palatino Linotype" w:hAnsi="Palatino Linotype" w:cs="Tahoma"/>
          <w:bCs/>
          <w:sz w:val="22"/>
          <w:szCs w:val="22"/>
        </w:rPr>
        <w:t>c</w:t>
      </w:r>
      <w:r w:rsidR="009C323D" w:rsidRPr="00BC23D7">
        <w:rPr>
          <w:rFonts w:ascii="Palatino Linotype" w:hAnsi="Palatino Linotype" w:cs="Tahoma"/>
          <w:bCs/>
          <w:sz w:val="22"/>
          <w:szCs w:val="22"/>
        </w:rPr>
        <w:t>inc</w:t>
      </w:r>
      <w:r w:rsidR="00F93A36" w:rsidRPr="00BC23D7">
        <w:rPr>
          <w:rFonts w:ascii="Palatino Linotype" w:hAnsi="Palatino Linotype" w:cs="Tahoma"/>
          <w:bCs/>
          <w:sz w:val="22"/>
          <w:szCs w:val="22"/>
        </w:rPr>
        <w:t>o</w:t>
      </w:r>
      <w:r w:rsidRPr="00BC23D7">
        <w:rPr>
          <w:rFonts w:ascii="Palatino Linotype" w:hAnsi="Palatino Linotype" w:cs="Tahoma"/>
          <w:bCs/>
          <w:sz w:val="22"/>
          <w:szCs w:val="22"/>
        </w:rPr>
        <w:t>.</w:t>
      </w:r>
    </w:p>
    <w:p w14:paraId="733B6130" w14:textId="77777777" w:rsidR="00E35DF9" w:rsidRPr="00BC23D7" w:rsidRDefault="00E35DF9" w:rsidP="00DA638D">
      <w:pPr>
        <w:spacing w:line="360" w:lineRule="auto"/>
        <w:contextualSpacing/>
        <w:jc w:val="both"/>
        <w:rPr>
          <w:rFonts w:ascii="Palatino Linotype" w:hAnsi="Palatino Linotype" w:cs="Tahoma"/>
          <w:bCs/>
          <w:sz w:val="22"/>
          <w:szCs w:val="22"/>
        </w:rPr>
      </w:pPr>
    </w:p>
    <w:p w14:paraId="480C66FF" w14:textId="4ACEAA06" w:rsidR="00E35DF9" w:rsidRPr="00BC23D7" w:rsidRDefault="00E35DF9" w:rsidP="00DA638D">
      <w:pPr>
        <w:spacing w:line="360" w:lineRule="auto"/>
        <w:contextualSpacing/>
        <w:jc w:val="both"/>
        <w:rPr>
          <w:rFonts w:ascii="Palatino Linotype" w:hAnsi="Palatino Linotype" w:cs="Tahoma"/>
          <w:bCs/>
          <w:sz w:val="22"/>
          <w:szCs w:val="22"/>
        </w:rPr>
      </w:pPr>
      <w:r w:rsidRPr="00BC23D7">
        <w:rPr>
          <w:rFonts w:ascii="Palatino Linotype" w:hAnsi="Palatino Linotype" w:cs="Tahoma"/>
          <w:b/>
          <w:bCs/>
          <w:color w:val="0D0D0D" w:themeColor="text1" w:themeTint="F2"/>
          <w:sz w:val="22"/>
          <w:szCs w:val="22"/>
        </w:rPr>
        <w:t xml:space="preserve">VISTO </w:t>
      </w:r>
      <w:r w:rsidR="00D0542E" w:rsidRPr="00BC23D7">
        <w:rPr>
          <w:rFonts w:ascii="Palatino Linotype" w:hAnsi="Palatino Linotype" w:cs="Tahoma"/>
          <w:bCs/>
          <w:color w:val="0D0D0D" w:themeColor="text1" w:themeTint="F2"/>
          <w:sz w:val="22"/>
          <w:szCs w:val="22"/>
        </w:rPr>
        <w:t>el expediente</w:t>
      </w:r>
      <w:r w:rsidRPr="00BC23D7">
        <w:rPr>
          <w:rFonts w:ascii="Palatino Linotype" w:hAnsi="Palatino Linotype" w:cs="Tahoma"/>
          <w:bCs/>
          <w:color w:val="0D0D0D" w:themeColor="text1" w:themeTint="F2"/>
          <w:sz w:val="22"/>
          <w:szCs w:val="22"/>
        </w:rPr>
        <w:t xml:space="preserve"> conformado con motivo de</w:t>
      </w:r>
      <w:r w:rsidR="00E30210" w:rsidRPr="00BC23D7">
        <w:rPr>
          <w:rFonts w:ascii="Palatino Linotype" w:hAnsi="Palatino Linotype" w:cs="Tahoma"/>
          <w:bCs/>
          <w:color w:val="0D0D0D" w:themeColor="text1" w:themeTint="F2"/>
          <w:sz w:val="22"/>
          <w:szCs w:val="22"/>
        </w:rPr>
        <w:t>l</w:t>
      </w:r>
      <w:r w:rsidRPr="00BC23D7">
        <w:rPr>
          <w:rFonts w:ascii="Palatino Linotype" w:hAnsi="Palatino Linotype" w:cs="Tahoma"/>
          <w:bCs/>
          <w:color w:val="0D0D0D" w:themeColor="text1" w:themeTint="F2"/>
          <w:sz w:val="22"/>
          <w:szCs w:val="22"/>
        </w:rPr>
        <w:t xml:space="preserve"> Recurso de Revisión</w:t>
      </w:r>
      <w:r w:rsidR="0089175F" w:rsidRPr="00BC23D7">
        <w:rPr>
          <w:rFonts w:ascii="Palatino Linotype" w:hAnsi="Palatino Linotype" w:cs="Tahoma"/>
          <w:bCs/>
          <w:color w:val="0D0D0D" w:themeColor="text1" w:themeTint="F2"/>
          <w:sz w:val="22"/>
          <w:szCs w:val="22"/>
        </w:rPr>
        <w:t xml:space="preserve"> </w:t>
      </w:r>
      <w:r w:rsidR="004303EA" w:rsidRPr="00BC23D7">
        <w:rPr>
          <w:rFonts w:ascii="Palatino Linotype" w:eastAsia="Calibri" w:hAnsi="Palatino Linotype" w:cs="Tahoma"/>
          <w:b/>
          <w:bCs/>
          <w:sz w:val="22"/>
          <w:szCs w:val="22"/>
          <w:lang w:eastAsia="en-US"/>
        </w:rPr>
        <w:t>09271/INFOEM/IP/RR/2025</w:t>
      </w:r>
      <w:r w:rsidR="0089175F" w:rsidRPr="00BC23D7">
        <w:rPr>
          <w:rFonts w:ascii="Palatino Linotype" w:hAnsi="Palatino Linotype" w:cs="Tahoma"/>
          <w:color w:val="0D0D0D" w:themeColor="text1" w:themeTint="F2"/>
          <w:sz w:val="22"/>
          <w:szCs w:val="22"/>
        </w:rPr>
        <w:t>,</w:t>
      </w:r>
      <w:r w:rsidRPr="00BC23D7">
        <w:rPr>
          <w:rFonts w:ascii="Palatino Linotype" w:hAnsi="Palatino Linotype" w:cs="Tahoma"/>
          <w:color w:val="0D0D0D" w:themeColor="text1" w:themeTint="F2"/>
          <w:sz w:val="22"/>
          <w:szCs w:val="22"/>
        </w:rPr>
        <w:t xml:space="preserve"> interpuesto</w:t>
      </w:r>
      <w:r w:rsidR="00C74F5F" w:rsidRPr="00BC23D7">
        <w:rPr>
          <w:rFonts w:ascii="Palatino Linotype" w:hAnsi="Palatino Linotype" w:cs="Tahoma"/>
          <w:color w:val="0D0D0D" w:themeColor="text1" w:themeTint="F2"/>
          <w:sz w:val="22"/>
          <w:szCs w:val="22"/>
        </w:rPr>
        <w:t xml:space="preserve"> </w:t>
      </w:r>
      <w:r w:rsidR="007E4927" w:rsidRPr="00BC23D7">
        <w:rPr>
          <w:rFonts w:ascii="Palatino Linotype" w:hAnsi="Palatino Linotype" w:cs="Tahoma"/>
          <w:color w:val="0D0D0D" w:themeColor="text1" w:themeTint="F2"/>
          <w:sz w:val="22"/>
          <w:szCs w:val="22"/>
        </w:rPr>
        <w:t>por</w:t>
      </w:r>
      <w:r w:rsidR="006A4040" w:rsidRPr="00BC23D7">
        <w:rPr>
          <w:rFonts w:ascii="Palatino Linotype" w:hAnsi="Palatino Linotype" w:cs="Tahoma"/>
          <w:color w:val="0D0D0D" w:themeColor="text1" w:themeTint="F2"/>
          <w:sz w:val="22"/>
          <w:szCs w:val="22"/>
        </w:rPr>
        <w:t xml:space="preserve"> </w:t>
      </w:r>
      <w:r w:rsidR="004303EA" w:rsidRPr="00BC23D7">
        <w:rPr>
          <w:rFonts w:ascii="Palatino Linotype" w:hAnsi="Palatino Linotype" w:cs="Tahoma"/>
          <w:color w:val="0D0D0D" w:themeColor="text1" w:themeTint="F2"/>
          <w:sz w:val="22"/>
          <w:szCs w:val="22"/>
        </w:rPr>
        <w:t>quien</w:t>
      </w:r>
      <w:r w:rsidR="006A4040" w:rsidRPr="00BC23D7">
        <w:rPr>
          <w:rFonts w:ascii="Palatino Linotype" w:hAnsi="Palatino Linotype" w:cs="Tahoma"/>
          <w:color w:val="0D0D0D" w:themeColor="text1" w:themeTint="F2"/>
          <w:sz w:val="22"/>
          <w:szCs w:val="22"/>
        </w:rPr>
        <w:t xml:space="preserve"> en adelante</w:t>
      </w:r>
      <w:r w:rsidR="004303EA" w:rsidRPr="00BC23D7">
        <w:rPr>
          <w:rFonts w:ascii="Palatino Linotype" w:hAnsi="Palatino Linotype" w:cs="Tahoma"/>
          <w:color w:val="0D0D0D" w:themeColor="text1" w:themeTint="F2"/>
          <w:sz w:val="22"/>
          <w:szCs w:val="22"/>
        </w:rPr>
        <w:t xml:space="preserve"> </w:t>
      </w:r>
      <w:r w:rsidR="00A74D87" w:rsidRPr="00BC23D7">
        <w:rPr>
          <w:rFonts w:ascii="Palatino Linotype" w:hAnsi="Palatino Linotype" w:cs="Tahoma"/>
          <w:color w:val="0D0D0D" w:themeColor="text1" w:themeTint="F2"/>
          <w:sz w:val="22"/>
          <w:szCs w:val="22"/>
        </w:rPr>
        <w:t>será nombrado como el</w:t>
      </w:r>
      <w:r w:rsidR="00F770EE" w:rsidRPr="00BC23D7">
        <w:rPr>
          <w:rFonts w:ascii="Palatino Linotype" w:hAnsi="Palatino Linotype" w:cs="Tahoma"/>
          <w:color w:val="0D0D0D" w:themeColor="text1" w:themeTint="F2"/>
          <w:sz w:val="22"/>
          <w:szCs w:val="22"/>
        </w:rPr>
        <w:t xml:space="preserve"> </w:t>
      </w:r>
      <w:r w:rsidRPr="00BC23D7">
        <w:rPr>
          <w:rFonts w:ascii="Palatino Linotype" w:hAnsi="Palatino Linotype" w:cs="Tahoma"/>
          <w:color w:val="0D0D0D" w:themeColor="text1" w:themeTint="F2"/>
          <w:sz w:val="22"/>
          <w:szCs w:val="22"/>
        </w:rPr>
        <w:t>Recurrente o Particular, en contra de la respuesta del Sujeto Obligado</w:t>
      </w:r>
      <w:r w:rsidR="0096397D" w:rsidRPr="00BC23D7">
        <w:rPr>
          <w:rFonts w:ascii="Palatino Linotype" w:hAnsi="Palatino Linotype" w:cs="Tahoma"/>
          <w:color w:val="0D0D0D" w:themeColor="text1" w:themeTint="F2"/>
          <w:sz w:val="22"/>
          <w:szCs w:val="22"/>
        </w:rPr>
        <w:t>,</w:t>
      </w:r>
      <w:r w:rsidRPr="00BC23D7">
        <w:rPr>
          <w:rFonts w:ascii="Palatino Linotype" w:hAnsi="Palatino Linotype"/>
          <w:sz w:val="22"/>
          <w:szCs w:val="22"/>
        </w:rPr>
        <w:t xml:space="preserve"> </w:t>
      </w:r>
      <w:bookmarkStart w:id="1" w:name="_GoBack"/>
      <w:r w:rsidR="00A74D87" w:rsidRPr="00B10F77">
        <w:rPr>
          <w:rFonts w:ascii="Palatino Linotype" w:eastAsia="Calibri" w:hAnsi="Palatino Linotype" w:cs="Tahoma"/>
          <w:b/>
          <w:sz w:val="22"/>
          <w:szCs w:val="22"/>
          <w:lang w:eastAsia="en-US"/>
        </w:rPr>
        <w:t>Ayuntamiento de Tepotzotlán</w:t>
      </w:r>
      <w:r w:rsidR="0096397D" w:rsidRPr="00B10F77">
        <w:rPr>
          <w:rFonts w:ascii="Palatino Linotype" w:eastAsia="Calibri" w:hAnsi="Palatino Linotype" w:cs="Tahoma"/>
          <w:b/>
          <w:sz w:val="22"/>
          <w:szCs w:val="22"/>
          <w:lang w:eastAsia="en-US"/>
        </w:rPr>
        <w:t>,</w:t>
      </w:r>
      <w:r w:rsidR="00074895" w:rsidRPr="00BC23D7">
        <w:rPr>
          <w:rFonts w:ascii="Palatino Linotype" w:eastAsia="Calibri" w:hAnsi="Palatino Linotype" w:cs="Tahoma"/>
          <w:sz w:val="22"/>
          <w:szCs w:val="22"/>
          <w:lang w:eastAsia="en-US"/>
        </w:rPr>
        <w:t xml:space="preserve"> </w:t>
      </w:r>
      <w:bookmarkEnd w:id="1"/>
      <w:r w:rsidR="00074895" w:rsidRPr="00BC23D7">
        <w:rPr>
          <w:rFonts w:ascii="Palatino Linotype" w:eastAsia="Calibri" w:hAnsi="Palatino Linotype" w:cs="Tahoma"/>
          <w:sz w:val="22"/>
          <w:szCs w:val="22"/>
          <w:lang w:eastAsia="en-US"/>
        </w:rPr>
        <w:t xml:space="preserve">a la solicitud </w:t>
      </w:r>
      <w:r w:rsidR="00F6741B" w:rsidRPr="00BC23D7">
        <w:rPr>
          <w:rFonts w:ascii="Palatino Linotype" w:hAnsi="Palatino Linotype" w:cs="Tahoma"/>
          <w:b/>
          <w:sz w:val="22"/>
          <w:szCs w:val="22"/>
        </w:rPr>
        <w:t>00349/TEPOTZOT/IP/2025</w:t>
      </w:r>
      <w:r w:rsidRPr="00BC23D7">
        <w:rPr>
          <w:rFonts w:ascii="Palatino Linotype" w:hAnsi="Palatino Linotype" w:cs="Tahoma"/>
          <w:color w:val="0D0D0D" w:themeColor="text1" w:themeTint="F2"/>
          <w:sz w:val="22"/>
          <w:szCs w:val="22"/>
        </w:rPr>
        <w:t xml:space="preserve">, </w:t>
      </w:r>
      <w:r w:rsidRPr="00BC23D7">
        <w:rPr>
          <w:rFonts w:ascii="Palatino Linotype" w:hAnsi="Palatino Linotype" w:cs="Tahoma"/>
          <w:bCs/>
          <w:color w:val="0D0D0D" w:themeColor="text1" w:themeTint="F2"/>
          <w:sz w:val="22"/>
          <w:szCs w:val="22"/>
        </w:rPr>
        <w:t>se emite la presente Resolución, con base en los Antecedentes y C</w:t>
      </w:r>
      <w:r w:rsidRPr="00BC23D7">
        <w:rPr>
          <w:rFonts w:ascii="Palatino Linotype" w:hAnsi="Palatino Linotype" w:cs="Tahoma"/>
          <w:bCs/>
          <w:sz w:val="22"/>
          <w:szCs w:val="22"/>
        </w:rPr>
        <w:t>onsiderandos que a continuación se exponen:</w:t>
      </w:r>
    </w:p>
    <w:p w14:paraId="1ED82885" w14:textId="77777777" w:rsidR="00BB1F81" w:rsidRPr="00BC23D7"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BC23D7" w:rsidRDefault="00E35DF9" w:rsidP="00DA638D">
      <w:pPr>
        <w:pStyle w:val="Ttulo1"/>
        <w:spacing w:before="0"/>
        <w:jc w:val="center"/>
        <w:rPr>
          <w:rFonts w:ascii="Palatino Linotype" w:hAnsi="Palatino Linotype"/>
          <w:b/>
          <w:sz w:val="22"/>
          <w:szCs w:val="22"/>
        </w:rPr>
      </w:pPr>
      <w:bookmarkStart w:id="2" w:name="_Toc210315182"/>
      <w:r w:rsidRPr="00BC23D7">
        <w:rPr>
          <w:rFonts w:ascii="Palatino Linotype" w:hAnsi="Palatino Linotype"/>
          <w:b/>
          <w:color w:val="auto"/>
          <w:sz w:val="22"/>
          <w:szCs w:val="22"/>
        </w:rPr>
        <w:t>A N T E C E D E N T E S</w:t>
      </w:r>
      <w:bookmarkEnd w:id="2"/>
    </w:p>
    <w:p w14:paraId="73E5FA02" w14:textId="77777777" w:rsidR="002233AD" w:rsidRPr="00BC23D7"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BC23D7" w:rsidRDefault="00E35DF9" w:rsidP="00DA638D">
      <w:pPr>
        <w:pStyle w:val="Ttulo2"/>
        <w:spacing w:before="0"/>
        <w:rPr>
          <w:rFonts w:ascii="Palatino Linotype" w:hAnsi="Palatino Linotype" w:cs="Tahoma"/>
          <w:b/>
          <w:color w:val="auto"/>
          <w:sz w:val="22"/>
          <w:szCs w:val="22"/>
        </w:rPr>
      </w:pPr>
      <w:bookmarkStart w:id="3" w:name="_Toc210315183"/>
      <w:r w:rsidRPr="00BC23D7">
        <w:rPr>
          <w:rFonts w:ascii="Palatino Linotype" w:hAnsi="Palatino Linotype" w:cs="Tahoma"/>
          <w:b/>
          <w:color w:val="auto"/>
          <w:sz w:val="22"/>
          <w:szCs w:val="22"/>
        </w:rPr>
        <w:t>I. Presentación de la solicitud de información</w:t>
      </w:r>
      <w:bookmarkEnd w:id="3"/>
    </w:p>
    <w:p w14:paraId="377901E5" w14:textId="77777777" w:rsidR="00E35DF9" w:rsidRPr="00BC23D7"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1F69A10B" w:rsidR="00E35DF9" w:rsidRPr="00BC23D7" w:rsidRDefault="00BB1F81" w:rsidP="00DA638D">
      <w:pPr>
        <w:tabs>
          <w:tab w:val="left" w:pos="567"/>
        </w:tabs>
        <w:spacing w:line="360" w:lineRule="auto"/>
        <w:contextualSpacing/>
        <w:jc w:val="both"/>
        <w:rPr>
          <w:rFonts w:ascii="Palatino Linotype" w:hAnsi="Palatino Linotype" w:cs="Tahoma"/>
          <w:sz w:val="22"/>
          <w:szCs w:val="22"/>
        </w:rPr>
      </w:pPr>
      <w:r w:rsidRPr="00BC23D7">
        <w:rPr>
          <w:rFonts w:ascii="Palatino Linotype" w:hAnsi="Palatino Linotype" w:cs="Tahoma"/>
          <w:sz w:val="22"/>
          <w:szCs w:val="22"/>
        </w:rPr>
        <w:t>El</w:t>
      </w:r>
      <w:r w:rsidR="00E35DF9" w:rsidRPr="00BC23D7">
        <w:rPr>
          <w:rFonts w:ascii="Palatino Linotype" w:hAnsi="Palatino Linotype" w:cs="Tahoma"/>
          <w:sz w:val="22"/>
          <w:szCs w:val="22"/>
        </w:rPr>
        <w:t xml:space="preserve"> </w:t>
      </w:r>
      <w:r w:rsidR="00BE44E6" w:rsidRPr="00BC23D7">
        <w:rPr>
          <w:rFonts w:ascii="Palatino Linotype" w:hAnsi="Palatino Linotype" w:cs="Tahoma"/>
          <w:sz w:val="22"/>
          <w:szCs w:val="22"/>
        </w:rPr>
        <w:t>veintitrés</w:t>
      </w:r>
      <w:r w:rsidR="0030566C" w:rsidRPr="00BC23D7">
        <w:rPr>
          <w:rFonts w:ascii="Palatino Linotype" w:hAnsi="Palatino Linotype" w:cs="Tahoma"/>
          <w:sz w:val="22"/>
          <w:szCs w:val="22"/>
        </w:rPr>
        <w:t xml:space="preserve"> </w:t>
      </w:r>
      <w:r w:rsidR="0026209A" w:rsidRPr="00BC23D7">
        <w:rPr>
          <w:rFonts w:ascii="Palatino Linotype" w:hAnsi="Palatino Linotype" w:cs="Tahoma"/>
          <w:sz w:val="22"/>
          <w:szCs w:val="22"/>
        </w:rPr>
        <w:t xml:space="preserve">de </w:t>
      </w:r>
      <w:r w:rsidR="00F6741B" w:rsidRPr="00BC23D7">
        <w:rPr>
          <w:rFonts w:ascii="Palatino Linotype" w:hAnsi="Palatino Linotype" w:cs="Tahoma"/>
          <w:sz w:val="22"/>
          <w:szCs w:val="22"/>
        </w:rPr>
        <w:t>junio</w:t>
      </w:r>
      <w:r w:rsidR="00D6115B" w:rsidRPr="00BC23D7">
        <w:rPr>
          <w:rFonts w:ascii="Palatino Linotype" w:hAnsi="Palatino Linotype" w:cs="Tahoma"/>
          <w:sz w:val="22"/>
          <w:szCs w:val="22"/>
        </w:rPr>
        <w:t xml:space="preserve"> de dos mil veinticinco</w:t>
      </w:r>
      <w:r w:rsidR="00E35DF9" w:rsidRPr="00BC23D7">
        <w:rPr>
          <w:rFonts w:ascii="Palatino Linotype" w:hAnsi="Palatino Linotype" w:cs="Tahoma"/>
          <w:sz w:val="22"/>
          <w:szCs w:val="22"/>
        </w:rPr>
        <w:t xml:space="preserve">, </w:t>
      </w:r>
      <w:r w:rsidR="00C247E5" w:rsidRPr="00BC23D7">
        <w:rPr>
          <w:rFonts w:ascii="Palatino Linotype" w:hAnsi="Palatino Linotype" w:cs="Tahoma"/>
          <w:sz w:val="22"/>
          <w:szCs w:val="22"/>
        </w:rPr>
        <w:t>el</w:t>
      </w:r>
      <w:r w:rsidR="00E35DF9" w:rsidRPr="00BC23D7">
        <w:rPr>
          <w:rFonts w:ascii="Palatino Linotype" w:hAnsi="Palatino Linotype" w:cs="Tahoma"/>
          <w:sz w:val="22"/>
          <w:szCs w:val="22"/>
        </w:rPr>
        <w:t xml:space="preserve"> Particular presentó solicitud de acceso a la i</w:t>
      </w:r>
      <w:r w:rsidR="009D6672" w:rsidRPr="00BC23D7">
        <w:rPr>
          <w:rFonts w:ascii="Palatino Linotype" w:hAnsi="Palatino Linotype" w:cs="Tahoma"/>
          <w:sz w:val="22"/>
          <w:szCs w:val="22"/>
        </w:rPr>
        <w:t>nformación pública, a través de</w:t>
      </w:r>
      <w:r w:rsidR="00EA2594" w:rsidRPr="00BC23D7">
        <w:rPr>
          <w:rFonts w:ascii="Palatino Linotype" w:hAnsi="Palatino Linotype" w:cs="Tahoma"/>
          <w:sz w:val="22"/>
          <w:szCs w:val="22"/>
        </w:rPr>
        <w:t xml:space="preserve">l </w:t>
      </w:r>
      <w:r w:rsidR="00062387" w:rsidRPr="00BC23D7">
        <w:rPr>
          <w:rFonts w:ascii="Palatino Linotype" w:hAnsi="Palatino Linotype" w:cs="Tahoma"/>
          <w:sz w:val="22"/>
          <w:szCs w:val="22"/>
        </w:rPr>
        <w:t>Sistema de Acceso a la</w:t>
      </w:r>
      <w:r w:rsidR="000973B8" w:rsidRPr="00BC23D7">
        <w:rPr>
          <w:rFonts w:ascii="Palatino Linotype" w:hAnsi="Palatino Linotype" w:cs="Tahoma"/>
          <w:sz w:val="22"/>
          <w:szCs w:val="22"/>
        </w:rPr>
        <w:t xml:space="preserve"> Información Mexiquense</w:t>
      </w:r>
      <w:r w:rsidRPr="00BC23D7">
        <w:rPr>
          <w:rFonts w:ascii="Palatino Linotype" w:hAnsi="Palatino Linotype" w:cs="Tahoma"/>
          <w:sz w:val="22"/>
          <w:szCs w:val="22"/>
        </w:rPr>
        <w:t>, en lo sucesivo</w:t>
      </w:r>
      <w:r w:rsidR="000973B8" w:rsidRPr="00BC23D7">
        <w:rPr>
          <w:rFonts w:ascii="Palatino Linotype" w:hAnsi="Palatino Linotype" w:cs="Tahoma"/>
          <w:sz w:val="22"/>
          <w:szCs w:val="22"/>
        </w:rPr>
        <w:t xml:space="preserve"> </w:t>
      </w:r>
      <w:r w:rsidRPr="00BC23D7">
        <w:rPr>
          <w:rFonts w:ascii="Palatino Linotype" w:hAnsi="Palatino Linotype" w:cs="Tahoma"/>
          <w:sz w:val="22"/>
          <w:szCs w:val="22"/>
        </w:rPr>
        <w:t xml:space="preserve">el </w:t>
      </w:r>
      <w:r w:rsidR="000973B8" w:rsidRPr="00BC23D7">
        <w:rPr>
          <w:rFonts w:ascii="Palatino Linotype" w:hAnsi="Palatino Linotype" w:cs="Tahoma"/>
          <w:sz w:val="22"/>
          <w:szCs w:val="22"/>
        </w:rPr>
        <w:t>SAIMEX</w:t>
      </w:r>
      <w:r w:rsidR="00E35DF9" w:rsidRPr="00BC23D7">
        <w:rPr>
          <w:rFonts w:ascii="Palatino Linotype" w:hAnsi="Palatino Linotype" w:cs="Tahoma"/>
          <w:sz w:val="22"/>
          <w:szCs w:val="22"/>
        </w:rPr>
        <w:t xml:space="preserve">, ante </w:t>
      </w:r>
      <w:r w:rsidR="009C323D" w:rsidRPr="00BC23D7">
        <w:rPr>
          <w:rFonts w:ascii="Palatino Linotype" w:hAnsi="Palatino Linotype" w:cs="Tahoma"/>
          <w:sz w:val="22"/>
          <w:szCs w:val="22"/>
        </w:rPr>
        <w:t>e</w:t>
      </w:r>
      <w:r w:rsidR="00212285" w:rsidRPr="00BC23D7">
        <w:rPr>
          <w:rFonts w:ascii="Palatino Linotype" w:hAnsi="Palatino Linotype" w:cs="Tahoma"/>
          <w:sz w:val="22"/>
          <w:szCs w:val="22"/>
        </w:rPr>
        <w:t>l</w:t>
      </w:r>
      <w:r w:rsidR="00E35DF9" w:rsidRPr="00BC23D7">
        <w:rPr>
          <w:rFonts w:ascii="Palatino Linotype" w:hAnsi="Palatino Linotype" w:cs="Tahoma"/>
          <w:sz w:val="22"/>
          <w:szCs w:val="22"/>
        </w:rPr>
        <w:t xml:space="preserve"> </w:t>
      </w:r>
      <w:r w:rsidR="00A74D87" w:rsidRPr="00BC23D7">
        <w:rPr>
          <w:rFonts w:ascii="Palatino Linotype" w:hAnsi="Palatino Linotype" w:cs="Tahoma"/>
          <w:b/>
          <w:bCs/>
          <w:sz w:val="22"/>
          <w:szCs w:val="22"/>
        </w:rPr>
        <w:t xml:space="preserve">Ayuntamiento de </w:t>
      </w:r>
      <w:r w:rsidR="00F6741B" w:rsidRPr="00BC23D7">
        <w:rPr>
          <w:rFonts w:ascii="Palatino Linotype" w:hAnsi="Palatino Linotype" w:cs="Tahoma"/>
          <w:b/>
          <w:bCs/>
          <w:sz w:val="22"/>
          <w:szCs w:val="22"/>
        </w:rPr>
        <w:t>Tepoztlán</w:t>
      </w:r>
      <w:r w:rsidR="00E35DF9" w:rsidRPr="00BC23D7">
        <w:rPr>
          <w:rFonts w:ascii="Palatino Linotype" w:hAnsi="Palatino Linotype" w:cs="Tahoma"/>
          <w:sz w:val="22"/>
          <w:szCs w:val="22"/>
        </w:rPr>
        <w:t xml:space="preserve">, </w:t>
      </w:r>
      <w:r w:rsidR="003A12F1" w:rsidRPr="00BC23D7">
        <w:rPr>
          <w:rFonts w:ascii="Palatino Linotype" w:hAnsi="Palatino Linotype" w:cs="Tahoma"/>
          <w:sz w:val="22"/>
          <w:szCs w:val="22"/>
        </w:rPr>
        <w:t xml:space="preserve">misma que fue registrada con el número de folio </w:t>
      </w:r>
      <w:r w:rsidR="00F6741B" w:rsidRPr="00BC23D7">
        <w:rPr>
          <w:rFonts w:ascii="Palatino Linotype" w:hAnsi="Palatino Linotype" w:cs="Tahoma"/>
          <w:b/>
          <w:bCs/>
          <w:sz w:val="22"/>
          <w:szCs w:val="22"/>
        </w:rPr>
        <w:t>00349/TEPOTZOT/IP/2025</w:t>
      </w:r>
      <w:r w:rsidR="003A12F1" w:rsidRPr="00BC23D7">
        <w:rPr>
          <w:rFonts w:ascii="Palatino Linotype" w:hAnsi="Palatino Linotype" w:cs="Tahoma"/>
          <w:b/>
          <w:bCs/>
          <w:sz w:val="22"/>
          <w:szCs w:val="22"/>
        </w:rPr>
        <w:t xml:space="preserve">, </w:t>
      </w:r>
      <w:r w:rsidR="00E35DF9" w:rsidRPr="00BC23D7">
        <w:rPr>
          <w:rFonts w:ascii="Palatino Linotype" w:hAnsi="Palatino Linotype" w:cs="Tahoma"/>
          <w:sz w:val="22"/>
          <w:szCs w:val="22"/>
        </w:rPr>
        <w:t xml:space="preserve">mediante </w:t>
      </w:r>
      <w:r w:rsidR="0074594A" w:rsidRPr="00BC23D7">
        <w:rPr>
          <w:rFonts w:ascii="Palatino Linotype" w:hAnsi="Palatino Linotype" w:cs="Tahoma"/>
          <w:sz w:val="22"/>
          <w:szCs w:val="22"/>
        </w:rPr>
        <w:t>l</w:t>
      </w:r>
      <w:r w:rsidR="00B50512" w:rsidRPr="00BC23D7">
        <w:rPr>
          <w:rFonts w:ascii="Palatino Linotype" w:hAnsi="Palatino Linotype" w:cs="Tahoma"/>
          <w:sz w:val="22"/>
          <w:szCs w:val="22"/>
        </w:rPr>
        <w:t>a</w:t>
      </w:r>
      <w:r w:rsidR="00E35DF9" w:rsidRPr="00BC23D7">
        <w:rPr>
          <w:rFonts w:ascii="Palatino Linotype" w:hAnsi="Palatino Linotype" w:cs="Tahoma"/>
          <w:sz w:val="22"/>
          <w:szCs w:val="22"/>
        </w:rPr>
        <w:t xml:space="preserve"> cual requirió lo siguiente: </w:t>
      </w:r>
    </w:p>
    <w:p w14:paraId="1E7C8AA4" w14:textId="77777777" w:rsidR="00D807FB" w:rsidRPr="00BC23D7"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BC23D7"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BC23D7">
        <w:rPr>
          <w:rFonts w:ascii="Palatino Linotype" w:hAnsi="Palatino Linotype" w:cs="Tahoma"/>
          <w:b/>
          <w:bCs/>
        </w:rPr>
        <w:t>“</w:t>
      </w:r>
      <w:r w:rsidR="00D807FB" w:rsidRPr="00BC23D7">
        <w:rPr>
          <w:rFonts w:ascii="Palatino Linotype" w:hAnsi="Palatino Linotype" w:cs="Tahoma"/>
          <w:b/>
          <w:bCs/>
        </w:rPr>
        <w:t>DESCRIPCIÓN CLARA Y PRECISA DE LA INFORMACIÓN SOLICITADA</w:t>
      </w:r>
    </w:p>
    <w:p w14:paraId="59F8D6CC" w14:textId="14435FF0" w:rsidR="000F2B83" w:rsidRPr="00BC23D7" w:rsidRDefault="00E57636"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BC23D7">
        <w:rPr>
          <w:rFonts w:ascii="Palatino Linotype" w:hAnsi="Palatino Linotype"/>
          <w:i/>
          <w:iCs/>
          <w:color w:val="000000"/>
          <w:sz w:val="20"/>
          <w:szCs w:val="20"/>
        </w:rPr>
        <w:t>El listado de todas las obras que se realizan en el 2025, y cada una de las facturas pagadas por todas y cada una de esas obras, desde el 1 de enero de 2025 hasta el día que contesten esta solicitud.</w:t>
      </w:r>
      <w:r w:rsidR="00306E8D" w:rsidRPr="00BC23D7">
        <w:rPr>
          <w:rFonts w:ascii="Palatino Linotype" w:hAnsi="Palatino Linotype"/>
          <w:i/>
          <w:iCs/>
          <w:color w:val="000000"/>
          <w:sz w:val="20"/>
          <w:szCs w:val="20"/>
        </w:rPr>
        <w:t xml:space="preserve">" </w:t>
      </w:r>
      <w:r w:rsidR="00D74B06" w:rsidRPr="00BC23D7">
        <w:rPr>
          <w:rFonts w:ascii="Palatino Linotype" w:hAnsi="Palatino Linotype"/>
          <w:i/>
          <w:iCs/>
          <w:color w:val="000000"/>
          <w:sz w:val="20"/>
          <w:szCs w:val="20"/>
        </w:rPr>
        <w:t>(Sic)</w:t>
      </w:r>
      <w:r w:rsidR="007A0F69" w:rsidRPr="00BC23D7">
        <w:rPr>
          <w:rFonts w:ascii="Palatino Linotype" w:hAnsi="Palatino Linotype"/>
          <w:i/>
          <w:iCs/>
          <w:color w:val="000000"/>
          <w:sz w:val="20"/>
          <w:szCs w:val="20"/>
        </w:rPr>
        <w:t>.</w:t>
      </w:r>
    </w:p>
    <w:p w14:paraId="3A5533C4" w14:textId="77777777" w:rsidR="007E4927" w:rsidRPr="00BC23D7"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Pr="00BC23D7"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BC23D7">
        <w:rPr>
          <w:rFonts w:ascii="Palatino Linotype" w:hAnsi="Palatino Linotype" w:cs="Tahoma"/>
          <w:b/>
          <w:sz w:val="20"/>
          <w:szCs w:val="22"/>
        </w:rPr>
        <w:t>MODALIDAD DE ENTREGA</w:t>
      </w:r>
      <w:r w:rsidR="00007985" w:rsidRPr="00BC23D7">
        <w:rPr>
          <w:rFonts w:ascii="Palatino Linotype" w:hAnsi="Palatino Linotype" w:cs="Tahoma"/>
          <w:b/>
          <w:sz w:val="20"/>
          <w:szCs w:val="22"/>
        </w:rPr>
        <w:t xml:space="preserve"> </w:t>
      </w:r>
    </w:p>
    <w:p w14:paraId="71AFB001" w14:textId="09555E2C" w:rsidR="00E35DF9" w:rsidRPr="00BC23D7"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BC23D7">
        <w:rPr>
          <w:rFonts w:ascii="Palatino Linotype" w:hAnsi="Palatino Linotype" w:cs="Tahoma"/>
          <w:i/>
          <w:sz w:val="20"/>
          <w:szCs w:val="22"/>
        </w:rPr>
        <w:t>A través del SAIMEX</w:t>
      </w:r>
      <w:r w:rsidR="007E4927" w:rsidRPr="00BC23D7">
        <w:rPr>
          <w:rFonts w:ascii="Palatino Linotype" w:hAnsi="Palatino Linotype" w:cs="Tahoma"/>
          <w:i/>
          <w:sz w:val="20"/>
          <w:szCs w:val="22"/>
        </w:rPr>
        <w:t>”</w:t>
      </w:r>
    </w:p>
    <w:p w14:paraId="5AC1889F" w14:textId="77777777" w:rsidR="00B65301" w:rsidRPr="00BC23D7" w:rsidRDefault="00B65301" w:rsidP="00B65301">
      <w:pPr>
        <w:tabs>
          <w:tab w:val="left" w:pos="567"/>
        </w:tabs>
        <w:spacing w:line="360" w:lineRule="auto"/>
        <w:ind w:right="539"/>
        <w:jc w:val="both"/>
        <w:rPr>
          <w:rFonts w:ascii="Palatino Linotype" w:hAnsi="Palatino Linotype" w:cs="Tahoma"/>
          <w:i/>
          <w:szCs w:val="22"/>
        </w:rPr>
      </w:pPr>
    </w:p>
    <w:p w14:paraId="638D137B" w14:textId="5F20C1D3" w:rsidR="00B65301" w:rsidRPr="00BC23D7" w:rsidRDefault="00B65301" w:rsidP="00B65301">
      <w:pPr>
        <w:pStyle w:val="Ttulo2"/>
        <w:spacing w:before="0"/>
        <w:rPr>
          <w:rFonts w:ascii="Palatino Linotype" w:hAnsi="Palatino Linotype" w:cs="Tahoma"/>
          <w:b/>
          <w:color w:val="auto"/>
          <w:sz w:val="22"/>
          <w:szCs w:val="22"/>
        </w:rPr>
      </w:pPr>
      <w:bookmarkStart w:id="4" w:name="_Toc210315184"/>
      <w:r w:rsidRPr="00BC23D7">
        <w:rPr>
          <w:rFonts w:ascii="Palatino Linotype" w:hAnsi="Palatino Linotype" w:cs="Tahoma"/>
          <w:b/>
          <w:color w:val="auto"/>
          <w:sz w:val="22"/>
          <w:szCs w:val="22"/>
        </w:rPr>
        <w:t>II. Prórroga</w:t>
      </w:r>
      <w:bookmarkEnd w:id="4"/>
    </w:p>
    <w:p w14:paraId="77311C0E" w14:textId="77777777" w:rsidR="00B65301" w:rsidRPr="00BC23D7" w:rsidRDefault="00B65301" w:rsidP="0006551C">
      <w:pPr>
        <w:tabs>
          <w:tab w:val="left" w:pos="567"/>
        </w:tabs>
        <w:spacing w:line="360" w:lineRule="auto"/>
        <w:contextualSpacing/>
        <w:jc w:val="both"/>
        <w:rPr>
          <w:rFonts w:ascii="Palatino Linotype" w:hAnsi="Palatino Linotype" w:cs="Tahoma"/>
          <w:sz w:val="22"/>
          <w:szCs w:val="22"/>
        </w:rPr>
      </w:pPr>
    </w:p>
    <w:p w14:paraId="69652F8A" w14:textId="0CA64555" w:rsidR="00B65301" w:rsidRPr="00BC23D7" w:rsidRDefault="000700D4" w:rsidP="000700D4">
      <w:pPr>
        <w:tabs>
          <w:tab w:val="left" w:pos="567"/>
        </w:tabs>
        <w:spacing w:line="360" w:lineRule="auto"/>
        <w:contextualSpacing/>
        <w:jc w:val="both"/>
        <w:rPr>
          <w:rFonts w:ascii="Palatino Linotype" w:hAnsi="Palatino Linotype" w:cs="Tahoma"/>
          <w:sz w:val="22"/>
          <w:szCs w:val="22"/>
        </w:rPr>
      </w:pPr>
      <w:r w:rsidRPr="00BC23D7">
        <w:rPr>
          <w:rFonts w:ascii="Palatino Linotype" w:hAnsi="Palatino Linotype" w:cs="Tahoma"/>
          <w:sz w:val="22"/>
          <w:szCs w:val="22"/>
        </w:rPr>
        <w:lastRenderedPageBreak/>
        <w:t xml:space="preserve">El catorce de julio de dos mil veinticinco, el Sujeto Obligado, </w:t>
      </w:r>
      <w:r w:rsidR="0006551C" w:rsidRPr="00BC23D7">
        <w:rPr>
          <w:rFonts w:ascii="Palatino Linotype" w:hAnsi="Palatino Linotype" w:cs="Tahoma"/>
          <w:sz w:val="22"/>
          <w:szCs w:val="22"/>
        </w:rPr>
        <w:t xml:space="preserve">notificó la prórroga </w:t>
      </w:r>
      <w:r w:rsidR="00A369FF" w:rsidRPr="00BC23D7">
        <w:rPr>
          <w:rFonts w:ascii="Palatino Linotype" w:hAnsi="Palatino Linotype" w:cs="Tahoma"/>
          <w:sz w:val="22"/>
          <w:szCs w:val="22"/>
        </w:rPr>
        <w:t xml:space="preserve">para dar atención a la solicitud de acceso a la información pública, </w:t>
      </w:r>
      <w:r w:rsidR="00024607" w:rsidRPr="00BC23D7">
        <w:rPr>
          <w:rFonts w:ascii="Palatino Linotype" w:hAnsi="Palatino Linotype" w:cs="Tahoma"/>
          <w:sz w:val="22"/>
          <w:szCs w:val="22"/>
        </w:rPr>
        <w:t>en los siguientes términos:</w:t>
      </w:r>
    </w:p>
    <w:p w14:paraId="670431E4" w14:textId="77777777" w:rsidR="00A369FF" w:rsidRPr="00BC23D7" w:rsidRDefault="00A369FF" w:rsidP="000700D4">
      <w:pPr>
        <w:tabs>
          <w:tab w:val="left" w:pos="567"/>
        </w:tabs>
        <w:spacing w:line="360" w:lineRule="auto"/>
        <w:contextualSpacing/>
        <w:jc w:val="both"/>
        <w:rPr>
          <w:rFonts w:ascii="Palatino Linotype" w:hAnsi="Palatino Linotype" w:cs="Tahoma"/>
          <w:sz w:val="22"/>
          <w:szCs w:val="22"/>
        </w:rPr>
      </w:pPr>
    </w:p>
    <w:p w14:paraId="035DCFDA" w14:textId="693298C3" w:rsidR="00A369FF" w:rsidRPr="00BC23D7" w:rsidRDefault="00A369FF" w:rsidP="00A369FF">
      <w:pPr>
        <w:pStyle w:val="Prrafodelista"/>
        <w:tabs>
          <w:tab w:val="left" w:pos="567"/>
        </w:tabs>
        <w:spacing w:line="360" w:lineRule="auto"/>
        <w:ind w:left="567" w:right="539"/>
        <w:jc w:val="both"/>
        <w:rPr>
          <w:rFonts w:ascii="Palatino Linotype" w:hAnsi="Palatino Linotype"/>
          <w:i/>
          <w:iCs/>
          <w:color w:val="000000"/>
          <w:sz w:val="20"/>
          <w:szCs w:val="20"/>
        </w:rPr>
      </w:pPr>
      <w:r w:rsidRPr="00BC23D7">
        <w:rPr>
          <w:rFonts w:ascii="Palatino Linotype" w:hAnsi="Palatino Linotype"/>
          <w:i/>
          <w:iCs/>
          <w:color w:val="000000"/>
          <w:sz w:val="20"/>
          <w:szCs w:val="20"/>
        </w:rPr>
        <w:t>DE ACUERDO A LA QUINCUAGÉSIMA OCTAVA SESIÓN EXTRAORDINARIA 2025 DEL COMITÉ DE TRANSPARENCIA DE FECHA 14 DE JULIO DE 2025, EN EL ACUERDO 02/SE/58/CT/2025: Se aprueba por unanimidad la prórroga para atender las solicitudes de información con número de folio ...00349/TEPOTZOT/IP/2025, realizadas por los particulares.</w:t>
      </w:r>
    </w:p>
    <w:p w14:paraId="33EB4399" w14:textId="77777777" w:rsidR="00B65301" w:rsidRPr="00BC23D7" w:rsidRDefault="00B65301" w:rsidP="00B65301">
      <w:pPr>
        <w:tabs>
          <w:tab w:val="left" w:pos="567"/>
        </w:tabs>
        <w:spacing w:line="360" w:lineRule="auto"/>
        <w:ind w:right="539"/>
        <w:jc w:val="both"/>
        <w:rPr>
          <w:rFonts w:ascii="Palatino Linotype" w:hAnsi="Palatino Linotype" w:cs="Tahoma"/>
          <w:i/>
          <w:szCs w:val="22"/>
        </w:rPr>
      </w:pPr>
    </w:p>
    <w:p w14:paraId="63C8D97D" w14:textId="587251FA" w:rsidR="00024607" w:rsidRPr="00BC23D7" w:rsidRDefault="00024607" w:rsidP="000C52AB">
      <w:pPr>
        <w:autoSpaceDE w:val="0"/>
        <w:autoSpaceDN w:val="0"/>
        <w:adjustRightInd w:val="0"/>
        <w:spacing w:line="360" w:lineRule="auto"/>
        <w:contextualSpacing/>
        <w:jc w:val="both"/>
        <w:rPr>
          <w:rFonts w:ascii="Palatino Linotype" w:hAnsi="Palatino Linotype" w:cs="Tahoma"/>
          <w:sz w:val="22"/>
          <w:szCs w:val="22"/>
        </w:rPr>
      </w:pPr>
      <w:r w:rsidRPr="00BC23D7">
        <w:rPr>
          <w:rFonts w:ascii="Palatino Linotype" w:hAnsi="Palatino Linotype" w:cs="Tahoma"/>
          <w:sz w:val="22"/>
          <w:szCs w:val="22"/>
        </w:rPr>
        <w:t>A saber, el Sujeto Obligado, no notificó el acuerdo aprobado por el Comité de Transparencia</w:t>
      </w:r>
      <w:r w:rsidR="000C52AB" w:rsidRPr="00BC23D7">
        <w:rPr>
          <w:rFonts w:ascii="Palatino Linotype" w:hAnsi="Palatino Linotype" w:cs="Tahoma"/>
          <w:sz w:val="22"/>
          <w:szCs w:val="22"/>
        </w:rPr>
        <w:t>, para lo cual, se insta a que en futuras ocasiones, remita el acuerdo referido</w:t>
      </w:r>
      <w:r w:rsidR="000B7934" w:rsidRPr="00BC23D7">
        <w:rPr>
          <w:rFonts w:ascii="Palatino Linotype" w:hAnsi="Palatino Linotype" w:cs="Tahoma"/>
          <w:sz w:val="22"/>
          <w:szCs w:val="22"/>
        </w:rPr>
        <w:t xml:space="preserve"> a efectos de evitar sanciones.</w:t>
      </w:r>
    </w:p>
    <w:p w14:paraId="7C001357" w14:textId="77777777" w:rsidR="00E456BB" w:rsidRPr="00BC23D7" w:rsidRDefault="00E456BB" w:rsidP="00E57636">
      <w:pPr>
        <w:tabs>
          <w:tab w:val="left" w:pos="567"/>
        </w:tabs>
        <w:spacing w:line="360" w:lineRule="auto"/>
        <w:ind w:right="539"/>
        <w:jc w:val="both"/>
        <w:rPr>
          <w:rFonts w:ascii="Palatino Linotype" w:hAnsi="Palatino Linotype" w:cs="Tahoma"/>
          <w:i/>
          <w:szCs w:val="22"/>
        </w:rPr>
      </w:pPr>
    </w:p>
    <w:p w14:paraId="3A79F5A0" w14:textId="069E9469" w:rsidR="00681D84" w:rsidRPr="00BC23D7" w:rsidRDefault="000B7934" w:rsidP="00DA638D">
      <w:pPr>
        <w:pStyle w:val="Ttulo2"/>
        <w:spacing w:before="0"/>
      </w:pPr>
      <w:bookmarkStart w:id="5" w:name="_Toc210315185"/>
      <w:r w:rsidRPr="00BC23D7">
        <w:rPr>
          <w:rFonts w:ascii="Palatino Linotype" w:hAnsi="Palatino Linotype" w:cs="Tahoma"/>
          <w:b/>
          <w:color w:val="auto"/>
          <w:sz w:val="22"/>
          <w:szCs w:val="22"/>
        </w:rPr>
        <w:t>II</w:t>
      </w:r>
      <w:r w:rsidR="00F86BFB" w:rsidRPr="00BC23D7">
        <w:rPr>
          <w:rFonts w:ascii="Palatino Linotype" w:hAnsi="Palatino Linotype" w:cs="Tahoma"/>
          <w:b/>
          <w:color w:val="auto"/>
          <w:sz w:val="22"/>
          <w:szCs w:val="22"/>
        </w:rPr>
        <w:t xml:space="preserve">I. </w:t>
      </w:r>
      <w:r w:rsidR="00681D84" w:rsidRPr="00BC23D7">
        <w:rPr>
          <w:rFonts w:ascii="Palatino Linotype" w:hAnsi="Palatino Linotype" w:cs="Tahoma"/>
          <w:b/>
          <w:color w:val="auto"/>
          <w:sz w:val="22"/>
          <w:szCs w:val="22"/>
        </w:rPr>
        <w:t>Respuesta del Sujeto Obligado</w:t>
      </w:r>
      <w:bookmarkEnd w:id="5"/>
    </w:p>
    <w:p w14:paraId="73D0CD8B" w14:textId="77777777" w:rsidR="00E0128F" w:rsidRPr="00BC23D7"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54F435F9" w:rsidR="009C323D" w:rsidRPr="00BC23D7"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BC23D7">
        <w:rPr>
          <w:rFonts w:ascii="Palatino Linotype" w:hAnsi="Palatino Linotype" w:cs="Tahoma"/>
          <w:sz w:val="22"/>
          <w:szCs w:val="22"/>
        </w:rPr>
        <w:t>El</w:t>
      </w:r>
      <w:r w:rsidR="00681D84" w:rsidRPr="00BC23D7">
        <w:rPr>
          <w:rFonts w:ascii="Palatino Linotype" w:hAnsi="Palatino Linotype" w:cs="Tahoma"/>
          <w:sz w:val="22"/>
          <w:szCs w:val="22"/>
        </w:rPr>
        <w:t xml:space="preserve"> </w:t>
      </w:r>
      <w:r w:rsidR="0048783B" w:rsidRPr="00BC23D7">
        <w:rPr>
          <w:rFonts w:ascii="Palatino Linotype" w:hAnsi="Palatino Linotype" w:cs="Tahoma"/>
          <w:sz w:val="22"/>
          <w:szCs w:val="22"/>
        </w:rPr>
        <w:t>cinco</w:t>
      </w:r>
      <w:r w:rsidR="00306E8D" w:rsidRPr="00BC23D7">
        <w:rPr>
          <w:rFonts w:ascii="Palatino Linotype" w:hAnsi="Palatino Linotype" w:cs="Tahoma"/>
          <w:sz w:val="22"/>
          <w:szCs w:val="22"/>
        </w:rPr>
        <w:t xml:space="preserve"> </w:t>
      </w:r>
      <w:r w:rsidR="00FA33D1" w:rsidRPr="00BC23D7">
        <w:rPr>
          <w:rFonts w:ascii="Palatino Linotype" w:hAnsi="Palatino Linotype" w:cs="Tahoma"/>
          <w:sz w:val="22"/>
          <w:szCs w:val="22"/>
        </w:rPr>
        <w:t xml:space="preserve">de </w:t>
      </w:r>
      <w:r w:rsidR="0048783B" w:rsidRPr="00BC23D7">
        <w:rPr>
          <w:rFonts w:ascii="Palatino Linotype" w:hAnsi="Palatino Linotype" w:cs="Tahoma"/>
          <w:sz w:val="22"/>
          <w:szCs w:val="22"/>
        </w:rPr>
        <w:t>agosto</w:t>
      </w:r>
      <w:r w:rsidR="00F86BFB" w:rsidRPr="00BC23D7">
        <w:rPr>
          <w:rFonts w:ascii="Palatino Linotype" w:hAnsi="Palatino Linotype" w:cs="Tahoma"/>
          <w:sz w:val="22"/>
          <w:szCs w:val="22"/>
        </w:rPr>
        <w:t xml:space="preserve"> </w:t>
      </w:r>
      <w:r w:rsidR="00B71F2C" w:rsidRPr="00BC23D7">
        <w:rPr>
          <w:rFonts w:ascii="Palatino Linotype" w:hAnsi="Palatino Linotype" w:cs="Tahoma"/>
          <w:sz w:val="22"/>
          <w:szCs w:val="22"/>
        </w:rPr>
        <w:t>de dos mil veinti</w:t>
      </w:r>
      <w:r w:rsidR="00F93A36" w:rsidRPr="00BC23D7">
        <w:rPr>
          <w:rFonts w:ascii="Palatino Linotype" w:hAnsi="Palatino Linotype" w:cs="Tahoma"/>
          <w:sz w:val="22"/>
          <w:szCs w:val="22"/>
        </w:rPr>
        <w:t>c</w:t>
      </w:r>
      <w:r w:rsidR="00CD10BF" w:rsidRPr="00BC23D7">
        <w:rPr>
          <w:rFonts w:ascii="Palatino Linotype" w:hAnsi="Palatino Linotype" w:cs="Tahoma"/>
          <w:sz w:val="22"/>
          <w:szCs w:val="22"/>
        </w:rPr>
        <w:t>inco</w:t>
      </w:r>
      <w:r w:rsidR="00681D84" w:rsidRPr="00BC23D7">
        <w:rPr>
          <w:rFonts w:ascii="Palatino Linotype" w:hAnsi="Palatino Linotype" w:cs="Tahoma"/>
          <w:sz w:val="22"/>
          <w:szCs w:val="22"/>
        </w:rPr>
        <w:t xml:space="preserve">, </w:t>
      </w:r>
      <w:r w:rsidR="00D74B06" w:rsidRPr="00BC23D7">
        <w:rPr>
          <w:rFonts w:ascii="Palatino Linotype" w:hAnsi="Palatino Linotype" w:cs="Tahoma"/>
          <w:sz w:val="22"/>
          <w:szCs w:val="22"/>
        </w:rPr>
        <w:t xml:space="preserve">el Sujeto Obligado </w:t>
      </w:r>
      <w:r w:rsidR="008453FA" w:rsidRPr="00BC23D7">
        <w:rPr>
          <w:rFonts w:ascii="Palatino Linotype" w:hAnsi="Palatino Linotype" w:cs="Tahoma"/>
          <w:sz w:val="22"/>
          <w:szCs w:val="22"/>
        </w:rPr>
        <w:t xml:space="preserve">otorgó respuesta a través del </w:t>
      </w:r>
      <w:r w:rsidRPr="00BC23D7">
        <w:rPr>
          <w:rFonts w:ascii="Palatino Linotype" w:hAnsi="Palatino Linotype" w:cs="Tahoma"/>
          <w:sz w:val="22"/>
          <w:szCs w:val="22"/>
        </w:rPr>
        <w:t>SAIMEX</w:t>
      </w:r>
      <w:r w:rsidR="008453FA" w:rsidRPr="00BC23D7">
        <w:rPr>
          <w:rFonts w:ascii="Palatino Linotype" w:hAnsi="Palatino Linotype" w:cs="Tahoma"/>
          <w:sz w:val="22"/>
          <w:szCs w:val="22"/>
        </w:rPr>
        <w:t xml:space="preserve"> en </w:t>
      </w:r>
      <w:r w:rsidR="009C323D" w:rsidRPr="00BC23D7">
        <w:rPr>
          <w:rFonts w:ascii="Palatino Linotype" w:hAnsi="Palatino Linotype" w:cs="Tahoma"/>
          <w:sz w:val="22"/>
          <w:szCs w:val="22"/>
        </w:rPr>
        <w:t>los siguientes términos:</w:t>
      </w:r>
    </w:p>
    <w:p w14:paraId="04142AB6" w14:textId="77777777" w:rsidR="00F86BFB" w:rsidRPr="00BC23D7"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BC23D7"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C23D7">
        <w:rPr>
          <w:rFonts w:ascii="Palatino Linotype" w:hAnsi="Palatino Linotype" w:cs="Tahoma"/>
          <w:i/>
          <w:szCs w:val="22"/>
        </w:rPr>
        <w:t>“…</w:t>
      </w:r>
      <w:r w:rsidR="00F25E23" w:rsidRPr="00BC23D7">
        <w:rPr>
          <w:rFonts w:ascii="Palatino Linotype" w:hAnsi="Palatino Linotype" w:cs="Tahoma"/>
          <w:i/>
          <w:szCs w:val="22"/>
        </w:rPr>
        <w:t xml:space="preserve"> </w:t>
      </w:r>
    </w:p>
    <w:p w14:paraId="6CB8F223" w14:textId="0AB57475" w:rsidR="007401D6" w:rsidRPr="00BC23D7" w:rsidRDefault="0048783B"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C23D7">
        <w:rPr>
          <w:rFonts w:ascii="Palatino Linotype" w:hAnsi="Palatino Linotype" w:cs="Tahoma"/>
          <w:i/>
          <w:szCs w:val="22"/>
        </w:rPr>
        <w:t>SE ADJUNTA RESPUESTA DE SERVIDOR PÚBLICO HABILITADO</w:t>
      </w:r>
      <w:r w:rsidR="00785311" w:rsidRPr="00BC23D7">
        <w:rPr>
          <w:rFonts w:ascii="Palatino Linotype" w:hAnsi="Palatino Linotype" w:cs="Tahoma"/>
          <w:i/>
          <w:szCs w:val="22"/>
        </w:rPr>
        <w:t>…”</w:t>
      </w:r>
    </w:p>
    <w:p w14:paraId="03CF6C0E" w14:textId="77777777" w:rsidR="0096397D" w:rsidRPr="00BC23D7" w:rsidRDefault="0096397D" w:rsidP="0096397D">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7CD58FD0" w14:textId="35E76442" w:rsidR="00CD1DDC" w:rsidRPr="00BC23D7" w:rsidRDefault="0096397D" w:rsidP="00CD1DDC">
      <w:pPr>
        <w:tabs>
          <w:tab w:val="left" w:pos="3122"/>
        </w:tabs>
        <w:spacing w:line="360" w:lineRule="auto"/>
        <w:contextualSpacing/>
        <w:jc w:val="both"/>
        <w:rPr>
          <w:rFonts w:ascii="Palatino Linotype" w:hAnsi="Palatino Linotype" w:cs="Tahoma"/>
          <w:sz w:val="22"/>
          <w:szCs w:val="22"/>
        </w:rPr>
      </w:pPr>
      <w:r w:rsidRPr="00BC23D7">
        <w:rPr>
          <w:rFonts w:ascii="Palatino Linotype" w:hAnsi="Palatino Linotype" w:cs="Tahoma"/>
          <w:sz w:val="22"/>
          <w:szCs w:val="22"/>
        </w:rPr>
        <w:t xml:space="preserve">A esta respuesta, </w:t>
      </w:r>
      <w:r w:rsidR="00F156B5" w:rsidRPr="00BC23D7">
        <w:rPr>
          <w:rFonts w:ascii="Palatino Linotype" w:hAnsi="Palatino Linotype" w:cs="Tahoma"/>
          <w:sz w:val="22"/>
          <w:szCs w:val="22"/>
        </w:rPr>
        <w:t xml:space="preserve">adjuntó el archivo de nombre </w:t>
      </w:r>
      <w:r w:rsidR="0048783B" w:rsidRPr="00BC23D7">
        <w:rPr>
          <w:rFonts w:ascii="Palatino Linotype" w:hAnsi="Palatino Linotype" w:cs="Tahoma"/>
          <w:b/>
          <w:bCs/>
          <w:sz w:val="22"/>
          <w:szCs w:val="22"/>
        </w:rPr>
        <w:t>DOP-01312-2025.pdf</w:t>
      </w:r>
      <w:r w:rsidR="009168A6" w:rsidRPr="00BC23D7">
        <w:rPr>
          <w:rFonts w:ascii="Palatino Linotype" w:hAnsi="Palatino Linotype" w:cs="Tahoma"/>
          <w:b/>
          <w:bCs/>
          <w:sz w:val="22"/>
          <w:szCs w:val="22"/>
        </w:rPr>
        <w:t xml:space="preserve">, </w:t>
      </w:r>
      <w:r w:rsidR="007F2DD0" w:rsidRPr="00BC23D7">
        <w:rPr>
          <w:rFonts w:ascii="Palatino Linotype" w:hAnsi="Palatino Linotype" w:cs="Tahoma"/>
          <w:sz w:val="22"/>
          <w:szCs w:val="22"/>
        </w:rPr>
        <w:t xml:space="preserve">que contiene oficio emitido por el Director de Obras Públicas, quien en lo central </w:t>
      </w:r>
      <w:r w:rsidR="00225617" w:rsidRPr="00BC23D7">
        <w:rPr>
          <w:rFonts w:ascii="Palatino Linotype" w:hAnsi="Palatino Linotype" w:cs="Tahoma"/>
          <w:sz w:val="22"/>
          <w:szCs w:val="22"/>
        </w:rPr>
        <w:t>refirió</w:t>
      </w:r>
      <w:r w:rsidR="007F2DD0" w:rsidRPr="00BC23D7">
        <w:rPr>
          <w:rFonts w:ascii="Palatino Linotype" w:hAnsi="Palatino Linotype" w:cs="Tahoma"/>
          <w:sz w:val="22"/>
          <w:szCs w:val="22"/>
        </w:rPr>
        <w:t xml:space="preserve"> que </w:t>
      </w:r>
      <w:r w:rsidR="000A77D3" w:rsidRPr="00BC23D7">
        <w:rPr>
          <w:rFonts w:ascii="Palatino Linotype" w:hAnsi="Palatino Linotype" w:cs="Tahoma"/>
          <w:sz w:val="22"/>
          <w:szCs w:val="22"/>
        </w:rPr>
        <w:t xml:space="preserve">la información solicitada </w:t>
      </w:r>
      <w:r w:rsidR="00225617" w:rsidRPr="00BC23D7">
        <w:rPr>
          <w:rFonts w:ascii="Palatino Linotype" w:hAnsi="Palatino Linotype" w:cs="Tahoma"/>
          <w:sz w:val="22"/>
          <w:szCs w:val="22"/>
        </w:rPr>
        <w:t>aún no</w:t>
      </w:r>
      <w:r w:rsidR="000A77D3" w:rsidRPr="00BC23D7">
        <w:rPr>
          <w:rFonts w:ascii="Palatino Linotype" w:hAnsi="Palatino Linotype" w:cs="Tahoma"/>
          <w:sz w:val="22"/>
          <w:szCs w:val="22"/>
        </w:rPr>
        <w:t xml:space="preserve"> puede ser pública debido a que se encuentra en procedimientos administrativos, en términos del artículo 140, fracción X de la </w:t>
      </w:r>
      <w:r w:rsidR="00225617" w:rsidRPr="00BC23D7">
        <w:rPr>
          <w:rFonts w:ascii="Palatino Linotype" w:hAnsi="Palatino Linotype" w:cs="Tahoma"/>
          <w:sz w:val="22"/>
          <w:szCs w:val="22"/>
        </w:rPr>
        <w:t>Ley de transparencia local.</w:t>
      </w:r>
    </w:p>
    <w:p w14:paraId="1C3A37B6" w14:textId="77777777" w:rsidR="00965E2D" w:rsidRPr="00BC23D7" w:rsidRDefault="00965E2D" w:rsidP="00CD1DDC">
      <w:pPr>
        <w:tabs>
          <w:tab w:val="left" w:pos="3122"/>
        </w:tabs>
        <w:spacing w:line="360" w:lineRule="auto"/>
        <w:contextualSpacing/>
        <w:jc w:val="both"/>
        <w:rPr>
          <w:rFonts w:ascii="Palatino Linotype" w:hAnsi="Palatino Linotype" w:cs="Tahoma"/>
          <w:sz w:val="22"/>
          <w:szCs w:val="22"/>
        </w:rPr>
      </w:pPr>
    </w:p>
    <w:p w14:paraId="0637CC34" w14:textId="7529F8F0" w:rsidR="001A412B" w:rsidRPr="00BC23D7" w:rsidRDefault="00225617" w:rsidP="00DA638D">
      <w:pPr>
        <w:pStyle w:val="Ttulo2"/>
        <w:spacing w:before="0"/>
        <w:rPr>
          <w:rFonts w:ascii="Palatino Linotype" w:hAnsi="Palatino Linotype" w:cs="Tahoma"/>
          <w:b/>
          <w:color w:val="auto"/>
          <w:sz w:val="22"/>
          <w:szCs w:val="22"/>
        </w:rPr>
      </w:pPr>
      <w:bookmarkStart w:id="6" w:name="_Toc210315186"/>
      <w:bookmarkEnd w:id="0"/>
      <w:r w:rsidRPr="00BC23D7">
        <w:rPr>
          <w:rFonts w:ascii="Palatino Linotype" w:hAnsi="Palatino Linotype" w:cs="Tahoma"/>
          <w:b/>
          <w:color w:val="auto"/>
          <w:sz w:val="22"/>
          <w:szCs w:val="22"/>
        </w:rPr>
        <w:t>IV</w:t>
      </w:r>
      <w:r w:rsidR="009A7587" w:rsidRPr="00BC23D7">
        <w:rPr>
          <w:rFonts w:ascii="Palatino Linotype" w:hAnsi="Palatino Linotype" w:cs="Tahoma"/>
          <w:b/>
          <w:color w:val="auto"/>
          <w:sz w:val="22"/>
          <w:szCs w:val="22"/>
        </w:rPr>
        <w:t>. Interposición del Recurso de Revisión</w:t>
      </w:r>
      <w:bookmarkEnd w:id="6"/>
    </w:p>
    <w:p w14:paraId="25A18BAF" w14:textId="77777777" w:rsidR="00F87649" w:rsidRPr="00BC23D7"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5330FC52" w:rsidR="009A7587" w:rsidRPr="00BC23D7" w:rsidRDefault="009A7587" w:rsidP="00DA638D">
      <w:pPr>
        <w:tabs>
          <w:tab w:val="left" w:pos="3122"/>
        </w:tabs>
        <w:spacing w:line="360" w:lineRule="auto"/>
        <w:contextualSpacing/>
        <w:jc w:val="both"/>
        <w:rPr>
          <w:rFonts w:ascii="Palatino Linotype" w:hAnsi="Palatino Linotype" w:cs="Tahoma"/>
          <w:sz w:val="22"/>
          <w:szCs w:val="22"/>
        </w:rPr>
      </w:pPr>
      <w:r w:rsidRPr="00BC23D7">
        <w:rPr>
          <w:rFonts w:ascii="Palatino Linotype" w:hAnsi="Palatino Linotype" w:cs="Tahoma"/>
          <w:sz w:val="22"/>
          <w:szCs w:val="22"/>
        </w:rPr>
        <w:lastRenderedPageBreak/>
        <w:t>Con fecha</w:t>
      </w:r>
      <w:r w:rsidR="00E13C8C" w:rsidRPr="00BC23D7">
        <w:rPr>
          <w:rFonts w:ascii="Palatino Linotype" w:hAnsi="Palatino Linotype" w:cs="Tahoma"/>
          <w:sz w:val="22"/>
          <w:szCs w:val="22"/>
        </w:rPr>
        <w:t xml:space="preserve"> </w:t>
      </w:r>
      <w:r w:rsidR="00225617" w:rsidRPr="00BC23D7">
        <w:rPr>
          <w:rFonts w:ascii="Palatino Linotype" w:hAnsi="Palatino Linotype" w:cs="Tahoma"/>
          <w:sz w:val="22"/>
          <w:szCs w:val="22"/>
        </w:rPr>
        <w:t>seis</w:t>
      </w:r>
      <w:r w:rsidR="00166805" w:rsidRPr="00BC23D7">
        <w:rPr>
          <w:rFonts w:ascii="Palatino Linotype" w:hAnsi="Palatino Linotype" w:cs="Tahoma"/>
          <w:sz w:val="22"/>
          <w:szCs w:val="22"/>
        </w:rPr>
        <w:t xml:space="preserve"> de </w:t>
      </w:r>
      <w:r w:rsidR="00225617" w:rsidRPr="00BC23D7">
        <w:rPr>
          <w:rFonts w:ascii="Palatino Linotype" w:hAnsi="Palatino Linotype" w:cs="Tahoma"/>
          <w:sz w:val="22"/>
          <w:szCs w:val="22"/>
        </w:rPr>
        <w:t>agosto</w:t>
      </w:r>
      <w:r w:rsidR="009C323D" w:rsidRPr="00BC23D7">
        <w:rPr>
          <w:rFonts w:ascii="Palatino Linotype" w:hAnsi="Palatino Linotype" w:cs="Tahoma"/>
          <w:sz w:val="22"/>
          <w:szCs w:val="22"/>
        </w:rPr>
        <w:t xml:space="preserve"> </w:t>
      </w:r>
      <w:r w:rsidR="00B267E1" w:rsidRPr="00BC23D7">
        <w:rPr>
          <w:rFonts w:ascii="Palatino Linotype" w:hAnsi="Palatino Linotype" w:cs="Tahoma"/>
          <w:sz w:val="22"/>
          <w:szCs w:val="22"/>
        </w:rPr>
        <w:t>de dos mil veinti</w:t>
      </w:r>
      <w:r w:rsidR="00F93A36" w:rsidRPr="00BC23D7">
        <w:rPr>
          <w:rFonts w:ascii="Palatino Linotype" w:hAnsi="Palatino Linotype" w:cs="Tahoma"/>
          <w:sz w:val="22"/>
          <w:szCs w:val="22"/>
        </w:rPr>
        <w:t>c</w:t>
      </w:r>
      <w:r w:rsidR="00BF4B55" w:rsidRPr="00BC23D7">
        <w:rPr>
          <w:rFonts w:ascii="Palatino Linotype" w:hAnsi="Palatino Linotype" w:cs="Tahoma"/>
          <w:sz w:val="22"/>
          <w:szCs w:val="22"/>
        </w:rPr>
        <w:t>inco</w:t>
      </w:r>
      <w:r w:rsidRPr="00BC23D7">
        <w:rPr>
          <w:rFonts w:ascii="Palatino Linotype" w:hAnsi="Palatino Linotype" w:cs="Tahoma"/>
          <w:sz w:val="22"/>
          <w:szCs w:val="22"/>
        </w:rPr>
        <w:t xml:space="preserve">, a través del </w:t>
      </w:r>
      <w:r w:rsidR="00BB1F81" w:rsidRPr="00BC23D7">
        <w:rPr>
          <w:rFonts w:ascii="Palatino Linotype" w:hAnsi="Palatino Linotype" w:cs="Tahoma"/>
          <w:sz w:val="22"/>
          <w:szCs w:val="22"/>
          <w:lang w:val="es-ES"/>
        </w:rPr>
        <w:t>SAIMEX</w:t>
      </w:r>
      <w:r w:rsidR="00A048C7" w:rsidRPr="00BC23D7">
        <w:rPr>
          <w:rFonts w:ascii="Palatino Linotype" w:hAnsi="Palatino Linotype" w:cs="Tahoma"/>
          <w:sz w:val="22"/>
          <w:szCs w:val="22"/>
        </w:rPr>
        <w:t>, se interpus</w:t>
      </w:r>
      <w:r w:rsidR="003C3E71" w:rsidRPr="00BC23D7">
        <w:rPr>
          <w:rFonts w:ascii="Palatino Linotype" w:hAnsi="Palatino Linotype" w:cs="Tahoma"/>
          <w:sz w:val="22"/>
          <w:szCs w:val="22"/>
        </w:rPr>
        <w:t>o</w:t>
      </w:r>
      <w:r w:rsidR="00A048C7" w:rsidRPr="00BC23D7">
        <w:rPr>
          <w:rFonts w:ascii="Palatino Linotype" w:hAnsi="Palatino Linotype" w:cs="Tahoma"/>
          <w:sz w:val="22"/>
          <w:szCs w:val="22"/>
        </w:rPr>
        <w:t xml:space="preserve"> </w:t>
      </w:r>
      <w:r w:rsidR="003C3E71" w:rsidRPr="00BC23D7">
        <w:rPr>
          <w:rFonts w:ascii="Palatino Linotype" w:hAnsi="Palatino Linotype" w:cs="Tahoma"/>
          <w:sz w:val="22"/>
          <w:szCs w:val="22"/>
        </w:rPr>
        <w:t>el</w:t>
      </w:r>
      <w:r w:rsidRPr="00BC23D7">
        <w:rPr>
          <w:rFonts w:ascii="Palatino Linotype" w:hAnsi="Palatino Linotype" w:cs="Tahoma"/>
          <w:sz w:val="22"/>
          <w:szCs w:val="22"/>
        </w:rPr>
        <w:t xml:space="preserve"> presente Recurso de Revisión por</w:t>
      </w:r>
      <w:r w:rsidR="008E6658" w:rsidRPr="00BC23D7">
        <w:rPr>
          <w:rFonts w:ascii="Palatino Linotype" w:hAnsi="Palatino Linotype" w:cs="Tahoma"/>
          <w:sz w:val="22"/>
          <w:szCs w:val="22"/>
        </w:rPr>
        <w:t xml:space="preserve"> </w:t>
      </w:r>
      <w:r w:rsidR="0035716C" w:rsidRPr="00BC23D7">
        <w:rPr>
          <w:rFonts w:ascii="Palatino Linotype" w:hAnsi="Palatino Linotype" w:cs="Tahoma"/>
          <w:sz w:val="22"/>
          <w:szCs w:val="22"/>
        </w:rPr>
        <w:t xml:space="preserve">el </w:t>
      </w:r>
      <w:r w:rsidRPr="00BC23D7">
        <w:rPr>
          <w:rFonts w:ascii="Palatino Linotype" w:hAnsi="Palatino Linotype" w:cs="Tahoma"/>
          <w:sz w:val="22"/>
          <w:szCs w:val="22"/>
        </w:rPr>
        <w:t xml:space="preserve">Recurrente, en contra de </w:t>
      </w:r>
      <w:r w:rsidR="00655265" w:rsidRPr="00BC23D7">
        <w:rPr>
          <w:rFonts w:ascii="Palatino Linotype" w:hAnsi="Palatino Linotype" w:cs="Tahoma"/>
          <w:sz w:val="22"/>
          <w:szCs w:val="22"/>
        </w:rPr>
        <w:t>la respuesta emitida</w:t>
      </w:r>
      <w:r w:rsidRPr="00BC23D7">
        <w:rPr>
          <w:rFonts w:ascii="Palatino Linotype" w:hAnsi="Palatino Linotype" w:cs="Tahoma"/>
          <w:sz w:val="22"/>
          <w:szCs w:val="22"/>
        </w:rPr>
        <w:t xml:space="preserve"> por el Sujeto Obligado a </w:t>
      </w:r>
      <w:r w:rsidR="00655265" w:rsidRPr="00BC23D7">
        <w:rPr>
          <w:rFonts w:ascii="Palatino Linotype" w:hAnsi="Palatino Linotype" w:cs="Tahoma"/>
          <w:sz w:val="22"/>
          <w:szCs w:val="22"/>
        </w:rPr>
        <w:t>la solicitud</w:t>
      </w:r>
      <w:r w:rsidRPr="00BC23D7">
        <w:rPr>
          <w:rFonts w:ascii="Palatino Linotype" w:hAnsi="Palatino Linotype" w:cs="Tahoma"/>
          <w:sz w:val="22"/>
          <w:szCs w:val="22"/>
        </w:rPr>
        <w:t xml:space="preserve"> de información, en los siguientes términos:</w:t>
      </w:r>
    </w:p>
    <w:p w14:paraId="44E7141C" w14:textId="77777777" w:rsidR="002233AD" w:rsidRPr="00BC23D7"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BC23D7" w:rsidRDefault="00306E8D" w:rsidP="00DA638D">
      <w:pPr>
        <w:spacing w:line="360" w:lineRule="auto"/>
        <w:ind w:left="567" w:right="539"/>
        <w:contextualSpacing/>
        <w:jc w:val="both"/>
        <w:rPr>
          <w:rFonts w:ascii="Palatino Linotype" w:hAnsi="Palatino Linotype" w:cs="Tahoma"/>
          <w:b/>
          <w:bCs/>
        </w:rPr>
      </w:pPr>
      <w:r w:rsidRPr="00BC23D7">
        <w:rPr>
          <w:rFonts w:ascii="Palatino Linotype" w:hAnsi="Palatino Linotype" w:cs="Tahoma"/>
          <w:b/>
          <w:bCs/>
        </w:rPr>
        <w:t>“</w:t>
      </w:r>
      <w:r w:rsidR="00D5699B" w:rsidRPr="00BC23D7">
        <w:rPr>
          <w:rFonts w:ascii="Palatino Linotype" w:hAnsi="Palatino Linotype" w:cs="Tahoma"/>
          <w:b/>
          <w:bCs/>
        </w:rPr>
        <w:t>ACTO IMPUGNADO</w:t>
      </w:r>
    </w:p>
    <w:p w14:paraId="15FA431F" w14:textId="06753222" w:rsidR="003D1770" w:rsidRPr="00BC23D7" w:rsidRDefault="009040F5" w:rsidP="00DA638D">
      <w:pPr>
        <w:spacing w:line="360" w:lineRule="auto"/>
        <w:ind w:left="567" w:right="539"/>
        <w:contextualSpacing/>
        <w:jc w:val="both"/>
        <w:rPr>
          <w:rFonts w:ascii="Palatino Linotype" w:hAnsi="Palatino Linotype" w:cs="Tahoma"/>
          <w:bCs/>
        </w:rPr>
      </w:pPr>
      <w:r w:rsidRPr="00BC23D7">
        <w:rPr>
          <w:rFonts w:ascii="Palatino Linotype" w:hAnsi="Palatino Linotype" w:cs="Tahoma"/>
          <w:bCs/>
          <w:i/>
        </w:rPr>
        <w:t>La respuesta emitida con la que pretenden justificar la negativa de dar la información solicitada</w:t>
      </w:r>
      <w:r w:rsidR="00306E8D" w:rsidRPr="00BC23D7">
        <w:rPr>
          <w:rFonts w:ascii="Palatino Linotype" w:hAnsi="Palatino Linotype" w:cs="Tahoma"/>
          <w:bCs/>
          <w:i/>
        </w:rPr>
        <w:t>”</w:t>
      </w:r>
      <w:r w:rsidR="007E3047" w:rsidRPr="00BC23D7">
        <w:rPr>
          <w:rFonts w:ascii="Palatino Linotype" w:hAnsi="Palatino Linotype" w:cs="Tahoma"/>
          <w:bCs/>
          <w:i/>
        </w:rPr>
        <w:t xml:space="preserve"> (Sic)</w:t>
      </w:r>
      <w:r w:rsidR="00D63A43" w:rsidRPr="00BC23D7">
        <w:rPr>
          <w:rFonts w:ascii="Palatino Linotype" w:hAnsi="Palatino Linotype" w:cs="Tahoma"/>
          <w:bCs/>
          <w:i/>
        </w:rPr>
        <w:t>.</w:t>
      </w:r>
    </w:p>
    <w:p w14:paraId="3CEDAC71" w14:textId="77777777" w:rsidR="00CE2F19" w:rsidRPr="00BC23D7" w:rsidRDefault="00CE2F19" w:rsidP="00DA638D">
      <w:pPr>
        <w:spacing w:line="360" w:lineRule="auto"/>
        <w:ind w:left="567" w:right="539"/>
        <w:contextualSpacing/>
        <w:jc w:val="both"/>
        <w:rPr>
          <w:rFonts w:ascii="Palatino Linotype" w:hAnsi="Palatino Linotype" w:cs="Tahoma"/>
          <w:bCs/>
        </w:rPr>
      </w:pPr>
    </w:p>
    <w:p w14:paraId="04FD3D07" w14:textId="77777777" w:rsidR="00CE2F19" w:rsidRPr="00BC23D7" w:rsidRDefault="00CE2F19" w:rsidP="00DA638D">
      <w:pPr>
        <w:spacing w:line="360" w:lineRule="auto"/>
        <w:ind w:left="567" w:right="539"/>
        <w:contextualSpacing/>
        <w:jc w:val="both"/>
        <w:rPr>
          <w:rFonts w:ascii="Palatino Linotype" w:hAnsi="Palatino Linotype" w:cs="Tahoma"/>
          <w:b/>
          <w:bCs/>
        </w:rPr>
      </w:pPr>
      <w:r w:rsidRPr="00BC23D7">
        <w:rPr>
          <w:rFonts w:ascii="Palatino Linotype" w:hAnsi="Palatino Linotype" w:cs="Tahoma"/>
          <w:b/>
          <w:bCs/>
        </w:rPr>
        <w:t>RAZONES O MOTIVOS DE LA INCONFORMIDAD</w:t>
      </w:r>
    </w:p>
    <w:p w14:paraId="767024D8" w14:textId="6BFD2789" w:rsidR="00306E8D" w:rsidRPr="00BC23D7" w:rsidRDefault="009040F5" w:rsidP="00DA638D">
      <w:pPr>
        <w:spacing w:line="360" w:lineRule="auto"/>
        <w:ind w:left="567" w:right="539"/>
        <w:contextualSpacing/>
        <w:jc w:val="both"/>
        <w:rPr>
          <w:rFonts w:ascii="Palatino Linotype" w:hAnsi="Palatino Linotype" w:cs="Tahoma"/>
          <w:b/>
          <w:bCs/>
        </w:rPr>
      </w:pPr>
      <w:r w:rsidRPr="00BC23D7">
        <w:rPr>
          <w:rFonts w:ascii="Palatino Linotype" w:hAnsi="Palatino Linotype" w:cs="Tahoma"/>
          <w:bCs/>
          <w:i/>
        </w:rPr>
        <w:t xml:space="preserve">Actualmente no encontramos en el octavo mes del año del ejercicio fiscal 2025, y es ilógico que se encuentren licitando obras, puesto que varias de estas ya se están ejecutando actualmente, luego entonces, primero ejecutan la obra y luego hacen los procedimientos administrativos para asignarlas, además, no justifican en </w:t>
      </w:r>
      <w:proofErr w:type="spellStart"/>
      <w:r w:rsidRPr="00BC23D7">
        <w:rPr>
          <w:rFonts w:ascii="Palatino Linotype" w:hAnsi="Palatino Linotype" w:cs="Tahoma"/>
          <w:bCs/>
          <w:i/>
        </w:rPr>
        <w:t>que</w:t>
      </w:r>
      <w:proofErr w:type="spellEnd"/>
      <w:r w:rsidRPr="00BC23D7">
        <w:rPr>
          <w:rFonts w:ascii="Palatino Linotype" w:hAnsi="Palatino Linotype" w:cs="Tahoma"/>
          <w:bCs/>
          <w:i/>
        </w:rPr>
        <w:t xml:space="preserve"> etapa de dichos procedimientos se encuentran como para que estén amparándose en que dichos expedientes se encuentran en trámite. No obstante su respuesta, podrían haber proporcionado las constancias en las que acrediten en cual etapa se encuentran. Otro punto importante es que el listado de obras si podían haberlo proporcionado y también lo negaron.</w:t>
      </w:r>
      <w:r w:rsidR="00306E8D" w:rsidRPr="00BC23D7">
        <w:rPr>
          <w:rFonts w:ascii="Palatino Linotype" w:hAnsi="Palatino Linotype"/>
          <w:color w:val="000000"/>
        </w:rPr>
        <w:t>” (Sic)</w:t>
      </w:r>
    </w:p>
    <w:p w14:paraId="5BC6895E" w14:textId="77777777" w:rsidR="00342378" w:rsidRPr="00BC23D7" w:rsidRDefault="00342378" w:rsidP="00DA638D">
      <w:pPr>
        <w:spacing w:line="360" w:lineRule="auto"/>
        <w:ind w:right="539"/>
        <w:contextualSpacing/>
        <w:jc w:val="both"/>
        <w:rPr>
          <w:rFonts w:ascii="Palatino Linotype" w:hAnsi="Palatino Linotype" w:cs="Tahoma"/>
          <w:bCs/>
          <w:i/>
          <w:szCs w:val="24"/>
        </w:rPr>
      </w:pPr>
      <w:bookmarkStart w:id="7" w:name="_Hlk181699048"/>
    </w:p>
    <w:p w14:paraId="6A90CEC3" w14:textId="5DBBFFB0" w:rsidR="009A7587" w:rsidRPr="00BC23D7" w:rsidRDefault="00306E8D" w:rsidP="00DA638D">
      <w:pPr>
        <w:pStyle w:val="Ttulo2"/>
        <w:spacing w:before="0"/>
        <w:rPr>
          <w:rFonts w:ascii="Palatino Linotype" w:eastAsia="Batang" w:hAnsi="Palatino Linotype" w:cs="Tahoma"/>
          <w:b/>
          <w:bCs/>
          <w:color w:val="auto"/>
          <w:sz w:val="22"/>
          <w:szCs w:val="22"/>
        </w:rPr>
      </w:pPr>
      <w:bookmarkStart w:id="8" w:name="_Toc210315187"/>
      <w:bookmarkEnd w:id="7"/>
      <w:r w:rsidRPr="00BC23D7">
        <w:rPr>
          <w:rStyle w:val="Ttulo2Car"/>
          <w:rFonts w:ascii="Palatino Linotype" w:hAnsi="Palatino Linotype"/>
          <w:b/>
          <w:color w:val="auto"/>
          <w:sz w:val="22"/>
          <w:szCs w:val="22"/>
        </w:rPr>
        <w:t>I</w:t>
      </w:r>
      <w:r w:rsidR="00FF1049" w:rsidRPr="00BC23D7">
        <w:rPr>
          <w:rStyle w:val="Ttulo2Car"/>
          <w:rFonts w:ascii="Palatino Linotype" w:hAnsi="Palatino Linotype"/>
          <w:b/>
          <w:color w:val="auto"/>
          <w:sz w:val="22"/>
          <w:szCs w:val="22"/>
        </w:rPr>
        <w:t>V</w:t>
      </w:r>
      <w:r w:rsidR="009A7587" w:rsidRPr="00BC23D7">
        <w:rPr>
          <w:rStyle w:val="Ttulo2Car"/>
          <w:rFonts w:ascii="Palatino Linotype" w:hAnsi="Palatino Linotype"/>
          <w:b/>
          <w:color w:val="auto"/>
          <w:sz w:val="22"/>
          <w:szCs w:val="22"/>
        </w:rPr>
        <w:t>. Trámite del Recurso de Revisión ante el Instituto</w:t>
      </w:r>
      <w:bookmarkEnd w:id="8"/>
    </w:p>
    <w:p w14:paraId="50590A19" w14:textId="77777777" w:rsidR="007E4927" w:rsidRPr="00BC23D7" w:rsidRDefault="007E4927" w:rsidP="00DA638D">
      <w:pPr>
        <w:spacing w:line="360" w:lineRule="auto"/>
        <w:contextualSpacing/>
        <w:jc w:val="both"/>
        <w:rPr>
          <w:rFonts w:ascii="Palatino Linotype" w:eastAsia="Batang" w:hAnsi="Palatino Linotype" w:cs="Tahoma"/>
          <w:b/>
          <w:bCs/>
          <w:sz w:val="22"/>
          <w:szCs w:val="22"/>
        </w:rPr>
      </w:pPr>
    </w:p>
    <w:p w14:paraId="02E53335" w14:textId="769D70C2" w:rsidR="00C950E3" w:rsidRPr="00BC23D7" w:rsidRDefault="009A7587" w:rsidP="00DA638D">
      <w:pPr>
        <w:spacing w:line="360" w:lineRule="auto"/>
        <w:contextualSpacing/>
        <w:jc w:val="both"/>
        <w:rPr>
          <w:rFonts w:ascii="Palatino Linotype" w:eastAsia="Batang" w:hAnsi="Palatino Linotype" w:cs="Tahoma"/>
          <w:bCs/>
          <w:sz w:val="22"/>
          <w:szCs w:val="22"/>
        </w:rPr>
      </w:pPr>
      <w:bookmarkStart w:id="9" w:name="_Toc210315188"/>
      <w:r w:rsidRPr="00BC23D7">
        <w:rPr>
          <w:rStyle w:val="Ttulo3Car"/>
          <w:rFonts w:ascii="Palatino Linotype" w:hAnsi="Palatino Linotype"/>
          <w:b/>
          <w:color w:val="auto"/>
          <w:sz w:val="22"/>
          <w:szCs w:val="22"/>
        </w:rPr>
        <w:t>a) Turno del Recurso de Revisión</w:t>
      </w:r>
      <w:r w:rsidRPr="00BC23D7">
        <w:rPr>
          <w:rStyle w:val="Ttulo3Car"/>
          <w:rFonts w:ascii="Palatino Linotype" w:hAnsi="Palatino Linotype"/>
          <w:color w:val="auto"/>
          <w:sz w:val="22"/>
          <w:szCs w:val="22"/>
        </w:rPr>
        <w:t>.</w:t>
      </w:r>
      <w:bookmarkEnd w:id="9"/>
      <w:r w:rsidRPr="00BC23D7">
        <w:rPr>
          <w:rFonts w:ascii="Palatino Linotype" w:eastAsia="Batang" w:hAnsi="Palatino Linotype" w:cs="Tahoma"/>
          <w:b/>
          <w:bCs/>
          <w:sz w:val="22"/>
          <w:szCs w:val="22"/>
        </w:rPr>
        <w:t xml:space="preserve"> </w:t>
      </w:r>
      <w:r w:rsidR="00A06844" w:rsidRPr="00BC23D7">
        <w:rPr>
          <w:rFonts w:ascii="Palatino Linotype" w:eastAsia="Batang" w:hAnsi="Palatino Linotype" w:cs="Tahoma"/>
          <w:bCs/>
          <w:sz w:val="22"/>
          <w:szCs w:val="22"/>
        </w:rPr>
        <w:t xml:space="preserve">El </w:t>
      </w:r>
      <w:r w:rsidR="005E69E7" w:rsidRPr="00BC23D7">
        <w:rPr>
          <w:rFonts w:ascii="Palatino Linotype" w:eastAsia="Batang" w:hAnsi="Palatino Linotype" w:cs="Tahoma"/>
          <w:bCs/>
          <w:sz w:val="22"/>
          <w:szCs w:val="22"/>
        </w:rPr>
        <w:t>once</w:t>
      </w:r>
      <w:r w:rsidR="00805163" w:rsidRPr="00BC23D7">
        <w:rPr>
          <w:rFonts w:ascii="Palatino Linotype" w:hAnsi="Palatino Linotype" w:cs="Tahoma"/>
          <w:sz w:val="22"/>
          <w:szCs w:val="22"/>
        </w:rPr>
        <w:t xml:space="preserve"> de </w:t>
      </w:r>
      <w:r w:rsidR="00967054" w:rsidRPr="00BC23D7">
        <w:rPr>
          <w:rFonts w:ascii="Palatino Linotype" w:hAnsi="Palatino Linotype" w:cs="Tahoma"/>
          <w:sz w:val="22"/>
          <w:szCs w:val="22"/>
        </w:rPr>
        <w:t>agosto</w:t>
      </w:r>
      <w:r w:rsidR="00805163" w:rsidRPr="00BC23D7">
        <w:rPr>
          <w:rFonts w:ascii="Palatino Linotype" w:hAnsi="Palatino Linotype" w:cs="Tahoma"/>
          <w:sz w:val="22"/>
          <w:szCs w:val="22"/>
        </w:rPr>
        <w:t xml:space="preserve"> </w:t>
      </w:r>
      <w:r w:rsidR="00BF4B55" w:rsidRPr="00BC23D7">
        <w:rPr>
          <w:rFonts w:ascii="Palatino Linotype" w:hAnsi="Palatino Linotype" w:cs="Tahoma"/>
          <w:sz w:val="22"/>
          <w:szCs w:val="22"/>
        </w:rPr>
        <w:t>de dos mil veinticinco</w:t>
      </w:r>
      <w:r w:rsidR="00A06844" w:rsidRPr="00BC23D7">
        <w:rPr>
          <w:rFonts w:ascii="Palatino Linotype" w:eastAsia="Batang" w:hAnsi="Palatino Linotype" w:cs="Tahoma"/>
          <w:bCs/>
          <w:sz w:val="22"/>
          <w:szCs w:val="22"/>
        </w:rPr>
        <w:t xml:space="preserve">, </w:t>
      </w:r>
      <w:r w:rsidR="00D5699B" w:rsidRPr="00BC23D7">
        <w:rPr>
          <w:rFonts w:ascii="Palatino Linotype" w:eastAsia="Batang" w:hAnsi="Palatino Linotype" w:cs="Tahoma"/>
          <w:bCs/>
          <w:sz w:val="22"/>
          <w:szCs w:val="22"/>
        </w:rPr>
        <w:t xml:space="preserve">el </w:t>
      </w:r>
      <w:r w:rsidR="00BB1F81" w:rsidRPr="00BC23D7">
        <w:rPr>
          <w:rFonts w:ascii="Palatino Linotype" w:eastAsia="Batang" w:hAnsi="Palatino Linotype" w:cs="Tahoma"/>
          <w:bCs/>
          <w:sz w:val="22"/>
          <w:szCs w:val="22"/>
        </w:rPr>
        <w:t>SAIMEX</w:t>
      </w:r>
      <w:r w:rsidR="00D5699B" w:rsidRPr="00BC23D7">
        <w:rPr>
          <w:rFonts w:ascii="Palatino Linotype" w:eastAsia="Batang" w:hAnsi="Palatino Linotype" w:cs="Tahoma"/>
          <w:bCs/>
          <w:sz w:val="22"/>
          <w:szCs w:val="22"/>
        </w:rPr>
        <w:t xml:space="preserve">, asignó el número de expediente </w:t>
      </w:r>
      <w:r w:rsidR="00D7681C" w:rsidRPr="00BC23D7">
        <w:rPr>
          <w:rFonts w:ascii="Palatino Linotype" w:eastAsia="Batang" w:hAnsi="Palatino Linotype" w:cs="Tahoma"/>
          <w:b/>
          <w:bCs/>
          <w:sz w:val="22"/>
          <w:szCs w:val="22"/>
        </w:rPr>
        <w:t>09271</w:t>
      </w:r>
      <w:r w:rsidR="00D97D2A" w:rsidRPr="00BC23D7">
        <w:rPr>
          <w:rFonts w:ascii="Palatino Linotype" w:eastAsia="Batang" w:hAnsi="Palatino Linotype" w:cs="Tahoma"/>
          <w:b/>
          <w:bCs/>
          <w:sz w:val="22"/>
          <w:szCs w:val="22"/>
        </w:rPr>
        <w:t>/INFOEM/IP/RR/2025</w:t>
      </w:r>
      <w:r w:rsidR="00D5699B" w:rsidRPr="00BC23D7">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BC23D7">
        <w:rPr>
          <w:rFonts w:ascii="Palatino Linotype" w:eastAsia="Batang" w:hAnsi="Palatino Linotype" w:cs="Tahoma"/>
          <w:b/>
          <w:bCs/>
          <w:sz w:val="22"/>
          <w:szCs w:val="22"/>
        </w:rPr>
        <w:t>Comisionado Ponente Luis Gustavo Parra Noriega</w:t>
      </w:r>
      <w:r w:rsidR="00D5699B" w:rsidRPr="00BC23D7">
        <w:rPr>
          <w:rFonts w:ascii="Palatino Linotype" w:eastAsia="Batang" w:hAnsi="Palatino Linotype" w:cs="Tahoma"/>
          <w:bCs/>
          <w:sz w:val="22"/>
          <w:szCs w:val="22"/>
        </w:rPr>
        <w:t>, para los efectos del artículo 185, fracción I</w:t>
      </w:r>
      <w:r w:rsidR="00BB1F81" w:rsidRPr="00BC23D7">
        <w:rPr>
          <w:rFonts w:ascii="Palatino Linotype" w:eastAsia="Batang" w:hAnsi="Palatino Linotype" w:cs="Tahoma"/>
          <w:bCs/>
          <w:sz w:val="22"/>
          <w:szCs w:val="22"/>
        </w:rPr>
        <w:t>,</w:t>
      </w:r>
      <w:r w:rsidR="00D5699B" w:rsidRPr="00BC23D7">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BC23D7" w:rsidRDefault="00D5699B" w:rsidP="00DA638D">
      <w:pPr>
        <w:spacing w:line="360" w:lineRule="auto"/>
        <w:contextualSpacing/>
        <w:jc w:val="both"/>
        <w:rPr>
          <w:rFonts w:ascii="Palatino Linotype" w:eastAsia="Batang" w:hAnsi="Palatino Linotype" w:cs="Tahoma"/>
          <w:b/>
          <w:bCs/>
          <w:sz w:val="22"/>
          <w:szCs w:val="22"/>
        </w:rPr>
      </w:pPr>
    </w:p>
    <w:p w14:paraId="0C0F7170" w14:textId="0DA94AAA" w:rsidR="00253937" w:rsidRPr="00BC23D7" w:rsidRDefault="009A7587" w:rsidP="00DA638D">
      <w:pPr>
        <w:spacing w:line="360" w:lineRule="auto"/>
        <w:contextualSpacing/>
        <w:jc w:val="both"/>
        <w:rPr>
          <w:rFonts w:ascii="Palatino Linotype" w:hAnsi="Palatino Linotype" w:cs="Tahoma"/>
          <w:bCs/>
          <w:sz w:val="22"/>
          <w:szCs w:val="22"/>
          <w:lang w:val="es-ES_tradnl"/>
        </w:rPr>
      </w:pPr>
      <w:bookmarkStart w:id="10" w:name="_Toc210315189"/>
      <w:r w:rsidRPr="00BC23D7">
        <w:rPr>
          <w:rStyle w:val="Ttulo3Car"/>
          <w:rFonts w:ascii="Palatino Linotype" w:hAnsi="Palatino Linotype"/>
          <w:b/>
          <w:color w:val="auto"/>
          <w:sz w:val="22"/>
          <w:szCs w:val="22"/>
        </w:rPr>
        <w:t>b) Admisión del Recurso de Revisión</w:t>
      </w:r>
      <w:r w:rsidRPr="00BC23D7">
        <w:rPr>
          <w:rStyle w:val="Ttulo3Car"/>
          <w:rFonts w:ascii="Palatino Linotype" w:hAnsi="Palatino Linotype"/>
          <w:color w:val="auto"/>
          <w:sz w:val="22"/>
          <w:szCs w:val="22"/>
        </w:rPr>
        <w:t>.</w:t>
      </w:r>
      <w:bookmarkEnd w:id="10"/>
      <w:r w:rsidRPr="00BC23D7">
        <w:rPr>
          <w:rFonts w:ascii="Palatino Linotype" w:eastAsia="Batang" w:hAnsi="Palatino Linotype" w:cs="Tahoma"/>
          <w:b/>
          <w:bCs/>
          <w:sz w:val="22"/>
          <w:szCs w:val="22"/>
          <w:lang w:val="es-ES_tradnl"/>
        </w:rPr>
        <w:t xml:space="preserve"> </w:t>
      </w:r>
      <w:r w:rsidRPr="00BC23D7">
        <w:rPr>
          <w:rFonts w:ascii="Palatino Linotype" w:hAnsi="Palatino Linotype" w:cs="Tahoma"/>
          <w:bCs/>
          <w:sz w:val="22"/>
          <w:szCs w:val="22"/>
        </w:rPr>
        <w:t>El</w:t>
      </w:r>
      <w:r w:rsidR="00EB3A2C" w:rsidRPr="00BC23D7">
        <w:rPr>
          <w:rFonts w:ascii="Palatino Linotype" w:hAnsi="Palatino Linotype" w:cs="Tahoma"/>
          <w:bCs/>
          <w:sz w:val="22"/>
          <w:szCs w:val="22"/>
        </w:rPr>
        <w:t xml:space="preserve"> </w:t>
      </w:r>
      <w:r w:rsidR="00967054" w:rsidRPr="00BC23D7">
        <w:rPr>
          <w:rFonts w:ascii="Palatino Linotype" w:hAnsi="Palatino Linotype" w:cs="Tahoma"/>
          <w:bCs/>
          <w:sz w:val="22"/>
          <w:szCs w:val="22"/>
        </w:rPr>
        <w:t>once</w:t>
      </w:r>
      <w:r w:rsidR="005A0452" w:rsidRPr="00BC23D7">
        <w:rPr>
          <w:rFonts w:ascii="Palatino Linotype" w:hAnsi="Palatino Linotype" w:cs="Tahoma"/>
          <w:bCs/>
          <w:sz w:val="22"/>
          <w:szCs w:val="22"/>
        </w:rPr>
        <w:t xml:space="preserve"> </w:t>
      </w:r>
      <w:r w:rsidR="00805163" w:rsidRPr="00BC23D7">
        <w:rPr>
          <w:rFonts w:ascii="Palatino Linotype" w:hAnsi="Palatino Linotype" w:cs="Tahoma"/>
          <w:bCs/>
          <w:sz w:val="22"/>
          <w:szCs w:val="22"/>
        </w:rPr>
        <w:t xml:space="preserve">de </w:t>
      </w:r>
      <w:r w:rsidR="00967054" w:rsidRPr="00BC23D7">
        <w:rPr>
          <w:rFonts w:ascii="Palatino Linotype" w:hAnsi="Palatino Linotype" w:cs="Tahoma"/>
          <w:bCs/>
          <w:sz w:val="22"/>
          <w:szCs w:val="22"/>
        </w:rPr>
        <w:t>agosto</w:t>
      </w:r>
      <w:r w:rsidR="00BF4B55" w:rsidRPr="00BC23D7">
        <w:rPr>
          <w:rFonts w:ascii="Palatino Linotype" w:hAnsi="Palatino Linotype" w:cs="Tahoma"/>
          <w:bCs/>
          <w:sz w:val="22"/>
          <w:szCs w:val="22"/>
        </w:rPr>
        <w:t xml:space="preserve"> de dos mil veinticinco</w:t>
      </w:r>
      <w:r w:rsidRPr="00BC23D7">
        <w:rPr>
          <w:rFonts w:ascii="Palatino Linotype" w:hAnsi="Palatino Linotype" w:cs="Tahoma"/>
          <w:bCs/>
          <w:sz w:val="22"/>
          <w:szCs w:val="22"/>
        </w:rPr>
        <w:t xml:space="preserve">, </w:t>
      </w:r>
      <w:r w:rsidR="001F787A" w:rsidRPr="00BC23D7">
        <w:rPr>
          <w:rFonts w:ascii="Palatino Linotype" w:hAnsi="Palatino Linotype" w:cs="Tahoma"/>
          <w:bCs/>
          <w:sz w:val="22"/>
          <w:szCs w:val="22"/>
        </w:rPr>
        <w:t xml:space="preserve">se acordó la admisión del </w:t>
      </w:r>
      <w:r w:rsidR="001F787A" w:rsidRPr="00BC23D7">
        <w:rPr>
          <w:rFonts w:ascii="Palatino Linotype" w:hAnsi="Palatino Linotype" w:cs="Tahoma"/>
          <w:bCs/>
          <w:sz w:val="22"/>
          <w:szCs w:val="22"/>
          <w:lang w:val="es-ES_tradnl"/>
        </w:rPr>
        <w:t xml:space="preserve">Recurso de Revisión interpuesto por el Recurrente en contra del </w:t>
      </w:r>
      <w:r w:rsidR="001F787A" w:rsidRPr="00BC23D7">
        <w:rPr>
          <w:rFonts w:ascii="Palatino Linotype" w:hAnsi="Palatino Linotype" w:cs="Tahoma"/>
          <w:b/>
          <w:bCs/>
          <w:sz w:val="22"/>
          <w:szCs w:val="22"/>
          <w:lang w:val="es-ES_tradnl"/>
        </w:rPr>
        <w:t xml:space="preserve">Sujeto </w:t>
      </w:r>
      <w:r w:rsidR="001F787A" w:rsidRPr="00BC23D7">
        <w:rPr>
          <w:rFonts w:ascii="Palatino Linotype" w:hAnsi="Palatino Linotype" w:cs="Tahoma"/>
          <w:b/>
          <w:bCs/>
          <w:sz w:val="22"/>
          <w:szCs w:val="22"/>
          <w:lang w:val="es-ES_tradnl"/>
        </w:rPr>
        <w:lastRenderedPageBreak/>
        <w:t>Obligado</w:t>
      </w:r>
      <w:r w:rsidR="001F787A" w:rsidRPr="00BC23D7">
        <w:rPr>
          <w:rFonts w:ascii="Palatino Linotype" w:hAnsi="Palatino Linotype" w:cs="Tahoma"/>
          <w:bCs/>
          <w:sz w:val="22"/>
          <w:szCs w:val="22"/>
          <w:lang w:val="es-ES_tradnl"/>
        </w:rPr>
        <w:t>, en términos del artículo 185, fracciones I, II y IV</w:t>
      </w:r>
      <w:r w:rsidR="00BB1F81" w:rsidRPr="00BC23D7">
        <w:rPr>
          <w:rFonts w:ascii="Palatino Linotype" w:hAnsi="Palatino Linotype" w:cs="Tahoma"/>
          <w:bCs/>
          <w:sz w:val="22"/>
          <w:szCs w:val="22"/>
          <w:lang w:val="es-ES_tradnl"/>
        </w:rPr>
        <w:t>,</w:t>
      </w:r>
      <w:r w:rsidR="001F787A" w:rsidRPr="00BC23D7">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BC23D7">
        <w:rPr>
          <w:rFonts w:ascii="Palatino Linotype" w:hAnsi="Palatino Linotype" w:cs="Tahoma"/>
          <w:bCs/>
          <w:sz w:val="22"/>
          <w:szCs w:val="22"/>
          <w:lang w:val="es-ES_tradnl"/>
        </w:rPr>
        <w:t>o a las partes el mismo día</w:t>
      </w:r>
      <w:r w:rsidR="001F787A" w:rsidRPr="00BC23D7">
        <w:rPr>
          <w:rFonts w:ascii="Palatino Linotype" w:hAnsi="Palatino Linotype" w:cs="Tahoma"/>
          <w:bCs/>
          <w:sz w:val="22"/>
          <w:szCs w:val="22"/>
          <w:lang w:val="es-ES_tradnl"/>
        </w:rPr>
        <w:t xml:space="preserve"> a través del </w:t>
      </w:r>
      <w:r w:rsidR="00BB1F81" w:rsidRPr="00BC23D7">
        <w:rPr>
          <w:rFonts w:ascii="Palatino Linotype" w:hAnsi="Palatino Linotype" w:cs="Tahoma"/>
          <w:bCs/>
          <w:sz w:val="22"/>
          <w:szCs w:val="22"/>
          <w:lang w:val="es-ES_tradnl"/>
        </w:rPr>
        <w:t>SAIMEX</w:t>
      </w:r>
      <w:r w:rsidR="001F787A" w:rsidRPr="00BC23D7">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BC23D7" w:rsidRDefault="00253937" w:rsidP="00DA638D">
      <w:pPr>
        <w:spacing w:line="360" w:lineRule="auto"/>
        <w:contextualSpacing/>
        <w:jc w:val="both"/>
        <w:rPr>
          <w:rFonts w:ascii="Palatino Linotype" w:hAnsi="Palatino Linotype" w:cs="Tahoma"/>
          <w:bCs/>
          <w:sz w:val="22"/>
          <w:szCs w:val="22"/>
          <w:lang w:val="es-ES_tradnl"/>
        </w:rPr>
      </w:pPr>
    </w:p>
    <w:p w14:paraId="046A2EAA" w14:textId="4949C4B2" w:rsidR="00166805" w:rsidRPr="00BC23D7" w:rsidRDefault="00007985" w:rsidP="00DA638D">
      <w:pPr>
        <w:spacing w:line="360" w:lineRule="auto"/>
        <w:jc w:val="both"/>
        <w:rPr>
          <w:rFonts w:ascii="Palatino Linotype" w:eastAsia="Batang" w:hAnsi="Palatino Linotype" w:cs="Tahoma"/>
          <w:bCs/>
          <w:sz w:val="22"/>
          <w:szCs w:val="22"/>
          <w:lang w:val="es-ES_tradnl"/>
        </w:rPr>
      </w:pPr>
      <w:bookmarkStart w:id="11" w:name="_Toc190261913"/>
      <w:bookmarkStart w:id="12" w:name="_Toc210315190"/>
      <w:r w:rsidRPr="00BC23D7">
        <w:rPr>
          <w:rStyle w:val="Ttulo3Car"/>
          <w:rFonts w:ascii="Palatino Linotype" w:hAnsi="Palatino Linotype"/>
          <w:b/>
          <w:color w:val="auto"/>
          <w:sz w:val="22"/>
          <w:szCs w:val="22"/>
        </w:rPr>
        <w:t>c) Informe Justificado.</w:t>
      </w:r>
      <w:bookmarkEnd w:id="11"/>
      <w:bookmarkEnd w:id="12"/>
      <w:r w:rsidRPr="00BC23D7">
        <w:rPr>
          <w:rFonts w:ascii="Palatino Linotype" w:eastAsia="Batang" w:hAnsi="Palatino Linotype" w:cs="Tahoma"/>
          <w:b/>
          <w:bCs/>
          <w:sz w:val="22"/>
          <w:szCs w:val="22"/>
          <w:lang w:val="es-ES_tradnl"/>
        </w:rPr>
        <w:t xml:space="preserve"> </w:t>
      </w:r>
      <w:r w:rsidR="00AB209A" w:rsidRPr="00BC23D7">
        <w:rPr>
          <w:rFonts w:ascii="Palatino Linotype" w:eastAsia="Batang" w:hAnsi="Palatino Linotype" w:cs="Tahoma"/>
          <w:bCs/>
          <w:sz w:val="22"/>
          <w:szCs w:val="22"/>
          <w:lang w:val="es-ES_tradnl"/>
        </w:rPr>
        <w:t>Transcurrido el plazo para emitir documento o remitir información, el Sujeto Obligado fue omiso en pronunciarse al respecto.</w:t>
      </w:r>
    </w:p>
    <w:p w14:paraId="09CE442B" w14:textId="77777777" w:rsidR="00612258" w:rsidRPr="00BC23D7" w:rsidRDefault="00612258" w:rsidP="00DA638D">
      <w:pPr>
        <w:spacing w:line="360" w:lineRule="auto"/>
        <w:jc w:val="both"/>
        <w:rPr>
          <w:rFonts w:ascii="Palatino Linotype" w:eastAsia="Batang" w:hAnsi="Palatino Linotype" w:cs="Tahoma"/>
          <w:bCs/>
          <w:sz w:val="22"/>
          <w:szCs w:val="22"/>
          <w:lang w:val="es-ES_tradnl"/>
        </w:rPr>
      </w:pPr>
    </w:p>
    <w:p w14:paraId="12E5CE41" w14:textId="3C834CE7" w:rsidR="00816235" w:rsidRPr="00BC23D7" w:rsidRDefault="00007985" w:rsidP="00816235">
      <w:pPr>
        <w:spacing w:line="360" w:lineRule="auto"/>
        <w:jc w:val="both"/>
        <w:rPr>
          <w:rFonts w:ascii="Palatino Linotype" w:hAnsi="Palatino Linotype" w:cs="Tahoma"/>
          <w:sz w:val="22"/>
          <w:szCs w:val="22"/>
        </w:rPr>
      </w:pPr>
      <w:bookmarkStart w:id="13" w:name="_Toc190261914"/>
      <w:bookmarkStart w:id="14" w:name="_Toc210315191"/>
      <w:r w:rsidRPr="00BC23D7">
        <w:rPr>
          <w:rStyle w:val="Ttulo3Car"/>
          <w:rFonts w:ascii="Palatino Linotype" w:hAnsi="Palatino Linotype"/>
          <w:b/>
          <w:color w:val="auto"/>
          <w:sz w:val="22"/>
        </w:rPr>
        <w:t xml:space="preserve">d). </w:t>
      </w:r>
      <w:r w:rsidR="00D97D2A" w:rsidRPr="00BC23D7">
        <w:rPr>
          <w:rStyle w:val="Ttulo3Car"/>
          <w:rFonts w:ascii="Palatino Linotype" w:hAnsi="Palatino Linotype"/>
          <w:b/>
          <w:color w:val="auto"/>
          <w:sz w:val="22"/>
        </w:rPr>
        <w:t>Manifestaciones</w:t>
      </w:r>
      <w:r w:rsidRPr="00BC23D7">
        <w:rPr>
          <w:rStyle w:val="Ttulo3Car"/>
          <w:rFonts w:ascii="Palatino Linotype" w:hAnsi="Palatino Linotype"/>
          <w:b/>
          <w:color w:val="auto"/>
          <w:sz w:val="22"/>
        </w:rPr>
        <w:t>.</w:t>
      </w:r>
      <w:bookmarkEnd w:id="13"/>
      <w:bookmarkEnd w:id="14"/>
      <w:r w:rsidRPr="00BC23D7">
        <w:rPr>
          <w:rFonts w:ascii="Palatino Linotype" w:hAnsi="Palatino Linotype" w:cs="Tahoma"/>
          <w:sz w:val="18"/>
          <w:szCs w:val="22"/>
        </w:rPr>
        <w:t xml:space="preserve"> </w:t>
      </w:r>
      <w:r w:rsidR="00816235" w:rsidRPr="00BC23D7">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7E1CABB2" w14:textId="77777777" w:rsidR="00816235" w:rsidRPr="00BC23D7" w:rsidRDefault="00816235" w:rsidP="00816235">
      <w:pPr>
        <w:spacing w:line="360" w:lineRule="auto"/>
        <w:jc w:val="both"/>
        <w:rPr>
          <w:rFonts w:ascii="Palatino Linotype" w:hAnsi="Palatino Linotype" w:cs="Tahoma"/>
          <w:sz w:val="18"/>
          <w:szCs w:val="22"/>
        </w:rPr>
      </w:pPr>
    </w:p>
    <w:p w14:paraId="7B480F15" w14:textId="59831FF1" w:rsidR="00ED5DF5" w:rsidRPr="00BC23D7" w:rsidRDefault="00AB209A" w:rsidP="00DA638D">
      <w:pPr>
        <w:spacing w:line="360" w:lineRule="auto"/>
        <w:jc w:val="both"/>
        <w:rPr>
          <w:rFonts w:ascii="Palatino Linotype" w:hAnsi="Palatino Linotype" w:cs="Tahoma"/>
          <w:sz w:val="22"/>
          <w:szCs w:val="22"/>
        </w:rPr>
      </w:pPr>
      <w:bookmarkStart w:id="15" w:name="_Toc210315192"/>
      <w:r w:rsidRPr="00BC23D7">
        <w:rPr>
          <w:rStyle w:val="Ttulo3Car"/>
          <w:rFonts w:ascii="Palatino Linotype" w:hAnsi="Palatino Linotype"/>
          <w:b/>
          <w:color w:val="auto"/>
          <w:sz w:val="22"/>
        </w:rPr>
        <w:t>e</w:t>
      </w:r>
      <w:r w:rsidR="003B0501" w:rsidRPr="00BC23D7">
        <w:rPr>
          <w:rStyle w:val="Ttulo3Car"/>
          <w:rFonts w:ascii="Palatino Linotype" w:hAnsi="Palatino Linotype"/>
          <w:b/>
          <w:color w:val="auto"/>
          <w:sz w:val="22"/>
        </w:rPr>
        <w:t>).</w:t>
      </w:r>
      <w:r w:rsidR="00C3485C" w:rsidRPr="00BC23D7">
        <w:rPr>
          <w:rStyle w:val="Ttulo3Car"/>
          <w:rFonts w:ascii="Palatino Linotype" w:hAnsi="Palatino Linotype"/>
          <w:b/>
          <w:color w:val="auto"/>
          <w:sz w:val="22"/>
        </w:rPr>
        <w:t xml:space="preserve"> </w:t>
      </w:r>
      <w:r w:rsidR="00ED5DF5" w:rsidRPr="00BC23D7">
        <w:rPr>
          <w:rStyle w:val="Ttulo3Car"/>
          <w:rFonts w:ascii="Palatino Linotype" w:hAnsi="Palatino Linotype"/>
          <w:b/>
          <w:color w:val="auto"/>
          <w:sz w:val="22"/>
        </w:rPr>
        <w:t>Cierre</w:t>
      </w:r>
      <w:r w:rsidR="00ED5DF5" w:rsidRPr="00BC23D7">
        <w:rPr>
          <w:rStyle w:val="Ttulo3Car"/>
          <w:rFonts w:ascii="Palatino Linotype" w:hAnsi="Palatino Linotype"/>
          <w:b/>
          <w:color w:val="auto"/>
          <w:sz w:val="22"/>
          <w:szCs w:val="22"/>
        </w:rPr>
        <w:t xml:space="preserve"> de instrucción</w:t>
      </w:r>
      <w:bookmarkEnd w:id="15"/>
      <w:r w:rsidR="00ED5DF5" w:rsidRPr="00BC23D7">
        <w:rPr>
          <w:rFonts w:ascii="Palatino Linotype" w:hAnsi="Palatino Linotype" w:cs="Tahoma"/>
          <w:b/>
          <w:bCs/>
          <w:sz w:val="22"/>
          <w:szCs w:val="22"/>
        </w:rPr>
        <w:t xml:space="preserve">. </w:t>
      </w:r>
      <w:r w:rsidR="00ED5DF5" w:rsidRPr="00BC23D7">
        <w:rPr>
          <w:rFonts w:ascii="Palatino Linotype" w:hAnsi="Palatino Linotype" w:cs="Tahoma"/>
          <w:sz w:val="22"/>
          <w:szCs w:val="22"/>
        </w:rPr>
        <w:t>El</w:t>
      </w:r>
      <w:r w:rsidR="000F437A" w:rsidRPr="00BC23D7">
        <w:rPr>
          <w:rFonts w:ascii="Palatino Linotype" w:hAnsi="Palatino Linotype" w:cs="Tahoma"/>
          <w:sz w:val="22"/>
          <w:szCs w:val="22"/>
        </w:rPr>
        <w:t xml:space="preserve"> </w:t>
      </w:r>
      <w:r w:rsidR="002F7A5E">
        <w:rPr>
          <w:rFonts w:ascii="Palatino Linotype" w:hAnsi="Palatino Linotype" w:cs="Tahoma"/>
          <w:sz w:val="22"/>
          <w:szCs w:val="22"/>
        </w:rPr>
        <w:t>primero</w:t>
      </w:r>
      <w:r w:rsidR="009F0F23" w:rsidRPr="00BC23D7">
        <w:rPr>
          <w:rFonts w:ascii="Palatino Linotype" w:hAnsi="Palatino Linotype" w:cs="Tahoma"/>
          <w:sz w:val="22"/>
          <w:szCs w:val="22"/>
        </w:rPr>
        <w:t xml:space="preserve"> de </w:t>
      </w:r>
      <w:r w:rsidR="002F7A5E">
        <w:rPr>
          <w:rFonts w:ascii="Palatino Linotype" w:hAnsi="Palatino Linotype" w:cs="Tahoma"/>
          <w:sz w:val="22"/>
          <w:szCs w:val="22"/>
        </w:rPr>
        <w:t>octubre</w:t>
      </w:r>
      <w:r w:rsidR="0011002C" w:rsidRPr="00BC23D7">
        <w:rPr>
          <w:rFonts w:ascii="Palatino Linotype" w:hAnsi="Palatino Linotype" w:cs="Tahoma"/>
          <w:sz w:val="22"/>
          <w:szCs w:val="22"/>
        </w:rPr>
        <w:t xml:space="preserve"> </w:t>
      </w:r>
      <w:r w:rsidR="00E95147" w:rsidRPr="00BC23D7">
        <w:rPr>
          <w:rFonts w:ascii="Palatino Linotype" w:hAnsi="Palatino Linotype" w:cs="Tahoma"/>
          <w:sz w:val="22"/>
          <w:szCs w:val="22"/>
        </w:rPr>
        <w:t>de dos mil veinti</w:t>
      </w:r>
      <w:r w:rsidR="00F93A36" w:rsidRPr="00BC23D7">
        <w:rPr>
          <w:rFonts w:ascii="Palatino Linotype" w:hAnsi="Palatino Linotype" w:cs="Tahoma"/>
          <w:sz w:val="22"/>
          <w:szCs w:val="22"/>
        </w:rPr>
        <w:t>c</w:t>
      </w:r>
      <w:r w:rsidR="009C323D" w:rsidRPr="00BC23D7">
        <w:rPr>
          <w:rFonts w:ascii="Palatino Linotype" w:hAnsi="Palatino Linotype" w:cs="Tahoma"/>
          <w:sz w:val="22"/>
          <w:szCs w:val="22"/>
        </w:rPr>
        <w:t>inco</w:t>
      </w:r>
      <w:r w:rsidR="00ED5DF5" w:rsidRPr="00BC23D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2F7A5E">
        <w:rPr>
          <w:rFonts w:ascii="Palatino Linotype" w:hAnsi="Palatino Linotype" w:cs="Tahoma"/>
          <w:sz w:val="22"/>
          <w:szCs w:val="22"/>
        </w:rPr>
        <w:t>el mismo día</w:t>
      </w:r>
      <w:r w:rsidR="00816235" w:rsidRPr="00BC23D7">
        <w:rPr>
          <w:rFonts w:ascii="Palatino Linotype" w:hAnsi="Palatino Linotype" w:cs="Tahoma"/>
          <w:sz w:val="22"/>
          <w:szCs w:val="22"/>
        </w:rPr>
        <w:t xml:space="preserve"> a través de SAIMEX.</w:t>
      </w:r>
    </w:p>
    <w:p w14:paraId="167783EE" w14:textId="77777777" w:rsidR="0079675C" w:rsidRPr="00BC23D7" w:rsidRDefault="0079675C" w:rsidP="00DA638D">
      <w:pPr>
        <w:spacing w:line="360" w:lineRule="auto"/>
        <w:jc w:val="both"/>
        <w:rPr>
          <w:rFonts w:ascii="Palatino Linotype" w:hAnsi="Palatino Linotype" w:cs="Tahoma"/>
          <w:sz w:val="22"/>
          <w:szCs w:val="22"/>
        </w:rPr>
      </w:pPr>
    </w:p>
    <w:p w14:paraId="020CF923" w14:textId="77777777" w:rsidR="004F2D88" w:rsidRPr="00BC23D7" w:rsidRDefault="004F2D88" w:rsidP="00DA638D">
      <w:pPr>
        <w:spacing w:line="360" w:lineRule="auto"/>
        <w:contextualSpacing/>
        <w:jc w:val="both"/>
        <w:rPr>
          <w:rFonts w:ascii="Palatino Linotype" w:hAnsi="Palatino Linotype" w:cs="Tahoma"/>
          <w:color w:val="000000"/>
          <w:sz w:val="22"/>
          <w:szCs w:val="22"/>
        </w:rPr>
      </w:pPr>
      <w:r w:rsidRPr="00BC23D7">
        <w:rPr>
          <w:rFonts w:ascii="Palatino Linotype" w:hAnsi="Palatino Linotype" w:cs="Tahoma"/>
          <w:color w:val="000000"/>
          <w:sz w:val="22"/>
          <w:szCs w:val="22"/>
        </w:rPr>
        <w:t xml:space="preserve">En </w:t>
      </w:r>
      <w:r w:rsidR="00367F82" w:rsidRPr="00BC23D7">
        <w:rPr>
          <w:rFonts w:ascii="Palatino Linotype" w:hAnsi="Palatino Linotype" w:cs="Tahoma"/>
          <w:color w:val="000000"/>
          <w:sz w:val="22"/>
          <w:szCs w:val="22"/>
        </w:rPr>
        <w:t>razón de que fue debidamente su</w:t>
      </w:r>
      <w:r w:rsidRPr="00BC23D7">
        <w:rPr>
          <w:rFonts w:ascii="Palatino Linotype" w:hAnsi="Palatino Linotype" w:cs="Tahoma"/>
          <w:color w:val="000000"/>
          <w:sz w:val="22"/>
          <w:szCs w:val="22"/>
        </w:rPr>
        <w:t xml:space="preserve">stanciado el expediente </w:t>
      </w:r>
      <w:r w:rsidR="00367F82" w:rsidRPr="00BC23D7">
        <w:rPr>
          <w:rFonts w:ascii="Palatino Linotype" w:hAnsi="Palatino Linotype" w:cs="Tahoma"/>
          <w:color w:val="000000"/>
          <w:sz w:val="22"/>
          <w:szCs w:val="22"/>
        </w:rPr>
        <w:t xml:space="preserve">electrónico </w:t>
      </w:r>
      <w:r w:rsidRPr="00BC23D7">
        <w:rPr>
          <w:rFonts w:ascii="Palatino Linotype" w:hAnsi="Palatino Linotype" w:cs="Tahoma"/>
          <w:color w:val="000000"/>
          <w:sz w:val="22"/>
          <w:szCs w:val="22"/>
        </w:rPr>
        <w:t>y no exist</w:t>
      </w:r>
      <w:r w:rsidR="00367F82" w:rsidRPr="00BC23D7">
        <w:rPr>
          <w:rFonts w:ascii="Palatino Linotype" w:hAnsi="Palatino Linotype" w:cs="Tahoma"/>
          <w:color w:val="000000"/>
          <w:sz w:val="22"/>
          <w:szCs w:val="22"/>
        </w:rPr>
        <w:t>e</w:t>
      </w:r>
      <w:r w:rsidRPr="00BC23D7">
        <w:rPr>
          <w:rFonts w:ascii="Palatino Linotype" w:hAnsi="Palatino Linotype" w:cs="Tahoma"/>
          <w:color w:val="000000"/>
          <w:sz w:val="22"/>
          <w:szCs w:val="22"/>
        </w:rPr>
        <w:t xml:space="preserve"> dilige</w:t>
      </w:r>
      <w:r w:rsidR="00367F82" w:rsidRPr="00BC23D7">
        <w:rPr>
          <w:rFonts w:ascii="Palatino Linotype" w:hAnsi="Palatino Linotype" w:cs="Tahoma"/>
          <w:color w:val="000000"/>
          <w:sz w:val="22"/>
          <w:szCs w:val="22"/>
        </w:rPr>
        <w:t xml:space="preserve">ncia pendiente de desahogo, se </w:t>
      </w:r>
      <w:r w:rsidRPr="00BC23D7">
        <w:rPr>
          <w:rFonts w:ascii="Palatino Linotype" w:hAnsi="Palatino Linotype" w:cs="Tahoma"/>
          <w:color w:val="000000"/>
          <w:sz w:val="22"/>
          <w:szCs w:val="22"/>
        </w:rPr>
        <w:t>emit</w:t>
      </w:r>
      <w:r w:rsidR="00367F82" w:rsidRPr="00BC23D7">
        <w:rPr>
          <w:rFonts w:ascii="Palatino Linotype" w:hAnsi="Palatino Linotype" w:cs="Tahoma"/>
          <w:color w:val="000000"/>
          <w:sz w:val="22"/>
          <w:szCs w:val="22"/>
        </w:rPr>
        <w:t>e</w:t>
      </w:r>
      <w:r w:rsidRPr="00BC23D7">
        <w:rPr>
          <w:rFonts w:ascii="Palatino Linotype" w:hAnsi="Palatino Linotype" w:cs="Tahoma"/>
          <w:color w:val="000000"/>
          <w:sz w:val="22"/>
          <w:szCs w:val="22"/>
        </w:rPr>
        <w:t xml:space="preserve"> la resolución que conforme a Derecho proceda, de acuerdo a l</w:t>
      </w:r>
      <w:r w:rsidR="009A620E" w:rsidRPr="00BC23D7">
        <w:rPr>
          <w:rFonts w:ascii="Palatino Linotype" w:hAnsi="Palatino Linotype" w:cs="Tahoma"/>
          <w:color w:val="000000"/>
          <w:sz w:val="22"/>
          <w:szCs w:val="22"/>
        </w:rPr>
        <w:t>o</w:t>
      </w:r>
      <w:r w:rsidRPr="00BC23D7">
        <w:rPr>
          <w:rFonts w:ascii="Palatino Linotype" w:hAnsi="Palatino Linotype" w:cs="Tahoma"/>
          <w:color w:val="000000"/>
          <w:sz w:val="22"/>
          <w:szCs w:val="22"/>
        </w:rPr>
        <w:t xml:space="preserve">s siguientes: </w:t>
      </w:r>
    </w:p>
    <w:p w14:paraId="46BE659E" w14:textId="77777777" w:rsidR="001C0C73" w:rsidRPr="00BC23D7"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BC23D7" w:rsidRDefault="00EA4E4A" w:rsidP="00DA638D">
      <w:pPr>
        <w:pStyle w:val="Ttulo1"/>
        <w:spacing w:before="0"/>
        <w:jc w:val="center"/>
        <w:rPr>
          <w:rFonts w:ascii="Palatino Linotype" w:hAnsi="Palatino Linotype"/>
          <w:b/>
          <w:color w:val="auto"/>
          <w:sz w:val="22"/>
          <w:szCs w:val="22"/>
        </w:rPr>
      </w:pPr>
      <w:bookmarkStart w:id="16" w:name="_Toc210315193"/>
      <w:r w:rsidRPr="00BC23D7">
        <w:rPr>
          <w:rFonts w:ascii="Palatino Linotype" w:hAnsi="Palatino Linotype"/>
          <w:b/>
          <w:color w:val="auto"/>
          <w:sz w:val="22"/>
          <w:szCs w:val="22"/>
        </w:rPr>
        <w:t>C O N S I D E R A N D O S</w:t>
      </w:r>
      <w:bookmarkEnd w:id="16"/>
    </w:p>
    <w:p w14:paraId="5A4B26A5" w14:textId="77777777" w:rsidR="00EA4E4A" w:rsidRPr="00BC23D7" w:rsidRDefault="00EA4E4A" w:rsidP="00DA638D">
      <w:pPr>
        <w:spacing w:line="360" w:lineRule="auto"/>
        <w:contextualSpacing/>
        <w:jc w:val="both"/>
        <w:rPr>
          <w:rFonts w:ascii="Palatino Linotype" w:hAnsi="Palatino Linotype" w:cs="Tahoma"/>
          <w:b/>
          <w:sz w:val="22"/>
          <w:szCs w:val="22"/>
        </w:rPr>
      </w:pPr>
    </w:p>
    <w:p w14:paraId="7D42ABDE" w14:textId="77777777" w:rsidR="00A311EC" w:rsidRPr="00BC23D7" w:rsidRDefault="00A311EC" w:rsidP="00A311EC">
      <w:pPr>
        <w:keepNext/>
        <w:keepLines/>
        <w:outlineLvl w:val="1"/>
        <w:rPr>
          <w:rFonts w:ascii="Palatino Linotype" w:eastAsia="Palatino Linotype" w:hAnsi="Palatino Linotype" w:cs="Palatino Linotype"/>
          <w:b/>
          <w:color w:val="000000" w:themeColor="text1"/>
          <w:sz w:val="22"/>
          <w:szCs w:val="36"/>
          <w:lang w:val="es-ES" w:eastAsia="es-MX"/>
        </w:rPr>
      </w:pPr>
      <w:bookmarkStart w:id="17" w:name="_Toc184777995"/>
      <w:bookmarkStart w:id="18" w:name="_Toc191561710"/>
      <w:bookmarkStart w:id="19" w:name="_Toc210315194"/>
      <w:r w:rsidRPr="00BC23D7">
        <w:rPr>
          <w:rFonts w:ascii="Palatino Linotype" w:eastAsia="Calibri" w:hAnsi="Palatino Linotype" w:cs="Palatino Linotype"/>
          <w:b/>
          <w:color w:val="000000" w:themeColor="text1"/>
          <w:sz w:val="22"/>
          <w:szCs w:val="36"/>
          <w:lang w:val="es-ES" w:eastAsia="es-MX"/>
        </w:rPr>
        <w:t xml:space="preserve">PRIMERO. </w:t>
      </w:r>
      <w:r w:rsidRPr="00BC23D7">
        <w:rPr>
          <w:rFonts w:ascii="Palatino Linotype" w:eastAsia="Palatino Linotype" w:hAnsi="Palatino Linotype" w:cs="Palatino Linotype"/>
          <w:b/>
          <w:color w:val="000000" w:themeColor="text1"/>
          <w:sz w:val="22"/>
          <w:szCs w:val="36"/>
          <w:lang w:val="es-ES" w:eastAsia="es-MX"/>
        </w:rPr>
        <w:t>Competencia</w:t>
      </w:r>
      <w:bookmarkEnd w:id="17"/>
      <w:bookmarkEnd w:id="18"/>
      <w:bookmarkEnd w:id="19"/>
    </w:p>
    <w:p w14:paraId="01C86E0C" w14:textId="77777777" w:rsidR="00A311EC" w:rsidRPr="00BC23D7" w:rsidRDefault="00A311EC" w:rsidP="00A311EC">
      <w:pPr>
        <w:autoSpaceDE w:val="0"/>
        <w:autoSpaceDN w:val="0"/>
        <w:adjustRightInd w:val="0"/>
        <w:spacing w:line="360" w:lineRule="auto"/>
        <w:jc w:val="both"/>
        <w:rPr>
          <w:rFonts w:ascii="Palatino Linotype" w:eastAsia="Palatino Linotype" w:hAnsi="Palatino Linotype" w:cs="Tahoma"/>
          <w:b/>
          <w:color w:val="000000" w:themeColor="text1"/>
          <w:sz w:val="22"/>
          <w:szCs w:val="24"/>
          <w:lang w:val="es-ES" w:eastAsia="es-MX"/>
        </w:rPr>
      </w:pPr>
    </w:p>
    <w:p w14:paraId="0132625C" w14:textId="28F1A3CB" w:rsidR="00A311EC" w:rsidRPr="00BC23D7" w:rsidRDefault="00A311EC" w:rsidP="00A311EC">
      <w:pPr>
        <w:spacing w:line="360" w:lineRule="auto"/>
        <w:jc w:val="both"/>
        <w:rPr>
          <w:rFonts w:ascii="Palatino Linotype" w:eastAsia="Palatino Linotype" w:hAnsi="Palatino Linotype" w:cs="Tahoma"/>
          <w:bCs/>
          <w:color w:val="000000" w:themeColor="text1"/>
          <w:sz w:val="22"/>
          <w:szCs w:val="22"/>
          <w:lang w:eastAsia="es-MX"/>
        </w:rPr>
      </w:pPr>
      <w:r w:rsidRPr="00BC23D7">
        <w:rPr>
          <w:rFonts w:ascii="Palatino Linotype" w:eastAsia="Palatino Linotype" w:hAnsi="Palatino Linotype" w:cs="Tahoma"/>
          <w:bCs/>
          <w:color w:val="000000" w:themeColor="text1"/>
          <w:sz w:val="22"/>
          <w:szCs w:val="22"/>
          <w:lang w:eastAsia="es-MX"/>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BE44E6" w:rsidRPr="00BC23D7">
        <w:rPr>
          <w:rFonts w:ascii="Palatino Linotype" w:eastAsia="Palatino Linotype" w:hAnsi="Palatino Linotype" w:cs="Tahoma"/>
          <w:bCs/>
          <w:color w:val="000000" w:themeColor="text1"/>
          <w:sz w:val="22"/>
          <w:szCs w:val="22"/>
          <w:lang w:eastAsia="es-MX"/>
        </w:rPr>
        <w:t>noveno, cuadragésimo y cuadragésimo primero</w:t>
      </w:r>
      <w:r w:rsidRPr="00BC23D7">
        <w:rPr>
          <w:rFonts w:ascii="Palatino Linotype" w:eastAsia="Palatino Linotype" w:hAnsi="Palatino Linotype" w:cs="Tahoma"/>
          <w:bCs/>
          <w:color w:val="000000" w:themeColor="text1"/>
          <w:sz w:val="22"/>
          <w:szCs w:val="22"/>
          <w:lang w:eastAsia="es-MX"/>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C23D7">
        <w:rPr>
          <w:rFonts w:ascii="Palatino Linotype" w:eastAsia="Palatino Linotype" w:hAnsi="Palatino Linotype" w:cs="Palatino Linotype"/>
          <w:bCs/>
          <w:color w:val="000000" w:themeColor="text1"/>
          <w:sz w:val="22"/>
          <w:szCs w:val="22"/>
          <w:lang w:eastAsia="es-MX"/>
        </w:rPr>
        <w:t xml:space="preserve"> 7°, </w:t>
      </w:r>
      <w:r w:rsidRPr="00BC23D7">
        <w:rPr>
          <w:rFonts w:ascii="Palatino Linotype" w:eastAsia="Palatino Linotype" w:hAnsi="Palatino Linotype" w:cs="Tahoma"/>
          <w:bCs/>
          <w:color w:val="000000" w:themeColor="text1"/>
          <w:sz w:val="22"/>
          <w:szCs w:val="22"/>
          <w:lang w:eastAsia="es-MX"/>
        </w:rPr>
        <w:t>9°, fracciones I y XXIII y 11 del Reglamento Interior del Instituto de Transparencia, Acceso a la Información Pública y Protección de Datos Personales del Estado de México y Municipios.</w:t>
      </w:r>
    </w:p>
    <w:p w14:paraId="04F4060C" w14:textId="77777777" w:rsidR="00A311EC" w:rsidRPr="00BC23D7" w:rsidRDefault="00A311EC" w:rsidP="00A311EC">
      <w:pPr>
        <w:spacing w:line="360" w:lineRule="auto"/>
        <w:jc w:val="both"/>
        <w:rPr>
          <w:rFonts w:ascii="Palatino Linotype" w:eastAsia="Palatino Linotype" w:hAnsi="Palatino Linotype" w:cs="Tahoma"/>
          <w:bCs/>
          <w:color w:val="000000" w:themeColor="text1"/>
          <w:sz w:val="22"/>
          <w:szCs w:val="22"/>
          <w:lang w:eastAsia="es-MX"/>
        </w:rPr>
      </w:pPr>
    </w:p>
    <w:p w14:paraId="20989B53" w14:textId="77777777" w:rsidR="00A311EC" w:rsidRPr="00BC23D7"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0" w:name="_Toc187931072"/>
      <w:bookmarkStart w:id="21" w:name="_Toc191561711"/>
      <w:bookmarkStart w:id="22" w:name="_Toc210315195"/>
      <w:r w:rsidRPr="00BC23D7">
        <w:rPr>
          <w:rFonts w:ascii="Palatino Linotype" w:eastAsia="Palatino Linotype" w:hAnsi="Palatino Linotype" w:cs="Palatino Linotype"/>
          <w:b/>
          <w:color w:val="000000" w:themeColor="text1"/>
          <w:sz w:val="22"/>
          <w:szCs w:val="36"/>
          <w:lang w:eastAsia="es-MX"/>
        </w:rPr>
        <w:t>SEGUNDO. Causales de improcedencia y sobreseimiento</w:t>
      </w:r>
      <w:bookmarkEnd w:id="20"/>
      <w:bookmarkEnd w:id="21"/>
      <w:bookmarkEnd w:id="22"/>
    </w:p>
    <w:p w14:paraId="198B82DF"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8286826"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De las constancias que forman parte del Recurso de Revisión que se analiza, se advierte que previo al estudio del fondo de la </w:t>
      </w:r>
      <w:proofErr w:type="spellStart"/>
      <w:r w:rsidRPr="00BC23D7">
        <w:rPr>
          <w:rFonts w:ascii="Palatino Linotype" w:eastAsia="Palatino Linotype" w:hAnsi="Palatino Linotype" w:cs="Palatino Linotype"/>
          <w:i/>
          <w:color w:val="000000" w:themeColor="text1"/>
          <w:sz w:val="22"/>
          <w:szCs w:val="22"/>
          <w:lang w:eastAsia="es-MX"/>
        </w:rPr>
        <w:t>litis</w:t>
      </w:r>
      <w:proofErr w:type="spellEnd"/>
      <w:r w:rsidRPr="00BC23D7">
        <w:rPr>
          <w:rFonts w:ascii="Palatino Linotype" w:eastAsia="Palatino Linotype" w:hAnsi="Palatino Linotype" w:cs="Palatino Linotype"/>
          <w:color w:val="000000" w:themeColor="text1"/>
          <w:sz w:val="22"/>
          <w:szCs w:val="22"/>
          <w:lang w:eastAsia="es-MX"/>
        </w:rPr>
        <w:t>, es necesario estudiar las causales de improcedencia y sobreseimiento que se adviertan, para determinar lo que en Derecho proceda.</w:t>
      </w:r>
    </w:p>
    <w:p w14:paraId="61304A0D"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495C32C" w14:textId="77777777" w:rsidR="00A311EC" w:rsidRPr="00BC23D7"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r w:rsidRPr="00BC23D7">
        <w:rPr>
          <w:rFonts w:ascii="Palatino Linotype" w:eastAsia="Palatino Linotype" w:hAnsi="Palatino Linotype" w:cs="Palatino Linotype"/>
          <w:b/>
          <w:color w:val="000000" w:themeColor="text1"/>
          <w:sz w:val="22"/>
          <w:szCs w:val="22"/>
          <w:lang w:eastAsia="es-MX"/>
        </w:rPr>
        <w:t>Causales de improcedencia</w:t>
      </w:r>
    </w:p>
    <w:p w14:paraId="506D186B"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44EABDF"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BC23D7">
        <w:rPr>
          <w:rFonts w:ascii="Palatino Linotype" w:eastAsia="Palatino Linotype" w:hAnsi="Palatino Linotype" w:cs="Palatino Linotype"/>
          <w:color w:val="000000" w:themeColor="text1"/>
          <w:sz w:val="22"/>
          <w:szCs w:val="22"/>
          <w:lang w:eastAsia="es-MX"/>
        </w:rPr>
        <w:t>./</w:t>
      </w:r>
      <w:proofErr w:type="gramEnd"/>
      <w:r w:rsidRPr="00BC23D7">
        <w:rPr>
          <w:rFonts w:ascii="Palatino Linotype" w:eastAsia="Palatino Linotype" w:hAnsi="Palatino Linotype" w:cs="Palatino Linotype"/>
          <w:color w:val="000000" w:themeColor="text1"/>
          <w:sz w:val="22"/>
          <w:szCs w:val="22"/>
          <w:lang w:eastAsia="es-MX"/>
        </w:rPr>
        <w:t>J. 163/2005</w:t>
      </w:r>
      <w:r w:rsidRPr="00BC23D7">
        <w:rPr>
          <w:rFonts w:ascii="Palatino Linotype" w:eastAsia="Palatino Linotype" w:hAnsi="Palatino Linotype" w:cs="Palatino Linotype"/>
          <w:b/>
          <w:color w:val="000000" w:themeColor="text1"/>
          <w:sz w:val="22"/>
          <w:szCs w:val="22"/>
          <w:lang w:eastAsia="es-MX"/>
        </w:rPr>
        <w:t xml:space="preserve"> </w:t>
      </w:r>
      <w:r w:rsidRPr="00BC23D7">
        <w:rPr>
          <w:rFonts w:ascii="Palatino Linotype" w:eastAsia="Palatino Linotype" w:hAnsi="Palatino Linotype" w:cs="Palatino Linotype"/>
          <w:color w:val="000000" w:themeColor="text1"/>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w:t>
      </w:r>
      <w:r w:rsidRPr="00BC23D7">
        <w:rPr>
          <w:rFonts w:ascii="Palatino Linotype" w:eastAsia="Palatino Linotype" w:hAnsi="Palatino Linotype" w:cs="Palatino Linotype"/>
          <w:color w:val="000000" w:themeColor="text1"/>
          <w:sz w:val="22"/>
          <w:szCs w:val="22"/>
          <w:lang w:eastAsia="es-MX"/>
        </w:rPr>
        <w:lastRenderedPageBreak/>
        <w:t xml:space="preserve">Acceso a la Información Pública del Estado de México y Municipios, dará lugar a que el presente Recurso de Revisión sea sobreseído. </w:t>
      </w:r>
    </w:p>
    <w:p w14:paraId="59244C2C"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08B1CBC"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En el presente caso, </w:t>
      </w:r>
      <w:r w:rsidRPr="00BC23D7">
        <w:rPr>
          <w:rFonts w:ascii="Palatino Linotype" w:eastAsia="Palatino Linotype" w:hAnsi="Palatino Linotype" w:cs="Palatino Linotype"/>
          <w:b/>
          <w:color w:val="000000" w:themeColor="text1"/>
          <w:sz w:val="22"/>
          <w:szCs w:val="22"/>
          <w:lang w:eastAsia="es-MX"/>
        </w:rPr>
        <w:t>no se actualiza ninguna de las causales de improcedencia</w:t>
      </w:r>
      <w:r w:rsidRPr="00BC23D7">
        <w:rPr>
          <w:rFonts w:ascii="Palatino Linotype" w:eastAsia="Palatino Linotype" w:hAnsi="Palatino Linotype" w:cs="Palatino Linotype"/>
          <w:color w:val="000000" w:themeColor="text1"/>
          <w:sz w:val="22"/>
          <w:szCs w:val="22"/>
          <w:lang w:eastAsia="es-MX"/>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3DA2F96" w14:textId="77777777" w:rsidR="00A311EC" w:rsidRPr="00BC23D7"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74607EC8" w14:textId="77777777" w:rsidR="00A311EC" w:rsidRPr="00BC23D7" w:rsidRDefault="00A311EC" w:rsidP="00A311EC">
      <w:pPr>
        <w:spacing w:line="360" w:lineRule="auto"/>
        <w:ind w:right="142"/>
        <w:jc w:val="both"/>
        <w:rPr>
          <w:rFonts w:ascii="Palatino Linotype" w:eastAsia="Palatino Linotype" w:hAnsi="Palatino Linotype" w:cs="Palatino Linotype"/>
          <w:b/>
          <w:color w:val="000000"/>
          <w:sz w:val="22"/>
          <w:szCs w:val="22"/>
          <w:lang w:eastAsia="es-MX"/>
        </w:rPr>
      </w:pPr>
      <w:r w:rsidRPr="00BC23D7">
        <w:rPr>
          <w:rFonts w:ascii="Palatino Linotype" w:eastAsia="Palatino Linotype" w:hAnsi="Palatino Linotype" w:cs="Palatino Linotype"/>
          <w:b/>
          <w:color w:val="000000"/>
          <w:sz w:val="22"/>
          <w:szCs w:val="22"/>
          <w:lang w:eastAsia="es-MX"/>
        </w:rPr>
        <w:t>Causales de sobreseimiento</w:t>
      </w:r>
    </w:p>
    <w:p w14:paraId="34ECB113"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751E776"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color w:val="0D0D0D"/>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BC23D7">
        <w:rPr>
          <w:rFonts w:ascii="Palatino Linotype" w:eastAsia="Palatino Linotype" w:hAnsi="Palatino Linotype" w:cs="Palatino Linotype"/>
          <w:b/>
          <w:color w:val="0D0D0D"/>
          <w:sz w:val="22"/>
          <w:szCs w:val="22"/>
          <w:lang w:eastAsia="es-MX"/>
        </w:rPr>
        <w:t xml:space="preserve"> </w:t>
      </w:r>
      <w:r w:rsidRPr="00BC23D7">
        <w:rPr>
          <w:rFonts w:ascii="Palatino Linotype" w:eastAsia="Palatino Linotype" w:hAnsi="Palatino Linotype" w:cs="Palatino Linotype"/>
          <w:color w:val="0D0D0D"/>
          <w:sz w:val="22"/>
          <w:szCs w:val="22"/>
          <w:lang w:eastAsia="es-MX"/>
        </w:rPr>
        <w:t>toda vez que no hay constancias en el expediente en que se actúa, de que la persona Recurrente se haya desistido, fallecido, que el Sujeto Obligado hubiese modificado o revocado el acto impugnado o bien,</w:t>
      </w:r>
      <w:r w:rsidRPr="00BC23D7">
        <w:rPr>
          <w:rFonts w:ascii="Palatino Linotype" w:eastAsia="Palatino Linotype" w:hAnsi="Palatino Linotype" w:cs="Palatino Linotype"/>
          <w:color w:val="000000" w:themeColor="text1"/>
          <w:sz w:val="22"/>
          <w:szCs w:val="22"/>
          <w:lang w:eastAsia="es-MX"/>
        </w:rPr>
        <w:t xml:space="preserve"> </w:t>
      </w:r>
      <w:r w:rsidRPr="00BC23D7">
        <w:rPr>
          <w:rFonts w:ascii="Palatino Linotype" w:eastAsia="Palatino Linotype" w:hAnsi="Palatino Linotype" w:cs="Palatino Linotype"/>
          <w:color w:val="0D0D0D"/>
          <w:sz w:val="22"/>
          <w:szCs w:val="22"/>
          <w:lang w:eastAsia="es-MX"/>
        </w:rPr>
        <w:t>que admitido una vez admitido el Recurso de Revisión, aparezca alguna causal de improcedencia o haya quedado sin materia.</w:t>
      </w:r>
    </w:p>
    <w:p w14:paraId="1C299799" w14:textId="77777777" w:rsidR="00A311EC" w:rsidRPr="00BC23D7" w:rsidRDefault="00A311EC" w:rsidP="00A311EC">
      <w:pPr>
        <w:spacing w:line="360" w:lineRule="auto"/>
        <w:jc w:val="both"/>
        <w:rPr>
          <w:rFonts w:ascii="Palatino Linotype" w:eastAsia="Palatino Linotype" w:hAnsi="Palatino Linotype" w:cs="Tahoma"/>
          <w:b/>
          <w:bCs/>
          <w:color w:val="000000" w:themeColor="text1"/>
          <w:sz w:val="22"/>
          <w:szCs w:val="22"/>
          <w:lang w:eastAsia="es-MX"/>
        </w:rPr>
      </w:pPr>
    </w:p>
    <w:p w14:paraId="02A99AA2" w14:textId="77777777" w:rsidR="00A311EC" w:rsidRPr="00BC23D7"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3" w:name="_Toc187931073"/>
      <w:bookmarkStart w:id="24" w:name="_Toc191561712"/>
      <w:bookmarkStart w:id="25" w:name="_Toc210315196"/>
      <w:r w:rsidRPr="00BC23D7">
        <w:rPr>
          <w:rFonts w:ascii="Palatino Linotype" w:eastAsia="Palatino Linotype" w:hAnsi="Palatino Linotype" w:cs="Palatino Linotype"/>
          <w:b/>
          <w:color w:val="000000" w:themeColor="text1"/>
          <w:sz w:val="22"/>
          <w:szCs w:val="36"/>
          <w:lang w:eastAsia="es-MX"/>
        </w:rPr>
        <w:t>TERCERO. Determinación de la Controversia</w:t>
      </w:r>
      <w:bookmarkEnd w:id="23"/>
      <w:bookmarkEnd w:id="24"/>
      <w:bookmarkEnd w:id="25"/>
    </w:p>
    <w:p w14:paraId="3F9DE85B" w14:textId="77777777" w:rsidR="00A311EC" w:rsidRPr="00BC23D7"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60D4901" w14:textId="2707C98B" w:rsidR="00A311EC" w:rsidRPr="00BC23D7"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La persona Solicitante requirió </w:t>
      </w:r>
      <w:r w:rsidR="00C447DB" w:rsidRPr="00BC23D7">
        <w:rPr>
          <w:rFonts w:ascii="Palatino Linotype" w:eastAsia="Palatino Linotype" w:hAnsi="Palatino Linotype" w:cs="Palatino Linotype"/>
          <w:color w:val="000000" w:themeColor="text1"/>
          <w:sz w:val="22"/>
          <w:szCs w:val="22"/>
          <w:lang w:eastAsia="es-MX"/>
        </w:rPr>
        <w:t>el listado</w:t>
      </w:r>
      <w:r w:rsidRPr="00BC23D7">
        <w:rPr>
          <w:rFonts w:ascii="Palatino Linotype" w:eastAsia="Palatino Linotype" w:hAnsi="Palatino Linotype" w:cs="Palatino Linotype"/>
          <w:color w:val="000000" w:themeColor="text1"/>
          <w:sz w:val="22"/>
          <w:szCs w:val="22"/>
          <w:lang w:eastAsia="es-MX"/>
        </w:rPr>
        <w:t xml:space="preserve"> de todas las obras que se realizan en el 2025</w:t>
      </w:r>
      <w:r w:rsidR="00576DBF" w:rsidRPr="00BC23D7">
        <w:rPr>
          <w:rFonts w:ascii="Palatino Linotype" w:eastAsia="Palatino Linotype" w:hAnsi="Palatino Linotype" w:cs="Palatino Linotype"/>
          <w:color w:val="000000" w:themeColor="text1"/>
          <w:sz w:val="22"/>
          <w:szCs w:val="22"/>
          <w:lang w:eastAsia="es-MX"/>
        </w:rPr>
        <w:t xml:space="preserve"> y cada</w:t>
      </w:r>
      <w:r w:rsidRPr="00BC23D7">
        <w:rPr>
          <w:rFonts w:ascii="Palatino Linotype" w:eastAsia="Palatino Linotype" w:hAnsi="Palatino Linotype" w:cs="Palatino Linotype"/>
          <w:color w:val="000000" w:themeColor="text1"/>
          <w:sz w:val="22"/>
          <w:szCs w:val="22"/>
          <w:lang w:eastAsia="es-MX"/>
        </w:rPr>
        <w:t xml:space="preserve"> una de las facturas pagadas por todas y cada una de esas obras</w:t>
      </w:r>
      <w:r w:rsidR="00576DBF" w:rsidRPr="00BC23D7">
        <w:rPr>
          <w:rFonts w:ascii="Palatino Linotype" w:eastAsia="Palatino Linotype" w:hAnsi="Palatino Linotype" w:cs="Palatino Linotype"/>
          <w:color w:val="000000" w:themeColor="text1"/>
          <w:sz w:val="22"/>
          <w:szCs w:val="22"/>
          <w:lang w:eastAsia="es-MX"/>
        </w:rPr>
        <w:t>.</w:t>
      </w:r>
    </w:p>
    <w:p w14:paraId="026549A1" w14:textId="77777777" w:rsidR="00A311EC" w:rsidRPr="00BC23D7"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8C0B390" w14:textId="2CC8A736" w:rsidR="00A311EC" w:rsidRPr="00BC23D7" w:rsidRDefault="00576DBF"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lastRenderedPageBreak/>
        <w:t xml:space="preserve">En respuesta el Director de Obras Públicas en lo </w:t>
      </w:r>
      <w:r w:rsidRPr="00BC23D7">
        <w:rPr>
          <w:rFonts w:ascii="Palatino Linotype" w:hAnsi="Palatino Linotype" w:cs="Tahoma"/>
          <w:sz w:val="22"/>
          <w:szCs w:val="22"/>
        </w:rPr>
        <w:t xml:space="preserve">central refirió que la información solicitada aún no puede ser pública debido a que se encuentra en procedimientos administrativos, en términos del artículo 140, fracción X de la Ley de transparencia local, lo que generó inconformidad en el Particular, </w:t>
      </w:r>
      <w:r w:rsidR="00F44A6D" w:rsidRPr="00BC23D7">
        <w:rPr>
          <w:rFonts w:ascii="Palatino Linotype" w:hAnsi="Palatino Linotype" w:cs="Tahoma"/>
          <w:sz w:val="22"/>
          <w:szCs w:val="22"/>
        </w:rPr>
        <w:t xml:space="preserve">quien se inconformó de la negativa a entregar la respuesta, </w:t>
      </w:r>
      <w:r w:rsidR="00A311EC" w:rsidRPr="00BC23D7">
        <w:rPr>
          <w:rFonts w:ascii="Palatino Linotype" w:eastAsia="Palatino Linotype" w:hAnsi="Palatino Linotype" w:cs="Palatino Linotype"/>
          <w:color w:val="000000" w:themeColor="text1"/>
          <w:sz w:val="22"/>
          <w:szCs w:val="22"/>
          <w:lang w:eastAsia="es-MX"/>
        </w:rPr>
        <w:t xml:space="preserve">por lo que se actualiza la causal de procedencia contemplada en el artículo 179, fracción </w:t>
      </w:r>
      <w:r w:rsidR="00F44A6D" w:rsidRPr="00BC23D7">
        <w:rPr>
          <w:rFonts w:ascii="Palatino Linotype" w:eastAsia="Palatino Linotype" w:hAnsi="Palatino Linotype" w:cs="Palatino Linotype"/>
          <w:color w:val="000000" w:themeColor="text1"/>
          <w:sz w:val="22"/>
          <w:szCs w:val="22"/>
          <w:lang w:eastAsia="es-MX"/>
        </w:rPr>
        <w:t>I</w:t>
      </w:r>
      <w:r w:rsidR="00A311EC" w:rsidRPr="00BC23D7">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A311EC" w:rsidRPr="00BC23D7">
        <w:rPr>
          <w:rFonts w:ascii="Palatino Linotype" w:eastAsia="Palatino Linotype" w:hAnsi="Palatino Linotype" w:cs="Palatino Linotype"/>
          <w:b/>
          <w:bCs/>
          <w:color w:val="000000" w:themeColor="text1"/>
          <w:sz w:val="22"/>
          <w:szCs w:val="22"/>
          <w:lang w:eastAsia="es-MX"/>
        </w:rPr>
        <w:t xml:space="preserve">– </w:t>
      </w:r>
      <w:r w:rsidR="009A6EA2" w:rsidRPr="00BC23D7">
        <w:rPr>
          <w:rFonts w:ascii="Palatino Linotype" w:eastAsia="Palatino Linotype" w:hAnsi="Palatino Linotype" w:cs="Palatino Linotype"/>
          <w:b/>
          <w:bCs/>
          <w:color w:val="000000" w:themeColor="text1"/>
          <w:sz w:val="22"/>
          <w:szCs w:val="22"/>
          <w:lang w:eastAsia="es-MX"/>
        </w:rPr>
        <w:t>la negativa a la información proporcionada</w:t>
      </w:r>
      <w:r w:rsidR="00A311EC" w:rsidRPr="00BC23D7">
        <w:rPr>
          <w:rFonts w:ascii="Palatino Linotype" w:eastAsia="Palatino Linotype" w:hAnsi="Palatino Linotype" w:cs="Palatino Linotype"/>
          <w:b/>
          <w:bCs/>
          <w:color w:val="000000" w:themeColor="text1"/>
          <w:sz w:val="22"/>
          <w:szCs w:val="22"/>
          <w:lang w:eastAsia="es-MX"/>
        </w:rPr>
        <w:t>-.</w:t>
      </w:r>
    </w:p>
    <w:p w14:paraId="43B58FAD"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755BD0F" w14:textId="77777777" w:rsidR="00A311EC" w:rsidRPr="00BC23D7" w:rsidRDefault="00A311EC" w:rsidP="001C6F3F">
      <w:pPr>
        <w:keepNext/>
        <w:keepLines/>
        <w:jc w:val="both"/>
        <w:outlineLvl w:val="1"/>
        <w:rPr>
          <w:rFonts w:ascii="Palatino Linotype" w:eastAsia="Palatino Linotype" w:hAnsi="Palatino Linotype" w:cs="Palatino Linotype"/>
          <w:b/>
          <w:color w:val="000000" w:themeColor="text1"/>
          <w:sz w:val="22"/>
          <w:szCs w:val="36"/>
          <w:lang w:eastAsia="es-MX"/>
        </w:rPr>
      </w:pPr>
      <w:bookmarkStart w:id="26" w:name="_Toc187931074"/>
      <w:bookmarkStart w:id="27" w:name="_Toc191561713"/>
      <w:bookmarkStart w:id="28" w:name="_Toc210315197"/>
      <w:r w:rsidRPr="00BC23D7">
        <w:rPr>
          <w:rFonts w:ascii="Palatino Linotype" w:eastAsia="Palatino Linotype" w:hAnsi="Palatino Linotype" w:cs="Palatino Linotype"/>
          <w:b/>
          <w:color w:val="000000" w:themeColor="text1"/>
          <w:sz w:val="22"/>
          <w:szCs w:val="36"/>
          <w:lang w:eastAsia="es-MX"/>
        </w:rPr>
        <w:t>CUARTO. Marco normativo aplicable en materia de transparencia y acceso a la información pública</w:t>
      </w:r>
      <w:bookmarkEnd w:id="26"/>
      <w:bookmarkEnd w:id="27"/>
      <w:bookmarkEnd w:id="28"/>
    </w:p>
    <w:p w14:paraId="1F42C0CB"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EEAE524" w14:textId="7095C5DC"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color w:val="000000"/>
          <w:sz w:val="22"/>
          <w:szCs w:val="22"/>
          <w:lang w:eastAsia="es-MX"/>
        </w:rPr>
        <w:t xml:space="preserve">El artículo 6°, Apartado A), fracción I de la Constitución Política de los Estados Unidos Mexicanos, establece que toda la información en posesión de cualquier </w:t>
      </w:r>
      <w:r w:rsidR="009A6EA2" w:rsidRPr="00BC23D7">
        <w:rPr>
          <w:rFonts w:ascii="Palatino Linotype" w:eastAsia="Palatino Linotype" w:hAnsi="Palatino Linotype" w:cs="Palatino Linotype"/>
          <w:color w:val="000000"/>
          <w:sz w:val="22"/>
          <w:szCs w:val="22"/>
          <w:lang w:eastAsia="es-MX"/>
        </w:rPr>
        <w:t>autoridad</w:t>
      </w:r>
      <w:r w:rsidRPr="00BC23D7">
        <w:rPr>
          <w:rFonts w:ascii="Palatino Linotype" w:eastAsia="Palatino Linotype" w:hAnsi="Palatino Linotype" w:cs="Palatino Linotype"/>
          <w:color w:val="000000"/>
          <w:sz w:val="22"/>
          <w:szCs w:val="22"/>
          <w:lang w:eastAsia="es-MX"/>
        </w:rPr>
        <w:t xml:space="preserve"> es pública y sólo podrá ser reservada temporalmente por razones de interés público.</w:t>
      </w:r>
    </w:p>
    <w:p w14:paraId="74657529"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34C92FD"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color w:val="000000"/>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AFDFBB"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0526F176"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color w:val="000000"/>
          <w:sz w:val="22"/>
          <w:szCs w:val="22"/>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09FE41"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46BDAE8"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color w:val="000000"/>
          <w:sz w:val="22"/>
          <w:szCs w:val="22"/>
          <w:lang w:eastAsia="es-MX"/>
        </w:rPr>
        <w:lastRenderedPageBreak/>
        <w:t>Por su parte, la Ley de Transparencia y Acceso a la Información Pública del Estado de México y Municipios (Reglamentaria del artículo 5° de la Constitución Local), establece lo siguiente:</w:t>
      </w:r>
    </w:p>
    <w:p w14:paraId="08B9C137"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93600AB"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color w:val="000000"/>
          <w:sz w:val="22"/>
          <w:szCs w:val="22"/>
          <w:lang w:eastAsia="es-MX"/>
        </w:rPr>
        <w:t xml:space="preserve">El artículo </w:t>
      </w:r>
      <w:r w:rsidRPr="00BC23D7">
        <w:rPr>
          <w:rFonts w:ascii="Palatino Linotype" w:eastAsia="Palatino Linotype" w:hAnsi="Palatino Linotype" w:cs="Palatino Linotype"/>
          <w:color w:val="000000" w:themeColor="text1"/>
          <w:sz w:val="22"/>
          <w:szCs w:val="22"/>
          <w:lang w:eastAsia="es-MX"/>
        </w:rPr>
        <w:t>12 dice que</w:t>
      </w:r>
      <w:r w:rsidRPr="00BC23D7">
        <w:rPr>
          <w:rFonts w:ascii="Palatino Linotype" w:eastAsia="Palatino Linotype" w:hAnsi="Palatino Linotype" w:cs="Palatino Linotype"/>
          <w:color w:val="000000"/>
          <w:sz w:val="22"/>
          <w:szCs w:val="22"/>
          <w:lang w:eastAsia="es-MX"/>
        </w:rPr>
        <w:t>, quienes generen, recopilen, administren, manejen, procesen, archiven o conserven información pública serán responsables de la misma.</w:t>
      </w:r>
    </w:p>
    <w:p w14:paraId="07C487FA"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9A12BDC" w14:textId="77777777" w:rsidR="00A311EC" w:rsidRPr="00BC23D7" w:rsidRDefault="00A311EC" w:rsidP="00A311EC">
      <w:pPr>
        <w:widowControl w:val="0"/>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color w:val="000000"/>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71C4693"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2CC6352"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color w:val="000000"/>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0B2C8A"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5B86567" w14:textId="77777777" w:rsidR="00A311EC" w:rsidRPr="00BC23D7"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9" w:name="_Toc187931075"/>
      <w:bookmarkStart w:id="30" w:name="_Toc191561714"/>
      <w:bookmarkStart w:id="31" w:name="_Toc210315198"/>
      <w:r w:rsidRPr="00BC23D7">
        <w:rPr>
          <w:rFonts w:ascii="Palatino Linotype" w:eastAsia="Palatino Linotype" w:hAnsi="Palatino Linotype" w:cs="Palatino Linotype"/>
          <w:b/>
          <w:color w:val="000000" w:themeColor="text1"/>
          <w:sz w:val="22"/>
          <w:szCs w:val="36"/>
          <w:lang w:eastAsia="es-MX"/>
        </w:rPr>
        <w:t>QUINTO. Estudio de Fondo</w:t>
      </w:r>
      <w:bookmarkEnd w:id="29"/>
      <w:bookmarkEnd w:id="30"/>
      <w:bookmarkEnd w:id="31"/>
    </w:p>
    <w:p w14:paraId="35C9E018" w14:textId="77777777" w:rsidR="00A311EC" w:rsidRPr="00BC23D7"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F51E662" w14:textId="4C9B486C" w:rsidR="009A6EA2" w:rsidRPr="00BC23D7" w:rsidRDefault="009A6EA2" w:rsidP="00A311EC">
      <w:pPr>
        <w:tabs>
          <w:tab w:val="left" w:pos="4962"/>
        </w:tabs>
        <w:spacing w:line="360" w:lineRule="auto"/>
        <w:ind w:right="142"/>
        <w:jc w:val="both"/>
        <w:rPr>
          <w:rFonts w:ascii="Palatino Linotype" w:eastAsia="Palatino Linotype" w:hAnsi="Palatino Linotype" w:cs="Palatino Linotype"/>
          <w:i/>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La información solicitada, se divide en dos puntos, el primero es sobre las obras realizadas y el segundo, las facturas pagadas al respecto, con la precisión de que el Particular, requirió información del periodo </w:t>
      </w:r>
      <w:r w:rsidR="00F65C9B" w:rsidRPr="00BC23D7">
        <w:rPr>
          <w:rFonts w:ascii="Palatino Linotype" w:eastAsia="Palatino Linotype" w:hAnsi="Palatino Linotype" w:cs="Palatino Linotype"/>
          <w:color w:val="000000" w:themeColor="text1"/>
          <w:sz w:val="22"/>
          <w:szCs w:val="22"/>
          <w:lang w:eastAsia="es-MX"/>
        </w:rPr>
        <w:t>contemplado del primero de enero, a la fecha de la respuesta, periodo que resulta inatendible, pues este Organismo Garante, ha sustentado que la información que puede ser solicitada es aquella generada a la fecha de la solicitud</w:t>
      </w:r>
      <w:r w:rsidR="007E5DCF" w:rsidRPr="00BC23D7">
        <w:rPr>
          <w:rFonts w:ascii="Palatino Linotype" w:eastAsia="Palatino Linotype" w:hAnsi="Palatino Linotype" w:cs="Palatino Linotype"/>
          <w:color w:val="000000" w:themeColor="text1"/>
          <w:sz w:val="22"/>
          <w:szCs w:val="22"/>
          <w:lang w:eastAsia="es-MX"/>
        </w:rPr>
        <w:t xml:space="preserve"> en virtud a que el derecho de acceso a la información, consiste en la entrega de la información, tal y como obran en los archivos de los Sujetos Obligados</w:t>
      </w:r>
      <w:r w:rsidR="00F65C9B" w:rsidRPr="00BC23D7">
        <w:rPr>
          <w:rFonts w:ascii="Palatino Linotype" w:eastAsia="Palatino Linotype" w:hAnsi="Palatino Linotype" w:cs="Palatino Linotype"/>
          <w:color w:val="000000" w:themeColor="text1"/>
          <w:sz w:val="22"/>
          <w:szCs w:val="22"/>
          <w:lang w:eastAsia="es-MX"/>
        </w:rPr>
        <w:t xml:space="preserve">, por lo que </w:t>
      </w:r>
      <w:r w:rsidR="007E5DCF" w:rsidRPr="00BC23D7">
        <w:rPr>
          <w:rFonts w:ascii="Palatino Linotype" w:eastAsia="Palatino Linotype" w:hAnsi="Palatino Linotype" w:cs="Palatino Linotype"/>
          <w:color w:val="000000" w:themeColor="text1"/>
          <w:sz w:val="22"/>
          <w:szCs w:val="22"/>
          <w:lang w:eastAsia="es-MX"/>
        </w:rPr>
        <w:t>requerir documentos que aún no han sido generados por los Sujetos a la fecha de la solicitud, implica el requerir documentos futuros.</w:t>
      </w:r>
    </w:p>
    <w:p w14:paraId="47A75540" w14:textId="77777777" w:rsidR="009A6EA2" w:rsidRPr="00BC23D7" w:rsidRDefault="009A6EA2"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43F48F5F" w14:textId="1215A8BA" w:rsidR="007E5DCF" w:rsidRPr="00BC23D7" w:rsidRDefault="007E5DCF"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lastRenderedPageBreak/>
        <w:t>Por ello, el periodo de búsqueda que se considera para efectos de la presente solicitud es la que abarca del primero de enero de dos mil veinticinco, al veintiuno de junio de dos mil veinticinco.</w:t>
      </w:r>
    </w:p>
    <w:p w14:paraId="522FF646" w14:textId="77777777" w:rsidR="00A311EC" w:rsidRPr="00BC23D7" w:rsidRDefault="00A311EC" w:rsidP="00A311EC">
      <w:pPr>
        <w:tabs>
          <w:tab w:val="left" w:pos="4962"/>
        </w:tabs>
        <w:spacing w:line="360" w:lineRule="auto"/>
        <w:ind w:right="142"/>
        <w:jc w:val="both"/>
        <w:rPr>
          <w:rFonts w:ascii="Palatino Linotype" w:eastAsia="Palatino Linotype" w:hAnsi="Palatino Linotype" w:cs="Palatino Linotype"/>
          <w:i/>
          <w:color w:val="000000" w:themeColor="text1"/>
          <w:sz w:val="22"/>
          <w:szCs w:val="22"/>
          <w:lang w:eastAsia="es-MX"/>
        </w:rPr>
      </w:pPr>
    </w:p>
    <w:p w14:paraId="08D025DB" w14:textId="0C7DE5E0" w:rsidR="00F80102" w:rsidRPr="00BC23D7" w:rsidRDefault="00F80102"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Dicho esto, lo procedente es entrar al estudio de la naturaleza de la información, que es lo siguiente:</w:t>
      </w:r>
    </w:p>
    <w:p w14:paraId="6E1C288D" w14:textId="77777777" w:rsidR="00F80102" w:rsidRPr="00BC23D7" w:rsidRDefault="00F80102"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DF0A2D4" w14:textId="0C519123" w:rsidR="00F85C9F" w:rsidRPr="00BC23D7" w:rsidRDefault="00015966" w:rsidP="00A311EC">
      <w:pPr>
        <w:numPr>
          <w:ilvl w:val="0"/>
          <w:numId w:val="7"/>
        </w:numPr>
        <w:tabs>
          <w:tab w:val="left" w:pos="4962"/>
        </w:tabs>
        <w:spacing w:after="160" w:line="360" w:lineRule="auto"/>
        <w:ind w:right="142"/>
        <w:contextualSpacing/>
        <w:jc w:val="both"/>
        <w:rPr>
          <w:rFonts w:ascii="Palatino Linotype" w:hAnsi="Palatino Linotype"/>
          <w:b/>
          <w:bCs/>
          <w:color w:val="000000" w:themeColor="text1"/>
          <w:sz w:val="22"/>
          <w:szCs w:val="24"/>
        </w:rPr>
      </w:pPr>
      <w:r w:rsidRPr="00BC23D7">
        <w:rPr>
          <w:rFonts w:ascii="Palatino Linotype" w:hAnsi="Palatino Linotype"/>
          <w:b/>
          <w:bCs/>
          <w:color w:val="000000" w:themeColor="text1"/>
          <w:sz w:val="22"/>
          <w:szCs w:val="24"/>
        </w:rPr>
        <w:t>El listado de todas las obras realizadas del primero</w:t>
      </w:r>
      <w:r w:rsidR="00763899" w:rsidRPr="00BC23D7">
        <w:rPr>
          <w:rFonts w:ascii="Palatino Linotype" w:hAnsi="Palatino Linotype"/>
          <w:b/>
          <w:bCs/>
          <w:color w:val="000000" w:themeColor="text1"/>
          <w:sz w:val="22"/>
          <w:szCs w:val="24"/>
        </w:rPr>
        <w:t xml:space="preserve"> de enero</w:t>
      </w:r>
      <w:r w:rsidRPr="00BC23D7">
        <w:rPr>
          <w:rFonts w:ascii="Palatino Linotype" w:hAnsi="Palatino Linotype"/>
          <w:b/>
          <w:bCs/>
          <w:color w:val="000000" w:themeColor="text1"/>
          <w:sz w:val="22"/>
          <w:szCs w:val="24"/>
        </w:rPr>
        <w:t xml:space="preserve"> al veintiuno de junio de dos mil veinticinco.</w:t>
      </w:r>
    </w:p>
    <w:p w14:paraId="2C131E31" w14:textId="77777777" w:rsidR="00F85C9F" w:rsidRPr="00BC23D7" w:rsidRDefault="00F85C9F" w:rsidP="00F85C9F">
      <w:pPr>
        <w:tabs>
          <w:tab w:val="left" w:pos="4962"/>
        </w:tabs>
        <w:spacing w:after="160" w:line="360" w:lineRule="auto"/>
        <w:ind w:right="142"/>
        <w:contextualSpacing/>
        <w:jc w:val="both"/>
        <w:rPr>
          <w:rFonts w:ascii="Palatino Linotype" w:hAnsi="Palatino Linotype"/>
          <w:b/>
          <w:bCs/>
          <w:color w:val="000000" w:themeColor="text1"/>
          <w:sz w:val="22"/>
          <w:szCs w:val="24"/>
        </w:rPr>
      </w:pPr>
    </w:p>
    <w:p w14:paraId="0937B3C8" w14:textId="67CB1565" w:rsidR="00F85C9F" w:rsidRPr="00BC23D7" w:rsidRDefault="00F85C9F" w:rsidP="00DF71C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Las obras públicas, realizadas por el Ayuntamiento, </w:t>
      </w:r>
      <w:r w:rsidR="00DF71CC" w:rsidRPr="00BC23D7">
        <w:rPr>
          <w:rFonts w:ascii="Palatino Linotype" w:eastAsia="Palatino Linotype" w:hAnsi="Palatino Linotype" w:cs="Palatino Linotype"/>
          <w:color w:val="000000" w:themeColor="text1"/>
          <w:sz w:val="22"/>
          <w:szCs w:val="22"/>
          <w:lang w:eastAsia="es-MX"/>
        </w:rPr>
        <w:t>tienen sustento en la Ley Orgánica Municipal del Estado de México, que contempla en su artículo</w:t>
      </w:r>
      <w:r w:rsidR="006F36C9" w:rsidRPr="00BC23D7">
        <w:rPr>
          <w:rFonts w:ascii="Palatino Linotype" w:eastAsia="Palatino Linotype" w:hAnsi="Palatino Linotype" w:cs="Palatino Linotype"/>
          <w:color w:val="000000" w:themeColor="text1"/>
          <w:sz w:val="22"/>
          <w:szCs w:val="22"/>
          <w:lang w:eastAsia="es-MX"/>
        </w:rPr>
        <w:t xml:space="preserve"> 31, 38, </w:t>
      </w:r>
      <w:r w:rsidR="003101D4" w:rsidRPr="00BC23D7">
        <w:rPr>
          <w:rFonts w:ascii="Palatino Linotype" w:eastAsia="Palatino Linotype" w:hAnsi="Palatino Linotype" w:cs="Palatino Linotype"/>
          <w:color w:val="000000" w:themeColor="text1"/>
          <w:sz w:val="22"/>
          <w:szCs w:val="22"/>
          <w:lang w:eastAsia="es-MX"/>
        </w:rPr>
        <w:t xml:space="preserve">79, </w:t>
      </w:r>
      <w:r w:rsidR="007805B5" w:rsidRPr="00BC23D7">
        <w:rPr>
          <w:rFonts w:ascii="Palatino Linotype" w:eastAsia="Palatino Linotype" w:hAnsi="Palatino Linotype" w:cs="Palatino Linotype"/>
          <w:color w:val="000000" w:themeColor="text1"/>
          <w:sz w:val="22"/>
          <w:szCs w:val="22"/>
          <w:lang w:eastAsia="es-MX"/>
        </w:rPr>
        <w:t>87</w:t>
      </w:r>
      <w:r w:rsidR="006F36C9" w:rsidRPr="00BC23D7">
        <w:rPr>
          <w:rFonts w:ascii="Palatino Linotype" w:eastAsia="Palatino Linotype" w:hAnsi="Palatino Linotype" w:cs="Palatino Linotype"/>
          <w:color w:val="000000" w:themeColor="text1"/>
          <w:sz w:val="22"/>
          <w:szCs w:val="22"/>
          <w:lang w:eastAsia="es-MX"/>
        </w:rPr>
        <w:t xml:space="preserve"> y</w:t>
      </w:r>
      <w:r w:rsidR="00DF71CC" w:rsidRPr="00BC23D7">
        <w:rPr>
          <w:rFonts w:ascii="Palatino Linotype" w:eastAsia="Palatino Linotype" w:hAnsi="Palatino Linotype" w:cs="Palatino Linotype"/>
          <w:color w:val="000000" w:themeColor="text1"/>
          <w:sz w:val="22"/>
          <w:szCs w:val="22"/>
          <w:lang w:eastAsia="es-MX"/>
        </w:rPr>
        <w:t xml:space="preserve"> </w:t>
      </w:r>
      <w:r w:rsidR="007805B5" w:rsidRPr="00BC23D7">
        <w:rPr>
          <w:rFonts w:ascii="Palatino Linotype" w:eastAsia="Palatino Linotype" w:hAnsi="Palatino Linotype" w:cs="Palatino Linotype"/>
          <w:color w:val="000000" w:themeColor="text1"/>
          <w:sz w:val="22"/>
          <w:szCs w:val="22"/>
          <w:lang w:eastAsia="es-MX"/>
        </w:rPr>
        <w:t>96 Bis</w:t>
      </w:r>
      <w:r w:rsidR="006F36C9" w:rsidRPr="00BC23D7">
        <w:rPr>
          <w:rFonts w:ascii="Palatino Linotype" w:eastAsia="Palatino Linotype" w:hAnsi="Palatino Linotype" w:cs="Palatino Linotype"/>
          <w:color w:val="000000" w:themeColor="text1"/>
          <w:sz w:val="22"/>
          <w:szCs w:val="22"/>
          <w:lang w:eastAsia="es-MX"/>
        </w:rPr>
        <w:t xml:space="preserve">, contemplan que los ayuntamientos tienen la facultad de contratar obra, que pueden erogar </w:t>
      </w:r>
      <w:r w:rsidR="0089523A" w:rsidRPr="00BC23D7">
        <w:rPr>
          <w:rFonts w:ascii="Palatino Linotype" w:eastAsia="Palatino Linotype" w:hAnsi="Palatino Linotype" w:cs="Palatino Linotype"/>
          <w:color w:val="000000" w:themeColor="text1"/>
          <w:sz w:val="22"/>
          <w:szCs w:val="22"/>
          <w:lang w:eastAsia="es-MX"/>
        </w:rPr>
        <w:t>recursos para</w:t>
      </w:r>
      <w:r w:rsidR="006F36C9" w:rsidRPr="00BC23D7">
        <w:rPr>
          <w:rFonts w:ascii="Palatino Linotype" w:eastAsia="Palatino Linotype" w:hAnsi="Palatino Linotype" w:cs="Palatino Linotype"/>
          <w:color w:val="000000" w:themeColor="text1"/>
          <w:sz w:val="22"/>
          <w:szCs w:val="22"/>
          <w:lang w:eastAsia="es-MX"/>
        </w:rPr>
        <w:t xml:space="preserve"> estos efectos y que esas </w:t>
      </w:r>
      <w:r w:rsidR="0089523A" w:rsidRPr="00BC23D7">
        <w:rPr>
          <w:rFonts w:ascii="Palatino Linotype" w:eastAsia="Palatino Linotype" w:hAnsi="Palatino Linotype" w:cs="Palatino Linotype"/>
          <w:color w:val="000000" w:themeColor="text1"/>
          <w:sz w:val="22"/>
          <w:szCs w:val="22"/>
          <w:lang w:eastAsia="es-MX"/>
        </w:rPr>
        <w:t>facultades</w:t>
      </w:r>
      <w:r w:rsidR="006F36C9" w:rsidRPr="00BC23D7">
        <w:rPr>
          <w:rFonts w:ascii="Palatino Linotype" w:eastAsia="Palatino Linotype" w:hAnsi="Palatino Linotype" w:cs="Palatino Linotype"/>
          <w:color w:val="000000" w:themeColor="text1"/>
          <w:sz w:val="22"/>
          <w:szCs w:val="22"/>
          <w:lang w:eastAsia="es-MX"/>
        </w:rPr>
        <w:t xml:space="preserve"> son </w:t>
      </w:r>
      <w:r w:rsidR="009A670A" w:rsidRPr="00BC23D7">
        <w:rPr>
          <w:rFonts w:ascii="Palatino Linotype" w:eastAsia="Palatino Linotype" w:hAnsi="Palatino Linotype" w:cs="Palatino Linotype"/>
          <w:color w:val="000000" w:themeColor="text1"/>
          <w:sz w:val="22"/>
          <w:szCs w:val="22"/>
          <w:lang w:eastAsia="es-MX"/>
        </w:rPr>
        <w:t>atribuibles al Director de Obra Pública</w:t>
      </w:r>
      <w:r w:rsidR="0089523A" w:rsidRPr="00BC23D7">
        <w:rPr>
          <w:rFonts w:ascii="Palatino Linotype" w:eastAsia="Palatino Linotype" w:hAnsi="Palatino Linotype" w:cs="Palatino Linotype"/>
          <w:color w:val="000000" w:themeColor="text1"/>
          <w:sz w:val="22"/>
          <w:szCs w:val="22"/>
          <w:lang w:eastAsia="es-MX"/>
        </w:rPr>
        <w:t>.</w:t>
      </w:r>
    </w:p>
    <w:p w14:paraId="3816FAC4" w14:textId="77777777" w:rsidR="0089523A" w:rsidRPr="00BC23D7" w:rsidRDefault="0089523A" w:rsidP="00DF71C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4A89BFBA" w14:textId="2009D6E9" w:rsidR="00284F7E" w:rsidRPr="00BC23D7" w:rsidRDefault="0089523A" w:rsidP="00DF71C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En este contexto, </w:t>
      </w:r>
      <w:r w:rsidR="00284F7E" w:rsidRPr="00BC23D7">
        <w:rPr>
          <w:rFonts w:ascii="Palatino Linotype" w:eastAsia="Palatino Linotype" w:hAnsi="Palatino Linotype" w:cs="Palatino Linotype"/>
          <w:color w:val="000000" w:themeColor="text1"/>
          <w:sz w:val="22"/>
          <w:szCs w:val="22"/>
          <w:lang w:eastAsia="es-MX"/>
        </w:rPr>
        <w:t xml:space="preserve">estos mismos artículos contemplan que la obra pública y su contratación, requiere adecuarse a la normatividad aplicable, para lo cual, debemos señalar que la </w:t>
      </w:r>
      <w:proofErr w:type="spellStart"/>
      <w:r w:rsidR="00284F7E" w:rsidRPr="00BC23D7">
        <w:rPr>
          <w:rFonts w:ascii="Palatino Linotype" w:eastAsia="Palatino Linotype" w:hAnsi="Palatino Linotype" w:cs="Palatino Linotype"/>
          <w:color w:val="000000" w:themeColor="text1"/>
          <w:sz w:val="22"/>
          <w:szCs w:val="22"/>
          <w:lang w:eastAsia="es-MX"/>
        </w:rPr>
        <w:t>presupuestación</w:t>
      </w:r>
      <w:proofErr w:type="spellEnd"/>
      <w:r w:rsidR="00284F7E" w:rsidRPr="00BC23D7">
        <w:rPr>
          <w:rFonts w:ascii="Palatino Linotype" w:eastAsia="Palatino Linotype" w:hAnsi="Palatino Linotype" w:cs="Palatino Linotype"/>
          <w:color w:val="000000" w:themeColor="text1"/>
          <w:sz w:val="22"/>
          <w:szCs w:val="22"/>
          <w:lang w:eastAsia="es-MX"/>
        </w:rPr>
        <w:t xml:space="preserve"> de ingresos y de egresos, contempla </w:t>
      </w:r>
      <w:r w:rsidR="006333A1" w:rsidRPr="00BC23D7">
        <w:rPr>
          <w:rFonts w:ascii="Palatino Linotype" w:eastAsia="Palatino Linotype" w:hAnsi="Palatino Linotype" w:cs="Palatino Linotype"/>
          <w:color w:val="000000" w:themeColor="text1"/>
          <w:sz w:val="22"/>
          <w:szCs w:val="22"/>
          <w:lang w:eastAsia="es-MX"/>
        </w:rPr>
        <w:t xml:space="preserve">la obligación de generar una anteproyecto y un proyecto de egresos, que considere las obras a realizar por el Ayuntamiento, lo que implica el ajuste presupuestario </w:t>
      </w:r>
      <w:r w:rsidR="00B25CEA" w:rsidRPr="00BC23D7">
        <w:rPr>
          <w:rFonts w:ascii="Palatino Linotype" w:eastAsia="Palatino Linotype" w:hAnsi="Palatino Linotype" w:cs="Palatino Linotype"/>
          <w:color w:val="000000" w:themeColor="text1"/>
          <w:sz w:val="22"/>
          <w:szCs w:val="22"/>
          <w:lang w:eastAsia="es-MX"/>
        </w:rPr>
        <w:t xml:space="preserve">de los recursos que otorga le legislatura a cada municipio, conforme lo establece el </w:t>
      </w:r>
      <w:r w:rsidR="00B25CEA" w:rsidRPr="00BC23D7">
        <w:rPr>
          <w:rFonts w:ascii="Palatino Linotype" w:eastAsia="Palatino Linotype" w:hAnsi="Palatino Linotype" w:cs="Palatino Linotype"/>
          <w:i/>
          <w:iCs/>
          <w:color w:val="000000" w:themeColor="text1"/>
          <w:sz w:val="22"/>
          <w:szCs w:val="22"/>
          <w:lang w:eastAsia="es-MX"/>
        </w:rPr>
        <w:t>“</w:t>
      </w:r>
      <w:r w:rsidR="00284F7E" w:rsidRPr="00BC23D7">
        <w:rPr>
          <w:rFonts w:ascii="Palatino Linotype" w:eastAsia="Palatino Linotype" w:hAnsi="Palatino Linotype" w:cs="Palatino Linotype"/>
          <w:i/>
          <w:iCs/>
          <w:color w:val="000000" w:themeColor="text1"/>
          <w:sz w:val="22"/>
          <w:szCs w:val="22"/>
          <w:lang w:eastAsia="es-MX"/>
        </w:rPr>
        <w:t>MANUAL PARA LA PLANEACIÓN, PROGRAMACIÓN Y PRESUPUESTO DE EGRESOS MUNICIPAL PARA EL EJERCICIO FISCAL 2025</w:t>
      </w:r>
      <w:r w:rsidR="00B25CEA" w:rsidRPr="00BC23D7">
        <w:rPr>
          <w:rFonts w:ascii="Palatino Linotype" w:eastAsia="Palatino Linotype" w:hAnsi="Palatino Linotype" w:cs="Palatino Linotype"/>
          <w:i/>
          <w:iCs/>
          <w:color w:val="000000" w:themeColor="text1"/>
          <w:sz w:val="22"/>
          <w:szCs w:val="22"/>
          <w:lang w:eastAsia="es-MX"/>
        </w:rPr>
        <w:t>”</w:t>
      </w:r>
      <w:r w:rsidR="00B25CEA" w:rsidRPr="00BC23D7">
        <w:rPr>
          <w:rFonts w:ascii="Palatino Linotype" w:eastAsia="Palatino Linotype" w:hAnsi="Palatino Linotype" w:cs="Palatino Linotype"/>
          <w:color w:val="000000" w:themeColor="text1"/>
          <w:sz w:val="22"/>
          <w:szCs w:val="22"/>
          <w:lang w:eastAsia="es-MX"/>
        </w:rPr>
        <w:t xml:space="preserve">, que contempla que en su </w:t>
      </w:r>
      <w:r w:rsidR="00ED0EAC" w:rsidRPr="00BC23D7">
        <w:rPr>
          <w:rFonts w:ascii="Palatino Linotype" w:eastAsia="Palatino Linotype" w:hAnsi="Palatino Linotype" w:cs="Palatino Linotype"/>
          <w:color w:val="000000" w:themeColor="text1"/>
          <w:sz w:val="22"/>
          <w:szCs w:val="22"/>
          <w:lang w:eastAsia="es-MX"/>
        </w:rPr>
        <w:t>capítulo</w:t>
      </w:r>
      <w:r w:rsidR="00B25CEA" w:rsidRPr="00BC23D7">
        <w:rPr>
          <w:rFonts w:ascii="Palatino Linotype" w:eastAsia="Palatino Linotype" w:hAnsi="Palatino Linotype" w:cs="Palatino Linotype"/>
          <w:color w:val="000000" w:themeColor="text1"/>
          <w:sz w:val="22"/>
          <w:szCs w:val="22"/>
          <w:lang w:eastAsia="es-MX"/>
        </w:rPr>
        <w:t xml:space="preserve"> 6000, se </w:t>
      </w:r>
      <w:r w:rsidR="00ED0EAC" w:rsidRPr="00BC23D7">
        <w:rPr>
          <w:rFonts w:ascii="Palatino Linotype" w:eastAsia="Palatino Linotype" w:hAnsi="Palatino Linotype" w:cs="Palatino Linotype"/>
          <w:color w:val="000000" w:themeColor="text1"/>
          <w:sz w:val="22"/>
          <w:szCs w:val="22"/>
          <w:lang w:eastAsia="es-MX"/>
        </w:rPr>
        <w:t>consideran los recursos de inversión para obra pública.</w:t>
      </w:r>
    </w:p>
    <w:p w14:paraId="386B11DA" w14:textId="77777777" w:rsidR="00ED0EAC" w:rsidRPr="00BC23D7" w:rsidRDefault="00ED0EAC" w:rsidP="00DF71C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F553E96" w14:textId="60C3DA99" w:rsidR="00ED0EAC" w:rsidRPr="00BC23D7" w:rsidRDefault="00D53CFA" w:rsidP="008A31E1">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Además,</w:t>
      </w:r>
      <w:r w:rsidR="008A31E1" w:rsidRPr="00BC23D7">
        <w:rPr>
          <w:rFonts w:ascii="Palatino Linotype" w:eastAsia="Palatino Linotype" w:hAnsi="Palatino Linotype" w:cs="Palatino Linotype"/>
          <w:color w:val="000000" w:themeColor="text1"/>
          <w:sz w:val="22"/>
          <w:szCs w:val="22"/>
          <w:lang w:eastAsia="es-MX"/>
        </w:rPr>
        <w:t xml:space="preserve"> conforme el </w:t>
      </w:r>
      <w:r w:rsidR="008A31E1" w:rsidRPr="00BC23D7">
        <w:rPr>
          <w:rFonts w:ascii="Palatino Linotype" w:eastAsia="Palatino Linotype" w:hAnsi="Palatino Linotype" w:cs="Palatino Linotype"/>
          <w:i/>
          <w:iCs/>
          <w:color w:val="000000" w:themeColor="text1"/>
          <w:sz w:val="22"/>
          <w:szCs w:val="22"/>
          <w:lang w:eastAsia="es-MX"/>
        </w:rPr>
        <w:t xml:space="preserve">ACUERDO 7/2025 POR EL QUE SE EMITEN LOS LINEAMIENTOS, FECHAS DE CAPACITACIÓN Y CALENDARIZACIÓN PARA LA INTEGRACIÓN Y </w:t>
      </w:r>
      <w:r w:rsidR="008A31E1" w:rsidRPr="00BC23D7">
        <w:rPr>
          <w:rFonts w:ascii="Palatino Linotype" w:eastAsia="Palatino Linotype" w:hAnsi="Palatino Linotype" w:cs="Palatino Linotype"/>
          <w:i/>
          <w:iCs/>
          <w:color w:val="000000" w:themeColor="text1"/>
          <w:sz w:val="22"/>
          <w:szCs w:val="22"/>
          <w:lang w:eastAsia="es-MX"/>
        </w:rPr>
        <w:lastRenderedPageBreak/>
        <w:t xml:space="preserve">PRESENTACIÓN DE LOS INFORMES TRIMESTRALES ESTATALES Y MUNICIPALES DEL EJERCICIO FISCAL 2025, DE LAS ENTIDADES FISCALIZABLES DEL ESTADO DE MÉXICO, </w:t>
      </w:r>
      <w:r w:rsidR="008A31E1" w:rsidRPr="00BC23D7">
        <w:rPr>
          <w:rFonts w:ascii="Palatino Linotype" w:eastAsia="Palatino Linotype" w:hAnsi="Palatino Linotype" w:cs="Palatino Linotype"/>
          <w:color w:val="000000" w:themeColor="text1"/>
          <w:sz w:val="22"/>
          <w:szCs w:val="22"/>
          <w:lang w:eastAsia="es-MX"/>
        </w:rPr>
        <w:t>los ayuntamientos,</w:t>
      </w:r>
      <w:r w:rsidR="008A31E1" w:rsidRPr="00BC23D7">
        <w:rPr>
          <w:rFonts w:ascii="Palatino Linotype" w:eastAsia="Palatino Linotype" w:hAnsi="Palatino Linotype" w:cs="Palatino Linotype"/>
          <w:i/>
          <w:iCs/>
          <w:color w:val="000000" w:themeColor="text1"/>
          <w:sz w:val="22"/>
          <w:szCs w:val="22"/>
          <w:lang w:eastAsia="es-MX"/>
        </w:rPr>
        <w:t xml:space="preserve"> </w:t>
      </w:r>
      <w:r w:rsidR="008A31E1" w:rsidRPr="00BC23D7">
        <w:rPr>
          <w:rFonts w:ascii="Palatino Linotype" w:eastAsia="Palatino Linotype" w:hAnsi="Palatino Linotype" w:cs="Palatino Linotype"/>
          <w:color w:val="000000" w:themeColor="text1"/>
          <w:sz w:val="22"/>
          <w:szCs w:val="22"/>
          <w:lang w:eastAsia="es-MX"/>
        </w:rPr>
        <w:t xml:space="preserve">deben reportar </w:t>
      </w:r>
      <w:r w:rsidR="008068C6" w:rsidRPr="00BC23D7">
        <w:rPr>
          <w:rFonts w:ascii="Palatino Linotype" w:eastAsia="Palatino Linotype" w:hAnsi="Palatino Linotype" w:cs="Palatino Linotype"/>
          <w:color w:val="000000" w:themeColor="text1"/>
          <w:sz w:val="22"/>
          <w:szCs w:val="22"/>
          <w:lang w:eastAsia="es-MX"/>
        </w:rPr>
        <w:t>trimestralmente</w:t>
      </w:r>
      <w:r w:rsidR="008A31E1" w:rsidRPr="00BC23D7">
        <w:rPr>
          <w:rFonts w:ascii="Palatino Linotype" w:eastAsia="Palatino Linotype" w:hAnsi="Palatino Linotype" w:cs="Palatino Linotype"/>
          <w:color w:val="000000" w:themeColor="text1"/>
          <w:sz w:val="22"/>
          <w:szCs w:val="22"/>
          <w:lang w:eastAsia="es-MX"/>
        </w:rPr>
        <w:t xml:space="preserve"> al OSFEM (</w:t>
      </w:r>
      <w:r w:rsidR="008068C6" w:rsidRPr="00BC23D7">
        <w:rPr>
          <w:rFonts w:ascii="Palatino Linotype" w:eastAsia="Palatino Linotype" w:hAnsi="Palatino Linotype" w:cs="Palatino Linotype"/>
          <w:color w:val="000000" w:themeColor="text1"/>
          <w:sz w:val="22"/>
          <w:szCs w:val="22"/>
          <w:lang w:eastAsia="es-MX"/>
        </w:rPr>
        <w:t xml:space="preserve">Órgano Superior de Fiscalización del Estado de México y Municipios), lo que abarca también, aquellos conceptos de obra pública, </w:t>
      </w:r>
      <w:r w:rsidR="00E32352" w:rsidRPr="00BC23D7">
        <w:rPr>
          <w:rFonts w:ascii="Palatino Linotype" w:eastAsia="Palatino Linotype" w:hAnsi="Palatino Linotype" w:cs="Palatino Linotype"/>
          <w:color w:val="000000" w:themeColor="text1"/>
          <w:sz w:val="22"/>
          <w:szCs w:val="22"/>
          <w:lang w:eastAsia="es-MX"/>
        </w:rPr>
        <w:t xml:space="preserve">como se puede ver en los documentos de apoyo y formatos de reportes trimestrales contables en la liga de acceso directo </w:t>
      </w:r>
      <w:hyperlink r:id="rId8" w:history="1">
        <w:r w:rsidR="00E32352" w:rsidRPr="00BC23D7">
          <w:rPr>
            <w:rStyle w:val="Hipervnculo"/>
            <w:rFonts w:ascii="Palatino Linotype" w:eastAsia="Palatino Linotype" w:hAnsi="Palatino Linotype" w:cs="Palatino Linotype"/>
            <w:sz w:val="22"/>
            <w:szCs w:val="22"/>
            <w:lang w:eastAsia="es-MX"/>
          </w:rPr>
          <w:t>https://www.osfem.gob.mx/entidades/documentos_apoyo.html</w:t>
        </w:r>
      </w:hyperlink>
      <w:r w:rsidR="00E32352" w:rsidRPr="00BC23D7">
        <w:rPr>
          <w:rFonts w:ascii="Palatino Linotype" w:eastAsia="Palatino Linotype" w:hAnsi="Palatino Linotype" w:cs="Palatino Linotype"/>
          <w:color w:val="000000" w:themeColor="text1"/>
          <w:sz w:val="22"/>
          <w:szCs w:val="22"/>
          <w:lang w:eastAsia="es-MX"/>
        </w:rPr>
        <w:t xml:space="preserve">. </w:t>
      </w:r>
    </w:p>
    <w:p w14:paraId="5822B0BB" w14:textId="77777777" w:rsidR="00162D48" w:rsidRPr="00BC23D7" w:rsidRDefault="00162D48" w:rsidP="008A31E1">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9832E04" w14:textId="1A5FE77F" w:rsidR="00162D48" w:rsidRPr="00BC23D7" w:rsidRDefault="00162D48" w:rsidP="008A31E1">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Las obras </w:t>
      </w:r>
      <w:r w:rsidR="00D67B9C" w:rsidRPr="00BC23D7">
        <w:rPr>
          <w:rFonts w:ascii="Palatino Linotype" w:eastAsia="Palatino Linotype" w:hAnsi="Palatino Linotype" w:cs="Palatino Linotype"/>
          <w:color w:val="000000" w:themeColor="text1"/>
          <w:sz w:val="22"/>
          <w:szCs w:val="22"/>
          <w:lang w:eastAsia="es-MX"/>
        </w:rPr>
        <w:t>incluso</w:t>
      </w:r>
      <w:r w:rsidRPr="00BC23D7">
        <w:rPr>
          <w:rFonts w:ascii="Palatino Linotype" w:eastAsia="Palatino Linotype" w:hAnsi="Palatino Linotype" w:cs="Palatino Linotype"/>
          <w:color w:val="000000" w:themeColor="text1"/>
          <w:sz w:val="22"/>
          <w:szCs w:val="22"/>
          <w:lang w:eastAsia="es-MX"/>
        </w:rPr>
        <w:t xml:space="preserve"> deben ser reportadas mensualmente, tal como se aprecia de la siguiente imagen:</w:t>
      </w:r>
    </w:p>
    <w:p w14:paraId="0BDC51D1" w14:textId="77777777" w:rsidR="00D67B9C" w:rsidRPr="00BC23D7" w:rsidRDefault="00D67B9C" w:rsidP="008A31E1">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9F12777" w14:textId="4FC9B648" w:rsidR="00D67B9C" w:rsidRPr="00BC23D7" w:rsidRDefault="00D67B9C" w:rsidP="008A31E1">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noProof/>
          <w:color w:val="000000" w:themeColor="text1"/>
          <w:sz w:val="22"/>
          <w:szCs w:val="22"/>
          <w:lang w:eastAsia="es-MX"/>
        </w:rPr>
        <w:drawing>
          <wp:inline distT="0" distB="0" distL="0" distR="0" wp14:anchorId="0862B843" wp14:editId="70871E85">
            <wp:extent cx="5742940" cy="2916555"/>
            <wp:effectExtent l="0" t="0" r="0" b="0"/>
            <wp:docPr id="18230710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71073" name=""/>
                    <pic:cNvPicPr/>
                  </pic:nvPicPr>
                  <pic:blipFill>
                    <a:blip r:embed="rId9"/>
                    <a:stretch>
                      <a:fillRect/>
                    </a:stretch>
                  </pic:blipFill>
                  <pic:spPr>
                    <a:xfrm>
                      <a:off x="0" y="0"/>
                      <a:ext cx="5742940" cy="2916555"/>
                    </a:xfrm>
                    <a:prstGeom prst="rect">
                      <a:avLst/>
                    </a:prstGeom>
                  </pic:spPr>
                </pic:pic>
              </a:graphicData>
            </a:graphic>
          </wp:inline>
        </w:drawing>
      </w:r>
    </w:p>
    <w:p w14:paraId="385C8CFF" w14:textId="77777777" w:rsidR="00603075" w:rsidRPr="00BC23D7" w:rsidRDefault="00603075"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1341DB7" w14:textId="3D0F6CB1" w:rsidR="00603075" w:rsidRPr="00BC23D7" w:rsidRDefault="00603075"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Esto también se puede consultar en el </w:t>
      </w:r>
      <w:r w:rsidR="00834F65" w:rsidRPr="00BC23D7">
        <w:rPr>
          <w:rFonts w:ascii="Palatino Linotype" w:eastAsia="Palatino Linotype" w:hAnsi="Palatino Linotype" w:cs="Palatino Linotype"/>
          <w:color w:val="000000" w:themeColor="text1"/>
          <w:sz w:val="22"/>
          <w:szCs w:val="22"/>
          <w:lang w:eastAsia="es-MX"/>
        </w:rPr>
        <w:t>Módulo 1, Información Contable y Financiera, que advierte los conceptos y formas de reportar las erogaciones.</w:t>
      </w:r>
    </w:p>
    <w:p w14:paraId="7F3F6DF6" w14:textId="77777777" w:rsidR="00603075" w:rsidRPr="00BC23D7" w:rsidRDefault="00603075"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7F9EA2F" w14:textId="5199D64C" w:rsidR="00015966" w:rsidRPr="00BC23D7" w:rsidRDefault="00D67B9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lastRenderedPageBreak/>
        <w:t>Aunado a ello, el Sujeto Obligado, afirmó de manera tácita el contar con la información, al referir que la misma no podía ser entregada en respuesta, por encontrarse en procedimiento administrativo, por lo que existe fuente obligacional para poseer la información.</w:t>
      </w:r>
    </w:p>
    <w:p w14:paraId="6CCA8A60" w14:textId="77777777" w:rsidR="00D67B9C" w:rsidRPr="00BC23D7" w:rsidRDefault="00D67B9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38E2C10" w14:textId="303E8DE7" w:rsidR="00A311EC" w:rsidRPr="00BC23D7" w:rsidRDefault="00A311EC" w:rsidP="00A311EC">
      <w:pPr>
        <w:numPr>
          <w:ilvl w:val="0"/>
          <w:numId w:val="7"/>
        </w:numPr>
        <w:tabs>
          <w:tab w:val="left" w:pos="4962"/>
        </w:tabs>
        <w:spacing w:after="160" w:line="360" w:lineRule="auto"/>
        <w:ind w:right="142"/>
        <w:contextualSpacing/>
        <w:jc w:val="both"/>
        <w:rPr>
          <w:rFonts w:ascii="Palatino Linotype" w:hAnsi="Palatino Linotype"/>
          <w:b/>
          <w:bCs/>
          <w:color w:val="000000" w:themeColor="text1"/>
          <w:sz w:val="22"/>
          <w:szCs w:val="24"/>
        </w:rPr>
      </w:pPr>
      <w:r w:rsidRPr="00BC23D7">
        <w:rPr>
          <w:rFonts w:ascii="Palatino Linotype" w:hAnsi="Palatino Linotype"/>
          <w:b/>
          <w:bCs/>
          <w:color w:val="000000" w:themeColor="text1"/>
          <w:sz w:val="22"/>
          <w:szCs w:val="24"/>
        </w:rPr>
        <w:t>Facturas</w:t>
      </w:r>
      <w:r w:rsidR="00F80102" w:rsidRPr="00BC23D7">
        <w:rPr>
          <w:rFonts w:ascii="Palatino Linotype" w:hAnsi="Palatino Linotype"/>
          <w:b/>
          <w:bCs/>
          <w:color w:val="000000" w:themeColor="text1"/>
          <w:sz w:val="22"/>
          <w:szCs w:val="24"/>
        </w:rPr>
        <w:t xml:space="preserve"> realizadas de los pagos realizados de las obras ejecutadas</w:t>
      </w:r>
      <w:r w:rsidR="00763899" w:rsidRPr="00BC23D7">
        <w:rPr>
          <w:rFonts w:ascii="Palatino Linotype" w:hAnsi="Palatino Linotype"/>
          <w:b/>
          <w:bCs/>
          <w:color w:val="000000" w:themeColor="text1"/>
          <w:sz w:val="22"/>
          <w:szCs w:val="24"/>
        </w:rPr>
        <w:t xml:space="preserve"> del primero de enero al veintiuno de junio de dos mil veinticinco.</w:t>
      </w:r>
    </w:p>
    <w:p w14:paraId="33248AD4" w14:textId="77777777" w:rsidR="008344DA" w:rsidRPr="00BC23D7" w:rsidRDefault="008344DA"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07568183" w14:textId="7EC58519" w:rsidR="00475C66" w:rsidRPr="00BC23D7" w:rsidRDefault="00927EC2" w:rsidP="00475C6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L</w:t>
      </w:r>
      <w:r w:rsidR="00475C66" w:rsidRPr="00BC23D7">
        <w:rPr>
          <w:rFonts w:ascii="Palatino Linotype" w:eastAsia="Palatino Linotype" w:hAnsi="Palatino Linotype" w:cs="Palatino Linotype"/>
          <w:color w:val="000000" w:themeColor="text1"/>
          <w:sz w:val="22"/>
          <w:szCs w:val="22"/>
          <w:lang w:eastAsia="es-MX"/>
        </w:rPr>
        <w:t>a factura es un Comprobante Fiscal Digital por Internet (CFDI), de naturaleza fiscal y carácter obligatorio, que se emite conforme a lo dispuesto en el Artículo 29 y 29-A del Código Fiscal de la Federación (CFF), con el objeto de comprobar la realización de actos o actividades económicas, tales como la enajenación de bienes, la prestación de servicios, el arrendamiento o el uso o goce temporal de bienes, entre otros.</w:t>
      </w:r>
    </w:p>
    <w:p w14:paraId="1CB3348A" w14:textId="77777777" w:rsidR="00475C66" w:rsidRPr="00BC23D7" w:rsidRDefault="00475C66" w:rsidP="00475C6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1F36395" w14:textId="77777777" w:rsidR="00475C66" w:rsidRPr="00BC23D7" w:rsidRDefault="00475C66" w:rsidP="00475C6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El CFDI debe ser generado en formato electrónico a través de los medios autorizados por el Servicio de Administración Tributaria (SAT), cumpliendo con los requisitos técnicos y formales establecidos en la legislación y disposiciones de carácter general aplicables, incluyendo el uso de la firma electrónica (</w:t>
      </w:r>
      <w:proofErr w:type="spellStart"/>
      <w:r w:rsidRPr="00BC23D7">
        <w:rPr>
          <w:rFonts w:ascii="Palatino Linotype" w:eastAsia="Palatino Linotype" w:hAnsi="Palatino Linotype" w:cs="Palatino Linotype"/>
          <w:color w:val="000000" w:themeColor="text1"/>
          <w:sz w:val="22"/>
          <w:szCs w:val="22"/>
          <w:lang w:eastAsia="es-MX"/>
        </w:rPr>
        <w:t>e.firma</w:t>
      </w:r>
      <w:proofErr w:type="spellEnd"/>
      <w:r w:rsidRPr="00BC23D7">
        <w:rPr>
          <w:rFonts w:ascii="Palatino Linotype" w:eastAsia="Palatino Linotype" w:hAnsi="Palatino Linotype" w:cs="Palatino Linotype"/>
          <w:color w:val="000000" w:themeColor="text1"/>
          <w:sz w:val="22"/>
          <w:szCs w:val="22"/>
          <w:lang w:eastAsia="es-MX"/>
        </w:rPr>
        <w:t>) del emisor y la validación mediante un Proveedor Autorizado de Certificación (PAC).</w:t>
      </w:r>
    </w:p>
    <w:p w14:paraId="11400F9E" w14:textId="77777777" w:rsidR="00475C66" w:rsidRPr="00BC23D7" w:rsidRDefault="00475C66" w:rsidP="00475C6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4772B84F" w14:textId="61A3D49F" w:rsidR="00475C66" w:rsidRPr="00BC23D7" w:rsidRDefault="00475C66" w:rsidP="00475C6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Este comprobante tiene efectos jurídicos, fiscales y contables, y es indispensable para efectos de deducción, </w:t>
      </w:r>
      <w:proofErr w:type="spellStart"/>
      <w:r w:rsidRPr="00BC23D7">
        <w:rPr>
          <w:rFonts w:ascii="Palatino Linotype" w:eastAsia="Palatino Linotype" w:hAnsi="Palatino Linotype" w:cs="Palatino Linotype"/>
          <w:color w:val="000000" w:themeColor="text1"/>
          <w:sz w:val="22"/>
          <w:szCs w:val="22"/>
          <w:lang w:eastAsia="es-MX"/>
        </w:rPr>
        <w:t>acreditamiento</w:t>
      </w:r>
      <w:proofErr w:type="spellEnd"/>
      <w:r w:rsidRPr="00BC23D7">
        <w:rPr>
          <w:rFonts w:ascii="Palatino Linotype" w:eastAsia="Palatino Linotype" w:hAnsi="Palatino Linotype" w:cs="Palatino Linotype"/>
          <w:color w:val="000000" w:themeColor="text1"/>
          <w:sz w:val="22"/>
          <w:szCs w:val="22"/>
          <w:lang w:eastAsia="es-MX"/>
        </w:rPr>
        <w:t xml:space="preserve"> de impuestos y cumplimiento de las obligaciones fiscales tanto del emisor como del receptor, de conformidad con la Ley del Impuesto sobre la Renta (LISR) y la Ley del Impuesto al Valor Agregado (LIVA). Asimismo, puede tener valor probatorio en procedimientos administrativos o judiciales.</w:t>
      </w:r>
    </w:p>
    <w:p w14:paraId="00EAD395" w14:textId="77777777" w:rsidR="00927EC2" w:rsidRPr="00BC23D7" w:rsidRDefault="00927EC2" w:rsidP="00475C6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CD4C492" w14:textId="629C456D" w:rsidR="00927EC2" w:rsidRPr="00BC23D7" w:rsidRDefault="00927EC2" w:rsidP="00475C6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En este sentido, la erogación de recursos para los Ayuntamientos implica la necesidad de acreditar dichos gastos, por lo que la información, obra en los archivos del Sujeto Obligado.</w:t>
      </w:r>
    </w:p>
    <w:p w14:paraId="13AA93F4" w14:textId="77777777" w:rsidR="00927EC2" w:rsidRPr="00BC23D7" w:rsidRDefault="00927EC2" w:rsidP="00475C6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77182C6" w14:textId="575A34FD" w:rsidR="00A311EC" w:rsidRPr="00BC23D7" w:rsidRDefault="00927EC2"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Ahora bien, una vez que se analizó la naturaleza de la información, debemos señalar que el Sujeto Obligado, refirió que la información encuadra en el supuesto del artículo 140 fracción X de la Ley de Transparencia y Acceso a la Información Pública vigente en la entidad</w:t>
      </w:r>
      <w:r w:rsidR="00971A16" w:rsidRPr="00BC23D7">
        <w:rPr>
          <w:rFonts w:ascii="Palatino Linotype" w:eastAsia="Palatino Linotype" w:hAnsi="Palatino Linotype" w:cs="Palatino Linotype"/>
          <w:color w:val="000000" w:themeColor="text1"/>
          <w:sz w:val="22"/>
          <w:szCs w:val="22"/>
          <w:lang w:eastAsia="es-MX"/>
        </w:rPr>
        <w:t>, sin embargo, la ley en la materia, desde su interpretación sistemática</w:t>
      </w:r>
      <w:r w:rsidR="00634F16" w:rsidRPr="00BC23D7">
        <w:rPr>
          <w:rFonts w:ascii="Palatino Linotype" w:eastAsia="Palatino Linotype" w:hAnsi="Palatino Linotype" w:cs="Palatino Linotype"/>
          <w:color w:val="000000" w:themeColor="text1"/>
          <w:sz w:val="22"/>
          <w:szCs w:val="22"/>
          <w:lang w:eastAsia="es-MX"/>
        </w:rPr>
        <w:t xml:space="preserve">, debemos señalar que la Constitución </w:t>
      </w:r>
      <w:r w:rsidR="0051528F" w:rsidRPr="00BC23D7">
        <w:rPr>
          <w:rFonts w:ascii="Palatino Linotype" w:eastAsia="Palatino Linotype" w:hAnsi="Palatino Linotype" w:cs="Palatino Linotype"/>
          <w:color w:val="000000" w:themeColor="text1"/>
          <w:sz w:val="22"/>
          <w:szCs w:val="22"/>
          <w:lang w:eastAsia="es-MX"/>
        </w:rPr>
        <w:t>Política</w:t>
      </w:r>
      <w:r w:rsidR="00634F16" w:rsidRPr="00BC23D7">
        <w:rPr>
          <w:rFonts w:ascii="Palatino Linotype" w:eastAsia="Palatino Linotype" w:hAnsi="Palatino Linotype" w:cs="Palatino Linotype"/>
          <w:color w:val="000000" w:themeColor="text1"/>
          <w:sz w:val="22"/>
          <w:szCs w:val="22"/>
          <w:lang w:eastAsia="es-MX"/>
        </w:rPr>
        <w:t xml:space="preserve"> de los Estados Unidos Mexicanos, en su artículo </w:t>
      </w:r>
      <w:r w:rsidR="0051528F" w:rsidRPr="00BC23D7">
        <w:rPr>
          <w:rFonts w:ascii="Palatino Linotype" w:eastAsia="Palatino Linotype" w:hAnsi="Palatino Linotype" w:cs="Palatino Linotype"/>
          <w:color w:val="000000" w:themeColor="text1"/>
          <w:sz w:val="22"/>
          <w:szCs w:val="22"/>
          <w:lang w:eastAsia="es-MX"/>
        </w:rPr>
        <w:t xml:space="preserve">6° fracción A, contempla que la información </w:t>
      </w:r>
      <w:r w:rsidR="00053BE2" w:rsidRPr="00BC23D7">
        <w:rPr>
          <w:rFonts w:ascii="Palatino Linotype" w:eastAsia="Palatino Linotype" w:hAnsi="Palatino Linotype" w:cs="Palatino Linotype"/>
          <w:color w:val="000000" w:themeColor="text1"/>
          <w:sz w:val="22"/>
          <w:szCs w:val="22"/>
          <w:lang w:eastAsia="es-MX"/>
        </w:rPr>
        <w:t xml:space="preserve">únicamente podrá limitarse bajo dos supuestos, la confidencialidad y la reserva, sin embargo, no basta con señalar el supuesto, sino que, conforme al derecho jurídico mexicano, </w:t>
      </w:r>
      <w:r w:rsidR="00A01FDB" w:rsidRPr="00BC23D7">
        <w:rPr>
          <w:rFonts w:ascii="Palatino Linotype" w:eastAsia="Palatino Linotype" w:hAnsi="Palatino Linotype" w:cs="Palatino Linotype"/>
          <w:color w:val="000000" w:themeColor="text1"/>
          <w:sz w:val="22"/>
          <w:szCs w:val="22"/>
          <w:lang w:eastAsia="es-MX"/>
        </w:rPr>
        <w:t>todo acto de autoridad que implique molestia, debe ser debidamente fundado y motivado, lo que no es una excepción  en el presente asunto, por lo que la Ley de Transparencia, contempla que cuando se encuadre el supuesto de reserva, que contempla el artículo 140 de la Ley de Transparencia, se debe desarrollar una prueba de daño, que deberá ser aprobada por el Comité de Transparencia del Sujeto Obligado.</w:t>
      </w:r>
    </w:p>
    <w:p w14:paraId="03AE754B" w14:textId="77777777" w:rsidR="00A01FDB" w:rsidRPr="00BC23D7" w:rsidRDefault="00A01FDB"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8F2D91D" w14:textId="2AB3D7FF" w:rsidR="00A01FDB" w:rsidRPr="00BC23D7" w:rsidRDefault="00D14329" w:rsidP="001725FA">
      <w:pPr>
        <w:tabs>
          <w:tab w:val="left" w:pos="4962"/>
        </w:tabs>
        <w:spacing w:line="360" w:lineRule="auto"/>
        <w:ind w:right="142"/>
        <w:jc w:val="both"/>
        <w:rPr>
          <w:rFonts w:ascii="Palatino Linotype" w:eastAsia="Palatino Linotype" w:hAnsi="Palatino Linotype" w:cs="Palatino Linotype"/>
          <w:i/>
          <w:iCs/>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La Prueba de Daño, se define en el artículo </w:t>
      </w:r>
      <w:r w:rsidR="001725FA" w:rsidRPr="00BC23D7">
        <w:rPr>
          <w:rFonts w:ascii="Palatino Linotype" w:eastAsia="Palatino Linotype" w:hAnsi="Palatino Linotype" w:cs="Palatino Linotype"/>
          <w:color w:val="000000" w:themeColor="text1"/>
          <w:sz w:val="22"/>
          <w:szCs w:val="22"/>
          <w:lang w:eastAsia="es-MX"/>
        </w:rPr>
        <w:t xml:space="preserve">3° fracción XXXIII, como la </w:t>
      </w:r>
      <w:r w:rsidR="009A2803" w:rsidRPr="00BC23D7">
        <w:rPr>
          <w:rFonts w:ascii="Palatino Linotype" w:eastAsia="Palatino Linotype" w:hAnsi="Palatino Linotype" w:cs="Palatino Linotype"/>
          <w:color w:val="000000" w:themeColor="text1"/>
          <w:sz w:val="22"/>
          <w:szCs w:val="22"/>
          <w:lang w:eastAsia="es-MX"/>
        </w:rPr>
        <w:t>r</w:t>
      </w:r>
      <w:r w:rsidR="001725FA" w:rsidRPr="00BC23D7">
        <w:rPr>
          <w:rFonts w:ascii="Palatino Linotype" w:eastAsia="Palatino Linotype" w:hAnsi="Palatino Linotype" w:cs="Palatino Linotype"/>
          <w:i/>
          <w:iCs/>
          <w:color w:val="000000" w:themeColor="text1"/>
          <w:sz w:val="22"/>
          <w:szCs w:val="22"/>
          <w:lang w:eastAsia="es-MX"/>
        </w:rPr>
        <w:t>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r w:rsidR="009A2803" w:rsidRPr="00BC23D7">
        <w:rPr>
          <w:rFonts w:ascii="Palatino Linotype" w:eastAsia="Palatino Linotype" w:hAnsi="Palatino Linotype" w:cs="Palatino Linotype"/>
          <w:i/>
          <w:iCs/>
          <w:color w:val="000000" w:themeColor="text1"/>
          <w:sz w:val="22"/>
          <w:szCs w:val="22"/>
          <w:lang w:eastAsia="es-MX"/>
        </w:rPr>
        <w:t>.</w:t>
      </w:r>
    </w:p>
    <w:p w14:paraId="5E72DCFB" w14:textId="77777777" w:rsidR="001725FA" w:rsidRPr="00BC23D7" w:rsidRDefault="001725FA" w:rsidP="001725FA">
      <w:pPr>
        <w:tabs>
          <w:tab w:val="left" w:pos="4962"/>
        </w:tabs>
        <w:spacing w:line="360" w:lineRule="auto"/>
        <w:ind w:right="142"/>
        <w:jc w:val="both"/>
        <w:rPr>
          <w:rFonts w:ascii="Palatino Linotype" w:eastAsia="Palatino Linotype" w:hAnsi="Palatino Linotype" w:cs="Palatino Linotype"/>
          <w:i/>
          <w:iCs/>
          <w:color w:val="000000" w:themeColor="text1"/>
          <w:sz w:val="22"/>
          <w:szCs w:val="22"/>
          <w:lang w:eastAsia="es-MX"/>
        </w:rPr>
      </w:pPr>
    </w:p>
    <w:p w14:paraId="444E97C6" w14:textId="642CBB28" w:rsidR="009A2803" w:rsidRPr="00BC23D7" w:rsidRDefault="009A2803" w:rsidP="001725F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Esta prueba de daño, conforme el artículo 129, implica la necesidad de acreditar lo siguiente:</w:t>
      </w:r>
    </w:p>
    <w:p w14:paraId="12B04E77" w14:textId="77777777" w:rsidR="001725FA" w:rsidRPr="00BC23D7" w:rsidRDefault="001725FA" w:rsidP="001725F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0C11CC2" w14:textId="77777777" w:rsidR="009C1AC4" w:rsidRPr="00BC23D7" w:rsidRDefault="009C1AC4" w:rsidP="009C1AC4">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BC23D7">
        <w:rPr>
          <w:rFonts w:ascii="Palatino Linotype" w:eastAsia="Palatino Linotype" w:hAnsi="Palatino Linotype" w:cs="Palatino Linotype"/>
          <w:i/>
          <w:iCs/>
          <w:color w:val="000000" w:themeColor="text1"/>
          <w:lang w:eastAsia="es-MX"/>
        </w:rPr>
        <w:t xml:space="preserve">Artículo 129. En la aplicación de la prueba de daño, el sujeto obligado deberá precisar las razones objetivas por las que la apertura de la información generaría una afectación, justificando que: </w:t>
      </w:r>
    </w:p>
    <w:p w14:paraId="5ED7CD7C" w14:textId="7E7EC7BA" w:rsidR="009C1AC4" w:rsidRPr="00BC23D7" w:rsidRDefault="009C1AC4" w:rsidP="009C1AC4">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BC23D7">
        <w:rPr>
          <w:rFonts w:ascii="Palatino Linotype" w:eastAsia="Palatino Linotype" w:hAnsi="Palatino Linotype" w:cs="Palatino Linotype"/>
          <w:i/>
          <w:iCs/>
          <w:color w:val="000000" w:themeColor="text1"/>
          <w:lang w:eastAsia="es-MX"/>
        </w:rPr>
        <w:t>I. La divulgación de la información representa un riesgo real, demostrable e identificable del perjuicio significativo al interés público o a la seguridad pública;</w:t>
      </w:r>
    </w:p>
    <w:p w14:paraId="245DF6C8" w14:textId="77777777" w:rsidR="009C1AC4" w:rsidRPr="00BC23D7" w:rsidRDefault="009C1AC4" w:rsidP="009C1AC4">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BC23D7">
        <w:rPr>
          <w:rFonts w:ascii="Palatino Linotype" w:eastAsia="Palatino Linotype" w:hAnsi="Palatino Linotype" w:cs="Palatino Linotype"/>
          <w:i/>
          <w:iCs/>
          <w:color w:val="000000" w:themeColor="text1"/>
          <w:lang w:eastAsia="es-MX"/>
        </w:rPr>
        <w:lastRenderedPageBreak/>
        <w:t xml:space="preserve">II. El riesgo de perjuicio que supondría la divulgación supera el interés público general de que se difunda; y </w:t>
      </w:r>
    </w:p>
    <w:p w14:paraId="73A6789A" w14:textId="6B7937C8" w:rsidR="009C1AC4" w:rsidRPr="00BC23D7" w:rsidRDefault="009C1AC4" w:rsidP="009C1AC4">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BC23D7">
        <w:rPr>
          <w:rFonts w:ascii="Palatino Linotype" w:eastAsia="Palatino Linotype" w:hAnsi="Palatino Linotype" w:cs="Palatino Linotype"/>
          <w:i/>
          <w:iCs/>
          <w:color w:val="000000" w:themeColor="text1"/>
          <w:lang w:eastAsia="es-MX"/>
        </w:rPr>
        <w:t>III. La limitación se adecua al principio de proporcionalidad y representa el medio menos restrictivo disponible representa el medio menos restrictivo disponible para evitar el perjuicio.</w:t>
      </w:r>
    </w:p>
    <w:p w14:paraId="61CFC66C" w14:textId="77777777" w:rsidR="009C1AC4" w:rsidRPr="00BC23D7" w:rsidRDefault="009C1AC4" w:rsidP="001725FA">
      <w:pPr>
        <w:tabs>
          <w:tab w:val="left" w:pos="4962"/>
        </w:tabs>
        <w:spacing w:line="360" w:lineRule="auto"/>
        <w:ind w:right="142"/>
        <w:jc w:val="both"/>
        <w:rPr>
          <w:rFonts w:ascii="Palatino Linotype" w:eastAsia="Palatino Linotype" w:hAnsi="Palatino Linotype" w:cs="Palatino Linotype"/>
          <w:i/>
          <w:iCs/>
          <w:color w:val="000000" w:themeColor="text1"/>
          <w:sz w:val="22"/>
          <w:szCs w:val="22"/>
          <w:lang w:eastAsia="es-MX"/>
        </w:rPr>
      </w:pPr>
    </w:p>
    <w:p w14:paraId="218855F8" w14:textId="120BED8C" w:rsidR="0062694A" w:rsidRPr="00BC23D7" w:rsidRDefault="0033771A" w:rsidP="0033771A">
      <w:pPr>
        <w:spacing w:line="360" w:lineRule="auto"/>
        <w:contextualSpacing/>
        <w:jc w:val="both"/>
        <w:rPr>
          <w:rFonts w:ascii="Palatino Linotype" w:eastAsia="Palatino Linotype" w:hAnsi="Palatino Linotype" w:cs="Tahoma"/>
          <w:bCs/>
          <w:color w:val="000000" w:themeColor="text1"/>
          <w:sz w:val="22"/>
          <w:szCs w:val="22"/>
          <w:lang w:eastAsia="es-MX"/>
        </w:rPr>
      </w:pPr>
      <w:r w:rsidRPr="00BC23D7">
        <w:rPr>
          <w:rFonts w:ascii="Palatino Linotype" w:eastAsia="Palatino Linotype" w:hAnsi="Palatino Linotype" w:cs="Tahoma"/>
          <w:bCs/>
          <w:color w:val="000000" w:themeColor="text1"/>
          <w:sz w:val="22"/>
          <w:szCs w:val="22"/>
          <w:lang w:eastAsia="es-MX"/>
        </w:rPr>
        <w:t xml:space="preserve">Así, es dable afirmar que el Sujeto Obligado, no desarrollo los extremos de su afirmación, por lo que no es procedente confirmar la limitación referida en respuesta, aunado a que </w:t>
      </w:r>
      <w:r w:rsidR="00085937" w:rsidRPr="00BC23D7">
        <w:rPr>
          <w:rFonts w:ascii="Palatino Linotype" w:eastAsia="Palatino Linotype" w:hAnsi="Palatino Linotype" w:cs="Tahoma"/>
          <w:bCs/>
          <w:color w:val="000000" w:themeColor="text1"/>
          <w:sz w:val="22"/>
          <w:szCs w:val="22"/>
          <w:lang w:eastAsia="es-MX"/>
        </w:rPr>
        <w:t>la información solicitad</w:t>
      </w:r>
      <w:r w:rsidR="009A1E3F" w:rsidRPr="00BC23D7">
        <w:rPr>
          <w:rFonts w:ascii="Palatino Linotype" w:eastAsia="Palatino Linotype" w:hAnsi="Palatino Linotype" w:cs="Tahoma"/>
          <w:bCs/>
          <w:color w:val="000000" w:themeColor="text1"/>
          <w:sz w:val="22"/>
          <w:szCs w:val="22"/>
          <w:lang w:eastAsia="es-MX"/>
        </w:rPr>
        <w:t xml:space="preserve">a debe ser </w:t>
      </w:r>
      <w:r w:rsidR="0062694A" w:rsidRPr="00BC23D7">
        <w:rPr>
          <w:rFonts w:ascii="Palatino Linotype" w:eastAsia="Palatino Linotype" w:hAnsi="Palatino Linotype" w:cs="Tahoma"/>
          <w:bCs/>
          <w:color w:val="000000" w:themeColor="text1"/>
          <w:sz w:val="22"/>
          <w:szCs w:val="22"/>
          <w:lang w:eastAsia="es-MX"/>
        </w:rPr>
        <w:t>reportada</w:t>
      </w:r>
      <w:r w:rsidR="009A1E3F" w:rsidRPr="00BC23D7">
        <w:rPr>
          <w:rFonts w:ascii="Palatino Linotype" w:eastAsia="Palatino Linotype" w:hAnsi="Palatino Linotype" w:cs="Tahoma"/>
          <w:bCs/>
          <w:color w:val="000000" w:themeColor="text1"/>
          <w:sz w:val="22"/>
          <w:szCs w:val="22"/>
          <w:lang w:eastAsia="es-MX"/>
        </w:rPr>
        <w:t xml:space="preserve"> por los </w:t>
      </w:r>
      <w:r w:rsidR="0062694A" w:rsidRPr="00BC23D7">
        <w:rPr>
          <w:rFonts w:ascii="Palatino Linotype" w:eastAsia="Palatino Linotype" w:hAnsi="Palatino Linotype" w:cs="Tahoma"/>
          <w:bCs/>
          <w:color w:val="000000" w:themeColor="text1"/>
          <w:sz w:val="22"/>
          <w:szCs w:val="22"/>
          <w:lang w:eastAsia="es-MX"/>
        </w:rPr>
        <w:t>Ayuntamientos al OSFEM y su naturaleza es el escrutinio</w:t>
      </w:r>
      <w:r w:rsidR="004C704E" w:rsidRPr="00BC23D7">
        <w:rPr>
          <w:rFonts w:ascii="Palatino Linotype" w:eastAsia="Palatino Linotype" w:hAnsi="Palatino Linotype" w:cs="Tahoma"/>
          <w:bCs/>
          <w:color w:val="000000" w:themeColor="text1"/>
          <w:sz w:val="22"/>
          <w:szCs w:val="22"/>
          <w:lang w:eastAsia="es-MX"/>
        </w:rPr>
        <w:t xml:space="preserve"> público</w:t>
      </w:r>
      <w:r w:rsidR="0062694A" w:rsidRPr="00BC23D7">
        <w:rPr>
          <w:rFonts w:ascii="Palatino Linotype" w:eastAsia="Palatino Linotype" w:hAnsi="Palatino Linotype" w:cs="Tahoma"/>
          <w:bCs/>
          <w:color w:val="000000" w:themeColor="text1"/>
          <w:sz w:val="22"/>
          <w:szCs w:val="22"/>
          <w:lang w:eastAsia="es-MX"/>
        </w:rPr>
        <w:t>, por lo que, deberá hacer entrega de la información requerida.</w:t>
      </w:r>
    </w:p>
    <w:p w14:paraId="4DB380D7" w14:textId="77777777" w:rsidR="0062694A" w:rsidRPr="00BC23D7" w:rsidRDefault="0062694A" w:rsidP="0033771A">
      <w:pPr>
        <w:spacing w:line="360" w:lineRule="auto"/>
        <w:contextualSpacing/>
        <w:jc w:val="both"/>
        <w:rPr>
          <w:rFonts w:ascii="Palatino Linotype" w:eastAsia="Palatino Linotype" w:hAnsi="Palatino Linotype" w:cs="Tahoma"/>
          <w:bCs/>
          <w:color w:val="000000" w:themeColor="text1"/>
          <w:sz w:val="22"/>
          <w:szCs w:val="22"/>
          <w:lang w:eastAsia="es-MX"/>
        </w:rPr>
      </w:pPr>
    </w:p>
    <w:p w14:paraId="4C671526"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En materia de acceso a la información pública, el tratamiento de datos personales y el principio de máxima publicidad exigen un equilibrio entre el derecho a saber de la ciudadanía y la protección de los derechos individuales. En ese sentido, el análisis debe considerar que no todos los datos contenidos en las erogaciones de los Sujetos Obligados gozan del mismo nivel de privacidad, particularmente cuando se trata de información relativa a proveedores frente a aquella asociada al cumplimiento de obligaciones legales o contractuales.</w:t>
      </w:r>
    </w:p>
    <w:p w14:paraId="29A33543" w14:textId="77777777" w:rsidR="0010200E" w:rsidRPr="00BC23D7" w:rsidRDefault="0010200E" w:rsidP="0010200E">
      <w:pPr>
        <w:spacing w:line="360" w:lineRule="auto"/>
        <w:jc w:val="both"/>
        <w:rPr>
          <w:rFonts w:ascii="Palatino Linotype" w:hAnsi="Palatino Linotype" w:cs="Tahoma"/>
          <w:bCs/>
          <w:sz w:val="22"/>
          <w:szCs w:val="22"/>
        </w:rPr>
      </w:pPr>
    </w:p>
    <w:p w14:paraId="753F18BD"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Los datos relacionados con personas físicas o morales que prestan servicios o venden bienes al Estado, es decir proveedores, están sujetos a una mayor publicidad, en virtud a que se relaciona intrínsecamente con el ejercicio de recursos públicos. Esto se debe a que, al recibir recursos públicos, sus operaciones se consideran de interés público, conforme al artículo 92, fracción XXIX y XXXVI, de la Ley de Transparencia y Acceso a la Información Pública del Estado de México y Municipios que constriñe a los Sujetos Obligados, a publicar información de todos los procedimientos de adjudicación, directa, invitación restringida y licitaciones de cualquier tipo, así como información del padrón de proveedores. </w:t>
      </w:r>
    </w:p>
    <w:p w14:paraId="10A4FCDB" w14:textId="77777777" w:rsidR="0010200E" w:rsidRPr="00BC23D7" w:rsidRDefault="0010200E" w:rsidP="0010200E">
      <w:pPr>
        <w:spacing w:line="360" w:lineRule="auto"/>
        <w:jc w:val="both"/>
        <w:rPr>
          <w:rFonts w:ascii="Palatino Linotype" w:hAnsi="Palatino Linotype" w:cs="Tahoma"/>
          <w:bCs/>
          <w:sz w:val="22"/>
          <w:szCs w:val="22"/>
        </w:rPr>
      </w:pPr>
    </w:p>
    <w:p w14:paraId="24850A25"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lastRenderedPageBreak/>
        <w:t xml:space="preserve">Esta disposición, que sistemáticamente conforme los </w:t>
      </w:r>
      <w:r w:rsidRPr="00BC23D7">
        <w:rPr>
          <w:rFonts w:ascii="Palatino Linotype" w:hAnsi="Palatino Linotype" w:cs="Tahoma"/>
          <w:bCs/>
          <w:i/>
          <w:iCs/>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BC23D7">
        <w:rPr>
          <w:rFonts w:ascii="Palatino Linotype" w:hAnsi="Palatino Linotype" w:cs="Tahoma"/>
          <w:bCs/>
          <w:sz w:val="22"/>
          <w:szCs w:val="22"/>
        </w:rPr>
        <w:t>contempla que los proveedores, deben hacer públicos al menos los siguientes datos:</w:t>
      </w:r>
    </w:p>
    <w:p w14:paraId="1EE2E3D7" w14:textId="77777777" w:rsidR="0010200E" w:rsidRPr="00BC23D7" w:rsidRDefault="0010200E" w:rsidP="0010200E">
      <w:pPr>
        <w:spacing w:line="360" w:lineRule="auto"/>
        <w:jc w:val="both"/>
        <w:rPr>
          <w:rFonts w:ascii="Palatino Linotype" w:hAnsi="Palatino Linotype" w:cs="Tahoma"/>
          <w:bCs/>
          <w:sz w:val="22"/>
          <w:szCs w:val="22"/>
        </w:rPr>
      </w:pPr>
    </w:p>
    <w:p w14:paraId="014B8401" w14:textId="77777777" w:rsidR="0010200E" w:rsidRPr="00BC23D7" w:rsidRDefault="0010200E" w:rsidP="0010200E">
      <w:pPr>
        <w:pStyle w:val="Prrafodelista"/>
        <w:numPr>
          <w:ilvl w:val="0"/>
          <w:numId w:val="10"/>
        </w:numPr>
        <w:spacing w:line="360" w:lineRule="auto"/>
        <w:jc w:val="both"/>
        <w:rPr>
          <w:rFonts w:ascii="Palatino Linotype" w:hAnsi="Palatino Linotype" w:cs="Tahoma"/>
          <w:bCs/>
          <w:szCs w:val="22"/>
        </w:rPr>
      </w:pPr>
      <w:r w:rsidRPr="00BC23D7">
        <w:rPr>
          <w:rFonts w:ascii="Palatino Linotype" w:hAnsi="Palatino Linotype" w:cs="Tahoma"/>
          <w:bCs/>
          <w:szCs w:val="22"/>
        </w:rPr>
        <w:t xml:space="preserve">Nombre (nombre[s], primer apellido, segundo apellido), denominación o razón social del proveedor o contratista </w:t>
      </w:r>
    </w:p>
    <w:p w14:paraId="4913C61F" w14:textId="77777777" w:rsidR="0010200E" w:rsidRPr="00BC23D7" w:rsidRDefault="0010200E" w:rsidP="0010200E">
      <w:pPr>
        <w:pStyle w:val="Prrafodelista"/>
        <w:numPr>
          <w:ilvl w:val="0"/>
          <w:numId w:val="10"/>
        </w:numPr>
        <w:spacing w:line="360" w:lineRule="auto"/>
        <w:jc w:val="both"/>
        <w:rPr>
          <w:rFonts w:ascii="Palatino Linotype" w:hAnsi="Palatino Linotype" w:cs="Tahoma"/>
          <w:bCs/>
          <w:szCs w:val="22"/>
        </w:rPr>
      </w:pPr>
      <w:r w:rsidRPr="00BC23D7">
        <w:rPr>
          <w:rFonts w:ascii="Palatino Linotype" w:hAnsi="Palatino Linotype" w:cs="Tahoma"/>
          <w:bCs/>
          <w:szCs w:val="22"/>
        </w:rPr>
        <w:t xml:space="preserve">Registro Federal de Contribuyentes (RFC) de la persona física o moral con </w:t>
      </w:r>
      <w:proofErr w:type="spellStart"/>
      <w:r w:rsidRPr="00BC23D7">
        <w:rPr>
          <w:rFonts w:ascii="Palatino Linotype" w:hAnsi="Palatino Linotype" w:cs="Tahoma"/>
          <w:bCs/>
          <w:szCs w:val="22"/>
        </w:rPr>
        <w:t>homoclave</w:t>
      </w:r>
      <w:proofErr w:type="spellEnd"/>
    </w:p>
    <w:p w14:paraId="16A4701A" w14:textId="77777777" w:rsidR="0010200E" w:rsidRPr="00BC23D7" w:rsidRDefault="0010200E" w:rsidP="0010200E">
      <w:pPr>
        <w:pStyle w:val="Prrafodelista"/>
        <w:numPr>
          <w:ilvl w:val="0"/>
          <w:numId w:val="10"/>
        </w:numPr>
        <w:spacing w:line="360" w:lineRule="auto"/>
        <w:jc w:val="both"/>
        <w:rPr>
          <w:rFonts w:ascii="Palatino Linotype" w:hAnsi="Palatino Linotype" w:cs="Tahoma"/>
          <w:bCs/>
          <w:szCs w:val="22"/>
        </w:rPr>
      </w:pPr>
      <w:r w:rsidRPr="00BC23D7">
        <w:rPr>
          <w:rFonts w:ascii="Palatino Linotype" w:hAnsi="Palatino Linotype" w:cs="Tahoma"/>
          <w:bCs/>
          <w:szCs w:val="22"/>
        </w:rPr>
        <w:t>incluida, emitido por el Servicio de Administración Tributaria (SAT). En el caso de personas morales son 12 caracteres y en el de personas físicas.</w:t>
      </w:r>
    </w:p>
    <w:p w14:paraId="3D6D5669" w14:textId="77777777" w:rsidR="0010200E" w:rsidRPr="00BC23D7" w:rsidRDefault="0010200E" w:rsidP="0010200E">
      <w:pPr>
        <w:pStyle w:val="Prrafodelista"/>
        <w:numPr>
          <w:ilvl w:val="0"/>
          <w:numId w:val="10"/>
        </w:numPr>
        <w:spacing w:line="360" w:lineRule="auto"/>
        <w:jc w:val="both"/>
        <w:rPr>
          <w:rFonts w:ascii="Palatino Linotype" w:hAnsi="Palatino Linotype" w:cs="Tahoma"/>
          <w:bCs/>
          <w:szCs w:val="22"/>
        </w:rPr>
      </w:pPr>
      <w:r w:rsidRPr="00BC23D7">
        <w:rPr>
          <w:rFonts w:ascii="Palatino Linotype" w:hAnsi="Palatino Linotype" w:cs="Tahoma"/>
          <w:bCs/>
          <w:szCs w:val="22"/>
        </w:rPr>
        <w:t>Nombre del representante legal de la empresa, es decir, la persona que posee facultades legales para representarla.</w:t>
      </w:r>
    </w:p>
    <w:p w14:paraId="2698C021" w14:textId="77777777" w:rsidR="0010200E" w:rsidRPr="00BC23D7" w:rsidRDefault="0010200E" w:rsidP="0010200E">
      <w:pPr>
        <w:pStyle w:val="Prrafodelista"/>
        <w:numPr>
          <w:ilvl w:val="0"/>
          <w:numId w:val="10"/>
        </w:numPr>
        <w:spacing w:line="360" w:lineRule="auto"/>
        <w:jc w:val="both"/>
        <w:rPr>
          <w:rFonts w:ascii="Palatino Linotype" w:hAnsi="Palatino Linotype" w:cs="Tahoma"/>
          <w:bCs/>
          <w:szCs w:val="22"/>
        </w:rPr>
      </w:pPr>
      <w:r w:rsidRPr="00BC23D7">
        <w:rPr>
          <w:rFonts w:ascii="Palatino Linotype" w:hAnsi="Palatino Linotype" w:cs="Tahoma"/>
          <w:bCs/>
          <w:szCs w:val="22"/>
        </w:rPr>
        <w:t>Datos de contacto: teléfono, en su caso extensión</w:t>
      </w:r>
    </w:p>
    <w:p w14:paraId="4D0F7E7D" w14:textId="77777777" w:rsidR="0010200E" w:rsidRPr="00BC23D7" w:rsidRDefault="0010200E" w:rsidP="0010200E">
      <w:pPr>
        <w:pStyle w:val="Prrafodelista"/>
        <w:numPr>
          <w:ilvl w:val="0"/>
          <w:numId w:val="10"/>
        </w:numPr>
        <w:spacing w:line="360" w:lineRule="auto"/>
        <w:jc w:val="both"/>
        <w:rPr>
          <w:rFonts w:ascii="Palatino Linotype" w:hAnsi="Palatino Linotype" w:cs="Tahoma"/>
          <w:bCs/>
          <w:szCs w:val="22"/>
        </w:rPr>
      </w:pPr>
      <w:r w:rsidRPr="00BC23D7">
        <w:rPr>
          <w:rFonts w:ascii="Palatino Linotype" w:hAnsi="Palatino Linotype" w:cs="Tahoma"/>
          <w:bCs/>
          <w:szCs w:val="22"/>
        </w:rPr>
        <w:t>Correo electrónico, siempre y cuando éstos hayan sido proporcionados por la empresa</w:t>
      </w:r>
      <w:r w:rsidRPr="00BC23D7">
        <w:rPr>
          <w:rFonts w:ascii="Palatino Linotype" w:hAnsi="Palatino Linotype" w:cs="Tahoma"/>
          <w:bCs/>
          <w:szCs w:val="22"/>
        </w:rPr>
        <w:cr/>
      </w:r>
    </w:p>
    <w:p w14:paraId="66746CB5"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Al revisar el acuerdo emitido por el Sujeto Obligado, abordó la clasificación de </w:t>
      </w:r>
      <w:r w:rsidRPr="00BC23D7">
        <w:rPr>
          <w:rFonts w:ascii="Palatino Linotype" w:hAnsi="Palatino Linotype" w:cs="Tahoma"/>
          <w:b/>
          <w:sz w:val="22"/>
          <w:szCs w:val="22"/>
        </w:rPr>
        <w:t>número de Cuenta, Banco, RFC, CURP, Clave interbancaria, Numero de Tarjeta de Débito, Número Celular</w:t>
      </w:r>
      <w:r w:rsidRPr="00BC23D7">
        <w:rPr>
          <w:rFonts w:ascii="Palatino Linotype" w:hAnsi="Palatino Linotype" w:cs="Tahoma"/>
          <w:bCs/>
          <w:sz w:val="22"/>
          <w:szCs w:val="22"/>
        </w:rPr>
        <w:t>, pero en las versiones públicas, se testaron datos, que no fueron incluidos en el acuerdo de clasificación como lo son t</w:t>
      </w:r>
      <w:r w:rsidRPr="00BC23D7">
        <w:rPr>
          <w:rFonts w:ascii="Palatino Linotype" w:hAnsi="Palatino Linotype" w:cs="Tahoma"/>
          <w:b/>
          <w:sz w:val="22"/>
          <w:szCs w:val="22"/>
        </w:rPr>
        <w:t>itular de la cuenta, clave de rastreo, Guía CIE, concepto (de pago), nombre del beneficiario (personas morales, persona física y de entidades gubernamentales), cuentas del beneficiario (en caso de instituciones públicas) y cadena original, ,</w:t>
      </w:r>
      <w:r w:rsidRPr="00BC23D7">
        <w:rPr>
          <w:rFonts w:ascii="Palatino Linotype" w:hAnsi="Palatino Linotype" w:cs="Tahoma"/>
          <w:bCs/>
          <w:sz w:val="22"/>
          <w:szCs w:val="22"/>
        </w:rPr>
        <w:t xml:space="preserve"> por lo cual, se realizara un estudio de los datos personales que se consideran, deben ser abordados. En este contexto, el acuerdo de clasificación no analizó toda la información que fue testada, por lo que hay una indebida fundamentación y motivación en el acuerdo emitido por el Comité de Transparencia.</w:t>
      </w:r>
    </w:p>
    <w:p w14:paraId="1B7B39CB" w14:textId="77777777" w:rsidR="0010200E" w:rsidRPr="00BC23D7" w:rsidRDefault="0010200E" w:rsidP="0010200E">
      <w:pPr>
        <w:spacing w:line="360" w:lineRule="auto"/>
        <w:jc w:val="both"/>
        <w:rPr>
          <w:rFonts w:ascii="Palatino Linotype" w:hAnsi="Palatino Linotype" w:cs="Tahoma"/>
          <w:bCs/>
          <w:sz w:val="22"/>
          <w:szCs w:val="22"/>
        </w:rPr>
      </w:pPr>
    </w:p>
    <w:p w14:paraId="6164D2A6"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La confidencialidad de los datos personales tiene por objetivo establecer el límite del derecho de acceso a la información a partir del derecho a la intimidad y la vida privada de los individuos; por lo cual, resulta necesario analizar si los datos mencionados, deben ser considerados confidenciales, en términos del artículo 143, fracción I, de la Ley de Transparencia y Acceso a la Información Pública del Estado de México y Municipios, o públicos tal como se expone a continuación:</w:t>
      </w:r>
    </w:p>
    <w:p w14:paraId="73F20318" w14:textId="77777777" w:rsidR="0010200E" w:rsidRPr="00BC23D7" w:rsidRDefault="0010200E" w:rsidP="0010200E">
      <w:pPr>
        <w:spacing w:line="360" w:lineRule="auto"/>
        <w:jc w:val="both"/>
        <w:rPr>
          <w:rFonts w:ascii="Palatino Linotype" w:hAnsi="Palatino Linotype" w:cs="Tahoma"/>
          <w:bCs/>
          <w:sz w:val="22"/>
          <w:szCs w:val="22"/>
        </w:rPr>
      </w:pPr>
    </w:p>
    <w:p w14:paraId="266D92ED" w14:textId="77777777" w:rsidR="0010200E" w:rsidRPr="00BC23D7" w:rsidRDefault="0010200E" w:rsidP="0010200E">
      <w:pPr>
        <w:pStyle w:val="Prrafodelista"/>
        <w:numPr>
          <w:ilvl w:val="0"/>
          <w:numId w:val="11"/>
        </w:numPr>
        <w:spacing w:line="360" w:lineRule="auto"/>
        <w:jc w:val="both"/>
        <w:rPr>
          <w:rFonts w:ascii="Palatino Linotype" w:hAnsi="Palatino Linotype" w:cs="Tahoma"/>
          <w:b/>
          <w:szCs w:val="22"/>
        </w:rPr>
      </w:pPr>
      <w:r w:rsidRPr="00BC23D7">
        <w:rPr>
          <w:rFonts w:ascii="Palatino Linotype" w:hAnsi="Palatino Linotype" w:cs="Tahoma"/>
          <w:b/>
          <w:szCs w:val="22"/>
        </w:rPr>
        <w:t>Nombre de proveedores (personas físicas y personas jurídico-colectivas, incluyendo entidades gubernamentales).</w:t>
      </w:r>
    </w:p>
    <w:p w14:paraId="54AA5474" w14:textId="77777777" w:rsidR="0010200E" w:rsidRPr="00BC23D7" w:rsidRDefault="0010200E" w:rsidP="0010200E">
      <w:pPr>
        <w:spacing w:line="360" w:lineRule="auto"/>
        <w:jc w:val="both"/>
        <w:rPr>
          <w:rFonts w:ascii="Palatino Linotype" w:hAnsi="Palatino Linotype" w:cs="Tahoma"/>
          <w:bCs/>
          <w:sz w:val="22"/>
          <w:szCs w:val="22"/>
        </w:rPr>
      </w:pPr>
    </w:p>
    <w:p w14:paraId="2576D57C"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Para efectos de la transparencia en la contratación pública y la rendición de cuentas, debe entenderse como el dato de identificación básica de una persona física o jurídico-colectiva que ha celebrado un contrato o recibido un pago derivado de una relación jurídica con un Sujeto Obligado.</w:t>
      </w:r>
    </w:p>
    <w:p w14:paraId="5AE8CCBD" w14:textId="77777777" w:rsidR="0010200E" w:rsidRPr="00BC23D7" w:rsidRDefault="0010200E" w:rsidP="0010200E">
      <w:pPr>
        <w:spacing w:line="360" w:lineRule="auto"/>
        <w:jc w:val="both"/>
        <w:rPr>
          <w:rFonts w:ascii="Palatino Linotype" w:hAnsi="Palatino Linotype" w:cs="Tahoma"/>
          <w:bCs/>
          <w:sz w:val="22"/>
          <w:szCs w:val="22"/>
        </w:rPr>
      </w:pPr>
    </w:p>
    <w:p w14:paraId="30034E92"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En el caso de </w:t>
      </w:r>
      <w:r w:rsidRPr="00BC23D7">
        <w:rPr>
          <w:rFonts w:ascii="Palatino Linotype" w:hAnsi="Palatino Linotype" w:cs="Tahoma"/>
          <w:b/>
          <w:sz w:val="22"/>
          <w:szCs w:val="22"/>
        </w:rPr>
        <w:t>personas físicas proveedoras</w:t>
      </w:r>
      <w:r w:rsidRPr="00BC23D7">
        <w:rPr>
          <w:rFonts w:ascii="Palatino Linotype" w:hAnsi="Palatino Linotype" w:cs="Tahoma"/>
          <w:bCs/>
          <w:sz w:val="22"/>
          <w:szCs w:val="22"/>
        </w:rPr>
        <w:t xml:space="preserve">, el nombre corresponde al </w:t>
      </w:r>
      <w:r w:rsidRPr="00BC23D7">
        <w:rPr>
          <w:rFonts w:ascii="Palatino Linotype" w:hAnsi="Palatino Linotype" w:cs="Tahoma"/>
          <w:b/>
          <w:sz w:val="22"/>
          <w:szCs w:val="22"/>
        </w:rPr>
        <w:t>nombre completo (nombre(s), apellido paterno y materno)</w:t>
      </w:r>
      <w:r w:rsidRPr="00BC23D7">
        <w:rPr>
          <w:rFonts w:ascii="Palatino Linotype" w:hAnsi="Palatino Linotype" w:cs="Tahoma"/>
          <w:bCs/>
          <w:sz w:val="22"/>
          <w:szCs w:val="22"/>
        </w:rPr>
        <w:t xml:space="preserve"> que aparece en el contrato, factura o comprobante fiscal como responsable de la prestación del servicio o entrega del bien, para el caso de </w:t>
      </w:r>
      <w:r w:rsidRPr="00BC23D7">
        <w:rPr>
          <w:rFonts w:ascii="Palatino Linotype" w:hAnsi="Palatino Linotype" w:cs="Tahoma"/>
          <w:b/>
          <w:sz w:val="22"/>
          <w:szCs w:val="22"/>
        </w:rPr>
        <w:t>personas jurídico-colectivas</w:t>
      </w:r>
      <w:r w:rsidRPr="00BC23D7">
        <w:rPr>
          <w:rFonts w:ascii="Palatino Linotype" w:hAnsi="Palatino Linotype" w:cs="Tahoma"/>
          <w:bCs/>
          <w:sz w:val="22"/>
          <w:szCs w:val="22"/>
        </w:rPr>
        <w:t xml:space="preserve">, el nombre hace referencia a la </w:t>
      </w:r>
      <w:r w:rsidRPr="00BC23D7">
        <w:rPr>
          <w:rFonts w:ascii="Palatino Linotype" w:hAnsi="Palatino Linotype" w:cs="Tahoma"/>
          <w:b/>
          <w:sz w:val="22"/>
          <w:szCs w:val="22"/>
        </w:rPr>
        <w:t>denominación o razón social</w:t>
      </w:r>
      <w:r w:rsidRPr="00BC23D7">
        <w:rPr>
          <w:rFonts w:ascii="Palatino Linotype" w:hAnsi="Palatino Linotype" w:cs="Tahoma"/>
          <w:bCs/>
          <w:sz w:val="22"/>
          <w:szCs w:val="22"/>
        </w:rPr>
        <w:t xml:space="preserve"> inscrita ante el Registro Público de Comercio y que figura en el acto jurídico correspondiente.</w:t>
      </w:r>
    </w:p>
    <w:p w14:paraId="09E9FDB3" w14:textId="77777777" w:rsidR="0010200E" w:rsidRPr="00BC23D7" w:rsidRDefault="0010200E" w:rsidP="0010200E">
      <w:pPr>
        <w:spacing w:line="360" w:lineRule="auto"/>
        <w:jc w:val="both"/>
        <w:rPr>
          <w:rFonts w:ascii="Palatino Linotype" w:hAnsi="Palatino Linotype" w:cs="Tahoma"/>
          <w:bCs/>
          <w:sz w:val="22"/>
          <w:szCs w:val="22"/>
        </w:rPr>
      </w:pPr>
    </w:p>
    <w:p w14:paraId="70B67A84"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El nombre de las personas físicas o personas jurídico-colectivas que fungen como proveedores del Estado constituye información de carácter público, al tratarse de sujetos que han celebrado contratos con cualquier Sujeto Obligado para el suministro de bienes o prestación de servicios a cambio de recursos públicos. </w:t>
      </w:r>
    </w:p>
    <w:p w14:paraId="23870687" w14:textId="77777777" w:rsidR="0010200E" w:rsidRPr="00BC23D7" w:rsidRDefault="0010200E" w:rsidP="0010200E">
      <w:pPr>
        <w:spacing w:line="360" w:lineRule="auto"/>
        <w:jc w:val="both"/>
        <w:rPr>
          <w:rFonts w:ascii="Palatino Linotype" w:hAnsi="Palatino Linotype" w:cs="Tahoma"/>
          <w:bCs/>
          <w:sz w:val="22"/>
          <w:szCs w:val="22"/>
        </w:rPr>
      </w:pPr>
    </w:p>
    <w:p w14:paraId="0E12242A"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lastRenderedPageBreak/>
        <w:t>Dicha obligación se sustenta además en el principio de máxima publicidad previsto en los artículos 6° constitucional y 5 de la Ley General, que establecen que toda la información en posesión de los entes públicos es pública y accesible, salvo que se justifique su reserva o confidencialidad mediante prueba de daño. En el caso concreto, no se actualiza una causal de reserva ni de confidencialidad respecto al nombre del proveedor, ya que se trata de un dato relacionado con la rendición de cuentas sobre el uso de recursos públicos y la transparencia en los procesos de contratación.</w:t>
      </w:r>
    </w:p>
    <w:p w14:paraId="69021ECB" w14:textId="77777777" w:rsidR="0010200E" w:rsidRPr="00BC23D7" w:rsidRDefault="0010200E" w:rsidP="0010200E">
      <w:pPr>
        <w:spacing w:line="360" w:lineRule="auto"/>
        <w:jc w:val="both"/>
        <w:rPr>
          <w:rFonts w:ascii="Palatino Linotype" w:hAnsi="Palatino Linotype" w:cs="Tahoma"/>
          <w:bCs/>
          <w:sz w:val="22"/>
          <w:szCs w:val="22"/>
        </w:rPr>
      </w:pPr>
    </w:p>
    <w:p w14:paraId="11645327"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Por tanto, en los documentos que den cuenta de pagos realizados a proveedores -como facturas, comprobantes, órdenes de pago, contratos o reportes contables- el nombre del proveedor debe permanecer visible, sin que proceda su testado o clasificación como dato confidencial. </w:t>
      </w:r>
    </w:p>
    <w:p w14:paraId="50D6A6E1" w14:textId="77777777" w:rsidR="0010200E" w:rsidRPr="00BC23D7" w:rsidRDefault="0010200E" w:rsidP="0010200E">
      <w:pPr>
        <w:spacing w:line="360" w:lineRule="auto"/>
        <w:jc w:val="both"/>
        <w:rPr>
          <w:rFonts w:ascii="Palatino Linotype" w:hAnsi="Palatino Linotype" w:cs="Tahoma"/>
          <w:bCs/>
          <w:sz w:val="22"/>
          <w:szCs w:val="22"/>
        </w:rPr>
      </w:pPr>
    </w:p>
    <w:p w14:paraId="55CCE9EB"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Ahora bien, para el caso </w:t>
      </w:r>
      <w:proofErr w:type="gramStart"/>
      <w:r w:rsidRPr="00BC23D7">
        <w:rPr>
          <w:rFonts w:ascii="Palatino Linotype" w:hAnsi="Palatino Linotype" w:cs="Tahoma"/>
          <w:bCs/>
          <w:sz w:val="22"/>
          <w:szCs w:val="22"/>
        </w:rPr>
        <w:t>de el</w:t>
      </w:r>
      <w:proofErr w:type="gramEnd"/>
      <w:r w:rsidRPr="00BC23D7">
        <w:rPr>
          <w:rFonts w:ascii="Palatino Linotype" w:hAnsi="Palatino Linotype" w:cs="Tahoma"/>
          <w:bCs/>
          <w:sz w:val="22"/>
          <w:szCs w:val="22"/>
        </w:rPr>
        <w:t xml:space="preserve"> nombre de instituciones públicas, a los cuales se les hizo algún pago, como en el presente asunto, es el </w:t>
      </w:r>
      <w:proofErr w:type="spellStart"/>
      <w:r w:rsidRPr="00BC23D7">
        <w:rPr>
          <w:rFonts w:ascii="Palatino Linotype" w:hAnsi="Palatino Linotype" w:cs="Tahoma"/>
          <w:bCs/>
          <w:sz w:val="22"/>
          <w:szCs w:val="22"/>
        </w:rPr>
        <w:t>ISSEMyM</w:t>
      </w:r>
      <w:proofErr w:type="spellEnd"/>
      <w:r w:rsidRPr="00BC23D7">
        <w:rPr>
          <w:rFonts w:ascii="Palatino Linotype" w:hAnsi="Palatino Linotype" w:cs="Tahoma"/>
          <w:bCs/>
          <w:sz w:val="22"/>
          <w:szCs w:val="22"/>
        </w:rPr>
        <w:t>, también es un dato que debe ser visible.</w:t>
      </w:r>
    </w:p>
    <w:p w14:paraId="3136B097" w14:textId="77777777" w:rsidR="0010200E" w:rsidRPr="00BC23D7" w:rsidRDefault="0010200E" w:rsidP="0010200E">
      <w:pPr>
        <w:spacing w:line="360" w:lineRule="auto"/>
        <w:jc w:val="both"/>
        <w:rPr>
          <w:rFonts w:ascii="Palatino Linotype" w:hAnsi="Palatino Linotype" w:cs="Tahoma"/>
          <w:bCs/>
          <w:sz w:val="22"/>
          <w:szCs w:val="22"/>
        </w:rPr>
      </w:pPr>
    </w:p>
    <w:p w14:paraId="1A2170FE" w14:textId="77777777" w:rsidR="0010200E" w:rsidRPr="00BC23D7" w:rsidRDefault="0010200E" w:rsidP="0010200E">
      <w:pPr>
        <w:pStyle w:val="Prrafodelista"/>
        <w:numPr>
          <w:ilvl w:val="0"/>
          <w:numId w:val="11"/>
        </w:numPr>
        <w:spacing w:line="360" w:lineRule="auto"/>
        <w:jc w:val="both"/>
        <w:rPr>
          <w:rFonts w:ascii="Palatino Linotype" w:hAnsi="Palatino Linotype" w:cs="Tahoma"/>
          <w:b/>
          <w:szCs w:val="22"/>
        </w:rPr>
      </w:pPr>
      <w:r w:rsidRPr="00BC23D7">
        <w:rPr>
          <w:rFonts w:ascii="Palatino Linotype" w:hAnsi="Palatino Linotype" w:cs="Tahoma"/>
          <w:b/>
          <w:szCs w:val="22"/>
        </w:rPr>
        <w:t xml:space="preserve">Número de Cuenta y/o </w:t>
      </w:r>
      <w:proofErr w:type="spellStart"/>
      <w:r w:rsidRPr="00BC23D7">
        <w:rPr>
          <w:rFonts w:ascii="Palatino Linotype" w:hAnsi="Palatino Linotype" w:cs="Tahoma"/>
          <w:b/>
          <w:szCs w:val="22"/>
        </w:rPr>
        <w:t>Clabe</w:t>
      </w:r>
      <w:proofErr w:type="spellEnd"/>
      <w:r w:rsidRPr="00BC23D7">
        <w:rPr>
          <w:rFonts w:ascii="Palatino Linotype" w:hAnsi="Palatino Linotype" w:cs="Tahoma"/>
          <w:b/>
          <w:szCs w:val="22"/>
        </w:rPr>
        <w:t xml:space="preserve"> Interbancaria.</w:t>
      </w:r>
    </w:p>
    <w:p w14:paraId="0FF8757A" w14:textId="77777777" w:rsidR="0010200E" w:rsidRPr="00BC23D7" w:rsidRDefault="0010200E" w:rsidP="0010200E">
      <w:pPr>
        <w:spacing w:line="360" w:lineRule="auto"/>
        <w:jc w:val="both"/>
        <w:rPr>
          <w:rFonts w:ascii="Palatino Linotype" w:hAnsi="Palatino Linotype" w:cs="Tahoma"/>
          <w:bCs/>
          <w:sz w:val="22"/>
          <w:szCs w:val="22"/>
        </w:rPr>
      </w:pPr>
    </w:p>
    <w:p w14:paraId="49BF7B72"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Conforme lo indicado en la página electrónica de BBVA, se contempla que El número de una cuenta bancaria, código IBAN (o International Bank </w:t>
      </w:r>
      <w:proofErr w:type="spellStart"/>
      <w:r w:rsidRPr="00BC23D7">
        <w:rPr>
          <w:rFonts w:ascii="Palatino Linotype" w:hAnsi="Palatino Linotype" w:cs="Tahoma"/>
          <w:bCs/>
          <w:sz w:val="22"/>
          <w:szCs w:val="22"/>
        </w:rPr>
        <w:t>Account</w:t>
      </w:r>
      <w:proofErr w:type="spellEnd"/>
      <w:r w:rsidRPr="00BC23D7">
        <w:rPr>
          <w:rFonts w:ascii="Palatino Linotype" w:hAnsi="Palatino Linotype" w:cs="Tahoma"/>
          <w:bCs/>
          <w:sz w:val="22"/>
          <w:szCs w:val="22"/>
        </w:rPr>
        <w:t xml:space="preserve"> </w:t>
      </w:r>
      <w:proofErr w:type="spellStart"/>
      <w:r w:rsidRPr="00BC23D7">
        <w:rPr>
          <w:rFonts w:ascii="Palatino Linotype" w:hAnsi="Palatino Linotype" w:cs="Tahoma"/>
          <w:bCs/>
          <w:sz w:val="22"/>
          <w:szCs w:val="22"/>
        </w:rPr>
        <w:t>Number</w:t>
      </w:r>
      <w:proofErr w:type="spellEnd"/>
      <w:r w:rsidRPr="00BC23D7">
        <w:rPr>
          <w:rFonts w:ascii="Palatino Linotype" w:hAnsi="Palatino Linotype" w:cs="Tahoma"/>
          <w:bCs/>
          <w:sz w:val="22"/>
          <w:szCs w:val="22"/>
        </w:rPr>
        <w:t>) incluido, se compone de 24 caracteres, que se asignan para dar unicidad a una cuenta individual y al mismo tiempo, otorgan metadatos como entidad bancaria, sucursal, dígitos de control y el número único de identificación.</w:t>
      </w:r>
    </w:p>
    <w:p w14:paraId="51EFB21C" w14:textId="77777777" w:rsidR="0010200E" w:rsidRPr="00BC23D7" w:rsidRDefault="0010200E" w:rsidP="0010200E">
      <w:pPr>
        <w:spacing w:line="360" w:lineRule="auto"/>
        <w:jc w:val="both"/>
        <w:rPr>
          <w:rFonts w:ascii="Palatino Linotype" w:hAnsi="Palatino Linotype" w:cs="Tahoma"/>
          <w:bCs/>
          <w:sz w:val="22"/>
          <w:szCs w:val="22"/>
        </w:rPr>
      </w:pPr>
    </w:p>
    <w:p w14:paraId="7390B303"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Por otro lado, la CLABE, la CONDUSEF en la página electrónica institucional </w:t>
      </w:r>
      <w:hyperlink r:id="rId10" w:history="1">
        <w:r w:rsidRPr="00BC23D7">
          <w:rPr>
            <w:rStyle w:val="Hipervnculo"/>
            <w:rFonts w:ascii="Palatino Linotype" w:hAnsi="Palatino Linotype" w:cs="Tahoma"/>
            <w:bCs/>
            <w:sz w:val="22"/>
            <w:szCs w:val="22"/>
          </w:rPr>
          <w:t>https://www.gob.mx/condusef/articulos/sabes-cual-es-la-clabe</w:t>
        </w:r>
      </w:hyperlink>
      <w:r w:rsidRPr="00BC23D7">
        <w:rPr>
          <w:rFonts w:ascii="Palatino Linotype" w:hAnsi="Palatino Linotype" w:cs="Tahoma"/>
          <w:bCs/>
          <w:sz w:val="22"/>
          <w:szCs w:val="22"/>
        </w:rPr>
        <w:t xml:space="preserve">, la define como un número único e irrepetible asignado a cada  cuenta bancaria  y tiene por objeto darle mayor certeza y </w:t>
      </w:r>
      <w:r w:rsidRPr="00BC23D7">
        <w:rPr>
          <w:rFonts w:ascii="Palatino Linotype" w:hAnsi="Palatino Linotype" w:cs="Tahoma"/>
          <w:bCs/>
          <w:sz w:val="22"/>
          <w:szCs w:val="22"/>
        </w:rPr>
        <w:lastRenderedPageBreak/>
        <w:t>seguridad a las transferencias de un banco a otro y que las órdenes de cargo se apliquen exclusivamente a la cuenta señalada por el usuario, ya sea como origen o destino, compuesta por 18 dígitos.</w:t>
      </w:r>
    </w:p>
    <w:p w14:paraId="113067F0" w14:textId="77777777" w:rsidR="0010200E" w:rsidRPr="00BC23D7" w:rsidRDefault="0010200E" w:rsidP="0010200E">
      <w:pPr>
        <w:spacing w:line="360" w:lineRule="auto"/>
        <w:jc w:val="both"/>
        <w:rPr>
          <w:rFonts w:ascii="Palatino Linotype" w:hAnsi="Palatino Linotype" w:cs="Tahoma"/>
          <w:bCs/>
          <w:sz w:val="22"/>
          <w:szCs w:val="22"/>
        </w:rPr>
      </w:pPr>
    </w:p>
    <w:p w14:paraId="091020C2"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Dichos datos se relacionan con hechos y actos de carácter económico, pues los mismos darían cuenta, de la relación que tiene una institución financiero con un particular, ya sea persona física o jurídica colectiva; además, que con dicha información se podría obtener los recursos enviados a las órdenes de cargo, pago o a las transferencias electrónicas de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4AC5594A" w14:textId="77777777" w:rsidR="0010200E" w:rsidRPr="00BC23D7" w:rsidRDefault="0010200E" w:rsidP="0010200E">
      <w:pPr>
        <w:spacing w:line="360" w:lineRule="auto"/>
        <w:jc w:val="both"/>
        <w:rPr>
          <w:rFonts w:ascii="Palatino Linotype" w:hAnsi="Palatino Linotype" w:cs="Tahoma"/>
          <w:bCs/>
          <w:sz w:val="22"/>
          <w:szCs w:val="22"/>
        </w:rPr>
      </w:pPr>
    </w:p>
    <w:p w14:paraId="0FFF492C"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A mayor abundamiento, resulta necesario traer a colación el Criterio de Interpretación, de la Segunda Época, con número de registro SO/010/2017, emitido por el Instituto Nacional de Transparencia, Acceso a la Información y Protección de Datos Personales, mismo que establece lo siguiente:</w:t>
      </w:r>
    </w:p>
    <w:p w14:paraId="4FA6D5EE" w14:textId="77777777" w:rsidR="0010200E" w:rsidRPr="00BC23D7" w:rsidRDefault="0010200E" w:rsidP="0010200E">
      <w:pPr>
        <w:spacing w:line="360" w:lineRule="auto"/>
        <w:jc w:val="both"/>
        <w:rPr>
          <w:rFonts w:ascii="Palatino Linotype" w:hAnsi="Palatino Linotype" w:cs="Tahoma"/>
          <w:bCs/>
          <w:sz w:val="22"/>
          <w:szCs w:val="22"/>
        </w:rPr>
      </w:pPr>
    </w:p>
    <w:p w14:paraId="4E69E719" w14:textId="77777777" w:rsidR="0010200E" w:rsidRPr="00BC23D7" w:rsidRDefault="0010200E" w:rsidP="0010200E">
      <w:pPr>
        <w:pStyle w:val="Sinespaciado"/>
        <w:spacing w:before="120" w:after="120" w:line="360" w:lineRule="auto"/>
        <w:ind w:right="539"/>
        <w:rPr>
          <w:rFonts w:ascii="Palatino Linotype" w:hAnsi="Palatino Linotype" w:cs="Arial"/>
          <w:i/>
          <w:iCs/>
          <w:szCs w:val="20"/>
        </w:rPr>
      </w:pPr>
      <w:r w:rsidRPr="00BC23D7">
        <w:rPr>
          <w:rFonts w:ascii="Palatino Linotype" w:hAnsi="Palatino Linotype" w:cs="Arial"/>
          <w:i/>
          <w:iCs/>
          <w:szCs w:val="20"/>
        </w:rPr>
        <w:t>“</w:t>
      </w:r>
      <w:r w:rsidRPr="00BC23D7">
        <w:rPr>
          <w:rFonts w:ascii="Palatino Linotype" w:hAnsi="Palatino Linotype" w:cs="Arial"/>
          <w:b/>
          <w:bCs/>
          <w:i/>
          <w:iCs/>
          <w:szCs w:val="20"/>
        </w:rPr>
        <w:t>Cuentas bancarias y/o CLABE interbancaria de personas físicas y morales privadas.</w:t>
      </w:r>
      <w:r w:rsidRPr="00BC23D7">
        <w:rPr>
          <w:rFonts w:ascii="Palatino Linotype" w:hAnsi="Palatino Linotype" w:cs="Arial"/>
          <w:i/>
          <w:iCs/>
          <w:szCs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D3898A" w14:textId="77777777" w:rsidR="0010200E" w:rsidRPr="00BC23D7" w:rsidRDefault="0010200E" w:rsidP="0010200E">
      <w:pPr>
        <w:spacing w:line="360" w:lineRule="auto"/>
        <w:jc w:val="both"/>
        <w:rPr>
          <w:rFonts w:ascii="Palatino Linotype" w:hAnsi="Palatino Linotype" w:cs="Tahoma"/>
          <w:bCs/>
          <w:sz w:val="22"/>
          <w:szCs w:val="22"/>
        </w:rPr>
      </w:pPr>
    </w:p>
    <w:p w14:paraId="01505CB6"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En este sentido, los proveedores tienen el derecho a que se protejan estos datos, sin embargo, para el caso de instituciones públicas, la privacidad es diferente; el número de cuenta bancaria </w:t>
      </w:r>
      <w:r w:rsidRPr="00BC23D7">
        <w:rPr>
          <w:rFonts w:ascii="Palatino Linotype" w:hAnsi="Palatino Linotype" w:cs="Tahoma"/>
          <w:bCs/>
          <w:sz w:val="22"/>
          <w:szCs w:val="22"/>
        </w:rPr>
        <w:lastRenderedPageBreak/>
        <w:t>institucional asignado a una dependencia, organismo autónomo o ente público no se considera un dato confidencial, sino un elemento vinculado directamente con el ejercicio de recursos públicos, por lo que debe ser accesible a la ciudadanía cuando se encuentra asociado a pagos, transferencias o ingresos institucionales. Dado que las cuentas bancarias de instituciones públicas no pertenecen a personas físicas o jurídico-colectivas privadas, sino a Sujetos Obligados, su función es recibir, administrar o dispersar fondos públicos, la publicidad de dicho dato favorece la rendición de cuentas y el control social, sin poner en riesgo la privacidad o la seguridad financiera de personas particulares. En consecuencia, no se actualiza ninguna causal de confidencialidad conforme a lo dispuesto en el artículo 143 de la Ley de Transparencia vigente en la entidad.</w:t>
      </w:r>
    </w:p>
    <w:p w14:paraId="030162F9" w14:textId="77777777" w:rsidR="0010200E" w:rsidRPr="00BC23D7" w:rsidRDefault="0010200E" w:rsidP="0010200E">
      <w:pPr>
        <w:spacing w:line="360" w:lineRule="auto"/>
        <w:jc w:val="both"/>
        <w:rPr>
          <w:rFonts w:ascii="Palatino Linotype" w:hAnsi="Palatino Linotype" w:cs="Tahoma"/>
          <w:bCs/>
          <w:sz w:val="22"/>
          <w:szCs w:val="22"/>
        </w:rPr>
      </w:pPr>
    </w:p>
    <w:p w14:paraId="673EAE6B"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En contraste y reiterando, el número de cuenta bancaria y la CLABE de los proveedores gubernamentales, cuando se trate de personas físicas o incluso de personas jurídico-colectivas, sí constituye un dato confidencial, ya que está asociado a la esfera patrimonial de un particular y puede representar un riesgo en caso de divulgación indebida. Este tipo de dato se encuentra protegido por la normativa en materia de datos personales, al ser innecesario para efectos de transparencia sustantiva respecto del uso de recursos públicos. La información pública se satisface plenamente con la identificación del proveedor, el monto, el concepto del gasto y el procedimiento de contratación, sin que sea indispensable exponer datos bancarios que en nada beneficiarían a la rendición de cuentas públicas, pero si pudiesen afectar a la esfera de derechos del Titular de los Datos Personales.</w:t>
      </w:r>
    </w:p>
    <w:p w14:paraId="6AB61A8B" w14:textId="77777777" w:rsidR="0010200E" w:rsidRPr="00BC23D7" w:rsidRDefault="0010200E" w:rsidP="0010200E">
      <w:pPr>
        <w:spacing w:line="360" w:lineRule="auto"/>
        <w:jc w:val="both"/>
        <w:rPr>
          <w:rFonts w:ascii="Palatino Linotype" w:hAnsi="Palatino Linotype" w:cs="Tahoma"/>
          <w:bCs/>
          <w:sz w:val="22"/>
          <w:szCs w:val="22"/>
        </w:rPr>
      </w:pPr>
    </w:p>
    <w:p w14:paraId="672525A7" w14:textId="4AC0E569" w:rsidR="0010200E" w:rsidRPr="00BC23D7" w:rsidRDefault="0010200E" w:rsidP="0010200E">
      <w:pPr>
        <w:pStyle w:val="Prrafodelista"/>
        <w:numPr>
          <w:ilvl w:val="0"/>
          <w:numId w:val="11"/>
        </w:numPr>
        <w:spacing w:line="360" w:lineRule="auto"/>
        <w:jc w:val="both"/>
        <w:rPr>
          <w:rFonts w:ascii="Palatino Linotype" w:hAnsi="Palatino Linotype" w:cs="Tahoma"/>
          <w:b/>
          <w:szCs w:val="22"/>
        </w:rPr>
      </w:pPr>
      <w:r w:rsidRPr="00BC23D7">
        <w:rPr>
          <w:rFonts w:ascii="Palatino Linotype" w:hAnsi="Palatino Linotype" w:cs="Tahoma"/>
          <w:b/>
          <w:szCs w:val="22"/>
        </w:rPr>
        <w:t xml:space="preserve"> Banco o</w:t>
      </w:r>
      <w:r w:rsidR="003A6815">
        <w:rPr>
          <w:rFonts w:ascii="Palatino Linotype" w:hAnsi="Palatino Linotype" w:cs="Tahoma"/>
          <w:b/>
          <w:szCs w:val="22"/>
        </w:rPr>
        <w:t xml:space="preserve"> nombre de institución bancaria</w:t>
      </w:r>
    </w:p>
    <w:p w14:paraId="17226BBC" w14:textId="77777777" w:rsidR="0010200E" w:rsidRPr="00BC23D7" w:rsidRDefault="0010200E" w:rsidP="0010200E">
      <w:pPr>
        <w:spacing w:line="360" w:lineRule="auto"/>
        <w:jc w:val="both"/>
        <w:rPr>
          <w:rFonts w:ascii="Palatino Linotype" w:hAnsi="Palatino Linotype" w:cs="Tahoma"/>
          <w:b/>
          <w:szCs w:val="22"/>
        </w:rPr>
      </w:pPr>
    </w:p>
    <w:p w14:paraId="1E8BCCA3"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En principio, es necesario señalar que conforme al artículo 2°, fracción IV de la Ley de Protección y Defensa al Usuario de Servicios Financieros, establece que una institución financiera, se les denomina a las sociedades controladoras, instituciones de crédito, sociedades</w:t>
      </w:r>
    </w:p>
    <w:p w14:paraId="74364BAC"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lastRenderedPageBreak/>
        <w:t>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w:t>
      </w:r>
    </w:p>
    <w:p w14:paraId="62020A1B" w14:textId="77777777" w:rsidR="0010200E" w:rsidRPr="00BC23D7" w:rsidRDefault="0010200E" w:rsidP="0010200E">
      <w:pPr>
        <w:spacing w:line="360" w:lineRule="auto"/>
        <w:jc w:val="both"/>
        <w:rPr>
          <w:rFonts w:ascii="Palatino Linotype" w:hAnsi="Palatino Linotype" w:cs="Tahoma"/>
          <w:bCs/>
          <w:sz w:val="22"/>
          <w:szCs w:val="22"/>
        </w:rPr>
      </w:pPr>
    </w:p>
    <w:p w14:paraId="034A9B22"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Existe el Sistema de Registro de Prestadores de Servicios Financieros (consultadas el dieciocho de enero de dos mil veintitrés), a las trece horas, en la liga </w:t>
      </w:r>
      <w:hyperlink r:id="rId11" w:history="1">
        <w:r w:rsidRPr="00BC23D7">
          <w:rPr>
            <w:rStyle w:val="Hipervnculo"/>
            <w:rFonts w:ascii="Palatino Linotype" w:hAnsi="Palatino Linotype" w:cs="Tahoma"/>
            <w:bCs/>
            <w:sz w:val="22"/>
            <w:szCs w:val="22"/>
          </w:rPr>
          <w:t>https://webapps.condusef.gob.mx/SIPRES/jsp/pub/index.jsp</w:t>
        </w:r>
      </w:hyperlink>
      <w:r w:rsidRPr="00BC23D7">
        <w:rPr>
          <w:rFonts w:ascii="Palatino Linotype" w:hAnsi="Palatino Linotype" w:cs="Tahoma"/>
          <w:bCs/>
          <w:sz w:val="22"/>
          <w:szCs w:val="22"/>
        </w:rPr>
        <w:t>), que es un registro de carácter público, cuyo objetivo principal, consiste en proporcionar información corporativa y general de las instituciones financieras; además, que permite conocer al público general, información de dichos entes.</w:t>
      </w:r>
    </w:p>
    <w:p w14:paraId="602E1B5A" w14:textId="77777777" w:rsidR="0010200E" w:rsidRPr="00BC23D7" w:rsidRDefault="0010200E" w:rsidP="0010200E">
      <w:pPr>
        <w:spacing w:line="360" w:lineRule="auto"/>
        <w:jc w:val="both"/>
        <w:rPr>
          <w:rFonts w:ascii="Palatino Linotype" w:hAnsi="Palatino Linotype" w:cs="Tahoma"/>
          <w:bCs/>
          <w:sz w:val="22"/>
          <w:szCs w:val="22"/>
        </w:rPr>
      </w:pPr>
    </w:p>
    <w:p w14:paraId="63DC27C8"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Conforme a lo anterior, se logra vislumbrar que el nombre de las instituciones bancarias en primera instancia es de naturaleza pública; sin embargo, en el presente caso, se relacionada con el hecho de que corresponde al banco en el cual un proveedor, contratista, servidor público decidió recibir el pago de sus servicios; es decir, daría cuenta de la decisión voluntaria de recibir el pago de sus servicios en una determinada institución; lo cual se relaciona con la cuenta y clave interbancaria, mismos que son confidenciales.</w:t>
      </w:r>
    </w:p>
    <w:p w14:paraId="0FEF1D91" w14:textId="77777777" w:rsidR="0010200E" w:rsidRPr="00BC23D7" w:rsidRDefault="0010200E" w:rsidP="0010200E">
      <w:pPr>
        <w:spacing w:line="360" w:lineRule="auto"/>
        <w:jc w:val="both"/>
        <w:rPr>
          <w:rFonts w:ascii="Palatino Linotype" w:hAnsi="Palatino Linotype" w:cs="Tahoma"/>
          <w:bCs/>
          <w:sz w:val="22"/>
          <w:szCs w:val="22"/>
        </w:rPr>
      </w:pPr>
    </w:p>
    <w:p w14:paraId="634E0B75"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Además, revelaría el lugar en donde el proveedor recibió los recursos por prestar sus servicios, lo cual únicamente está relacionado a su vida íntima o privada de la persona moral; por lo </w:t>
      </w:r>
      <w:r w:rsidRPr="00BC23D7">
        <w:rPr>
          <w:rFonts w:ascii="Palatino Linotype" w:hAnsi="Palatino Linotype" w:cs="Tahoma"/>
          <w:bCs/>
          <w:sz w:val="22"/>
          <w:szCs w:val="22"/>
        </w:rPr>
        <w:lastRenderedPageBreak/>
        <w:t>que, este Instituto considera que el nombre de la institución bancaria, para el caso de proveedores, actualiza la causal de clasificación prevista en el artículo 143, fracción I, de la Ley de Transparencia y Acceso a la Información Pública del Estado de México y Municipios.</w:t>
      </w:r>
    </w:p>
    <w:p w14:paraId="441A61CB" w14:textId="77777777" w:rsidR="0010200E" w:rsidRPr="00BC23D7" w:rsidRDefault="0010200E" w:rsidP="0010200E">
      <w:pPr>
        <w:spacing w:line="360" w:lineRule="auto"/>
        <w:jc w:val="both"/>
        <w:rPr>
          <w:rFonts w:ascii="Palatino Linotype" w:hAnsi="Palatino Linotype" w:cs="Tahoma"/>
          <w:bCs/>
          <w:sz w:val="22"/>
          <w:szCs w:val="22"/>
        </w:rPr>
      </w:pPr>
    </w:p>
    <w:p w14:paraId="43267DDD"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Esta condición no se actualiza para quienes también son Sujetos Obligados de la Ley, como podría ser el </w:t>
      </w:r>
      <w:proofErr w:type="spellStart"/>
      <w:r w:rsidRPr="00BC23D7">
        <w:rPr>
          <w:rFonts w:ascii="Palatino Linotype" w:hAnsi="Palatino Linotype" w:cs="Tahoma"/>
          <w:bCs/>
          <w:sz w:val="22"/>
          <w:szCs w:val="22"/>
        </w:rPr>
        <w:t>ISSEMyM</w:t>
      </w:r>
      <w:proofErr w:type="spellEnd"/>
      <w:r w:rsidRPr="00BC23D7">
        <w:rPr>
          <w:rFonts w:ascii="Palatino Linotype" w:hAnsi="Palatino Linotype" w:cs="Tahoma"/>
          <w:bCs/>
          <w:sz w:val="22"/>
          <w:szCs w:val="22"/>
        </w:rPr>
        <w:t>, por lo que en casos que se actualice un supuesto de esta naturaleza, también se deberá dejar visible el nombre de la institución bancaria receptora del dinero.</w:t>
      </w:r>
    </w:p>
    <w:p w14:paraId="36B76E50" w14:textId="77777777" w:rsidR="0010200E" w:rsidRPr="00BC23D7" w:rsidRDefault="0010200E" w:rsidP="0010200E">
      <w:pPr>
        <w:spacing w:line="360" w:lineRule="auto"/>
        <w:jc w:val="both"/>
        <w:rPr>
          <w:rFonts w:ascii="Palatino Linotype" w:hAnsi="Palatino Linotype" w:cs="Tahoma"/>
          <w:bCs/>
          <w:sz w:val="22"/>
          <w:szCs w:val="22"/>
        </w:rPr>
      </w:pPr>
    </w:p>
    <w:p w14:paraId="360FC389" w14:textId="77777777" w:rsidR="0010200E" w:rsidRPr="00BC23D7" w:rsidRDefault="0010200E" w:rsidP="0010200E">
      <w:pPr>
        <w:pStyle w:val="Prrafodelista"/>
        <w:numPr>
          <w:ilvl w:val="0"/>
          <w:numId w:val="11"/>
        </w:numPr>
        <w:spacing w:line="360" w:lineRule="auto"/>
        <w:jc w:val="both"/>
        <w:rPr>
          <w:rFonts w:ascii="Palatino Linotype" w:hAnsi="Palatino Linotype" w:cs="Tahoma"/>
          <w:b/>
          <w:szCs w:val="22"/>
        </w:rPr>
      </w:pPr>
      <w:r w:rsidRPr="00BC23D7">
        <w:rPr>
          <w:rFonts w:ascii="Palatino Linotype" w:hAnsi="Palatino Linotype" w:cs="Tahoma"/>
          <w:b/>
          <w:szCs w:val="22"/>
        </w:rPr>
        <w:t>Registro Federal de Contribuyentes</w:t>
      </w:r>
    </w:p>
    <w:p w14:paraId="15CD3BC2" w14:textId="77777777" w:rsidR="0010200E" w:rsidRPr="00BC23D7" w:rsidRDefault="0010200E" w:rsidP="0010200E">
      <w:pPr>
        <w:spacing w:line="360" w:lineRule="auto"/>
        <w:jc w:val="both"/>
        <w:rPr>
          <w:rFonts w:ascii="Palatino Linotype" w:hAnsi="Palatino Linotype" w:cs="Tahoma"/>
          <w:bCs/>
          <w:sz w:val="22"/>
          <w:szCs w:val="22"/>
        </w:rPr>
      </w:pPr>
    </w:p>
    <w:p w14:paraId="7D7A44E9"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
          <w:sz w:val="22"/>
          <w:szCs w:val="22"/>
        </w:rPr>
        <w:t xml:space="preserve">Persona física. </w:t>
      </w:r>
      <w:r w:rsidRPr="00BC23D7">
        <w:rPr>
          <w:rFonts w:ascii="Palatino Linotype" w:hAnsi="Palatino Linotype" w:cs="Tahoma"/>
          <w:bCs/>
          <w:sz w:val="22"/>
          <w:szCs w:val="22"/>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56B28AC4" w14:textId="77777777" w:rsidR="0010200E" w:rsidRPr="00BC23D7" w:rsidRDefault="0010200E" w:rsidP="0010200E">
      <w:pPr>
        <w:spacing w:line="360" w:lineRule="auto"/>
        <w:jc w:val="both"/>
        <w:rPr>
          <w:rFonts w:ascii="Palatino Linotype" w:hAnsi="Palatino Linotype" w:cs="Tahoma"/>
          <w:bCs/>
          <w:sz w:val="22"/>
          <w:szCs w:val="22"/>
        </w:rPr>
      </w:pPr>
    </w:p>
    <w:p w14:paraId="1A825F3E"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168C7F6E" w14:textId="77777777" w:rsidR="0010200E" w:rsidRPr="00BC23D7" w:rsidRDefault="0010200E" w:rsidP="0010200E">
      <w:pPr>
        <w:spacing w:line="360" w:lineRule="auto"/>
        <w:jc w:val="both"/>
        <w:rPr>
          <w:rFonts w:ascii="Palatino Linotype" w:hAnsi="Palatino Linotype" w:cs="Tahoma"/>
          <w:bCs/>
          <w:sz w:val="22"/>
          <w:szCs w:val="22"/>
        </w:rPr>
      </w:pPr>
    </w:p>
    <w:p w14:paraId="27015164"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lastRenderedPageBreak/>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789C262B" w14:textId="77777777" w:rsidR="0010200E" w:rsidRPr="00BC23D7" w:rsidRDefault="0010200E" w:rsidP="0010200E">
      <w:pPr>
        <w:spacing w:line="360" w:lineRule="auto"/>
        <w:jc w:val="both"/>
        <w:rPr>
          <w:rFonts w:ascii="Palatino Linotype" w:hAnsi="Palatino Linotype" w:cs="Tahoma"/>
          <w:bCs/>
          <w:sz w:val="22"/>
          <w:szCs w:val="22"/>
        </w:rPr>
      </w:pPr>
    </w:p>
    <w:p w14:paraId="19712C58"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Lo anterior, se robustece con el Criterio de Interpretación, de la Segunda Época, con número de registro SO/004/2021, emitido por el Instituto Nacional de Transparencia, Acceso a la Información y Protección de Datos Personales, en el cual se señala lo siguiente:</w:t>
      </w:r>
    </w:p>
    <w:p w14:paraId="25BEF507" w14:textId="77777777" w:rsidR="0010200E" w:rsidRPr="00BC23D7" w:rsidRDefault="0010200E" w:rsidP="0010200E">
      <w:pPr>
        <w:spacing w:line="360" w:lineRule="auto"/>
        <w:jc w:val="both"/>
        <w:rPr>
          <w:rFonts w:ascii="Palatino Linotype" w:hAnsi="Palatino Linotype" w:cs="Tahoma"/>
          <w:bCs/>
          <w:sz w:val="22"/>
          <w:szCs w:val="22"/>
        </w:rPr>
      </w:pPr>
    </w:p>
    <w:p w14:paraId="29CAC4D7" w14:textId="77777777" w:rsidR="0010200E" w:rsidRPr="00BC23D7" w:rsidRDefault="0010200E" w:rsidP="0010200E">
      <w:pPr>
        <w:pStyle w:val="Sinespaciado"/>
        <w:spacing w:before="120" w:after="120" w:line="360" w:lineRule="auto"/>
        <w:ind w:right="539"/>
        <w:rPr>
          <w:rFonts w:ascii="Palatino Linotype" w:hAnsi="Palatino Linotype" w:cs="Arial"/>
          <w:i/>
          <w:iCs/>
          <w:szCs w:val="20"/>
        </w:rPr>
      </w:pPr>
      <w:r w:rsidRPr="00BC23D7">
        <w:rPr>
          <w:rFonts w:ascii="Palatino Linotype" w:hAnsi="Palatino Linotype" w:cs="Arial"/>
          <w:i/>
          <w:iCs/>
          <w:szCs w:val="20"/>
        </w:rPr>
        <w:t>“Registro Federal de Contribuyentes (RFC) de personas físicas proveedores o contratistas.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62EE47E4" w14:textId="77777777" w:rsidR="0010200E" w:rsidRPr="00BC23D7" w:rsidRDefault="0010200E" w:rsidP="0010200E">
      <w:pPr>
        <w:spacing w:line="360" w:lineRule="auto"/>
        <w:jc w:val="both"/>
        <w:rPr>
          <w:rFonts w:ascii="Palatino Linotype" w:hAnsi="Palatino Linotype" w:cs="Tahoma"/>
          <w:bCs/>
          <w:sz w:val="22"/>
          <w:szCs w:val="22"/>
        </w:rPr>
      </w:pPr>
    </w:p>
    <w:p w14:paraId="6A48E339"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En conclusión, toda vez, que el Registro Federal de Contribuyentes de proveedores, es un requisito indispensable, para poder participar en adquisiciones públicas y contracción de servicios y que abona a la transparencia con la que deben administrarse los recursos públicos,</w:t>
      </w:r>
    </w:p>
    <w:p w14:paraId="0941E30B" w14:textId="77777777" w:rsidR="0010200E" w:rsidRPr="00BC23D7" w:rsidRDefault="0010200E" w:rsidP="0010200E">
      <w:pPr>
        <w:spacing w:line="360" w:lineRule="auto"/>
        <w:jc w:val="both"/>
        <w:rPr>
          <w:rFonts w:ascii="Palatino Linotype" w:hAnsi="Palatino Linotype" w:cs="Tahoma"/>
          <w:bCs/>
          <w:sz w:val="22"/>
          <w:szCs w:val="22"/>
        </w:rPr>
      </w:pPr>
      <w:proofErr w:type="gramStart"/>
      <w:r w:rsidRPr="00BC23D7">
        <w:rPr>
          <w:rFonts w:ascii="Palatino Linotype" w:hAnsi="Palatino Linotype" w:cs="Tahoma"/>
          <w:bCs/>
          <w:sz w:val="22"/>
          <w:szCs w:val="22"/>
        </w:rPr>
        <w:t>no</w:t>
      </w:r>
      <w:proofErr w:type="gramEnd"/>
      <w:r w:rsidRPr="00BC23D7">
        <w:rPr>
          <w:rFonts w:ascii="Palatino Linotype" w:hAnsi="Palatino Linotype" w:cs="Tahoma"/>
          <w:bCs/>
          <w:sz w:val="22"/>
          <w:szCs w:val="22"/>
        </w:rPr>
        <w:t xml:space="preserve"> actualiza la causal de clasificación prevista en el artículo 143, fracción I de la Ley de Transparencia y Acceso a la Información Pública del Estado de México y Municipios.</w:t>
      </w:r>
    </w:p>
    <w:p w14:paraId="3FAFCE99" w14:textId="77777777" w:rsidR="0010200E" w:rsidRPr="00BC23D7" w:rsidRDefault="0010200E" w:rsidP="0010200E">
      <w:pPr>
        <w:spacing w:line="360" w:lineRule="auto"/>
        <w:jc w:val="both"/>
        <w:rPr>
          <w:rFonts w:ascii="Palatino Linotype" w:hAnsi="Palatino Linotype" w:cs="Tahoma"/>
          <w:bCs/>
          <w:sz w:val="22"/>
          <w:szCs w:val="22"/>
        </w:rPr>
      </w:pPr>
    </w:p>
    <w:p w14:paraId="5695A6DC"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
          <w:sz w:val="22"/>
          <w:szCs w:val="22"/>
        </w:rPr>
        <w:t xml:space="preserve">Persona Moral. </w:t>
      </w:r>
      <w:r w:rsidRPr="00BC23D7">
        <w:rPr>
          <w:rFonts w:ascii="Palatino Linotype" w:hAnsi="Palatino Linotype" w:cs="Tahoma"/>
          <w:bCs/>
          <w:sz w:val="22"/>
          <w:szCs w:val="22"/>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jurídico-colectivas, serán, entre otros, la </w:t>
      </w:r>
      <w:r w:rsidRPr="00BC23D7">
        <w:rPr>
          <w:rFonts w:ascii="Palatino Linotype" w:hAnsi="Palatino Linotype" w:cs="Tahoma"/>
          <w:bCs/>
          <w:sz w:val="22"/>
          <w:szCs w:val="22"/>
        </w:rPr>
        <w:lastRenderedPageBreak/>
        <w:t>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462F399C" w14:textId="77777777" w:rsidR="0010200E" w:rsidRPr="00BC23D7" w:rsidRDefault="0010200E" w:rsidP="0010200E">
      <w:pPr>
        <w:spacing w:line="360" w:lineRule="auto"/>
        <w:jc w:val="both"/>
        <w:rPr>
          <w:rFonts w:ascii="Palatino Linotype" w:hAnsi="Palatino Linotype" w:cs="Tahoma"/>
          <w:bCs/>
          <w:sz w:val="22"/>
          <w:szCs w:val="22"/>
        </w:rPr>
      </w:pPr>
    </w:p>
    <w:p w14:paraId="1CC200E6"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Por ende, la información correspondiente al Registro Federal de Contribuyentes de una persona moral da cuenta del cumplimiento o no en sus obligaciones fiscales; por tanto, no se</w:t>
      </w:r>
    </w:p>
    <w:p w14:paraId="59A92842" w14:textId="77777777" w:rsidR="0010200E" w:rsidRPr="00BC23D7" w:rsidRDefault="0010200E" w:rsidP="0010200E">
      <w:pPr>
        <w:spacing w:line="360" w:lineRule="auto"/>
        <w:jc w:val="both"/>
        <w:rPr>
          <w:rFonts w:ascii="Palatino Linotype" w:hAnsi="Palatino Linotype" w:cs="Tahoma"/>
          <w:bCs/>
          <w:sz w:val="22"/>
          <w:szCs w:val="22"/>
        </w:rPr>
      </w:pPr>
      <w:proofErr w:type="gramStart"/>
      <w:r w:rsidRPr="00BC23D7">
        <w:rPr>
          <w:rFonts w:ascii="Palatino Linotype" w:hAnsi="Palatino Linotype" w:cs="Tahoma"/>
          <w:bCs/>
          <w:sz w:val="22"/>
          <w:szCs w:val="22"/>
        </w:rPr>
        <w:t>actualiza</w:t>
      </w:r>
      <w:proofErr w:type="gramEnd"/>
      <w:r w:rsidRPr="00BC23D7">
        <w:rPr>
          <w:rFonts w:ascii="Palatino Linotype" w:hAnsi="Palatino Linotype" w:cs="Tahoma"/>
          <w:bCs/>
          <w:sz w:val="22"/>
          <w:szCs w:val="22"/>
        </w:rPr>
        <w:t xml:space="preserve"> su clasificación como confidencial.</w:t>
      </w:r>
    </w:p>
    <w:p w14:paraId="497A485D" w14:textId="77777777" w:rsidR="0010200E" w:rsidRPr="00BC23D7" w:rsidRDefault="0010200E" w:rsidP="0010200E">
      <w:pPr>
        <w:spacing w:line="360" w:lineRule="auto"/>
        <w:jc w:val="both"/>
        <w:rPr>
          <w:rFonts w:ascii="Palatino Linotype" w:hAnsi="Palatino Linotype" w:cs="Tahoma"/>
          <w:bCs/>
          <w:sz w:val="22"/>
          <w:szCs w:val="22"/>
        </w:rPr>
      </w:pPr>
    </w:p>
    <w:p w14:paraId="7336F033"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Además, resulta aplicable por analogía el Criterio de Interpretación, de la Segunda Época, con número de registro SO/008/2019,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 En este sentido, el RFC no es clasificable para proveedores gubernamentales.</w:t>
      </w:r>
    </w:p>
    <w:p w14:paraId="1DA9BB42" w14:textId="77777777" w:rsidR="0010200E" w:rsidRPr="00BC23D7" w:rsidRDefault="0010200E" w:rsidP="0010200E">
      <w:pPr>
        <w:spacing w:line="360" w:lineRule="auto"/>
        <w:jc w:val="both"/>
        <w:rPr>
          <w:rFonts w:ascii="Palatino Linotype" w:hAnsi="Palatino Linotype" w:cs="Tahoma"/>
          <w:bCs/>
          <w:sz w:val="22"/>
          <w:szCs w:val="22"/>
        </w:rPr>
      </w:pPr>
    </w:p>
    <w:p w14:paraId="138187A7" w14:textId="77777777" w:rsidR="0010200E" w:rsidRPr="00BC23D7" w:rsidRDefault="0010200E" w:rsidP="0010200E">
      <w:pPr>
        <w:pStyle w:val="Prrafodelista"/>
        <w:numPr>
          <w:ilvl w:val="0"/>
          <w:numId w:val="11"/>
        </w:numPr>
        <w:spacing w:line="360" w:lineRule="auto"/>
        <w:jc w:val="both"/>
        <w:rPr>
          <w:rFonts w:ascii="Palatino Linotype" w:hAnsi="Palatino Linotype" w:cs="Tahoma"/>
          <w:b/>
          <w:szCs w:val="22"/>
        </w:rPr>
      </w:pPr>
      <w:r w:rsidRPr="00BC23D7">
        <w:rPr>
          <w:rFonts w:ascii="Palatino Linotype" w:hAnsi="Palatino Linotype" w:cs="Tahoma"/>
          <w:b/>
          <w:szCs w:val="22"/>
        </w:rPr>
        <w:t>Número de celular:</w:t>
      </w:r>
    </w:p>
    <w:p w14:paraId="6B3DDFBE" w14:textId="77777777" w:rsidR="0010200E" w:rsidRPr="00BC23D7" w:rsidRDefault="0010200E" w:rsidP="0010200E">
      <w:pPr>
        <w:spacing w:line="360" w:lineRule="auto"/>
        <w:jc w:val="both"/>
        <w:rPr>
          <w:rFonts w:ascii="Palatino Linotype" w:hAnsi="Palatino Linotype" w:cs="Tahoma"/>
          <w:bCs/>
          <w:sz w:val="22"/>
          <w:szCs w:val="22"/>
        </w:rPr>
      </w:pPr>
    </w:p>
    <w:p w14:paraId="3FBD6034"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El número asignado a un teléfono permite localizar, en el presente caso, de un proveedor, ya sea a través de un dispositivo móvil. Dicho dato permite incluso localizar a al proveedor de manera directa.</w:t>
      </w:r>
    </w:p>
    <w:p w14:paraId="5F207F2F" w14:textId="77777777" w:rsidR="0010200E" w:rsidRPr="00BC23D7" w:rsidRDefault="0010200E" w:rsidP="0010200E">
      <w:pPr>
        <w:spacing w:line="360" w:lineRule="auto"/>
        <w:jc w:val="both"/>
        <w:rPr>
          <w:rFonts w:ascii="Palatino Linotype" w:hAnsi="Palatino Linotype" w:cs="Tahoma"/>
          <w:bCs/>
          <w:sz w:val="22"/>
          <w:szCs w:val="22"/>
        </w:rPr>
      </w:pPr>
    </w:p>
    <w:p w14:paraId="7CBC152C"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Como se refirió, en el presente caso, los datos en comento se tratan de los medios de contacto de los proveedores que tiene el Poder Judicial, los cuales, si bien hacen identificable a una persona, en el presente caso, al no identificarse en el acuerdo de clasificación el motivo de la </w:t>
      </w:r>
      <w:r w:rsidRPr="00BC23D7">
        <w:rPr>
          <w:rFonts w:ascii="Palatino Linotype" w:hAnsi="Palatino Linotype" w:cs="Tahoma"/>
          <w:bCs/>
          <w:sz w:val="22"/>
          <w:szCs w:val="22"/>
        </w:rPr>
        <w:lastRenderedPageBreak/>
        <w:t>transferencia, debemos señalar que en tratándose de proveedores, es información de naturaleza pública.</w:t>
      </w:r>
    </w:p>
    <w:p w14:paraId="568536CA" w14:textId="77777777" w:rsidR="0010200E" w:rsidRPr="00BC23D7" w:rsidRDefault="0010200E" w:rsidP="0010200E">
      <w:pPr>
        <w:spacing w:line="360" w:lineRule="auto"/>
        <w:jc w:val="both"/>
        <w:rPr>
          <w:rFonts w:ascii="Palatino Linotype" w:hAnsi="Palatino Linotype" w:cs="Tahoma"/>
          <w:bCs/>
          <w:sz w:val="22"/>
          <w:szCs w:val="22"/>
        </w:rPr>
      </w:pPr>
    </w:p>
    <w:p w14:paraId="4F93BC52"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Lo anterior,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w:t>
      </w:r>
    </w:p>
    <w:p w14:paraId="71AC86EE" w14:textId="77777777" w:rsidR="0010200E" w:rsidRPr="00BC23D7" w:rsidRDefault="0010200E" w:rsidP="0010200E">
      <w:pPr>
        <w:spacing w:line="360" w:lineRule="auto"/>
        <w:jc w:val="both"/>
        <w:rPr>
          <w:rFonts w:ascii="Palatino Linotype" w:hAnsi="Palatino Linotype" w:cs="Tahoma"/>
          <w:bCs/>
          <w:sz w:val="22"/>
          <w:szCs w:val="22"/>
        </w:rPr>
      </w:pPr>
      <w:proofErr w:type="gramStart"/>
      <w:r w:rsidRPr="00BC23D7">
        <w:rPr>
          <w:rFonts w:ascii="Palatino Linotype" w:hAnsi="Palatino Linotype" w:cs="Tahoma"/>
          <w:bCs/>
          <w:sz w:val="22"/>
          <w:szCs w:val="22"/>
        </w:rPr>
        <w:t>en</w:t>
      </w:r>
      <w:proofErr w:type="gramEnd"/>
      <w:r w:rsidRPr="00BC23D7">
        <w:rPr>
          <w:rFonts w:ascii="Palatino Linotype" w:hAnsi="Palatino Linotype" w:cs="Tahoma"/>
          <w:bCs/>
          <w:sz w:val="22"/>
          <w:szCs w:val="22"/>
        </w:rPr>
        <w:t xml:space="preserve"> los portales de Internet y en la Plataforma Nacional de Transparencia, tal como se muestran a continuación:</w:t>
      </w:r>
    </w:p>
    <w:p w14:paraId="02C13CF2" w14:textId="77777777" w:rsidR="0010200E" w:rsidRPr="00BC23D7" w:rsidRDefault="0010200E" w:rsidP="0010200E">
      <w:pPr>
        <w:spacing w:line="360" w:lineRule="auto"/>
        <w:jc w:val="both"/>
        <w:rPr>
          <w:rFonts w:ascii="Palatino Linotype" w:hAnsi="Palatino Linotype" w:cs="Tahoma"/>
          <w:bCs/>
          <w:sz w:val="22"/>
          <w:szCs w:val="22"/>
        </w:rPr>
      </w:pPr>
    </w:p>
    <w:p w14:paraId="4A4BB35B"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noProof/>
          <w:sz w:val="22"/>
          <w:szCs w:val="22"/>
          <w:lang w:eastAsia="es-MX"/>
        </w:rPr>
        <w:drawing>
          <wp:inline distT="0" distB="0" distL="0" distR="0" wp14:anchorId="7E2E5FE1" wp14:editId="54212DAD">
            <wp:extent cx="5661660" cy="1386840"/>
            <wp:effectExtent l="0" t="0" r="0" b="3810"/>
            <wp:docPr id="10066221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22105" name=""/>
                    <pic:cNvPicPr/>
                  </pic:nvPicPr>
                  <pic:blipFill rotWithShape="1">
                    <a:blip r:embed="rId12"/>
                    <a:srcRect t="3830" r="1416" b="9055"/>
                    <a:stretch>
                      <a:fillRect/>
                    </a:stretch>
                  </pic:blipFill>
                  <pic:spPr bwMode="auto">
                    <a:xfrm>
                      <a:off x="0" y="0"/>
                      <a:ext cx="5661660" cy="1386840"/>
                    </a:xfrm>
                    <a:prstGeom prst="rect">
                      <a:avLst/>
                    </a:prstGeom>
                    <a:ln>
                      <a:noFill/>
                    </a:ln>
                    <a:extLst>
                      <a:ext uri="{53640926-AAD7-44D8-BBD7-CCE9431645EC}">
                        <a14:shadowObscured xmlns:a14="http://schemas.microsoft.com/office/drawing/2010/main"/>
                      </a:ext>
                    </a:extLst>
                  </pic:spPr>
                </pic:pic>
              </a:graphicData>
            </a:graphic>
          </wp:inline>
        </w:drawing>
      </w:r>
    </w:p>
    <w:p w14:paraId="552C80AD" w14:textId="77777777" w:rsidR="0010200E" w:rsidRPr="00BC23D7" w:rsidRDefault="0010200E" w:rsidP="0010200E">
      <w:pPr>
        <w:spacing w:line="360" w:lineRule="auto"/>
        <w:jc w:val="both"/>
        <w:rPr>
          <w:rFonts w:ascii="Palatino Linotype" w:hAnsi="Palatino Linotype" w:cs="Tahoma"/>
          <w:bCs/>
          <w:sz w:val="22"/>
          <w:szCs w:val="22"/>
        </w:rPr>
      </w:pPr>
    </w:p>
    <w:p w14:paraId="27515CCB"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Como se logra observar, el teléfono de los proveedores es de naturaleza pública, lo que implica que los mismos, deben ser divulgados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77619975" w14:textId="77777777" w:rsidR="0010200E" w:rsidRPr="00BC23D7" w:rsidRDefault="0010200E" w:rsidP="0010200E">
      <w:pPr>
        <w:spacing w:line="360" w:lineRule="auto"/>
        <w:jc w:val="both"/>
        <w:rPr>
          <w:rFonts w:ascii="Palatino Linotype" w:hAnsi="Palatino Linotype" w:cs="Tahoma"/>
          <w:bCs/>
          <w:sz w:val="22"/>
          <w:szCs w:val="22"/>
        </w:rPr>
      </w:pPr>
    </w:p>
    <w:p w14:paraId="764902CE" w14:textId="77777777" w:rsidR="0010200E" w:rsidRPr="00BC23D7" w:rsidRDefault="0010200E" w:rsidP="0010200E">
      <w:pPr>
        <w:pStyle w:val="Prrafodelista"/>
        <w:numPr>
          <w:ilvl w:val="0"/>
          <w:numId w:val="11"/>
        </w:numPr>
        <w:spacing w:line="360" w:lineRule="auto"/>
        <w:jc w:val="both"/>
        <w:rPr>
          <w:rFonts w:ascii="Palatino Linotype" w:hAnsi="Palatino Linotype" w:cs="Tahoma"/>
          <w:b/>
          <w:szCs w:val="22"/>
        </w:rPr>
      </w:pPr>
      <w:r w:rsidRPr="00BC23D7">
        <w:rPr>
          <w:rFonts w:ascii="Palatino Linotype" w:hAnsi="Palatino Linotype" w:cs="Tahoma"/>
          <w:b/>
          <w:szCs w:val="22"/>
        </w:rPr>
        <w:t xml:space="preserve">- Clave de rastreo. </w:t>
      </w:r>
    </w:p>
    <w:p w14:paraId="69FD88DA" w14:textId="77777777" w:rsidR="0010200E" w:rsidRPr="00BC23D7" w:rsidRDefault="0010200E" w:rsidP="0010200E">
      <w:pPr>
        <w:spacing w:line="360" w:lineRule="auto"/>
        <w:jc w:val="both"/>
        <w:rPr>
          <w:rFonts w:ascii="Palatino Linotype" w:hAnsi="Palatino Linotype" w:cs="Tahoma"/>
          <w:b/>
          <w:szCs w:val="22"/>
        </w:rPr>
      </w:pPr>
    </w:p>
    <w:p w14:paraId="3E780250"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La clave de rastreo contenida en los comprobantes de transferencia bancaria debe considerarse como dato confidencial, en virtud de que, si bien por sí sola no revela información personal o patrimonial, puede ser utilizada, en combinación con otros datos como el número de cuenta </w:t>
      </w:r>
      <w:r w:rsidRPr="00BC23D7">
        <w:rPr>
          <w:rFonts w:ascii="Palatino Linotype" w:hAnsi="Palatino Linotype" w:cs="Tahoma"/>
          <w:bCs/>
          <w:sz w:val="22"/>
          <w:szCs w:val="22"/>
        </w:rPr>
        <w:lastRenderedPageBreak/>
        <w:t>de origen, el monto exacto y la fecha de la operación, para acceder al Comprobante Electrónico de Pago (CEP) a través del sistema de validación pública del Banco de México. El CEP es un documento oficial que contiene información sensible sobre la operación financiera, incluyendo datos bancarios y de identificación tanto del ordenante como del beneficiario.</w:t>
      </w:r>
    </w:p>
    <w:p w14:paraId="1CFD9F37" w14:textId="77777777" w:rsidR="0010200E" w:rsidRPr="00BC23D7" w:rsidRDefault="0010200E" w:rsidP="0010200E">
      <w:pPr>
        <w:spacing w:line="360" w:lineRule="auto"/>
        <w:jc w:val="both"/>
        <w:rPr>
          <w:rFonts w:ascii="Palatino Linotype" w:hAnsi="Palatino Linotype" w:cs="Tahoma"/>
          <w:bCs/>
          <w:sz w:val="22"/>
          <w:szCs w:val="22"/>
        </w:rPr>
      </w:pPr>
    </w:p>
    <w:p w14:paraId="48D1C6E3"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En ese sentido, la divulgación de la clave de rastreo representa un riesgo para la seguridad patrimonial y financiera de los titulares de las cuentas involucradas, particularmente cuando se trata de personas físicas o proveedores privados. Dado que la normativa en materia de protección de datos personales establece que también son confidenciales aquellos datos que, aun sin revelar directamente la identidad del titular, puedan facilitar su identificación o la obtención de información adicional sobre su esfera privada, la clave de rastreo debe clasificarse como confidencial cuando esté asociada a terceros ajenos a la administración pública, aun siendo proveedores gubernamentales.</w:t>
      </w:r>
    </w:p>
    <w:p w14:paraId="32C7DE5D" w14:textId="77777777" w:rsidR="0010200E" w:rsidRPr="00BC23D7" w:rsidRDefault="0010200E" w:rsidP="0010200E">
      <w:pPr>
        <w:spacing w:line="360" w:lineRule="auto"/>
        <w:jc w:val="both"/>
        <w:rPr>
          <w:rFonts w:ascii="Palatino Linotype" w:hAnsi="Palatino Linotype" w:cs="Tahoma"/>
          <w:b/>
          <w:szCs w:val="22"/>
        </w:rPr>
      </w:pPr>
    </w:p>
    <w:p w14:paraId="38AA5ED7" w14:textId="77777777" w:rsidR="0010200E" w:rsidRPr="00BC23D7" w:rsidRDefault="0010200E" w:rsidP="0010200E">
      <w:pPr>
        <w:pStyle w:val="Prrafodelista"/>
        <w:numPr>
          <w:ilvl w:val="0"/>
          <w:numId w:val="11"/>
        </w:numPr>
        <w:spacing w:line="360" w:lineRule="auto"/>
        <w:jc w:val="both"/>
        <w:rPr>
          <w:rFonts w:ascii="Palatino Linotype" w:hAnsi="Palatino Linotype" w:cs="Tahoma"/>
          <w:b/>
          <w:szCs w:val="22"/>
        </w:rPr>
      </w:pPr>
      <w:r w:rsidRPr="00BC23D7">
        <w:rPr>
          <w:rFonts w:ascii="Palatino Linotype" w:hAnsi="Palatino Linotype" w:cs="Tahoma"/>
          <w:b/>
          <w:szCs w:val="22"/>
        </w:rPr>
        <w:t>Guía CIE</w:t>
      </w:r>
    </w:p>
    <w:p w14:paraId="7B053BC3" w14:textId="77777777" w:rsidR="0010200E" w:rsidRPr="00BC23D7" w:rsidRDefault="0010200E" w:rsidP="0010200E">
      <w:pPr>
        <w:spacing w:line="360" w:lineRule="auto"/>
        <w:jc w:val="both"/>
        <w:rPr>
          <w:rFonts w:ascii="Palatino Linotype" w:hAnsi="Palatino Linotype" w:cs="Tahoma"/>
          <w:bCs/>
          <w:sz w:val="22"/>
          <w:szCs w:val="22"/>
        </w:rPr>
      </w:pPr>
    </w:p>
    <w:p w14:paraId="12D2A9FE"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La Guía CIE (Clave de Identificación Electrónica) es un número o referencia única asignada por los bancos, principalmente en operaciones realizadas con instituciones que utilizan cuentas de concentración empresarial o gubernamental. Su función es facilitar la identificación automatizada de pagos realizados por terceros a favor de una empresa o institución pública, permitiendo que los recursos se apliquen correctamente dentro de los sistemas contables o presupuestales del receptor.</w:t>
      </w:r>
    </w:p>
    <w:p w14:paraId="36D03C62" w14:textId="77777777" w:rsidR="0010200E" w:rsidRPr="00BC23D7" w:rsidRDefault="0010200E" w:rsidP="0010200E">
      <w:pPr>
        <w:spacing w:line="360" w:lineRule="auto"/>
        <w:jc w:val="both"/>
        <w:rPr>
          <w:rFonts w:ascii="Palatino Linotype" w:hAnsi="Palatino Linotype" w:cs="Tahoma"/>
          <w:bCs/>
          <w:sz w:val="22"/>
          <w:szCs w:val="22"/>
        </w:rPr>
      </w:pPr>
    </w:p>
    <w:p w14:paraId="6DA93D89"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En el contexto del ejercicio del gasto público, la Guía CIE puede aparecer en recibos, reportes bancarios o comprobantes de transferencia, y se utiliza como un elemento operativo para referenciar pagos y conciliarlos con los registros internos del Sujeto Obligado. Aunque en principio no contiene datos personales, su divulgación puede facilitar el acceso a información </w:t>
      </w:r>
      <w:r w:rsidRPr="00BC23D7">
        <w:rPr>
          <w:rFonts w:ascii="Palatino Linotype" w:hAnsi="Palatino Linotype" w:cs="Tahoma"/>
          <w:bCs/>
          <w:sz w:val="22"/>
          <w:szCs w:val="22"/>
        </w:rPr>
        <w:lastRenderedPageBreak/>
        <w:t>financiera sensible si se combina con otros datos como el número de cuenta, el monto y la fecha de la operación, lo que podría permitir acceder al Comprobante Electrónico de Pago (CEP) emitido por el Banco de México. Por esta razón, cuando se encuentra asociada a personas físicas o proveedores privados, la Guía CIE debe considerarse un dato confidencial, conforme al principio de protección de datos vinculados al patrimonio o a la seguridad financiera de los particulares.</w:t>
      </w:r>
    </w:p>
    <w:p w14:paraId="10AAAAFB" w14:textId="77777777" w:rsidR="0010200E" w:rsidRPr="00BC23D7" w:rsidRDefault="0010200E" w:rsidP="0010200E">
      <w:pPr>
        <w:pStyle w:val="Prrafodelista"/>
        <w:rPr>
          <w:rFonts w:ascii="Palatino Linotype" w:hAnsi="Palatino Linotype" w:cs="Tahoma"/>
          <w:b/>
          <w:szCs w:val="22"/>
        </w:rPr>
      </w:pPr>
    </w:p>
    <w:p w14:paraId="7E6E1C8C" w14:textId="77777777" w:rsidR="0010200E" w:rsidRPr="00BC23D7" w:rsidRDefault="0010200E" w:rsidP="0010200E">
      <w:pPr>
        <w:pStyle w:val="Prrafodelista"/>
        <w:numPr>
          <w:ilvl w:val="0"/>
          <w:numId w:val="11"/>
        </w:numPr>
        <w:rPr>
          <w:rFonts w:ascii="Palatino Linotype" w:hAnsi="Palatino Linotype" w:cs="Tahoma"/>
          <w:b/>
          <w:szCs w:val="22"/>
        </w:rPr>
      </w:pPr>
      <w:r w:rsidRPr="00BC23D7">
        <w:rPr>
          <w:rFonts w:ascii="Palatino Linotype" w:hAnsi="Palatino Linotype" w:cs="Tahoma"/>
          <w:b/>
          <w:szCs w:val="22"/>
        </w:rPr>
        <w:t>Concepto de pago.</w:t>
      </w:r>
    </w:p>
    <w:p w14:paraId="614A1DFE" w14:textId="77777777" w:rsidR="0010200E" w:rsidRPr="00BC23D7" w:rsidRDefault="0010200E" w:rsidP="0010200E">
      <w:pPr>
        <w:rPr>
          <w:rFonts w:ascii="Palatino Linotype" w:hAnsi="Palatino Linotype" w:cs="Tahoma"/>
          <w:b/>
          <w:szCs w:val="22"/>
        </w:rPr>
      </w:pPr>
    </w:p>
    <w:p w14:paraId="736D9248" w14:textId="77777777" w:rsidR="0010200E" w:rsidRPr="00BC23D7" w:rsidRDefault="0010200E" w:rsidP="0010200E">
      <w:pPr>
        <w:rPr>
          <w:rFonts w:ascii="Palatino Linotype" w:hAnsi="Palatino Linotype" w:cs="Tahoma"/>
          <w:b/>
          <w:szCs w:val="22"/>
        </w:rPr>
      </w:pPr>
    </w:p>
    <w:p w14:paraId="4D91BB68"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El concepto de pago es el campo o descripción incluida en los comprobantes de transferencia bancaria que refiere la finalidad o motivo de la operación, usualmente redactado por el ordenante o el sistema contable del Sujeto Obligado. Este dato puede incluir referencias </w:t>
      </w:r>
      <w:proofErr w:type="spellStart"/>
      <w:r w:rsidRPr="00BC23D7">
        <w:rPr>
          <w:rFonts w:ascii="Palatino Linotype" w:hAnsi="Palatino Linotype" w:cs="Tahoma"/>
          <w:bCs/>
          <w:sz w:val="22"/>
          <w:szCs w:val="22"/>
        </w:rPr>
        <w:t>autoaplicativas</w:t>
      </w:r>
      <w:proofErr w:type="spellEnd"/>
      <w:r w:rsidRPr="00BC23D7">
        <w:rPr>
          <w:rFonts w:ascii="Palatino Linotype" w:hAnsi="Palatino Linotype" w:cs="Tahoma"/>
          <w:bCs/>
          <w:sz w:val="22"/>
          <w:szCs w:val="22"/>
        </w:rPr>
        <w:t xml:space="preserve"> utilizadas por el propio Sujeto Obligado, para identificar el motivo de dichas transferencias como puede ser a modo ejemplo "pago de nómina", "servicio de mantenimiento", "pago a proveedor", "laudo laboral", entre otros, y su función es facilitar la identificación interna del gasto o del ingreso dentro del sistema financiero o presupuestal.</w:t>
      </w:r>
    </w:p>
    <w:p w14:paraId="6ACF6A4F" w14:textId="77777777" w:rsidR="0010200E" w:rsidRPr="00BC23D7" w:rsidRDefault="0010200E" w:rsidP="0010200E">
      <w:pPr>
        <w:spacing w:line="360" w:lineRule="auto"/>
        <w:jc w:val="both"/>
        <w:rPr>
          <w:rFonts w:ascii="Palatino Linotype" w:hAnsi="Palatino Linotype" w:cs="Tahoma"/>
          <w:bCs/>
          <w:sz w:val="22"/>
          <w:szCs w:val="22"/>
        </w:rPr>
      </w:pPr>
    </w:p>
    <w:p w14:paraId="322E3743"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 xml:space="preserve">Dado que el campo “concepto de pago” en los comprobantes de transferencia bancaria no está sujeto a un formato estandarizado y suele ser capturado de forma libre por el área operativa o financiera del Sujeto Obligado, su contenido puede variar significativamente en cada operación. En algunos casos, puede referirse genéricamente a la naturaleza del gasto (“Pago a proveedor”, “Servicio de mantenimiento”), pero en otros puede incluir datos personales, referencias a expedientes, nombres de particulares o descripciones sensibles vinculadas a juicios, laudos, indemnizaciones u otras obligaciones legales. Por lo anterior, la naturaleza pública o confidencial de este campo no puede determinarse de forma categórica, sino que debe evaluarse caso por caso, atendiendo al contenido específico del concepto registrado, a fin </w:t>
      </w:r>
      <w:r w:rsidRPr="00BC23D7">
        <w:rPr>
          <w:rFonts w:ascii="Palatino Linotype" w:hAnsi="Palatino Linotype" w:cs="Tahoma"/>
          <w:bCs/>
          <w:sz w:val="22"/>
          <w:szCs w:val="22"/>
        </w:rPr>
        <w:lastRenderedPageBreak/>
        <w:t>de garantizar el principio de máxima publicidad sin comprometer la protección de datos personales, conforme al marco jurídico aplicable.</w:t>
      </w:r>
    </w:p>
    <w:p w14:paraId="320AC1CF" w14:textId="77777777" w:rsidR="0010200E" w:rsidRPr="00BC23D7" w:rsidRDefault="0010200E" w:rsidP="0010200E">
      <w:pPr>
        <w:rPr>
          <w:rFonts w:ascii="Palatino Linotype" w:hAnsi="Palatino Linotype" w:cs="Tahoma"/>
          <w:b/>
          <w:szCs w:val="22"/>
        </w:rPr>
      </w:pPr>
    </w:p>
    <w:p w14:paraId="61B9EC14" w14:textId="77777777" w:rsidR="0010200E" w:rsidRPr="00BC23D7" w:rsidRDefault="0010200E" w:rsidP="0010200E">
      <w:pPr>
        <w:pStyle w:val="Prrafodelista"/>
        <w:numPr>
          <w:ilvl w:val="0"/>
          <w:numId w:val="11"/>
        </w:numPr>
        <w:rPr>
          <w:rFonts w:ascii="Palatino Linotype" w:hAnsi="Palatino Linotype" w:cs="Tahoma"/>
          <w:b/>
          <w:szCs w:val="22"/>
        </w:rPr>
      </w:pPr>
      <w:r w:rsidRPr="00BC23D7">
        <w:rPr>
          <w:rFonts w:ascii="Palatino Linotype" w:hAnsi="Palatino Linotype" w:cs="Tahoma"/>
          <w:b/>
          <w:szCs w:val="22"/>
        </w:rPr>
        <w:t>Cadena Original</w:t>
      </w:r>
    </w:p>
    <w:p w14:paraId="34A298DA" w14:textId="77777777" w:rsidR="0010200E" w:rsidRPr="00BC23D7" w:rsidRDefault="0010200E" w:rsidP="0010200E">
      <w:pPr>
        <w:spacing w:line="360" w:lineRule="auto"/>
        <w:jc w:val="both"/>
        <w:rPr>
          <w:rFonts w:ascii="Palatino Linotype" w:hAnsi="Palatino Linotype" w:cs="Tahoma"/>
          <w:b/>
          <w:szCs w:val="22"/>
        </w:rPr>
      </w:pPr>
    </w:p>
    <w:p w14:paraId="5CCEB803"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La cadena original es una secuencia de datos alfanuméricos generada electrónicamente, que integra los elementos esenciales de un comprobante fiscal o bancario, con el propósito de dar seguridad, integridad y autenticidad a la operación realizada. Esta cadena se forma a partir de la concatenación de campos estructurados como la fecha, monto, RFC del emisor y receptor, concepto del pago, número de cuenta, método de pago y otros datos técnicos, dependiendo del tipo de documento (por ejemplo, un Comprobante Fiscal Digital por Internet – CFDI, o un Comprobante Electrónico de Pago – CEP del Banco de México).</w:t>
      </w:r>
    </w:p>
    <w:p w14:paraId="01763C9C" w14:textId="77777777" w:rsidR="0010200E" w:rsidRPr="00BC23D7" w:rsidRDefault="0010200E" w:rsidP="0010200E">
      <w:pPr>
        <w:spacing w:line="360" w:lineRule="auto"/>
        <w:jc w:val="both"/>
        <w:rPr>
          <w:rFonts w:ascii="Palatino Linotype" w:hAnsi="Palatino Linotype" w:cs="Tahoma"/>
          <w:bCs/>
          <w:sz w:val="22"/>
          <w:szCs w:val="22"/>
        </w:rPr>
      </w:pPr>
    </w:p>
    <w:p w14:paraId="2FFFE744"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En términos funcionales, la cadena original es el insumo que se utiliza para generar el sello digital o firma electrónica del comprobante, y permite verificar que la información contenida no ha sido alterada desde su emisión. No es un dato personal en sí mismo, pero puede incluir referencias o códigos que permiten identificar directa o indirectamente a personas físicas o morales, dependiendo del tipo de operación.</w:t>
      </w:r>
    </w:p>
    <w:p w14:paraId="0757F732" w14:textId="77777777" w:rsidR="0010200E" w:rsidRPr="00BC23D7" w:rsidRDefault="0010200E" w:rsidP="0010200E">
      <w:pPr>
        <w:spacing w:line="360" w:lineRule="auto"/>
        <w:jc w:val="both"/>
        <w:rPr>
          <w:rFonts w:ascii="Palatino Linotype" w:hAnsi="Palatino Linotype" w:cs="Tahoma"/>
          <w:bCs/>
          <w:sz w:val="22"/>
          <w:szCs w:val="22"/>
        </w:rPr>
      </w:pPr>
    </w:p>
    <w:p w14:paraId="54B2EFD3"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FA74BC0"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 xml:space="preserve"> </w:t>
      </w:r>
    </w:p>
    <w:p w14:paraId="00120209"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w:t>
      </w:r>
    </w:p>
    <w:p w14:paraId="4DE4BB5B"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Elementos utilizados en la generación de Sellos Digitales:</w:t>
      </w:r>
    </w:p>
    <w:p w14:paraId="5AF472B7"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p>
    <w:p w14:paraId="6EE1CA18"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w:t>
      </w:r>
      <w:r w:rsidRPr="00BC23D7">
        <w:rPr>
          <w:rFonts w:ascii="Palatino Linotype" w:eastAsia="Calibri" w:hAnsi="Palatino Linotype" w:cs="Tahoma"/>
          <w:bCs/>
          <w:i/>
          <w:color w:val="000000" w:themeColor="text1"/>
          <w:lang w:val="es-ES" w:eastAsia="es-MX"/>
        </w:rPr>
        <w:tab/>
        <w:t>Cadena Original, el elemento a sellar, en este caso de un comprobante fiscal digital a través de Internet.</w:t>
      </w:r>
    </w:p>
    <w:p w14:paraId="6712DEF9"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w:t>
      </w:r>
      <w:r w:rsidRPr="00BC23D7">
        <w:rPr>
          <w:rFonts w:ascii="Palatino Linotype" w:eastAsia="Calibri" w:hAnsi="Palatino Linotype" w:cs="Tahoma"/>
          <w:bCs/>
          <w:i/>
          <w:color w:val="000000" w:themeColor="text1"/>
          <w:lang w:val="es-ES" w:eastAsia="es-MX"/>
        </w:rPr>
        <w:tab/>
        <w:t>Certificado de Sello Digital y su correspondiente clave privada.</w:t>
      </w:r>
    </w:p>
    <w:p w14:paraId="5A00D1CB"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w:t>
      </w:r>
      <w:r w:rsidRPr="00BC23D7">
        <w:rPr>
          <w:rFonts w:ascii="Palatino Linotype" w:eastAsia="Calibri" w:hAnsi="Palatino Linotype" w:cs="Tahoma"/>
          <w:bCs/>
          <w:i/>
          <w:color w:val="000000" w:themeColor="text1"/>
          <w:lang w:val="es-ES" w:eastAsia="es-MX"/>
        </w:rPr>
        <w:tab/>
        <w:t>Algoritmos de criptografía de clave pública para firma electrónica avanzada.</w:t>
      </w:r>
    </w:p>
    <w:p w14:paraId="6C7D42B1"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w:t>
      </w:r>
      <w:r w:rsidRPr="00BC23D7">
        <w:rPr>
          <w:rFonts w:ascii="Palatino Linotype" w:eastAsia="Calibri" w:hAnsi="Palatino Linotype" w:cs="Tahoma"/>
          <w:bCs/>
          <w:i/>
          <w:color w:val="000000" w:themeColor="text1"/>
          <w:lang w:val="es-ES" w:eastAsia="es-MX"/>
        </w:rPr>
        <w:tab/>
        <w:t>Especificaciones de conversión de la firma electrónica avanzada a Base 64.</w:t>
      </w:r>
    </w:p>
    <w:p w14:paraId="1C747A5D"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Para la generación de sellos digitales se utiliza criptografía de clave pública aplicada a una cadena original.</w:t>
      </w:r>
    </w:p>
    <w:p w14:paraId="3B86F137"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p>
    <w:p w14:paraId="42E0A3FF"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Criptografía de la Clave Pública</w:t>
      </w:r>
    </w:p>
    <w:p w14:paraId="3F003F62"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 xml:space="preserve">La criptografía de Clave Pública se basa en la generación de una pareja de números muy grandes relacionados íntimamente entre sí, de tal manera que una operación de </w:t>
      </w:r>
      <w:proofErr w:type="spellStart"/>
      <w:r w:rsidRPr="00BC23D7">
        <w:rPr>
          <w:rFonts w:ascii="Palatino Linotype" w:eastAsia="Calibri" w:hAnsi="Palatino Linotype" w:cs="Tahoma"/>
          <w:bCs/>
          <w:i/>
          <w:color w:val="000000" w:themeColor="text1"/>
          <w:lang w:val="es-ES" w:eastAsia="es-MX"/>
        </w:rPr>
        <w:t>encripción</w:t>
      </w:r>
      <w:proofErr w:type="spellEnd"/>
      <w:r w:rsidRPr="00BC23D7">
        <w:rPr>
          <w:rFonts w:ascii="Palatino Linotype" w:eastAsia="Calibri" w:hAnsi="Palatino Linotype" w:cs="Tahoma"/>
          <w:bCs/>
          <w:i/>
          <w:color w:val="000000" w:themeColor="text1"/>
          <w:lang w:val="es-ES" w:eastAsia="es-MX"/>
        </w:rPr>
        <w:t xml:space="preserve"> sobre un mensaje tomando como clave de </w:t>
      </w:r>
      <w:proofErr w:type="spellStart"/>
      <w:r w:rsidRPr="00BC23D7">
        <w:rPr>
          <w:rFonts w:ascii="Palatino Linotype" w:eastAsia="Calibri" w:hAnsi="Palatino Linotype" w:cs="Tahoma"/>
          <w:bCs/>
          <w:i/>
          <w:color w:val="000000" w:themeColor="text1"/>
          <w:lang w:val="es-ES" w:eastAsia="es-MX"/>
        </w:rPr>
        <w:t>encripción</w:t>
      </w:r>
      <w:proofErr w:type="spellEnd"/>
      <w:r w:rsidRPr="00BC23D7">
        <w:rPr>
          <w:rFonts w:ascii="Palatino Linotype" w:eastAsia="Calibri" w:hAnsi="Palatino Linotype" w:cs="Tahoma"/>
          <w:bCs/>
          <w:i/>
          <w:color w:val="000000" w:themeColor="text1"/>
          <w:lang w:val="es-ES" w:eastAsia="es-MX"/>
        </w:rPr>
        <w:t xml:space="preserve"> a uno de los dos números, produce un mensaje alterado en su significado que solo puede ser devuelto a su estado original mediante la operación de </w:t>
      </w:r>
      <w:proofErr w:type="spellStart"/>
      <w:r w:rsidRPr="00BC23D7">
        <w:rPr>
          <w:rFonts w:ascii="Palatino Linotype" w:eastAsia="Calibri" w:hAnsi="Palatino Linotype" w:cs="Tahoma"/>
          <w:bCs/>
          <w:i/>
          <w:color w:val="000000" w:themeColor="text1"/>
          <w:lang w:val="es-ES" w:eastAsia="es-MX"/>
        </w:rPr>
        <w:t>desencripción</w:t>
      </w:r>
      <w:proofErr w:type="spellEnd"/>
      <w:r w:rsidRPr="00BC23D7">
        <w:rPr>
          <w:rFonts w:ascii="Palatino Linotype" w:eastAsia="Calibri" w:hAnsi="Palatino Linotype" w:cs="Tahoma"/>
          <w:bCs/>
          <w:i/>
          <w:color w:val="000000" w:themeColor="text1"/>
          <w:lang w:val="es-ES" w:eastAsia="es-MX"/>
        </w:rPr>
        <w:t xml:space="preserve"> correspondiente tomando como clave de </w:t>
      </w:r>
      <w:proofErr w:type="spellStart"/>
      <w:r w:rsidRPr="00BC23D7">
        <w:rPr>
          <w:rFonts w:ascii="Palatino Linotype" w:eastAsia="Calibri" w:hAnsi="Palatino Linotype" w:cs="Tahoma"/>
          <w:bCs/>
          <w:i/>
          <w:color w:val="000000" w:themeColor="text1"/>
          <w:lang w:val="es-ES" w:eastAsia="es-MX"/>
        </w:rPr>
        <w:t>desencripción</w:t>
      </w:r>
      <w:proofErr w:type="spellEnd"/>
      <w:r w:rsidRPr="00BC23D7">
        <w:rPr>
          <w:rFonts w:ascii="Palatino Linotype" w:eastAsia="Calibri" w:hAnsi="Palatino Linotype" w:cs="Tahoma"/>
          <w:bCs/>
          <w:i/>
          <w:color w:val="000000" w:themeColor="text1"/>
          <w:lang w:val="es-ES" w:eastAsia="es-MX"/>
        </w:rPr>
        <w:t xml:space="preserve"> al otro número de la pareja.</w:t>
      </w:r>
    </w:p>
    <w:p w14:paraId="078C72F7"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w:t>
      </w:r>
    </w:p>
    <w:p w14:paraId="32231179" w14:textId="77777777" w:rsidR="0010200E" w:rsidRPr="00BC23D7" w:rsidRDefault="0010200E" w:rsidP="0010200E">
      <w:pPr>
        <w:spacing w:line="360" w:lineRule="auto"/>
        <w:ind w:left="567" w:right="539"/>
        <w:contextualSpacing/>
        <w:jc w:val="both"/>
        <w:rPr>
          <w:rFonts w:ascii="Palatino Linotype" w:eastAsia="Calibri" w:hAnsi="Palatino Linotype" w:cs="Tahoma"/>
          <w:bCs/>
          <w:i/>
          <w:color w:val="000000" w:themeColor="text1"/>
          <w:lang w:val="es-ES" w:eastAsia="es-MX"/>
        </w:rPr>
      </w:pPr>
      <w:r w:rsidRPr="00BC23D7">
        <w:rPr>
          <w:rFonts w:ascii="Palatino Linotype" w:eastAsia="Calibri" w:hAnsi="Palatino Linotype" w:cs="Tahoma"/>
          <w:bCs/>
          <w:i/>
          <w:color w:val="000000" w:themeColor="text1"/>
          <w:lang w:val="es-ES" w:eastAsia="es-MX"/>
        </w:rPr>
        <w:t xml:space="preserve"> </w:t>
      </w:r>
    </w:p>
    <w:p w14:paraId="06621B17"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CB5E372" w14:textId="77777777" w:rsidR="0010200E" w:rsidRPr="00BC23D7" w:rsidRDefault="0010200E" w:rsidP="0010200E">
      <w:pPr>
        <w:spacing w:line="360" w:lineRule="auto"/>
        <w:jc w:val="both"/>
        <w:rPr>
          <w:rFonts w:ascii="Palatino Linotype" w:hAnsi="Palatino Linotype" w:cs="Tahoma"/>
          <w:bCs/>
          <w:sz w:val="22"/>
          <w:szCs w:val="22"/>
        </w:rPr>
      </w:pPr>
    </w:p>
    <w:p w14:paraId="68E37F0D"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7A8E12A0" w14:textId="77777777" w:rsidR="0010200E" w:rsidRPr="00BC23D7" w:rsidRDefault="0010200E" w:rsidP="0010200E">
      <w:pPr>
        <w:spacing w:line="360" w:lineRule="auto"/>
        <w:jc w:val="both"/>
        <w:rPr>
          <w:rFonts w:ascii="Palatino Linotype" w:hAnsi="Palatino Linotype" w:cs="Tahoma"/>
          <w:bCs/>
          <w:sz w:val="22"/>
          <w:szCs w:val="22"/>
        </w:rPr>
      </w:pPr>
    </w:p>
    <w:p w14:paraId="376D7C76"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lastRenderedPageBreak/>
        <w:t>De tal circunstancia, el Sujeto Obligado al entregar la información, deberá tomar en cuenta lo establecido en párrafos anteriores, para que únicamente clasifique aquellos datos que sean confidenciales, considerando también que el documento de seguridad debe proteger las medidas de seguridad, que también deberán ser confidenciales.</w:t>
      </w:r>
    </w:p>
    <w:p w14:paraId="7E4C89EA" w14:textId="77777777" w:rsidR="0010200E" w:rsidRPr="00BC23D7" w:rsidRDefault="0010200E" w:rsidP="0010200E">
      <w:pPr>
        <w:spacing w:line="360" w:lineRule="auto"/>
        <w:jc w:val="both"/>
        <w:rPr>
          <w:rFonts w:ascii="Palatino Linotype" w:hAnsi="Palatino Linotype" w:cs="Tahoma"/>
          <w:b/>
          <w:szCs w:val="22"/>
        </w:rPr>
      </w:pPr>
    </w:p>
    <w:p w14:paraId="5953C80C" w14:textId="77777777" w:rsidR="0010200E" w:rsidRPr="00BC23D7" w:rsidRDefault="0010200E" w:rsidP="0010200E">
      <w:pPr>
        <w:spacing w:line="360" w:lineRule="auto"/>
        <w:jc w:val="both"/>
        <w:rPr>
          <w:rFonts w:ascii="Palatino Linotype" w:hAnsi="Palatino Linotype" w:cs="Tahoma"/>
          <w:bCs/>
          <w:sz w:val="22"/>
          <w:szCs w:val="22"/>
        </w:rPr>
      </w:pPr>
      <w:r w:rsidRPr="00BC23D7">
        <w:rPr>
          <w:rFonts w:ascii="Palatino Linotype" w:hAnsi="Palatino Linotype" w:cs="Tahoma"/>
          <w:bCs/>
          <w:sz w:val="22"/>
          <w:szCs w:val="22"/>
        </w:rPr>
        <w:t>En este sentido, deberá entregar de nueva cuenta los documentos en una versión pública correcta, junto con el acuerdo de clasificación, en donde se aborden todos los datos que fueron eliminados de las versiones públicas, debidamente fundados y motivados, aplicados a cada uno de los casos, diferenciando entre proveedores gubernamentales, instituciones públicas o erogación de recursos por cualquier otro concepto.</w:t>
      </w:r>
    </w:p>
    <w:p w14:paraId="329D8B6A" w14:textId="77777777" w:rsidR="0010200E" w:rsidRPr="00BC23D7" w:rsidRDefault="0010200E" w:rsidP="0033771A">
      <w:pPr>
        <w:spacing w:line="360" w:lineRule="auto"/>
        <w:contextualSpacing/>
        <w:jc w:val="both"/>
        <w:rPr>
          <w:rFonts w:ascii="Palatino Linotype" w:eastAsia="Palatino Linotype" w:hAnsi="Palatino Linotype" w:cs="Tahoma"/>
          <w:bCs/>
          <w:color w:val="000000" w:themeColor="text1"/>
          <w:sz w:val="22"/>
          <w:szCs w:val="22"/>
          <w:lang w:eastAsia="es-MX"/>
        </w:rPr>
      </w:pPr>
    </w:p>
    <w:p w14:paraId="38B2DABE" w14:textId="77777777" w:rsidR="00A311EC" w:rsidRPr="00BC23D7"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32" w:name="_Toc182486336"/>
      <w:bookmarkStart w:id="33" w:name="_Toc190691275"/>
      <w:bookmarkStart w:id="34" w:name="_Toc191561715"/>
      <w:bookmarkStart w:id="35" w:name="_Toc210315199"/>
      <w:r w:rsidRPr="00BC23D7">
        <w:rPr>
          <w:rFonts w:ascii="Palatino Linotype" w:eastAsia="Palatino Linotype" w:hAnsi="Palatino Linotype" w:cs="Palatino Linotype"/>
          <w:b/>
          <w:color w:val="000000" w:themeColor="text1"/>
          <w:sz w:val="22"/>
          <w:szCs w:val="36"/>
          <w:lang w:eastAsia="es-MX"/>
        </w:rPr>
        <w:t>SEXTO. Versión pública</w:t>
      </w:r>
      <w:bookmarkEnd w:id="32"/>
      <w:bookmarkEnd w:id="33"/>
      <w:bookmarkEnd w:id="34"/>
      <w:bookmarkEnd w:id="35"/>
    </w:p>
    <w:p w14:paraId="407E8BAE" w14:textId="77777777" w:rsidR="00A311EC" w:rsidRPr="00BC23D7" w:rsidRDefault="00A311EC" w:rsidP="00A311EC">
      <w:pPr>
        <w:spacing w:line="360" w:lineRule="auto"/>
        <w:contextualSpacing/>
        <w:jc w:val="both"/>
        <w:rPr>
          <w:rFonts w:ascii="Palatino Linotype" w:eastAsia="Palatino Linotype" w:hAnsi="Palatino Linotype" w:cs="Tahoma"/>
          <w:bCs/>
          <w:color w:val="000000" w:themeColor="text1"/>
          <w:sz w:val="22"/>
          <w:szCs w:val="22"/>
          <w:lang w:eastAsia="es-MX"/>
        </w:rPr>
      </w:pPr>
    </w:p>
    <w:p w14:paraId="51C17830" w14:textId="77777777" w:rsidR="00A311EC" w:rsidRPr="00BC23D7" w:rsidRDefault="00A311EC" w:rsidP="00A311EC">
      <w:pPr>
        <w:spacing w:line="360" w:lineRule="auto"/>
        <w:contextualSpacing/>
        <w:jc w:val="both"/>
        <w:rPr>
          <w:rFonts w:ascii="Palatino Linotype" w:eastAsia="Palatino Linotype" w:hAnsi="Palatino Linotype" w:cs="Tahoma"/>
          <w:bCs/>
          <w:color w:val="000000" w:themeColor="text1"/>
          <w:sz w:val="22"/>
          <w:szCs w:val="22"/>
          <w:lang w:eastAsia="es-MX"/>
        </w:rPr>
      </w:pPr>
      <w:r w:rsidRPr="00BC23D7">
        <w:rPr>
          <w:rFonts w:ascii="Palatino Linotype" w:eastAsia="Palatino Linotype" w:hAnsi="Palatino Linotype" w:cs="Tahoma"/>
          <w:bCs/>
          <w:color w:val="000000" w:themeColor="text1"/>
          <w:sz w:val="22"/>
          <w:szCs w:val="22"/>
          <w:lang w:eastAsia="es-MX"/>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 </w:t>
      </w:r>
      <w:r w:rsidRPr="00BC23D7">
        <w:rPr>
          <w:rFonts w:ascii="Palatino Linotype" w:eastAsia="Palatino Linotype" w:hAnsi="Palatino Linotype" w:cs="Tahoma"/>
          <w:bCs/>
          <w:iCs/>
          <w:color w:val="000000" w:themeColor="text1"/>
          <w:sz w:val="22"/>
          <w:szCs w:val="22"/>
          <w:lang w:eastAsia="es-MX"/>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062CAB73"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7AB9FE5D"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C6040B4"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239F0A3E"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27589FA0"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0DF09252"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12A1B6B"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276ACA97"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En términos de lo expuesto, la documentación y aquellos datos que se consideren confidenciales, serán una limitante del derecho de acceso a la información, siempre y cuando:</w:t>
      </w:r>
    </w:p>
    <w:p w14:paraId="46EAB9DA"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35E8C679" w14:textId="77777777" w:rsidR="00A311EC" w:rsidRPr="00BC23D7" w:rsidRDefault="00A311EC" w:rsidP="00A311EC">
      <w:pPr>
        <w:numPr>
          <w:ilvl w:val="0"/>
          <w:numId w:val="4"/>
        </w:numPr>
        <w:spacing w:after="160"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 xml:space="preserve">Se trate de datos personales o información privada; esto es, información concerniente a una persona física o jurídico colectiva y que ésta sea identificada o identificable. </w:t>
      </w:r>
    </w:p>
    <w:p w14:paraId="3E12E779" w14:textId="77777777" w:rsidR="00A311EC" w:rsidRPr="00BC23D7" w:rsidRDefault="00A311EC" w:rsidP="00A311EC">
      <w:pPr>
        <w:numPr>
          <w:ilvl w:val="0"/>
          <w:numId w:val="4"/>
        </w:numPr>
        <w:spacing w:after="160"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 xml:space="preserve">Para la difusión de los datos, se requiera el consentimiento del titular. </w:t>
      </w:r>
    </w:p>
    <w:p w14:paraId="7646ECCA"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19F6E770"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BC23D7">
        <w:rPr>
          <w:rFonts w:ascii="Palatino Linotype" w:eastAsia="Palatino Linotype" w:hAnsi="Palatino Linotype" w:cs="Tahoma"/>
          <w:bCs/>
          <w:iCs/>
          <w:color w:val="000000" w:themeColor="text1"/>
          <w:sz w:val="22"/>
          <w:szCs w:val="22"/>
          <w:lang w:eastAsia="es-MX"/>
        </w:rPr>
        <w:lastRenderedPageBreak/>
        <w:t xml:space="preserve">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0197673"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5BE1ED8C"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Además, en el artículo 5° de dicho ordenamiento jurídico, establece que es la Ley aplicable para todo tratamiento de datos personales. 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562F08D"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3FB2F8C9"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Ante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FFF0D43"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06AC9FCE"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 xml:space="preserve">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w:t>
      </w:r>
      <w:r w:rsidRPr="00BC23D7">
        <w:rPr>
          <w:rFonts w:ascii="Palatino Linotype" w:eastAsia="Palatino Linotype" w:hAnsi="Palatino Linotype" w:cs="Tahoma"/>
          <w:bCs/>
          <w:iCs/>
          <w:color w:val="000000" w:themeColor="text1"/>
          <w:sz w:val="22"/>
          <w:szCs w:val="22"/>
          <w:lang w:eastAsia="es-MX"/>
        </w:rPr>
        <w:lastRenderedPageBreak/>
        <w:t>instituciones y es a partir de ahí, en donde las instituciones públicas deben determinar la publicidad de su información.</w:t>
      </w:r>
    </w:p>
    <w:p w14:paraId="277B5ADC"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4259662A"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De tal suerte, las instituciones públicas tienen la doble responsabilidad, por un lado, de proteger los datos personales y por otro, darles publicidad cuando la relevancia de esos datos sea de interés público.</w:t>
      </w:r>
    </w:p>
    <w:p w14:paraId="7AB13498"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7B3B952A"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7D66677"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3725C6F6"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r w:rsidRPr="00BC23D7">
        <w:rPr>
          <w:rFonts w:ascii="Palatino Linotype" w:eastAsia="Palatino Linotype" w:hAnsi="Palatino Linotype" w:cs="Tahoma"/>
          <w:bCs/>
          <w:iCs/>
          <w:color w:val="000000" w:themeColor="text1"/>
          <w:sz w:val="22"/>
          <w:szCs w:val="22"/>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F4E9C24" w14:textId="77777777" w:rsidR="00A311EC" w:rsidRPr="00BC23D7" w:rsidRDefault="00A311EC" w:rsidP="00A311EC">
      <w:pPr>
        <w:spacing w:line="360" w:lineRule="auto"/>
        <w:contextualSpacing/>
        <w:jc w:val="both"/>
        <w:rPr>
          <w:rFonts w:ascii="Palatino Linotype" w:eastAsia="Palatino Linotype" w:hAnsi="Palatino Linotype" w:cs="Tahoma"/>
          <w:bCs/>
          <w:iCs/>
          <w:color w:val="000000" w:themeColor="text1"/>
          <w:sz w:val="22"/>
          <w:szCs w:val="22"/>
          <w:lang w:eastAsia="es-MX"/>
        </w:rPr>
      </w:pPr>
    </w:p>
    <w:p w14:paraId="45C8E393" w14:textId="77777777" w:rsidR="00A311EC" w:rsidRPr="00BC23D7" w:rsidRDefault="00A311EC" w:rsidP="00A311EC">
      <w:pPr>
        <w:spacing w:line="360" w:lineRule="auto"/>
        <w:contextualSpacing/>
        <w:jc w:val="both"/>
        <w:rPr>
          <w:rFonts w:ascii="Palatino Linotype" w:eastAsia="Palatino Linotype" w:hAnsi="Palatino Linotype" w:cs="Tahoma"/>
          <w:bCs/>
          <w:color w:val="000000" w:themeColor="text1"/>
          <w:sz w:val="22"/>
          <w:szCs w:val="22"/>
          <w:lang w:eastAsia="es-MX"/>
        </w:rPr>
      </w:pPr>
      <w:r w:rsidRPr="00BC23D7">
        <w:rPr>
          <w:rFonts w:ascii="Palatino Linotype" w:eastAsia="Palatino Linotype" w:hAnsi="Palatino Linotype" w:cs="Tahoma"/>
          <w:bCs/>
          <w:color w:val="000000" w:themeColor="text1"/>
          <w:sz w:val="22"/>
          <w:szCs w:val="22"/>
          <w:lang w:eastAsia="es-MX"/>
        </w:rPr>
        <w:lastRenderedPageBreak/>
        <w:t>En consecuencia, aquellos datos que únicamente versan sobre la vida privada de las personas deberán ser eliminadas de las versiones pública, previa aprobación del Comité de Transparencia.</w:t>
      </w:r>
    </w:p>
    <w:p w14:paraId="46CF57B7" w14:textId="77777777" w:rsidR="00A311EC" w:rsidRPr="00BC23D7"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B64F51A" w14:textId="77777777" w:rsidR="00A311EC" w:rsidRPr="00BC23D7"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36" w:name="_Toc187931076"/>
      <w:bookmarkStart w:id="37" w:name="_Toc191561716"/>
      <w:bookmarkStart w:id="38" w:name="_Toc210315200"/>
      <w:r w:rsidRPr="00BC23D7">
        <w:rPr>
          <w:rFonts w:ascii="Palatino Linotype" w:eastAsia="Palatino Linotype" w:hAnsi="Palatino Linotype" w:cs="Palatino Linotype"/>
          <w:b/>
          <w:color w:val="000000" w:themeColor="text1"/>
          <w:sz w:val="22"/>
          <w:szCs w:val="36"/>
          <w:lang w:eastAsia="es-MX"/>
        </w:rPr>
        <w:t>SÉPTIMO. Decisión</w:t>
      </w:r>
      <w:bookmarkEnd w:id="36"/>
      <w:bookmarkEnd w:id="37"/>
      <w:bookmarkEnd w:id="38"/>
    </w:p>
    <w:p w14:paraId="0B1BB653" w14:textId="77777777" w:rsidR="00A311EC" w:rsidRPr="00BC23D7"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412E3364" w14:textId="500430A1"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 xml:space="preserve">Con fundamento en el artículo 186, fracción III, de la Ley de Transparencia y Acceso a la Información Pública del Estado de México y Municipios, este Instituto considera procedente </w:t>
      </w:r>
      <w:r w:rsidR="004C704E" w:rsidRPr="00BC23D7">
        <w:rPr>
          <w:rFonts w:ascii="Palatino Linotype" w:eastAsia="Palatino Linotype" w:hAnsi="Palatino Linotype" w:cs="Palatino Linotype"/>
          <w:b/>
          <w:color w:val="000000" w:themeColor="text1"/>
          <w:sz w:val="22"/>
          <w:szCs w:val="22"/>
          <w:lang w:eastAsia="es-MX"/>
        </w:rPr>
        <w:t>REVOCAR</w:t>
      </w:r>
      <w:r w:rsidRPr="00BC23D7">
        <w:rPr>
          <w:rFonts w:ascii="Palatino Linotype" w:eastAsia="Palatino Linotype" w:hAnsi="Palatino Linotype" w:cs="Palatino Linotype"/>
          <w:color w:val="000000" w:themeColor="text1"/>
          <w:sz w:val="22"/>
          <w:szCs w:val="22"/>
          <w:lang w:eastAsia="es-MX"/>
        </w:rPr>
        <w:t xml:space="preserve"> la respuesta otorgada por el Sujeto Obligado a la solicitud de información </w:t>
      </w:r>
      <w:r w:rsidR="004C704E" w:rsidRPr="00BC23D7">
        <w:rPr>
          <w:rFonts w:ascii="Palatino Linotype" w:hAnsi="Palatino Linotype" w:cs="Tahoma"/>
          <w:b/>
          <w:bCs/>
          <w:sz w:val="22"/>
          <w:szCs w:val="22"/>
        </w:rPr>
        <w:t>00349/TEPOTZOT/IP/2025</w:t>
      </w:r>
      <w:r w:rsidRPr="00BC23D7">
        <w:rPr>
          <w:rFonts w:ascii="Palatino Linotype" w:eastAsia="Palatino Linotype" w:hAnsi="Palatino Linotype" w:cs="Palatino Linotype"/>
          <w:color w:val="000000" w:themeColor="text1"/>
          <w:sz w:val="22"/>
          <w:szCs w:val="22"/>
          <w:lang w:eastAsia="es-MX"/>
        </w:rPr>
        <w:t xml:space="preserve">, por resultar parcialmente fundadas las razones o motivos de inconformidad hechos valer por la persona Recurrente, en el Recurso de Revisión </w:t>
      </w:r>
      <w:r w:rsidR="004C704E" w:rsidRPr="00BC23D7">
        <w:rPr>
          <w:rFonts w:ascii="Palatino Linotype" w:eastAsia="Palatino Linotype" w:hAnsi="Palatino Linotype" w:cs="Palatino Linotype"/>
          <w:b/>
          <w:color w:val="000000" w:themeColor="text1"/>
          <w:sz w:val="22"/>
          <w:szCs w:val="22"/>
          <w:lang w:eastAsia="es-MX"/>
        </w:rPr>
        <w:t>09271/INFOEM/IP/RR/2025.</w:t>
      </w:r>
    </w:p>
    <w:p w14:paraId="247667BC" w14:textId="77777777" w:rsidR="00A311EC" w:rsidRPr="00BC23D7" w:rsidRDefault="00A311EC"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D765A0E" w14:textId="77777777" w:rsidR="00A311EC" w:rsidRPr="00BC23D7" w:rsidRDefault="00A311EC" w:rsidP="00A311EC">
      <w:pPr>
        <w:spacing w:line="360" w:lineRule="auto"/>
        <w:ind w:right="142"/>
        <w:jc w:val="both"/>
        <w:rPr>
          <w:rFonts w:ascii="Palatino Linotype" w:eastAsia="Palatino Linotype" w:hAnsi="Palatino Linotype" w:cs="Palatino Linotype"/>
          <w:b/>
          <w:color w:val="000000" w:themeColor="text1"/>
          <w:sz w:val="22"/>
          <w:szCs w:val="22"/>
          <w:u w:val="single"/>
          <w:lang w:eastAsia="es-MX"/>
        </w:rPr>
      </w:pPr>
      <w:r w:rsidRPr="00BC23D7">
        <w:rPr>
          <w:rFonts w:ascii="Palatino Linotype" w:eastAsia="Palatino Linotype" w:hAnsi="Palatino Linotype" w:cs="Palatino Linotype"/>
          <w:b/>
          <w:color w:val="000000" w:themeColor="text1"/>
          <w:sz w:val="22"/>
          <w:szCs w:val="22"/>
          <w:u w:val="single"/>
          <w:lang w:eastAsia="es-MX"/>
        </w:rPr>
        <w:t>Términos de la Resolución para la persona Recurrente</w:t>
      </w:r>
    </w:p>
    <w:p w14:paraId="7069C537"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4BFD22F" w14:textId="0622801D"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Se hace del conocimiento al Particular que este Instituto le otorgó la razón debido a que el Sujeto Obligado,</w:t>
      </w:r>
      <w:r w:rsidR="004C704E" w:rsidRPr="00BC23D7">
        <w:rPr>
          <w:rFonts w:ascii="Palatino Linotype" w:eastAsia="Palatino Linotype" w:hAnsi="Palatino Linotype" w:cs="Palatino Linotype"/>
          <w:color w:val="000000" w:themeColor="text1"/>
          <w:sz w:val="22"/>
          <w:szCs w:val="22"/>
          <w:lang w:eastAsia="es-MX"/>
        </w:rPr>
        <w:t xml:space="preserve"> debió hacer entrega de la información</w:t>
      </w:r>
      <w:r w:rsidR="00844251" w:rsidRPr="00BC23D7">
        <w:rPr>
          <w:rFonts w:ascii="Palatino Linotype" w:eastAsia="Palatino Linotype" w:hAnsi="Palatino Linotype" w:cs="Palatino Linotype"/>
          <w:color w:val="000000" w:themeColor="text1"/>
          <w:sz w:val="22"/>
          <w:szCs w:val="22"/>
          <w:lang w:eastAsia="es-MX"/>
        </w:rPr>
        <w:t>, contrario a lo afirmado, no actualiza causales de reserva contempladas en el artículo 140 de la Ley de Transparencia, vigente en la entidad.</w:t>
      </w:r>
    </w:p>
    <w:p w14:paraId="6DEF0AA5"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u w:val="single"/>
          <w:lang w:eastAsia="es-MX"/>
        </w:rPr>
      </w:pPr>
    </w:p>
    <w:p w14:paraId="06785747"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u w:val="single"/>
          <w:lang w:eastAsia="es-MX"/>
        </w:rPr>
      </w:pPr>
      <w:r w:rsidRPr="00BC23D7">
        <w:rPr>
          <w:rFonts w:ascii="Palatino Linotype" w:eastAsia="Palatino Linotype" w:hAnsi="Palatino Linotype" w:cs="Palatino Linotype"/>
          <w:color w:val="000000" w:themeColor="text1"/>
          <w:sz w:val="22"/>
          <w:szCs w:val="22"/>
          <w:u w:val="single"/>
          <w:lang w:eastAsia="es-MX"/>
        </w:rPr>
        <w:t>La labor del INFOEM, es apoyar a la población para acceder a la información pública y garantizar la protección de sus datos personales.</w:t>
      </w:r>
    </w:p>
    <w:p w14:paraId="51B8F1AB" w14:textId="77777777" w:rsidR="00A311EC" w:rsidRPr="00BC23D7" w:rsidRDefault="00A311EC"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F1C13C6" w14:textId="77777777" w:rsidR="00A311EC" w:rsidRPr="00BC23D7" w:rsidRDefault="00A311EC" w:rsidP="00A311EC">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39" w:name="_Toc187931077"/>
      <w:bookmarkStart w:id="40" w:name="_Toc191561717"/>
      <w:bookmarkStart w:id="41" w:name="_Toc210315201"/>
      <w:r w:rsidRPr="00BC23D7">
        <w:rPr>
          <w:rFonts w:ascii="Palatino Linotype" w:eastAsia="Palatino Linotype" w:hAnsi="Palatino Linotype" w:cs="Palatino Linotype"/>
          <w:b/>
          <w:color w:val="000000" w:themeColor="text1"/>
          <w:sz w:val="22"/>
          <w:szCs w:val="48"/>
          <w:lang w:eastAsia="es-MX"/>
        </w:rPr>
        <w:t>R E S U E L V E</w:t>
      </w:r>
      <w:bookmarkEnd w:id="39"/>
      <w:bookmarkEnd w:id="40"/>
      <w:bookmarkEnd w:id="41"/>
    </w:p>
    <w:p w14:paraId="332F66ED" w14:textId="77777777" w:rsidR="00A311EC" w:rsidRPr="00BC23D7"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3C8C5D54" w14:textId="16BC6424"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b/>
          <w:color w:val="000000" w:themeColor="text1"/>
          <w:sz w:val="22"/>
          <w:szCs w:val="22"/>
          <w:lang w:eastAsia="es-MX"/>
        </w:rPr>
        <w:t xml:space="preserve">PRIMERO. </w:t>
      </w:r>
      <w:r w:rsidRPr="00BC23D7">
        <w:rPr>
          <w:rFonts w:ascii="Palatino Linotype" w:eastAsia="Palatino Linotype" w:hAnsi="Palatino Linotype" w:cs="Palatino Linotype"/>
          <w:color w:val="000000" w:themeColor="text1"/>
          <w:sz w:val="22"/>
          <w:szCs w:val="22"/>
          <w:lang w:eastAsia="es-MX"/>
        </w:rPr>
        <w:t xml:space="preserve">Se </w:t>
      </w:r>
      <w:r w:rsidR="00844251" w:rsidRPr="00BC23D7">
        <w:rPr>
          <w:rFonts w:ascii="Palatino Linotype" w:eastAsia="Palatino Linotype" w:hAnsi="Palatino Linotype" w:cs="Palatino Linotype"/>
          <w:b/>
          <w:color w:val="000000" w:themeColor="text1"/>
          <w:sz w:val="22"/>
          <w:szCs w:val="22"/>
          <w:lang w:eastAsia="es-MX"/>
        </w:rPr>
        <w:t>REVOCA</w:t>
      </w:r>
      <w:r w:rsidRPr="00BC23D7">
        <w:rPr>
          <w:rFonts w:ascii="Palatino Linotype" w:eastAsia="Palatino Linotype" w:hAnsi="Palatino Linotype" w:cs="Palatino Linotype"/>
          <w:color w:val="000000" w:themeColor="text1"/>
          <w:sz w:val="22"/>
          <w:szCs w:val="22"/>
          <w:lang w:eastAsia="es-MX"/>
        </w:rPr>
        <w:t xml:space="preserve"> la respuesta entregada por el </w:t>
      </w:r>
      <w:r w:rsidR="00844251" w:rsidRPr="00BC23D7">
        <w:rPr>
          <w:rFonts w:ascii="Palatino Linotype" w:eastAsia="Palatino Linotype" w:hAnsi="Palatino Linotype" w:cs="Palatino Linotype"/>
          <w:color w:val="000000" w:themeColor="text1"/>
          <w:sz w:val="22"/>
          <w:szCs w:val="22"/>
          <w:lang w:eastAsia="es-MX"/>
        </w:rPr>
        <w:t>Ayuntamiento de Tepotzotlán</w:t>
      </w:r>
      <w:r w:rsidRPr="00BC23D7">
        <w:rPr>
          <w:rFonts w:ascii="Palatino Linotype" w:eastAsia="Palatino Linotype" w:hAnsi="Palatino Linotype" w:cs="Palatino Linotype"/>
          <w:color w:val="000000" w:themeColor="text1"/>
          <w:sz w:val="22"/>
          <w:szCs w:val="22"/>
          <w:lang w:eastAsia="es-MX"/>
        </w:rPr>
        <w:t xml:space="preserve"> a la solicitud de información </w:t>
      </w:r>
      <w:r w:rsidR="00844251" w:rsidRPr="00BC23D7">
        <w:rPr>
          <w:rFonts w:ascii="Palatino Linotype" w:hAnsi="Palatino Linotype" w:cs="Tahoma"/>
          <w:sz w:val="22"/>
          <w:szCs w:val="22"/>
        </w:rPr>
        <w:t xml:space="preserve">00349/TEPOTZOT/IP/2025 </w:t>
      </w:r>
      <w:r w:rsidRPr="00BC23D7">
        <w:rPr>
          <w:rFonts w:ascii="Palatino Linotype" w:eastAsia="Palatino Linotype" w:hAnsi="Palatino Linotype" w:cs="Palatino Linotype"/>
          <w:color w:val="000000" w:themeColor="text1"/>
          <w:sz w:val="22"/>
          <w:szCs w:val="22"/>
          <w:lang w:eastAsia="es-MX"/>
        </w:rPr>
        <w:t xml:space="preserve">por resultar parcialmente fundadas las </w:t>
      </w:r>
      <w:r w:rsidRPr="00BC23D7">
        <w:rPr>
          <w:rFonts w:ascii="Palatino Linotype" w:eastAsia="Palatino Linotype" w:hAnsi="Palatino Linotype" w:cs="Palatino Linotype"/>
          <w:color w:val="000000" w:themeColor="text1"/>
          <w:sz w:val="22"/>
          <w:szCs w:val="22"/>
          <w:lang w:eastAsia="es-MX"/>
        </w:rPr>
        <w:lastRenderedPageBreak/>
        <w:t xml:space="preserve">razones o motivos de inconformidad hechos valer por la persona Recurrente en el Recurso de Revisión </w:t>
      </w:r>
      <w:r w:rsidR="00844251" w:rsidRPr="00BC23D7">
        <w:rPr>
          <w:rFonts w:ascii="Palatino Linotype" w:eastAsia="Palatino Linotype" w:hAnsi="Palatino Linotype" w:cs="Palatino Linotype"/>
          <w:color w:val="000000" w:themeColor="text1"/>
          <w:sz w:val="22"/>
          <w:szCs w:val="22"/>
          <w:lang w:eastAsia="es-MX"/>
        </w:rPr>
        <w:t>09271/INFOEM/IP/RR/2025</w:t>
      </w:r>
      <w:r w:rsidRPr="00BC23D7">
        <w:rPr>
          <w:rFonts w:ascii="Palatino Linotype" w:eastAsia="Palatino Linotype" w:hAnsi="Palatino Linotype" w:cs="Palatino Linotype"/>
          <w:color w:val="000000" w:themeColor="text1"/>
          <w:sz w:val="22"/>
          <w:szCs w:val="22"/>
          <w:lang w:eastAsia="es-MX"/>
        </w:rPr>
        <w:t xml:space="preserve">, en términos de los considerandos QUINTO y </w:t>
      </w:r>
      <w:r w:rsidR="00844251" w:rsidRPr="00BC23D7">
        <w:rPr>
          <w:rFonts w:ascii="Palatino Linotype" w:eastAsia="Palatino Linotype" w:hAnsi="Palatino Linotype" w:cs="Palatino Linotype"/>
          <w:color w:val="000000" w:themeColor="text1"/>
          <w:sz w:val="22"/>
          <w:szCs w:val="22"/>
          <w:lang w:eastAsia="es-MX"/>
        </w:rPr>
        <w:t>SÉPTIMO</w:t>
      </w:r>
      <w:r w:rsidRPr="00BC23D7">
        <w:rPr>
          <w:rFonts w:ascii="Palatino Linotype" w:eastAsia="Palatino Linotype" w:hAnsi="Palatino Linotype" w:cs="Palatino Linotype"/>
          <w:color w:val="000000" w:themeColor="text1"/>
          <w:sz w:val="22"/>
          <w:szCs w:val="22"/>
          <w:lang w:eastAsia="es-MX"/>
        </w:rPr>
        <w:t xml:space="preserve"> de la presente Resolución.</w:t>
      </w:r>
    </w:p>
    <w:p w14:paraId="6FE52113"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432D3A2" w14:textId="06508BFC"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b/>
          <w:color w:val="000000" w:themeColor="text1"/>
          <w:sz w:val="22"/>
          <w:szCs w:val="22"/>
          <w:lang w:eastAsia="es-MX"/>
        </w:rPr>
        <w:t xml:space="preserve">SEGUNDO. </w:t>
      </w:r>
      <w:r w:rsidRPr="00BC23D7">
        <w:rPr>
          <w:rFonts w:ascii="Palatino Linotype" w:eastAsia="Palatino Linotype" w:hAnsi="Palatino Linotype" w:cs="Palatino Linotype"/>
          <w:color w:val="000000"/>
          <w:sz w:val="22"/>
          <w:szCs w:val="22"/>
          <w:lang w:eastAsia="es-MX"/>
        </w:rPr>
        <w:t xml:space="preserve">Se </w:t>
      </w:r>
      <w:r w:rsidRPr="00BC23D7">
        <w:rPr>
          <w:rFonts w:ascii="Palatino Linotype" w:eastAsia="Palatino Linotype" w:hAnsi="Palatino Linotype" w:cs="Palatino Linotype"/>
          <w:b/>
          <w:color w:val="000000"/>
          <w:sz w:val="22"/>
          <w:szCs w:val="22"/>
          <w:lang w:eastAsia="es-MX"/>
        </w:rPr>
        <w:t>ORDENA</w:t>
      </w:r>
      <w:r w:rsidRPr="00BC23D7">
        <w:rPr>
          <w:rFonts w:ascii="Palatino Linotype" w:eastAsia="Palatino Linotype" w:hAnsi="Palatino Linotype" w:cs="Palatino Linotype"/>
          <w:color w:val="000000"/>
          <w:sz w:val="22"/>
          <w:szCs w:val="22"/>
          <w:lang w:eastAsia="es-MX"/>
        </w:rPr>
        <w:t xml:space="preserve"> al Sujeto Obligado, a efecto de que previa búsqueda exhaustiva y razonable, entregue a través del SAIMEX, en su caso en versión pública, los documentos relacionados </w:t>
      </w:r>
      <w:r w:rsidR="00844251" w:rsidRPr="00BC23D7">
        <w:rPr>
          <w:rFonts w:ascii="Palatino Linotype" w:eastAsia="Palatino Linotype" w:hAnsi="Palatino Linotype" w:cs="Palatino Linotype"/>
          <w:color w:val="000000"/>
          <w:sz w:val="22"/>
          <w:szCs w:val="22"/>
          <w:lang w:eastAsia="es-MX"/>
        </w:rPr>
        <w:t>que den cuenta de lo siguiente</w:t>
      </w:r>
      <w:r w:rsidRPr="00BC23D7">
        <w:rPr>
          <w:rFonts w:ascii="Palatino Linotype" w:eastAsia="Palatino Linotype" w:hAnsi="Palatino Linotype" w:cs="Palatino Linotype"/>
          <w:color w:val="000000"/>
          <w:sz w:val="22"/>
          <w:szCs w:val="22"/>
          <w:lang w:eastAsia="es-MX"/>
        </w:rPr>
        <w:t>:</w:t>
      </w:r>
    </w:p>
    <w:p w14:paraId="6CEDBFE5"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B71E0A6" w14:textId="44140E5C" w:rsidR="00C447DB" w:rsidRPr="00BC23D7" w:rsidRDefault="00844251" w:rsidP="00844251">
      <w:pPr>
        <w:pStyle w:val="Prrafodelista"/>
        <w:numPr>
          <w:ilvl w:val="0"/>
          <w:numId w:val="9"/>
        </w:numPr>
        <w:spacing w:line="360" w:lineRule="auto"/>
        <w:ind w:right="142"/>
        <w:jc w:val="both"/>
        <w:rPr>
          <w:rFonts w:ascii="Palatino Linotype" w:eastAsia="Palatino Linotype" w:hAnsi="Palatino Linotype" w:cs="Palatino Linotype"/>
          <w:color w:val="000000"/>
          <w:szCs w:val="22"/>
          <w:lang w:eastAsia="es-MX"/>
        </w:rPr>
      </w:pPr>
      <w:r w:rsidRPr="00BC23D7">
        <w:rPr>
          <w:rFonts w:ascii="Palatino Linotype" w:eastAsia="Palatino Linotype" w:hAnsi="Palatino Linotype" w:cs="Palatino Linotype"/>
          <w:color w:val="000000"/>
          <w:szCs w:val="22"/>
          <w:lang w:eastAsia="es-MX"/>
        </w:rPr>
        <w:t xml:space="preserve">Las obras </w:t>
      </w:r>
      <w:r w:rsidR="00C447DB" w:rsidRPr="00BC23D7">
        <w:rPr>
          <w:rFonts w:ascii="Palatino Linotype" w:eastAsia="Palatino Linotype" w:hAnsi="Palatino Linotype" w:cs="Palatino Linotype"/>
          <w:color w:val="000000"/>
          <w:szCs w:val="22"/>
          <w:lang w:eastAsia="es-MX"/>
        </w:rPr>
        <w:t>realizadas del primero de enero al veintiuno de junio de dos mil veinticinco;</w:t>
      </w:r>
    </w:p>
    <w:p w14:paraId="64174790" w14:textId="77777777" w:rsidR="00C447DB" w:rsidRPr="00BC23D7" w:rsidRDefault="00C447DB" w:rsidP="00C447DB">
      <w:pPr>
        <w:pStyle w:val="Prrafodelista"/>
        <w:spacing w:line="360" w:lineRule="auto"/>
        <w:ind w:right="142"/>
        <w:jc w:val="both"/>
        <w:rPr>
          <w:rFonts w:ascii="Palatino Linotype" w:eastAsia="Palatino Linotype" w:hAnsi="Palatino Linotype" w:cs="Palatino Linotype"/>
          <w:color w:val="000000"/>
          <w:szCs w:val="22"/>
          <w:lang w:eastAsia="es-MX"/>
        </w:rPr>
      </w:pPr>
    </w:p>
    <w:p w14:paraId="0AC5ABE6" w14:textId="47A2A5A7" w:rsidR="00A311EC" w:rsidRPr="00BC23D7" w:rsidRDefault="00C447DB" w:rsidP="00844251">
      <w:pPr>
        <w:pStyle w:val="Prrafodelista"/>
        <w:numPr>
          <w:ilvl w:val="0"/>
          <w:numId w:val="9"/>
        </w:numPr>
        <w:spacing w:line="360" w:lineRule="auto"/>
        <w:ind w:right="142"/>
        <w:jc w:val="both"/>
        <w:rPr>
          <w:rFonts w:ascii="Palatino Linotype" w:eastAsia="Palatino Linotype" w:hAnsi="Palatino Linotype" w:cs="Palatino Linotype"/>
          <w:color w:val="000000"/>
          <w:szCs w:val="22"/>
          <w:lang w:eastAsia="es-MX"/>
        </w:rPr>
      </w:pPr>
      <w:r w:rsidRPr="00BC23D7">
        <w:rPr>
          <w:rFonts w:ascii="Palatino Linotype" w:eastAsia="Palatino Linotype" w:hAnsi="Palatino Linotype" w:cs="Palatino Linotype"/>
          <w:color w:val="000000"/>
          <w:szCs w:val="22"/>
          <w:lang w:eastAsia="es-MX"/>
        </w:rPr>
        <w:t>La</w:t>
      </w:r>
      <w:r w:rsidR="00844251" w:rsidRPr="00BC23D7">
        <w:rPr>
          <w:rFonts w:ascii="Palatino Linotype" w:eastAsia="Palatino Linotype" w:hAnsi="Palatino Linotype" w:cs="Palatino Linotype"/>
          <w:color w:val="000000"/>
          <w:szCs w:val="22"/>
          <w:lang w:eastAsia="es-MX"/>
        </w:rPr>
        <w:t xml:space="preserve">s facturas </w:t>
      </w:r>
      <w:r w:rsidRPr="00BC23D7">
        <w:rPr>
          <w:rFonts w:ascii="Palatino Linotype" w:eastAsia="Palatino Linotype" w:hAnsi="Palatino Linotype" w:cs="Palatino Linotype"/>
          <w:color w:val="000000"/>
          <w:szCs w:val="22"/>
          <w:lang w:eastAsia="es-MX"/>
        </w:rPr>
        <w:t>pagadas al veintiuno de junio de dos mil veinticinco, de las obras que den cuenta del numeral 1.</w:t>
      </w:r>
    </w:p>
    <w:p w14:paraId="7173A075" w14:textId="77777777" w:rsidR="00844251" w:rsidRPr="00BC23D7" w:rsidRDefault="00844251" w:rsidP="00A311EC">
      <w:pPr>
        <w:spacing w:line="360" w:lineRule="auto"/>
        <w:ind w:right="142"/>
        <w:jc w:val="both"/>
        <w:rPr>
          <w:rFonts w:ascii="Palatino Linotype" w:eastAsia="Palatino Linotype" w:hAnsi="Palatino Linotype" w:cs="Palatino Linotype"/>
          <w:color w:val="000000"/>
          <w:sz w:val="22"/>
          <w:szCs w:val="22"/>
          <w:lang w:eastAsia="es-MX"/>
        </w:rPr>
      </w:pPr>
    </w:p>
    <w:p w14:paraId="5C604768"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sz w:val="22"/>
          <w:szCs w:val="22"/>
          <w:lang w:eastAsia="es-MX"/>
        </w:rPr>
        <w:t xml:space="preserve">Junto con las versiones públicas, se deberá proporcionar el Acuerdo de Clasificación donde el Comité de Transparencia, confirme la eliminación de los datos confidenciales </w:t>
      </w:r>
      <w:r w:rsidRPr="00BC23D7">
        <w:rPr>
          <w:rFonts w:ascii="Palatino Linotype" w:eastAsia="Palatino Linotype" w:hAnsi="Palatino Linotype" w:cs="Palatino Linotype"/>
          <w:color w:val="000000" w:themeColor="text1"/>
          <w:sz w:val="22"/>
          <w:szCs w:val="22"/>
          <w:lang w:eastAsia="es-MX"/>
        </w:rPr>
        <w:t xml:space="preserve">de acuerdo con los artículos 49, fracciones II y VIII, 132, fracción II, 143, fracción I y 149 de la Ley de Transparencia y Acceso a la Información Pública del Estado de México y Municipios. </w:t>
      </w:r>
    </w:p>
    <w:p w14:paraId="74A04B1A"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5C2450E"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b/>
          <w:color w:val="000000" w:themeColor="text1"/>
          <w:sz w:val="22"/>
          <w:szCs w:val="22"/>
          <w:lang w:eastAsia="es-MX"/>
        </w:rPr>
        <w:t xml:space="preserve">TERCERO. NOTIFÍQUESE POR SAIMEX </w:t>
      </w:r>
      <w:r w:rsidRPr="00BC23D7">
        <w:rPr>
          <w:rFonts w:ascii="Palatino Linotype" w:eastAsia="Palatino Linotype" w:hAnsi="Palatino Linotype" w:cs="Palatino Linotype"/>
          <w:color w:val="000000" w:themeColor="text1"/>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BC23D7">
        <w:rPr>
          <w:rFonts w:ascii="Palatino Linotype" w:eastAsia="Palatino Linotype" w:hAnsi="Palatino Linotype" w:cs="Palatino Linotype"/>
          <w:color w:val="000000" w:themeColor="text1"/>
          <w:sz w:val="22"/>
          <w:szCs w:val="22"/>
          <w:lang w:eastAsia="es-MX"/>
        </w:rPr>
        <w:lastRenderedPageBreak/>
        <w:t>conformidad con lo previsto en los artículos 198, 200, fracción III, 214, 215 y 216 de la Ley referida.</w:t>
      </w:r>
    </w:p>
    <w:p w14:paraId="68E00C77"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764B1E06"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BC23D7">
        <w:rPr>
          <w:rFonts w:ascii="Palatino Linotype" w:eastAsia="Palatino Linotype" w:hAnsi="Palatino Linotype" w:cs="Palatino Linotype"/>
          <w:color w:val="000000" w:themeColor="text1"/>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CBC27E"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35F12E6C" w14:textId="77777777" w:rsidR="00A311EC" w:rsidRPr="00BC23D7"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BC23D7">
        <w:rPr>
          <w:rFonts w:ascii="Palatino Linotype" w:eastAsia="Palatino Linotype" w:hAnsi="Palatino Linotype" w:cs="Palatino Linotype"/>
          <w:b/>
          <w:color w:val="000000"/>
          <w:sz w:val="22"/>
          <w:szCs w:val="22"/>
          <w:lang w:eastAsia="es-MX"/>
        </w:rPr>
        <w:t>CUARTO. NOTIFÍQUESE</w:t>
      </w:r>
      <w:r w:rsidRPr="00BC23D7">
        <w:rPr>
          <w:rFonts w:ascii="Palatino Linotype" w:eastAsia="Palatino Linotype" w:hAnsi="Palatino Linotype" w:cs="Palatino Linotype"/>
          <w:color w:val="000000"/>
          <w:sz w:val="22"/>
          <w:szCs w:val="22"/>
          <w:lang w:eastAsia="es-MX"/>
        </w:rPr>
        <w:t xml:space="preserve"> </w:t>
      </w:r>
      <w:r w:rsidRPr="00BC23D7">
        <w:rPr>
          <w:rFonts w:ascii="Palatino Linotype" w:eastAsia="Palatino Linotype" w:hAnsi="Palatino Linotype" w:cs="Palatino Linotype"/>
          <w:b/>
          <w:color w:val="000000" w:themeColor="text1"/>
          <w:sz w:val="22"/>
          <w:szCs w:val="22"/>
          <w:lang w:eastAsia="es-MX"/>
        </w:rPr>
        <w:t xml:space="preserve">POR SAIMEX </w:t>
      </w:r>
      <w:r w:rsidRPr="00BC23D7">
        <w:rPr>
          <w:rFonts w:ascii="Palatino Linotype" w:eastAsia="Palatino Linotype" w:hAnsi="Palatino Linotype" w:cs="Palatino Linotype"/>
          <w:color w:val="000000"/>
          <w:sz w:val="22"/>
          <w:szCs w:val="22"/>
          <w:lang w:eastAsia="es-MX"/>
        </w:rP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BC23D7" w:rsidRDefault="002B52A1" w:rsidP="002B52A1">
      <w:pPr>
        <w:tabs>
          <w:tab w:val="left" w:pos="4962"/>
        </w:tabs>
        <w:spacing w:line="360" w:lineRule="auto"/>
        <w:ind w:right="142"/>
        <w:jc w:val="both"/>
        <w:rPr>
          <w:rFonts w:ascii="Palatino Linotype" w:hAnsi="Palatino Linotype"/>
          <w:sz w:val="22"/>
          <w:szCs w:val="22"/>
        </w:rPr>
      </w:pPr>
    </w:p>
    <w:p w14:paraId="11F2F43A" w14:textId="5DD7CD1F" w:rsidR="002B52A1" w:rsidRPr="002D7325" w:rsidRDefault="002B52A1" w:rsidP="002B52A1">
      <w:pPr>
        <w:tabs>
          <w:tab w:val="left" w:pos="4962"/>
        </w:tabs>
        <w:spacing w:line="360" w:lineRule="auto"/>
        <w:ind w:right="142"/>
        <w:jc w:val="both"/>
        <w:rPr>
          <w:rFonts w:ascii="Palatino Linotype" w:hAnsi="Palatino Linotype"/>
          <w:sz w:val="22"/>
          <w:szCs w:val="22"/>
        </w:rPr>
      </w:pPr>
      <w:r w:rsidRPr="00BC23D7">
        <w:rPr>
          <w:rFonts w:ascii="Palatino Linotype" w:hAnsi="Palatino Linotype"/>
          <w:sz w:val="22"/>
          <w:szCs w:val="22"/>
        </w:rPr>
        <w:t xml:space="preserve">ASÍ LO RESUELVE, POR </w:t>
      </w:r>
      <w:r w:rsidRPr="00BC23D7">
        <w:rPr>
          <w:rFonts w:ascii="Palatino Linotype" w:hAnsi="Palatino Linotype"/>
          <w:b/>
          <w:sz w:val="22"/>
          <w:szCs w:val="22"/>
        </w:rPr>
        <w:t>UNANIMIDAD</w:t>
      </w:r>
      <w:r w:rsidRPr="00BC23D7">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844251" w:rsidRPr="00BC23D7">
        <w:rPr>
          <w:rFonts w:ascii="Palatino Linotype" w:hAnsi="Palatino Linotype"/>
          <w:sz w:val="22"/>
          <w:szCs w:val="22"/>
        </w:rPr>
        <w:t xml:space="preserve">, </w:t>
      </w:r>
      <w:r w:rsidRPr="00BC23D7">
        <w:rPr>
          <w:rFonts w:ascii="Palatino Linotype" w:hAnsi="Palatino Linotype"/>
          <w:sz w:val="22"/>
          <w:szCs w:val="22"/>
        </w:rPr>
        <w:t>MARÍA DEL ROSARIO MEJÍA AYALA, SHARON CRISTINA MORALES MARTÍNEZ, LUIS GUSTAVO PARRA</w:t>
      </w:r>
      <w:r w:rsidR="00F95A1C" w:rsidRPr="00BC23D7">
        <w:rPr>
          <w:rFonts w:ascii="Palatino Linotype" w:hAnsi="Palatino Linotype"/>
          <w:sz w:val="22"/>
          <w:szCs w:val="22"/>
        </w:rPr>
        <w:t xml:space="preserve"> NORIEGA,</w:t>
      </w:r>
      <w:r w:rsidRPr="00BC23D7">
        <w:rPr>
          <w:rFonts w:ascii="Palatino Linotype" w:hAnsi="Palatino Linotype"/>
          <w:sz w:val="22"/>
          <w:szCs w:val="22"/>
        </w:rPr>
        <w:t xml:space="preserve"> GUADALUPE RAMÍREZ PEÑA, EN LA </w:t>
      </w:r>
      <w:r w:rsidR="00844251" w:rsidRPr="00BC23D7">
        <w:rPr>
          <w:rFonts w:ascii="Palatino Linotype" w:hAnsi="Palatino Linotype"/>
          <w:sz w:val="22"/>
          <w:szCs w:val="22"/>
        </w:rPr>
        <w:t xml:space="preserve">TRIGÉSIMA </w:t>
      </w:r>
      <w:r w:rsidR="003A6815">
        <w:rPr>
          <w:rFonts w:ascii="Palatino Linotype" w:hAnsi="Palatino Linotype"/>
          <w:sz w:val="22"/>
          <w:szCs w:val="22"/>
        </w:rPr>
        <w:t xml:space="preserve">QUINTA </w:t>
      </w:r>
      <w:r w:rsidRPr="00BC23D7">
        <w:rPr>
          <w:rFonts w:ascii="Palatino Linotype" w:hAnsi="Palatino Linotype"/>
          <w:sz w:val="22"/>
          <w:szCs w:val="22"/>
        </w:rPr>
        <w:t xml:space="preserve">SESIÓN ORDINARIA, CELEBRADA EL </w:t>
      </w:r>
      <w:r w:rsidR="003A6815">
        <w:rPr>
          <w:rFonts w:ascii="Palatino Linotype" w:hAnsi="Palatino Linotype"/>
          <w:sz w:val="22"/>
          <w:szCs w:val="22"/>
        </w:rPr>
        <w:t xml:space="preserve">PRIMERO DE OCTUBRE </w:t>
      </w:r>
      <w:r w:rsidRPr="00BC23D7">
        <w:rPr>
          <w:rFonts w:ascii="Palatino Linotype" w:hAnsi="Palatino Linotype"/>
          <w:sz w:val="22"/>
          <w:szCs w:val="22"/>
        </w:rPr>
        <w:t>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A40C1" w14:textId="77777777" w:rsidR="00FC4B86" w:rsidRDefault="00FC4B86" w:rsidP="00B31222">
      <w:r>
        <w:separator/>
      </w:r>
    </w:p>
  </w:endnote>
  <w:endnote w:type="continuationSeparator" w:id="0">
    <w:p w14:paraId="64D3F942" w14:textId="77777777" w:rsidR="00FC4B86" w:rsidRDefault="00FC4B86" w:rsidP="00B31222">
      <w:r>
        <w:continuationSeparator/>
      </w:r>
    </w:p>
  </w:endnote>
  <w:endnote w:type="continuationNotice" w:id="1">
    <w:p w14:paraId="4818900A" w14:textId="77777777" w:rsidR="00FC4B86" w:rsidRDefault="00FC4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56607DE" w14:textId="77777777" w:rsidR="0010200E" w:rsidRDefault="001020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4ACE">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4ACE">
              <w:rPr>
                <w:b/>
                <w:bCs/>
                <w:noProof/>
              </w:rPr>
              <w:t>36</w:t>
            </w:r>
            <w:r>
              <w:rPr>
                <w:b/>
                <w:bCs/>
                <w:sz w:val="24"/>
                <w:szCs w:val="24"/>
              </w:rPr>
              <w:fldChar w:fldCharType="end"/>
            </w:r>
          </w:p>
        </w:sdtContent>
      </w:sdt>
    </w:sdtContent>
  </w:sdt>
  <w:p w14:paraId="364888E5" w14:textId="77777777" w:rsidR="0010200E" w:rsidRDefault="001020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6B0D87" w14:textId="77777777" w:rsidR="0010200E" w:rsidRDefault="001020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4A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4ACE">
              <w:rPr>
                <w:b/>
                <w:bCs/>
                <w:noProof/>
              </w:rPr>
              <w:t>36</w:t>
            </w:r>
            <w:r>
              <w:rPr>
                <w:b/>
                <w:bCs/>
                <w:sz w:val="24"/>
                <w:szCs w:val="24"/>
              </w:rPr>
              <w:fldChar w:fldCharType="end"/>
            </w:r>
          </w:p>
        </w:sdtContent>
      </w:sdt>
    </w:sdtContent>
  </w:sdt>
  <w:p w14:paraId="18F29F48" w14:textId="77777777" w:rsidR="0010200E" w:rsidRDefault="001020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5B0E4" w14:textId="77777777" w:rsidR="00FC4B86" w:rsidRDefault="00FC4B86" w:rsidP="00B31222">
      <w:r>
        <w:separator/>
      </w:r>
    </w:p>
  </w:footnote>
  <w:footnote w:type="continuationSeparator" w:id="0">
    <w:p w14:paraId="4FDB86AD" w14:textId="77777777" w:rsidR="00FC4B86" w:rsidRDefault="00FC4B86" w:rsidP="00B31222">
      <w:r>
        <w:continuationSeparator/>
      </w:r>
    </w:p>
  </w:footnote>
  <w:footnote w:type="continuationNotice" w:id="1">
    <w:p w14:paraId="7C552E4A" w14:textId="77777777" w:rsidR="00FC4B86" w:rsidRDefault="00FC4B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02A47" w14:textId="77777777" w:rsidR="0010200E" w:rsidRDefault="00FC4B86">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0200E" w:rsidRPr="005C106F" w14:paraId="1961E804" w14:textId="77777777" w:rsidTr="00202DB8">
      <w:trPr>
        <w:trHeight w:val="1435"/>
      </w:trPr>
      <w:tc>
        <w:tcPr>
          <w:tcW w:w="2835" w:type="dxa"/>
        </w:tcPr>
        <w:p w14:paraId="31019BC9" w14:textId="77777777" w:rsidR="0010200E" w:rsidRPr="005C106F" w:rsidRDefault="0010200E"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10200E" w:rsidRDefault="0010200E"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0200E" w14:paraId="35637856" w14:textId="77777777" w:rsidTr="00DF3BE8">
            <w:trPr>
              <w:trHeight w:val="144"/>
            </w:trPr>
            <w:tc>
              <w:tcPr>
                <w:tcW w:w="2589" w:type="dxa"/>
              </w:tcPr>
              <w:p w14:paraId="27D3058A" w14:textId="77777777" w:rsidR="0010200E" w:rsidRPr="00431A70" w:rsidRDefault="0010200E"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1BD8F2D5" w:rsidR="0010200E" w:rsidRPr="00583900" w:rsidRDefault="0010200E"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09271</w:t>
                </w:r>
                <w:r w:rsidRPr="0096397D">
                  <w:rPr>
                    <w:rFonts w:ascii="Palatino Linotype" w:eastAsia="Calibri" w:hAnsi="Palatino Linotype" w:cs="Tahoma"/>
                    <w:bCs/>
                    <w:sz w:val="22"/>
                    <w:szCs w:val="22"/>
                    <w:lang w:val="es-MX" w:eastAsia="en-US"/>
                  </w:rPr>
                  <w:t>/INFOEM/IP/RR/2025</w:t>
                </w:r>
              </w:p>
            </w:tc>
          </w:tr>
          <w:tr w:rsidR="0010200E" w14:paraId="5FDC787F" w14:textId="77777777" w:rsidTr="00DF3BE8">
            <w:trPr>
              <w:trHeight w:val="283"/>
            </w:trPr>
            <w:tc>
              <w:tcPr>
                <w:tcW w:w="2589" w:type="dxa"/>
              </w:tcPr>
              <w:p w14:paraId="440C47F8" w14:textId="77777777" w:rsidR="0010200E" w:rsidRPr="00431A70" w:rsidRDefault="0010200E"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309736D9" w:rsidR="0010200E" w:rsidRPr="005F13CF" w:rsidRDefault="0010200E" w:rsidP="0031023E">
                <w:pPr>
                  <w:tabs>
                    <w:tab w:val="left" w:pos="2834"/>
                    <w:tab w:val="right" w:pos="8838"/>
                  </w:tabs>
                  <w:ind w:left="-106" w:right="171"/>
                  <w:jc w:val="both"/>
                  <w:rPr>
                    <w:rFonts w:ascii="Palatino Linotype" w:eastAsia="Calibri" w:hAnsi="Palatino Linotype" w:cs="Tahoma"/>
                    <w:bCs/>
                    <w:sz w:val="22"/>
                    <w:szCs w:val="22"/>
                    <w:lang w:eastAsia="en-US"/>
                  </w:rPr>
                </w:pPr>
                <w:r w:rsidRPr="00AE4281">
                  <w:rPr>
                    <w:rFonts w:ascii="Palatino Linotype" w:eastAsia="Calibri" w:hAnsi="Palatino Linotype" w:cs="Tahoma"/>
                    <w:bCs/>
                    <w:sz w:val="22"/>
                    <w:szCs w:val="22"/>
                    <w:lang w:val="es-MX" w:eastAsia="en-US"/>
                  </w:rPr>
                  <w:t>Ayuntamiento de Tepotzotlán</w:t>
                </w:r>
              </w:p>
            </w:tc>
          </w:tr>
          <w:tr w:rsidR="0010200E" w14:paraId="22E20C45" w14:textId="77777777" w:rsidTr="00DF3BE8">
            <w:trPr>
              <w:trHeight w:val="283"/>
            </w:trPr>
            <w:tc>
              <w:tcPr>
                <w:tcW w:w="2589" w:type="dxa"/>
              </w:tcPr>
              <w:p w14:paraId="28077987" w14:textId="77777777" w:rsidR="0010200E" w:rsidRPr="00431A70" w:rsidRDefault="0010200E"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10200E" w:rsidRDefault="0010200E"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10200E" w:rsidRPr="00431A70" w:rsidRDefault="0010200E"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10200E" w:rsidRPr="005C106F" w:rsidRDefault="0010200E" w:rsidP="005743D2">
          <w:pPr>
            <w:tabs>
              <w:tab w:val="right" w:pos="8838"/>
            </w:tabs>
            <w:ind w:left="-28"/>
            <w:jc w:val="both"/>
            <w:rPr>
              <w:rFonts w:ascii="Arial" w:eastAsia="Calibri" w:hAnsi="Arial" w:cs="Arial"/>
              <w:b/>
              <w:sz w:val="22"/>
              <w:szCs w:val="22"/>
              <w:lang w:eastAsia="en-US"/>
            </w:rPr>
          </w:pPr>
        </w:p>
      </w:tc>
    </w:tr>
  </w:tbl>
  <w:p w14:paraId="5C0E90BB" w14:textId="77777777" w:rsidR="0010200E" w:rsidRPr="00A25151" w:rsidRDefault="0010200E"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0200E" w:rsidRPr="00330DA7" w14:paraId="26B3CEF7" w14:textId="77777777" w:rsidTr="003B165A">
      <w:trPr>
        <w:trHeight w:val="1435"/>
      </w:trPr>
      <w:tc>
        <w:tcPr>
          <w:tcW w:w="2835" w:type="dxa"/>
        </w:tcPr>
        <w:p w14:paraId="1D9FFA95" w14:textId="77777777" w:rsidR="0010200E" w:rsidRPr="00330DA7" w:rsidRDefault="0010200E"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0200E" w:rsidRPr="00431A70" w14:paraId="654AF96C" w14:textId="77777777" w:rsidTr="00DF3BE8">
            <w:trPr>
              <w:trHeight w:val="144"/>
            </w:trPr>
            <w:tc>
              <w:tcPr>
                <w:tcW w:w="2589" w:type="dxa"/>
              </w:tcPr>
              <w:p w14:paraId="1D5CEAD7" w14:textId="77777777" w:rsidR="0010200E" w:rsidRPr="00431A70" w:rsidRDefault="0010200E"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5D0E207F" w:rsidR="0010200E" w:rsidRPr="00583900" w:rsidRDefault="0010200E" w:rsidP="0030566C">
                <w:pPr>
                  <w:tabs>
                    <w:tab w:val="right" w:pos="8838"/>
                  </w:tabs>
                  <w:ind w:left="-106" w:right="-105"/>
                  <w:jc w:val="both"/>
                  <w:rPr>
                    <w:rFonts w:ascii="Palatino Linotype" w:eastAsia="Calibri" w:hAnsi="Palatino Linotype" w:cs="Tahoma"/>
                    <w:bCs/>
                    <w:sz w:val="22"/>
                    <w:szCs w:val="22"/>
                    <w:lang w:eastAsia="en-US"/>
                  </w:rPr>
                </w:pPr>
                <w:r w:rsidRPr="00387A54">
                  <w:rPr>
                    <w:rFonts w:ascii="Palatino Linotype" w:eastAsia="Calibri" w:hAnsi="Palatino Linotype" w:cs="Tahoma"/>
                    <w:bCs/>
                    <w:sz w:val="22"/>
                    <w:szCs w:val="22"/>
                    <w:lang w:val="es-MX" w:eastAsia="en-US"/>
                  </w:rPr>
                  <w:t>09271/INFOEM/IP/RR/2025</w:t>
                </w:r>
              </w:p>
            </w:tc>
          </w:tr>
          <w:tr w:rsidR="0010200E" w:rsidRPr="00286D0C" w14:paraId="0A5959FC" w14:textId="77777777" w:rsidTr="00DF3BE8">
            <w:trPr>
              <w:trHeight w:val="144"/>
            </w:trPr>
            <w:tc>
              <w:tcPr>
                <w:tcW w:w="2589" w:type="dxa"/>
              </w:tcPr>
              <w:p w14:paraId="084FA244" w14:textId="77777777" w:rsidR="0010200E" w:rsidRPr="00431A70" w:rsidRDefault="0010200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0201923D" w:rsidR="0010200E" w:rsidRPr="00286D0C" w:rsidRDefault="0010200E"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10200E" w:rsidRPr="00431A70" w14:paraId="0C63DC69" w14:textId="77777777" w:rsidTr="00DF3BE8">
            <w:trPr>
              <w:trHeight w:val="283"/>
            </w:trPr>
            <w:tc>
              <w:tcPr>
                <w:tcW w:w="2589" w:type="dxa"/>
              </w:tcPr>
              <w:p w14:paraId="20DDDBE9" w14:textId="77777777" w:rsidR="0010200E" w:rsidRPr="00431A70" w:rsidRDefault="0010200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15B075B9" w:rsidR="0010200E" w:rsidRPr="005F13CF" w:rsidRDefault="0010200E" w:rsidP="0031023E">
                <w:pPr>
                  <w:tabs>
                    <w:tab w:val="left" w:pos="2834"/>
                    <w:tab w:val="right" w:pos="8838"/>
                  </w:tabs>
                  <w:ind w:left="-106" w:right="-105"/>
                  <w:jc w:val="both"/>
                  <w:rPr>
                    <w:rFonts w:ascii="Palatino Linotype" w:eastAsia="Calibri" w:hAnsi="Palatino Linotype" w:cs="Tahoma"/>
                    <w:bCs/>
                    <w:sz w:val="22"/>
                    <w:szCs w:val="22"/>
                    <w:lang w:eastAsia="en-US"/>
                  </w:rPr>
                </w:pPr>
                <w:r w:rsidRPr="00387A54">
                  <w:rPr>
                    <w:rFonts w:ascii="Palatino Linotype" w:eastAsia="Calibri" w:hAnsi="Palatino Linotype" w:cs="Tahoma"/>
                    <w:bCs/>
                    <w:sz w:val="22"/>
                    <w:szCs w:val="22"/>
                    <w:lang w:val="es-MX" w:eastAsia="en-US"/>
                  </w:rPr>
                  <w:t>Ayuntamiento de Tepotzotlán</w:t>
                </w:r>
              </w:p>
            </w:tc>
          </w:tr>
          <w:tr w:rsidR="0010200E" w:rsidRPr="00431A70" w14:paraId="4190109E" w14:textId="77777777" w:rsidTr="00DF3BE8">
            <w:trPr>
              <w:trHeight w:val="283"/>
            </w:trPr>
            <w:tc>
              <w:tcPr>
                <w:tcW w:w="2589" w:type="dxa"/>
              </w:tcPr>
              <w:p w14:paraId="6E0B52C7" w14:textId="77777777" w:rsidR="0010200E" w:rsidRPr="00431A70" w:rsidRDefault="0010200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10200E" w:rsidRPr="00431A70" w:rsidRDefault="0010200E"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10200E" w:rsidRPr="00330DA7" w:rsidRDefault="0010200E" w:rsidP="00DB7E5F">
          <w:pPr>
            <w:tabs>
              <w:tab w:val="right" w:pos="8838"/>
            </w:tabs>
            <w:ind w:left="-28"/>
            <w:jc w:val="both"/>
            <w:rPr>
              <w:rFonts w:ascii="Arial" w:eastAsia="Calibri" w:hAnsi="Arial" w:cs="Arial"/>
              <w:b/>
              <w:sz w:val="22"/>
              <w:szCs w:val="22"/>
              <w:lang w:eastAsia="en-US"/>
            </w:rPr>
          </w:pPr>
        </w:p>
      </w:tc>
    </w:tr>
  </w:tbl>
  <w:p w14:paraId="5B17B43E" w14:textId="77777777" w:rsidR="0010200E" w:rsidRPr="00330DA7" w:rsidRDefault="0010200E"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A03A57"/>
    <w:multiLevelType w:val="hybridMultilevel"/>
    <w:tmpl w:val="44864912"/>
    <w:lvl w:ilvl="0" w:tplc="06AAFC3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6475A7"/>
    <w:multiLevelType w:val="hybridMultilevel"/>
    <w:tmpl w:val="A7A4E1FA"/>
    <w:lvl w:ilvl="0" w:tplc="602CEFB2">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5B4656"/>
    <w:multiLevelType w:val="hybridMultilevel"/>
    <w:tmpl w:val="36E688BC"/>
    <w:lvl w:ilvl="0" w:tplc="602CEFB2">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F26372"/>
    <w:multiLevelType w:val="hybridMultilevel"/>
    <w:tmpl w:val="14288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0456C7"/>
    <w:multiLevelType w:val="hybridMultilevel"/>
    <w:tmpl w:val="A850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E87F37"/>
    <w:multiLevelType w:val="hybridMultilevel"/>
    <w:tmpl w:val="D74E4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num>
  <w:num w:numId="7">
    <w:abstractNumId w:val="8"/>
  </w:num>
  <w:num w:numId="8">
    <w:abstractNumId w:val="7"/>
  </w:num>
  <w:num w:numId="9">
    <w:abstractNumId w:val="4"/>
  </w:num>
  <w:num w:numId="10">
    <w:abstractNumId w:val="5"/>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966"/>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07"/>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5F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BE2"/>
    <w:rsid w:val="00053EEF"/>
    <w:rsid w:val="00054106"/>
    <w:rsid w:val="0005422F"/>
    <w:rsid w:val="00054623"/>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551C"/>
    <w:rsid w:val="0006654C"/>
    <w:rsid w:val="000666FD"/>
    <w:rsid w:val="000672AA"/>
    <w:rsid w:val="0006735F"/>
    <w:rsid w:val="000700D4"/>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5937"/>
    <w:rsid w:val="00086A01"/>
    <w:rsid w:val="00087117"/>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A77D3"/>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B7934"/>
    <w:rsid w:val="000C0396"/>
    <w:rsid w:val="000C04EA"/>
    <w:rsid w:val="000C055A"/>
    <w:rsid w:val="000C2283"/>
    <w:rsid w:val="000C2529"/>
    <w:rsid w:val="000C27CA"/>
    <w:rsid w:val="000C3B64"/>
    <w:rsid w:val="000C3F1A"/>
    <w:rsid w:val="000C471D"/>
    <w:rsid w:val="000C52AB"/>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200E"/>
    <w:rsid w:val="001034C6"/>
    <w:rsid w:val="001036C3"/>
    <w:rsid w:val="00103855"/>
    <w:rsid w:val="001049B0"/>
    <w:rsid w:val="00104ADB"/>
    <w:rsid w:val="0010556B"/>
    <w:rsid w:val="00105632"/>
    <w:rsid w:val="001057BC"/>
    <w:rsid w:val="00107105"/>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2D48"/>
    <w:rsid w:val="0016319D"/>
    <w:rsid w:val="00163387"/>
    <w:rsid w:val="00163BAA"/>
    <w:rsid w:val="001646D2"/>
    <w:rsid w:val="001649B8"/>
    <w:rsid w:val="00165010"/>
    <w:rsid w:val="00165891"/>
    <w:rsid w:val="00166805"/>
    <w:rsid w:val="0016712E"/>
    <w:rsid w:val="00167136"/>
    <w:rsid w:val="00170545"/>
    <w:rsid w:val="00171ADD"/>
    <w:rsid w:val="001725FA"/>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027"/>
    <w:rsid w:val="001A5BDB"/>
    <w:rsid w:val="001A5DF5"/>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2CB"/>
    <w:rsid w:val="001C1705"/>
    <w:rsid w:val="001C17B0"/>
    <w:rsid w:val="001C182B"/>
    <w:rsid w:val="001C1CFF"/>
    <w:rsid w:val="001C1F74"/>
    <w:rsid w:val="001C282F"/>
    <w:rsid w:val="001C2F2B"/>
    <w:rsid w:val="001C33B3"/>
    <w:rsid w:val="001C45E3"/>
    <w:rsid w:val="001C4F21"/>
    <w:rsid w:val="001C67BD"/>
    <w:rsid w:val="001C6E75"/>
    <w:rsid w:val="001C6F3F"/>
    <w:rsid w:val="001C7DDF"/>
    <w:rsid w:val="001D0086"/>
    <w:rsid w:val="001D0094"/>
    <w:rsid w:val="001D0B58"/>
    <w:rsid w:val="001D1C9C"/>
    <w:rsid w:val="001D26EF"/>
    <w:rsid w:val="001D3086"/>
    <w:rsid w:val="001D36FE"/>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4D13"/>
    <w:rsid w:val="001E53C2"/>
    <w:rsid w:val="001E548E"/>
    <w:rsid w:val="001E589C"/>
    <w:rsid w:val="001E6342"/>
    <w:rsid w:val="001E6357"/>
    <w:rsid w:val="001E66F6"/>
    <w:rsid w:val="001E6816"/>
    <w:rsid w:val="001E6FC5"/>
    <w:rsid w:val="001E745E"/>
    <w:rsid w:val="001E7B15"/>
    <w:rsid w:val="001E7B8B"/>
    <w:rsid w:val="001F0C4E"/>
    <w:rsid w:val="001F0E9C"/>
    <w:rsid w:val="001F0EB8"/>
    <w:rsid w:val="001F0F7D"/>
    <w:rsid w:val="001F1540"/>
    <w:rsid w:val="001F18F9"/>
    <w:rsid w:val="001F1A77"/>
    <w:rsid w:val="001F1B7B"/>
    <w:rsid w:val="001F2C2A"/>
    <w:rsid w:val="001F30C3"/>
    <w:rsid w:val="001F3102"/>
    <w:rsid w:val="001F3351"/>
    <w:rsid w:val="001F435F"/>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617"/>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268"/>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4F7E"/>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2F7A5E"/>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1D4"/>
    <w:rsid w:val="0031023E"/>
    <w:rsid w:val="00310C11"/>
    <w:rsid w:val="00311D8B"/>
    <w:rsid w:val="00311DCB"/>
    <w:rsid w:val="0031243F"/>
    <w:rsid w:val="00312456"/>
    <w:rsid w:val="003128D0"/>
    <w:rsid w:val="0031313F"/>
    <w:rsid w:val="0031355E"/>
    <w:rsid w:val="003147E9"/>
    <w:rsid w:val="0031500F"/>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3771A"/>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A54"/>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15"/>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15"/>
    <w:rsid w:val="003E71D3"/>
    <w:rsid w:val="003E77B5"/>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45B"/>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03EA"/>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6CD"/>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C6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8783B"/>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7C3"/>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04E"/>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9C5"/>
    <w:rsid w:val="004E0AA4"/>
    <w:rsid w:val="004E0D17"/>
    <w:rsid w:val="004E162C"/>
    <w:rsid w:val="004E24D4"/>
    <w:rsid w:val="004E2B43"/>
    <w:rsid w:val="004E2CEB"/>
    <w:rsid w:val="004E345F"/>
    <w:rsid w:val="004E3BBA"/>
    <w:rsid w:val="004E401B"/>
    <w:rsid w:val="004E41C7"/>
    <w:rsid w:val="004E43D5"/>
    <w:rsid w:val="004E446D"/>
    <w:rsid w:val="004E4ACE"/>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528F"/>
    <w:rsid w:val="00517427"/>
    <w:rsid w:val="00520C2F"/>
    <w:rsid w:val="00521A73"/>
    <w:rsid w:val="005220BE"/>
    <w:rsid w:val="00522206"/>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358"/>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DBF"/>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D55"/>
    <w:rsid w:val="00593E0E"/>
    <w:rsid w:val="00593E68"/>
    <w:rsid w:val="0059433D"/>
    <w:rsid w:val="00597487"/>
    <w:rsid w:val="00597C02"/>
    <w:rsid w:val="005A0452"/>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69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697"/>
    <w:rsid w:val="005E4B75"/>
    <w:rsid w:val="005E4BAF"/>
    <w:rsid w:val="005E69E7"/>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075"/>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694A"/>
    <w:rsid w:val="0062703B"/>
    <w:rsid w:val="006277B7"/>
    <w:rsid w:val="00627FA4"/>
    <w:rsid w:val="00630617"/>
    <w:rsid w:val="006308EB"/>
    <w:rsid w:val="00632E54"/>
    <w:rsid w:val="006333A1"/>
    <w:rsid w:val="00633619"/>
    <w:rsid w:val="00633635"/>
    <w:rsid w:val="00633BA6"/>
    <w:rsid w:val="00634436"/>
    <w:rsid w:val="00634D1A"/>
    <w:rsid w:val="00634F16"/>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36C9"/>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899"/>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5B5"/>
    <w:rsid w:val="0078080D"/>
    <w:rsid w:val="00780CD6"/>
    <w:rsid w:val="007812D1"/>
    <w:rsid w:val="00781812"/>
    <w:rsid w:val="00781A64"/>
    <w:rsid w:val="00782EA4"/>
    <w:rsid w:val="0078401C"/>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5DCF"/>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2DD0"/>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68C6"/>
    <w:rsid w:val="00807232"/>
    <w:rsid w:val="00807627"/>
    <w:rsid w:val="00807636"/>
    <w:rsid w:val="00807982"/>
    <w:rsid w:val="00807B88"/>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4DA"/>
    <w:rsid w:val="0083454E"/>
    <w:rsid w:val="00834C4C"/>
    <w:rsid w:val="00834F65"/>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251"/>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0FF0"/>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23A"/>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1E1"/>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26C"/>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40F5"/>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EC2"/>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397D"/>
    <w:rsid w:val="0096463B"/>
    <w:rsid w:val="00965E2D"/>
    <w:rsid w:val="00967035"/>
    <w:rsid w:val="00967054"/>
    <w:rsid w:val="00967869"/>
    <w:rsid w:val="0096796E"/>
    <w:rsid w:val="009702DB"/>
    <w:rsid w:val="00970BEB"/>
    <w:rsid w:val="00970F44"/>
    <w:rsid w:val="0097149A"/>
    <w:rsid w:val="00971A16"/>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D44"/>
    <w:rsid w:val="00994FB1"/>
    <w:rsid w:val="00995A6A"/>
    <w:rsid w:val="00995D84"/>
    <w:rsid w:val="00996302"/>
    <w:rsid w:val="009971AA"/>
    <w:rsid w:val="00997908"/>
    <w:rsid w:val="009A0A04"/>
    <w:rsid w:val="009A0D75"/>
    <w:rsid w:val="009A1234"/>
    <w:rsid w:val="009A1E3F"/>
    <w:rsid w:val="009A2803"/>
    <w:rsid w:val="009A2C7F"/>
    <w:rsid w:val="009A306D"/>
    <w:rsid w:val="009A347A"/>
    <w:rsid w:val="009A3661"/>
    <w:rsid w:val="009A4730"/>
    <w:rsid w:val="009A5A3D"/>
    <w:rsid w:val="009A620E"/>
    <w:rsid w:val="009A670A"/>
    <w:rsid w:val="009A6EA2"/>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C4"/>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1FDB"/>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1EC"/>
    <w:rsid w:val="00A31582"/>
    <w:rsid w:val="00A315DF"/>
    <w:rsid w:val="00A32453"/>
    <w:rsid w:val="00A32564"/>
    <w:rsid w:val="00A33A8D"/>
    <w:rsid w:val="00A34223"/>
    <w:rsid w:val="00A34F11"/>
    <w:rsid w:val="00A34F21"/>
    <w:rsid w:val="00A3509C"/>
    <w:rsid w:val="00A352DA"/>
    <w:rsid w:val="00A35E2F"/>
    <w:rsid w:val="00A36013"/>
    <w:rsid w:val="00A36159"/>
    <w:rsid w:val="00A369FF"/>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4D87"/>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CF9"/>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209A"/>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1EE"/>
    <w:rsid w:val="00AD497C"/>
    <w:rsid w:val="00AD4AD2"/>
    <w:rsid w:val="00AD50F9"/>
    <w:rsid w:val="00AD55E6"/>
    <w:rsid w:val="00AE072A"/>
    <w:rsid w:val="00AE0890"/>
    <w:rsid w:val="00AE0B4B"/>
    <w:rsid w:val="00AE156A"/>
    <w:rsid w:val="00AE1872"/>
    <w:rsid w:val="00AE19C0"/>
    <w:rsid w:val="00AE1B90"/>
    <w:rsid w:val="00AE3252"/>
    <w:rsid w:val="00AE4281"/>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1B06"/>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0F77"/>
    <w:rsid w:val="00B11CB3"/>
    <w:rsid w:val="00B11E66"/>
    <w:rsid w:val="00B12451"/>
    <w:rsid w:val="00B12A0A"/>
    <w:rsid w:val="00B14154"/>
    <w:rsid w:val="00B1415B"/>
    <w:rsid w:val="00B14A9A"/>
    <w:rsid w:val="00B150A3"/>
    <w:rsid w:val="00B15278"/>
    <w:rsid w:val="00B164F6"/>
    <w:rsid w:val="00B16E71"/>
    <w:rsid w:val="00B222A2"/>
    <w:rsid w:val="00B2337A"/>
    <w:rsid w:val="00B233F4"/>
    <w:rsid w:val="00B234EC"/>
    <w:rsid w:val="00B25CEA"/>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301"/>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3D7"/>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4E6"/>
    <w:rsid w:val="00BE4843"/>
    <w:rsid w:val="00BE4865"/>
    <w:rsid w:val="00BE5021"/>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3EA1"/>
    <w:rsid w:val="00C046C5"/>
    <w:rsid w:val="00C06B11"/>
    <w:rsid w:val="00C06BCB"/>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7D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1E8"/>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3F89"/>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11D"/>
    <w:rsid w:val="00CA563F"/>
    <w:rsid w:val="00CA5C24"/>
    <w:rsid w:val="00CA5FDD"/>
    <w:rsid w:val="00CA67BA"/>
    <w:rsid w:val="00CA71D4"/>
    <w:rsid w:val="00CB0326"/>
    <w:rsid w:val="00CB03C1"/>
    <w:rsid w:val="00CB142E"/>
    <w:rsid w:val="00CB1F95"/>
    <w:rsid w:val="00CB5B59"/>
    <w:rsid w:val="00CB5D29"/>
    <w:rsid w:val="00CB6019"/>
    <w:rsid w:val="00CB66F2"/>
    <w:rsid w:val="00CB675A"/>
    <w:rsid w:val="00CB6847"/>
    <w:rsid w:val="00CB6C8F"/>
    <w:rsid w:val="00CB6EC8"/>
    <w:rsid w:val="00CB7423"/>
    <w:rsid w:val="00CB782B"/>
    <w:rsid w:val="00CC082B"/>
    <w:rsid w:val="00CC0E77"/>
    <w:rsid w:val="00CC13BE"/>
    <w:rsid w:val="00CC2092"/>
    <w:rsid w:val="00CC285C"/>
    <w:rsid w:val="00CC291F"/>
    <w:rsid w:val="00CC2E28"/>
    <w:rsid w:val="00CC2EAF"/>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DDC"/>
    <w:rsid w:val="00CD2422"/>
    <w:rsid w:val="00CD2797"/>
    <w:rsid w:val="00CD2AB8"/>
    <w:rsid w:val="00CD2D4D"/>
    <w:rsid w:val="00CD3A5D"/>
    <w:rsid w:val="00CD3F0D"/>
    <w:rsid w:val="00CD4404"/>
    <w:rsid w:val="00CD4930"/>
    <w:rsid w:val="00CD4AF7"/>
    <w:rsid w:val="00CD4C8A"/>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3D80"/>
    <w:rsid w:val="00D14329"/>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3CFA"/>
    <w:rsid w:val="00D54BD5"/>
    <w:rsid w:val="00D561A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B9C"/>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7681C"/>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05"/>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653"/>
    <w:rsid w:val="00DD399C"/>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71CC"/>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5C94"/>
    <w:rsid w:val="00E26BA1"/>
    <w:rsid w:val="00E27B87"/>
    <w:rsid w:val="00E27DDF"/>
    <w:rsid w:val="00E27E01"/>
    <w:rsid w:val="00E30210"/>
    <w:rsid w:val="00E30A90"/>
    <w:rsid w:val="00E310B9"/>
    <w:rsid w:val="00E3117A"/>
    <w:rsid w:val="00E317D9"/>
    <w:rsid w:val="00E3184F"/>
    <w:rsid w:val="00E3195C"/>
    <w:rsid w:val="00E31BED"/>
    <w:rsid w:val="00E32352"/>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EEB"/>
    <w:rsid w:val="00E56663"/>
    <w:rsid w:val="00E57636"/>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0EAC"/>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6B5"/>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2B6"/>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6D"/>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5C9B"/>
    <w:rsid w:val="00F66601"/>
    <w:rsid w:val="00F66BD7"/>
    <w:rsid w:val="00F6741B"/>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102"/>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5C9F"/>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142"/>
    <w:rsid w:val="00FC4B86"/>
    <w:rsid w:val="00FC53DD"/>
    <w:rsid w:val="00FC6827"/>
    <w:rsid w:val="00FC6B14"/>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table" w:customStyle="1" w:styleId="Tablaconcuadrcula3">
    <w:name w:val="Tabla con cuadrícula3"/>
    <w:basedOn w:val="Tablanormal"/>
    <w:next w:val="Tablaconcuadrcula"/>
    <w:uiPriority w:val="39"/>
    <w:rsid w:val="00A311EC"/>
    <w:pPr>
      <w:spacing w:after="0" w:line="240" w:lineRule="auto"/>
      <w:jc w:val="both"/>
    </w:pPr>
    <w:rPr>
      <w:rFonts w:ascii="Palatino Linotype" w:eastAsia="Palatino Linotype" w:hAnsi="Palatino Linotype" w:cs="Palatino Linotype"/>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3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entidades/documentos_apoyo.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s.condusef.gob.mx/SIPRES/jsp/pub/index.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b.mx/condusef/articulos/sabes-cual-es-la-cla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0EA78-1405-430D-BAFF-D3C7B582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9355</Words>
  <Characters>51453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USUARIO</cp:lastModifiedBy>
  <cp:revision>3</cp:revision>
  <cp:lastPrinted>2025-10-03T14:47:00Z</cp:lastPrinted>
  <dcterms:created xsi:type="dcterms:W3CDTF">2025-10-03T14:47:00Z</dcterms:created>
  <dcterms:modified xsi:type="dcterms:W3CDTF">2025-10-03T14:47:00Z</dcterms:modified>
</cp:coreProperties>
</file>