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795" w:rsidRDefault="00911795">
      <w:pPr>
        <w:widowControl w:val="0"/>
        <w:pBdr>
          <w:top w:val="nil"/>
          <w:left w:val="nil"/>
          <w:bottom w:val="nil"/>
          <w:right w:val="nil"/>
          <w:between w:val="nil"/>
        </w:pBdr>
        <w:spacing w:line="276" w:lineRule="auto"/>
      </w:pPr>
    </w:p>
    <w:p w:rsidR="00911795" w:rsidRDefault="00800295">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DEL RECURSO DE REVISIÓN 07636/INFOEM/IP/RR/2024</w:t>
      </w:r>
    </w:p>
    <w:sdt>
      <w:sdtPr>
        <w:id w:val="1891368740"/>
        <w:docPartObj>
          <w:docPartGallery w:val="Table of Contents"/>
          <w:docPartUnique/>
        </w:docPartObj>
      </w:sdtPr>
      <w:sdtEndPr/>
      <w:sdtContent>
        <w:p w:rsidR="00911795" w:rsidRDefault="00800295">
          <w:pPr>
            <w:pBdr>
              <w:top w:val="nil"/>
              <w:left w:val="nil"/>
              <w:bottom w:val="nil"/>
              <w:right w:val="nil"/>
              <w:between w:val="nil"/>
            </w:pBdr>
            <w:tabs>
              <w:tab w:val="right" w:pos="8828"/>
            </w:tabs>
            <w:spacing w:after="100" w:line="360" w:lineRule="auto"/>
            <w:rPr>
              <w:rFonts w:ascii="Palatino Linotype" w:eastAsia="Palatino Linotype" w:hAnsi="Palatino Linotype" w:cs="Palatino Linotype"/>
              <w:color w:val="000000"/>
              <w:sz w:val="22"/>
              <w:szCs w:val="22"/>
            </w:rPr>
          </w:pPr>
          <w:r>
            <w:fldChar w:fldCharType="begin"/>
          </w:r>
          <w:r>
            <w:instrText xml:space="preserve"> TOC \h \u \z \t "Heading 1,1,Heading 2,2,Heading 3,3,"</w:instrText>
          </w:r>
          <w:r>
            <w:fldChar w:fldCharType="separate"/>
          </w:r>
          <w:hyperlink w:anchor="_heading=h.gjdgxs">
            <w:r>
              <w:rPr>
                <w:rFonts w:ascii="Palatino Linotype" w:eastAsia="Palatino Linotype" w:hAnsi="Palatino Linotype" w:cs="Palatino Linotype"/>
                <w:color w:val="000000"/>
                <w:sz w:val="22"/>
                <w:szCs w:val="22"/>
              </w:rPr>
              <w:t>A N T E C E D E N T E S</w:t>
            </w:r>
            <w:r>
              <w:rPr>
                <w:rFonts w:ascii="Palatino Linotype" w:eastAsia="Palatino Linotype" w:hAnsi="Palatino Linotype" w:cs="Palatino Linotype"/>
                <w:color w:val="000000"/>
                <w:sz w:val="22"/>
                <w:szCs w:val="22"/>
              </w:rPr>
              <w:tab/>
              <w:t>2</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30j0zll">
            <w:r w:rsidR="00800295">
              <w:rPr>
                <w:rFonts w:ascii="Palatino Linotype" w:eastAsia="Palatino Linotype" w:hAnsi="Palatino Linotype" w:cs="Palatino Linotype"/>
                <w:color w:val="000000"/>
                <w:sz w:val="22"/>
                <w:szCs w:val="22"/>
              </w:rPr>
              <w:t>I. Presentación de la solicitud de información</w:t>
            </w:r>
            <w:r w:rsidR="00800295">
              <w:rPr>
                <w:rFonts w:ascii="Palatino Linotype" w:eastAsia="Palatino Linotype" w:hAnsi="Palatino Linotype" w:cs="Palatino Linotype"/>
                <w:color w:val="000000"/>
                <w:sz w:val="22"/>
                <w:szCs w:val="22"/>
              </w:rPr>
              <w:tab/>
              <w:t>2</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3znysh7">
            <w:r w:rsidR="00800295">
              <w:rPr>
                <w:rFonts w:ascii="Palatino Linotype" w:eastAsia="Palatino Linotype" w:hAnsi="Palatino Linotype" w:cs="Palatino Linotype"/>
                <w:color w:val="000000"/>
                <w:sz w:val="22"/>
                <w:szCs w:val="22"/>
              </w:rPr>
              <w:t>II. Respuesta del Sujeto Obligado</w:t>
            </w:r>
            <w:r w:rsidR="00800295">
              <w:rPr>
                <w:rFonts w:ascii="Palatino Linotype" w:eastAsia="Palatino Linotype" w:hAnsi="Palatino Linotype" w:cs="Palatino Linotype"/>
                <w:color w:val="000000"/>
                <w:sz w:val="22"/>
                <w:szCs w:val="22"/>
              </w:rPr>
              <w:tab/>
              <w:t>3</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2et92p0">
            <w:r w:rsidR="00800295">
              <w:rPr>
                <w:rFonts w:ascii="Palatino Linotype" w:eastAsia="Palatino Linotype" w:hAnsi="Palatino Linotype" w:cs="Palatino Linotype"/>
                <w:color w:val="000000"/>
                <w:sz w:val="22"/>
                <w:szCs w:val="22"/>
              </w:rPr>
              <w:t>III. Interposición del Recurso de Revisión</w:t>
            </w:r>
            <w:r w:rsidR="00800295">
              <w:rPr>
                <w:rFonts w:ascii="Palatino Linotype" w:eastAsia="Palatino Linotype" w:hAnsi="Palatino Linotype" w:cs="Palatino Linotype"/>
                <w:color w:val="000000"/>
                <w:sz w:val="22"/>
                <w:szCs w:val="22"/>
              </w:rPr>
              <w:tab/>
              <w:t>4</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tyjcwt">
            <w:r w:rsidR="00800295">
              <w:rPr>
                <w:rFonts w:ascii="Palatino Linotype" w:eastAsia="Palatino Linotype" w:hAnsi="Palatino Linotype" w:cs="Palatino Linotype"/>
                <w:color w:val="000000"/>
                <w:sz w:val="22"/>
                <w:szCs w:val="22"/>
              </w:rPr>
              <w:t>IV. Trámite del Recurso de Revisión ante este Instituto</w:t>
            </w:r>
            <w:r w:rsidR="00800295">
              <w:rPr>
                <w:rFonts w:ascii="Palatino Linotype" w:eastAsia="Palatino Linotype" w:hAnsi="Palatino Linotype" w:cs="Palatino Linotype"/>
                <w:color w:val="000000"/>
                <w:sz w:val="22"/>
                <w:szCs w:val="22"/>
              </w:rPr>
              <w:tab/>
              <w:t>4</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3dy6vkm">
            <w:r w:rsidR="00800295">
              <w:rPr>
                <w:rFonts w:ascii="Palatino Linotype" w:eastAsia="Palatino Linotype" w:hAnsi="Palatino Linotype" w:cs="Palatino Linotype"/>
                <w:color w:val="000000"/>
                <w:sz w:val="22"/>
                <w:szCs w:val="22"/>
              </w:rPr>
              <w:t>a) Turno del Recurso de Revisión.</w:t>
            </w:r>
            <w:r w:rsidR="00800295">
              <w:rPr>
                <w:rFonts w:ascii="Palatino Linotype" w:eastAsia="Palatino Linotype" w:hAnsi="Palatino Linotype" w:cs="Palatino Linotype"/>
                <w:color w:val="000000"/>
                <w:sz w:val="22"/>
                <w:szCs w:val="22"/>
              </w:rPr>
              <w:tab/>
              <w:t>4</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1t3h5sf">
            <w:r w:rsidR="00800295">
              <w:rPr>
                <w:rFonts w:ascii="Palatino Linotype" w:eastAsia="Palatino Linotype" w:hAnsi="Palatino Linotype" w:cs="Palatino Linotype"/>
                <w:color w:val="000000"/>
                <w:sz w:val="22"/>
                <w:szCs w:val="22"/>
              </w:rPr>
              <w:t>b) Admisión de los Recursos de Revisión.</w:t>
            </w:r>
            <w:r w:rsidR="00800295">
              <w:rPr>
                <w:rFonts w:ascii="Palatino Linotype" w:eastAsia="Palatino Linotype" w:hAnsi="Palatino Linotype" w:cs="Palatino Linotype"/>
                <w:color w:val="000000"/>
                <w:sz w:val="22"/>
                <w:szCs w:val="22"/>
              </w:rPr>
              <w:tab/>
              <w:t>4</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4d34og8">
            <w:r w:rsidR="00800295">
              <w:rPr>
                <w:rFonts w:ascii="Palatino Linotype" w:eastAsia="Palatino Linotype" w:hAnsi="Palatino Linotype" w:cs="Palatino Linotype"/>
                <w:color w:val="000000"/>
                <w:sz w:val="22"/>
                <w:szCs w:val="22"/>
              </w:rPr>
              <w:t>c) Informe Justificado o manifestaciones.</w:t>
            </w:r>
            <w:r w:rsidR="00800295">
              <w:rPr>
                <w:rFonts w:ascii="Palatino Linotype" w:eastAsia="Palatino Linotype" w:hAnsi="Palatino Linotype" w:cs="Palatino Linotype"/>
                <w:color w:val="000000"/>
                <w:sz w:val="22"/>
                <w:szCs w:val="22"/>
              </w:rPr>
              <w:tab/>
              <w:t>5</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2s8eyo1">
            <w:r w:rsidR="00800295">
              <w:rPr>
                <w:rFonts w:ascii="Palatino Linotype" w:eastAsia="Palatino Linotype" w:hAnsi="Palatino Linotype" w:cs="Palatino Linotype"/>
                <w:color w:val="000000"/>
                <w:sz w:val="22"/>
                <w:szCs w:val="22"/>
              </w:rPr>
              <w:t>d) Cierre de instrucción.</w:t>
            </w:r>
            <w:r w:rsidR="00800295">
              <w:rPr>
                <w:rFonts w:ascii="Palatino Linotype" w:eastAsia="Palatino Linotype" w:hAnsi="Palatino Linotype" w:cs="Palatino Linotype"/>
                <w:color w:val="000000"/>
                <w:sz w:val="22"/>
                <w:szCs w:val="22"/>
              </w:rPr>
              <w:tab/>
              <w:t>5</w:t>
            </w:r>
          </w:hyperlink>
        </w:p>
        <w:p w:rsidR="00911795" w:rsidRDefault="00300E2E">
          <w:pPr>
            <w:pBdr>
              <w:top w:val="nil"/>
              <w:left w:val="nil"/>
              <w:bottom w:val="nil"/>
              <w:right w:val="nil"/>
              <w:between w:val="nil"/>
            </w:pBdr>
            <w:tabs>
              <w:tab w:val="right" w:pos="8828"/>
            </w:tabs>
            <w:spacing w:after="100" w:line="360" w:lineRule="auto"/>
            <w:rPr>
              <w:rFonts w:ascii="Palatino Linotype" w:eastAsia="Palatino Linotype" w:hAnsi="Palatino Linotype" w:cs="Palatino Linotype"/>
              <w:color w:val="000000"/>
              <w:sz w:val="22"/>
              <w:szCs w:val="22"/>
            </w:rPr>
          </w:pPr>
          <w:hyperlink w:anchor="_heading=h.17dp8vu">
            <w:r w:rsidR="00800295">
              <w:rPr>
                <w:rFonts w:ascii="Palatino Linotype" w:eastAsia="Palatino Linotype" w:hAnsi="Palatino Linotype" w:cs="Palatino Linotype"/>
                <w:color w:val="000000"/>
                <w:sz w:val="22"/>
                <w:szCs w:val="22"/>
              </w:rPr>
              <w:t>C O N S I D E R A N D O S</w:t>
            </w:r>
            <w:r w:rsidR="00800295">
              <w:rPr>
                <w:rFonts w:ascii="Palatino Linotype" w:eastAsia="Palatino Linotype" w:hAnsi="Palatino Linotype" w:cs="Palatino Linotype"/>
                <w:color w:val="000000"/>
                <w:sz w:val="22"/>
                <w:szCs w:val="22"/>
              </w:rPr>
              <w:tab/>
              <w:t>5</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3rdcrjn">
            <w:r w:rsidR="00800295">
              <w:rPr>
                <w:rFonts w:ascii="Palatino Linotype" w:eastAsia="Palatino Linotype" w:hAnsi="Palatino Linotype" w:cs="Palatino Linotype"/>
                <w:color w:val="000000"/>
                <w:sz w:val="22"/>
                <w:szCs w:val="22"/>
              </w:rPr>
              <w:t>PRIMERO. Competencia</w:t>
            </w:r>
            <w:r w:rsidR="00800295">
              <w:rPr>
                <w:rFonts w:ascii="Palatino Linotype" w:eastAsia="Palatino Linotype" w:hAnsi="Palatino Linotype" w:cs="Palatino Linotype"/>
                <w:color w:val="000000"/>
                <w:sz w:val="22"/>
                <w:szCs w:val="22"/>
              </w:rPr>
              <w:tab/>
              <w:t>5</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26in1rg">
            <w:r w:rsidR="00800295">
              <w:rPr>
                <w:rFonts w:ascii="Palatino Linotype" w:eastAsia="Palatino Linotype" w:hAnsi="Palatino Linotype" w:cs="Palatino Linotype"/>
                <w:color w:val="000000"/>
                <w:sz w:val="22"/>
                <w:szCs w:val="22"/>
              </w:rPr>
              <w:t>SEGUNDO. Causales de improcedencia y sobreseimiento</w:t>
            </w:r>
            <w:r w:rsidR="00800295">
              <w:rPr>
                <w:rFonts w:ascii="Palatino Linotype" w:eastAsia="Palatino Linotype" w:hAnsi="Palatino Linotype" w:cs="Palatino Linotype"/>
                <w:color w:val="000000"/>
                <w:sz w:val="22"/>
                <w:szCs w:val="22"/>
              </w:rPr>
              <w:tab/>
              <w:t>6</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lnxbz9">
            <w:r w:rsidR="00800295">
              <w:rPr>
                <w:rFonts w:ascii="Palatino Linotype" w:eastAsia="Palatino Linotype" w:hAnsi="Palatino Linotype" w:cs="Palatino Linotype"/>
                <w:color w:val="000000"/>
                <w:sz w:val="22"/>
                <w:szCs w:val="22"/>
              </w:rPr>
              <w:t>TERCERO. Determinación de la Controversia</w:t>
            </w:r>
            <w:r w:rsidR="00800295">
              <w:rPr>
                <w:rFonts w:ascii="Palatino Linotype" w:eastAsia="Palatino Linotype" w:hAnsi="Palatino Linotype" w:cs="Palatino Linotype"/>
                <w:color w:val="000000"/>
                <w:sz w:val="22"/>
                <w:szCs w:val="22"/>
              </w:rPr>
              <w:tab/>
              <w:t>8</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35nkun2">
            <w:r w:rsidR="00800295">
              <w:rPr>
                <w:rFonts w:ascii="Palatino Linotype" w:eastAsia="Palatino Linotype" w:hAnsi="Palatino Linotype" w:cs="Palatino Linotype"/>
                <w:color w:val="000000"/>
                <w:sz w:val="22"/>
                <w:szCs w:val="22"/>
              </w:rPr>
              <w:t>CUARTO. Marco normativo aplicable en materia de transparencia y acceso a la información pública</w:t>
            </w:r>
            <w:r w:rsidR="00800295">
              <w:rPr>
                <w:rFonts w:ascii="Palatino Linotype" w:eastAsia="Palatino Linotype" w:hAnsi="Palatino Linotype" w:cs="Palatino Linotype"/>
                <w:color w:val="000000"/>
                <w:sz w:val="22"/>
                <w:szCs w:val="22"/>
              </w:rPr>
              <w:tab/>
              <w:t>9</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1ksv4uv">
            <w:r w:rsidR="00800295">
              <w:rPr>
                <w:rFonts w:ascii="Palatino Linotype" w:eastAsia="Palatino Linotype" w:hAnsi="Palatino Linotype" w:cs="Palatino Linotype"/>
                <w:color w:val="000000"/>
                <w:sz w:val="22"/>
                <w:szCs w:val="22"/>
              </w:rPr>
              <w:t>QUINTO. Estudio de Fondo</w:t>
            </w:r>
            <w:r w:rsidR="00800295">
              <w:rPr>
                <w:rFonts w:ascii="Palatino Linotype" w:eastAsia="Palatino Linotype" w:hAnsi="Palatino Linotype" w:cs="Palatino Linotype"/>
                <w:color w:val="000000"/>
                <w:sz w:val="22"/>
                <w:szCs w:val="22"/>
              </w:rPr>
              <w:tab/>
              <w:t>10</w:t>
            </w:r>
          </w:hyperlink>
        </w:p>
        <w:p w:rsidR="00911795" w:rsidRDefault="00300E2E">
          <w:pPr>
            <w:pBdr>
              <w:top w:val="nil"/>
              <w:left w:val="nil"/>
              <w:bottom w:val="nil"/>
              <w:right w:val="nil"/>
              <w:between w:val="nil"/>
            </w:pBdr>
            <w:tabs>
              <w:tab w:val="right" w:pos="8828"/>
            </w:tabs>
            <w:spacing w:after="100" w:line="360" w:lineRule="auto"/>
            <w:ind w:left="200"/>
            <w:rPr>
              <w:rFonts w:ascii="Palatino Linotype" w:eastAsia="Palatino Linotype" w:hAnsi="Palatino Linotype" w:cs="Palatino Linotype"/>
              <w:color w:val="000000"/>
              <w:sz w:val="22"/>
              <w:szCs w:val="22"/>
            </w:rPr>
          </w:pPr>
          <w:hyperlink w:anchor="_heading=h.44sinio">
            <w:r w:rsidR="00800295">
              <w:rPr>
                <w:rFonts w:ascii="Palatino Linotype" w:eastAsia="Palatino Linotype" w:hAnsi="Palatino Linotype" w:cs="Palatino Linotype"/>
                <w:color w:val="000000"/>
                <w:sz w:val="22"/>
                <w:szCs w:val="22"/>
              </w:rPr>
              <w:t>SEXTO. Decisión</w:t>
            </w:r>
            <w:r w:rsidR="00800295">
              <w:rPr>
                <w:rFonts w:ascii="Palatino Linotype" w:eastAsia="Palatino Linotype" w:hAnsi="Palatino Linotype" w:cs="Palatino Linotype"/>
                <w:color w:val="000000"/>
                <w:sz w:val="22"/>
                <w:szCs w:val="22"/>
              </w:rPr>
              <w:tab/>
              <w:t>16</w:t>
            </w:r>
          </w:hyperlink>
        </w:p>
        <w:p w:rsidR="00911795" w:rsidRDefault="00300E2E">
          <w:pPr>
            <w:pBdr>
              <w:top w:val="nil"/>
              <w:left w:val="nil"/>
              <w:bottom w:val="nil"/>
              <w:right w:val="nil"/>
              <w:between w:val="nil"/>
            </w:pBdr>
            <w:tabs>
              <w:tab w:val="right" w:pos="8828"/>
            </w:tabs>
            <w:spacing w:after="100" w:line="360" w:lineRule="auto"/>
            <w:rPr>
              <w:rFonts w:ascii="Palatino Linotype" w:eastAsia="Palatino Linotype" w:hAnsi="Palatino Linotype" w:cs="Palatino Linotype"/>
              <w:color w:val="000000"/>
              <w:sz w:val="22"/>
              <w:szCs w:val="22"/>
            </w:rPr>
          </w:pPr>
          <w:hyperlink w:anchor="_heading=h.2jxsxqh">
            <w:r w:rsidR="00800295">
              <w:rPr>
                <w:rFonts w:ascii="Palatino Linotype" w:eastAsia="Palatino Linotype" w:hAnsi="Palatino Linotype" w:cs="Palatino Linotype"/>
                <w:color w:val="000000"/>
                <w:sz w:val="22"/>
                <w:szCs w:val="22"/>
              </w:rPr>
              <w:t>R E S U E L V E</w:t>
            </w:r>
            <w:r w:rsidR="00800295">
              <w:rPr>
                <w:rFonts w:ascii="Palatino Linotype" w:eastAsia="Palatino Linotype" w:hAnsi="Palatino Linotype" w:cs="Palatino Linotype"/>
                <w:color w:val="000000"/>
                <w:sz w:val="22"/>
                <w:szCs w:val="22"/>
              </w:rPr>
              <w:tab/>
              <w:t>17</w:t>
            </w:r>
          </w:hyperlink>
        </w:p>
        <w:p w:rsidR="00911795" w:rsidRDefault="00800295">
          <w:pPr>
            <w:spacing w:line="360" w:lineRule="auto"/>
            <w:rPr>
              <w:rFonts w:ascii="Palatino Linotype" w:eastAsia="Palatino Linotype" w:hAnsi="Palatino Linotype" w:cs="Palatino Linotype"/>
            </w:rPr>
          </w:pPr>
          <w:r>
            <w:fldChar w:fldCharType="end"/>
          </w:r>
        </w:p>
      </w:sdtContent>
    </w:sdt>
    <w:p w:rsidR="00911795" w:rsidRDefault="00911795">
      <w:pPr>
        <w:spacing w:line="360" w:lineRule="auto"/>
        <w:rPr>
          <w:rFonts w:ascii="Palatino Linotype" w:eastAsia="Palatino Linotype" w:hAnsi="Palatino Linotype" w:cs="Palatino Linotype"/>
          <w:sz w:val="22"/>
          <w:szCs w:val="22"/>
        </w:rPr>
      </w:pPr>
    </w:p>
    <w:p w:rsidR="00911795" w:rsidRDefault="00800295" w:rsidP="00084A41">
      <w:pPr>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veintidós de enero de dos mil veinticinco.  </w:t>
      </w:r>
    </w:p>
    <w:p w:rsidR="00911795" w:rsidRDefault="00911795">
      <w:pPr>
        <w:spacing w:line="360" w:lineRule="auto"/>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D0D0D"/>
          <w:sz w:val="22"/>
          <w:szCs w:val="22"/>
        </w:rPr>
        <w:t xml:space="preserve">VISTO </w:t>
      </w:r>
      <w:r>
        <w:rPr>
          <w:rFonts w:ascii="Palatino Linotype" w:eastAsia="Palatino Linotype" w:hAnsi="Palatino Linotype" w:cs="Palatino Linotype"/>
          <w:color w:val="0D0D0D"/>
          <w:sz w:val="22"/>
          <w:szCs w:val="22"/>
        </w:rPr>
        <w:t xml:space="preserve">el expediente conformado con motivo del Recurso de Revisión </w:t>
      </w:r>
      <w:r w:rsidRPr="002310D3">
        <w:rPr>
          <w:rFonts w:ascii="Palatino Linotype" w:eastAsia="Palatino Linotype" w:hAnsi="Palatino Linotype" w:cs="Palatino Linotype"/>
          <w:b/>
          <w:color w:val="0D0D0D"/>
          <w:sz w:val="22"/>
          <w:szCs w:val="22"/>
        </w:rPr>
        <w:t>07636/INFOEM/IP/RR/2024</w:t>
      </w:r>
      <w:r>
        <w:rPr>
          <w:rFonts w:ascii="Palatino Linotype" w:eastAsia="Palatino Linotype" w:hAnsi="Palatino Linotype" w:cs="Palatino Linotype"/>
          <w:color w:val="0D0D0D"/>
          <w:sz w:val="22"/>
          <w:szCs w:val="22"/>
        </w:rPr>
        <w:t xml:space="preserve">, interpuestos por </w:t>
      </w:r>
      <w:r w:rsidR="00A245A4" w:rsidRPr="009924A1">
        <w:rPr>
          <w:rFonts w:ascii="Palatino Linotype" w:eastAsia="Palatino Linotype" w:hAnsi="Palatino Linotype" w:cs="Palatino Linotype"/>
          <w:b/>
          <w:color w:val="0D0D0D"/>
          <w:sz w:val="22"/>
          <w:szCs w:val="22"/>
          <w:highlight w:val="black"/>
        </w:rPr>
        <w:t>XXXXXXXXXXXXXXXXXXXXXX</w:t>
      </w:r>
      <w:r>
        <w:rPr>
          <w:rFonts w:ascii="Palatino Linotype" w:eastAsia="Palatino Linotype" w:hAnsi="Palatino Linotype" w:cs="Palatino Linotype"/>
          <w:color w:val="0D0D0D"/>
          <w:sz w:val="22"/>
          <w:szCs w:val="22"/>
        </w:rPr>
        <w:t xml:space="preserve">, en lo sucesivo, la Recurrente o Particular, en contra de la respuesta del Sujeto Obligado, </w:t>
      </w:r>
      <w:r w:rsidRPr="002310D3">
        <w:rPr>
          <w:rFonts w:ascii="Palatino Linotype" w:eastAsia="Palatino Linotype" w:hAnsi="Palatino Linotype" w:cs="Palatino Linotype"/>
          <w:b/>
          <w:color w:val="0D0D0D"/>
          <w:sz w:val="22"/>
          <w:szCs w:val="22"/>
        </w:rPr>
        <w:t>Ayuntamiento de Mexicaltzingo</w:t>
      </w:r>
      <w:r>
        <w:rPr>
          <w:rFonts w:ascii="Palatino Linotype" w:eastAsia="Palatino Linotype" w:hAnsi="Palatino Linotype" w:cs="Palatino Linotype"/>
          <w:color w:val="0D0D0D"/>
          <w:sz w:val="22"/>
          <w:szCs w:val="22"/>
        </w:rPr>
        <w:t>, a la solicitud de acceso a la información pública 00219/MEXICAL/IP/2024, se emite la presente Resolución, con base en los Antecedentes y C</w:t>
      </w:r>
      <w:r>
        <w:rPr>
          <w:rFonts w:ascii="Palatino Linotype" w:eastAsia="Palatino Linotype" w:hAnsi="Palatino Linotype" w:cs="Palatino Linotype"/>
          <w:sz w:val="22"/>
          <w:szCs w:val="22"/>
        </w:rPr>
        <w:t>onsiderandos que a continuación se exponen:</w:t>
      </w:r>
    </w:p>
    <w:p w:rsidR="00911795" w:rsidRDefault="00911795">
      <w:pPr>
        <w:spacing w:line="360" w:lineRule="auto"/>
        <w:rPr>
          <w:rFonts w:ascii="Palatino Linotype" w:eastAsia="Palatino Linotype" w:hAnsi="Palatino Linotype" w:cs="Palatino Linotype"/>
          <w:sz w:val="22"/>
          <w:szCs w:val="22"/>
        </w:rPr>
      </w:pPr>
    </w:p>
    <w:p w:rsidR="00911795" w:rsidRDefault="00800295">
      <w:pPr>
        <w:pStyle w:val="Ttulo1"/>
        <w:spacing w:before="0" w:line="360" w:lineRule="auto"/>
        <w:jc w:val="center"/>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A N T E C E D E N T E S</w:t>
      </w:r>
    </w:p>
    <w:p w:rsidR="00911795" w:rsidRDefault="0091179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911795" w:rsidRDefault="00800295">
      <w:pPr>
        <w:pStyle w:val="Ttulo2"/>
        <w:spacing w:before="0" w:line="360" w:lineRule="auto"/>
        <w:rPr>
          <w:rFonts w:ascii="Palatino Linotype" w:eastAsia="Palatino Linotype" w:hAnsi="Palatino Linotype" w:cs="Palatino Linotype"/>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I. Presentación de la solicitud de información</w:t>
      </w:r>
      <w:r>
        <w:rPr>
          <w:rFonts w:ascii="Palatino Linotype" w:eastAsia="Palatino Linotype" w:hAnsi="Palatino Linotype" w:cs="Palatino Linotype"/>
          <w:color w:val="000000"/>
          <w:sz w:val="22"/>
          <w:szCs w:val="22"/>
        </w:rPr>
        <w:t xml:space="preserve"> </w:t>
      </w:r>
    </w:p>
    <w:p w:rsidR="00911795" w:rsidRDefault="0091179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911795" w:rsidRDefault="0080029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2" w:name="_heading=h.1fob9te" w:colFirst="0" w:colLast="0"/>
      <w:bookmarkEnd w:id="2"/>
      <w:r>
        <w:rPr>
          <w:rFonts w:ascii="Palatino Linotype" w:eastAsia="Palatino Linotype" w:hAnsi="Palatino Linotype" w:cs="Palatino Linotype"/>
          <w:color w:val="000000"/>
          <w:sz w:val="22"/>
          <w:szCs w:val="22"/>
        </w:rPr>
        <w:t>Con fecha diecinueve de noviembre de dos mil veinticuatro, la Particular presentó una solicitud de acceso a la información pública, a través del Sistema de Acceso a la Información Mexiquense (SAIMEX), ante el Ayuntamiento de Mexicaltzingo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en los siguientes términos:</w:t>
      </w:r>
    </w:p>
    <w:p w:rsidR="00911795" w:rsidRDefault="0091179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911795" w:rsidRDefault="00800295">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rsidR="00911795" w:rsidRDefault="00800295">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PERSONAL COMISIONADO PARA EL SEGUIMIENTO DE DENUNCIAS DE DERECHOS HUMANOS” (Sic)</w:t>
      </w:r>
    </w:p>
    <w:p w:rsidR="00911795" w:rsidRDefault="00911795">
      <w:pPr>
        <w:tabs>
          <w:tab w:val="left" w:pos="4667"/>
        </w:tabs>
        <w:spacing w:line="360" w:lineRule="auto"/>
        <w:ind w:left="567" w:right="567"/>
        <w:jc w:val="both"/>
        <w:rPr>
          <w:rFonts w:ascii="Palatino Linotype" w:eastAsia="Palatino Linotype" w:hAnsi="Palatino Linotype" w:cs="Palatino Linotype"/>
          <w:i/>
          <w:sz w:val="22"/>
          <w:szCs w:val="22"/>
        </w:rPr>
      </w:pPr>
    </w:p>
    <w:p w:rsidR="00911795" w:rsidRDefault="00800295">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“MODALIDAD DE ENTREGA</w:t>
      </w:r>
    </w:p>
    <w:p w:rsidR="00911795" w:rsidRDefault="00800295">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 través del SAIMEX”</w:t>
      </w:r>
    </w:p>
    <w:p w:rsidR="00911795" w:rsidRDefault="00911795">
      <w:pPr>
        <w:tabs>
          <w:tab w:val="left" w:pos="4667"/>
        </w:tabs>
        <w:spacing w:line="360" w:lineRule="auto"/>
        <w:ind w:right="567"/>
        <w:jc w:val="both"/>
        <w:rPr>
          <w:rFonts w:ascii="Palatino Linotype" w:eastAsia="Palatino Linotype" w:hAnsi="Palatino Linotype" w:cs="Palatino Linotype"/>
          <w:b/>
          <w:sz w:val="22"/>
          <w:szCs w:val="22"/>
        </w:rPr>
      </w:pPr>
    </w:p>
    <w:p w:rsidR="00911795" w:rsidRDefault="00800295">
      <w:pPr>
        <w:pStyle w:val="Ttulo2"/>
        <w:spacing w:before="0" w:line="360" w:lineRule="auto"/>
        <w:rPr>
          <w:rFonts w:ascii="Palatino Linotype" w:eastAsia="Palatino Linotype" w:hAnsi="Palatino Linotype" w:cs="Palatino Linotype"/>
          <w:b/>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II. Respuesta del Sujeto Obligado</w:t>
      </w:r>
    </w:p>
    <w:p w:rsidR="00911795" w:rsidRDefault="0091179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911795" w:rsidRDefault="0080029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 fecha nueve de diciembre de dos mil veinticuatro, el Ayuntamiento de Mexicaltzingo</w:t>
      </w:r>
      <w:bookmarkStart w:id="4" w:name="_GoBack"/>
      <w:bookmarkEnd w:id="4"/>
      <w:r>
        <w:rPr>
          <w:rFonts w:ascii="Palatino Linotype" w:eastAsia="Palatino Linotype" w:hAnsi="Palatino Linotype" w:cs="Palatino Linotype"/>
          <w:color w:val="000000"/>
          <w:sz w:val="22"/>
          <w:szCs w:val="22"/>
        </w:rPr>
        <w:t xml:space="preserve">, notificó al Solicitante, mediante el Sistema de Acceso a la Información Mexiquense (SAIMEX), la respuesta a la solicitud de acceso a la información, por medio del Titular de la Unidad de Transparencia, en los términos siguientes: </w:t>
      </w:r>
    </w:p>
    <w:p w:rsidR="00911795" w:rsidRDefault="00911795">
      <w:pPr>
        <w:tabs>
          <w:tab w:val="left" w:pos="567"/>
        </w:tabs>
        <w:spacing w:line="360" w:lineRule="auto"/>
        <w:ind w:right="567"/>
        <w:jc w:val="both"/>
        <w:rPr>
          <w:rFonts w:ascii="Palatino Linotype" w:eastAsia="Palatino Linotype" w:hAnsi="Palatino Linotype" w:cs="Palatino Linotype"/>
          <w:sz w:val="22"/>
          <w:szCs w:val="22"/>
        </w:rPr>
      </w:pPr>
    </w:p>
    <w:p w:rsidR="00911795" w:rsidRDefault="00800295">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911795" w:rsidRDefault="00800295">
      <w:pPr>
        <w:tabs>
          <w:tab w:val="left" w:pos="567"/>
        </w:tabs>
        <w:spacing w:line="360" w:lineRule="auto"/>
        <w:ind w:left="567" w:right="567"/>
        <w:jc w:val="both"/>
        <w:rPr>
          <w:rFonts w:ascii="Palatino Linotype" w:eastAsia="Palatino Linotype" w:hAnsi="Palatino Linotype" w:cs="Palatino Linotype"/>
          <w:i/>
          <w:u w:val="single"/>
        </w:rPr>
      </w:pPr>
      <w:r>
        <w:rPr>
          <w:rFonts w:ascii="Palatino Linotype" w:eastAsia="Palatino Linotype" w:hAnsi="Palatino Linotype" w:cs="Palatino Linotype"/>
          <w:i/>
        </w:rPr>
        <w:t>En razón a la solicitud hecha por el usuario, en Primer término, se debe advertir al requirente que, en Materia de Derechos Humanos; el termino de DEMANDA no es operante, ya que las Probables violaciones de Derechos Humanos en el Estado de México; son de observancia, tramite y Recomendación, mediante el mecanismo de QUEJA. Segundo: Para ser objetivos; En el Estado de México, la Comisión de Derechos Humanos del Estado de México (CODHEM) es quien atiende Quejas sobre presuntas violaciones a los Derechos Humanos, de manera particular en el Municipalidad de MEXICALTZINGO, la Unidad Administrativa que atiende, auxilia a la Formulación de Queja, da seguimiento y Pondera la aceptación de Recomendaciones Generales o Particulares de los Organismo Garantes en la materia; lo es la DEFENSORIA MUNICIPAL DE DERECHOS HUMANOS, quien tiene su génesis en la Ley Orgánica Municipal del Estado de México, en su artículo 147 A, otorgando su Autonomía Operacional en lo Consagrado por el Articulo 147 K del Ordenamiento en comento, ahora bien; supletoriamente de manera Intermunicipal la Unidad Administrativa es quien atiende las Quejas, Recomendaciones y Pronunciamiento en Materia de Derechos Humanos, coadyuvando con el Organismo Nacional y el Organismo del Estado en Materia de Derechos Humanos. Tercero: Para dilucidar al requirente, se le informa que Defensoría de Derechos Humanos tiene su oficina en el Edificio “B” de la Dirección de Seguridad Pública Municipal de Mexicaltzingo, en la Calle Ignacio Allende S/N, Colonia la Estación, CP. 52185, así como el correo electrónico Institucional ddh.mexicalzingo@gmail.com; que está a su disposición los 365 días del año, brindando atención de forma personalísima por el Titular en Turno Lcdo. en D. Francisco Alejandro González Ayala, en un horario de Lunes a Viernes de 09:00 a 18:00 Hrs. Siendo esto cuánto por exponer al requirente:</w:t>
      </w:r>
    </w:p>
    <w:p w:rsidR="00911795" w:rsidRDefault="00800295">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911795" w:rsidRDefault="00911795">
      <w:pPr>
        <w:tabs>
          <w:tab w:val="left" w:pos="567"/>
        </w:tabs>
        <w:spacing w:line="360" w:lineRule="auto"/>
        <w:ind w:right="567"/>
        <w:jc w:val="both"/>
        <w:rPr>
          <w:rFonts w:ascii="Palatino Linotype" w:eastAsia="Palatino Linotype" w:hAnsi="Palatino Linotype" w:cs="Palatino Linotype"/>
          <w:sz w:val="22"/>
          <w:szCs w:val="22"/>
        </w:rPr>
      </w:pPr>
    </w:p>
    <w:p w:rsidR="00911795" w:rsidRDefault="00800295">
      <w:pPr>
        <w:pStyle w:val="Ttulo2"/>
        <w:spacing w:before="0" w:line="360" w:lineRule="auto"/>
        <w:rPr>
          <w:rFonts w:ascii="Palatino Linotype" w:eastAsia="Palatino Linotype" w:hAnsi="Palatino Linotype" w:cs="Palatino Linotype"/>
          <w:b/>
          <w:color w:val="000000"/>
          <w:sz w:val="22"/>
          <w:szCs w:val="22"/>
        </w:rPr>
      </w:pPr>
      <w:bookmarkStart w:id="5" w:name="_heading=h.2et92p0" w:colFirst="0" w:colLast="0"/>
      <w:bookmarkEnd w:id="5"/>
      <w:r>
        <w:rPr>
          <w:rFonts w:ascii="Palatino Linotype" w:eastAsia="Palatino Linotype" w:hAnsi="Palatino Linotype" w:cs="Palatino Linotype"/>
          <w:b/>
          <w:color w:val="000000"/>
          <w:sz w:val="22"/>
          <w:szCs w:val="22"/>
        </w:rPr>
        <w:t>III. Interposición del Recurso de Revisión</w:t>
      </w:r>
    </w:p>
    <w:p w:rsidR="00911795" w:rsidRDefault="00911795">
      <w:pPr>
        <w:spacing w:line="360" w:lineRule="auto"/>
        <w:jc w:val="both"/>
        <w:rPr>
          <w:rFonts w:ascii="Palatino Linotype" w:eastAsia="Palatino Linotype" w:hAnsi="Palatino Linotype" w:cs="Palatino Linotype"/>
          <w:b/>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doce de diciembre de dos mil veinticuatro, se recibió en este Instituto, a través del Sistema de Acceso a la Información Mexiquense (SAIMEX), el Recurso de Revisión interpuesto por la parte Recurrente, en contra de la respuesta del Sujeto Obligado, en los siguientes términos:</w:t>
      </w:r>
    </w:p>
    <w:p w:rsidR="00911795" w:rsidRDefault="00911795">
      <w:pPr>
        <w:widowControl w:val="0"/>
        <w:spacing w:line="360" w:lineRule="auto"/>
        <w:jc w:val="both"/>
        <w:rPr>
          <w:rFonts w:ascii="Palatino Linotype" w:eastAsia="Palatino Linotype" w:hAnsi="Palatino Linotype" w:cs="Palatino Linotype"/>
          <w:sz w:val="22"/>
          <w:szCs w:val="22"/>
        </w:rPr>
      </w:pPr>
    </w:p>
    <w:p w:rsidR="00911795" w:rsidRDefault="00800295">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p>
    <w:p w:rsidR="00911795" w:rsidRDefault="00800295">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NO RECIBI LA INFORMACION CORRECTA” (Sic.)</w:t>
      </w:r>
    </w:p>
    <w:p w:rsidR="00911795" w:rsidRDefault="00911795">
      <w:pPr>
        <w:spacing w:line="360" w:lineRule="auto"/>
        <w:ind w:right="567"/>
        <w:jc w:val="both"/>
        <w:rPr>
          <w:rFonts w:ascii="Palatino Linotype" w:eastAsia="Palatino Linotype" w:hAnsi="Palatino Linotype" w:cs="Palatino Linotype"/>
          <w:i/>
        </w:rPr>
      </w:pPr>
    </w:p>
    <w:p w:rsidR="00911795" w:rsidRDefault="00800295">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911795" w:rsidRDefault="00800295">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NO RECIBI LA INFORMACION CORRECTA” (Sic) </w:t>
      </w:r>
    </w:p>
    <w:p w:rsidR="00911795" w:rsidRDefault="00911795">
      <w:pPr>
        <w:spacing w:line="360" w:lineRule="auto"/>
        <w:jc w:val="both"/>
        <w:rPr>
          <w:rFonts w:ascii="Palatino Linotype" w:eastAsia="Palatino Linotype" w:hAnsi="Palatino Linotype" w:cs="Palatino Linotype"/>
          <w:b/>
          <w:sz w:val="22"/>
          <w:szCs w:val="22"/>
        </w:rPr>
      </w:pPr>
    </w:p>
    <w:p w:rsidR="00911795" w:rsidRDefault="00800295">
      <w:pPr>
        <w:pStyle w:val="Ttulo2"/>
        <w:spacing w:before="0" w:line="360" w:lineRule="auto"/>
        <w:rPr>
          <w:rFonts w:ascii="Palatino Linotype" w:eastAsia="Palatino Linotype" w:hAnsi="Palatino Linotype" w:cs="Palatino Linotype"/>
          <w:b/>
          <w:color w:val="000000"/>
          <w:sz w:val="22"/>
          <w:szCs w:val="22"/>
        </w:rPr>
      </w:pPr>
      <w:bookmarkStart w:id="6" w:name="_heading=h.tyjcwt" w:colFirst="0" w:colLast="0"/>
      <w:bookmarkEnd w:id="6"/>
      <w:r>
        <w:rPr>
          <w:rFonts w:ascii="Palatino Linotype" w:eastAsia="Palatino Linotype" w:hAnsi="Palatino Linotype" w:cs="Palatino Linotype"/>
          <w:b/>
          <w:color w:val="000000"/>
          <w:sz w:val="22"/>
          <w:szCs w:val="22"/>
        </w:rPr>
        <w:t>IV. Trámite del Recurso de Revisión ante este Instituto</w:t>
      </w:r>
    </w:p>
    <w:p w:rsidR="00911795" w:rsidRDefault="00911795">
      <w:pPr>
        <w:spacing w:line="360" w:lineRule="auto"/>
        <w:jc w:val="both"/>
        <w:rPr>
          <w:rFonts w:ascii="Palatino Linotype" w:eastAsia="Palatino Linotype" w:hAnsi="Palatino Linotype" w:cs="Palatino Linotype"/>
          <w:b/>
          <w:sz w:val="22"/>
          <w:szCs w:val="22"/>
        </w:rPr>
      </w:pPr>
    </w:p>
    <w:p w:rsidR="00911795" w:rsidRDefault="00800295">
      <w:pPr>
        <w:spacing w:line="360" w:lineRule="auto"/>
        <w:jc w:val="both"/>
        <w:rPr>
          <w:rFonts w:ascii="Palatino Linotype" w:eastAsia="Palatino Linotype" w:hAnsi="Palatino Linotype" w:cs="Palatino Linotype"/>
          <w:sz w:val="22"/>
          <w:szCs w:val="22"/>
        </w:rPr>
      </w:pPr>
      <w:bookmarkStart w:id="7" w:name="_heading=h.3dy6vkm" w:colFirst="0" w:colLast="0"/>
      <w:bookmarkEnd w:id="7"/>
      <w:r>
        <w:rPr>
          <w:rFonts w:ascii="Palatino Linotype" w:eastAsia="Palatino Linotype" w:hAnsi="Palatino Linotype" w:cs="Palatino Linotype"/>
          <w:b/>
          <w:color w:val="000000"/>
          <w:sz w:val="22"/>
          <w:szCs w:val="22"/>
        </w:rPr>
        <w:t>a) Turno del Recurso de Revisión.</w:t>
      </w:r>
      <w:r>
        <w:rPr>
          <w:rFonts w:ascii="Palatino Linotype" w:eastAsia="Palatino Linotype" w:hAnsi="Palatino Linotype" w:cs="Palatino Linotype"/>
          <w:b/>
          <w:color w:val="000000"/>
          <w:sz w:val="18"/>
          <w:szCs w:val="18"/>
        </w:rPr>
        <w:t xml:space="preserve"> </w:t>
      </w:r>
      <w:r>
        <w:rPr>
          <w:rFonts w:ascii="Palatino Linotype" w:eastAsia="Palatino Linotype" w:hAnsi="Palatino Linotype" w:cs="Palatino Linotype"/>
          <w:sz w:val="22"/>
          <w:szCs w:val="22"/>
        </w:rPr>
        <w:t xml:space="preserve">El doce de diciembre de dos mil veinticuatro, el Sistema de Acceso a la Información Mexiquense (SAIMEX), asignó el número de expediente </w:t>
      </w:r>
      <w:r>
        <w:rPr>
          <w:rFonts w:ascii="Palatino Linotype" w:eastAsia="Palatino Linotype" w:hAnsi="Palatino Linotype" w:cs="Palatino Linotype"/>
          <w:b/>
          <w:sz w:val="22"/>
          <w:szCs w:val="22"/>
        </w:rPr>
        <w:t xml:space="preserve"> 07636/INFOEM/IP/RR/2024</w:t>
      </w:r>
      <w:r>
        <w:rPr>
          <w:rFonts w:ascii="Palatino Linotype" w:eastAsia="Palatino Linotype" w:hAnsi="Palatino Linotype" w:cs="Palatino Linotype"/>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bookmarkStart w:id="8" w:name="_heading=h.1t3h5sf" w:colFirst="0" w:colLast="0"/>
      <w:bookmarkEnd w:id="8"/>
      <w:r>
        <w:rPr>
          <w:rFonts w:ascii="Palatino Linotype" w:eastAsia="Palatino Linotype" w:hAnsi="Palatino Linotype" w:cs="Palatino Linotype"/>
          <w:b/>
          <w:color w:val="000000"/>
          <w:sz w:val="22"/>
          <w:szCs w:val="22"/>
        </w:rPr>
        <w:t>b) Admisión de los Recursos de Revisión.</w:t>
      </w:r>
      <w:r>
        <w:rPr>
          <w:rFonts w:ascii="Palatino Linotype" w:eastAsia="Palatino Linotype" w:hAnsi="Palatino Linotype" w:cs="Palatino Linotype"/>
          <w:b/>
          <w:color w:val="000000"/>
          <w:sz w:val="18"/>
          <w:szCs w:val="18"/>
        </w:rPr>
        <w:t xml:space="preserve"> </w:t>
      </w:r>
      <w:r>
        <w:rPr>
          <w:rFonts w:ascii="Palatino Linotype" w:eastAsia="Palatino Linotype" w:hAnsi="Palatino Linotype" w:cs="Palatino Linotype"/>
          <w:sz w:val="22"/>
          <w:szCs w:val="22"/>
        </w:rPr>
        <w:t>El diecisiete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color w:val="000000"/>
          <w:sz w:val="22"/>
          <w:szCs w:val="22"/>
        </w:rPr>
      </w:pPr>
      <w:bookmarkStart w:id="9" w:name="_heading=h.4d34og8" w:colFirst="0" w:colLast="0"/>
      <w:bookmarkEnd w:id="9"/>
      <w:r>
        <w:rPr>
          <w:rFonts w:ascii="Palatino Linotype" w:eastAsia="Palatino Linotype" w:hAnsi="Palatino Linotype" w:cs="Palatino Linotype"/>
          <w:b/>
          <w:color w:val="000000"/>
          <w:sz w:val="22"/>
          <w:szCs w:val="22"/>
        </w:rPr>
        <w:t>c) Informe Justificado o manifestaciones.</w:t>
      </w:r>
      <w:r>
        <w:rPr>
          <w:rFonts w:ascii="Palatino Linotype" w:eastAsia="Palatino Linotype" w:hAnsi="Palatino Linotype" w:cs="Palatino Linotype"/>
          <w:b/>
          <w:color w:val="000000"/>
          <w:sz w:val="18"/>
          <w:szCs w:val="18"/>
        </w:rPr>
        <w:t xml:space="preserve"> </w:t>
      </w:r>
      <w:r>
        <w:rPr>
          <w:rFonts w:ascii="Palatino Linotype" w:eastAsia="Palatino Linotype" w:hAnsi="Palatino Linotype" w:cs="Palatino Linotype"/>
          <w:sz w:val="22"/>
          <w:szCs w:val="22"/>
        </w:rPr>
        <w:t xml:space="preserve">Las partes fueron omisas en emitir manifestaciones o alegatos. </w:t>
      </w:r>
    </w:p>
    <w:p w:rsidR="00911795" w:rsidRDefault="00911795">
      <w:pPr>
        <w:spacing w:line="360" w:lineRule="auto"/>
        <w:jc w:val="both"/>
        <w:rPr>
          <w:rFonts w:ascii="Palatino Linotype" w:eastAsia="Palatino Linotype" w:hAnsi="Palatino Linotype" w:cs="Palatino Linotype"/>
          <w:b/>
          <w:color w:val="000000"/>
          <w:sz w:val="22"/>
          <w:szCs w:val="22"/>
        </w:rPr>
      </w:pPr>
    </w:p>
    <w:p w:rsidR="00911795" w:rsidRDefault="00800295">
      <w:pPr>
        <w:spacing w:line="360" w:lineRule="auto"/>
        <w:jc w:val="both"/>
        <w:rPr>
          <w:rFonts w:ascii="Palatino Linotype" w:eastAsia="Palatino Linotype" w:hAnsi="Palatino Linotype" w:cs="Palatino Linotype"/>
          <w:b/>
          <w:sz w:val="22"/>
          <w:szCs w:val="22"/>
        </w:rPr>
      </w:pPr>
      <w:bookmarkStart w:id="10" w:name="_heading=h.2s8eyo1" w:colFirst="0" w:colLast="0"/>
      <w:bookmarkEnd w:id="10"/>
      <w:r>
        <w:rPr>
          <w:rFonts w:ascii="Palatino Linotype" w:eastAsia="Palatino Linotype" w:hAnsi="Palatino Linotype" w:cs="Palatino Linotype"/>
          <w:b/>
          <w:color w:val="000000"/>
          <w:sz w:val="22"/>
          <w:szCs w:val="22"/>
        </w:rPr>
        <w:t>d) Cierre de instrucción.</w:t>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sz w:val="22"/>
          <w:szCs w:val="22"/>
        </w:rPr>
        <w:t>El veinte de enero de dos mil veinticinco,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w:t>
      </w:r>
    </w:p>
    <w:p w:rsidR="00911795" w:rsidRDefault="00911795">
      <w:pPr>
        <w:spacing w:line="360" w:lineRule="auto"/>
        <w:jc w:val="both"/>
        <w:rPr>
          <w:rFonts w:ascii="Palatino Linotype" w:eastAsia="Palatino Linotype" w:hAnsi="Palatino Linotype" w:cs="Palatino Linotype"/>
          <w:b/>
          <w:sz w:val="22"/>
          <w:szCs w:val="22"/>
          <w:highlight w:val="red"/>
        </w:rPr>
      </w:pPr>
    </w:p>
    <w:p w:rsidR="00911795" w:rsidRDefault="0080029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rsidR="00911795" w:rsidRDefault="00911795">
      <w:pPr>
        <w:spacing w:line="360" w:lineRule="auto"/>
        <w:jc w:val="center"/>
        <w:rPr>
          <w:rFonts w:ascii="Palatino Linotype" w:eastAsia="Palatino Linotype" w:hAnsi="Palatino Linotype" w:cs="Palatino Linotype"/>
          <w:b/>
          <w:sz w:val="22"/>
          <w:szCs w:val="22"/>
        </w:rPr>
      </w:pPr>
    </w:p>
    <w:p w:rsidR="00911795" w:rsidRDefault="00800295">
      <w:pPr>
        <w:pStyle w:val="Ttulo1"/>
        <w:spacing w:before="0" w:line="360" w:lineRule="auto"/>
        <w:jc w:val="center"/>
        <w:rPr>
          <w:rFonts w:ascii="Palatino Linotype" w:eastAsia="Palatino Linotype" w:hAnsi="Palatino Linotype" w:cs="Palatino Linotype"/>
          <w:b/>
          <w:color w:val="000000"/>
          <w:sz w:val="22"/>
          <w:szCs w:val="22"/>
        </w:rPr>
      </w:pPr>
      <w:bookmarkStart w:id="11" w:name="_heading=h.17dp8vu" w:colFirst="0" w:colLast="0"/>
      <w:bookmarkEnd w:id="11"/>
      <w:r>
        <w:rPr>
          <w:rFonts w:ascii="Palatino Linotype" w:eastAsia="Palatino Linotype" w:hAnsi="Palatino Linotype" w:cs="Palatino Linotype"/>
          <w:b/>
          <w:color w:val="000000"/>
          <w:sz w:val="22"/>
          <w:szCs w:val="22"/>
        </w:rPr>
        <w:t>C O N S I D E R A N D O S</w:t>
      </w:r>
    </w:p>
    <w:p w:rsidR="00911795" w:rsidRDefault="00911795">
      <w:pPr>
        <w:spacing w:line="360" w:lineRule="auto"/>
        <w:jc w:val="both"/>
        <w:rPr>
          <w:rFonts w:ascii="Palatino Linotype" w:eastAsia="Palatino Linotype" w:hAnsi="Palatino Linotype" w:cs="Palatino Linotype"/>
          <w:b/>
          <w:color w:val="000000"/>
          <w:sz w:val="22"/>
          <w:szCs w:val="22"/>
        </w:rPr>
      </w:pPr>
    </w:p>
    <w:p w:rsidR="00911795" w:rsidRDefault="00800295">
      <w:pPr>
        <w:pStyle w:val="Ttulo2"/>
        <w:spacing w:before="0" w:line="360" w:lineRule="auto"/>
        <w:rPr>
          <w:rFonts w:ascii="Palatino Linotype" w:eastAsia="Palatino Linotype" w:hAnsi="Palatino Linotype" w:cs="Palatino Linotype"/>
          <w:b/>
          <w:color w:val="000000"/>
          <w:sz w:val="22"/>
          <w:szCs w:val="22"/>
        </w:rPr>
      </w:pPr>
      <w:bookmarkStart w:id="12" w:name="_heading=h.3rdcrjn" w:colFirst="0" w:colLast="0"/>
      <w:bookmarkEnd w:id="12"/>
      <w:r>
        <w:rPr>
          <w:rFonts w:ascii="Palatino Linotype" w:eastAsia="Palatino Linotype" w:hAnsi="Palatino Linotype" w:cs="Palatino Linotype"/>
          <w:b/>
          <w:color w:val="000000"/>
          <w:sz w:val="22"/>
          <w:szCs w:val="22"/>
        </w:rPr>
        <w:t>PRIMERO. Competencia</w:t>
      </w:r>
    </w:p>
    <w:p w:rsidR="00911795" w:rsidRDefault="00911795">
      <w:pPr>
        <w:spacing w:line="360" w:lineRule="auto"/>
        <w:jc w:val="both"/>
        <w:rPr>
          <w:rFonts w:ascii="Palatino Linotype" w:eastAsia="Palatino Linotype" w:hAnsi="Palatino Linotype" w:cs="Palatino Linotype"/>
          <w:b/>
          <w:sz w:val="22"/>
          <w:szCs w:val="22"/>
        </w:rPr>
      </w:pPr>
    </w:p>
    <w:p w:rsidR="00911795" w:rsidRDefault="0080029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911795" w:rsidRDefault="00911795">
      <w:pPr>
        <w:spacing w:line="360" w:lineRule="auto"/>
        <w:jc w:val="both"/>
        <w:rPr>
          <w:rFonts w:ascii="Palatino Linotype" w:eastAsia="Palatino Linotype" w:hAnsi="Palatino Linotype" w:cs="Palatino Linotype"/>
          <w:sz w:val="22"/>
          <w:szCs w:val="22"/>
          <w:highlight w:val="white"/>
        </w:rPr>
      </w:pPr>
    </w:p>
    <w:p w:rsidR="00911795" w:rsidRDefault="00800295">
      <w:pPr>
        <w:pStyle w:val="Ttulo2"/>
        <w:spacing w:before="0" w:line="360" w:lineRule="auto"/>
        <w:rPr>
          <w:rFonts w:ascii="Palatino Linotype" w:eastAsia="Palatino Linotype" w:hAnsi="Palatino Linotype" w:cs="Palatino Linotype"/>
          <w:b/>
          <w:color w:val="000000"/>
          <w:sz w:val="22"/>
          <w:szCs w:val="22"/>
        </w:rPr>
      </w:pPr>
      <w:bookmarkStart w:id="13" w:name="_heading=h.26in1rg" w:colFirst="0" w:colLast="0"/>
      <w:bookmarkEnd w:id="13"/>
      <w:r>
        <w:rPr>
          <w:rFonts w:ascii="Palatino Linotype" w:eastAsia="Palatino Linotype" w:hAnsi="Palatino Linotype" w:cs="Palatino Linotype"/>
          <w:b/>
          <w:color w:val="000000"/>
          <w:sz w:val="22"/>
          <w:szCs w:val="22"/>
        </w:rPr>
        <w:t>SEGUNDO. Causales de improcedencia y sobreseimiento</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 (Semanario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w:t>
      </w:r>
    </w:p>
    <w:p w:rsidR="00911795" w:rsidRDefault="00911795">
      <w:pPr>
        <w:spacing w:line="360" w:lineRule="auto"/>
        <w:jc w:val="both"/>
        <w:rPr>
          <w:rFonts w:ascii="Palatino Linotype" w:eastAsia="Palatino Linotype" w:hAnsi="Palatino Linotype" w:cs="Palatino Linotype"/>
          <w:color w:val="000000"/>
          <w:sz w:val="22"/>
          <w:szCs w:val="22"/>
        </w:rPr>
      </w:pPr>
    </w:p>
    <w:p w:rsidR="00911795" w:rsidRDefault="0080029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el presente caso, </w:t>
      </w:r>
      <w:r>
        <w:rPr>
          <w:rFonts w:ascii="Palatino Linotype" w:eastAsia="Palatino Linotype" w:hAnsi="Palatino Linotype" w:cs="Palatino Linotype"/>
          <w:b/>
          <w:color w:val="000000"/>
          <w:sz w:val="22"/>
          <w:szCs w:val="22"/>
        </w:rPr>
        <w:t>no se actualiza alguna de las causales de improcedencia</w:t>
      </w:r>
      <w:r>
        <w:rPr>
          <w:rFonts w:ascii="Palatino Linotype" w:eastAsia="Palatino Linotype" w:hAnsi="Palatino Linotype" w:cs="Palatino Linotype"/>
          <w:color w:val="000000"/>
          <w:sz w:val="22"/>
          <w:szCs w:val="22"/>
        </w:rPr>
        <w:t xml:space="preserve">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911795" w:rsidRDefault="00911795">
      <w:pPr>
        <w:spacing w:line="360" w:lineRule="auto"/>
        <w:jc w:val="both"/>
        <w:rPr>
          <w:rFonts w:ascii="Palatino Linotype" w:eastAsia="Palatino Linotype" w:hAnsi="Palatino Linotype" w:cs="Palatino Linotype"/>
          <w:color w:val="000000"/>
          <w:sz w:val="22"/>
          <w:szCs w:val="22"/>
        </w:rPr>
      </w:pPr>
    </w:p>
    <w:p w:rsidR="00911795" w:rsidRDefault="00800295">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se actualiza la causal de procedencia del Recurso de Revisión señalada en el artículo 179, fracción VI, de la Ley en cita, </w:t>
      </w:r>
      <w:r>
        <w:rPr>
          <w:rFonts w:ascii="Palatino Linotype" w:eastAsia="Palatino Linotype" w:hAnsi="Palatino Linotype" w:cs="Palatino Linotype"/>
          <w:color w:val="000000"/>
          <w:sz w:val="22"/>
          <w:szCs w:val="22"/>
        </w:rPr>
        <w:t xml:space="preserve">pues el Recurrente se inconformó </w:t>
      </w:r>
      <w:r>
        <w:rPr>
          <w:rFonts w:ascii="Palatino Linotype" w:eastAsia="Palatino Linotype" w:hAnsi="Palatino Linotype" w:cs="Palatino Linotype"/>
          <w:sz w:val="22"/>
          <w:szCs w:val="22"/>
        </w:rPr>
        <w:t xml:space="preserve"> con la entrega de información que no corresponde con lo solicitado. </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rsidR="00911795" w:rsidRDefault="00911795">
      <w:pPr>
        <w:spacing w:line="360" w:lineRule="auto"/>
        <w:jc w:val="both"/>
        <w:rPr>
          <w:rFonts w:ascii="Palatino Linotype" w:eastAsia="Palatino Linotype" w:hAnsi="Palatino Linotype" w:cs="Palatino Linotype"/>
          <w:color w:val="0D0D0D"/>
          <w:sz w:val="22"/>
          <w:szCs w:val="22"/>
        </w:rPr>
      </w:pPr>
    </w:p>
    <w:p w:rsidR="00911795" w:rsidRDefault="0080029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ser de previo y especial pronunciamiento, este Instituto analiza si se actualiza alguna causal de sobreseimiento.</w:t>
      </w:r>
    </w:p>
    <w:p w:rsidR="00911795" w:rsidRDefault="00911795">
      <w:pPr>
        <w:spacing w:line="360" w:lineRule="auto"/>
        <w:jc w:val="both"/>
        <w:rPr>
          <w:rFonts w:ascii="Palatino Linotype" w:eastAsia="Palatino Linotype" w:hAnsi="Palatino Linotype" w:cs="Palatino Linotype"/>
          <w:color w:val="0D0D0D"/>
          <w:sz w:val="22"/>
          <w:szCs w:val="22"/>
        </w:rPr>
      </w:pPr>
    </w:p>
    <w:p w:rsidR="00911795" w:rsidRDefault="0080029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911795" w:rsidRDefault="00911795">
      <w:pPr>
        <w:spacing w:line="360" w:lineRule="auto"/>
        <w:jc w:val="both"/>
        <w:rPr>
          <w:rFonts w:ascii="Palatino Linotype" w:eastAsia="Palatino Linotype" w:hAnsi="Palatino Linotype" w:cs="Palatino Linotype"/>
          <w:color w:val="0D0D0D"/>
          <w:sz w:val="22"/>
          <w:szCs w:val="22"/>
        </w:rPr>
      </w:pPr>
    </w:p>
    <w:p w:rsidR="00911795" w:rsidRDefault="00800295">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tales motivos, se considera procedente entrar al fondo del presente asunto.</w:t>
      </w:r>
    </w:p>
    <w:p w:rsidR="00911795" w:rsidRDefault="00800295">
      <w:pPr>
        <w:pStyle w:val="Ttulo2"/>
        <w:spacing w:before="0" w:line="360" w:lineRule="auto"/>
        <w:rPr>
          <w:rFonts w:ascii="Palatino Linotype" w:eastAsia="Palatino Linotype" w:hAnsi="Palatino Linotype" w:cs="Palatino Linotype"/>
          <w:b/>
          <w:color w:val="000000"/>
          <w:sz w:val="22"/>
          <w:szCs w:val="22"/>
        </w:rPr>
      </w:pPr>
      <w:bookmarkStart w:id="14" w:name="_heading=h.lnxbz9" w:colFirst="0" w:colLast="0"/>
      <w:bookmarkEnd w:id="14"/>
      <w:r>
        <w:rPr>
          <w:rFonts w:ascii="Palatino Linotype" w:eastAsia="Palatino Linotype" w:hAnsi="Palatino Linotype" w:cs="Palatino Linotype"/>
          <w:b/>
          <w:color w:val="000000"/>
          <w:sz w:val="22"/>
          <w:szCs w:val="22"/>
        </w:rPr>
        <w:t>TERCERO. Determinación de la Controversia</w:t>
      </w:r>
    </w:p>
    <w:p w:rsidR="00911795" w:rsidRDefault="00911795">
      <w:pPr>
        <w:tabs>
          <w:tab w:val="left" w:pos="4962"/>
        </w:tabs>
        <w:spacing w:line="360" w:lineRule="auto"/>
        <w:jc w:val="both"/>
        <w:rPr>
          <w:rFonts w:ascii="Palatino Linotype" w:eastAsia="Palatino Linotype" w:hAnsi="Palatino Linotype" w:cs="Palatino Linotype"/>
          <w:b/>
          <w:sz w:val="22"/>
          <w:szCs w:val="22"/>
        </w:rPr>
      </w:pPr>
    </w:p>
    <w:p w:rsidR="00911795" w:rsidRDefault="0080029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22"/>
          <w:szCs w:val="22"/>
        </w:rPr>
        <w:t>Con el objetivo de ilustrar la controversia planteada, resulta conveniente precisar, que una vez realizado el estudio de las constancias que integran el expediente en el que se actúa, se desprende que la Particular requirió al Ayuntamiento de</w:t>
      </w:r>
      <w:r>
        <w:rPr>
          <w:rFonts w:ascii="Palatino Linotype" w:eastAsia="Palatino Linotype" w:hAnsi="Palatino Linotype" w:cs="Palatino Linotype"/>
        </w:rPr>
        <w:t xml:space="preserve"> </w:t>
      </w:r>
      <w:r>
        <w:rPr>
          <w:rFonts w:ascii="Palatino Linotype" w:eastAsia="Palatino Linotype" w:hAnsi="Palatino Linotype" w:cs="Palatino Linotype"/>
          <w:sz w:val="22"/>
          <w:szCs w:val="22"/>
        </w:rPr>
        <w:t xml:space="preserve">Mexicaltzingo, el personal comisionado para el seguimiento de denuncias de Derechos Humanos al diecinueve de noviembre de dos mil veinticuatro. </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respuesta, la Defensoría Municipal de Derechos Humanos precisó que la Comisión de Derechos Humanos del Estado de México (CODHEM) es quién atiende quejas sobre presuntas violaciones a los Derechos Humanos y de manera particular en el Municipio de Mexicaltzingo, la unidad administrativa que atiende, auxilia a la formulación de queja, da seguimiento y pondera la aceptación de recomendaciones de los Organismos Garates en la materia, es la Defensoría Municipal de Derechos Humanos y quién brinda la atención de forma personalísima es su titular en turno Francisco Alejandro González Ayala; ante dicha situación, la parte Recurrente se inconformó de la respuesta que no corresponde con lo solicitado, al señalar que no recibió la información correcta</w:t>
      </w:r>
      <w:r>
        <w:rPr>
          <w:rFonts w:ascii="Palatino Linotype" w:eastAsia="Palatino Linotype" w:hAnsi="Palatino Linotype" w:cs="Palatino Linotype"/>
          <w:color w:val="000000"/>
          <w:sz w:val="22"/>
          <w:szCs w:val="22"/>
        </w:rPr>
        <w:t>, lo cual actualiza el supuesto previsto en el artículo 179, fracción VI, de la Ley de Transparencia y Acceso a la Información Pública del Estado de México y Municipios</w:t>
      </w:r>
      <w:r>
        <w:rPr>
          <w:rFonts w:ascii="Palatino Linotype" w:eastAsia="Palatino Linotype" w:hAnsi="Palatino Linotype" w:cs="Palatino Linotype"/>
          <w:color w:val="000000"/>
          <w:sz w:val="22"/>
          <w:szCs w:val="22"/>
          <w:highlight w:val="white"/>
        </w:rPr>
        <w:t>. Así</w:t>
      </w:r>
      <w:r>
        <w:rPr>
          <w:rFonts w:ascii="Palatino Linotype" w:eastAsia="Palatino Linotype" w:hAnsi="Palatino Linotype" w:cs="Palatino Linotype"/>
          <w:color w:val="000000"/>
          <w:sz w:val="22"/>
          <w:szCs w:val="22"/>
        </w:rPr>
        <w:t xml:space="preserve">, una vez admitido y notificado el Recurso de Revisión a las partes, estas fueron omisas en manifestarse.  </w:t>
      </w:r>
    </w:p>
    <w:p w:rsidR="00911795" w:rsidRDefault="00911795">
      <w:pPr>
        <w:spacing w:line="360" w:lineRule="auto"/>
        <w:jc w:val="both"/>
        <w:rPr>
          <w:rFonts w:ascii="Palatino Linotype" w:eastAsia="Palatino Linotype" w:hAnsi="Palatino Linotype" w:cs="Palatino Linotype"/>
          <w:sz w:val="22"/>
          <w:szCs w:val="22"/>
          <w:highlight w:val="white"/>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por el Sujeto Obligado y 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pStyle w:val="Ttulo2"/>
        <w:spacing w:before="0" w:line="360" w:lineRule="auto"/>
        <w:jc w:val="both"/>
        <w:rPr>
          <w:rFonts w:ascii="Palatino Linotype" w:eastAsia="Palatino Linotype" w:hAnsi="Palatino Linotype" w:cs="Palatino Linotype"/>
          <w:b/>
          <w:color w:val="000000"/>
          <w:sz w:val="22"/>
          <w:szCs w:val="22"/>
        </w:rPr>
      </w:pPr>
      <w:bookmarkStart w:id="15" w:name="_heading=h.35nkun2" w:colFirst="0" w:colLast="0"/>
      <w:bookmarkEnd w:id="15"/>
      <w:r>
        <w:rPr>
          <w:rFonts w:ascii="Palatino Linotype" w:eastAsia="Palatino Linotype" w:hAnsi="Palatino Linotype" w:cs="Palatino Linotype"/>
          <w:b/>
          <w:color w:val="000000"/>
          <w:sz w:val="22"/>
          <w:szCs w:val="22"/>
        </w:rPr>
        <w:t>CUARTO. Marco normativo aplicable en materia de transparencia y acceso a la información pública</w:t>
      </w:r>
    </w:p>
    <w:p w:rsidR="00911795" w:rsidRDefault="00911795">
      <w:pPr>
        <w:spacing w:line="360" w:lineRule="auto"/>
        <w:jc w:val="both"/>
        <w:rPr>
          <w:rFonts w:ascii="Palatino Linotype" w:eastAsia="Palatino Linotype" w:hAnsi="Palatino Linotype" w:cs="Palatino Linotype"/>
          <w:b/>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pStyle w:val="Ttulo2"/>
        <w:spacing w:before="0" w:line="360" w:lineRule="auto"/>
        <w:rPr>
          <w:rFonts w:ascii="Palatino Linotype" w:eastAsia="Palatino Linotype" w:hAnsi="Palatino Linotype" w:cs="Palatino Linotype"/>
          <w:b/>
          <w:color w:val="000000"/>
          <w:sz w:val="22"/>
          <w:szCs w:val="22"/>
        </w:rPr>
      </w:pPr>
      <w:bookmarkStart w:id="16" w:name="_heading=h.1ksv4uv" w:colFirst="0" w:colLast="0"/>
      <w:bookmarkEnd w:id="16"/>
      <w:r>
        <w:rPr>
          <w:rFonts w:ascii="Palatino Linotype" w:eastAsia="Palatino Linotype" w:hAnsi="Palatino Linotype" w:cs="Palatino Linotype"/>
          <w:b/>
          <w:color w:val="000000"/>
          <w:sz w:val="22"/>
          <w:szCs w:val="22"/>
        </w:rPr>
        <w:t>QUINTO. Estudio de Fondo</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Expuestas las posturas de las partes, se procede al análisis del agravio hecho valer por el ahora Recurrente, referente a la entrega de información que no corresponde con lo solicitado; sin embargo, para realizar dicha acción, en principio es necesario contextualizar la solicitud de información referente a las denuncias por violaciones a los Derechos Humanos. </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principio, cabe precisar que de acuerdo a la Comisión Nacional de los Derechos Humanos (consulado en la página electrónica </w:t>
      </w:r>
      <w:hyperlink r:id="rId8">
        <w:r>
          <w:rPr>
            <w:rFonts w:ascii="Palatino Linotype" w:eastAsia="Palatino Linotype" w:hAnsi="Palatino Linotype" w:cs="Palatino Linotype"/>
            <w:color w:val="0563C1"/>
            <w:sz w:val="22"/>
            <w:szCs w:val="22"/>
            <w:u w:val="single"/>
          </w:rPr>
          <w:t>https://www.cndh.org.mx/derechos-humanos/que-son-los-derechos-humanos</w:t>
        </w:r>
      </w:hyperlink>
      <w:r>
        <w:rPr>
          <w:rFonts w:ascii="Palatino Linotype" w:eastAsia="Palatino Linotype" w:hAnsi="Palatino Linotype" w:cs="Palatino Linotype"/>
          <w:sz w:val="22"/>
          <w:szCs w:val="22"/>
        </w:rPr>
        <w:t xml:space="preserve">), los derechos humanos son el conjunto de prerrogativas sustentadas en la dignidad humana e inherentes a todos los seres humanos, sin distinción alguna de nacionalidad, lugar de residencia, sexo, origen nacional o étnico, color, religión, lengua, o cualquier otra condición, y se encuentran a menudo contemplados en la ley y garantizados por ella, en el orden jurídico nacional, en nuestra Constitución Política, tratados internacionales y las leyes.     </w:t>
      </w:r>
    </w:p>
    <w:p w:rsidR="00911795" w:rsidRDefault="00911795">
      <w:pPr>
        <w:widowControl w:val="0"/>
        <w:spacing w:line="360" w:lineRule="auto"/>
        <w:jc w:val="both"/>
        <w:rPr>
          <w:rFonts w:ascii="Palatino Linotype" w:eastAsia="Palatino Linotype" w:hAnsi="Palatino Linotype" w:cs="Palatino Linotype"/>
          <w:sz w:val="22"/>
          <w:szCs w:val="22"/>
        </w:rPr>
      </w:pPr>
    </w:p>
    <w:p w:rsidR="00911795" w:rsidRDefault="00911795">
      <w:pPr>
        <w:widowControl w:val="0"/>
        <w:spacing w:line="360" w:lineRule="auto"/>
        <w:jc w:val="both"/>
        <w:rPr>
          <w:rFonts w:ascii="Palatino Linotype" w:eastAsia="Palatino Linotype" w:hAnsi="Palatino Linotype" w:cs="Palatino Linotype"/>
          <w:sz w:val="22"/>
          <w:szCs w:val="22"/>
        </w:rPr>
      </w:pPr>
    </w:p>
    <w:p w:rsidR="00911795" w:rsidRDefault="00800295">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según Segreste, Sergio (2019), en el “Manual básico de derechos humanos para autoridades municipales” de la Comisión Nacional de los Derechos Humanos (pp. 53 y 55), establece que la </w:t>
      </w:r>
      <w:r>
        <w:rPr>
          <w:rFonts w:ascii="Palatino Linotype" w:eastAsia="Palatino Linotype" w:hAnsi="Palatino Linotype" w:cs="Palatino Linotype"/>
          <w:b/>
          <w:sz w:val="22"/>
          <w:szCs w:val="22"/>
        </w:rPr>
        <w:t xml:space="preserve">violación a los derechos humanos </w:t>
      </w:r>
      <w:r>
        <w:rPr>
          <w:rFonts w:ascii="Palatino Linotype" w:eastAsia="Palatino Linotype" w:hAnsi="Palatino Linotype" w:cs="Palatino Linotype"/>
          <w:sz w:val="22"/>
          <w:szCs w:val="22"/>
        </w:rPr>
        <w:t xml:space="preserve">es aquella acción u omisión indebida realizada por un servidor público, o con su anuencia, por la que se vulnera o restringe cualquiera de los derechos fundamentales definidos y protegidos por el ordenamiento jurídico y ante dicha situación la </w:t>
      </w:r>
      <w:r>
        <w:rPr>
          <w:rFonts w:ascii="Palatino Linotype" w:eastAsia="Palatino Linotype" w:hAnsi="Palatino Linotype" w:cs="Palatino Linotype"/>
          <w:b/>
          <w:sz w:val="22"/>
          <w:szCs w:val="22"/>
        </w:rPr>
        <w:t>denuncia</w:t>
      </w:r>
      <w:r>
        <w:rPr>
          <w:rFonts w:ascii="Palatino Linotype" w:eastAsia="Palatino Linotype" w:hAnsi="Palatino Linotype" w:cs="Palatino Linotype"/>
          <w:sz w:val="22"/>
          <w:szCs w:val="22"/>
        </w:rPr>
        <w:t xml:space="preserve"> es una herramienta fundamental para la defensa frente a las violaciones a los derechos humanos, que cumple una función preventiva para evitar posibles trasgresiones a los derechos de otras personas. </w:t>
      </w:r>
    </w:p>
    <w:p w:rsidR="00911795" w:rsidRDefault="00911795">
      <w:pPr>
        <w:widowControl w:val="0"/>
        <w:spacing w:line="360" w:lineRule="auto"/>
        <w:jc w:val="both"/>
        <w:rPr>
          <w:rFonts w:ascii="Palatino Linotype" w:eastAsia="Palatino Linotype" w:hAnsi="Palatino Linotype" w:cs="Palatino Linotype"/>
          <w:sz w:val="22"/>
          <w:szCs w:val="22"/>
        </w:rPr>
      </w:pPr>
    </w:p>
    <w:p w:rsidR="00911795" w:rsidRDefault="00800295">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el artículo 13, fracción I,  y 117 de la Comisión de Derechos Humanos del Estado de México, precisa que entre otras atribuciones la Comisión podrá conocer de quejas o iniciar de oficio investigaciones, sobre presuntas violaciones a derechos humanos, por actos u omisiones de naturaleza administrativa de cualquier autoridad o servidor público estatal o municipal y para tal efecto, cuenta en el cumplimiento de sus atribuciones, con la colaboración de los Defensores Municipales de Derechos Humanos, en términos de las disposiciones aplicables. </w:t>
      </w:r>
    </w:p>
    <w:p w:rsidR="00911795" w:rsidRDefault="00911795">
      <w:pPr>
        <w:widowControl w:val="0"/>
        <w:spacing w:line="360" w:lineRule="auto"/>
        <w:jc w:val="both"/>
        <w:rPr>
          <w:rFonts w:ascii="Palatino Linotype" w:eastAsia="Palatino Linotype" w:hAnsi="Palatino Linotype" w:cs="Palatino Linotype"/>
          <w:sz w:val="22"/>
          <w:szCs w:val="22"/>
        </w:rPr>
      </w:pPr>
    </w:p>
    <w:p w:rsidR="00911795" w:rsidRDefault="00800295">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idas,  los artículos 147 A, 147 C, 147 K, fracciones I y II, de la Ley Orgánica Municipal del Estado de México, establecen que en cada municipio, el Ayuntamiento deberá designar un </w:t>
      </w:r>
      <w:r>
        <w:rPr>
          <w:rFonts w:ascii="Palatino Linotype" w:eastAsia="Palatino Linotype" w:hAnsi="Palatino Linotype" w:cs="Palatino Linotype"/>
          <w:b/>
          <w:sz w:val="22"/>
          <w:szCs w:val="22"/>
        </w:rPr>
        <w:t>Defensor Municipal de Derechos Humanos, encargado de recibir las quejas de la población de su municipalidad y remitirlas a la Comisión de Derechos Humanos del Estado de México</w:t>
      </w:r>
      <w:r>
        <w:rPr>
          <w:rFonts w:ascii="Palatino Linotype" w:eastAsia="Palatino Linotype" w:hAnsi="Palatino Linotype" w:cs="Palatino Linotype"/>
          <w:sz w:val="22"/>
          <w:szCs w:val="22"/>
        </w:rPr>
        <w:t xml:space="preserve">, por conducto de sus visitadurías e informar a la Comisión, acerca de presumibles violaciones a los derechos humanos por actos u omisiones de naturaleza administrativa de cualquier autoridad o servidor público que resida en el municipio de su adscripción. </w:t>
      </w:r>
    </w:p>
    <w:p w:rsidR="00911795" w:rsidRDefault="00911795">
      <w:pPr>
        <w:widowControl w:val="0"/>
        <w:spacing w:line="360" w:lineRule="auto"/>
        <w:jc w:val="both"/>
        <w:rPr>
          <w:rFonts w:ascii="Palatino Linotype" w:eastAsia="Palatino Linotype" w:hAnsi="Palatino Linotype" w:cs="Palatino Linotype"/>
          <w:sz w:val="22"/>
          <w:szCs w:val="22"/>
        </w:rPr>
      </w:pPr>
    </w:p>
    <w:p w:rsidR="00911795" w:rsidRDefault="00911795">
      <w:pPr>
        <w:widowControl w:val="0"/>
        <w:spacing w:line="360" w:lineRule="auto"/>
        <w:jc w:val="both"/>
        <w:rPr>
          <w:rFonts w:ascii="Palatino Linotype" w:eastAsia="Palatino Linotype" w:hAnsi="Palatino Linotype" w:cs="Palatino Linotype"/>
          <w:sz w:val="22"/>
          <w:szCs w:val="22"/>
        </w:rPr>
      </w:pPr>
    </w:p>
    <w:p w:rsidR="00911795" w:rsidRDefault="00800295">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los artículos 2° y 5°, del Reglamento de Organización y Funcionamiento de las Defensorías Municipales de Derechos Humanos, precisan que las Defensorías Municipales de Derechos Humanos en el Estado de México, son órganos creados por los Ayuntamientos de la entidad, con autonomía en sus decisiones y en el ejercicio presupuestal, que en el cumplimiento de sus atribuciones deben coordinarse con la Comisión de Derechos Humanos del Estado, y tiene como objeto la promoción, divulgación, estudio y colaboración en la defensa de los derechos humanos en el municipio que corresponda, y para tal efecto, todas las actuaciones de las Defensorías Municipales serán gratuitas y para el trámite de quejas, el personal adscrito informará a las usuarios que no es necesario contar con algún abogado o representante legal.  </w:t>
      </w:r>
    </w:p>
    <w:p w:rsidR="00911795" w:rsidRDefault="00911795">
      <w:pPr>
        <w:widowControl w:val="0"/>
        <w:spacing w:line="360" w:lineRule="auto"/>
        <w:jc w:val="both"/>
        <w:rPr>
          <w:rFonts w:ascii="Palatino Linotype" w:eastAsia="Palatino Linotype" w:hAnsi="Palatino Linotype" w:cs="Palatino Linotype"/>
          <w:sz w:val="22"/>
          <w:szCs w:val="22"/>
        </w:rPr>
      </w:pPr>
    </w:p>
    <w:p w:rsidR="00911795" w:rsidRDefault="00800295">
      <w:pPr>
        <w:widowControl w:val="0"/>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Asimismo, los artículos 8°, 21, 22 y 23 del Reglamento previamente referido, establecen que las Defensorías Municipales están integradas por su titular, así como con el personal, técnico, administrativo y los servidores públicos autorizados por el Ayuntamiento, necesarios para el cumplimiento de su encargo, en ese sentido, las Defensorías Municipales deben de vincularse con las Visitadurías Generales de la Comisión de Derechos Humanos del Estado de México a efecto de recibir orientación y concertar acciones para el cumplimiento de sus atribuciones, y deben de formar expediente de las quejas recibidas de la población del municipio y remitirlas de manera inmediata a la Visitaduría General que corresponda, así, la Visitaduría General que inicie expediente de queja contra algún ayuntamiento o servidor público municipal, lo hará del conocimiento de la Defensoría Municipal, para que ésta, </w:t>
      </w:r>
      <w:r>
        <w:rPr>
          <w:rFonts w:ascii="Palatino Linotype" w:eastAsia="Palatino Linotype" w:hAnsi="Palatino Linotype" w:cs="Palatino Linotype"/>
          <w:b/>
          <w:sz w:val="22"/>
          <w:szCs w:val="22"/>
        </w:rPr>
        <w:t xml:space="preserve">forme expediente y dé seguimiento al procedimiento tramitado por la Comisión. </w:t>
      </w:r>
    </w:p>
    <w:p w:rsidR="00911795" w:rsidRDefault="00911795">
      <w:pPr>
        <w:widowControl w:val="0"/>
        <w:spacing w:line="360" w:lineRule="auto"/>
        <w:jc w:val="both"/>
        <w:rPr>
          <w:rFonts w:ascii="Palatino Linotype" w:eastAsia="Palatino Linotype" w:hAnsi="Palatino Linotype" w:cs="Palatino Linotype"/>
          <w:sz w:val="22"/>
          <w:szCs w:val="22"/>
        </w:rPr>
      </w:pPr>
    </w:p>
    <w:p w:rsidR="00911795" w:rsidRDefault="00800295">
      <w:pPr>
        <w:tabs>
          <w:tab w:val="left" w:pos="276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la pretensión del ahora Recurrente es obtener el nombre del personal comisionado del Ayuntamiento de</w:t>
      </w:r>
      <w:r>
        <w:rPr>
          <w:rFonts w:ascii="Palatino Linotype" w:eastAsia="Palatino Linotype" w:hAnsi="Palatino Linotype" w:cs="Palatino Linotype"/>
        </w:rPr>
        <w:t xml:space="preserve"> </w:t>
      </w:r>
      <w:r>
        <w:rPr>
          <w:rFonts w:ascii="Palatino Linotype" w:eastAsia="Palatino Linotype" w:hAnsi="Palatino Linotype" w:cs="Palatino Linotype"/>
          <w:sz w:val="22"/>
          <w:szCs w:val="22"/>
        </w:rPr>
        <w:t xml:space="preserve">Mexicaltzingo para dar seguimiento a las quejas o denuncias en contra de violaciones a Derechos Humanos, al diecinueve de noviembre de dos mil veinticuatro. </w:t>
      </w:r>
    </w:p>
    <w:p w:rsidR="00911795" w:rsidRDefault="00911795">
      <w:pPr>
        <w:tabs>
          <w:tab w:val="left" w:pos="4962"/>
        </w:tabs>
        <w:spacing w:line="360" w:lineRule="auto"/>
        <w:jc w:val="both"/>
        <w:rPr>
          <w:rFonts w:ascii="Palatino Linotype" w:eastAsia="Palatino Linotype" w:hAnsi="Palatino Linotype" w:cs="Palatino Linotype"/>
          <w:color w:val="000000"/>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de las constancias que obran en el expediente electrónico, se logra advertir que el Sujeto Obligado turno la solicitud de información a la Defensoría de Derechos Humanos; por lo que, resulta necesario hacer referencia </w:t>
      </w:r>
      <w:r>
        <w:rPr>
          <w:rFonts w:ascii="Palatino Linotype" w:eastAsia="Palatino Linotype" w:hAnsi="Palatino Linotype" w:cs="Palatino Linotype"/>
          <w:b/>
          <w:sz w:val="22"/>
          <w:szCs w:val="22"/>
        </w:rPr>
        <w:t>al procedimiento de búsqueda que deben seguir los Sujetos Obligados para localizar la información</w:t>
      </w:r>
      <w:r>
        <w:rPr>
          <w:rFonts w:ascii="Palatino Linotype" w:eastAsia="Palatino Linotype" w:hAnsi="Palatino Linotype" w:cs="Palatino Linotype"/>
          <w:sz w:val="22"/>
          <w:szCs w:val="22"/>
        </w:rPr>
        <w:t>, el cual se encuentra previsto en los artículos 160 y 162 de la Ley de Transparencia y Acceso a la Información Pública del Estado de México y Municipios, mismo que es el siguiente:</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911795" w:rsidRDefault="00911795">
      <w:pPr>
        <w:spacing w:line="360" w:lineRule="auto"/>
        <w:ind w:left="720"/>
        <w:jc w:val="both"/>
        <w:rPr>
          <w:rFonts w:ascii="Palatino Linotype" w:eastAsia="Palatino Linotype" w:hAnsi="Palatino Linotype" w:cs="Palatino Linotype"/>
          <w:sz w:val="22"/>
          <w:szCs w:val="22"/>
        </w:rPr>
      </w:pPr>
    </w:p>
    <w:p w:rsidR="00911795" w:rsidRDefault="00800295">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a efecto de verificar que el Sujeto Obligado realizó el procedimiento de búsqueda antes descrito es necesario traer a coalición los artículos 274, fracciones I y IX, y 276, del Bando Municipal, dos mil veinticuatro, del Ayuntamiento de Mexicaltzingo, con relación al Reglamento Orgánico de la Administración Pública Municipal de Mexicaltzingo 2022-2024, que precisan que el Sujeto Obligado para el ejercicio de sus atribuciones contará con una </w:t>
      </w:r>
      <w:r>
        <w:rPr>
          <w:rFonts w:ascii="Palatino Linotype" w:eastAsia="Palatino Linotype" w:hAnsi="Palatino Linotype" w:cs="Palatino Linotype"/>
          <w:b/>
          <w:sz w:val="22"/>
          <w:szCs w:val="22"/>
        </w:rPr>
        <w:t xml:space="preserve">Defensoría Municipal de Derechos Humanos </w:t>
      </w:r>
      <w:r>
        <w:rPr>
          <w:rFonts w:ascii="Palatino Linotype" w:eastAsia="Palatino Linotype" w:hAnsi="Palatino Linotype" w:cs="Palatino Linotype"/>
          <w:sz w:val="22"/>
          <w:szCs w:val="22"/>
        </w:rPr>
        <w:t xml:space="preserve">encargada de garantizar el respeto a los Derechos Humanos, difundiendo y promoviendo éstos entre la población del municipio, y para tal efecto, el Defensor Municipal de los Derechos Humanos tendrá entre sus funciones, recibir quejas de la población y remitirlas a la CODHEM, por conducto de la Visitaduría General de la Región, e informar a la CODHEM y al Ayuntamiento, acerca de presumibles violaciones a los Derechos Humanos por actos u omisiones de naturaleza administrativa de cualquier autoridad o servidor público que residan en el Municipio de su adscripción. </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mismo, conforme a los objetivos y Funciones del Manual de Organización de la Administración Pública Municipal de Mexicaltzingo, la Defensoría Municipal de Derechos Humanos es la encarga de prevenir, investigar, sancionar y reparar las violaciones a los derechos humanos, colaborar con los ciudadanos que asistan a la defensoría, con la intención de tramitar queja o denuncia dando seguimiento a la misma, y brindar asesoría jurídica de forma gratuita a todas las personas que la requieran.  </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circunstancia, se considera que el Sujeto Obligado turno la solicitud de información a el área con competencia, para conocer de lo peticionado, a saber, la Defensoría Municipal de Derechos Humanos, encargadas de tramitar una queja o denuncia en contra de violaciones a derechos humanos, dando seguimiento a la misma, por lo que, se considera que el Sujeto Obligado atendió lo establecido en el artículo 162 de la Ley de Transparencia y Acceso a la Información Pública del Estado de México y Municipios.</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dicha dependencia precisó que la Comisión de Derechos Humanos del Estado de México (CODHEM), es quien atiende quejas sobre presuntas violaciones a los Derechos Humanos y de forma particular en el Municipio de Mexicaltzingo, la unidad Administrativa que atiende y auxilia a la formulación de queja y da seguimiento, es la Defensoría Municipal de Derechos Humanos, brindando atención de forma personalísima por el titular en turno Francisco Alejandro González Ayala. </w:t>
      </w: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Situación que toma relevancia, pues este Instituto localizó el Manual General de Organización de la Administración Pública Municipal de Mexicaltzingo 2022-20224, referido en párrafos anteriores, del cual se logró vislumbrar que la Defensoría Municipal de Derechos Humanos se encontraba a cargo del servidor público referido por el Sujeto Obligado, encargado de dar trámite y seguimiento a las quejas o denuncias en contra de violaciones de Derechos Humanos, tal como se muestra  en la siguiente imagen ilustrativa: </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extent cx="5612130" cy="84201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842010"/>
                    </a:xfrm>
                    <a:prstGeom prst="rect">
                      <a:avLst/>
                    </a:prstGeom>
                    <a:ln/>
                  </pic:spPr>
                </pic:pic>
              </a:graphicData>
            </a:graphic>
          </wp:inline>
        </w:drawing>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puede observar que el Sujeto Obligado, desde respuesta, proporcionó la información que obraba en sus archivos y daba cuenta de la información peticionada; sobre el tema,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lo cual, toma sustento en el artículo 160 de la Ley de Transparencia y Acceso a la Información Pública del Estado de México y Municipios, el cual refiere que los sujetos obligados deberán entregar la información que obre en sus archivos.</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D0D0D"/>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el nombre y cargo del  personal del Ayuntamiento de Mexicaltzingo para dar seguimiento a las quejas o denuncias en contra de violaciones a Derechos Humanos, al diecinueve de noviembre de dos mil veinticuatro, </w:t>
      </w:r>
      <w:r>
        <w:rPr>
          <w:rFonts w:ascii="Palatino Linotype" w:eastAsia="Palatino Linotype" w:hAnsi="Palatino Linotype" w:cs="Palatino Linotype"/>
          <w:sz w:val="22"/>
          <w:szCs w:val="22"/>
        </w:rPr>
        <w:t xml:space="preserve">lo cual da como resultado que el agravio devenga de </w:t>
      </w:r>
      <w:r>
        <w:rPr>
          <w:rFonts w:ascii="Palatino Linotype" w:eastAsia="Palatino Linotype" w:hAnsi="Palatino Linotype" w:cs="Palatino Linotype"/>
          <w:b/>
          <w:sz w:val="22"/>
          <w:szCs w:val="22"/>
        </w:rPr>
        <w:t xml:space="preserve">INFUNDADO, </w:t>
      </w:r>
      <w:r>
        <w:rPr>
          <w:rFonts w:ascii="Palatino Linotype" w:eastAsia="Palatino Linotype" w:hAnsi="Palatino Linotype" w:cs="Palatino Linotype"/>
          <w:sz w:val="22"/>
          <w:szCs w:val="22"/>
        </w:rPr>
        <w:t>pues contrario a lo referido por el Particular la información si es correcta y corresponde con lo peticionado.</w:t>
      </w:r>
    </w:p>
    <w:p w:rsidR="00911795" w:rsidRDefault="00911795">
      <w:pPr>
        <w:spacing w:line="360" w:lineRule="auto"/>
        <w:rPr>
          <w:rFonts w:ascii="Palatino Linotype" w:eastAsia="Palatino Linotype" w:hAnsi="Palatino Linotype" w:cs="Palatino Linotype"/>
          <w:color w:val="000000"/>
          <w:sz w:val="22"/>
          <w:szCs w:val="22"/>
        </w:rPr>
      </w:pPr>
    </w:p>
    <w:p w:rsidR="00911795" w:rsidRDefault="00800295">
      <w:pPr>
        <w:pStyle w:val="Ttulo2"/>
        <w:spacing w:before="0" w:line="360" w:lineRule="auto"/>
        <w:rPr>
          <w:rFonts w:ascii="Palatino Linotype" w:eastAsia="Palatino Linotype" w:hAnsi="Palatino Linotype" w:cs="Palatino Linotype"/>
          <w:b/>
          <w:color w:val="000000"/>
          <w:sz w:val="22"/>
          <w:szCs w:val="22"/>
        </w:rPr>
      </w:pPr>
      <w:bookmarkStart w:id="17" w:name="_heading=h.44sinio" w:colFirst="0" w:colLast="0"/>
      <w:bookmarkEnd w:id="17"/>
      <w:r>
        <w:rPr>
          <w:rFonts w:ascii="Palatino Linotype" w:eastAsia="Palatino Linotype" w:hAnsi="Palatino Linotype" w:cs="Palatino Linotype"/>
          <w:b/>
          <w:color w:val="000000"/>
          <w:sz w:val="22"/>
          <w:szCs w:val="22"/>
        </w:rPr>
        <w:t>SEXTO. Decisión</w:t>
      </w:r>
    </w:p>
    <w:p w:rsidR="00911795" w:rsidRDefault="00911795">
      <w:pPr>
        <w:spacing w:line="360" w:lineRule="auto"/>
        <w:jc w:val="both"/>
        <w:rPr>
          <w:rFonts w:ascii="Palatino Linotype" w:eastAsia="Palatino Linotype" w:hAnsi="Palatino Linotype" w:cs="Palatino Linotype"/>
          <w:b/>
          <w:sz w:val="22"/>
          <w:szCs w:val="22"/>
        </w:rPr>
      </w:pPr>
    </w:p>
    <w:p w:rsidR="00911795" w:rsidRDefault="0080029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 fundamento en el artículo 186, fracción II, de la Ley de Transparencia y Acceso a la Información Pública del Estado de México y Municipios, este Instituto considera procedente </w:t>
      </w:r>
      <w:r>
        <w:rPr>
          <w:rFonts w:ascii="Palatino Linotype" w:eastAsia="Palatino Linotype" w:hAnsi="Palatino Linotype" w:cs="Palatino Linotype"/>
          <w:b/>
          <w:color w:val="000000"/>
          <w:sz w:val="22"/>
          <w:szCs w:val="22"/>
        </w:rPr>
        <w:t xml:space="preserve">CONFIRMAR </w:t>
      </w:r>
      <w:r>
        <w:rPr>
          <w:rFonts w:ascii="Palatino Linotype" w:eastAsia="Palatino Linotype" w:hAnsi="Palatino Linotype" w:cs="Palatino Linotype"/>
          <w:color w:val="000000"/>
          <w:sz w:val="22"/>
          <w:szCs w:val="22"/>
        </w:rPr>
        <w:t xml:space="preserve">la respuesta otorgada por el Sujeto Obligado. </w:t>
      </w:r>
    </w:p>
    <w:p w:rsidR="00911795" w:rsidRDefault="00911795">
      <w:pPr>
        <w:tabs>
          <w:tab w:val="left" w:pos="4962"/>
        </w:tabs>
        <w:spacing w:line="360" w:lineRule="auto"/>
        <w:jc w:val="both"/>
        <w:rPr>
          <w:rFonts w:ascii="Palatino Linotype" w:eastAsia="Palatino Linotype" w:hAnsi="Palatino Linotype" w:cs="Palatino Linotype"/>
          <w:color w:val="000000"/>
          <w:sz w:val="22"/>
          <w:szCs w:val="22"/>
        </w:rPr>
      </w:pPr>
    </w:p>
    <w:p w:rsidR="00911795" w:rsidRDefault="00800295">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Términos de la Resolución para conocimiento del Particular.</w:t>
      </w:r>
    </w:p>
    <w:p w:rsidR="00911795" w:rsidRDefault="00911795">
      <w:pPr>
        <w:spacing w:line="360" w:lineRule="auto"/>
        <w:jc w:val="both"/>
        <w:rPr>
          <w:rFonts w:ascii="Palatino Linotype" w:eastAsia="Palatino Linotype" w:hAnsi="Palatino Linotype" w:cs="Palatino Linotype"/>
          <w:b/>
          <w:color w:val="000000"/>
          <w:sz w:val="22"/>
          <w:szCs w:val="22"/>
        </w:rPr>
      </w:pPr>
    </w:p>
    <w:p w:rsidR="00911795" w:rsidRDefault="00800295">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le hace del conocimiento al Particular, que, en el presente caso, no se le concede la razón pues el Sujeto Obligado desde respuesta, proporcionó los documentos que daban cuenta del nombre del personal comisionado del Ayuntamiento de Mexicaltzingo para dar seguimiento a las quejas o denuncias en contra de violaciones a Derechos Humanos, al diecinueve de noviembre de dos mil veinticuatro.</w:t>
      </w:r>
    </w:p>
    <w:p w:rsidR="00911795" w:rsidRDefault="00911795">
      <w:pPr>
        <w:widowControl w:val="0"/>
        <w:spacing w:line="360" w:lineRule="auto"/>
        <w:jc w:val="both"/>
        <w:rPr>
          <w:rFonts w:ascii="Palatino Linotype" w:eastAsia="Palatino Linotype" w:hAnsi="Palatino Linotype" w:cs="Palatino Linotype"/>
          <w:color w:val="000000"/>
          <w:sz w:val="22"/>
          <w:szCs w:val="22"/>
        </w:rPr>
      </w:pPr>
    </w:p>
    <w:p w:rsidR="00911795" w:rsidRDefault="00800295">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Finalmente, se le informa que la labor del Instituto de Transparencia, Acceso a la Información Pública y Protección de Datos Personales del Estado de México y Municipios, por una parte, es apoyar a la población a acceder a la información pública y, por otra es, garantizar la protección de los datos personales.</w:t>
      </w:r>
    </w:p>
    <w:p w:rsidR="00911795" w:rsidRDefault="00911795">
      <w:pPr>
        <w:spacing w:line="360" w:lineRule="auto"/>
        <w:jc w:val="both"/>
        <w:rPr>
          <w:rFonts w:ascii="Palatino Linotype" w:eastAsia="Palatino Linotype" w:hAnsi="Palatino Linotype" w:cs="Palatino Linotype"/>
          <w:b/>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pStyle w:val="Ttulo1"/>
        <w:spacing w:before="0" w:line="360" w:lineRule="auto"/>
        <w:jc w:val="center"/>
        <w:rPr>
          <w:rFonts w:ascii="Palatino Linotype" w:eastAsia="Palatino Linotype" w:hAnsi="Palatino Linotype" w:cs="Palatino Linotype"/>
          <w:b/>
          <w:color w:val="000000"/>
          <w:sz w:val="22"/>
          <w:szCs w:val="22"/>
        </w:rPr>
      </w:pPr>
      <w:bookmarkStart w:id="18" w:name="_heading=h.2jxsxqh" w:colFirst="0" w:colLast="0"/>
      <w:bookmarkEnd w:id="18"/>
      <w:r>
        <w:rPr>
          <w:rFonts w:ascii="Palatino Linotype" w:eastAsia="Palatino Linotype" w:hAnsi="Palatino Linotype" w:cs="Palatino Linotype"/>
          <w:b/>
          <w:color w:val="000000"/>
          <w:sz w:val="22"/>
          <w:szCs w:val="22"/>
        </w:rPr>
        <w:t>R E S U E L V E</w:t>
      </w:r>
    </w:p>
    <w:p w:rsidR="00911795" w:rsidRDefault="00911795">
      <w:pPr>
        <w:spacing w:line="360" w:lineRule="auto"/>
        <w:jc w:val="center"/>
        <w:rPr>
          <w:rFonts w:ascii="Palatino Linotype" w:eastAsia="Palatino Linotype" w:hAnsi="Palatino Linotype" w:cs="Palatino Linotype"/>
          <w:b/>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 xml:space="preserve">CONFIRMA </w:t>
      </w:r>
      <w:r>
        <w:rPr>
          <w:rFonts w:ascii="Palatino Linotype" w:eastAsia="Palatino Linotype" w:hAnsi="Palatino Linotype" w:cs="Palatino Linotype"/>
          <w:sz w:val="22"/>
          <w:szCs w:val="22"/>
        </w:rPr>
        <w:t xml:space="preserve">la respuesta entregada por el Sujeto Obligado a la solicitud de acceso a la información </w:t>
      </w:r>
      <w:r>
        <w:rPr>
          <w:rFonts w:ascii="Palatino Linotype" w:eastAsia="Palatino Linotype" w:hAnsi="Palatino Linotype" w:cs="Palatino Linotype"/>
          <w:color w:val="0D0D0D"/>
          <w:sz w:val="22"/>
          <w:szCs w:val="22"/>
        </w:rPr>
        <w:t>con número de folio</w:t>
      </w:r>
      <w:r>
        <w:rPr>
          <w:rFonts w:ascii="Palatino Linotype" w:eastAsia="Palatino Linotype" w:hAnsi="Palatino Linotype" w:cs="Palatino Linotype"/>
          <w:b/>
          <w:color w:val="FF0000"/>
          <w:sz w:val="22"/>
          <w:szCs w:val="22"/>
        </w:rPr>
        <w:t> </w:t>
      </w:r>
      <w:r>
        <w:rPr>
          <w:rFonts w:ascii="Palatino Linotype" w:eastAsia="Palatino Linotype" w:hAnsi="Palatino Linotype" w:cs="Palatino Linotype"/>
          <w:sz w:val="22"/>
          <w:szCs w:val="22"/>
        </w:rPr>
        <w:t>00219/MEXICAL/IP/2024</w:t>
      </w:r>
      <w:r>
        <w:rPr>
          <w:rFonts w:ascii="Palatino Linotype" w:eastAsia="Palatino Linotype" w:hAnsi="Palatino Linotype" w:cs="Palatino Linotype"/>
          <w:color w:val="0D0D0D"/>
          <w:sz w:val="22"/>
          <w:szCs w:val="22"/>
        </w:rPr>
        <w:t xml:space="preserve">, </w:t>
      </w:r>
      <w:r>
        <w:rPr>
          <w:rFonts w:ascii="Palatino Linotype" w:eastAsia="Palatino Linotype" w:hAnsi="Palatino Linotype" w:cs="Palatino Linotype"/>
          <w:sz w:val="22"/>
          <w:szCs w:val="22"/>
        </w:rPr>
        <w:t xml:space="preserve">por resultar </w:t>
      </w:r>
      <w:r>
        <w:rPr>
          <w:rFonts w:ascii="Palatino Linotype" w:eastAsia="Palatino Linotype" w:hAnsi="Palatino Linotype" w:cs="Palatino Linotype"/>
          <w:b/>
          <w:sz w:val="22"/>
          <w:szCs w:val="22"/>
        </w:rPr>
        <w:t>INFUNDADAS</w:t>
      </w:r>
      <w:r>
        <w:rPr>
          <w:rFonts w:ascii="Palatino Linotype" w:eastAsia="Palatino Linotype" w:hAnsi="Palatino Linotype" w:cs="Palatino Linotype"/>
          <w:sz w:val="22"/>
          <w:szCs w:val="22"/>
        </w:rPr>
        <w:t xml:space="preserve"> las razones o motivos de inconformidad hechas valer por el Recurrente, en términos de los Considerandos QUINTO y SEXTO de esta Resolución.</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 xml:space="preserve">SEGUNDO. NOTIFÍQUESE POR SAIMEX </w:t>
      </w:r>
      <w:r>
        <w:rPr>
          <w:rFonts w:ascii="Palatino Linotype" w:eastAsia="Palatino Linotype" w:hAnsi="Palatino Linotype" w:cs="Palatino Linotype"/>
          <w:sz w:val="22"/>
          <w:szCs w:val="22"/>
        </w:rPr>
        <w:t>la presente resolución al Titular de la Unidad de Transparencia del Sujeto Obligado.</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 NOTIFÍQUESE POR SAIMEX</w:t>
      </w:r>
      <w:r>
        <w:rPr>
          <w:rFonts w:ascii="Palatino Linotype" w:eastAsia="Palatino Linotype" w:hAnsi="Palatino Linotype" w:cs="Palatino Linotype"/>
          <w:sz w:val="22"/>
          <w:szCs w:val="22"/>
        </w:rPr>
        <w:t xml:space="preserve"> a la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911795" w:rsidRDefault="00911795">
      <w:pPr>
        <w:spacing w:line="360" w:lineRule="auto"/>
        <w:jc w:val="both"/>
        <w:rPr>
          <w:rFonts w:ascii="Palatino Linotype" w:eastAsia="Palatino Linotype" w:hAnsi="Palatino Linotype" w:cs="Palatino Linotype"/>
          <w:sz w:val="22"/>
          <w:szCs w:val="22"/>
        </w:rPr>
      </w:pPr>
    </w:p>
    <w:p w:rsidR="00911795" w:rsidRDefault="0080029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sidRPr="002310D3">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w:t>
      </w:r>
      <w:r w:rsidR="002310D3">
        <w:rPr>
          <w:rFonts w:ascii="Palatino Linotype" w:eastAsia="Palatino Linotype" w:hAnsi="Palatino Linotype" w:cs="Palatino Linotype"/>
          <w:sz w:val="22"/>
          <w:szCs w:val="22"/>
        </w:rPr>
        <w:t>ARIA, CELEBRADA EL VEINTI</w:t>
      </w:r>
      <w:r>
        <w:rPr>
          <w:rFonts w:ascii="Palatino Linotype" w:eastAsia="Palatino Linotype" w:hAnsi="Palatino Linotype" w:cs="Palatino Linotype"/>
          <w:sz w:val="22"/>
          <w:szCs w:val="22"/>
        </w:rPr>
        <w:t>DÓS DE ENERO DE DOS MIL VEINTICINCO, ANTE EL SECRETARIO TÉCNICO DEL PLENO, ALEXIS TAPIA RAMÍREZ.</w:t>
      </w:r>
    </w:p>
    <w:p w:rsidR="00911795" w:rsidRDefault="00911795">
      <w:pPr>
        <w:spacing w:line="360" w:lineRule="auto"/>
        <w:jc w:val="both"/>
        <w:rPr>
          <w:rFonts w:ascii="Palatino Linotype" w:eastAsia="Palatino Linotype" w:hAnsi="Palatino Linotype" w:cs="Palatino Linotype"/>
          <w:sz w:val="22"/>
          <w:szCs w:val="22"/>
        </w:rPr>
      </w:pPr>
    </w:p>
    <w:p w:rsidR="00911795" w:rsidRDefault="00911795">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p w:rsidR="002310D3" w:rsidRDefault="002310D3">
      <w:pPr>
        <w:spacing w:line="360" w:lineRule="auto"/>
        <w:jc w:val="both"/>
        <w:rPr>
          <w:rFonts w:ascii="Palatino Linotype" w:eastAsia="Palatino Linotype" w:hAnsi="Palatino Linotype" w:cs="Palatino Linotype"/>
          <w:sz w:val="22"/>
          <w:szCs w:val="22"/>
        </w:rPr>
      </w:pPr>
    </w:p>
    <w:sectPr w:rsidR="002310D3">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E2E" w:rsidRDefault="00300E2E">
      <w:r>
        <w:separator/>
      </w:r>
    </w:p>
  </w:endnote>
  <w:endnote w:type="continuationSeparator" w:id="0">
    <w:p w:rsidR="00300E2E" w:rsidRDefault="0030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95" w:rsidRDefault="00800295">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333F87">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p>
  <w:p w:rsidR="00911795" w:rsidRDefault="0091179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95" w:rsidRDefault="00800295">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9924A1">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9924A1">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p>
  <w:p w:rsidR="00911795" w:rsidRDefault="00911795">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95" w:rsidRDefault="0080029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300E2E">
      <w:rPr>
        <w:rFonts w:ascii="Palatino Linotype" w:eastAsia="Palatino Linotype" w:hAnsi="Palatino Linotype" w:cs="Palatino Linotype"/>
        <w:b/>
        <w:noProof/>
        <w:color w:val="000000"/>
        <w:sz w:val="22"/>
        <w:szCs w:val="22"/>
      </w:rPr>
      <w:t>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300E2E">
      <w:rPr>
        <w:rFonts w:ascii="Palatino Linotype" w:eastAsia="Palatino Linotype" w:hAnsi="Palatino Linotype" w:cs="Palatino Linotype"/>
        <w:b/>
        <w:noProof/>
        <w:color w:val="000000"/>
        <w:sz w:val="22"/>
        <w:szCs w:val="22"/>
      </w:rPr>
      <w:t>1</w:t>
    </w:r>
    <w:r>
      <w:rPr>
        <w:rFonts w:ascii="Palatino Linotype" w:eastAsia="Palatino Linotype" w:hAnsi="Palatino Linotype" w:cs="Palatino Linotype"/>
        <w:b/>
        <w:color w:val="000000"/>
        <w:sz w:val="22"/>
        <w:szCs w:val="22"/>
      </w:rPr>
      <w:fldChar w:fldCharType="end"/>
    </w:r>
  </w:p>
  <w:p w:rsidR="00911795" w:rsidRDefault="0091179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E2E" w:rsidRDefault="00300E2E">
      <w:r>
        <w:separator/>
      </w:r>
    </w:p>
  </w:footnote>
  <w:footnote w:type="continuationSeparator" w:id="0">
    <w:p w:rsidR="00300E2E" w:rsidRDefault="00300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95" w:rsidRDefault="00911795">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bl>
    <w:tblPr>
      <w:tblStyle w:val="a"/>
      <w:tblW w:w="9705" w:type="dxa"/>
      <w:tblInd w:w="0" w:type="dxa"/>
      <w:tblLayout w:type="fixed"/>
      <w:tblLook w:val="0400" w:firstRow="0" w:lastRow="0" w:firstColumn="0" w:lastColumn="0" w:noHBand="0" w:noVBand="1"/>
    </w:tblPr>
    <w:tblGrid>
      <w:gridCol w:w="2972"/>
      <w:gridCol w:w="6733"/>
    </w:tblGrid>
    <w:tr w:rsidR="00911795">
      <w:trPr>
        <w:trHeight w:val="1435"/>
      </w:trPr>
      <w:tc>
        <w:tcPr>
          <w:tcW w:w="0" w:type="auto"/>
        </w:tcPr>
        <w:p w:rsidR="00911795" w:rsidRDefault="00911795">
          <w:pPr>
            <w:tabs>
              <w:tab w:val="right" w:pos="4273"/>
            </w:tabs>
            <w:spacing w:line="256" w:lineRule="auto"/>
            <w:rPr>
              <w:rFonts w:ascii="Garamond" w:eastAsia="Garamond" w:hAnsi="Garamond" w:cs="Garamond"/>
              <w:sz w:val="22"/>
              <w:szCs w:val="22"/>
            </w:rPr>
          </w:pPr>
        </w:p>
      </w:tc>
      <w:tc>
        <w:tcPr>
          <w:tcW w:w="0" w:type="auto"/>
        </w:tcPr>
        <w:p w:rsidR="00911795" w:rsidRDefault="00911795">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0"/>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447"/>
            <w:gridCol w:w="3088"/>
          </w:tblGrid>
          <w:tr w:rsidR="00911795">
            <w:trPr>
              <w:trHeight w:val="144"/>
            </w:trPr>
            <w:tc>
              <w:tcPr>
                <w:tcW w:w="0" w:type="auto"/>
              </w:tcPr>
              <w:p w:rsidR="00911795" w:rsidRDefault="00800295">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0" w:type="auto"/>
              </w:tcPr>
              <w:p w:rsidR="00911795" w:rsidRDefault="0080029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02946/INFOEM/IP/RR/2021</w:t>
                </w:r>
              </w:p>
            </w:tc>
          </w:tr>
          <w:tr w:rsidR="00911795">
            <w:trPr>
              <w:trHeight w:val="283"/>
            </w:trPr>
            <w:tc>
              <w:tcPr>
                <w:tcW w:w="0" w:type="auto"/>
              </w:tcPr>
              <w:p w:rsidR="00911795" w:rsidRDefault="0080029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0" w:type="auto"/>
              </w:tcPr>
              <w:p w:rsidR="00911795" w:rsidRDefault="00800295">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San Antonio la Isla</w:t>
                </w:r>
              </w:p>
            </w:tc>
          </w:tr>
          <w:tr w:rsidR="00911795">
            <w:trPr>
              <w:trHeight w:val="283"/>
            </w:trPr>
            <w:tc>
              <w:tcPr>
                <w:tcW w:w="0" w:type="auto"/>
              </w:tcPr>
              <w:p w:rsidR="00911795" w:rsidRDefault="0080029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0" w:type="auto"/>
              </w:tcPr>
              <w:p w:rsidR="00911795" w:rsidRDefault="0080029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911795" w:rsidRDefault="00911795">
                <w:pPr>
                  <w:tabs>
                    <w:tab w:val="right" w:pos="8838"/>
                  </w:tabs>
                  <w:ind w:left="-74" w:right="-105"/>
                  <w:jc w:val="both"/>
                  <w:rPr>
                    <w:rFonts w:ascii="Palatino Linotype" w:eastAsia="Palatino Linotype" w:hAnsi="Palatino Linotype" w:cs="Palatino Linotype"/>
                    <w:b/>
                    <w:sz w:val="22"/>
                    <w:szCs w:val="22"/>
                  </w:rPr>
                </w:pPr>
              </w:p>
            </w:tc>
          </w:tr>
        </w:tbl>
        <w:p w:rsidR="00911795" w:rsidRDefault="00911795">
          <w:pPr>
            <w:tabs>
              <w:tab w:val="right" w:pos="8838"/>
            </w:tabs>
            <w:spacing w:line="256" w:lineRule="auto"/>
            <w:ind w:left="-28"/>
            <w:jc w:val="both"/>
            <w:rPr>
              <w:rFonts w:ascii="Arial" w:eastAsia="Arial" w:hAnsi="Arial" w:cs="Arial"/>
              <w:b/>
              <w:sz w:val="22"/>
              <w:szCs w:val="22"/>
            </w:rPr>
          </w:pPr>
        </w:p>
      </w:tc>
    </w:tr>
  </w:tbl>
  <w:p w:rsidR="00911795" w:rsidRDefault="00800295">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7728" behindDoc="1" locked="0" layoutInCell="1" hidden="0" allowOverlap="1">
          <wp:simplePos x="0" y="0"/>
          <wp:positionH relativeFrom="margin">
            <wp:posOffset>-1381124</wp:posOffset>
          </wp:positionH>
          <wp:positionV relativeFrom="margin">
            <wp:posOffset>-1611629</wp:posOffset>
          </wp:positionV>
          <wp:extent cx="5612130" cy="730821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95" w:rsidRDefault="00911795">
    <w:pPr>
      <w:widowControl w:val="0"/>
      <w:pBdr>
        <w:top w:val="nil"/>
        <w:left w:val="nil"/>
        <w:bottom w:val="nil"/>
        <w:right w:val="nil"/>
        <w:between w:val="nil"/>
      </w:pBdr>
      <w:spacing w:line="276" w:lineRule="auto"/>
      <w:rPr>
        <w:color w:val="000000"/>
      </w:rPr>
    </w:pPr>
  </w:p>
  <w:tbl>
    <w:tblPr>
      <w:tblStyle w:val="a1"/>
      <w:tblW w:w="9705" w:type="dxa"/>
      <w:tblInd w:w="0" w:type="dxa"/>
      <w:tblLayout w:type="fixed"/>
      <w:tblLook w:val="0400" w:firstRow="0" w:lastRow="0" w:firstColumn="0" w:lastColumn="0" w:noHBand="0" w:noVBand="1"/>
    </w:tblPr>
    <w:tblGrid>
      <w:gridCol w:w="2972"/>
      <w:gridCol w:w="6733"/>
    </w:tblGrid>
    <w:tr w:rsidR="00911795">
      <w:trPr>
        <w:trHeight w:val="1435"/>
      </w:trPr>
      <w:tc>
        <w:tcPr>
          <w:tcW w:w="2972" w:type="dxa"/>
        </w:tcPr>
        <w:p w:rsidR="00911795" w:rsidRDefault="00911795">
          <w:pPr>
            <w:tabs>
              <w:tab w:val="right" w:pos="4273"/>
            </w:tabs>
            <w:spacing w:line="256" w:lineRule="auto"/>
            <w:rPr>
              <w:rFonts w:ascii="Garamond" w:eastAsia="Garamond" w:hAnsi="Garamond" w:cs="Garamond"/>
              <w:sz w:val="22"/>
              <w:szCs w:val="22"/>
            </w:rPr>
          </w:pPr>
        </w:p>
      </w:tc>
      <w:tc>
        <w:tcPr>
          <w:tcW w:w="6733" w:type="dxa"/>
        </w:tcPr>
        <w:p w:rsidR="00911795" w:rsidRDefault="00911795">
          <w:pPr>
            <w:rPr>
              <w:sz w:val="28"/>
              <w:szCs w:val="28"/>
            </w:rPr>
          </w:pPr>
        </w:p>
        <w:tbl>
          <w:tblPr>
            <w:tblStyle w:val="a2"/>
            <w:tblW w:w="5670" w:type="dxa"/>
            <w:tblInd w:w="37" w:type="dxa"/>
            <w:tblBorders>
              <w:top w:val="nil"/>
              <w:left w:val="nil"/>
              <w:bottom w:val="nil"/>
              <w:right w:val="nil"/>
              <w:insideH w:val="nil"/>
              <w:insideV w:val="nil"/>
            </w:tblBorders>
            <w:tblLayout w:type="fixed"/>
            <w:tblLook w:val="0400" w:firstRow="0" w:lastRow="0" w:firstColumn="0" w:lastColumn="0" w:noHBand="0" w:noVBand="1"/>
          </w:tblPr>
          <w:tblGrid>
            <w:gridCol w:w="2419"/>
            <w:gridCol w:w="3251"/>
          </w:tblGrid>
          <w:tr w:rsidR="00911795">
            <w:trPr>
              <w:trHeight w:val="168"/>
            </w:trPr>
            <w:tc>
              <w:tcPr>
                <w:tcW w:w="2419" w:type="dxa"/>
              </w:tcPr>
              <w:p w:rsidR="00911795" w:rsidRDefault="00800295">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51" w:type="dxa"/>
              </w:tcPr>
              <w:p w:rsidR="00911795" w:rsidRDefault="0080029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07636/INFOEM/IP/RR/2024</w:t>
                </w:r>
              </w:p>
            </w:tc>
          </w:tr>
          <w:tr w:rsidR="00911795">
            <w:trPr>
              <w:trHeight w:val="331"/>
            </w:trPr>
            <w:tc>
              <w:tcPr>
                <w:tcW w:w="2419" w:type="dxa"/>
              </w:tcPr>
              <w:p w:rsidR="00911795" w:rsidRDefault="0080029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51" w:type="dxa"/>
              </w:tcPr>
              <w:p w:rsidR="00911795" w:rsidRDefault="00800295">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Mexicaltzingo</w:t>
                </w:r>
              </w:p>
            </w:tc>
          </w:tr>
          <w:tr w:rsidR="00911795">
            <w:trPr>
              <w:trHeight w:val="331"/>
            </w:trPr>
            <w:tc>
              <w:tcPr>
                <w:tcW w:w="2419" w:type="dxa"/>
              </w:tcPr>
              <w:p w:rsidR="00911795" w:rsidRDefault="0080029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251" w:type="dxa"/>
              </w:tcPr>
              <w:p w:rsidR="00911795" w:rsidRDefault="0080029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911795" w:rsidRDefault="00911795">
          <w:pPr>
            <w:tabs>
              <w:tab w:val="right" w:pos="8838"/>
            </w:tabs>
            <w:spacing w:line="256" w:lineRule="auto"/>
            <w:ind w:left="-28"/>
            <w:jc w:val="both"/>
            <w:rPr>
              <w:rFonts w:ascii="Arial" w:eastAsia="Arial" w:hAnsi="Arial" w:cs="Arial"/>
              <w:b/>
              <w:sz w:val="22"/>
              <w:szCs w:val="22"/>
            </w:rPr>
          </w:pPr>
        </w:p>
      </w:tc>
    </w:tr>
  </w:tbl>
  <w:p w:rsidR="00911795" w:rsidRDefault="00800295">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6704" behindDoc="1" locked="0" layoutInCell="1" hidden="0" allowOverlap="1">
          <wp:simplePos x="0" y="0"/>
          <wp:positionH relativeFrom="page">
            <wp:align>right</wp:align>
          </wp:positionH>
          <wp:positionV relativeFrom="margin">
            <wp:posOffset>-1503044</wp:posOffset>
          </wp:positionV>
          <wp:extent cx="7835900" cy="1020381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95" w:rsidRDefault="00911795">
    <w:pPr>
      <w:widowControl w:val="0"/>
      <w:pBdr>
        <w:top w:val="nil"/>
        <w:left w:val="nil"/>
        <w:bottom w:val="nil"/>
        <w:right w:val="nil"/>
        <w:between w:val="nil"/>
      </w:pBdr>
      <w:spacing w:line="276" w:lineRule="auto"/>
      <w:rPr>
        <w:color w:val="000000"/>
      </w:rPr>
    </w:pPr>
  </w:p>
  <w:tbl>
    <w:tblPr>
      <w:tblStyle w:val="a3"/>
      <w:tblW w:w="9214" w:type="dxa"/>
      <w:tblInd w:w="0" w:type="dxa"/>
      <w:tblLayout w:type="fixed"/>
      <w:tblLook w:val="0400" w:firstRow="0" w:lastRow="0" w:firstColumn="0" w:lastColumn="0" w:noHBand="0" w:noVBand="1"/>
    </w:tblPr>
    <w:tblGrid>
      <w:gridCol w:w="2552"/>
      <w:gridCol w:w="6662"/>
    </w:tblGrid>
    <w:tr w:rsidR="00911795">
      <w:trPr>
        <w:trHeight w:val="1435"/>
      </w:trPr>
      <w:tc>
        <w:tcPr>
          <w:tcW w:w="2552" w:type="dxa"/>
        </w:tcPr>
        <w:p w:rsidR="00911795" w:rsidRDefault="00911795">
          <w:pPr>
            <w:tabs>
              <w:tab w:val="right" w:pos="4273"/>
            </w:tabs>
            <w:spacing w:line="256" w:lineRule="auto"/>
            <w:rPr>
              <w:rFonts w:ascii="Garamond" w:eastAsia="Garamond" w:hAnsi="Garamond" w:cs="Garamond"/>
              <w:sz w:val="22"/>
              <w:szCs w:val="22"/>
            </w:rPr>
          </w:pPr>
        </w:p>
      </w:tc>
      <w:tc>
        <w:tcPr>
          <w:tcW w:w="6662" w:type="dxa"/>
        </w:tcPr>
        <w:p w:rsidR="00911795" w:rsidRDefault="00911795"/>
        <w:tbl>
          <w:tblPr>
            <w:tblStyle w:val="a4"/>
            <w:tblW w:w="6095" w:type="dxa"/>
            <w:tblInd w:w="464" w:type="dxa"/>
            <w:tblBorders>
              <w:top w:val="nil"/>
              <w:left w:val="nil"/>
              <w:bottom w:val="nil"/>
              <w:right w:val="nil"/>
              <w:insideH w:val="nil"/>
              <w:insideV w:val="nil"/>
            </w:tblBorders>
            <w:tblLayout w:type="fixed"/>
            <w:tblLook w:val="0400" w:firstRow="0" w:lastRow="0" w:firstColumn="0" w:lastColumn="0" w:noHBand="0" w:noVBand="1"/>
          </w:tblPr>
          <w:tblGrid>
            <w:gridCol w:w="2447"/>
            <w:gridCol w:w="3648"/>
          </w:tblGrid>
          <w:tr w:rsidR="00911795">
            <w:trPr>
              <w:trHeight w:val="144"/>
            </w:trPr>
            <w:tc>
              <w:tcPr>
                <w:tcW w:w="2447" w:type="dxa"/>
              </w:tcPr>
              <w:p w:rsidR="00911795" w:rsidRDefault="00800295">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49" w:type="dxa"/>
              </w:tcPr>
              <w:p w:rsidR="00911795" w:rsidRDefault="0080029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07636/INFOEM/IP/RR/2024</w:t>
                </w:r>
              </w:p>
            </w:tc>
          </w:tr>
          <w:tr w:rsidR="00911795">
            <w:trPr>
              <w:trHeight w:val="144"/>
            </w:trPr>
            <w:tc>
              <w:tcPr>
                <w:tcW w:w="2447" w:type="dxa"/>
              </w:tcPr>
              <w:p w:rsidR="00911795" w:rsidRDefault="0080029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49" w:type="dxa"/>
              </w:tcPr>
              <w:p w:rsidR="00911795" w:rsidRDefault="00A245A4">
                <w:pPr>
                  <w:tabs>
                    <w:tab w:val="left" w:pos="3122"/>
                    <w:tab w:val="right" w:pos="8838"/>
                  </w:tabs>
                  <w:ind w:left="-74" w:right="-105"/>
                  <w:jc w:val="both"/>
                  <w:rPr>
                    <w:rFonts w:ascii="Palatino Linotype" w:eastAsia="Palatino Linotype" w:hAnsi="Palatino Linotype" w:cs="Palatino Linotype"/>
                    <w:sz w:val="22"/>
                    <w:szCs w:val="22"/>
                  </w:rPr>
                </w:pPr>
                <w:r w:rsidRPr="00A245A4">
                  <w:rPr>
                    <w:rFonts w:ascii="Palatino Linotype" w:eastAsia="Palatino Linotype" w:hAnsi="Palatino Linotype" w:cs="Palatino Linotype"/>
                    <w:sz w:val="22"/>
                    <w:szCs w:val="22"/>
                    <w:highlight w:val="black"/>
                  </w:rPr>
                  <w:t>XXXXXXXXXXXXXXXXXXXX</w:t>
                </w:r>
              </w:p>
            </w:tc>
          </w:tr>
          <w:tr w:rsidR="00911795">
            <w:trPr>
              <w:trHeight w:val="283"/>
            </w:trPr>
            <w:tc>
              <w:tcPr>
                <w:tcW w:w="2447" w:type="dxa"/>
              </w:tcPr>
              <w:p w:rsidR="00911795" w:rsidRDefault="0080029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49" w:type="dxa"/>
              </w:tcPr>
              <w:p w:rsidR="00911795" w:rsidRDefault="00800295">
                <w:pPr>
                  <w:tabs>
                    <w:tab w:val="left" w:pos="2973"/>
                    <w:tab w:val="right" w:pos="8838"/>
                  </w:tabs>
                  <w:ind w:left="-74" w:right="31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Mexicaltzingo</w:t>
                </w:r>
              </w:p>
            </w:tc>
          </w:tr>
          <w:tr w:rsidR="00911795">
            <w:trPr>
              <w:trHeight w:val="283"/>
            </w:trPr>
            <w:tc>
              <w:tcPr>
                <w:tcW w:w="2447" w:type="dxa"/>
              </w:tcPr>
              <w:p w:rsidR="00911795" w:rsidRDefault="0080029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49" w:type="dxa"/>
              </w:tcPr>
              <w:p w:rsidR="00911795" w:rsidRDefault="0080029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911795" w:rsidRDefault="00911795">
                <w:pPr>
                  <w:tabs>
                    <w:tab w:val="right" w:pos="8838"/>
                  </w:tabs>
                  <w:ind w:left="-74" w:right="-105"/>
                  <w:jc w:val="both"/>
                  <w:rPr>
                    <w:rFonts w:ascii="Palatino Linotype" w:eastAsia="Palatino Linotype" w:hAnsi="Palatino Linotype" w:cs="Palatino Linotype"/>
                    <w:b/>
                    <w:sz w:val="22"/>
                    <w:szCs w:val="22"/>
                  </w:rPr>
                </w:pPr>
              </w:p>
            </w:tc>
          </w:tr>
        </w:tbl>
        <w:p w:rsidR="00911795" w:rsidRDefault="00911795">
          <w:pPr>
            <w:tabs>
              <w:tab w:val="right" w:pos="8838"/>
            </w:tabs>
            <w:spacing w:line="256" w:lineRule="auto"/>
            <w:ind w:left="-28"/>
            <w:jc w:val="both"/>
            <w:rPr>
              <w:rFonts w:ascii="Arial" w:eastAsia="Arial" w:hAnsi="Arial" w:cs="Arial"/>
              <w:b/>
              <w:sz w:val="22"/>
              <w:szCs w:val="22"/>
            </w:rPr>
          </w:pPr>
        </w:p>
      </w:tc>
    </w:tr>
  </w:tbl>
  <w:p w:rsidR="00911795" w:rsidRDefault="00300E2E">
    <w:pPr>
      <w:pBdr>
        <w:top w:val="nil"/>
        <w:left w:val="nil"/>
        <w:bottom w:val="nil"/>
        <w:right w:val="nil"/>
        <w:between w:val="nil"/>
      </w:pBdr>
      <w:tabs>
        <w:tab w:val="center" w:pos="4419"/>
        <w:tab w:val="right" w:pos="8838"/>
      </w:tabs>
      <w:rPr>
        <w:color w:val="000000"/>
      </w:rPr>
    </w:pPr>
    <w:r>
      <w:rPr>
        <w:rFonts w:ascii="Garamond" w:eastAsia="Garamond" w:hAnsi="Garamond" w:cs="Garamond"/>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06.5pt;margin-top:-136.35pt;width:663.5pt;height:12in;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33E72"/>
    <w:multiLevelType w:val="multilevel"/>
    <w:tmpl w:val="9780AB8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95"/>
    <w:rsid w:val="00084A41"/>
    <w:rsid w:val="002310D3"/>
    <w:rsid w:val="00300E2E"/>
    <w:rsid w:val="00333F87"/>
    <w:rsid w:val="00727231"/>
    <w:rsid w:val="00800295"/>
    <w:rsid w:val="00911795"/>
    <w:rsid w:val="009924A1"/>
    <w:rsid w:val="00A24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2E75B3-01A7-4EF7-BC40-993B931B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92"/>
    <w:rPr>
      <w:lang w:eastAsia="es-ES"/>
    </w:rPr>
  </w:style>
  <w:style w:type="paragraph" w:styleId="Ttulo1">
    <w:name w:val="heading 1"/>
    <w:basedOn w:val="Normal"/>
    <w:next w:val="Normal"/>
    <w:link w:val="Ttulo1Car"/>
    <w:uiPriority w:val="9"/>
    <w:qFormat/>
    <w:rsid w:val="005E4F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E4F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aliases w:val="Hipervínculo1,Hipervínculo11,Hipervínculo12,Hipervínculo13,Hipervínculo14,Hipervínculo15"/>
    <w:basedOn w:val="Fuentedeprrafopredeter"/>
    <w:uiPriority w:val="99"/>
    <w:unhideWhenUsed/>
    <w:qFormat/>
    <w:rsid w:val="00836192"/>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836192"/>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6192"/>
    <w:pPr>
      <w:ind w:left="720"/>
      <w:contextualSpacing/>
    </w:pPr>
    <w:rPr>
      <w:rFonts w:ascii="Century Gothic" w:hAnsi="Century Gothic"/>
      <w:sz w:val="22"/>
      <w:szCs w:val="24"/>
    </w:rPr>
  </w:style>
  <w:style w:type="table" w:styleId="Tablaconcuadrcula">
    <w:name w:val="Table Grid"/>
    <w:basedOn w:val="Tablanormal"/>
    <w:uiPriority w:val="39"/>
    <w:rsid w:val="00836192"/>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6192"/>
    <w:pPr>
      <w:tabs>
        <w:tab w:val="center" w:pos="4419"/>
        <w:tab w:val="right" w:pos="8838"/>
      </w:tabs>
    </w:pPr>
  </w:style>
  <w:style w:type="character" w:customStyle="1" w:styleId="EncabezadoCar">
    <w:name w:val="Encabezado Car"/>
    <w:basedOn w:val="Fuentedeprrafopredeter"/>
    <w:link w:val="Encabezado"/>
    <w:uiPriority w:val="99"/>
    <w:rsid w:val="0083619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836192"/>
    <w:pPr>
      <w:tabs>
        <w:tab w:val="center" w:pos="4419"/>
        <w:tab w:val="right" w:pos="8838"/>
      </w:tabs>
    </w:pPr>
  </w:style>
  <w:style w:type="character" w:customStyle="1" w:styleId="PiedepginaCar">
    <w:name w:val="Pie de página Car"/>
    <w:basedOn w:val="Fuentedeprrafopredeter"/>
    <w:link w:val="Piedepgina"/>
    <w:uiPriority w:val="99"/>
    <w:rsid w:val="00836192"/>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836192"/>
    <w:pPr>
      <w:spacing w:after="160" w:line="259" w:lineRule="auto"/>
      <w:jc w:val="both"/>
    </w:pPr>
    <w:rPr>
      <w:rFonts w:eastAsiaTheme="minorHAnsi"/>
      <w:color w:val="000000" w:themeColor="text1"/>
      <w:sz w:val="24"/>
      <w:szCs w:val="24"/>
      <w:lang w:eastAsia="en-US"/>
    </w:rPr>
  </w:style>
  <w:style w:type="character" w:styleId="Hipervnculovisitado">
    <w:name w:val="FollowedHyperlink"/>
    <w:basedOn w:val="Fuentedeprrafopredeter"/>
    <w:uiPriority w:val="99"/>
    <w:semiHidden/>
    <w:unhideWhenUsed/>
    <w:rsid w:val="00504814"/>
    <w:rPr>
      <w:color w:val="954F72" w:themeColor="followedHyperlink"/>
      <w:u w:val="single"/>
    </w:rPr>
  </w:style>
  <w:style w:type="character" w:customStyle="1" w:styleId="Mencinsinresolver1">
    <w:name w:val="Mención sin resolver1"/>
    <w:basedOn w:val="Fuentedeprrafopredeter"/>
    <w:uiPriority w:val="99"/>
    <w:semiHidden/>
    <w:unhideWhenUsed/>
    <w:rsid w:val="00410D13"/>
    <w:rPr>
      <w:color w:val="605E5C"/>
      <w:shd w:val="clear" w:color="auto" w:fill="E1DFDD"/>
    </w:rPr>
  </w:style>
  <w:style w:type="character" w:customStyle="1" w:styleId="UnresolvedMention">
    <w:name w:val="Unresolved Mention"/>
    <w:basedOn w:val="Fuentedeprrafopredeter"/>
    <w:uiPriority w:val="99"/>
    <w:semiHidden/>
    <w:unhideWhenUsed/>
    <w:rsid w:val="00F12928"/>
    <w:rPr>
      <w:color w:val="605E5C"/>
      <w:shd w:val="clear" w:color="auto" w:fill="E1DFDD"/>
    </w:rPr>
  </w:style>
  <w:style w:type="character" w:customStyle="1" w:styleId="Ttulo1Car">
    <w:name w:val="Título 1 Car"/>
    <w:basedOn w:val="Fuentedeprrafopredeter"/>
    <w:link w:val="Ttulo1"/>
    <w:uiPriority w:val="9"/>
    <w:rsid w:val="005E4FEF"/>
    <w:rPr>
      <w:rFonts w:asciiTheme="majorHAnsi" w:eastAsiaTheme="majorEastAsia" w:hAnsiTheme="majorHAnsi" w:cstheme="majorBidi"/>
      <w:color w:val="2F5496" w:themeColor="accent1" w:themeShade="BF"/>
      <w:sz w:val="32"/>
      <w:szCs w:val="32"/>
      <w:lang w:eastAsia="es-ES"/>
    </w:rPr>
  </w:style>
  <w:style w:type="paragraph" w:styleId="TtulodeTDC">
    <w:name w:val="TOC Heading"/>
    <w:basedOn w:val="Ttulo1"/>
    <w:next w:val="Normal"/>
    <w:uiPriority w:val="39"/>
    <w:unhideWhenUsed/>
    <w:qFormat/>
    <w:rsid w:val="005E4FEF"/>
    <w:pPr>
      <w:spacing w:line="259" w:lineRule="auto"/>
      <w:outlineLvl w:val="9"/>
    </w:pPr>
    <w:rPr>
      <w:lang w:eastAsia="es-MX"/>
    </w:rPr>
  </w:style>
  <w:style w:type="paragraph" w:styleId="TDC1">
    <w:name w:val="toc 1"/>
    <w:basedOn w:val="Normal"/>
    <w:next w:val="Normal"/>
    <w:autoRedefine/>
    <w:uiPriority w:val="39"/>
    <w:unhideWhenUsed/>
    <w:rsid w:val="003F59ED"/>
    <w:pPr>
      <w:tabs>
        <w:tab w:val="right" w:leader="dot" w:pos="8828"/>
      </w:tabs>
      <w:spacing w:after="100" w:line="360" w:lineRule="auto"/>
    </w:pPr>
  </w:style>
  <w:style w:type="character" w:customStyle="1" w:styleId="Ttulo2Car">
    <w:name w:val="Título 2 Car"/>
    <w:basedOn w:val="Fuentedeprrafopredeter"/>
    <w:link w:val="Ttulo2"/>
    <w:uiPriority w:val="9"/>
    <w:rsid w:val="005E4FEF"/>
    <w:rPr>
      <w:rFonts w:asciiTheme="majorHAnsi" w:eastAsiaTheme="majorEastAsia" w:hAnsiTheme="majorHAnsi" w:cstheme="majorBidi"/>
      <w:color w:val="2F5496" w:themeColor="accent1" w:themeShade="BF"/>
      <w:sz w:val="26"/>
      <w:szCs w:val="26"/>
      <w:lang w:eastAsia="es-ES"/>
    </w:rPr>
  </w:style>
  <w:style w:type="paragraph" w:styleId="TDC2">
    <w:name w:val="toc 2"/>
    <w:basedOn w:val="Normal"/>
    <w:next w:val="Normal"/>
    <w:autoRedefine/>
    <w:uiPriority w:val="39"/>
    <w:unhideWhenUsed/>
    <w:rsid w:val="005E4FEF"/>
    <w:pPr>
      <w:spacing w:after="100"/>
      <w:ind w:left="20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ndh.org.mx/derechos-humanos/que-son-los-derechos-humano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t/g/oVCzsZHMVwhc13LvixADw==">CgMxLjAyCGguZ2pkZ3hzMgloLjMwajB6bGwyCWguMWZvYjl0ZTIJaC4zem55c2g3MgloLjJldDkycDAyCGgudHlqY3d0MgloLjNkeTZ2a20yCWguMXQzaDVzZjIJaC40ZDM0b2c4MgloLjJzOGV5bzEyCWguMTdkcDh2dTIJaC4zcmRjcmpuMgloLjI2aW4xcmcyCGgubG54Yno5MgloLjM1bmt1bjIyCWguMWtzdjR1djIJaC40NHNpbmlvMgloLjJqeHN4cWg4AHIhMVI5eG4xQlZMTVdlQWkzTDdpYVo3UnF2X2EzaDdnT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4412</Words>
  <Characters>24270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ROX</cp:lastModifiedBy>
  <cp:revision>5</cp:revision>
  <cp:lastPrinted>2025-01-24T16:11:00Z</cp:lastPrinted>
  <dcterms:created xsi:type="dcterms:W3CDTF">2025-01-24T16:10:00Z</dcterms:created>
  <dcterms:modified xsi:type="dcterms:W3CDTF">2025-02-10T15:49:00Z</dcterms:modified>
</cp:coreProperties>
</file>