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585D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rsidR="0047033F" w:rsidRPr="00585D21" w:rsidRDefault="002229FA">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585D21">
        <w:rPr>
          <w:rFonts w:ascii="Palatino Linotype" w:eastAsia="Palatino Linotype" w:hAnsi="Palatino Linotype" w:cs="Palatino Linotype"/>
          <w:b/>
          <w:sz w:val="22"/>
          <w:szCs w:val="22"/>
        </w:rPr>
        <w:t>VISTO</w:t>
      </w:r>
      <w:r w:rsidRPr="00585D21">
        <w:rPr>
          <w:rFonts w:ascii="Palatino Linotype" w:eastAsia="Palatino Linotype" w:hAnsi="Palatino Linotype" w:cs="Palatino Linotype"/>
          <w:sz w:val="22"/>
          <w:szCs w:val="22"/>
        </w:rPr>
        <w:t xml:space="preserve"> el expediente formado con motivo del recurso de revisión </w:t>
      </w:r>
      <w:r w:rsidRPr="00585D21">
        <w:rPr>
          <w:rFonts w:ascii="Palatino Linotype" w:eastAsia="Palatino Linotype" w:hAnsi="Palatino Linotype" w:cs="Palatino Linotype"/>
          <w:b/>
          <w:sz w:val="22"/>
          <w:szCs w:val="22"/>
        </w:rPr>
        <w:t>07384/INFOEM/IP/RR/2025</w:t>
      </w:r>
      <w:r w:rsidRPr="00585D21">
        <w:rPr>
          <w:rFonts w:ascii="Palatino Linotype" w:eastAsia="Palatino Linotype" w:hAnsi="Palatino Linotype" w:cs="Palatino Linotype"/>
          <w:sz w:val="22"/>
          <w:szCs w:val="22"/>
        </w:rPr>
        <w:t>, interpuesto por</w:t>
      </w:r>
      <w:r w:rsidRPr="00585D21">
        <w:rPr>
          <w:rFonts w:ascii="Palatino Linotype" w:eastAsia="Palatino Linotype" w:hAnsi="Palatino Linotype" w:cs="Palatino Linotype"/>
          <w:b/>
          <w:sz w:val="22"/>
          <w:szCs w:val="22"/>
        </w:rPr>
        <w:t xml:space="preserve"> una persona que no proporcionó nombre o seudónimo,</w:t>
      </w:r>
      <w:r w:rsidRPr="00585D21">
        <w:rPr>
          <w:rFonts w:ascii="Palatino Linotype" w:eastAsia="Palatino Linotype" w:hAnsi="Palatino Linotype" w:cs="Palatino Linotype"/>
          <w:sz w:val="22"/>
          <w:szCs w:val="22"/>
        </w:rPr>
        <w:t xml:space="preserve"> en lo sucesivo</w:t>
      </w:r>
      <w:r w:rsidRPr="00585D21">
        <w:rPr>
          <w:rFonts w:ascii="Palatino Linotype" w:eastAsia="Palatino Linotype" w:hAnsi="Palatino Linotype" w:cs="Palatino Linotype"/>
          <w:b/>
          <w:sz w:val="22"/>
          <w:szCs w:val="22"/>
        </w:rPr>
        <w:t xml:space="preserve"> </w:t>
      </w:r>
      <w:r w:rsidRPr="00585D21">
        <w:rPr>
          <w:rFonts w:ascii="Palatino Linotype" w:eastAsia="Palatino Linotype" w:hAnsi="Palatino Linotype" w:cs="Palatino Linotype"/>
          <w:sz w:val="22"/>
          <w:szCs w:val="22"/>
        </w:rPr>
        <w:t xml:space="preserve">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xml:space="preserve"> en contra de la respuesta a la solicitud de información con número de folio</w:t>
      </w:r>
      <w:r w:rsidRPr="00585D21">
        <w:rPr>
          <w:rFonts w:ascii="Palatino Linotype" w:eastAsia="Palatino Linotype" w:hAnsi="Palatino Linotype" w:cs="Palatino Linotype"/>
          <w:b/>
          <w:sz w:val="22"/>
          <w:szCs w:val="22"/>
        </w:rPr>
        <w:t xml:space="preserve"> 02652/TOLUCA/IP/2025, </w:t>
      </w:r>
      <w:r w:rsidRPr="00585D21">
        <w:rPr>
          <w:rFonts w:ascii="Palatino Linotype" w:eastAsia="Palatino Linotype" w:hAnsi="Palatino Linotype" w:cs="Palatino Linotype"/>
          <w:sz w:val="22"/>
          <w:szCs w:val="22"/>
        </w:rPr>
        <w:t xml:space="preserve">por parte del </w:t>
      </w:r>
      <w:r w:rsidRPr="00585D21">
        <w:rPr>
          <w:rFonts w:ascii="Palatino Linotype" w:eastAsia="Palatino Linotype" w:hAnsi="Palatino Linotype" w:cs="Palatino Linotype"/>
          <w:b/>
          <w:sz w:val="22"/>
          <w:szCs w:val="22"/>
        </w:rPr>
        <w:t xml:space="preserve">Ayuntamiento de Toluca, </w:t>
      </w:r>
      <w:r w:rsidRPr="00585D21">
        <w:rPr>
          <w:rFonts w:ascii="Palatino Linotype" w:eastAsia="Palatino Linotype" w:hAnsi="Palatino Linotype" w:cs="Palatino Linotype"/>
          <w:sz w:val="22"/>
          <w:szCs w:val="22"/>
        </w:rPr>
        <w:t xml:space="preserve">en lo sucesivo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 xml:space="preserve">se procede a dictar la presente resolución con base en los siguientes: </w:t>
      </w:r>
    </w:p>
    <w:p w:rsidR="0047033F" w:rsidRPr="00585D21" w:rsidRDefault="002229FA">
      <w:pPr>
        <w:spacing w:before="240" w:after="240" w:line="360" w:lineRule="auto"/>
        <w:jc w:val="center"/>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I. A N T E C E D E N T E 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585D21">
        <w:rPr>
          <w:rFonts w:ascii="Palatino Linotype" w:eastAsia="Palatino Linotype" w:hAnsi="Palatino Linotype" w:cs="Palatino Linotype"/>
          <w:b/>
          <w:sz w:val="22"/>
          <w:szCs w:val="22"/>
        </w:rPr>
        <w:t>1. Solicitud de acceso a la información.</w:t>
      </w:r>
      <w:r w:rsidRPr="00585D21">
        <w:rPr>
          <w:rFonts w:ascii="Palatino Linotype" w:eastAsia="Palatino Linotype" w:hAnsi="Palatino Linotype" w:cs="Palatino Linotype"/>
          <w:sz w:val="22"/>
          <w:szCs w:val="22"/>
        </w:rPr>
        <w:t xml:space="preserve"> El </w:t>
      </w:r>
      <w:r w:rsidRPr="00585D21">
        <w:rPr>
          <w:rFonts w:ascii="Palatino Linotype" w:eastAsia="Palatino Linotype" w:hAnsi="Palatino Linotype" w:cs="Palatino Linotype"/>
          <w:b/>
          <w:sz w:val="22"/>
          <w:szCs w:val="22"/>
        </w:rPr>
        <w:t>siete de mayo de dos mil veinticinco,</w:t>
      </w:r>
      <w:r w:rsidRPr="00585D21">
        <w:rPr>
          <w:rFonts w:ascii="Palatino Linotype" w:eastAsia="Palatino Linotype" w:hAnsi="Palatino Linotype" w:cs="Palatino Linotype"/>
          <w:sz w:val="22"/>
          <w:szCs w:val="22"/>
        </w:rPr>
        <w:t xml:space="preserve"> la parte </w:t>
      </w:r>
      <w:r w:rsidRPr="00585D21">
        <w:rPr>
          <w:rFonts w:ascii="Palatino Linotype" w:eastAsia="Palatino Linotype" w:hAnsi="Palatino Linotype" w:cs="Palatino Linotype"/>
          <w:b/>
          <w:sz w:val="22"/>
          <w:szCs w:val="22"/>
        </w:rPr>
        <w:t xml:space="preserve">Recurrente </w:t>
      </w:r>
      <w:r w:rsidRPr="00585D21">
        <w:rPr>
          <w:rFonts w:ascii="Palatino Linotype" w:eastAsia="Palatino Linotype" w:hAnsi="Palatino Linotype" w:cs="Palatino Linotype"/>
          <w:sz w:val="22"/>
          <w:szCs w:val="22"/>
        </w:rPr>
        <w:t xml:space="preserve">presentó la solicitud de acceso a la información pública ante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a través del Sistema de Acceso a la Información Mexiquense, en lo subsecuente el </w:t>
      </w:r>
      <w:r w:rsidRPr="00585D21">
        <w:rPr>
          <w:rFonts w:ascii="Palatino Linotype" w:eastAsia="Palatino Linotype" w:hAnsi="Palatino Linotype" w:cs="Palatino Linotype"/>
          <w:b/>
          <w:sz w:val="22"/>
          <w:szCs w:val="22"/>
        </w:rPr>
        <w:t>SAIMEX,</w:t>
      </w:r>
      <w:r w:rsidRPr="00585D21">
        <w:rPr>
          <w:rFonts w:ascii="Palatino Linotype" w:eastAsia="Palatino Linotype" w:hAnsi="Palatino Linotype" w:cs="Palatino Linotype"/>
          <w:sz w:val="22"/>
          <w:szCs w:val="22"/>
        </w:rPr>
        <w:t xml:space="preserve"> mediante la cual requirió lo siguiente:</w:t>
      </w:r>
    </w:p>
    <w:p w:rsidR="0047033F" w:rsidRPr="00585D21" w:rsidRDefault="002229FA">
      <w:pPr>
        <w:spacing w:before="120" w:after="120"/>
        <w:ind w:left="851" w:right="902"/>
        <w:jc w:val="both"/>
        <w:rPr>
          <w:rFonts w:ascii="Palatino Linotype" w:eastAsia="Palatino Linotype" w:hAnsi="Palatino Linotype" w:cs="Palatino Linotype"/>
          <w:b/>
          <w:i/>
          <w:sz w:val="22"/>
          <w:szCs w:val="22"/>
        </w:rPr>
      </w:pPr>
      <w:r w:rsidRPr="00585D21">
        <w:rPr>
          <w:rFonts w:ascii="Palatino Linotype" w:eastAsia="Palatino Linotype" w:hAnsi="Palatino Linotype" w:cs="Palatino Linotype"/>
          <w:i/>
          <w:sz w:val="22"/>
          <w:szCs w:val="22"/>
        </w:rPr>
        <w:t xml:space="preserve"> “Del evento del día del niño cuanto se gasto en juguetes, cuantos se entregaron lo mismo para dulce, que actividades se realizaron las facturas y gasto de los juegos inflables, los contratos y costos del evento, el numero de niñas y niños que asistieron su nombre y comunidad.</w:t>
      </w:r>
      <w:r w:rsidRPr="00585D21">
        <w:rPr>
          <w:rFonts w:ascii="Palatino Linotype" w:eastAsia="Palatino Linotype" w:hAnsi="Palatino Linotype" w:cs="Palatino Linotype"/>
          <w:b/>
          <w:i/>
          <w:sz w:val="22"/>
          <w:szCs w:val="22"/>
        </w:rPr>
        <w:t>”</w:t>
      </w:r>
      <w:r w:rsidRPr="00585D21">
        <w:rPr>
          <w:rFonts w:ascii="Palatino Linotype" w:eastAsia="Palatino Linotype" w:hAnsi="Palatino Linotype" w:cs="Palatino Linotype"/>
          <w:i/>
          <w:sz w:val="22"/>
          <w:szCs w:val="22"/>
        </w:rPr>
        <w:t xml:space="preserve"> (sic) </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585D21">
        <w:rPr>
          <w:rFonts w:ascii="Palatino Linotype" w:eastAsia="Palatino Linotype" w:hAnsi="Palatino Linotype" w:cs="Palatino Linotype"/>
          <w:b/>
          <w:sz w:val="22"/>
          <w:szCs w:val="22"/>
        </w:rPr>
        <w:t>Modalidad de Entrega:</w:t>
      </w:r>
      <w:r w:rsidRPr="00585D21">
        <w:rPr>
          <w:rFonts w:ascii="Palatino Linotype" w:eastAsia="Palatino Linotype" w:hAnsi="Palatino Linotype" w:cs="Palatino Linotype"/>
          <w:sz w:val="22"/>
          <w:szCs w:val="22"/>
        </w:rPr>
        <w:t xml:space="preserve"> a través del</w:t>
      </w:r>
      <w:r w:rsidRPr="00585D21">
        <w:rPr>
          <w:rFonts w:ascii="Palatino Linotype" w:eastAsia="Palatino Linotype" w:hAnsi="Palatino Linotype" w:cs="Palatino Linotype"/>
          <w:b/>
          <w:sz w:val="22"/>
          <w:szCs w:val="22"/>
        </w:rPr>
        <w:t xml:space="preserve"> SAIMEX.</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xml:space="preserve">2. Respuesta. </w:t>
      </w:r>
      <w:r w:rsidRPr="00585D21">
        <w:rPr>
          <w:rFonts w:ascii="Palatino Linotype" w:eastAsia="Palatino Linotype" w:hAnsi="Palatino Linotype" w:cs="Palatino Linotype"/>
          <w:sz w:val="22"/>
          <w:szCs w:val="22"/>
        </w:rPr>
        <w:t xml:space="preserve">El </w:t>
      </w:r>
      <w:r w:rsidRPr="00585D21">
        <w:rPr>
          <w:rFonts w:ascii="Palatino Linotype" w:eastAsia="Palatino Linotype" w:hAnsi="Palatino Linotype" w:cs="Palatino Linotype"/>
          <w:b/>
          <w:sz w:val="22"/>
          <w:szCs w:val="22"/>
        </w:rPr>
        <w:t>veintiocho de mayo de dos mil veinticinco,</w:t>
      </w:r>
      <w:r w:rsidRPr="00585D21">
        <w:rPr>
          <w:rFonts w:ascii="Palatino Linotype" w:eastAsia="Palatino Linotype" w:hAnsi="Palatino Linotype" w:cs="Palatino Linotype"/>
          <w:sz w:val="22"/>
          <w:szCs w:val="22"/>
        </w:rPr>
        <w:t xml:space="preserve">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rsidR="0047033F" w:rsidRPr="00585D21" w:rsidRDefault="002229FA">
      <w:pPr>
        <w:spacing w:before="240" w:after="24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atención a la solicitud con folio 02652/TOLUCA/IP/2025, me permito adjuntar al presente la respuesta correspondiente...” (sic)</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lastRenderedPageBreak/>
        <w:t xml:space="preserve">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adjuntó lo siguiente:</w:t>
      </w:r>
    </w:p>
    <w:p w:rsidR="0047033F" w:rsidRPr="00585D21" w:rsidRDefault="002229FA">
      <w:pPr>
        <w:spacing w:before="240" w:after="240" w:line="360" w:lineRule="auto"/>
        <w:ind w:left="142"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Oficio número 2000100000/1651/2025 mediante el cual el Secretario Particular de Presidencia, refirió que derivado de una búsqueda exhaustiva y razonable en los archivos físicos y digitales de la Secretaría Particular, no se encontró información alguna de lo solicitado, por no ser de competencia de dicha oficina.</w:t>
      </w:r>
    </w:p>
    <w:p w:rsidR="0047033F" w:rsidRPr="00585D21" w:rsidRDefault="002229FA">
      <w:pPr>
        <w:spacing w:before="240" w:after="240" w:line="360" w:lineRule="auto"/>
        <w:ind w:left="142"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Oficio número 212010000/0738/2025 mediante el cual la Directora General de Bienestar manifestó que después de haber realizado una búsqueda minuciosa, exhaustiva y razonada en los archivos de esta Dirección General y en el ámbito de las atribuciones conferidas en el artículo 3.46 del Código Reglamentario Municipal de Toluca, así como lo establecido en el Bando Municipal 2025, la Unidad Administrativa a su cargo no cuenta con información relacionada al evento del día del niño, cuánto se gastó en juguetes, cuántos se entregaron, facturas, contratos y costos del evento, ni el número de niñas y niños que asistieron; toda vez que esta dependencia no programó, generó, ni llevó a cabo acciones relativas a la mencionada festividad. Asimismo, refirió que el evento señalado fue llevado a cabo por el Sistema Municipal para el Desarrollo Integral de la Familia de Toluca.</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Escrito mediante el cual el titular de la Unidad de Transparencia hizo del conocimiento de la persona solicitante, con base en la respuesta proporcionada por la Dirección General de Administración que después de haber realizado una búsqueda exhaustiva y razonable en los archivos que obran en la Dirección de Recursos Materiales y sus Departamentos, lo solicitado se encuentra fuera de su competencia, de conformidad con el artículo 3.22 del Código Reglamentario Municipal vigente a la fecha de la solicitud.</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 Oficio número 202010000/01856/2025 mediante el cual el Tesorero Municipal manifestó que los documentos solicitados, forman parte de la integración del segundo informe trimestral de 2025, la cual es normada por los Lineamientos del Órgano Superior de </w:t>
      </w:r>
      <w:r w:rsidRPr="00585D21">
        <w:rPr>
          <w:rFonts w:ascii="Palatino Linotype" w:eastAsia="Palatino Linotype" w:hAnsi="Palatino Linotype" w:cs="Palatino Linotype"/>
          <w:sz w:val="22"/>
          <w:szCs w:val="22"/>
        </w:rPr>
        <w:lastRenderedPageBreak/>
        <w:t>Fiscalización del Estado de México en materia de integración, presentación y envío de los informes trimestrales del ejercicio fiscal 2025, de las entidades fiscalizables del Estado de México; los cuales ya fueron emitidos por el OSFEM el día 01 de abril de 2025.</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xml:space="preserve">3. Interposición del recurso de revisión. </w:t>
      </w:r>
      <w:r w:rsidRPr="00585D21">
        <w:rPr>
          <w:rFonts w:ascii="Palatino Linotype" w:eastAsia="Palatino Linotype" w:hAnsi="Palatino Linotype" w:cs="Palatino Linotype"/>
          <w:sz w:val="22"/>
          <w:szCs w:val="22"/>
        </w:rPr>
        <w:t xml:space="preserve">Inconforme con los términos de la respuesta emitida por parte del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el </w:t>
      </w:r>
      <w:r w:rsidRPr="00585D21">
        <w:rPr>
          <w:rFonts w:ascii="Palatino Linotype" w:eastAsia="Palatino Linotype" w:hAnsi="Palatino Linotype" w:cs="Palatino Linotype"/>
          <w:b/>
          <w:sz w:val="22"/>
          <w:szCs w:val="22"/>
        </w:rPr>
        <w:t>dieciocho de junio de dos mil veinticinco,</w:t>
      </w:r>
      <w:r w:rsidRPr="00585D21">
        <w:rPr>
          <w:rFonts w:ascii="Palatino Linotype" w:eastAsia="Palatino Linotype" w:hAnsi="Palatino Linotype" w:cs="Palatino Linotype"/>
          <w:sz w:val="22"/>
          <w:szCs w:val="22"/>
        </w:rPr>
        <w:t xml:space="preserve"> 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xml:space="preserve"> interpuso el recurso de revisión a través de </w:t>
      </w:r>
      <w:r w:rsidRPr="00585D21">
        <w:rPr>
          <w:rFonts w:ascii="Palatino Linotype" w:eastAsia="Palatino Linotype" w:hAnsi="Palatino Linotype" w:cs="Palatino Linotype"/>
          <w:b/>
          <w:sz w:val="22"/>
          <w:szCs w:val="22"/>
        </w:rPr>
        <w:t xml:space="preserve">SAIMEX, </w:t>
      </w:r>
      <w:r w:rsidRPr="00585D21">
        <w:rPr>
          <w:rFonts w:ascii="Palatino Linotype" w:eastAsia="Palatino Linotype" w:hAnsi="Palatino Linotype" w:cs="Palatino Linotype"/>
          <w:sz w:val="22"/>
          <w:szCs w:val="22"/>
        </w:rPr>
        <w:t>en donde se manifestó de la siguiente manera:</w:t>
      </w:r>
    </w:p>
    <w:p w:rsidR="0047033F" w:rsidRPr="00585D21" w:rsidRDefault="002229FA">
      <w:pPr>
        <w:spacing w:before="240" w:after="240" w:line="360" w:lineRule="auto"/>
        <w:ind w:right="49"/>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 xml:space="preserve">Acto impugnado: </w:t>
      </w:r>
    </w:p>
    <w:p w:rsidR="0047033F" w:rsidRPr="00585D21" w:rsidRDefault="002229FA">
      <w:pPr>
        <w:tabs>
          <w:tab w:val="left" w:pos="2745"/>
        </w:tabs>
        <w:spacing w:before="240" w:after="240"/>
        <w:ind w:left="851"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“No entrega la información solicitada” (sic)</w:t>
      </w:r>
    </w:p>
    <w:p w:rsidR="0047033F" w:rsidRPr="00585D21" w:rsidRDefault="002229FA">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585D21">
        <w:rPr>
          <w:rFonts w:ascii="Palatino Linotype" w:eastAsia="Palatino Linotype" w:hAnsi="Palatino Linotype" w:cs="Palatino Linotype"/>
          <w:b/>
          <w:sz w:val="22"/>
          <w:szCs w:val="22"/>
        </w:rPr>
        <w:t>Y, Razones o motivos de inconformidad</w:t>
      </w:r>
      <w:r w:rsidRPr="00585D21">
        <w:rPr>
          <w:rFonts w:ascii="Palatino Linotype" w:eastAsia="Palatino Linotype" w:hAnsi="Palatino Linotype" w:cs="Palatino Linotype"/>
          <w:sz w:val="22"/>
          <w:szCs w:val="22"/>
        </w:rPr>
        <w:t>:</w:t>
      </w:r>
    </w:p>
    <w:p w:rsidR="0047033F" w:rsidRPr="00585D21" w:rsidRDefault="002229FA">
      <w:pPr>
        <w:tabs>
          <w:tab w:val="left" w:pos="2745"/>
        </w:tabs>
        <w:spacing w:before="240" w:after="240"/>
        <w:ind w:left="851"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“No entrega la información solicitada.” (sic)</w:t>
      </w:r>
    </w:p>
    <w:p w:rsidR="0047033F" w:rsidRPr="00585D21" w:rsidRDefault="002229FA">
      <w:pPr>
        <w:spacing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xml:space="preserve">4. Turno. </w:t>
      </w:r>
      <w:r w:rsidRPr="00585D2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85D21">
        <w:rPr>
          <w:rFonts w:ascii="Palatino Linotype" w:eastAsia="Palatino Linotype" w:hAnsi="Palatino Linotype" w:cs="Palatino Linotype"/>
          <w:b/>
          <w:sz w:val="22"/>
          <w:szCs w:val="22"/>
        </w:rPr>
        <w:t xml:space="preserve">Guadalupe Ramírez Peña, </w:t>
      </w:r>
      <w:r w:rsidRPr="00585D21">
        <w:rPr>
          <w:rFonts w:ascii="Palatino Linotype" w:eastAsia="Palatino Linotype" w:hAnsi="Palatino Linotype" w:cs="Palatino Linotype"/>
          <w:sz w:val="22"/>
          <w:szCs w:val="22"/>
        </w:rPr>
        <w:t>a efecto de que analizara sobre su admisión o su desechamiento.</w:t>
      </w:r>
    </w:p>
    <w:p w:rsidR="0047033F" w:rsidRPr="00585D21" w:rsidRDefault="002229FA">
      <w:pPr>
        <w:spacing w:before="240" w:after="240" w:line="360" w:lineRule="auto"/>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5. Admisión del Recurso de revisión.</w:t>
      </w:r>
      <w:r w:rsidRPr="00585D21">
        <w:rPr>
          <w:rFonts w:ascii="Palatino Linotype" w:eastAsia="Palatino Linotype" w:hAnsi="Palatino Linotype" w:cs="Palatino Linotype"/>
          <w:sz w:val="22"/>
          <w:szCs w:val="22"/>
        </w:rPr>
        <w:t xml:space="preserve"> El</w:t>
      </w:r>
      <w:r w:rsidRPr="00585D21">
        <w:rPr>
          <w:rFonts w:ascii="Palatino Linotype" w:eastAsia="Palatino Linotype" w:hAnsi="Palatino Linotype" w:cs="Palatino Linotype"/>
          <w:b/>
          <w:sz w:val="22"/>
          <w:szCs w:val="22"/>
        </w:rPr>
        <w:t xml:space="preserve"> veintitrés de junio de dos mil veinticinco, </w:t>
      </w:r>
      <w:r w:rsidRPr="00585D2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presentara su informe justificado.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585D21">
        <w:rPr>
          <w:rFonts w:ascii="Palatino Linotype" w:eastAsia="Palatino Linotype" w:hAnsi="Palatino Linotype" w:cs="Palatino Linotype"/>
          <w:b/>
          <w:sz w:val="22"/>
          <w:szCs w:val="22"/>
        </w:rPr>
        <w:t>6. Manifestaciones</w:t>
      </w:r>
      <w:r w:rsidRPr="00585D21">
        <w:rPr>
          <w:rFonts w:ascii="Palatino Linotype" w:eastAsia="Palatino Linotype" w:hAnsi="Palatino Linotype" w:cs="Palatino Linotype"/>
          <w:sz w:val="22"/>
          <w:szCs w:val="22"/>
        </w:rPr>
        <w:t xml:space="preserve">. El </w:t>
      </w:r>
      <w:r w:rsidRPr="00585D21">
        <w:rPr>
          <w:rFonts w:ascii="Palatino Linotype" w:eastAsia="Palatino Linotype" w:hAnsi="Palatino Linotype" w:cs="Palatino Linotype"/>
          <w:b/>
          <w:sz w:val="22"/>
          <w:szCs w:val="22"/>
        </w:rPr>
        <w:t>dos de julio dos mil veinticinco</w:t>
      </w:r>
      <w:r w:rsidRPr="00585D21">
        <w:rPr>
          <w:rFonts w:ascii="Palatino Linotype" w:eastAsia="Palatino Linotype" w:hAnsi="Palatino Linotype" w:cs="Palatino Linotype"/>
          <w:sz w:val="22"/>
          <w:szCs w:val="22"/>
        </w:rPr>
        <w:t xml:space="preserve">,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remitió, a través de SAIMEX, su informe justificado, mediante el cual ratificó en lo sustancial la respuesta emitida en primera instancia, por conducto de la Secretaría Particular de Presidencia, la Dirección General de Administración, la Tesorería Municipal y  la Dirección General de Bienestar.</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Anexos: 200010000/2300/2025, 202010000/02334/2025 y 212010000/0986/2025 mediante los cuales la Secretaría Particular de Presidencia, la Tesorería Municipal y  Dirección General de Bienestar, ratificaron la respuesta emitida en primera instancia.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xml:space="preserve">7. Cierre de instrucción. </w:t>
      </w:r>
      <w:r w:rsidRPr="00585D2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585D21">
        <w:rPr>
          <w:rFonts w:ascii="Palatino Linotype" w:eastAsia="Palatino Linotype" w:hAnsi="Palatino Linotype" w:cs="Palatino Linotype"/>
          <w:b/>
          <w:sz w:val="22"/>
          <w:szCs w:val="22"/>
        </w:rPr>
        <w:t>uno de octubre de dos mil veinticinco</w:t>
      </w:r>
      <w:r w:rsidRPr="00585D2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mediante acuerdo notificado el dos de octubre de dos mil veinticinco. </w:t>
      </w:r>
    </w:p>
    <w:p w:rsidR="0047033F" w:rsidRPr="00585D21" w:rsidRDefault="002229FA">
      <w:pPr>
        <w:spacing w:before="240" w:after="240" w:line="360" w:lineRule="auto"/>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8</w:t>
      </w: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rPr>
        <w:t>Ampliación del término para resolver</w:t>
      </w:r>
      <w:r w:rsidRPr="00585D21">
        <w:rPr>
          <w:rFonts w:ascii="Palatino Linotype" w:eastAsia="Palatino Linotype" w:hAnsi="Palatino Linotype" w:cs="Palatino Linotype"/>
          <w:sz w:val="22"/>
          <w:szCs w:val="22"/>
        </w:rPr>
        <w:t xml:space="preserve">. El </w:t>
      </w:r>
      <w:r w:rsidRPr="00585D21">
        <w:rPr>
          <w:rFonts w:ascii="Palatino Linotype" w:eastAsia="Palatino Linotype" w:hAnsi="Palatino Linotype" w:cs="Palatino Linotype"/>
          <w:b/>
          <w:sz w:val="22"/>
          <w:szCs w:val="22"/>
        </w:rPr>
        <w:t>uno de octubre de dos mil veinticinco</w:t>
      </w:r>
      <w:r w:rsidRPr="00585D2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7033F" w:rsidRPr="00585D21" w:rsidRDefault="002229FA">
      <w:pPr>
        <w:spacing w:before="240" w:after="240" w:line="360" w:lineRule="auto"/>
        <w:jc w:val="both"/>
        <w:rPr>
          <w:rFonts w:ascii="Palatino Linotype" w:eastAsia="Palatino Linotype" w:hAnsi="Palatino Linotype" w:cs="Palatino Linotype"/>
          <w:strike/>
          <w:sz w:val="22"/>
          <w:szCs w:val="22"/>
        </w:rPr>
      </w:pPr>
      <w:r w:rsidRPr="00585D2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0047033F" w:rsidRPr="00585D21" w:rsidRDefault="002229FA">
      <w:pPr>
        <w:tabs>
          <w:tab w:val="left" w:pos="567"/>
        </w:tabs>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rsidR="0047033F" w:rsidRPr="00585D21" w:rsidRDefault="002229FA">
      <w:pPr>
        <w:tabs>
          <w:tab w:val="left" w:pos="567"/>
        </w:tabs>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Actividad Procesal del interesado. Acciones u omisiones del interesado.</w:t>
      </w:r>
    </w:p>
    <w:p w:rsidR="0047033F" w:rsidRPr="00585D21" w:rsidRDefault="002229FA">
      <w:pPr>
        <w:tabs>
          <w:tab w:val="left" w:pos="567"/>
        </w:tabs>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rsidR="0047033F" w:rsidRPr="00585D21" w:rsidRDefault="002229FA">
      <w:pPr>
        <w:tabs>
          <w:tab w:val="left" w:pos="567"/>
        </w:tabs>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7033F" w:rsidRPr="00585D21" w:rsidRDefault="002229FA">
      <w:pPr>
        <w:spacing w:before="240" w:after="240" w:line="360" w:lineRule="auto"/>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85D2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85D21">
        <w:rPr>
          <w:rFonts w:ascii="Palatino Linotype" w:eastAsia="Palatino Linotype" w:hAnsi="Palatino Linotype" w:cs="Palatino Linotype"/>
          <w:sz w:val="22"/>
          <w:szCs w:val="22"/>
        </w:rPr>
        <w:t>, visible en la Gaceta del Seminario Judicial de la Federación con el registro digital 205635.</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0047033F" w:rsidRPr="00585D21" w:rsidRDefault="002229FA">
      <w:pPr>
        <w:spacing w:before="120" w:after="120"/>
        <w:ind w:left="851" w:right="902"/>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PLAZO RAZONABLE PARA RESOLVER. DIMENSIÓN Y EFECTOS DE ESTE CONCEPTO CUANDO SE ADUCE EXCESIVA CARGA DE TRABAJO</w:t>
      </w: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sz w:val="22"/>
          <w:szCs w:val="22"/>
        </w:rPr>
        <w:t xml:space="preserve"> consultable en el Seminario Judicial de la Federación y su gaceta, con el registro digital 2002351.</w:t>
      </w:r>
    </w:p>
    <w:p w:rsidR="0047033F" w:rsidRPr="00585D21" w:rsidRDefault="002229FA">
      <w:pPr>
        <w:spacing w:before="120" w:after="120"/>
        <w:ind w:left="851" w:right="902"/>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sz w:val="22"/>
          <w:szCs w:val="22"/>
        </w:rPr>
        <w:t>, visible en el Seminario Judicial de la Federación y su gaceta, con el registro digital 2002350.</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47033F" w:rsidRPr="00585D21" w:rsidRDefault="002229FA">
      <w:pPr>
        <w:widowControl w:val="0"/>
        <w:spacing w:before="240" w:after="240" w:line="360" w:lineRule="auto"/>
        <w:jc w:val="center"/>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II. C O N S I D E R A N D O 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Primero. Competencia.</w:t>
      </w:r>
      <w:r w:rsidRPr="00585D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585D21">
        <w:rPr>
          <w:rFonts w:ascii="Palatino Linotype" w:eastAsia="Palatino Linotype" w:hAnsi="Palatino Linotype" w:cs="Palatino Linotype"/>
          <w:b/>
          <w:sz w:val="22"/>
          <w:szCs w:val="22"/>
        </w:rPr>
        <w:t>Segundo. Oportunidad y Procedibilidad del Recurso de Revisión</w:t>
      </w:r>
      <w:r w:rsidRPr="00585D2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 xml:space="preserve">remitió la respuesta a la solicitud de información el día </w:t>
      </w:r>
      <w:r w:rsidRPr="00585D21">
        <w:rPr>
          <w:rFonts w:ascii="Palatino Linotype" w:eastAsia="Palatino Linotype" w:hAnsi="Palatino Linotype" w:cs="Palatino Linotype"/>
          <w:b/>
          <w:sz w:val="22"/>
          <w:szCs w:val="22"/>
        </w:rPr>
        <w:t xml:space="preserve">veintiocho de mayo de dos mil veinticinco, </w:t>
      </w:r>
      <w:r w:rsidRPr="00585D21">
        <w:rPr>
          <w:rFonts w:ascii="Palatino Linotype" w:eastAsia="Palatino Linotype" w:hAnsi="Palatino Linotype" w:cs="Palatino Linotype"/>
          <w:sz w:val="22"/>
          <w:szCs w:val="22"/>
        </w:rPr>
        <w:t xml:space="preserve">mientras que el recurso de revisión interpuesto por la parte </w:t>
      </w:r>
      <w:r w:rsidRPr="00585D21">
        <w:rPr>
          <w:rFonts w:ascii="Palatino Linotype" w:eastAsia="Palatino Linotype" w:hAnsi="Palatino Linotype" w:cs="Palatino Linotype"/>
          <w:b/>
          <w:sz w:val="22"/>
          <w:szCs w:val="22"/>
        </w:rPr>
        <w:t xml:space="preserve">Recurrente, </w:t>
      </w:r>
      <w:r w:rsidRPr="00585D21">
        <w:rPr>
          <w:rFonts w:ascii="Palatino Linotype" w:eastAsia="Palatino Linotype" w:hAnsi="Palatino Linotype" w:cs="Palatino Linotype"/>
          <w:sz w:val="22"/>
          <w:szCs w:val="22"/>
        </w:rPr>
        <w:t>se tuvo por presentado el día</w:t>
      </w:r>
      <w:r w:rsidRPr="00585D21">
        <w:rPr>
          <w:rFonts w:ascii="Palatino Linotype" w:eastAsia="Palatino Linotype" w:hAnsi="Palatino Linotype" w:cs="Palatino Linotype"/>
          <w:b/>
          <w:sz w:val="22"/>
          <w:szCs w:val="22"/>
        </w:rPr>
        <w:t xml:space="preserve"> dieciocho de junio de dos mil veinticinco, </w:t>
      </w:r>
      <w:r w:rsidRPr="00585D21">
        <w:rPr>
          <w:rFonts w:ascii="Palatino Linotype" w:eastAsia="Palatino Linotype" w:hAnsi="Palatino Linotype" w:cs="Palatino Linotype"/>
          <w:sz w:val="22"/>
          <w:szCs w:val="22"/>
        </w:rPr>
        <w:t>esto es, al décimo quinto día hábil posterior a aquel en el que tuvo conocimiento de la respuesta impugnada. En este sentido, se concluye que el presente recurso de revisión se encuentra dentro de los márgenes temporales previstos en las disposiciones legales referidas.</w:t>
      </w:r>
    </w:p>
    <w:p w:rsidR="0047033F" w:rsidRPr="00585D21" w:rsidRDefault="002229FA">
      <w:pPr>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585D21">
        <w:rPr>
          <w:rFonts w:ascii="Palatino Linotype" w:eastAsia="Palatino Linotype" w:hAnsi="Palatino Linotype" w:cs="Palatino Linotype"/>
          <w:sz w:val="22"/>
          <w:szCs w:val="22"/>
        </w:rPr>
        <w:t>Además, por cuanto hace a la procedibilidad del recurso de revisión, es de suma importancia señalar que la parte</w:t>
      </w:r>
      <w:r w:rsidRPr="00585D21">
        <w:rPr>
          <w:rFonts w:ascii="Palatino Linotype" w:eastAsia="Palatino Linotype" w:hAnsi="Palatino Linotype" w:cs="Palatino Linotype"/>
          <w:b/>
          <w:sz w:val="22"/>
          <w:szCs w:val="22"/>
        </w:rPr>
        <w:t xml:space="preserve"> Recurrente</w:t>
      </w:r>
      <w:r w:rsidRPr="00585D21">
        <w:rPr>
          <w:rFonts w:ascii="Palatino Linotype" w:eastAsia="Palatino Linotype" w:hAnsi="Palatino Linotype" w:cs="Palatino Linotype"/>
          <w:sz w:val="22"/>
          <w:szCs w:val="22"/>
        </w:rPr>
        <w:t xml:space="preserve">, no señaló un </w:t>
      </w:r>
      <w:r w:rsidRPr="00585D21">
        <w:rPr>
          <w:rFonts w:ascii="Palatino Linotype" w:eastAsia="Palatino Linotype" w:hAnsi="Palatino Linotype" w:cs="Palatino Linotype"/>
          <w:b/>
          <w:sz w:val="22"/>
          <w:szCs w:val="22"/>
        </w:rPr>
        <w:t>nombre completo</w:t>
      </w:r>
      <w:r w:rsidRPr="00585D21">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Las solicitudes anónimas</w:t>
      </w:r>
      <w:r w:rsidRPr="00585D21">
        <w:rPr>
          <w:rFonts w:ascii="Palatino Linotype" w:eastAsia="Palatino Linotype" w:hAnsi="Palatino Linotype" w:cs="Palatino Linotype"/>
          <w:i/>
          <w:sz w:val="22"/>
          <w:szCs w:val="22"/>
        </w:rPr>
        <w:t xml:space="preserve">, con nombre incompleto o </w:t>
      </w:r>
      <w:r w:rsidRPr="00585D21">
        <w:rPr>
          <w:rFonts w:ascii="Palatino Linotype" w:eastAsia="Palatino Linotype" w:hAnsi="Palatino Linotype" w:cs="Palatino Linotype"/>
          <w:b/>
          <w:i/>
          <w:sz w:val="22"/>
          <w:szCs w:val="22"/>
        </w:rPr>
        <w:t>seudónimo</w:t>
      </w:r>
      <w:r w:rsidRPr="00585D21">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47033F" w:rsidRPr="00585D21" w:rsidRDefault="002229FA">
      <w:pPr>
        <w:spacing w:before="240" w:after="240" w:line="360" w:lineRule="auto"/>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585D21">
        <w:rPr>
          <w:rFonts w:ascii="Palatino Linotype" w:eastAsia="Palatino Linotype" w:hAnsi="Palatino Linotype" w:cs="Palatino Linotype"/>
          <w:b/>
          <w:sz w:val="22"/>
          <w:szCs w:val="22"/>
        </w:rPr>
        <w:t xml:space="preserve"> SAIMEX.</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rsidR="0047033F" w:rsidRPr="00585D21" w:rsidRDefault="002229FA">
      <w:pPr>
        <w:tabs>
          <w:tab w:val="left" w:pos="7938"/>
        </w:tabs>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179.</w:t>
      </w:r>
      <w:r w:rsidRPr="00585D2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47033F" w:rsidRPr="00585D21" w:rsidRDefault="002229FA">
      <w:pPr>
        <w:tabs>
          <w:tab w:val="left" w:pos="7938"/>
        </w:tabs>
        <w:spacing w:before="120" w:after="120"/>
        <w:ind w:left="1134" w:right="900"/>
        <w:jc w:val="both"/>
        <w:rPr>
          <w:rFonts w:ascii="Palatino Linotype" w:eastAsia="Palatino Linotype" w:hAnsi="Palatino Linotype" w:cs="Palatino Linotype"/>
          <w:b/>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La negativa a la información solicitada;”</w:t>
      </w:r>
    </w:p>
    <w:p w:rsidR="0047033F" w:rsidRPr="00585D21" w:rsidRDefault="002229FA">
      <w:pPr>
        <w:spacing w:before="240" w:after="240" w:line="360" w:lineRule="auto"/>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 xml:space="preserve">Tercero. Materia de la revisión. </w:t>
      </w:r>
      <w:r w:rsidRPr="00585D2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85D2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585D21">
        <w:rPr>
          <w:rFonts w:ascii="Palatino Linotype" w:eastAsia="Palatino Linotype" w:hAnsi="Palatino Linotype" w:cs="Palatino Linotype"/>
          <w:sz w:val="22"/>
          <w:szCs w:val="22"/>
        </w:rPr>
        <w:t xml:space="preserve">de 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o en su defecto, en caso de ser procedente, ordenar la entrega de información.</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585D21">
        <w:rPr>
          <w:rFonts w:ascii="Palatino Linotype" w:eastAsia="Palatino Linotype" w:hAnsi="Palatino Linotype" w:cs="Palatino Linotype"/>
          <w:b/>
          <w:sz w:val="22"/>
          <w:szCs w:val="22"/>
        </w:rPr>
        <w:t xml:space="preserve">Cuarto. Estudio del asunto. </w:t>
      </w:r>
      <w:r w:rsidRPr="00585D2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4</w:t>
      </w:r>
      <w:r w:rsidRPr="00585D2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85D2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85D21">
        <w:rPr>
          <w:rFonts w:ascii="Palatino Linotype" w:eastAsia="Palatino Linotype" w:hAnsi="Palatino Linotype" w:cs="Palatino Linotype"/>
          <w:i/>
          <w:sz w:val="22"/>
          <w:szCs w:val="22"/>
        </w:rPr>
        <w:t>.”</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“Artículo 12.-</w:t>
      </w:r>
      <w:r w:rsidRPr="00585D2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47033F" w:rsidRPr="00585D21" w:rsidRDefault="002229FA">
      <w:pPr>
        <w:spacing w:before="240" w:after="240" w:line="360" w:lineRule="auto"/>
        <w:ind w:right="-9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47033F" w:rsidRPr="00585D21" w:rsidRDefault="002229FA">
      <w:pPr>
        <w:spacing w:before="240" w:after="240" w:line="360" w:lineRule="auto"/>
        <w:jc w:val="both"/>
        <w:rPr>
          <w:rFonts w:ascii="Palatino Linotype" w:eastAsia="Palatino Linotype" w:hAnsi="Palatino Linotype" w:cs="Palatino Linotype"/>
          <w:b/>
          <w:sz w:val="22"/>
          <w:szCs w:val="22"/>
        </w:rPr>
      </w:pPr>
      <w:r w:rsidRPr="00585D2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585D21">
        <w:rPr>
          <w:rFonts w:ascii="Palatino Linotype" w:eastAsia="Palatino Linotype" w:hAnsi="Palatino Linotype" w:cs="Palatino Linotype"/>
          <w:b/>
          <w:sz w:val="22"/>
          <w:szCs w:val="22"/>
        </w:rPr>
        <w:t xml:space="preserve"> </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No existe obligación de elaborar documentos ad hoc para atender las solicitudes de acceso a la información.</w:t>
      </w:r>
      <w:r w:rsidRPr="00585D2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7033F" w:rsidRPr="00585D21" w:rsidRDefault="002229FA">
      <w:pPr>
        <w:spacing w:before="120" w:after="12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7033F" w:rsidRPr="00585D21" w:rsidRDefault="002229FA">
      <w:pPr>
        <w:spacing w:before="120" w:after="12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 xml:space="preserve">Artículo 3. </w:t>
      </w:r>
      <w:r w:rsidRPr="00585D21">
        <w:rPr>
          <w:rFonts w:ascii="Palatino Linotype" w:eastAsia="Palatino Linotype" w:hAnsi="Palatino Linotype" w:cs="Palatino Linotype"/>
          <w:i/>
          <w:sz w:val="22"/>
          <w:szCs w:val="22"/>
        </w:rPr>
        <w:t>Para los efectos de la presente Ley se entenderá por:</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XI. Documento:</w:t>
      </w:r>
      <w:r w:rsidRPr="00585D21">
        <w:rPr>
          <w:rFonts w:ascii="Palatino Linotype" w:eastAsia="Palatino Linotype" w:hAnsi="Palatino Linotype" w:cs="Palatino Linotype"/>
          <w:i/>
          <w:sz w:val="22"/>
          <w:szCs w:val="22"/>
        </w:rPr>
        <w:t xml:space="preserve"> Los expedientes, reportes, estudios, actas</w:t>
      </w:r>
      <w:r w:rsidRPr="00585D21">
        <w:rPr>
          <w:rFonts w:ascii="Palatino Linotype" w:eastAsia="Palatino Linotype" w:hAnsi="Palatino Linotype" w:cs="Palatino Linotype"/>
          <w:b/>
          <w:i/>
          <w:sz w:val="22"/>
          <w:szCs w:val="22"/>
        </w:rPr>
        <w:t>,</w:t>
      </w:r>
      <w:r w:rsidRPr="00585D2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sz w:val="22"/>
          <w:szCs w:val="22"/>
        </w:rPr>
        <w:t>“</w:t>
      </w:r>
      <w:r w:rsidRPr="00585D2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85D2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47033F" w:rsidRPr="00585D21" w:rsidRDefault="002229FA">
      <w:pP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47033F" w:rsidRPr="00585D21" w:rsidRDefault="002229FA">
      <w:pP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xml:space="preserve"> requirió al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le proporcione, información consistente en lo siguiente:</w:t>
      </w:r>
    </w:p>
    <w:p w:rsidR="0047033F" w:rsidRPr="00585D21" w:rsidRDefault="002229FA">
      <w:pP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Del evento del día del niño: </w:t>
      </w:r>
    </w:p>
    <w:p w:rsidR="0047033F" w:rsidRPr="00585D21" w:rsidRDefault="002229FA">
      <w:pPr>
        <w:spacing w:before="240" w:after="240" w:line="360" w:lineRule="auto"/>
        <w:ind w:left="426"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1. Cantidad gastada en juguetes y dulces.</w:t>
      </w:r>
    </w:p>
    <w:p w:rsidR="0047033F" w:rsidRPr="00585D21" w:rsidRDefault="002229FA">
      <w:pPr>
        <w:spacing w:before="240" w:after="240" w:line="360" w:lineRule="auto"/>
        <w:ind w:left="426"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2. Cantidad de juguetes y dulces entregados.</w:t>
      </w:r>
    </w:p>
    <w:p w:rsidR="0047033F" w:rsidRPr="00585D21" w:rsidRDefault="002229FA">
      <w:pPr>
        <w:spacing w:before="240" w:after="240" w:line="360" w:lineRule="auto"/>
        <w:ind w:left="426"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3. Actividades realizadas.</w:t>
      </w:r>
    </w:p>
    <w:p w:rsidR="0047033F" w:rsidRPr="00585D21" w:rsidRDefault="002229FA">
      <w:pPr>
        <w:spacing w:before="240" w:after="240" w:line="360" w:lineRule="auto"/>
        <w:ind w:left="426"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4. Facturas que amparen el gasto de los juegos inflables.</w:t>
      </w:r>
    </w:p>
    <w:p w:rsidR="0047033F" w:rsidRPr="00585D21" w:rsidRDefault="002229FA">
      <w:pPr>
        <w:spacing w:before="240" w:after="240" w:line="360" w:lineRule="auto"/>
        <w:ind w:left="426"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5. Contratos celebrados y costo del evento.</w:t>
      </w:r>
    </w:p>
    <w:p w:rsidR="0047033F" w:rsidRPr="00585D21" w:rsidRDefault="002229FA">
      <w:pPr>
        <w:spacing w:before="240" w:after="240" w:line="360" w:lineRule="auto"/>
        <w:ind w:left="426"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6. Número de niñas y niños que asistieron, su nombre y comunidad.</w:t>
      </w:r>
    </w:p>
    <w:p w:rsidR="0047033F" w:rsidRPr="00585D21" w:rsidRDefault="002229FA">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rsidR="0047033F" w:rsidRPr="00585D21" w:rsidRDefault="002229FA">
      <w:pP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rsidR="0047033F" w:rsidRPr="00585D21" w:rsidRDefault="002229FA">
      <w:pPr>
        <w:spacing w:before="280" w:after="28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En el caso particular, es de recordar que la Unidad de Transparencia turnó la solicitud a la Secretaría Particular de Presidencia, a la Tesorería Municipal, a la Dirección General de Administración, y a la Dirección General de Bienestar para su atención.</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Por lo que se refiere a la Secretaría Particular de Presidencia, de conformidad con artículos 3.1, 3.3, numeral 2, 3.11 y 3.12, así como el código estructural  200010000  del Manual de Organización de la Presidencia Municipal, se encarga de planear, organizar y controlar, en coordinación con las unidades administrativas correspondientes, las actividades a realizar por la o el Presidente Municipal, mediante la organización y control de su agenda y el seguimiento a los temas prioritarios, asimismo se le confieren las siguientes atribuciones en su parte conducente: </w:t>
      </w:r>
    </w:p>
    <w:p w:rsidR="0047033F" w:rsidRPr="00585D21" w:rsidRDefault="002229FA">
      <w:pPr>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Planear, organizar y controlar, en coordinación con las unidades administrativas correspondientes, las actividades a realizar por la o el Presidente Municipal, mediante la organización y control de su agenda y el seguimiento a los temas prioritarios.</w:t>
      </w:r>
    </w:p>
    <w:p w:rsidR="0047033F" w:rsidRPr="00585D21" w:rsidRDefault="002229FA">
      <w:pPr>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Planear, organizar, coordinar y controlar las actividades de las áreas que conforman la Secretaría Particular;</w:t>
      </w:r>
    </w:p>
    <w:p w:rsidR="0047033F" w:rsidRPr="00585D21" w:rsidRDefault="002229FA">
      <w:pPr>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Conciliar, agendar y establecer fechas para la toma de acuerdos con las y los titulares de las unidades administrativas que integran la administración pública municipal y darles seguimiento;</w:t>
      </w:r>
    </w:p>
    <w:p w:rsidR="0047033F" w:rsidRPr="00585D21" w:rsidRDefault="002229FA">
      <w:pPr>
        <w:spacing w:before="240" w:after="240" w:line="360" w:lineRule="auto"/>
        <w:ind w:left="284"/>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Recabar, remitir, dar seguimiento e informar con oportunidad, las instrucciones que gire la o el Presidente Municipal a las y los titulares de las unidades administrativas que integran el Municipio de Toluca;</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otro lado, de conformidad con los artículos 90, fracción I, numerales 2, 6 y 12 del Bando Municipal de Toluca, 2025, en relación con los artículos 3.1, 3.2, fracción I, numerales 2, 6 y 12, 3.21, 3.22, 3.24, 3.31, 3.32, 3.46 y 3.47 del Código Reglamentario Municipal de Toluca, la Tesorería Municipal, la Dirección General de Administración y a Dirección General de Bienestar se encargan de lo siguiente:</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Tesorería Municipal:</w:t>
      </w:r>
      <w:r w:rsidRPr="00585D21">
        <w:rPr>
          <w:rFonts w:ascii="Palatino Linotype" w:eastAsia="Palatino Linotype" w:hAnsi="Palatino Linotype" w:cs="Palatino Linotype"/>
          <w:sz w:val="22"/>
          <w:szCs w:val="22"/>
        </w:rPr>
        <w:t xml:space="preserve"> Encargada de realizar las erogaciones y realizar la contabilidad y ejercicio del presupuesto municipal, quien se auxiliará de diversas administrativas entre otras la Dirección de Egresos, y la Dirección de Contaduría, quienes en su conjunto llevarán a cabo la realización de diversas atribuciones, entre otras las siguientes:</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Otorgar suficiencia presupuestal a las solicitudes de adquisiciones y servicios, así como las ampliaciones del monto del gasto operativo de las dependencias y organismos auxiliares;</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Proponer al Ayuntamiento los presupuestos de egresos; informar de su ejercicio y sugerir las modificaciones, en caso necesario;</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Determinar el flujo de efectivo y realizar la programación de los pagos que se deben efectuar con cargo al presupuesto de egresos del Ayuntamiento y verificar que se lleve a cabo;</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Operar y controlar las cuentas bancarias del Ayuntamiento e invertir sus recursos financieros;</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Registrar y controlar las operaciones financieras, presupuestales y contables que emanen de las dependencias de la administración pública municipal;</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Registrar contable y presupuestalmente los ingresos y egresos públicos y las operaciones financieras del municipio para emitir información veraz y oportuna que permita la toma de decisiones; y</w:t>
      </w:r>
    </w:p>
    <w:p w:rsidR="0047033F" w:rsidRPr="00585D21" w:rsidRDefault="002229FA">
      <w:pPr>
        <w:tabs>
          <w:tab w:val="left" w:pos="426"/>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Dirección General de Administración</w:t>
      </w:r>
      <w:r w:rsidRPr="00585D21">
        <w:rPr>
          <w:rFonts w:ascii="Palatino Linotype" w:eastAsia="Palatino Linotype" w:hAnsi="Palatino Linotype" w:cs="Palatino Linotype"/>
          <w:sz w:val="22"/>
          <w:szCs w:val="22"/>
        </w:rPr>
        <w:t>: quien para el ejercicio de sus atribuciones contará con la Dirección de Recursos Materiales, como la dependencia encargada de:</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Intervenir, vigilar y dar el seguimiento correspondiente a todos los procedimientos de adquisición de bienes, de arrendamiento de inmuebles, contratación de servicios, enajenación y subasta de bienes, conforme a los lineamientos establecidos en la normatividad correspondiente;</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Coordinar la elaboración del programa anual de adquisiciones del Ayuntamiento, con base en los montos establecidos para cada partida por objeto de gasto en el presupuesto, con el fin de ponerlo a disposición de los comités para su debida aprobación;</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Revisar, suscribir y vigilar todos aquellos contratos que se formalicen con proveedores, así como su ejecución y ejercicio, relativos a fallos de adjudicación de procesos de licitación pública o de sus excepciones, mismos que deberán cumplir con la normatividad en la materia; y</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Autorizar y suscribir los pedidos-contrato que se finquen relativos a procedimientos de adquisiciones y compras de bienes, materiales y suministros.</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Elaborar los contratos de adquisición de los bienes y servicios y de arrendamiento, adquisición y enajenación de inmuebles de competencia municipal;</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Dirección General de Desarrollo Social</w:t>
      </w:r>
      <w:r w:rsidRPr="00585D21">
        <w:rPr>
          <w:rFonts w:ascii="Palatino Linotype" w:eastAsia="Palatino Linotype" w:hAnsi="Palatino Linotype" w:cs="Palatino Linotype"/>
          <w:sz w:val="22"/>
          <w:szCs w:val="22"/>
        </w:rPr>
        <w:t>: tiene a su cargo el ejercicio de diversas atribuciones, entre otras las siguientes:</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Coordinar con las instancias responsables del gobierno municipal, la ejecución de programas integrales de desarrollo social, cultural y económico, incluidos los de salud, educación, vivienda, empleo, deporte y desarrollo urbano, con miras a disminuir los factores que pueden generar actitudes violentas o delictivas en la sociedad; y</w:t>
      </w:r>
    </w:p>
    <w:p w:rsidR="0047033F" w:rsidRPr="00585D21" w:rsidRDefault="002229FA">
      <w:pPr>
        <w:tabs>
          <w:tab w:val="left" w:pos="567"/>
        </w:tabs>
        <w:spacing w:before="240" w:after="240" w:line="360" w:lineRule="auto"/>
        <w:ind w:left="284"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w:t>
      </w:r>
      <w:r w:rsidRPr="00585D21">
        <w:rPr>
          <w:rFonts w:ascii="Palatino Linotype" w:eastAsia="Palatino Linotype" w:hAnsi="Palatino Linotype" w:cs="Palatino Linotype"/>
          <w:sz w:val="22"/>
          <w:szCs w:val="22"/>
        </w:rPr>
        <w:tab/>
        <w:t>Promover la participación de los sectores social y privado para la atención de las necesidades básicas de la población del municipio.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En este sentido, se colige que en el presente asunto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Ahora bien, en respuesta a la solicitud de información los servidores públicos habilitados manifestaron lo siguiente:</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Secretaría Particular de Presidencia</w:t>
      </w:r>
      <w:r w:rsidRPr="00585D21">
        <w:rPr>
          <w:rFonts w:ascii="Palatino Linotype" w:eastAsia="Palatino Linotype" w:hAnsi="Palatino Linotype" w:cs="Palatino Linotype"/>
          <w:sz w:val="22"/>
          <w:szCs w:val="22"/>
        </w:rPr>
        <w:t>: refirió que derivado de una búsqueda exhaustiva y razonable en los archivos físicos y digitales de la Secretaría Particular, no se encontró información alguna de lo solicitado, por no ser de competencia de dicha oficina.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rPr>
        <w:t>Tesorero Municipal</w:t>
      </w:r>
      <w:r w:rsidRPr="00585D21">
        <w:rPr>
          <w:rFonts w:ascii="Palatino Linotype" w:eastAsia="Palatino Linotype" w:hAnsi="Palatino Linotype" w:cs="Palatino Linotype"/>
          <w:sz w:val="22"/>
          <w:szCs w:val="22"/>
        </w:rPr>
        <w:t xml:space="preserve"> manifestó que los documentos solicitados, forman parte de la integración del segundo informe trimestral de 2025, la cual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rPr>
        <w:t>Dirección General de Administración</w:t>
      </w:r>
      <w:r w:rsidRPr="00585D21">
        <w:rPr>
          <w:rFonts w:ascii="Palatino Linotype" w:eastAsia="Palatino Linotype" w:hAnsi="Palatino Linotype" w:cs="Palatino Linotype"/>
          <w:sz w:val="22"/>
          <w:szCs w:val="22"/>
        </w:rPr>
        <w:t>: después de haber realizado una búsqueda exhaustiva y razonable en los archivos que obran en la Dirección de Recursos Materiales y sus Departamentos, lo solicitado se encuentra fuera de su competencia, asimismo, indicó que de conformidad con el artículo 3.22 del Código Reglamentario Municipal vigente a la fecha de presentación de la solicitud, la Dirección de Egresos, de adscrita a la Tesorería Municipal es la instancia competente para conocer de la información solicitada.</w:t>
      </w:r>
    </w:p>
    <w:p w:rsidR="0047033F" w:rsidRPr="00585D21" w:rsidRDefault="002229FA">
      <w:pPr>
        <w:spacing w:before="240" w:after="240" w:line="360" w:lineRule="auto"/>
        <w:ind w:right="49"/>
        <w:jc w:val="both"/>
        <w:rPr>
          <w:rFonts w:ascii="Palatino Linotype" w:eastAsia="Palatino Linotype" w:hAnsi="Palatino Linotype" w:cs="Palatino Linotype"/>
          <w:b/>
          <w:sz w:val="22"/>
          <w:szCs w:val="22"/>
          <w:u w:val="single"/>
        </w:rPr>
      </w:pP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rPr>
        <w:t>Directora General de Bienestar</w:t>
      </w:r>
      <w:r w:rsidRPr="00585D21">
        <w:rPr>
          <w:rFonts w:ascii="Palatino Linotype" w:eastAsia="Palatino Linotype" w:hAnsi="Palatino Linotype" w:cs="Palatino Linotype"/>
          <w:sz w:val="22"/>
          <w:szCs w:val="22"/>
        </w:rPr>
        <w:t xml:space="preserve">: manifestó que después de haber realizado una búsqueda minuciosa, exhaustiva y razonada en los archivos de esta Dirección General y en el ámbito de las atribuciones conferidas en el artículo 3.46 del Código Reglamentario Municipal de Toluca, así como lo establecido en el Bando Municipal 2025, la Unidad Administrativa a su cargo </w:t>
      </w:r>
      <w:r w:rsidRPr="00585D21">
        <w:rPr>
          <w:rFonts w:ascii="Palatino Linotype" w:eastAsia="Palatino Linotype" w:hAnsi="Palatino Linotype" w:cs="Palatino Linotype"/>
          <w:b/>
          <w:sz w:val="22"/>
          <w:szCs w:val="22"/>
          <w:u w:val="single"/>
        </w:rPr>
        <w:t>no cuenta con información relacionada al evento del día del niño, cuánto se gastó en juguetes, cuántos se entregaron, facturas, contratos y costos del evento, ni el número de niñas y niños que asistieron</w:t>
      </w:r>
      <w:r w:rsidRPr="00585D21">
        <w:rPr>
          <w:rFonts w:ascii="Palatino Linotype" w:eastAsia="Palatino Linotype" w:hAnsi="Palatino Linotype" w:cs="Palatino Linotype"/>
          <w:sz w:val="22"/>
          <w:szCs w:val="22"/>
        </w:rPr>
        <w:t xml:space="preserve">; toda vez que esta dependencia </w:t>
      </w:r>
      <w:r w:rsidRPr="00585D21">
        <w:rPr>
          <w:rFonts w:ascii="Palatino Linotype" w:eastAsia="Palatino Linotype" w:hAnsi="Palatino Linotype" w:cs="Palatino Linotype"/>
          <w:b/>
          <w:sz w:val="22"/>
          <w:szCs w:val="22"/>
          <w:u w:val="single"/>
        </w:rPr>
        <w:t>no programó, generó, ni llevó a cabo acciones relativas a la mencionada festividad</w:t>
      </w:r>
      <w:r w:rsidRPr="00585D21">
        <w:rPr>
          <w:rFonts w:ascii="Palatino Linotype" w:eastAsia="Palatino Linotype" w:hAnsi="Palatino Linotype" w:cs="Palatino Linotype"/>
          <w:sz w:val="22"/>
          <w:szCs w:val="22"/>
        </w:rPr>
        <w:t xml:space="preserve">. Asimismo, refirió que </w:t>
      </w:r>
      <w:r w:rsidRPr="00585D21">
        <w:rPr>
          <w:rFonts w:ascii="Palatino Linotype" w:eastAsia="Palatino Linotype" w:hAnsi="Palatino Linotype" w:cs="Palatino Linotype"/>
          <w:b/>
          <w:sz w:val="22"/>
          <w:szCs w:val="22"/>
          <w:u w:val="single"/>
        </w:rPr>
        <w:t>el evento señalado fue llevado a cabo por el Sistema Municipal para el Desarrollo Integral de la Familia de Toluca.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Al no estar conforme con los términos de la respuesta proporcionada, la parte </w:t>
      </w:r>
      <w:r w:rsidRPr="00585D21">
        <w:rPr>
          <w:rFonts w:ascii="Palatino Linotype" w:eastAsia="Palatino Linotype" w:hAnsi="Palatino Linotype" w:cs="Palatino Linotype"/>
          <w:b/>
          <w:sz w:val="22"/>
          <w:szCs w:val="22"/>
        </w:rPr>
        <w:t xml:space="preserve">Recurrente </w:t>
      </w:r>
      <w:r w:rsidRPr="00585D21">
        <w:rPr>
          <w:rFonts w:ascii="Palatino Linotype" w:eastAsia="Palatino Linotype" w:hAnsi="Palatino Linotype" w:cs="Palatino Linotype"/>
          <w:sz w:val="22"/>
          <w:szCs w:val="22"/>
        </w:rPr>
        <w:t>presentó el recurso de revisión que nos ocupa, por medio del cual alegó que no le fue entregada la información solicitada.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la etapa de manifestaciones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por conducto de los servidores públicos habilitados de la Secretaría Particular de Presidencia, la Dirección General de Administración, la Tesorería Municipal y la Dirección General de Bienestar, ratificaron en lo sustancial la respuesta proporcionada en primera instancia.</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Una vez puntualizado lo anterior, tomando en consideración la materia de la solicitud, así como la respuesta proporcionada por los servidores públicos habilitados de las áreas referidas, es oportuno mencionar que, de la consulta realizada por este Organismo Garante en diversas fuentes, se localizó información sobre la realización del evento que refiere la persona solicitante, como se logra observar en la página oficial del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así como en su cuenta oficial en la red social FACEBOOK:</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noProof/>
          <w:sz w:val="22"/>
          <w:szCs w:val="22"/>
        </w:rPr>
        <w:drawing>
          <wp:inline distT="0" distB="0" distL="0" distR="0" wp14:anchorId="553046FC" wp14:editId="382022B0">
            <wp:extent cx="5612130" cy="1925955"/>
            <wp:effectExtent l="0" t="0" r="0" b="0"/>
            <wp:docPr id="1940380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25955"/>
                    </a:xfrm>
                    <a:prstGeom prst="rect">
                      <a:avLst/>
                    </a:prstGeom>
                    <a:ln/>
                  </pic:spPr>
                </pic:pic>
              </a:graphicData>
            </a:graphic>
          </wp:inline>
        </w:drawing>
      </w: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noProof/>
          <w:sz w:val="22"/>
          <w:szCs w:val="22"/>
        </w:rPr>
        <w:drawing>
          <wp:inline distT="0" distB="0" distL="0" distR="0" wp14:anchorId="43DF9E6B" wp14:editId="74CD3899">
            <wp:extent cx="5612130" cy="1857375"/>
            <wp:effectExtent l="0" t="0" r="0" b="0"/>
            <wp:docPr id="19403804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857375"/>
                    </a:xfrm>
                    <a:prstGeom prst="rect">
                      <a:avLst/>
                    </a:prstGeom>
                    <a:ln/>
                  </pic:spPr>
                </pic:pic>
              </a:graphicData>
            </a:graphic>
          </wp:inline>
        </w:drawing>
      </w:r>
    </w:p>
    <w:p w:rsidR="0047033F" w:rsidRPr="00585D21" w:rsidRDefault="002229FA">
      <w:pPr>
        <w:spacing w:before="240" w:after="240" w:line="360" w:lineRule="auto"/>
        <w:ind w:right="49"/>
        <w:jc w:val="center"/>
        <w:rPr>
          <w:rFonts w:ascii="Palatino Linotype" w:eastAsia="Palatino Linotype" w:hAnsi="Palatino Linotype" w:cs="Palatino Linotype"/>
          <w:sz w:val="22"/>
          <w:szCs w:val="22"/>
        </w:rPr>
      </w:pPr>
      <w:r w:rsidRPr="00585D21">
        <w:rPr>
          <w:rFonts w:ascii="Palatino Linotype" w:eastAsia="Palatino Linotype" w:hAnsi="Palatino Linotype" w:cs="Palatino Linotype"/>
          <w:noProof/>
          <w:sz w:val="22"/>
          <w:szCs w:val="22"/>
        </w:rPr>
        <w:drawing>
          <wp:inline distT="0" distB="0" distL="0" distR="0" wp14:anchorId="00013B99" wp14:editId="4A58135B">
            <wp:extent cx="4500000" cy="3434709"/>
            <wp:effectExtent l="0" t="0" r="0" b="0"/>
            <wp:docPr id="194038040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14384"/>
                    <a:stretch>
                      <a:fillRect/>
                    </a:stretch>
                  </pic:blipFill>
                  <pic:spPr>
                    <a:xfrm>
                      <a:off x="0" y="0"/>
                      <a:ext cx="4500000" cy="3434709"/>
                    </a:xfrm>
                    <a:prstGeom prst="rect">
                      <a:avLst/>
                    </a:prstGeom>
                    <a:ln/>
                  </pic:spPr>
                </pic:pic>
              </a:graphicData>
            </a:graphic>
          </wp:inline>
        </w:drawing>
      </w:r>
    </w:p>
    <w:p w:rsidR="0047033F" w:rsidRPr="00585D21" w:rsidRDefault="002229FA">
      <w:pPr>
        <w:spacing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Como se logra vislumbrar en las imágenes anteriores, la Feria del Día del Niño se llevó a cabo el día cinco de mayo de dos mil veinticinco en el Parque Metropolitano Bicentenario, y si bien es cierto, que estaríamos ante un hecho notorio, el cual se sustenta conforme a las siguientes tesis jurisprudenciales:</w:t>
      </w:r>
    </w:p>
    <w:p w:rsidR="0047033F" w:rsidRPr="00585D21" w:rsidRDefault="002229FA">
      <w:pPr>
        <w:tabs>
          <w:tab w:val="left" w:pos="7938"/>
        </w:tabs>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“HECHOS NOTORIOS. CONCEPTOS GENERAL Y JURÍDICO. Conforme al artículo 88 del Código Federal de Procedimientos Civiles los tribunales pueden invocar hechos notorios aunque no hayan sido alegados ni probados por las partes.</w:t>
      </w:r>
      <w:r w:rsidRPr="00585D21">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585D21">
        <w:rPr>
          <w:rFonts w:ascii="Palatino Linotype" w:eastAsia="Palatino Linotype" w:hAnsi="Palatino Linotype" w:cs="Palatino Linotype"/>
          <w:b/>
          <w:i/>
          <w:sz w:val="22"/>
          <w:szCs w:val="22"/>
        </w:rPr>
        <w:t>, a las vicisitudes de la vida pública actual o a circunstancias comúnmente conocidas en un determinado lugar</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de modo que toda persona de ese medio esté en condiciones de saberlo</w:t>
      </w:r>
      <w:r w:rsidRPr="00585D21">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585D21">
        <w:rPr>
          <w:rFonts w:ascii="Palatino Linotype" w:eastAsia="Palatino Linotype" w:hAnsi="Palatino Linotype" w:cs="Palatino Linotype"/>
          <w:i/>
          <w:sz w:val="22"/>
          <w:szCs w:val="22"/>
          <w:vertAlign w:val="superscript"/>
        </w:rPr>
        <w:footnoteReference w:id="1"/>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585D21">
        <w:rPr>
          <w:rFonts w:ascii="Palatino Linotype" w:eastAsia="Palatino Linotype" w:hAnsi="Palatino Linotype" w:cs="Palatino Linotype"/>
          <w:i/>
          <w:sz w:val="22"/>
          <w:szCs w:val="22"/>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Pr="00585D21">
        <w:rPr>
          <w:rFonts w:ascii="Palatino Linotype" w:eastAsia="Palatino Linotype" w:hAnsi="Palatino Linotype" w:cs="Palatino Linotype"/>
          <w:i/>
          <w:sz w:val="22"/>
          <w:szCs w:val="22"/>
          <w:vertAlign w:val="superscript"/>
        </w:rPr>
        <w:footnoteReference w:id="2"/>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585D21">
        <w:rPr>
          <w:rFonts w:ascii="Palatino Linotype" w:eastAsia="Palatino Linotype" w:hAnsi="Palatino Linotype" w:cs="Palatino Linotype"/>
          <w:i/>
          <w:sz w:val="22"/>
          <w:szCs w:val="22"/>
        </w:rPr>
        <w:t>.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r w:rsidRPr="00585D21">
        <w:rPr>
          <w:rFonts w:ascii="Palatino Linotype" w:eastAsia="Palatino Linotype" w:hAnsi="Palatino Linotype" w:cs="Palatino Linotype"/>
          <w:i/>
          <w:sz w:val="22"/>
          <w:szCs w:val="22"/>
          <w:vertAlign w:val="superscript"/>
        </w:rPr>
        <w:footnoteReference w:id="3"/>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No debe perderse de vista que el evento referido se realizó en conjunto con el Sistema Municipal para el Desarrollo Integral de la Familia, organismo que es reconocido como un Sujeto Obligado independiente, como se desprende del Padrón de Sujetos Obligados en materia de Transparencia y Acceso a la Información Pública del Estado de México y Municipios, aprobado por el Pleno de este Instituto, y sus modificaciones, siendo el mismo el responsable de transparentar la información que genere, administre y/o posea en ejercicio de sus atribuciones.</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 manera que, en el caso concreto, existe la posibilidad de que ambos Sujetos Obligados, es decir, tanto el Ayuntamiento como el Sistema Municipal para el Desarrollo Integral de la Familia hubieran generado, administren y/o posean información que se relacione con el evento referido por la persona solicitante.</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esta línea de pensamiento, por lo que respecta al Ayuntamiento, tanto la Secretaría Particular de Presidencia como la Dirección General de Bienestar, refirieron haber realizado una búsqueda exhaustiva y razonable en sus archivos, sin haber localizado información alguna de lo solicitado, al no ser de su competencia, precisando la Dirección General de Bienestar, que el evento no fue programado por esta, ni llevó acciones relativas a la festividad mencionada, al ser llevado a cabo por el Sistema Municipal para el Desarrollo Integral de la Familia de Toluca.  </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su parte, la Dirección General de Administración, por conducto de la Dirección de Recursos Materiales manifestó haber realizado la búsqueda exhaustiva y razonable en los archivos de las áreas a su cargo, y como resultado advirtió que la información solicitada está fuera de su competencia, en un ejercicio de máxima transparencia sugirió turnar la solicitud a la Tesorería Municipal, al considerar que la Dirección de Egresos pudiera ser competente para proporcionar la información.</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Mientras que la Tesorería Municipal refirió que los documentos solicitados, forman parte de la integración del segundo informe trimestral de 2025, sin remitir el soporte documental correspondiente para atender la solicitud.</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este sentido, se estima que el pronunciamiento emitido por los servidores públicos habilitados de la Secretaría Particular de Presidencia y la Dirección General de Bienestar, ámbito de sus competencias, es suficiente para tener por atendida la solicitud por lo que se refiere a la cantidad de juguetes y dulces entregados, las actividades realizadas, los contratos celebrados, el número de niñas y niños que asistieron, así como su nombre y comunidad, precisando que lo manifestado por estos se constituye en una expresión en sentido negativo, esto es, niegan la existencia de información alguna relacionada con la materia de la solicitud en las áreas a su cargo. </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De tal manera que basta con la aseveración por parte del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en relación a la inexistencia de información relacionada con el requerimiento de información que formuló 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siendo que de conformidad con lo establecido en el artículo 12, segundo párrafo de la Ley de Transparencia y Acceso a la Información Pública del Estado de México y Municipios, los Sujetos Obligados sólo proporcionaran la información pública que se les requiera y que obre en sus archivos y en el estado en que ésta se encuentre, en sentido contrario, no están obligados a proporcionar lo que no tengan en sus archivos.</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Y, menos aún, los Sujetos Obligados se encuentran obligados a generar documentos a fin de atender las solicitudes de acceso a la información que les sean formuladas, tal y como se desprende del mismo texto del artículo 12 de la Ley de la Materia en consulta.</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No obstante, por lo que se refiere a la respuesta emitida por la Dirección General de Administración se logra vislumbrar que el servidor público se pronunció sobre la erogación de recursos, para la adquisición de juguetes, dulces, juegos inflables, y en general el costo del evento, tan es así que manifestó su incompetencia para conocer de dicha información y sugirió solicitar la misma a la Dirección de Egresos de la Tesorería municipal, sin pronunciarse de manera expresa sobre el costo, y los contratos celebrados, información de que de acuerdo con sus competencias si pudiera conocer.</w:t>
      </w:r>
    </w:p>
    <w:p w:rsidR="0047033F" w:rsidRPr="00585D21" w:rsidRDefault="002229FA">
      <w:pPr>
        <w:spacing w:before="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Sobre el tema, el artículo 1.8, fracción XIII, del Código Administrativo del Estado de México, establece que para que tenga validez, todo acto administrativo deberá resolver todos los puntos propuestos por los interesados.</w:t>
      </w:r>
    </w:p>
    <w:p w:rsidR="0047033F" w:rsidRPr="00585D21" w:rsidRDefault="0047033F">
      <w:pPr>
        <w:spacing w:before="240" w:line="360" w:lineRule="auto"/>
        <w:jc w:val="both"/>
        <w:rPr>
          <w:rFonts w:ascii="Palatino Linotype" w:eastAsia="Palatino Linotype" w:hAnsi="Palatino Linotype" w:cs="Palatino Linotype"/>
          <w:sz w:val="22"/>
          <w:szCs w:val="22"/>
        </w:rPr>
      </w:pPr>
    </w:p>
    <w:p w:rsidR="0047033F" w:rsidRPr="00585D21" w:rsidRDefault="002229FA">
      <w:pPr>
        <w:spacing w:after="240" w:line="360" w:lineRule="auto"/>
        <w:ind w:right="-9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585D21">
        <w:rPr>
          <w:rFonts w:ascii="Palatino Linotype" w:eastAsia="Palatino Linotype" w:hAnsi="Palatino Linotype" w:cs="Palatino Linotype"/>
          <w:b/>
          <w:sz w:val="22"/>
          <w:szCs w:val="22"/>
        </w:rPr>
        <w:t>principios de congruencia y exhaustividad,</w:t>
      </w:r>
      <w:r w:rsidRPr="00585D21">
        <w:rPr>
          <w:rFonts w:ascii="Palatino Linotype" w:eastAsia="Palatino Linotype" w:hAnsi="Palatino Linotype" w:cs="Palatino Linotype"/>
          <w:sz w:val="22"/>
          <w:szCs w:val="22"/>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47033F" w:rsidRPr="00585D21" w:rsidRDefault="002229F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xml:space="preserve"> “Congruencia y exhaustividad. Sus alcances para garantizar el derecho de acceso a la información. </w:t>
      </w:r>
      <w:r w:rsidRPr="00585D21">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85D21">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85D21">
        <w:rPr>
          <w:rFonts w:ascii="Palatino Linotype" w:eastAsia="Palatino Linotype" w:hAnsi="Palatino Linotype" w:cs="Palatino Linotype"/>
          <w:i/>
          <w:sz w:val="22"/>
          <w:szCs w:val="22"/>
        </w:rPr>
        <w:t xml:space="preserve">; mientras que </w:t>
      </w:r>
      <w:r w:rsidRPr="00585D21">
        <w:rPr>
          <w:rFonts w:ascii="Palatino Linotype" w:eastAsia="Palatino Linotype" w:hAnsi="Palatino Linotype" w:cs="Palatino Linotype"/>
          <w:b/>
          <w:i/>
          <w:sz w:val="22"/>
          <w:szCs w:val="22"/>
        </w:rPr>
        <w:t>la exhaustividad significa que dicha respuesta se refiera expresamente a cada uno de los puntos solicitados</w:t>
      </w:r>
      <w:r w:rsidRPr="00585D21">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47033F" w:rsidRPr="00585D21" w:rsidRDefault="002229F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este sentido, , conviene señalar que la Ley de la Contratación Pública del Estado de México y Municipios, tiene por objeto regular los actos relativos a la planeación, programación, presupuestación, ejecución y control de la </w:t>
      </w:r>
      <w:r w:rsidRPr="00585D21">
        <w:rPr>
          <w:rFonts w:ascii="Palatino Linotype" w:eastAsia="Palatino Linotype" w:hAnsi="Palatino Linotype" w:cs="Palatino Linotype"/>
          <w:b/>
          <w:sz w:val="22"/>
          <w:szCs w:val="22"/>
          <w:u w:val="single"/>
        </w:rPr>
        <w:t>adquisición</w:t>
      </w:r>
      <w:r w:rsidRPr="00585D21">
        <w:rPr>
          <w:rFonts w:ascii="Palatino Linotype" w:eastAsia="Palatino Linotype" w:hAnsi="Palatino Linotype" w:cs="Palatino Linotype"/>
          <w:sz w:val="22"/>
          <w:szCs w:val="22"/>
        </w:rPr>
        <w:t xml:space="preserve">, enajenación y arrendamiento </w:t>
      </w:r>
      <w:r w:rsidRPr="00585D21">
        <w:rPr>
          <w:rFonts w:ascii="Palatino Linotype" w:eastAsia="Palatino Linotype" w:hAnsi="Palatino Linotype" w:cs="Palatino Linotype"/>
          <w:b/>
          <w:sz w:val="22"/>
          <w:szCs w:val="22"/>
          <w:u w:val="single"/>
        </w:rPr>
        <w:t>de bienes</w:t>
      </w:r>
      <w:r w:rsidRPr="00585D21">
        <w:rPr>
          <w:rFonts w:ascii="Palatino Linotype" w:eastAsia="Palatino Linotype" w:hAnsi="Palatino Linotype" w:cs="Palatino Linotype"/>
          <w:sz w:val="22"/>
          <w:szCs w:val="22"/>
        </w:rPr>
        <w:t xml:space="preserve">, y la </w:t>
      </w:r>
      <w:r w:rsidRPr="00585D21">
        <w:rPr>
          <w:rFonts w:ascii="Palatino Linotype" w:eastAsia="Palatino Linotype" w:hAnsi="Palatino Linotype" w:cs="Palatino Linotype"/>
          <w:b/>
          <w:sz w:val="22"/>
          <w:szCs w:val="22"/>
          <w:u w:val="single"/>
        </w:rPr>
        <w:t>contratación de servicios de cualquier naturaleza, que realicen los Ayuntamientos del Estado</w:t>
      </w:r>
      <w:r w:rsidRPr="00585D21">
        <w:rPr>
          <w:rFonts w:ascii="Palatino Linotype" w:eastAsia="Palatino Linotype" w:hAnsi="Palatino Linotype" w:cs="Palatino Linotype"/>
          <w:b/>
          <w:sz w:val="22"/>
          <w:szCs w:val="22"/>
        </w:rPr>
        <w:t>; los cuales se adjudicarán a través de licitaciones públicas,</w:t>
      </w: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u w:val="single"/>
        </w:rPr>
        <w:t>invitación restringida</w:t>
      </w:r>
      <w:r w:rsidRPr="00585D21">
        <w:rPr>
          <w:rFonts w:ascii="Palatino Linotype" w:eastAsia="Palatino Linotype" w:hAnsi="Palatino Linotype" w:cs="Palatino Linotype"/>
          <w:sz w:val="22"/>
          <w:szCs w:val="22"/>
        </w:rPr>
        <w:t xml:space="preserve"> o adjudicación directa, </w:t>
      </w:r>
      <w:r w:rsidRPr="00585D21">
        <w:rPr>
          <w:rFonts w:ascii="Palatino Linotype" w:eastAsia="Palatino Linotype" w:hAnsi="Palatino Linotype" w:cs="Palatino Linotype"/>
          <w:b/>
          <w:sz w:val="22"/>
          <w:szCs w:val="22"/>
        </w:rPr>
        <w:t>mediante convocatoria pública o invitaciones</w:t>
      </w:r>
      <w:r w:rsidRPr="00585D21">
        <w:rPr>
          <w:rFonts w:ascii="Palatino Linotype" w:eastAsia="Palatino Linotype" w:hAnsi="Palatino Linotype" w:cs="Palatino Linotype"/>
          <w:sz w:val="22"/>
          <w:szCs w:val="22"/>
        </w:rPr>
        <w:t>, tal y como lo establecen los artículos 4, 26 y 27 de dicha Ley, los cuales son del tenor siguiente:</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4.-</w:t>
      </w:r>
      <w:r w:rsidRPr="00585D21">
        <w:rPr>
          <w:rFonts w:ascii="Palatino Linotype" w:eastAsia="Palatino Linotype" w:hAnsi="Palatino Linotype" w:cs="Palatino Linotype"/>
          <w:i/>
          <w:sz w:val="22"/>
          <w:szCs w:val="22"/>
        </w:rPr>
        <w:t xml:space="preserve"> Para los efectos de esta Ley, en las adquisiciones, enajenaciones, arrendamientos y servicios, quedan comprendidos: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I. La adquisición de bienes muebles.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II. La adquisición de bienes inmuebles, a través de compraventa.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III. La enajenación de bienes muebles e inmuebles.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IV. El arrendamiento de bienes muebles e inmuebles.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V. La contratación de los servicios, relacionados con bienes muebles que se encuentran incorporados o adheridos a bienes inmuebles, cuya instalación o mantenimiento no implique modificación al bien inmueble.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VI. La contratación de los servicios de reconstrucción y mantenimiento de bienes muebles.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VII. La contratación de los servicios de maquila, seguros y transportación, así como de los de limpieza y vigilancia de bienes inmuebles</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VIII. La prestación de servicios profesionales, la contratación de consultorías, asesorías y estudios e investigaciones, excepto la contratación de servicios personales de personas físicas bajo el régimen de honorarios. </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En general, otros actos que impliquen la contratación de servicios de cualquier naturaleza.</w:t>
      </w:r>
    </w:p>
    <w:p w:rsidR="0047033F" w:rsidRPr="00585D21" w:rsidRDefault="002229FA">
      <w:pPr>
        <w:pBdr>
          <w:top w:val="nil"/>
          <w:left w:val="nil"/>
          <w:bottom w:val="nil"/>
          <w:right w:val="nil"/>
          <w:between w:val="nil"/>
        </w:pBdr>
        <w:spacing w:before="120" w:after="120"/>
        <w:ind w:left="851" w:right="845"/>
        <w:jc w:val="both"/>
        <w:rPr>
          <w:rFonts w:ascii="Palatino Linotype" w:eastAsia="Palatino Linotype" w:hAnsi="Palatino Linotype" w:cs="Palatino Linotype"/>
          <w:sz w:val="22"/>
          <w:szCs w:val="22"/>
          <w:u w:val="single"/>
        </w:rPr>
      </w:pPr>
      <w:r w:rsidRPr="00585D21">
        <w:rPr>
          <w:rFonts w:ascii="Palatino Linotype" w:eastAsia="Palatino Linotype" w:hAnsi="Palatino Linotype" w:cs="Palatino Linotype"/>
          <w:b/>
          <w:i/>
          <w:sz w:val="22"/>
          <w:szCs w:val="22"/>
          <w:u w:val="single"/>
        </w:rPr>
        <w:t>Artículo 26.- Las adquisiciones, arrendamientos y servicios se adjudicarán a través de licitaciones públicas, mediante convocatoria pública.</w:t>
      </w:r>
    </w:p>
    <w:p w:rsidR="0047033F" w:rsidRPr="00585D21" w:rsidRDefault="002229F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Asimismo, debe decirse que los </w:t>
      </w:r>
      <w:r w:rsidRPr="00585D21">
        <w:rPr>
          <w:rFonts w:ascii="Palatino Linotype" w:eastAsia="Palatino Linotype" w:hAnsi="Palatino Linotype" w:cs="Palatino Linotype"/>
          <w:b/>
          <w:sz w:val="22"/>
          <w:szCs w:val="22"/>
          <w:u w:val="single"/>
        </w:rPr>
        <w:t>expedientes de las adquisiciones</w:t>
      </w:r>
      <w:r w:rsidRPr="00585D21">
        <w:rPr>
          <w:rFonts w:ascii="Palatino Linotype" w:eastAsia="Palatino Linotype" w:hAnsi="Palatino Linotype" w:cs="Palatino Linotype"/>
          <w:sz w:val="22"/>
          <w:szCs w:val="22"/>
        </w:rPr>
        <w:t xml:space="preserve">, arrendamientos, enajenaciones </w:t>
      </w:r>
      <w:r w:rsidRPr="00585D21">
        <w:rPr>
          <w:rFonts w:ascii="Palatino Linotype" w:eastAsia="Palatino Linotype" w:hAnsi="Palatino Linotype" w:cs="Palatino Linotype"/>
          <w:b/>
          <w:sz w:val="22"/>
          <w:szCs w:val="22"/>
          <w:u w:val="single"/>
        </w:rPr>
        <w:t>y servicios</w:t>
      </w:r>
      <w:r w:rsidRPr="00585D21">
        <w:rPr>
          <w:rFonts w:ascii="Palatino Linotype" w:eastAsia="Palatino Linotype" w:hAnsi="Palatino Linotype" w:cs="Palatino Linotype"/>
          <w:sz w:val="22"/>
          <w:szCs w:val="22"/>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“Artículo 92. </w:t>
      </w:r>
      <w:r w:rsidRPr="00585D21">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i/>
          <w:sz w:val="22"/>
          <w:szCs w:val="22"/>
        </w:rPr>
        <w:t>(…)</w:t>
      </w:r>
    </w:p>
    <w:p w:rsidR="0047033F" w:rsidRPr="00585D21" w:rsidRDefault="0047033F">
      <w:pPr>
        <w:rPr>
          <w:rFonts w:ascii="Palatino Linotype" w:eastAsia="Palatino Linotype" w:hAnsi="Palatino Linotype" w:cs="Palatino Linotype"/>
          <w:sz w:val="22"/>
          <w:szCs w:val="22"/>
        </w:rPr>
      </w:pP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XXIX. </w:t>
      </w:r>
      <w:r w:rsidRPr="00585D21">
        <w:rPr>
          <w:rFonts w:ascii="Palatino Linotype" w:eastAsia="Palatino Linotype" w:hAnsi="Palatino Linotype" w:cs="Palatino Linotype"/>
          <w:i/>
          <w:sz w:val="22"/>
          <w:szCs w:val="22"/>
        </w:rPr>
        <w:t>La información sobre los procesos y resultados sobre procedimientos de adjudicación directa, invitación restringida y licitación de cualquier naturaleza, </w:t>
      </w:r>
      <w:r w:rsidRPr="00585D21">
        <w:rPr>
          <w:rFonts w:ascii="Palatino Linotype" w:eastAsia="Palatino Linotype" w:hAnsi="Palatino Linotype" w:cs="Palatino Linotype"/>
          <w:b/>
          <w:i/>
          <w:sz w:val="22"/>
          <w:szCs w:val="22"/>
          <w:u w:val="single"/>
        </w:rPr>
        <w:t>incluyendo la versión pública del expediente respectivo y de los contratos</w:t>
      </w:r>
      <w:r w:rsidRPr="00585D21">
        <w:rPr>
          <w:rFonts w:ascii="Palatino Linotype" w:eastAsia="Palatino Linotype" w:hAnsi="Palatino Linotype" w:cs="Palatino Linotype"/>
          <w:i/>
          <w:sz w:val="22"/>
          <w:szCs w:val="22"/>
        </w:rPr>
        <w:t> celebrados, que deberán contener, por los menos, lo siguiente:</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u w:val="single"/>
        </w:rPr>
        <w:t>a) De licitaciones públicas o procedimientos de invitación restringida</w:t>
      </w:r>
      <w:r w:rsidRPr="00585D21">
        <w:rPr>
          <w:rFonts w:ascii="Palatino Linotype" w:eastAsia="Palatino Linotype" w:hAnsi="Palatino Linotype" w:cs="Palatino Linotype"/>
          <w:i/>
          <w:sz w:val="22"/>
          <w:szCs w:val="22"/>
        </w:rPr>
        <w:t>:</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b/>
          <w:sz w:val="22"/>
          <w:szCs w:val="22"/>
          <w:u w:val="single"/>
        </w:rPr>
      </w:pPr>
      <w:r w:rsidRPr="00585D21">
        <w:rPr>
          <w:rFonts w:ascii="Palatino Linotype" w:eastAsia="Palatino Linotype" w:hAnsi="Palatino Linotype" w:cs="Palatino Linotype"/>
          <w:b/>
          <w:i/>
          <w:sz w:val="22"/>
          <w:szCs w:val="22"/>
          <w:u w:val="single"/>
        </w:rPr>
        <w:t>1) La convocatoria o invitación emitida, así como los fundamentos legales aplicados para llevarla a cabo;</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2) </w:t>
      </w:r>
      <w:r w:rsidRPr="00585D21">
        <w:rPr>
          <w:rFonts w:ascii="Palatino Linotype" w:eastAsia="Palatino Linotype" w:hAnsi="Palatino Linotype" w:cs="Palatino Linotype"/>
          <w:i/>
          <w:sz w:val="22"/>
          <w:szCs w:val="22"/>
        </w:rPr>
        <w:t>Los nombres de los participantes o invitados;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3) </w:t>
      </w:r>
      <w:r w:rsidRPr="00585D21">
        <w:rPr>
          <w:rFonts w:ascii="Palatino Linotype" w:eastAsia="Palatino Linotype" w:hAnsi="Palatino Linotype" w:cs="Palatino Linotype"/>
          <w:i/>
          <w:sz w:val="22"/>
          <w:szCs w:val="22"/>
        </w:rPr>
        <w:t>El nombre del ganador y las razones que lo justifican;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4) </w:t>
      </w:r>
      <w:r w:rsidRPr="00585D21">
        <w:rPr>
          <w:rFonts w:ascii="Palatino Linotype" w:eastAsia="Palatino Linotype" w:hAnsi="Palatino Linotype" w:cs="Palatino Linotype"/>
          <w:i/>
          <w:sz w:val="22"/>
          <w:szCs w:val="22"/>
        </w:rPr>
        <w:t>El área solicitante y la responsable de su ejecución;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5) </w:t>
      </w:r>
      <w:r w:rsidRPr="00585D21">
        <w:rPr>
          <w:rFonts w:ascii="Palatino Linotype" w:eastAsia="Palatino Linotype" w:hAnsi="Palatino Linotype" w:cs="Palatino Linotype"/>
          <w:i/>
          <w:sz w:val="22"/>
          <w:szCs w:val="22"/>
        </w:rPr>
        <w:t>Las convocatorias e invitaciones emitidas;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6)</w:t>
      </w:r>
      <w:r w:rsidRPr="00585D21">
        <w:rPr>
          <w:rFonts w:ascii="Palatino Linotype" w:eastAsia="Palatino Linotype" w:hAnsi="Palatino Linotype" w:cs="Palatino Linotype"/>
          <w:i/>
          <w:sz w:val="22"/>
          <w:szCs w:val="22"/>
        </w:rPr>
        <w:t> Los dictámenes y fallo de adjudicación;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b/>
          <w:sz w:val="22"/>
          <w:szCs w:val="22"/>
          <w:u w:val="single"/>
        </w:rPr>
      </w:pPr>
      <w:r w:rsidRPr="00585D21">
        <w:rPr>
          <w:rFonts w:ascii="Palatino Linotype" w:eastAsia="Palatino Linotype" w:hAnsi="Palatino Linotype" w:cs="Palatino Linotype"/>
          <w:b/>
          <w:i/>
          <w:sz w:val="22"/>
          <w:szCs w:val="22"/>
          <w:u w:val="single"/>
        </w:rPr>
        <w:t>7) El contrato y, en su caso, sus anexos;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8) </w:t>
      </w:r>
      <w:r w:rsidRPr="00585D21">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9) </w:t>
      </w:r>
      <w:r w:rsidRPr="00585D21">
        <w:rPr>
          <w:rFonts w:ascii="Palatino Linotype" w:eastAsia="Palatino Linotype" w:hAnsi="Palatino Linotype" w:cs="Palatino Linotype"/>
          <w:i/>
          <w:sz w:val="22"/>
          <w:szCs w:val="22"/>
        </w:rPr>
        <w:t>La partida presupuestal, de conformidad con el clasificador por objeto del gasto, en el caso de ser aplicable;</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10) </w:t>
      </w:r>
      <w:r w:rsidRPr="00585D21">
        <w:rPr>
          <w:rFonts w:ascii="Palatino Linotype" w:eastAsia="Palatino Linotype" w:hAnsi="Palatino Linotype" w:cs="Palatino Linotype"/>
          <w:i/>
          <w:sz w:val="22"/>
          <w:szCs w:val="22"/>
        </w:rPr>
        <w:t>Origen de los recursos especificando si son federales, estatales o municipales</w:t>
      </w:r>
      <w:r w:rsidRPr="00585D21">
        <w:rPr>
          <w:rFonts w:ascii="Palatino Linotype" w:eastAsia="Palatino Linotype" w:hAnsi="Palatino Linotype" w:cs="Palatino Linotype"/>
          <w:b/>
          <w:i/>
          <w:sz w:val="22"/>
          <w:szCs w:val="22"/>
        </w:rPr>
        <w:t xml:space="preserve">, </w:t>
      </w:r>
      <w:r w:rsidRPr="00585D21">
        <w:rPr>
          <w:rFonts w:ascii="Palatino Linotype" w:eastAsia="Palatino Linotype" w:hAnsi="Palatino Linotype" w:cs="Palatino Linotype"/>
          <w:i/>
          <w:sz w:val="22"/>
          <w:szCs w:val="22"/>
        </w:rPr>
        <w:t>así como el tipo de fondo de participación o aportación respectiva;</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11) </w:t>
      </w:r>
      <w:r w:rsidRPr="00585D21">
        <w:rPr>
          <w:rFonts w:ascii="Palatino Linotype" w:eastAsia="Palatino Linotype" w:hAnsi="Palatino Linotype" w:cs="Palatino Linotype"/>
          <w:i/>
          <w:sz w:val="22"/>
          <w:szCs w:val="22"/>
        </w:rPr>
        <w:t>Los convenios modificatorios que, en su caso, sean firmados, precisando el objeto y la fecha de celebración;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12) </w:t>
      </w:r>
      <w:r w:rsidRPr="00585D21">
        <w:rPr>
          <w:rFonts w:ascii="Palatino Linotype" w:eastAsia="Palatino Linotype" w:hAnsi="Palatino Linotype" w:cs="Palatino Linotype"/>
          <w:i/>
          <w:sz w:val="22"/>
          <w:szCs w:val="22"/>
        </w:rPr>
        <w:t>Los informes de avance físico y financiero sobre las obras o servicios contratados;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13) </w:t>
      </w:r>
      <w:r w:rsidRPr="00585D21">
        <w:rPr>
          <w:rFonts w:ascii="Palatino Linotype" w:eastAsia="Palatino Linotype" w:hAnsi="Palatino Linotype" w:cs="Palatino Linotype"/>
          <w:i/>
          <w:sz w:val="22"/>
          <w:szCs w:val="22"/>
        </w:rPr>
        <w:t>El convenio de terminación; y</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14) </w:t>
      </w:r>
      <w:r w:rsidRPr="00585D21">
        <w:rPr>
          <w:rFonts w:ascii="Palatino Linotype" w:eastAsia="Palatino Linotype" w:hAnsi="Palatino Linotype" w:cs="Palatino Linotype"/>
          <w:i/>
          <w:sz w:val="22"/>
          <w:szCs w:val="22"/>
        </w:rPr>
        <w:t>El finiquito.</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b) </w:t>
      </w:r>
      <w:r w:rsidRPr="00585D21">
        <w:rPr>
          <w:rFonts w:ascii="Palatino Linotype" w:eastAsia="Palatino Linotype" w:hAnsi="Palatino Linotype" w:cs="Palatino Linotype"/>
          <w:i/>
          <w:sz w:val="22"/>
          <w:szCs w:val="22"/>
        </w:rPr>
        <w:t>De las adjudicaciones directas: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 </w:t>
      </w:r>
      <w:r w:rsidRPr="00585D21">
        <w:rPr>
          <w:rFonts w:ascii="Palatino Linotype" w:eastAsia="Palatino Linotype" w:hAnsi="Palatino Linotype" w:cs="Palatino Linotype"/>
          <w:i/>
          <w:sz w:val="22"/>
          <w:szCs w:val="22"/>
        </w:rPr>
        <w:t>La propuesta enviada por el participante;</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2) </w:t>
      </w:r>
      <w:r w:rsidRPr="00585D21">
        <w:rPr>
          <w:rFonts w:ascii="Palatino Linotype" w:eastAsia="Palatino Linotype" w:hAnsi="Palatino Linotype" w:cs="Palatino Linotype"/>
          <w:i/>
          <w:sz w:val="22"/>
          <w:szCs w:val="22"/>
        </w:rPr>
        <w:t>Los motivos y fundamentos legales aplicados para llevarla a cabo;</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3) </w:t>
      </w:r>
      <w:r w:rsidRPr="00585D21">
        <w:rPr>
          <w:rFonts w:ascii="Palatino Linotype" w:eastAsia="Palatino Linotype" w:hAnsi="Palatino Linotype" w:cs="Palatino Linotype"/>
          <w:i/>
          <w:sz w:val="22"/>
          <w:szCs w:val="22"/>
        </w:rPr>
        <w:t>La autorización del ejercicio de la opción;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4)</w:t>
      </w:r>
      <w:r w:rsidRPr="00585D21">
        <w:rPr>
          <w:rFonts w:ascii="Palatino Linotype" w:eastAsia="Palatino Linotype" w:hAnsi="Palatino Linotype" w:cs="Palatino Linotype"/>
          <w:i/>
          <w:sz w:val="22"/>
          <w:szCs w:val="22"/>
        </w:rPr>
        <w:t> En su caso, las cotizaciones consideradas, especificando los nombres de los proveedores y sus montos;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5) </w:t>
      </w:r>
      <w:r w:rsidRPr="00585D21">
        <w:rPr>
          <w:rFonts w:ascii="Palatino Linotype" w:eastAsia="Palatino Linotype" w:hAnsi="Palatino Linotype" w:cs="Palatino Linotype"/>
          <w:i/>
          <w:sz w:val="22"/>
          <w:szCs w:val="22"/>
        </w:rPr>
        <w:t>El nombre de la persona física o jurídica colectiva adjudicada;</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6) </w:t>
      </w:r>
      <w:r w:rsidRPr="00585D21">
        <w:rPr>
          <w:rFonts w:ascii="Palatino Linotype" w:eastAsia="Palatino Linotype" w:hAnsi="Palatino Linotype" w:cs="Palatino Linotype"/>
          <w:i/>
          <w:sz w:val="22"/>
          <w:szCs w:val="22"/>
        </w:rPr>
        <w:t>La unidad administrativa solicitante y la responsable de su ejecución;</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b/>
          <w:sz w:val="22"/>
          <w:szCs w:val="22"/>
          <w:u w:val="single"/>
        </w:rPr>
      </w:pPr>
      <w:r w:rsidRPr="00585D21">
        <w:rPr>
          <w:rFonts w:ascii="Palatino Linotype" w:eastAsia="Palatino Linotype" w:hAnsi="Palatino Linotype" w:cs="Palatino Linotype"/>
          <w:b/>
          <w:i/>
          <w:sz w:val="22"/>
          <w:szCs w:val="22"/>
          <w:u w:val="single"/>
        </w:rPr>
        <w:t>7) El número, fecha, el monto del contrato y el plazo de entrega o de ejecución de los servicios u obra;</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8) </w:t>
      </w:r>
      <w:r w:rsidRPr="00585D21">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9) </w:t>
      </w:r>
      <w:r w:rsidRPr="00585D21">
        <w:rPr>
          <w:rFonts w:ascii="Palatino Linotype" w:eastAsia="Palatino Linotype" w:hAnsi="Palatino Linotype" w:cs="Palatino Linotype"/>
          <w:i/>
          <w:sz w:val="22"/>
          <w:szCs w:val="22"/>
        </w:rPr>
        <w:t>Los informes de avance sobre las obras o servicios contratados;</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10) </w:t>
      </w:r>
      <w:r w:rsidRPr="00585D21">
        <w:rPr>
          <w:rFonts w:ascii="Palatino Linotype" w:eastAsia="Palatino Linotype" w:hAnsi="Palatino Linotype" w:cs="Palatino Linotype"/>
          <w:i/>
          <w:sz w:val="22"/>
          <w:szCs w:val="22"/>
        </w:rPr>
        <w:t>El convenio de terminación; y</w:t>
      </w:r>
    </w:p>
    <w:p w:rsidR="0047033F" w:rsidRPr="00585D21" w:rsidRDefault="002229FA">
      <w:pPr>
        <w:pBdr>
          <w:top w:val="nil"/>
          <w:left w:val="nil"/>
          <w:bottom w:val="nil"/>
          <w:right w:val="nil"/>
          <w:between w:val="nil"/>
        </w:pBdr>
        <w:ind w:left="851" w:right="843"/>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i/>
          <w:sz w:val="22"/>
          <w:szCs w:val="22"/>
        </w:rPr>
        <w:t>11) </w:t>
      </w:r>
      <w:r w:rsidRPr="00585D21">
        <w:rPr>
          <w:rFonts w:ascii="Palatino Linotype" w:eastAsia="Palatino Linotype" w:hAnsi="Palatino Linotype" w:cs="Palatino Linotype"/>
          <w:i/>
          <w:sz w:val="22"/>
          <w:szCs w:val="22"/>
        </w:rPr>
        <w:t>El finiquito.</w:t>
      </w:r>
      <w:r w:rsidRPr="00585D21">
        <w:rPr>
          <w:rFonts w:ascii="Palatino Linotype" w:eastAsia="Palatino Linotype" w:hAnsi="Palatino Linotype" w:cs="Palatino Linotype"/>
          <w:b/>
          <w:i/>
          <w:sz w:val="22"/>
          <w:szCs w:val="22"/>
        </w:rPr>
        <w:t>”</w:t>
      </w:r>
    </w:p>
    <w:p w:rsidR="0047033F" w:rsidRPr="00585D21" w:rsidRDefault="0047033F">
      <w:pPr>
        <w:rPr>
          <w:rFonts w:ascii="Palatino Linotype" w:eastAsia="Palatino Linotype" w:hAnsi="Palatino Linotype" w:cs="Palatino Linotype"/>
          <w:sz w:val="22"/>
          <w:szCs w:val="22"/>
        </w:rPr>
      </w:pPr>
    </w:p>
    <w:p w:rsidR="0047033F" w:rsidRPr="00585D21" w:rsidRDefault="002229F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De lo anterior, se desprende que los Sujetos Obligados están constreñidos a poner a disposición del público de manera constante y actualizada, de forma sencilla, precisa y entendible, en los respectivos medios electrónicos, la información referente a los procesos y resultados sobre procedimientos de invitación restringida y licitación de cualquier naturaleza, en el que se debe contener dentro de la versión pública del expediente respectivo, el cual debe contener entre otros requisitos </w:t>
      </w:r>
      <w:r w:rsidRPr="00585D21">
        <w:rPr>
          <w:rFonts w:ascii="Palatino Linotype" w:eastAsia="Palatino Linotype" w:hAnsi="Palatino Linotype" w:cs="Palatino Linotype"/>
          <w:b/>
          <w:sz w:val="22"/>
          <w:szCs w:val="22"/>
        </w:rPr>
        <w:t>d</w:t>
      </w:r>
      <w:r w:rsidRPr="00585D21">
        <w:rPr>
          <w:rFonts w:ascii="Palatino Linotype" w:eastAsia="Palatino Linotype" w:hAnsi="Palatino Linotype" w:cs="Palatino Linotype"/>
          <w:b/>
          <w:sz w:val="22"/>
          <w:szCs w:val="22"/>
          <w:u w:val="single"/>
        </w:rPr>
        <w:t>e licitaciones públicas o procedimientos de invitación restringida</w:t>
      </w:r>
      <w:r w:rsidRPr="00585D21">
        <w:rPr>
          <w:rFonts w:ascii="Palatino Linotype" w:eastAsia="Palatino Linotype" w:hAnsi="Palatino Linotype" w:cs="Palatino Linotype"/>
          <w:b/>
          <w:sz w:val="22"/>
          <w:szCs w:val="22"/>
        </w:rPr>
        <w:t xml:space="preserve">: </w:t>
      </w:r>
      <w:r w:rsidRPr="00585D21">
        <w:rPr>
          <w:rFonts w:ascii="Palatino Linotype" w:eastAsia="Palatino Linotype" w:hAnsi="Palatino Linotype" w:cs="Palatino Linotype"/>
          <w:b/>
          <w:sz w:val="22"/>
          <w:szCs w:val="22"/>
          <w:u w:val="single"/>
        </w:rPr>
        <w:t>el contrato celebrado</w:t>
      </w:r>
      <w:r w:rsidRPr="00585D21">
        <w:rPr>
          <w:rFonts w:ascii="Palatino Linotype" w:eastAsia="Palatino Linotype" w:hAnsi="Palatino Linotype" w:cs="Palatino Linotype"/>
          <w:b/>
          <w:sz w:val="22"/>
          <w:szCs w:val="22"/>
        </w:rPr>
        <w:t xml:space="preserve">, </w:t>
      </w:r>
      <w:r w:rsidRPr="00585D21">
        <w:rPr>
          <w:rFonts w:ascii="Palatino Linotype" w:eastAsia="Palatino Linotype" w:hAnsi="Palatino Linotype" w:cs="Palatino Linotype"/>
          <w:sz w:val="22"/>
          <w:szCs w:val="22"/>
        </w:rPr>
        <w:t>documento que por su propia naturaleza refiere los montos acordados para la adquisición de bienes y/o la contratación de servicios.</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otro lado, la cantidad gastada en juguetes, dulces, juegos inflables, y en general el costo del evento, no debe perderse de vista el pronunciamiento emitido por la Tesorería Municipal, la cual, como la dependencia encargada de las erogaciones, manifestó que los documentos solicitados formaban parte de la integración del segundo informe trimestral de 2025, lo cual se traduce en que reconoció de manera expresa contar con la información requerida por la persona solicitante, sin embargo, esta no fue proporcionada.</w:t>
      </w:r>
    </w:p>
    <w:p w:rsidR="0047033F" w:rsidRPr="00585D21" w:rsidRDefault="002229FA">
      <w:pPr>
        <w:spacing w:before="240" w:after="240" w:line="360" w:lineRule="auto"/>
        <w:ind w:right="49"/>
        <w:jc w:val="both"/>
        <w:rPr>
          <w:rFonts w:ascii="Palatino Linotype" w:eastAsia="Palatino Linotype" w:hAnsi="Palatino Linotype" w:cs="Palatino Linotype"/>
          <w:b/>
          <w:sz w:val="22"/>
          <w:szCs w:val="22"/>
          <w:u w:val="single"/>
        </w:rPr>
      </w:pPr>
      <w:r w:rsidRPr="00585D21">
        <w:rPr>
          <w:rFonts w:ascii="Palatino Linotype" w:eastAsia="Palatino Linotype" w:hAnsi="Palatino Linotype" w:cs="Palatino Linotype"/>
          <w:sz w:val="22"/>
          <w:szCs w:val="22"/>
        </w:rPr>
        <w:t xml:space="preserve">Al respecto, se estima necesario precisar que si bien, los entes fiscalizables se encuentran constreñidos para cumplir con sus obligaciones fiscales en términos y periodicidad dispuesta por la normatividad correspondiente, ello </w:t>
      </w:r>
      <w:r w:rsidRPr="00585D21">
        <w:rPr>
          <w:rFonts w:ascii="Palatino Linotype" w:eastAsia="Palatino Linotype" w:hAnsi="Palatino Linotype" w:cs="Palatino Linotype"/>
          <w:b/>
          <w:sz w:val="22"/>
          <w:szCs w:val="22"/>
          <w:u w:val="single"/>
        </w:rPr>
        <w:t>no significa que los Sujetos Obligados no permitan el acceso a la información que por su naturaleza deben generar de manera diaria, semanal o mensual, cuando ello se solicite en el ejercicio del derecho de acceso a la información.</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Bajo los argumentos expuestos, se estima que para tener por satisfecho la solicitud de información es necesario que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previa búsqueda exhaustiva y razonable haga entrega de los contratos celebrados con motivo de la “Feria del Día del Niño 2025”, así como el soporte documental que dé cuenta de la cantidad erogada en juguetes y dulces, la o las facturas que amparen el gasto de los juegos inflables, así como el costo del evento “Feria del Día del Niño”, con que se cuente al siete de mayo de dos mil veinticinco, en versión pública de ser procedente.</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No obstante, si derivado de la búsqueda que se ordena no se llegara a localizar información por no haberse generado, no se administre y/o posea,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19</w:t>
      </w:r>
      <w:r w:rsidRPr="00585D21">
        <w:rPr>
          <w:rFonts w:ascii="Palatino Linotype" w:eastAsia="Palatino Linotype" w:hAnsi="Palatino Linotype" w:cs="Palatino Linotype"/>
          <w:i/>
          <w:sz w:val="22"/>
          <w:szCs w:val="22"/>
        </w:rPr>
        <w:t>…</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Finalmente, se dejan a salvo los derechos de la persona solicitante para que en caso de considerarlo oportuno a sus intereses pueda presentar una nueva solicitud ante el Sistema Municipal para el Desarrollo Integral de la Familia de Toluca, a fin de requerir la información que es de su interés relacionada con el evento referido.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De lo hasta aquí expuesto, se concluye que los motivos de inconformidad de la parte </w:t>
      </w:r>
      <w:r w:rsidRPr="00585D21">
        <w:rPr>
          <w:rFonts w:ascii="Palatino Linotype" w:eastAsia="Palatino Linotype" w:hAnsi="Palatino Linotype" w:cs="Palatino Linotype"/>
          <w:b/>
          <w:sz w:val="22"/>
          <w:szCs w:val="22"/>
        </w:rPr>
        <w:t xml:space="preserve">Recurrente </w:t>
      </w:r>
      <w:r w:rsidRPr="00585D21">
        <w:rPr>
          <w:rFonts w:ascii="Palatino Linotype" w:eastAsia="Palatino Linotype" w:hAnsi="Palatino Linotype" w:cs="Palatino Linotype"/>
          <w:sz w:val="22"/>
          <w:szCs w:val="22"/>
        </w:rPr>
        <w:t xml:space="preserve">devienen fundados, siendo procedente </w:t>
      </w:r>
      <w:r w:rsidRPr="00585D21">
        <w:rPr>
          <w:rFonts w:ascii="Palatino Linotype" w:eastAsia="Palatino Linotype" w:hAnsi="Palatino Linotype" w:cs="Palatino Linotype"/>
          <w:i/>
          <w:sz w:val="22"/>
          <w:szCs w:val="22"/>
        </w:rPr>
        <w:t xml:space="preserve">Modificar </w:t>
      </w:r>
      <w:r w:rsidRPr="00585D21">
        <w:rPr>
          <w:rFonts w:ascii="Palatino Linotype" w:eastAsia="Palatino Linotype" w:hAnsi="Palatino Linotype" w:cs="Palatino Linotype"/>
          <w:sz w:val="22"/>
          <w:szCs w:val="22"/>
        </w:rPr>
        <w:t xml:space="preserve">la respuesta proporcionada por el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rsidR="0047033F" w:rsidRPr="00585D21" w:rsidRDefault="002229FA">
      <w:pP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xml:space="preserve">Quinto. Versión Pública. </w:t>
      </w:r>
      <w:r w:rsidRPr="00585D21">
        <w:rPr>
          <w:rFonts w:ascii="Palatino Linotype" w:eastAsia="Palatino Linotype" w:hAnsi="Palatino Linotype" w:cs="Palatino Linotype"/>
          <w:sz w:val="22"/>
          <w:szCs w:val="22"/>
        </w:rPr>
        <w:t>Como fue debidamente apuntado,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sz w:val="22"/>
          <w:szCs w:val="22"/>
        </w:rPr>
        <w:t> </w:t>
      </w: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3.</w:t>
      </w:r>
      <w:r w:rsidRPr="00585D21">
        <w:rPr>
          <w:rFonts w:ascii="Palatino Linotype" w:eastAsia="Palatino Linotype" w:hAnsi="Palatino Linotype" w:cs="Palatino Linotype"/>
          <w:i/>
          <w:sz w:val="22"/>
          <w:szCs w:val="22"/>
        </w:rPr>
        <w:t xml:space="preserve"> Para los efectos de la presente Ley se entenderá por:</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IX. Datos personales</w:t>
      </w:r>
      <w:r w:rsidRPr="00585D2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XX. Información clasificada</w:t>
      </w:r>
      <w:r w:rsidRPr="00585D21">
        <w:rPr>
          <w:rFonts w:ascii="Palatino Linotype" w:eastAsia="Palatino Linotype" w:hAnsi="Palatino Linotype" w:cs="Palatino Linotype"/>
          <w:i/>
          <w:sz w:val="22"/>
          <w:szCs w:val="22"/>
        </w:rPr>
        <w:t>: Aquella considerada por la presente Ley como reservada o confidencial;</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XXI. Información confidencial</w:t>
      </w:r>
      <w:r w:rsidRPr="00585D2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XXXII. Protección de Datos Personales</w:t>
      </w:r>
      <w:r w:rsidRPr="00585D21">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tabs>
          <w:tab w:val="left" w:pos="1276"/>
        </w:tabs>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XLV. Versión pública</w:t>
      </w:r>
      <w:r w:rsidRPr="00585D2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Artículo 6</w:t>
      </w:r>
      <w:r w:rsidRPr="00585D2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Artículo 91.</w:t>
      </w:r>
      <w:r w:rsidRPr="00585D2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585D21">
        <w:rPr>
          <w:rFonts w:ascii="Palatino Linotype" w:eastAsia="Palatino Linotype" w:hAnsi="Palatino Linotype" w:cs="Palatino Linotype"/>
          <w:i/>
          <w:sz w:val="22"/>
          <w:szCs w:val="22"/>
        </w:rPr>
        <w:br/>
        <w:t>…</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Artículo 132.</w:t>
      </w:r>
      <w:r w:rsidRPr="00585D21">
        <w:rPr>
          <w:rFonts w:ascii="Palatino Linotype" w:eastAsia="Palatino Linotype" w:hAnsi="Palatino Linotype" w:cs="Palatino Linotype"/>
          <w:i/>
          <w:sz w:val="22"/>
          <w:szCs w:val="22"/>
        </w:rPr>
        <w:t xml:space="preserve"> La clasificación de la información se llevará a cabo en el momento en que:</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Se reciba una solicitud de acceso a la información;</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w:t>
      </w:r>
      <w:r w:rsidRPr="00585D21">
        <w:rPr>
          <w:rFonts w:ascii="Palatino Linotype" w:eastAsia="Palatino Linotype" w:hAnsi="Palatino Linotype" w:cs="Palatino Linotype"/>
          <w:i/>
          <w:sz w:val="22"/>
          <w:szCs w:val="22"/>
        </w:rPr>
        <w:t xml:space="preserve"> Se determine mediante resolución de autoridad competente; o</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III.</w:t>
      </w:r>
      <w:r w:rsidRPr="00585D2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Artículo 137.</w:t>
      </w:r>
      <w:r w:rsidRPr="00585D2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Artículo 143.</w:t>
      </w:r>
      <w:r w:rsidRPr="00585D2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La </w:t>
      </w:r>
      <w:r w:rsidRPr="00585D21">
        <w:rPr>
          <w:rFonts w:ascii="Palatino Linotype" w:eastAsia="Palatino Linotype" w:hAnsi="Palatino Linotype" w:cs="Palatino Linotype"/>
          <w:b/>
          <w:sz w:val="22"/>
          <w:szCs w:val="22"/>
        </w:rPr>
        <w:t>clave de elector</w:t>
      </w:r>
      <w:r w:rsidRPr="00585D21">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El </w:t>
      </w:r>
      <w:r w:rsidRPr="00585D21">
        <w:rPr>
          <w:rFonts w:ascii="Palatino Linotype" w:eastAsia="Palatino Linotype" w:hAnsi="Palatino Linotype" w:cs="Palatino Linotype"/>
          <w:b/>
          <w:sz w:val="22"/>
          <w:szCs w:val="22"/>
        </w:rPr>
        <w:t>número de OCR,</w:t>
      </w:r>
      <w:r w:rsidRPr="00585D21">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La </w:t>
      </w:r>
      <w:r w:rsidRPr="00585D21">
        <w:rPr>
          <w:rFonts w:ascii="Palatino Linotype" w:eastAsia="Palatino Linotype" w:hAnsi="Palatino Linotype" w:cs="Palatino Linotype"/>
          <w:b/>
          <w:sz w:val="22"/>
          <w:szCs w:val="22"/>
        </w:rPr>
        <w:t>clave única del registro de población,</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Igualmente, resulta importante destacar que el </w:t>
      </w:r>
      <w:r w:rsidRPr="00585D21">
        <w:rPr>
          <w:rFonts w:ascii="Palatino Linotype" w:eastAsia="Palatino Linotype" w:hAnsi="Palatino Linotype" w:cs="Palatino Linotype"/>
          <w:i/>
          <w:sz w:val="22"/>
          <w:szCs w:val="22"/>
        </w:rPr>
        <w:t>número de cuenta bancaria</w:t>
      </w:r>
      <w:r w:rsidRPr="00585D21">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rsidR="0047033F" w:rsidRPr="00585D21" w:rsidRDefault="002229FA">
      <w:pPr>
        <w:spacing w:before="240" w:after="24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“Cuentas bancarias y/o CLABE interbancaria de personas físicas y morales privadas.</w:t>
      </w:r>
      <w:r w:rsidRPr="00585D21">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7033F" w:rsidRPr="00585D21" w:rsidRDefault="002229FA">
      <w:pPr>
        <w:spacing w:before="240" w:after="24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585D21">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Por cuanto hace al </w:t>
      </w:r>
      <w:r w:rsidRPr="00585D21">
        <w:rPr>
          <w:rFonts w:ascii="Palatino Linotype" w:eastAsia="Palatino Linotype" w:hAnsi="Palatino Linotype" w:cs="Palatino Linotype"/>
          <w:b/>
          <w:sz w:val="22"/>
          <w:szCs w:val="22"/>
        </w:rPr>
        <w:t xml:space="preserve">Registro Federal de Contribuyentes (RFC) </w:t>
      </w:r>
      <w:r w:rsidRPr="00585D21">
        <w:rPr>
          <w:rFonts w:ascii="Palatino Linotype" w:eastAsia="Palatino Linotype" w:hAnsi="Palatino Linotype" w:cs="Palatino Linotype"/>
          <w:sz w:val="22"/>
          <w:szCs w:val="22"/>
        </w:rPr>
        <w:t>y</w:t>
      </w:r>
      <w:r w:rsidRPr="00585D21">
        <w:rPr>
          <w:rFonts w:ascii="Palatino Linotype" w:eastAsia="Palatino Linotype" w:hAnsi="Palatino Linotype" w:cs="Palatino Linotype"/>
          <w:b/>
          <w:sz w:val="22"/>
          <w:szCs w:val="22"/>
        </w:rPr>
        <w:t xml:space="preserve"> el domicilio fiscal </w:t>
      </w:r>
      <w:r w:rsidRPr="00585D21">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585D21">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585D21">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xml:space="preserve">“Registro Federal de Contribuyentes (RFC) de personas físicas proveedoras o contratistas. </w:t>
      </w:r>
      <w:r w:rsidRPr="00585D21">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Relacionado con lo anterior, el </w:t>
      </w:r>
      <w:r w:rsidRPr="00585D21">
        <w:rPr>
          <w:rFonts w:ascii="Palatino Linotype" w:eastAsia="Palatino Linotype" w:hAnsi="Palatino Linotype" w:cs="Palatino Linotype"/>
          <w:b/>
          <w:sz w:val="22"/>
          <w:szCs w:val="22"/>
        </w:rPr>
        <w:t>nombre de las personas físicas</w:t>
      </w:r>
      <w:r w:rsidRPr="00585D21">
        <w:rPr>
          <w:rFonts w:ascii="Palatino Linotype" w:eastAsia="Palatino Linotype" w:hAnsi="Palatino Linotype" w:cs="Palatino Linotype"/>
          <w:sz w:val="22"/>
          <w:szCs w:val="22"/>
        </w:rPr>
        <w:t xml:space="preserve"> o los </w:t>
      </w:r>
      <w:r w:rsidRPr="00585D21">
        <w:rPr>
          <w:rFonts w:ascii="Palatino Linotype" w:eastAsia="Palatino Linotype" w:hAnsi="Palatino Linotype" w:cs="Palatino Linotype"/>
          <w:b/>
          <w:sz w:val="22"/>
          <w:szCs w:val="22"/>
        </w:rPr>
        <w:t>representantes legales de las personas morales</w:t>
      </w:r>
      <w:r w:rsidRPr="00585D21">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23.</w:t>
      </w:r>
      <w:r w:rsidRPr="00585D21">
        <w:rPr>
          <w:rFonts w:ascii="Palatino Linotype" w:eastAsia="Palatino Linotype" w:hAnsi="Palatino Linotype" w:cs="Palatino Linotype"/>
          <w:i/>
          <w:sz w:val="22"/>
          <w:szCs w:val="22"/>
        </w:rPr>
        <w:t xml:space="preserve">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7033F" w:rsidRPr="00585D21" w:rsidRDefault="002229FA">
      <w:pPr>
        <w:spacing w:before="280" w:after="28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Asimismo, resulta aplicable el contenido del criterio de interpretación 01/19 emitido por el entonces Instituto Nacional de Transparencia, Acceso a la Información, y Protección de Datos Personales, INAI, que lleva por rubro y texto los siguientes;</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“Datos de identificación del representante o apoderado legal.</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 xml:space="preserve">Naturaleza jurídica. </w:t>
      </w:r>
      <w:r w:rsidRPr="00585D21">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585D21">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585D21">
        <w:rPr>
          <w:rFonts w:ascii="Palatino Linotype" w:eastAsia="Palatino Linotype" w:hAnsi="Palatino Linotype" w:cs="Palatino Linotype"/>
          <w:i/>
          <w:sz w:val="22"/>
          <w:szCs w:val="22"/>
        </w:rPr>
        <w:t>.”</w:t>
      </w:r>
    </w:p>
    <w:p w:rsidR="0047033F" w:rsidRPr="00585D21" w:rsidRDefault="002229FA">
      <w:pPr>
        <w:spacing w:before="240" w:after="240" w:line="360" w:lineRule="auto"/>
        <w:ind w:right="5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“Artículo 49.</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Los Comités de Transparencia</w:t>
      </w:r>
      <w:r w:rsidRPr="00585D21">
        <w:rPr>
          <w:rFonts w:ascii="Palatino Linotype" w:eastAsia="Palatino Linotype" w:hAnsi="Palatino Linotype" w:cs="Palatino Linotype"/>
          <w:i/>
          <w:sz w:val="22"/>
          <w:szCs w:val="22"/>
        </w:rPr>
        <w:t xml:space="preserve"> tendrán las siguientes atribuciones:</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VIII. Aprobar, modificar o revocar la clasificación de la información</w:t>
      </w:r>
      <w:r w:rsidRPr="00585D21">
        <w:rPr>
          <w:rFonts w:ascii="Palatino Linotype" w:eastAsia="Palatino Linotype" w:hAnsi="Palatino Linotype" w:cs="Palatino Linotype"/>
          <w:i/>
          <w:sz w:val="22"/>
          <w:szCs w:val="22"/>
        </w:rPr>
        <w:t>…”</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53.</w:t>
      </w:r>
      <w:r w:rsidRPr="00585D21">
        <w:rPr>
          <w:rFonts w:ascii="Palatino Linotype" w:eastAsia="Palatino Linotype" w:hAnsi="Palatino Linotype" w:cs="Palatino Linotype"/>
          <w:i/>
          <w:sz w:val="22"/>
          <w:szCs w:val="22"/>
        </w:rPr>
        <w:t xml:space="preserve"> Las </w:t>
      </w:r>
      <w:r w:rsidRPr="00585D21">
        <w:rPr>
          <w:rFonts w:ascii="Palatino Linotype" w:eastAsia="Palatino Linotype" w:hAnsi="Palatino Linotype" w:cs="Palatino Linotype"/>
          <w:b/>
          <w:i/>
          <w:sz w:val="22"/>
          <w:szCs w:val="22"/>
        </w:rPr>
        <w:t>Unidades de Transparencia</w:t>
      </w:r>
      <w:r w:rsidRPr="00585D21">
        <w:rPr>
          <w:rFonts w:ascii="Palatino Linotype" w:eastAsia="Palatino Linotype" w:hAnsi="Palatino Linotype" w:cs="Palatino Linotype"/>
          <w:i/>
          <w:sz w:val="22"/>
          <w:szCs w:val="22"/>
        </w:rPr>
        <w:t xml:space="preserve"> tendrán las siguientes </w:t>
      </w:r>
      <w:r w:rsidRPr="00585D21">
        <w:rPr>
          <w:rFonts w:ascii="Palatino Linotype" w:eastAsia="Palatino Linotype" w:hAnsi="Palatino Linotype" w:cs="Palatino Linotype"/>
          <w:b/>
          <w:i/>
          <w:sz w:val="22"/>
          <w:szCs w:val="22"/>
        </w:rPr>
        <w:t>funciones</w:t>
      </w:r>
      <w:r w:rsidRPr="00585D21">
        <w:rPr>
          <w:rFonts w:ascii="Palatino Linotype" w:eastAsia="Palatino Linotype" w:hAnsi="Palatino Linotype" w:cs="Palatino Linotype"/>
          <w:i/>
          <w:sz w:val="22"/>
          <w:szCs w:val="22"/>
        </w:rPr>
        <w:t>:</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 Presentar ante el Comité, el proyecto de clasificación de información</w:t>
      </w:r>
      <w:r w:rsidRPr="00585D21">
        <w:rPr>
          <w:rFonts w:ascii="Palatino Linotype" w:eastAsia="Palatino Linotype" w:hAnsi="Palatino Linotype" w:cs="Palatino Linotype"/>
          <w:i/>
          <w:sz w:val="22"/>
          <w:szCs w:val="22"/>
        </w:rPr>
        <w:t xml:space="preserve">…”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“Artículo 59.</w:t>
      </w:r>
      <w:r w:rsidRPr="00585D21">
        <w:rPr>
          <w:rFonts w:ascii="Palatino Linotype" w:eastAsia="Palatino Linotype" w:hAnsi="Palatino Linotype" w:cs="Palatino Linotype"/>
          <w:i/>
          <w:sz w:val="22"/>
          <w:szCs w:val="22"/>
        </w:rPr>
        <w:t xml:space="preserve"> Los </w:t>
      </w:r>
      <w:r w:rsidRPr="00585D21">
        <w:rPr>
          <w:rFonts w:ascii="Palatino Linotype" w:eastAsia="Palatino Linotype" w:hAnsi="Palatino Linotype" w:cs="Palatino Linotype"/>
          <w:b/>
          <w:i/>
          <w:sz w:val="22"/>
          <w:szCs w:val="22"/>
        </w:rPr>
        <w:t>servidores públicos habilitados</w:t>
      </w:r>
      <w:r w:rsidRPr="00585D21">
        <w:rPr>
          <w:rFonts w:ascii="Palatino Linotype" w:eastAsia="Palatino Linotype" w:hAnsi="Palatino Linotype" w:cs="Palatino Linotype"/>
          <w:i/>
          <w:sz w:val="22"/>
          <w:szCs w:val="22"/>
        </w:rPr>
        <w:t xml:space="preserve"> tendrán las </w:t>
      </w:r>
      <w:r w:rsidRPr="00585D21">
        <w:rPr>
          <w:rFonts w:ascii="Palatino Linotype" w:eastAsia="Palatino Linotype" w:hAnsi="Palatino Linotype" w:cs="Palatino Linotype"/>
          <w:b/>
          <w:i/>
          <w:sz w:val="22"/>
          <w:szCs w:val="22"/>
        </w:rPr>
        <w:t>funciones</w:t>
      </w:r>
      <w:r w:rsidRPr="00585D21">
        <w:rPr>
          <w:rFonts w:ascii="Palatino Linotype" w:eastAsia="Palatino Linotype" w:hAnsi="Palatino Linotype" w:cs="Palatino Linotype"/>
          <w:i/>
          <w:sz w:val="22"/>
          <w:szCs w:val="22"/>
        </w:rPr>
        <w:t xml:space="preserve"> siguientes:</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85D21">
        <w:rPr>
          <w:rFonts w:ascii="Palatino Linotype" w:eastAsia="Palatino Linotype" w:hAnsi="Palatino Linotype" w:cs="Palatino Linotype"/>
          <w:i/>
          <w:sz w:val="22"/>
          <w:szCs w:val="22"/>
        </w:rPr>
        <w:t>, la cual tendrá los fundamentos y argumentos en que se basa dicha propuesta…”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Artículo 149.</w:t>
      </w:r>
      <w:r w:rsidRPr="00585D21">
        <w:rPr>
          <w:rFonts w:ascii="Palatino Linotype" w:eastAsia="Palatino Linotype" w:hAnsi="Palatino Linotype" w:cs="Palatino Linotype"/>
          <w:i/>
          <w:sz w:val="22"/>
          <w:szCs w:val="22"/>
        </w:rPr>
        <w:t xml:space="preserve"> El </w:t>
      </w:r>
      <w:r w:rsidRPr="00585D21">
        <w:rPr>
          <w:rFonts w:ascii="Palatino Linotype" w:eastAsia="Palatino Linotype" w:hAnsi="Palatino Linotype" w:cs="Palatino Linotype"/>
          <w:b/>
          <w:i/>
          <w:sz w:val="22"/>
          <w:szCs w:val="22"/>
        </w:rPr>
        <w:t>acuerdo que clasifique la información como confidencial</w:t>
      </w:r>
      <w:r w:rsidRPr="00585D2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rsidR="0047033F" w:rsidRPr="00585D21" w:rsidRDefault="002229FA">
      <w:pP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Es decir,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Atento a lo anterior, cabe señalar que el Comité de Transparencia del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Segundo.-</w:t>
      </w:r>
      <w:r w:rsidRPr="00585D21">
        <w:rPr>
          <w:rFonts w:ascii="Palatino Linotype" w:eastAsia="Palatino Linotype" w:hAnsi="Palatino Linotype" w:cs="Palatino Linotype"/>
          <w:i/>
          <w:sz w:val="22"/>
          <w:szCs w:val="22"/>
        </w:rPr>
        <w:t xml:space="preserve"> Para efectos de los presentes Lineamientos Generales, se entenderá por:</w:t>
      </w:r>
    </w:p>
    <w:p w:rsidR="0047033F" w:rsidRPr="00585D21" w:rsidRDefault="002229FA">
      <w:pPr>
        <w:tabs>
          <w:tab w:val="left" w:pos="8222"/>
        </w:tabs>
        <w:spacing w:before="120" w:after="120"/>
        <w:ind w:left="1134"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XVIII.</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Versión pública:</w:t>
      </w:r>
      <w:r w:rsidRPr="00585D2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85D21">
        <w:rPr>
          <w:rFonts w:ascii="Palatino Linotype" w:eastAsia="Palatino Linotype" w:hAnsi="Palatino Linotype" w:cs="Palatino Linotype"/>
          <w:b/>
          <w:i/>
          <w:sz w:val="22"/>
          <w:szCs w:val="22"/>
        </w:rPr>
        <w:t>fundando y motivando la</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reserva o confidencialidad</w:t>
      </w:r>
      <w:r w:rsidRPr="00585D21">
        <w:rPr>
          <w:rFonts w:ascii="Palatino Linotype" w:eastAsia="Palatino Linotype" w:hAnsi="Palatino Linotype" w:cs="Palatino Linotype"/>
          <w:i/>
          <w:sz w:val="22"/>
          <w:szCs w:val="22"/>
        </w:rPr>
        <w:t>, a través de la resolución que para tal efecto emita el Comité de Transparencia.</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b/>
          <w:i/>
          <w:sz w:val="22"/>
          <w:szCs w:val="22"/>
        </w:rPr>
      </w:pPr>
      <w:r w:rsidRPr="00585D21">
        <w:rPr>
          <w:rFonts w:ascii="Palatino Linotype" w:eastAsia="Palatino Linotype" w:hAnsi="Palatino Linotype" w:cs="Palatino Linotype"/>
          <w:b/>
          <w:i/>
          <w:sz w:val="22"/>
          <w:szCs w:val="22"/>
        </w:rPr>
        <w:t>...</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Cuarto.</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Para clasificar la información como</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reservada o</w:t>
      </w:r>
      <w:r w:rsidRPr="00585D21">
        <w:rPr>
          <w:rFonts w:ascii="Palatino Linotype" w:eastAsia="Palatino Linotype" w:hAnsi="Palatino Linotype" w:cs="Palatino Linotype"/>
          <w:i/>
          <w:sz w:val="22"/>
          <w:szCs w:val="22"/>
        </w:rPr>
        <w:t xml:space="preserve"> </w:t>
      </w:r>
      <w:r w:rsidRPr="00585D21">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85D21">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Quinto.</w:t>
      </w:r>
      <w:r w:rsidRPr="00585D2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Sexto.</w:t>
      </w:r>
      <w:r w:rsidRPr="00585D21">
        <w:rPr>
          <w:rFonts w:ascii="Palatino Linotype" w:eastAsia="Palatino Linotype" w:hAnsi="Palatino Linotype" w:cs="Palatino Linotype"/>
          <w:i/>
          <w:sz w:val="22"/>
          <w:szCs w:val="22"/>
        </w:rPr>
        <w:t xml:space="preserve"> Se deroga.</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Séptimo.</w:t>
      </w:r>
      <w:r w:rsidRPr="00585D21">
        <w:rPr>
          <w:rFonts w:ascii="Palatino Linotype" w:eastAsia="Palatino Linotype" w:hAnsi="Palatino Linotype" w:cs="Palatino Linotype"/>
          <w:i/>
          <w:sz w:val="22"/>
          <w:szCs w:val="22"/>
        </w:rPr>
        <w:t xml:space="preserve"> La clasificación de la información se llevará a cabo en el momento en que:</w:t>
      </w:r>
    </w:p>
    <w:p w:rsidR="0047033F" w:rsidRPr="00585D21" w:rsidRDefault="002229FA">
      <w:pPr>
        <w:tabs>
          <w:tab w:val="left" w:pos="8222"/>
        </w:tabs>
        <w:spacing w:before="120" w:after="120"/>
        <w:ind w:left="1134"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xml:space="preserve"> Se reciba una solicitud de acceso a la información;</w:t>
      </w:r>
    </w:p>
    <w:p w:rsidR="0047033F" w:rsidRPr="00585D21" w:rsidRDefault="002229FA">
      <w:pPr>
        <w:tabs>
          <w:tab w:val="left" w:pos="8222"/>
        </w:tabs>
        <w:spacing w:before="120" w:after="120"/>
        <w:ind w:left="1134"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w:t>
      </w:r>
      <w:r w:rsidRPr="00585D21">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rsidR="0047033F" w:rsidRPr="00585D21" w:rsidRDefault="002229FA">
      <w:pPr>
        <w:tabs>
          <w:tab w:val="left" w:pos="8222"/>
        </w:tabs>
        <w:spacing w:before="120" w:after="120"/>
        <w:ind w:left="1134"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III.</w:t>
      </w:r>
      <w:r w:rsidRPr="00585D2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i/>
          <w:sz w:val="22"/>
          <w:szCs w:val="22"/>
        </w:rPr>
        <w:t>conforme a su naturaleza, si encuadra en una causal de reserva o de confidencialidad.</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Octavo.</w:t>
      </w:r>
      <w:r w:rsidRPr="00585D2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Noveno.</w:t>
      </w:r>
      <w:r w:rsidRPr="00585D2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Décimo.</w:t>
      </w:r>
      <w:r w:rsidRPr="00585D2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47033F" w:rsidRPr="00585D21" w:rsidRDefault="002229FA">
      <w:pPr>
        <w:tabs>
          <w:tab w:val="left" w:pos="8222"/>
        </w:tabs>
        <w:spacing w:before="120" w:after="120"/>
        <w:ind w:left="851" w:right="1134"/>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Décimo primero.</w:t>
      </w:r>
      <w:r w:rsidRPr="00585D2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47033F" w:rsidRPr="00585D21" w:rsidRDefault="002229F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xml:space="preserve"> “Quincuagésimo. </w:t>
      </w:r>
      <w:r w:rsidRPr="00585D2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47033F" w:rsidRPr="00585D21" w:rsidRDefault="002229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xml:space="preserve">Quincuagésimo primero. </w:t>
      </w:r>
      <w:r w:rsidRPr="00585D21">
        <w:rPr>
          <w:rFonts w:ascii="Palatino Linotype" w:eastAsia="Palatino Linotype" w:hAnsi="Palatino Linotype" w:cs="Palatino Linotype"/>
          <w:i/>
          <w:sz w:val="22"/>
          <w:szCs w:val="22"/>
        </w:rPr>
        <w:t xml:space="preserve">Toda acta del Comité de Transparencia deberá contener: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xml:space="preserve"> El número de sesión y fecha;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w:t>
      </w:r>
      <w:r w:rsidRPr="00585D21">
        <w:rPr>
          <w:rFonts w:ascii="Palatino Linotype" w:eastAsia="Palatino Linotype" w:hAnsi="Palatino Linotype" w:cs="Palatino Linotype"/>
          <w:i/>
          <w:sz w:val="22"/>
          <w:szCs w:val="22"/>
        </w:rPr>
        <w:t xml:space="preserve">. El nombre del área que solicitó la clasificación de información;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III</w:t>
      </w:r>
      <w:r w:rsidRPr="00585D21">
        <w:rPr>
          <w:rFonts w:ascii="Palatino Linotype" w:eastAsia="Palatino Linotype" w:hAnsi="Palatino Linotype" w:cs="Palatino Linotype"/>
          <w:i/>
          <w:sz w:val="22"/>
          <w:szCs w:val="22"/>
        </w:rPr>
        <w:t xml:space="preserve">. La fundamentación legal y motivación correspondiente;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IV</w:t>
      </w:r>
      <w:r w:rsidRPr="00585D21">
        <w:rPr>
          <w:rFonts w:ascii="Palatino Linotype" w:eastAsia="Palatino Linotype" w:hAnsi="Palatino Linotype" w:cs="Palatino Linotype"/>
          <w:i/>
          <w:sz w:val="22"/>
          <w:szCs w:val="22"/>
        </w:rPr>
        <w:t xml:space="preserve">. La resolución o resoluciones aprobadas; y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V</w:t>
      </w:r>
      <w:r w:rsidRPr="00585D21">
        <w:rPr>
          <w:rFonts w:ascii="Palatino Linotype" w:eastAsia="Palatino Linotype" w:hAnsi="Palatino Linotype" w:cs="Palatino Linotype"/>
          <w:i/>
          <w:sz w:val="22"/>
          <w:szCs w:val="22"/>
        </w:rPr>
        <w:t xml:space="preserve">. La rúbrica o firma digital de cada integrante del Comité de Transparencia. </w:t>
      </w:r>
    </w:p>
    <w:p w:rsidR="0047033F" w:rsidRPr="00585D21" w:rsidRDefault="002229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xml:space="preserve"> Los motivos y razonamientos que sustenten la confirmación o modificación de la prueba de daño;</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585D21">
        <w:rPr>
          <w:rFonts w:ascii="Palatino Linotype" w:eastAsia="Palatino Linotype" w:hAnsi="Palatino Linotype" w:cs="Palatino Linotype"/>
          <w:b/>
          <w:i/>
          <w:sz w:val="22"/>
          <w:szCs w:val="22"/>
        </w:rPr>
        <w:t>II</w:t>
      </w:r>
      <w:r w:rsidRPr="00585D21">
        <w:rPr>
          <w:rFonts w:ascii="Palatino Linotype" w:eastAsia="Palatino Linotype" w:hAnsi="Palatino Linotype" w:cs="Palatino Linotype"/>
          <w:i/>
          <w:sz w:val="22"/>
          <w:szCs w:val="22"/>
        </w:rPr>
        <w:t>. Descripción de las partes o secciones reservadas, en caso de clasificación parcial</w:t>
      </w:r>
      <w:r w:rsidRPr="00585D21">
        <w:rPr>
          <w:rFonts w:ascii="Palatino Linotype" w:eastAsia="Palatino Linotype" w:hAnsi="Palatino Linotype" w:cs="Palatino Linotype"/>
          <w:b/>
          <w:i/>
          <w:sz w:val="22"/>
          <w:szCs w:val="22"/>
        </w:rPr>
        <w:t xml:space="preserve">;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III.</w:t>
      </w:r>
      <w:r w:rsidRPr="00585D21">
        <w:rPr>
          <w:rFonts w:ascii="Palatino Linotype" w:eastAsia="Palatino Linotype" w:hAnsi="Palatino Linotype" w:cs="Palatino Linotype"/>
          <w:i/>
          <w:sz w:val="22"/>
          <w:szCs w:val="22"/>
        </w:rPr>
        <w:t xml:space="preserve"> El periodo por el que mantendrá su clasificación y fecha de expiración; y </w:t>
      </w:r>
    </w:p>
    <w:p w:rsidR="0047033F" w:rsidRPr="00585D21" w:rsidRDefault="002229F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IV.</w:t>
      </w:r>
      <w:r w:rsidRPr="00585D21">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47033F" w:rsidRPr="00585D21" w:rsidRDefault="002229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47033F" w:rsidRPr="00585D21" w:rsidRDefault="002229F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rsidR="0047033F" w:rsidRPr="00585D21" w:rsidRDefault="002229FA">
      <w:pPr>
        <w:spacing w:before="120" w:after="120"/>
        <w:ind w:left="851"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r w:rsidRPr="00585D21">
        <w:rPr>
          <w:rFonts w:ascii="Palatino Linotype" w:eastAsia="Palatino Linotype" w:hAnsi="Palatino Linotype" w:cs="Palatino Linotype"/>
          <w:b/>
          <w:i/>
          <w:sz w:val="22"/>
          <w:szCs w:val="22"/>
        </w:rPr>
        <w:t>Quincuagésimo segundo</w:t>
      </w:r>
      <w:r w:rsidRPr="00585D2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47033F" w:rsidRPr="00585D21" w:rsidRDefault="002229FA">
      <w:pPr>
        <w:spacing w:before="120" w:after="120"/>
        <w:ind w:left="851"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47033F" w:rsidRPr="00585D21" w:rsidRDefault="002229FA">
      <w:pPr>
        <w:spacing w:before="120" w:after="120"/>
        <w:ind w:left="1134"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47033F" w:rsidRPr="00585D21" w:rsidRDefault="002229FA">
      <w:pPr>
        <w:spacing w:before="120" w:after="120"/>
        <w:ind w:left="1134"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w:t>
      </w:r>
      <w:r w:rsidRPr="00585D2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47033F" w:rsidRPr="00585D21" w:rsidRDefault="002229FA">
      <w:pPr>
        <w:spacing w:before="120" w:after="120"/>
        <w:ind w:left="1134"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III.</w:t>
      </w:r>
      <w:r w:rsidRPr="00585D21">
        <w:rPr>
          <w:rFonts w:ascii="Palatino Linotype" w:eastAsia="Palatino Linotype" w:hAnsi="Palatino Linotype" w:cs="Palatino Linotype"/>
          <w:i/>
          <w:sz w:val="22"/>
          <w:szCs w:val="22"/>
        </w:rPr>
        <w:t xml:space="preserve"> Señalar las personas o instancias autorizadas a acceder a la información clasificada.</w:t>
      </w:r>
    </w:p>
    <w:p w:rsidR="0047033F" w:rsidRPr="00585D21" w:rsidRDefault="002229FA">
      <w:pPr>
        <w:spacing w:before="120" w:after="120"/>
        <w:ind w:left="851"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47033F" w:rsidRPr="00585D21" w:rsidRDefault="002229FA">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w:t>
      </w:r>
    </w:p>
    <w:p w:rsidR="0047033F" w:rsidRPr="00585D21" w:rsidRDefault="002229FA">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585D21">
        <w:rPr>
          <w:rFonts w:ascii="Palatino Linotype" w:eastAsia="Palatino Linotype" w:hAnsi="Palatino Linotype" w:cs="Palatino Linotype"/>
          <w:b/>
          <w:i/>
          <w:sz w:val="22"/>
          <w:szCs w:val="22"/>
        </w:rPr>
        <w:t xml:space="preserve">Quincuagésimo cuarto. </w:t>
      </w:r>
      <w:r w:rsidRPr="00585D2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85D21">
        <w:rPr>
          <w:rFonts w:ascii="Palatino Linotype" w:eastAsia="Palatino Linotype" w:hAnsi="Palatino Linotype" w:cs="Palatino Linotype"/>
          <w:b/>
          <w:i/>
          <w:sz w:val="22"/>
          <w:szCs w:val="22"/>
        </w:rPr>
        <w:t xml:space="preserve">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 xml:space="preserve">Quincuagésimo quinto. </w:t>
      </w:r>
      <w:r w:rsidRPr="00585D21">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47033F" w:rsidRPr="00585D21" w:rsidRDefault="002229FA">
      <w:pPr>
        <w:spacing w:before="120" w:after="120"/>
        <w:ind w:left="851" w:right="902"/>
        <w:jc w:val="both"/>
        <w:rPr>
          <w:rFonts w:ascii="Palatino Linotype" w:eastAsia="Palatino Linotype" w:hAnsi="Palatino Linotype" w:cs="Palatino Linotype"/>
          <w:b/>
          <w:i/>
          <w:sz w:val="22"/>
          <w:szCs w:val="22"/>
        </w:rPr>
      </w:pPr>
      <w:r w:rsidRPr="00585D21">
        <w:rPr>
          <w:rFonts w:ascii="Palatino Linotype" w:eastAsia="Palatino Linotype" w:hAnsi="Palatino Linotype" w:cs="Palatino Linotype"/>
          <w:b/>
          <w:i/>
          <w:sz w:val="22"/>
          <w:szCs w:val="22"/>
        </w:rPr>
        <w:t>...</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Quincuagésimo séptimo</w:t>
      </w:r>
      <w:r w:rsidRPr="00585D2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w:t>
      </w:r>
      <w:r w:rsidRPr="00585D2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w:t>
      </w:r>
      <w:r w:rsidRPr="00585D2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47033F" w:rsidRPr="00585D21" w:rsidRDefault="002229FA">
      <w:pPr>
        <w:spacing w:before="120" w:after="120"/>
        <w:ind w:left="1134"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III</w:t>
      </w:r>
      <w:r w:rsidRPr="00585D2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47033F" w:rsidRPr="00585D21" w:rsidRDefault="002229FA">
      <w:pPr>
        <w:spacing w:before="120" w:after="120"/>
        <w:ind w:left="851" w:right="902"/>
        <w:jc w:val="both"/>
        <w:rPr>
          <w:rFonts w:ascii="Palatino Linotype" w:eastAsia="Palatino Linotype" w:hAnsi="Palatino Linotype" w:cs="Palatino Linotype"/>
          <w:i/>
          <w:sz w:val="22"/>
          <w:szCs w:val="22"/>
        </w:rPr>
      </w:pPr>
      <w:r w:rsidRPr="00585D21">
        <w:rPr>
          <w:rFonts w:ascii="Palatino Linotype" w:eastAsia="Palatino Linotype" w:hAnsi="Palatino Linotype" w:cs="Palatino Linotype"/>
          <w:b/>
          <w:i/>
          <w:sz w:val="22"/>
          <w:szCs w:val="22"/>
        </w:rPr>
        <w:t>Quincuagésimo octavo</w:t>
      </w:r>
      <w:r w:rsidRPr="00585D2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rsidR="0047033F" w:rsidRPr="00585D21" w:rsidRDefault="002229F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85D21">
        <w:rPr>
          <w:rFonts w:ascii="Palatino Linotype" w:eastAsia="Palatino Linotype" w:hAnsi="Palatino Linotype" w:cs="Palatino Linotype"/>
          <w:b/>
          <w:sz w:val="22"/>
          <w:szCs w:val="22"/>
        </w:rPr>
        <w:t>III. R E S U E L V E</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10" w:name="_heading=h.1t3h5sf" w:colFirst="0" w:colLast="0"/>
      <w:bookmarkEnd w:id="10"/>
      <w:r w:rsidRPr="00585D21">
        <w:rPr>
          <w:rFonts w:ascii="Palatino Linotype" w:eastAsia="Palatino Linotype" w:hAnsi="Palatino Linotype" w:cs="Palatino Linotype"/>
          <w:b/>
          <w:sz w:val="22"/>
          <w:szCs w:val="22"/>
        </w:rPr>
        <w:t xml:space="preserve">Primero. </w:t>
      </w:r>
      <w:r w:rsidRPr="00585D21">
        <w:rPr>
          <w:rFonts w:ascii="Palatino Linotype" w:eastAsia="Palatino Linotype" w:hAnsi="Palatino Linotype" w:cs="Palatino Linotype"/>
          <w:sz w:val="22"/>
          <w:szCs w:val="22"/>
        </w:rPr>
        <w:t>Resultan</w:t>
      </w:r>
      <w:r w:rsidRPr="00585D21">
        <w:rPr>
          <w:rFonts w:ascii="Palatino Linotype" w:eastAsia="Palatino Linotype" w:hAnsi="Palatino Linotype" w:cs="Palatino Linotype"/>
          <w:b/>
          <w:sz w:val="22"/>
          <w:szCs w:val="22"/>
        </w:rPr>
        <w:t xml:space="preserve"> fundadas</w:t>
      </w:r>
      <w:r w:rsidRPr="00585D21">
        <w:rPr>
          <w:rFonts w:ascii="Palatino Linotype" w:eastAsia="Palatino Linotype" w:hAnsi="Palatino Linotype" w:cs="Palatino Linotype"/>
          <w:sz w:val="22"/>
          <w:szCs w:val="22"/>
        </w:rPr>
        <w:t xml:space="preserve"> las razones o motivos de inconformidad hechos valer por la parte</w:t>
      </w:r>
      <w:r w:rsidRPr="00585D21">
        <w:rPr>
          <w:rFonts w:ascii="Palatino Linotype" w:eastAsia="Palatino Linotype" w:hAnsi="Palatino Linotype" w:cs="Palatino Linotype"/>
          <w:b/>
          <w:sz w:val="22"/>
          <w:szCs w:val="22"/>
        </w:rPr>
        <w:t xml:space="preserve"> Recurrente</w:t>
      </w:r>
      <w:r w:rsidRPr="00585D21">
        <w:rPr>
          <w:rFonts w:ascii="Palatino Linotype" w:eastAsia="Palatino Linotype" w:hAnsi="Palatino Linotype" w:cs="Palatino Linotype"/>
          <w:sz w:val="22"/>
          <w:szCs w:val="22"/>
        </w:rPr>
        <w:t xml:space="preserve"> en el recurso de revisión </w:t>
      </w:r>
      <w:r w:rsidRPr="00585D21">
        <w:rPr>
          <w:rFonts w:ascii="Palatino Linotype" w:eastAsia="Palatino Linotype" w:hAnsi="Palatino Linotype" w:cs="Palatino Linotype"/>
          <w:b/>
          <w:sz w:val="22"/>
          <w:szCs w:val="22"/>
        </w:rPr>
        <w:t>07384/INFOEM/IP/RR/2025</w:t>
      </w:r>
      <w:r w:rsidRPr="00585D21">
        <w:rPr>
          <w:rFonts w:ascii="Palatino Linotype" w:eastAsia="Palatino Linotype" w:hAnsi="Palatino Linotype" w:cs="Palatino Linotype"/>
          <w:sz w:val="22"/>
          <w:szCs w:val="22"/>
        </w:rPr>
        <w:t xml:space="preserve">; por lo que, en términos del </w:t>
      </w:r>
      <w:r w:rsidRPr="00585D21">
        <w:rPr>
          <w:rFonts w:ascii="Palatino Linotype" w:eastAsia="Palatino Linotype" w:hAnsi="Palatino Linotype" w:cs="Palatino Linotype"/>
          <w:b/>
          <w:sz w:val="22"/>
          <w:szCs w:val="22"/>
        </w:rPr>
        <w:t>Considerando</w:t>
      </w: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rPr>
        <w:t xml:space="preserve">Cuarto </w:t>
      </w:r>
      <w:r w:rsidRPr="00585D21">
        <w:rPr>
          <w:rFonts w:ascii="Palatino Linotype" w:eastAsia="Palatino Linotype" w:hAnsi="Palatino Linotype" w:cs="Palatino Linotype"/>
          <w:sz w:val="22"/>
          <w:szCs w:val="22"/>
        </w:rPr>
        <w:t xml:space="preserve">de esta resolución, se </w:t>
      </w:r>
      <w:r w:rsidRPr="00585D21">
        <w:rPr>
          <w:rFonts w:ascii="Palatino Linotype" w:eastAsia="Palatino Linotype" w:hAnsi="Palatino Linotype" w:cs="Palatino Linotype"/>
          <w:b/>
          <w:sz w:val="22"/>
          <w:szCs w:val="22"/>
        </w:rPr>
        <w:t xml:space="preserve">Revoca </w:t>
      </w:r>
      <w:r w:rsidRPr="00585D21">
        <w:rPr>
          <w:rFonts w:ascii="Palatino Linotype" w:eastAsia="Palatino Linotype" w:hAnsi="Palatino Linotype" w:cs="Palatino Linotype"/>
          <w:sz w:val="22"/>
          <w:szCs w:val="22"/>
        </w:rPr>
        <w:t xml:space="preserve">la respuesta emitida por el </w:t>
      </w:r>
      <w:r w:rsidRPr="00585D21">
        <w:rPr>
          <w:rFonts w:ascii="Palatino Linotype" w:eastAsia="Palatino Linotype" w:hAnsi="Palatino Linotype" w:cs="Palatino Linotype"/>
          <w:b/>
          <w:sz w:val="22"/>
          <w:szCs w:val="22"/>
        </w:rPr>
        <w:t xml:space="preserve">Sujeto Obligado. </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b/>
          <w:sz w:val="22"/>
          <w:szCs w:val="22"/>
        </w:rPr>
        <w:t xml:space="preserve">Segundo. </w:t>
      </w:r>
      <w:r w:rsidRPr="00585D21">
        <w:rPr>
          <w:rFonts w:ascii="Palatino Linotype" w:eastAsia="Palatino Linotype" w:hAnsi="Palatino Linotype" w:cs="Palatino Linotype"/>
          <w:sz w:val="22"/>
          <w:szCs w:val="22"/>
        </w:rPr>
        <w:t xml:space="preserve">Se </w:t>
      </w:r>
      <w:r w:rsidRPr="00585D21">
        <w:rPr>
          <w:rFonts w:ascii="Palatino Linotype" w:eastAsia="Palatino Linotype" w:hAnsi="Palatino Linotype" w:cs="Palatino Linotype"/>
          <w:b/>
          <w:sz w:val="22"/>
          <w:szCs w:val="22"/>
        </w:rPr>
        <w:t xml:space="preserve">Ordena </w:t>
      </w:r>
      <w:r w:rsidRPr="00585D21">
        <w:rPr>
          <w:rFonts w:ascii="Palatino Linotype" w:eastAsia="Palatino Linotype" w:hAnsi="Palatino Linotype" w:cs="Palatino Linotype"/>
          <w:sz w:val="22"/>
          <w:szCs w:val="22"/>
        </w:rPr>
        <w:t xml:space="preserve">al </w:t>
      </w:r>
      <w:r w:rsidRPr="00585D21">
        <w:rPr>
          <w:rFonts w:ascii="Palatino Linotype" w:eastAsia="Palatino Linotype" w:hAnsi="Palatino Linotype" w:cs="Palatino Linotype"/>
          <w:b/>
          <w:sz w:val="22"/>
          <w:szCs w:val="22"/>
        </w:rPr>
        <w:t xml:space="preserve">Sujeto Obligado, </w:t>
      </w:r>
      <w:r w:rsidRPr="00585D21">
        <w:rPr>
          <w:rFonts w:ascii="Palatino Linotype" w:eastAsia="Palatino Linotype" w:hAnsi="Palatino Linotype" w:cs="Palatino Linotype"/>
          <w:sz w:val="22"/>
          <w:szCs w:val="22"/>
        </w:rPr>
        <w:t xml:space="preserve">en términos de los </w:t>
      </w:r>
      <w:r w:rsidRPr="00585D21">
        <w:rPr>
          <w:rFonts w:ascii="Palatino Linotype" w:eastAsia="Palatino Linotype" w:hAnsi="Palatino Linotype" w:cs="Palatino Linotype"/>
          <w:b/>
          <w:sz w:val="22"/>
          <w:szCs w:val="22"/>
        </w:rPr>
        <w:t>Considerandos</w:t>
      </w:r>
      <w:r w:rsidRPr="00585D21">
        <w:rPr>
          <w:rFonts w:ascii="Palatino Linotype" w:eastAsia="Palatino Linotype" w:hAnsi="Palatino Linotype" w:cs="Palatino Linotype"/>
          <w:sz w:val="22"/>
          <w:szCs w:val="22"/>
        </w:rPr>
        <w:t xml:space="preserve"> </w:t>
      </w:r>
      <w:r w:rsidRPr="00585D21">
        <w:rPr>
          <w:rFonts w:ascii="Palatino Linotype" w:eastAsia="Palatino Linotype" w:hAnsi="Palatino Linotype" w:cs="Palatino Linotype"/>
          <w:b/>
          <w:sz w:val="22"/>
          <w:szCs w:val="22"/>
        </w:rPr>
        <w:t xml:space="preserve">Cuarto </w:t>
      </w:r>
      <w:r w:rsidRPr="00585D21">
        <w:rPr>
          <w:rFonts w:ascii="Palatino Linotype" w:eastAsia="Palatino Linotype" w:hAnsi="Palatino Linotype" w:cs="Palatino Linotype"/>
          <w:sz w:val="22"/>
          <w:szCs w:val="22"/>
        </w:rPr>
        <w:t xml:space="preserve">y </w:t>
      </w:r>
      <w:r w:rsidRPr="00585D21">
        <w:rPr>
          <w:rFonts w:ascii="Palatino Linotype" w:eastAsia="Palatino Linotype" w:hAnsi="Palatino Linotype" w:cs="Palatino Linotype"/>
          <w:b/>
          <w:sz w:val="22"/>
          <w:szCs w:val="22"/>
        </w:rPr>
        <w:t xml:space="preserve">Quinto </w:t>
      </w:r>
      <w:r w:rsidRPr="00585D21">
        <w:rPr>
          <w:rFonts w:ascii="Palatino Linotype" w:eastAsia="Palatino Linotype" w:hAnsi="Palatino Linotype" w:cs="Palatino Linotype"/>
          <w:sz w:val="22"/>
          <w:szCs w:val="22"/>
        </w:rPr>
        <w:t xml:space="preserve">de esta resolución, haga entrega, previa búsqueda exhaustiva y razonable, vía </w:t>
      </w:r>
      <w:r w:rsidRPr="00585D21">
        <w:rPr>
          <w:rFonts w:ascii="Palatino Linotype" w:eastAsia="Palatino Linotype" w:hAnsi="Palatino Linotype" w:cs="Palatino Linotype"/>
          <w:b/>
          <w:sz w:val="22"/>
          <w:szCs w:val="22"/>
        </w:rPr>
        <w:t>SAIMEX</w:t>
      </w:r>
      <w:r w:rsidRPr="00585D21">
        <w:rPr>
          <w:rFonts w:ascii="Palatino Linotype" w:eastAsia="Palatino Linotype" w:hAnsi="Palatino Linotype" w:cs="Palatino Linotype"/>
          <w:sz w:val="22"/>
          <w:szCs w:val="22"/>
        </w:rPr>
        <w:t>, en versión pública de ser procedente, de lo siguiente:</w:t>
      </w:r>
    </w:p>
    <w:p w:rsidR="0047033F" w:rsidRPr="00585D21" w:rsidRDefault="002229FA">
      <w:pPr>
        <w:spacing w:before="240" w:after="240" w:line="360" w:lineRule="auto"/>
        <w:ind w:right="49"/>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Del evento denominado “Feria del Día del Niño” realizado el cinco de mayo de dos mil veinticinco.</w:t>
      </w:r>
    </w:p>
    <w:p w:rsidR="0047033F" w:rsidRPr="00585D21" w:rsidRDefault="002229FA">
      <w:pPr>
        <w:numPr>
          <w:ilvl w:val="0"/>
          <w:numId w:val="1"/>
        </w:numPr>
        <w:pBdr>
          <w:top w:val="nil"/>
          <w:left w:val="nil"/>
          <w:bottom w:val="nil"/>
          <w:right w:val="nil"/>
          <w:between w:val="nil"/>
        </w:pBdr>
        <w:spacing w:before="240" w:line="360" w:lineRule="auto"/>
        <w:ind w:right="-91" w:hanging="360"/>
        <w:jc w:val="both"/>
        <w:rPr>
          <w:rFonts w:ascii="Palatino Linotype" w:eastAsia="Palatino Linotype" w:hAnsi="Palatino Linotype" w:cs="Palatino Linotype"/>
          <w:sz w:val="22"/>
          <w:szCs w:val="22"/>
        </w:rPr>
      </w:pPr>
      <w:bookmarkStart w:id="11" w:name="_heading=h.1fob9te" w:colFirst="0" w:colLast="0"/>
      <w:bookmarkEnd w:id="11"/>
      <w:r w:rsidRPr="00585D21">
        <w:rPr>
          <w:rFonts w:ascii="Palatino Linotype" w:eastAsia="Palatino Linotype" w:hAnsi="Palatino Linotype" w:cs="Palatino Linotype"/>
          <w:sz w:val="22"/>
          <w:szCs w:val="22"/>
        </w:rPr>
        <w:t>Los contratos celebrados con los que cuente al siete de mayo de dos mil veinticinco.</w:t>
      </w:r>
    </w:p>
    <w:p w:rsidR="0047033F" w:rsidRPr="00585D21" w:rsidRDefault="002229FA">
      <w:pPr>
        <w:numPr>
          <w:ilvl w:val="0"/>
          <w:numId w:val="1"/>
        </w:numPr>
        <w:pBdr>
          <w:top w:val="nil"/>
          <w:left w:val="nil"/>
          <w:bottom w:val="nil"/>
          <w:right w:val="nil"/>
          <w:between w:val="nil"/>
        </w:pBdr>
        <w:spacing w:line="360" w:lineRule="auto"/>
        <w:ind w:right="-91" w:hanging="36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El o los documentos que den cuenta de la cantidad erogada por concepto de juguetes, dulces, así como del costo del evento, con los que cuente al siete de mayo de dos mil veinticinco.</w:t>
      </w:r>
    </w:p>
    <w:p w:rsidR="0047033F" w:rsidRPr="00585D21" w:rsidRDefault="002229FA">
      <w:pPr>
        <w:numPr>
          <w:ilvl w:val="0"/>
          <w:numId w:val="1"/>
        </w:numPr>
        <w:pBdr>
          <w:top w:val="nil"/>
          <w:left w:val="nil"/>
          <w:bottom w:val="nil"/>
          <w:right w:val="nil"/>
          <w:between w:val="nil"/>
        </w:pBdr>
        <w:spacing w:after="240" w:line="360" w:lineRule="auto"/>
        <w:ind w:right="-91" w:hanging="360"/>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 La o las facturas que amparen el gasto erogado por juegos inflables, con las que cuente al siete de mayo de dos mil veinticinco.</w:t>
      </w:r>
    </w:p>
    <w:p w:rsidR="0047033F" w:rsidRPr="00585D21" w:rsidRDefault="002229FA">
      <w:pPr>
        <w:spacing w:before="120" w:after="120"/>
        <w:ind w:left="284"/>
        <w:jc w:val="both"/>
        <w:rPr>
          <w:rFonts w:ascii="Palatino Linotype" w:eastAsia="Palatino Linotype" w:hAnsi="Palatino Linotype" w:cs="Palatino Linotype"/>
          <w:i/>
          <w:sz w:val="20"/>
          <w:szCs w:val="20"/>
        </w:rPr>
      </w:pPr>
      <w:r w:rsidRPr="00585D21">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rsidR="0047033F" w:rsidRPr="00585D21" w:rsidRDefault="002229FA">
      <w:pPr>
        <w:spacing w:before="120" w:after="120"/>
        <w:ind w:left="284"/>
        <w:jc w:val="both"/>
        <w:rPr>
          <w:rFonts w:ascii="Palatino Linotype" w:eastAsia="Palatino Linotype" w:hAnsi="Palatino Linotype" w:cs="Palatino Linotype"/>
          <w:i/>
          <w:sz w:val="20"/>
          <w:szCs w:val="20"/>
        </w:rPr>
      </w:pPr>
      <w:r w:rsidRPr="00585D21">
        <w:rPr>
          <w:rFonts w:ascii="Palatino Linotype" w:eastAsia="Palatino Linotype" w:hAnsi="Palatino Linotype" w:cs="Palatino Linotype"/>
          <w:i/>
          <w:sz w:val="20"/>
          <w:szCs w:val="20"/>
        </w:rPr>
        <w:t xml:space="preserve">En el supuesto que la información ordenada no obre en los archivos del </w:t>
      </w:r>
      <w:r w:rsidRPr="00585D21">
        <w:rPr>
          <w:rFonts w:ascii="Palatino Linotype" w:eastAsia="Palatino Linotype" w:hAnsi="Palatino Linotype" w:cs="Palatino Linotype"/>
          <w:b/>
          <w:i/>
          <w:sz w:val="20"/>
          <w:szCs w:val="20"/>
        </w:rPr>
        <w:t>Sujeto Obligado,</w:t>
      </w:r>
      <w:r w:rsidRPr="00585D21">
        <w:rPr>
          <w:rFonts w:ascii="Palatino Linotype" w:eastAsia="Palatino Linotype" w:hAnsi="Palatino Linotype" w:cs="Palatino Linotype"/>
          <w:i/>
          <w:sz w:val="20"/>
          <w:szCs w:val="20"/>
        </w:rPr>
        <w:t xml:space="preserve"> por no haberse generado, poseído o administrado, deberá hacerlo del conocimiento de la parte </w:t>
      </w:r>
      <w:r w:rsidRPr="00585D21">
        <w:rPr>
          <w:rFonts w:ascii="Palatino Linotype" w:eastAsia="Palatino Linotype" w:hAnsi="Palatino Linotype" w:cs="Palatino Linotype"/>
          <w:b/>
          <w:i/>
          <w:sz w:val="20"/>
          <w:szCs w:val="20"/>
        </w:rPr>
        <w:t>Recurrente</w:t>
      </w:r>
      <w:r w:rsidRPr="00585D21">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12" w:name="_heading=h.hnzxsch5gysz" w:colFirst="0" w:colLast="0"/>
      <w:bookmarkEnd w:id="12"/>
      <w:r w:rsidRPr="00585D21">
        <w:rPr>
          <w:rFonts w:ascii="Palatino Linotype" w:eastAsia="Palatino Linotype" w:hAnsi="Palatino Linotype" w:cs="Palatino Linotype"/>
          <w:b/>
          <w:sz w:val="22"/>
          <w:szCs w:val="22"/>
        </w:rPr>
        <w:t xml:space="preserve">Tercero. Notifíquese, </w:t>
      </w:r>
      <w:r w:rsidRPr="00585D21">
        <w:rPr>
          <w:rFonts w:ascii="Palatino Linotype" w:eastAsia="Palatino Linotype" w:hAnsi="Palatino Linotype" w:cs="Palatino Linotype"/>
          <w:sz w:val="22"/>
          <w:szCs w:val="22"/>
        </w:rPr>
        <w:t xml:space="preserve">vía </w:t>
      </w:r>
      <w:r w:rsidRPr="00585D21">
        <w:rPr>
          <w:rFonts w:ascii="Palatino Linotype" w:eastAsia="Palatino Linotype" w:hAnsi="Palatino Linotype" w:cs="Palatino Linotype"/>
          <w:b/>
          <w:sz w:val="22"/>
          <w:szCs w:val="22"/>
        </w:rPr>
        <w:t>SAIMEX</w:t>
      </w:r>
      <w:r w:rsidRPr="00585D21">
        <w:rPr>
          <w:rFonts w:ascii="Palatino Linotype" w:eastAsia="Palatino Linotype" w:hAnsi="Palatino Linotype" w:cs="Palatino Linotype"/>
          <w:sz w:val="22"/>
          <w:szCs w:val="22"/>
        </w:rPr>
        <w:t xml:space="preserve">, al Titular de la Unidad de Transparencia del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r w:rsidRPr="00585D2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85D21">
        <w:rPr>
          <w:rFonts w:ascii="Palatino Linotype" w:eastAsia="Palatino Linotype" w:hAnsi="Palatino Linotype" w:cs="Palatino Linotype"/>
          <w:b/>
          <w:sz w:val="22"/>
          <w:szCs w:val="22"/>
        </w:rPr>
        <w:t>Sujeto Obligado</w:t>
      </w:r>
      <w:r w:rsidRPr="00585D2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rsidR="0047033F" w:rsidRPr="00585D21" w:rsidRDefault="002229FA">
      <w:pPr>
        <w:spacing w:before="240" w:after="240" w:line="360" w:lineRule="auto"/>
        <w:jc w:val="both"/>
        <w:rPr>
          <w:rFonts w:ascii="Palatino Linotype" w:eastAsia="Palatino Linotype" w:hAnsi="Palatino Linotype" w:cs="Palatino Linotype"/>
          <w:sz w:val="22"/>
          <w:szCs w:val="22"/>
        </w:rPr>
      </w:pPr>
      <w:bookmarkStart w:id="13" w:name="_heading=h.ot3qq6vxa08f" w:colFirst="0" w:colLast="0"/>
      <w:bookmarkEnd w:id="13"/>
      <w:r w:rsidRPr="00585D21">
        <w:rPr>
          <w:rFonts w:ascii="Palatino Linotype" w:eastAsia="Palatino Linotype" w:hAnsi="Palatino Linotype" w:cs="Palatino Linotype"/>
          <w:b/>
          <w:sz w:val="22"/>
          <w:szCs w:val="22"/>
        </w:rPr>
        <w:t xml:space="preserve">Cuarto.  Notifíquese, </w:t>
      </w:r>
      <w:r w:rsidRPr="00585D21">
        <w:rPr>
          <w:rFonts w:ascii="Palatino Linotype" w:eastAsia="Palatino Linotype" w:hAnsi="Palatino Linotype" w:cs="Palatino Linotype"/>
          <w:sz w:val="22"/>
          <w:szCs w:val="22"/>
        </w:rPr>
        <w:t xml:space="preserve">vía </w:t>
      </w:r>
      <w:r w:rsidRPr="00585D21">
        <w:rPr>
          <w:rFonts w:ascii="Palatino Linotype" w:eastAsia="Palatino Linotype" w:hAnsi="Palatino Linotype" w:cs="Palatino Linotype"/>
          <w:b/>
          <w:sz w:val="22"/>
          <w:szCs w:val="22"/>
        </w:rPr>
        <w:t>SAIMEX</w:t>
      </w:r>
      <w:r w:rsidRPr="00585D21">
        <w:rPr>
          <w:rFonts w:ascii="Palatino Linotype" w:eastAsia="Palatino Linotype" w:hAnsi="Palatino Linotype" w:cs="Palatino Linotype"/>
          <w:sz w:val="22"/>
          <w:szCs w:val="22"/>
        </w:rPr>
        <w:t xml:space="preserve"> a la parte </w:t>
      </w:r>
      <w:r w:rsidRPr="00585D21">
        <w:rPr>
          <w:rFonts w:ascii="Palatino Linotype" w:eastAsia="Palatino Linotype" w:hAnsi="Palatino Linotype" w:cs="Palatino Linotype"/>
          <w:b/>
          <w:sz w:val="22"/>
          <w:szCs w:val="22"/>
        </w:rPr>
        <w:t>Recurrente</w:t>
      </w:r>
      <w:r w:rsidRPr="00585D2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47033F" w:rsidRDefault="002229F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4" w:name="_heading=h.lnxbz9" w:colFirst="0" w:colLast="0"/>
      <w:bookmarkEnd w:id="14"/>
      <w:r w:rsidRPr="00585D2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585D21" w:rsidRDefault="00585D21">
      <w:pPr>
        <w:tabs>
          <w:tab w:val="left" w:pos="8647"/>
        </w:tabs>
        <w:spacing w:before="240" w:after="240"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type="page"/>
      </w:r>
    </w:p>
    <w:p w:rsidR="00585D21" w:rsidRDefault="00585D21">
      <w:pPr>
        <w:tabs>
          <w:tab w:val="left" w:pos="8647"/>
        </w:tabs>
        <w:spacing w:before="240" w:after="240" w:line="360" w:lineRule="auto"/>
        <w:ind w:right="51"/>
        <w:jc w:val="both"/>
        <w:rPr>
          <w:rFonts w:ascii="Palatino Linotype" w:eastAsia="Palatino Linotype" w:hAnsi="Palatino Linotype" w:cs="Palatino Linotype"/>
          <w:sz w:val="22"/>
          <w:szCs w:val="22"/>
        </w:rPr>
      </w:pPr>
    </w:p>
    <w:p w:rsidR="0047033F" w:rsidRDefault="0047033F">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5" w:name="_heading=h.12f0yisigqiy" w:colFirst="0" w:colLast="0"/>
      <w:bookmarkEnd w:id="15"/>
    </w:p>
    <w:p w:rsidR="0047033F" w:rsidRDefault="0047033F">
      <w:pPr>
        <w:spacing w:line="360" w:lineRule="auto"/>
        <w:jc w:val="both"/>
        <w:rPr>
          <w:rFonts w:ascii="Palatino Linotype" w:eastAsia="Palatino Linotype" w:hAnsi="Palatino Linotype" w:cs="Palatino Linotype"/>
          <w:sz w:val="22"/>
          <w:szCs w:val="22"/>
        </w:rPr>
      </w:pPr>
    </w:p>
    <w:p w:rsidR="0047033F" w:rsidRDefault="0047033F">
      <w:pPr>
        <w:spacing w:line="360" w:lineRule="auto"/>
        <w:jc w:val="both"/>
        <w:rPr>
          <w:rFonts w:ascii="Palatino Linotype" w:eastAsia="Palatino Linotype" w:hAnsi="Palatino Linotype" w:cs="Palatino Linotype"/>
          <w:sz w:val="22"/>
          <w:szCs w:val="22"/>
        </w:rPr>
      </w:pPr>
    </w:p>
    <w:sectPr w:rsidR="0047033F">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58" w:rsidRDefault="00D10D58">
      <w:r>
        <w:separator/>
      </w:r>
    </w:p>
  </w:endnote>
  <w:endnote w:type="continuationSeparator" w:id="0">
    <w:p w:rsidR="00D10D58" w:rsidRDefault="00D1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3F" w:rsidRDefault="002229F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203E">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203E">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rsidR="0047033F" w:rsidRDefault="004703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3F" w:rsidRDefault="002229F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203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203E">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rsidR="0047033F" w:rsidRDefault="004703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58" w:rsidRDefault="00D10D58">
      <w:r>
        <w:separator/>
      </w:r>
    </w:p>
  </w:footnote>
  <w:footnote w:type="continuationSeparator" w:id="0">
    <w:p w:rsidR="00D10D58" w:rsidRDefault="00D10D58">
      <w:r>
        <w:continuationSeparator/>
      </w:r>
    </w:p>
  </w:footnote>
  <w:footnote w:id="1">
    <w:p w:rsidR="0047033F" w:rsidRDefault="002229F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[J.]: P./J. 74/2006, </w:t>
      </w:r>
      <w:r>
        <w:rPr>
          <w:rFonts w:ascii="Palatino Linotype" w:eastAsia="Palatino Linotype" w:hAnsi="Palatino Linotype" w:cs="Palatino Linotype"/>
          <w:i/>
          <w:color w:val="000000"/>
          <w:sz w:val="16"/>
          <w:szCs w:val="16"/>
        </w:rPr>
        <w:t xml:space="preserve">Semanario Judicial de la Federación y su Gaceta, </w:t>
      </w:r>
      <w:r>
        <w:rPr>
          <w:rFonts w:ascii="Palatino Linotype" w:eastAsia="Palatino Linotype" w:hAnsi="Palatino Linotype" w:cs="Palatino Linotype"/>
          <w:color w:val="000000"/>
          <w:sz w:val="16"/>
          <w:szCs w:val="16"/>
        </w:rPr>
        <w:t>Novena Época, Pleno, Tomo XXIII, Junio 2006, P. 963, Registro digital 174899.</w:t>
      </w:r>
    </w:p>
    <w:p w:rsidR="0047033F" w:rsidRDefault="0047033F">
      <w:pPr>
        <w:pBdr>
          <w:top w:val="nil"/>
          <w:left w:val="nil"/>
          <w:bottom w:val="nil"/>
          <w:right w:val="nil"/>
          <w:between w:val="nil"/>
        </w:pBdr>
        <w:jc w:val="both"/>
        <w:rPr>
          <w:rFonts w:ascii="Palatino Linotype" w:eastAsia="Palatino Linotype" w:hAnsi="Palatino Linotype" w:cs="Palatino Linotype"/>
          <w:color w:val="000000"/>
          <w:sz w:val="16"/>
          <w:szCs w:val="16"/>
        </w:rPr>
      </w:pPr>
    </w:p>
  </w:footnote>
  <w:footnote w:id="2">
    <w:p w:rsidR="0047033F" w:rsidRDefault="002229F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I.3o.C.35 K (10a.), </w:t>
      </w:r>
      <w:r>
        <w:rPr>
          <w:rFonts w:ascii="Palatino Linotype" w:eastAsia="Palatino Linotype" w:hAnsi="Palatino Linotype" w:cs="Palatino Linotype"/>
          <w:i/>
          <w:color w:val="000000"/>
          <w:sz w:val="16"/>
          <w:szCs w:val="16"/>
        </w:rPr>
        <w:t>Semanario Judicial de la Federación y su Gaceta</w:t>
      </w:r>
      <w:r>
        <w:rPr>
          <w:rFonts w:ascii="Palatino Linotype" w:eastAsia="Palatino Linotype" w:hAnsi="Palatino Linotype" w:cs="Palatino Linotype"/>
          <w:color w:val="000000"/>
          <w:sz w:val="16"/>
          <w:szCs w:val="16"/>
        </w:rPr>
        <w:t>, Décima Época, Tribunales Colegiados de Circuito Libro XXVI, Noviembre 2013, P. 1373, Registro digital 2004949.</w:t>
      </w:r>
    </w:p>
  </w:footnote>
  <w:footnote w:id="3">
    <w:p w:rsidR="0047033F" w:rsidRDefault="002229F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[J.]: XX.2o. J/24, </w:t>
      </w:r>
      <w:r>
        <w:rPr>
          <w:rFonts w:ascii="Palatino Linotype" w:eastAsia="Palatino Linotype" w:hAnsi="Palatino Linotype" w:cs="Palatino Linotype"/>
          <w:i/>
          <w:color w:val="000000"/>
          <w:sz w:val="16"/>
          <w:szCs w:val="16"/>
        </w:rPr>
        <w:t xml:space="preserve">Semanario Judicial de la Federación y su Gaceta, </w:t>
      </w:r>
      <w:r>
        <w:rPr>
          <w:rFonts w:ascii="Palatino Linotype" w:eastAsia="Palatino Linotype" w:hAnsi="Palatino Linotype" w:cs="Palatino Linotype"/>
          <w:color w:val="000000"/>
          <w:sz w:val="16"/>
          <w:szCs w:val="16"/>
        </w:rPr>
        <w:t>Novena Época, Tribunales Colegiados de Circuito, XXIX, Enero de 2009, P. 2470, Registro digital 168124.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3F" w:rsidRDefault="002229FA">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-1080088</wp:posOffset>
          </wp:positionH>
          <wp:positionV relativeFrom="paragraph">
            <wp:posOffset>-488257</wp:posOffset>
          </wp:positionV>
          <wp:extent cx="7809865" cy="10165715"/>
          <wp:effectExtent l="0" t="0" r="0" b="0"/>
          <wp:wrapNone/>
          <wp:docPr id="1940380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953" w:type="dxa"/>
      <w:tblInd w:w="3261" w:type="dxa"/>
      <w:tblLayout w:type="fixed"/>
      <w:tblLook w:val="0400" w:firstRow="0" w:lastRow="0" w:firstColumn="0" w:lastColumn="0" w:noHBand="0" w:noVBand="1"/>
    </w:tblPr>
    <w:tblGrid>
      <w:gridCol w:w="2489"/>
      <w:gridCol w:w="3464"/>
    </w:tblGrid>
    <w:tr w:rsidR="0047033F">
      <w:tc>
        <w:tcPr>
          <w:tcW w:w="2489" w:type="dxa"/>
        </w:tcPr>
        <w:p w:rsidR="0047033F" w:rsidRDefault="002229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rsidR="0047033F" w:rsidRDefault="002229F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07384/INFOEM/IP/RR/2025</w:t>
          </w:r>
        </w:p>
      </w:tc>
    </w:tr>
    <w:tr w:rsidR="0047033F">
      <w:trPr>
        <w:trHeight w:val="228"/>
      </w:trPr>
      <w:tc>
        <w:tcPr>
          <w:tcW w:w="2489" w:type="dxa"/>
          <w:vAlign w:val="center"/>
        </w:tcPr>
        <w:p w:rsidR="0047033F" w:rsidRDefault="002229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rsidR="0047033F" w:rsidRDefault="002229F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7033F">
      <w:tc>
        <w:tcPr>
          <w:tcW w:w="2489" w:type="dxa"/>
          <w:vAlign w:val="center"/>
        </w:tcPr>
        <w:p w:rsidR="0047033F" w:rsidRDefault="002229F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rsidR="0047033F" w:rsidRDefault="002229F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7033F" w:rsidRDefault="002229F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33F" w:rsidRDefault="002229F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-1080130</wp:posOffset>
          </wp:positionH>
          <wp:positionV relativeFrom="paragraph">
            <wp:posOffset>-369889</wp:posOffset>
          </wp:positionV>
          <wp:extent cx="7809865" cy="10165715"/>
          <wp:effectExtent l="0" t="0" r="0" b="0"/>
          <wp:wrapNone/>
          <wp:docPr id="19403804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1"/>
      <w:tblW w:w="5953" w:type="dxa"/>
      <w:tblInd w:w="3261" w:type="dxa"/>
      <w:tblLayout w:type="fixed"/>
      <w:tblLook w:val="0400" w:firstRow="0" w:lastRow="0" w:firstColumn="0" w:lastColumn="0" w:noHBand="0" w:noVBand="1"/>
    </w:tblPr>
    <w:tblGrid>
      <w:gridCol w:w="2489"/>
      <w:gridCol w:w="3464"/>
    </w:tblGrid>
    <w:tr w:rsidR="0047033F">
      <w:tc>
        <w:tcPr>
          <w:tcW w:w="2489" w:type="dxa"/>
        </w:tcPr>
        <w:p w:rsidR="0047033F" w:rsidRDefault="002229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rsidR="0047033F" w:rsidRDefault="002229F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07384/INFOEM/IP/RR/2025</w:t>
          </w:r>
        </w:p>
      </w:tc>
    </w:tr>
    <w:tr w:rsidR="0047033F">
      <w:tc>
        <w:tcPr>
          <w:tcW w:w="2489" w:type="dxa"/>
        </w:tcPr>
        <w:p w:rsidR="0047033F" w:rsidRDefault="002229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rsidR="0047033F" w:rsidRDefault="0047033F">
          <w:pPr>
            <w:ind w:right="175"/>
            <w:jc w:val="both"/>
            <w:rPr>
              <w:rFonts w:ascii="Palatino Linotype" w:eastAsia="Palatino Linotype" w:hAnsi="Palatino Linotype" w:cs="Palatino Linotype"/>
              <w:b/>
              <w:color w:val="FF0000"/>
              <w:sz w:val="22"/>
              <w:szCs w:val="22"/>
              <w:highlight w:val="yellow"/>
            </w:rPr>
          </w:pPr>
        </w:p>
      </w:tc>
    </w:tr>
    <w:tr w:rsidR="0047033F">
      <w:trPr>
        <w:trHeight w:val="228"/>
      </w:trPr>
      <w:tc>
        <w:tcPr>
          <w:tcW w:w="2489" w:type="dxa"/>
          <w:vAlign w:val="center"/>
        </w:tcPr>
        <w:p w:rsidR="0047033F" w:rsidRDefault="002229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rsidR="0047033F" w:rsidRDefault="002229F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7033F">
      <w:tc>
        <w:tcPr>
          <w:tcW w:w="2489" w:type="dxa"/>
          <w:vAlign w:val="center"/>
        </w:tcPr>
        <w:p w:rsidR="0047033F" w:rsidRDefault="002229F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rsidR="0047033F" w:rsidRDefault="002229F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7033F" w:rsidRDefault="004703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781E"/>
    <w:multiLevelType w:val="multilevel"/>
    <w:tmpl w:val="BE7AF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22662B1"/>
    <w:multiLevelType w:val="multilevel"/>
    <w:tmpl w:val="F6827852"/>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3F"/>
    <w:rsid w:val="002229FA"/>
    <w:rsid w:val="004173E2"/>
    <w:rsid w:val="0047033F"/>
    <w:rsid w:val="00585D21"/>
    <w:rsid w:val="00D10D58"/>
    <w:rsid w:val="00FA20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F3081-39B1-428A-B45B-57D91602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a">
    <w:basedOn w:val="TableNormalf4"/>
    <w:tblPr>
      <w:tblStyleRowBandSize w:val="1"/>
      <w:tblStyleColBandSize w:val="1"/>
      <w:tblCellMar>
        <w:left w:w="115" w:type="dxa"/>
        <w:right w:w="115" w:type="dxa"/>
      </w:tblCellMar>
    </w:tblPr>
  </w:style>
  <w:style w:type="table" w:customStyle="1" w:styleId="a0">
    <w:basedOn w:val="TableNormalf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ind w:left="644" w:hanging="357"/>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2"/>
    <w:tblPr>
      <w:tblStyleRowBandSize w:val="1"/>
      <w:tblStyleColBandSize w:val="1"/>
      <w:tblCellMar>
        <w:left w:w="108" w:type="dxa"/>
        <w:right w:w="108" w:type="dxa"/>
      </w:tblCellMar>
    </w:tblPr>
  </w:style>
  <w:style w:type="table" w:customStyle="1" w:styleId="a6">
    <w:basedOn w:val="TableNormalf2"/>
    <w:tblPr>
      <w:tblStyleRowBandSize w:val="1"/>
      <w:tblStyleColBandSize w:val="1"/>
      <w:tblCellMar>
        <w:left w:w="108" w:type="dxa"/>
        <w:right w:w="108" w:type="dxa"/>
      </w:tblCellMar>
    </w:tblPr>
  </w:style>
  <w:style w:type="table" w:customStyle="1" w:styleId="a7">
    <w:basedOn w:val="TableNormalf2"/>
    <w:tblPr>
      <w:tblStyleRowBandSize w:val="1"/>
      <w:tblStyleColBandSize w:val="1"/>
      <w:tblCellMar>
        <w:left w:w="108" w:type="dxa"/>
        <w:right w:w="108" w:type="dxa"/>
      </w:tblCellMar>
    </w:tblPr>
  </w:style>
  <w:style w:type="table" w:customStyle="1" w:styleId="a8">
    <w:basedOn w:val="TableNormalf2"/>
    <w:tblPr>
      <w:tblStyleRowBandSize w:val="1"/>
      <w:tblStyleColBandSize w:val="1"/>
      <w:tblCellMar>
        <w:left w:w="108" w:type="dxa"/>
        <w:right w:w="108" w:type="dxa"/>
      </w:tblCellMar>
    </w:tblPr>
  </w:style>
  <w:style w:type="table" w:customStyle="1" w:styleId="a9">
    <w:basedOn w:val="TableNormalf2"/>
    <w:tblPr>
      <w:tblStyleRowBandSize w:val="1"/>
      <w:tblStyleColBandSize w:val="1"/>
      <w:tblCellMar>
        <w:left w:w="108" w:type="dxa"/>
        <w:right w:w="108" w:type="dxa"/>
      </w:tblCellMar>
    </w:tblPr>
  </w:style>
  <w:style w:type="table" w:customStyle="1" w:styleId="aa">
    <w:basedOn w:val="TableNormalf2"/>
    <w:tblPr>
      <w:tblStyleRowBandSize w:val="1"/>
      <w:tblStyleColBandSize w:val="1"/>
      <w:tblCellMar>
        <w:left w:w="115" w:type="dxa"/>
        <w:right w:w="115" w:type="dxa"/>
      </w:tblCellMar>
    </w:tblPr>
  </w:style>
  <w:style w:type="table" w:customStyle="1" w:styleId="ab">
    <w:basedOn w:val="TableNormalf2"/>
    <w:tblPr>
      <w:tblStyleRowBandSize w:val="1"/>
      <w:tblStyleColBandSize w:val="1"/>
      <w:tblCellMar>
        <w:left w:w="115" w:type="dxa"/>
        <w:right w:w="115" w:type="dxa"/>
      </w:tblCellMar>
    </w:tblPr>
  </w:style>
  <w:style w:type="table" w:customStyle="1" w:styleId="ac">
    <w:basedOn w:val="TableNormalf1"/>
    <w:tblPr>
      <w:tblStyleRowBandSize w:val="1"/>
      <w:tblStyleColBandSize w:val="1"/>
      <w:tblCellMar>
        <w:left w:w="108" w:type="dxa"/>
        <w:right w:w="108" w:type="dxa"/>
      </w:tblCellMar>
    </w:tblPr>
  </w:style>
  <w:style w:type="table" w:customStyle="1" w:styleId="ad">
    <w:basedOn w:val="TableNormalf1"/>
    <w:tblPr>
      <w:tblStyleRowBandSize w:val="1"/>
      <w:tblStyleColBandSize w:val="1"/>
      <w:tblCellMar>
        <w:left w:w="115" w:type="dxa"/>
        <w:right w:w="115" w:type="dxa"/>
      </w:tblCellMar>
    </w:tblPr>
  </w:style>
  <w:style w:type="table" w:customStyle="1" w:styleId="ae">
    <w:basedOn w:val="TableNormalf1"/>
    <w:tblPr>
      <w:tblStyleRowBandSize w:val="1"/>
      <w:tblStyleColBandSize w:val="1"/>
      <w:tblCellMar>
        <w:left w:w="115" w:type="dxa"/>
        <w:right w:w="115" w:type="dxa"/>
      </w:tblCellMar>
    </w:tblPr>
  </w:style>
  <w:style w:type="table" w:customStyle="1" w:styleId="af">
    <w:basedOn w:val="TableNormalf0"/>
    <w:tblPr>
      <w:tblStyleRowBandSize w:val="1"/>
      <w:tblStyleColBandSize w:val="1"/>
      <w:tblCellMar>
        <w:left w:w="115" w:type="dxa"/>
        <w:right w:w="115" w:type="dxa"/>
      </w:tblCellMar>
    </w:tblPr>
  </w:style>
  <w:style w:type="table" w:customStyle="1" w:styleId="af0">
    <w:basedOn w:val="TableNormalf0"/>
    <w:tblPr>
      <w:tblStyleRowBandSize w:val="1"/>
      <w:tblStyleColBandSize w:val="1"/>
      <w:tblCellMar>
        <w:left w:w="115" w:type="dxa"/>
        <w:right w:w="115" w:type="dxa"/>
      </w:tblCellMar>
    </w:tblPr>
  </w:style>
  <w:style w:type="table" w:customStyle="1" w:styleId="af1">
    <w:basedOn w:val="TableNormalf0"/>
    <w:tblPr>
      <w:tblStyleRowBandSize w:val="1"/>
      <w:tblStyleColBandSize w:val="1"/>
      <w:tblCellMar>
        <w:left w:w="115" w:type="dxa"/>
        <w:right w:w="115" w:type="dxa"/>
      </w:tblCellMar>
    </w:tblPr>
  </w:style>
  <w:style w:type="table" w:customStyle="1" w:styleId="af2">
    <w:basedOn w:val="TableNormalf"/>
    <w:tblPr>
      <w:tblStyleRowBandSize w:val="1"/>
      <w:tblStyleColBandSize w:val="1"/>
      <w:tblCellMar>
        <w:left w:w="115" w:type="dxa"/>
        <w:right w:w="115" w:type="dxa"/>
      </w:tblCellMar>
    </w:tblPr>
  </w:style>
  <w:style w:type="table" w:customStyle="1" w:styleId="af3">
    <w:basedOn w:val="TableNormalf"/>
    <w:tblPr>
      <w:tblStyleRowBandSize w:val="1"/>
      <w:tblStyleColBandSize w:val="1"/>
      <w:tblCellMar>
        <w:left w:w="115" w:type="dxa"/>
        <w:right w:w="115" w:type="dxa"/>
      </w:tblCellMar>
    </w:tblPr>
  </w:style>
  <w:style w:type="table" w:customStyle="1" w:styleId="af4">
    <w:basedOn w:val="TableNormale"/>
    <w:tblPr>
      <w:tblStyleRowBandSize w:val="1"/>
      <w:tblStyleColBandSize w:val="1"/>
      <w:tblCellMar>
        <w:left w:w="115" w:type="dxa"/>
        <w:right w:w="115" w:type="dxa"/>
      </w:tblCellMar>
    </w:tblPr>
  </w:style>
  <w:style w:type="table" w:customStyle="1" w:styleId="af5">
    <w:basedOn w:val="TableNormale"/>
    <w:tblPr>
      <w:tblStyleRowBandSize w:val="1"/>
      <w:tblStyleColBandSize w:val="1"/>
      <w:tblCellMar>
        <w:left w:w="115" w:type="dxa"/>
        <w:right w:w="115" w:type="dxa"/>
      </w:tblCellMar>
    </w:tblPr>
  </w:style>
  <w:style w:type="table" w:customStyle="1" w:styleId="af6">
    <w:basedOn w:val="TableNormald"/>
    <w:tblPr>
      <w:tblStyleRowBandSize w:val="1"/>
      <w:tblStyleColBandSize w:val="1"/>
      <w:tblCellMar>
        <w:left w:w="115" w:type="dxa"/>
        <w:right w:w="115" w:type="dxa"/>
      </w:tblCellMar>
    </w:tblPr>
  </w:style>
  <w:style w:type="table" w:customStyle="1" w:styleId="af7">
    <w:basedOn w:val="TableNormald"/>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c"/>
    <w:tblPr>
      <w:tblStyleRowBandSize w:val="1"/>
      <w:tblStyleColBandSize w:val="1"/>
      <w:tblCellMar>
        <w:left w:w="115" w:type="dxa"/>
        <w:right w:w="115" w:type="dxa"/>
      </w:tblCellMar>
    </w:tblPr>
  </w:style>
  <w:style w:type="table" w:customStyle="1" w:styleId="af9">
    <w:basedOn w:val="TableNormalc"/>
    <w:tblPr>
      <w:tblStyleRowBandSize w:val="1"/>
      <w:tblStyleColBandSize w:val="1"/>
      <w:tblCellMar>
        <w:left w:w="115" w:type="dxa"/>
        <w:right w:w="115" w:type="dxa"/>
      </w:tblCellMar>
    </w:tblPr>
  </w:style>
  <w:style w:type="table" w:customStyle="1" w:styleId="afa">
    <w:basedOn w:val="TableNormalb"/>
    <w:tblPr>
      <w:tblStyleRowBandSize w:val="1"/>
      <w:tblStyleColBandSize w:val="1"/>
      <w:tblCellMar>
        <w:left w:w="115" w:type="dxa"/>
        <w:right w:w="115" w:type="dxa"/>
      </w:tblCellMar>
    </w:tblPr>
  </w:style>
  <w:style w:type="table" w:customStyle="1" w:styleId="afb">
    <w:basedOn w:val="TableNormalb"/>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9"/>
    <w:tblPr>
      <w:tblStyleRowBandSize w:val="1"/>
      <w:tblStyleColBandSize w:val="1"/>
      <w:tblCellMar>
        <w:left w:w="115" w:type="dxa"/>
        <w:right w:w="115" w:type="dxa"/>
      </w:tblCellMar>
    </w:tblPr>
  </w:style>
  <w:style w:type="table" w:customStyle="1" w:styleId="aff">
    <w:basedOn w:val="TableNormal9"/>
    <w:tblPr>
      <w:tblStyleRowBandSize w:val="1"/>
      <w:tblStyleColBandSize w:val="1"/>
      <w:tblCellMar>
        <w:left w:w="115" w:type="dxa"/>
        <w:right w:w="115" w:type="dxa"/>
      </w:tblCellMar>
    </w:tblPr>
  </w:style>
  <w:style w:type="table" w:customStyle="1" w:styleId="aff0">
    <w:basedOn w:val="TableNormal8"/>
    <w:tblPr>
      <w:tblStyleRowBandSize w:val="1"/>
      <w:tblStyleColBandSize w:val="1"/>
      <w:tblCellMar>
        <w:left w:w="115" w:type="dxa"/>
        <w:right w:w="115" w:type="dxa"/>
      </w:tblCellMar>
    </w:tblPr>
  </w:style>
  <w:style w:type="table" w:customStyle="1" w:styleId="aff1">
    <w:basedOn w:val="TableNormal8"/>
    <w:tblPr>
      <w:tblStyleRowBandSize w:val="1"/>
      <w:tblStyleColBandSize w:val="1"/>
      <w:tblCellMar>
        <w:left w:w="115" w:type="dxa"/>
        <w:right w:w="115" w:type="dxa"/>
      </w:tblCellMar>
    </w:tblPr>
  </w:style>
  <w:style w:type="table" w:customStyle="1" w:styleId="aff2">
    <w:basedOn w:val="TableNormal7"/>
    <w:tblPr>
      <w:tblStyleRowBandSize w:val="1"/>
      <w:tblStyleColBandSize w:val="1"/>
      <w:tblCellMar>
        <w:left w:w="115" w:type="dxa"/>
        <w:right w:w="115" w:type="dxa"/>
      </w:tblCellMar>
    </w:tblPr>
  </w:style>
  <w:style w:type="table" w:customStyle="1" w:styleId="aff3">
    <w:basedOn w:val="TableNormal7"/>
    <w:tblPr>
      <w:tblStyleRowBandSize w:val="1"/>
      <w:tblStyleColBandSize w:val="1"/>
      <w:tblCellMar>
        <w:left w:w="115" w:type="dxa"/>
        <w:right w:w="115" w:type="dxa"/>
      </w:tblCellMar>
    </w:tblPr>
  </w:style>
  <w:style w:type="table" w:customStyle="1" w:styleId="aff4">
    <w:basedOn w:val="TableNormal6"/>
    <w:tblPr>
      <w:tblStyleRowBandSize w:val="1"/>
      <w:tblStyleColBandSize w:val="1"/>
      <w:tblCellMar>
        <w:left w:w="115" w:type="dxa"/>
        <w:right w:w="115" w:type="dxa"/>
      </w:tblCellMar>
    </w:tblPr>
  </w:style>
  <w:style w:type="table" w:customStyle="1" w:styleId="aff5">
    <w:basedOn w:val="TableNormal6"/>
    <w:tblPr>
      <w:tblStyleRowBandSize w:val="1"/>
      <w:tblStyleColBandSize w:val="1"/>
      <w:tblCellMar>
        <w:left w:w="115" w:type="dxa"/>
        <w:right w:w="115" w:type="dxa"/>
      </w:tblCellMar>
    </w:tblPr>
  </w:style>
  <w:style w:type="table" w:customStyle="1" w:styleId="aff6">
    <w:basedOn w:val="TableNormal5"/>
    <w:tblPr>
      <w:tblStyleRowBandSize w:val="1"/>
      <w:tblStyleColBandSize w:val="1"/>
      <w:tblCellMar>
        <w:left w:w="115" w:type="dxa"/>
        <w:right w:w="115" w:type="dxa"/>
      </w:tblCellMar>
    </w:tblPr>
  </w:style>
  <w:style w:type="table" w:customStyle="1" w:styleId="aff7">
    <w:basedOn w:val="TableNormal5"/>
    <w:tblPr>
      <w:tblStyleRowBandSize w:val="1"/>
      <w:tblStyleColBandSize w:val="1"/>
      <w:tblCellMar>
        <w:left w:w="115" w:type="dxa"/>
        <w:right w:w="115"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3"/>
    <w:tblPr>
      <w:tblStyleRowBandSize w:val="1"/>
      <w:tblStyleColBandSize w:val="1"/>
      <w:tblCellMar>
        <w:left w:w="115" w:type="dxa"/>
        <w:right w:w="115" w:type="dxa"/>
      </w:tblCellMar>
    </w:tblPr>
  </w:style>
  <w:style w:type="table" w:customStyle="1" w:styleId="affb">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054677"/>
    <w:pPr>
      <w:ind w:left="283" w:hanging="283"/>
      <w:contextualSpacing/>
    </w:pPr>
  </w:style>
  <w:style w:type="paragraph" w:styleId="Lista2">
    <w:name w:val="List 2"/>
    <w:basedOn w:val="Normal"/>
    <w:uiPriority w:val="99"/>
    <w:unhideWhenUsed/>
    <w:rsid w:val="00054677"/>
    <w:pPr>
      <w:ind w:left="566" w:hanging="283"/>
      <w:contextualSpacing/>
    </w:pPr>
  </w:style>
  <w:style w:type="paragraph" w:styleId="Listaconvietas2">
    <w:name w:val="List Bullet 2"/>
    <w:basedOn w:val="Normal"/>
    <w:uiPriority w:val="99"/>
    <w:unhideWhenUsed/>
    <w:rsid w:val="00054677"/>
    <w:pPr>
      <w:tabs>
        <w:tab w:val="num" w:pos="720"/>
      </w:tabs>
      <w:ind w:left="720" w:hanging="720"/>
      <w:contextualSpacing/>
    </w:pPr>
  </w:style>
  <w:style w:type="paragraph" w:styleId="Textoindependiente">
    <w:name w:val="Body Text"/>
    <w:basedOn w:val="Normal"/>
    <w:link w:val="TextoindependienteCar"/>
    <w:uiPriority w:val="99"/>
    <w:unhideWhenUsed/>
    <w:rsid w:val="00054677"/>
    <w:pPr>
      <w:spacing w:after="120"/>
    </w:pPr>
  </w:style>
  <w:style w:type="character" w:customStyle="1" w:styleId="TextoindependienteCar">
    <w:name w:val="Texto independiente Car"/>
    <w:basedOn w:val="Fuentedeprrafopredeter"/>
    <w:link w:val="Textoindependiente"/>
    <w:uiPriority w:val="99"/>
    <w:rsid w:val="00054677"/>
  </w:style>
  <w:style w:type="paragraph" w:styleId="Sangradetextonormal">
    <w:name w:val="Body Text Indent"/>
    <w:basedOn w:val="Normal"/>
    <w:link w:val="SangradetextonormalCar"/>
    <w:uiPriority w:val="99"/>
    <w:unhideWhenUsed/>
    <w:rsid w:val="00054677"/>
    <w:pPr>
      <w:spacing w:after="120"/>
      <w:ind w:left="283"/>
    </w:pPr>
  </w:style>
  <w:style w:type="character" w:customStyle="1" w:styleId="SangradetextonormalCar">
    <w:name w:val="Sangría de texto normal Car"/>
    <w:basedOn w:val="Fuentedeprrafopredeter"/>
    <w:link w:val="Sangradetextonormal"/>
    <w:uiPriority w:val="99"/>
    <w:rsid w:val="00054677"/>
  </w:style>
  <w:style w:type="paragraph" w:styleId="Textoindependienteprimerasangra2">
    <w:name w:val="Body Text First Indent 2"/>
    <w:basedOn w:val="Sangradetextonormal"/>
    <w:link w:val="Textoindependienteprimerasangra2Car"/>
    <w:uiPriority w:val="99"/>
    <w:unhideWhenUsed/>
    <w:rsid w:val="00054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4677"/>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top w:w="0" w:type="dxa"/>
        <w:left w:w="115" w:type="dxa"/>
        <w:bottom w:w="0" w:type="dxa"/>
        <w:right w:w="115" w:type="dxa"/>
      </w:tblCellMar>
    </w:tblPr>
  </w:style>
  <w:style w:type="table" w:customStyle="1" w:styleId="afff">
    <w:basedOn w:val="TableNormal1"/>
    <w:tblPr>
      <w:tblStyleRowBandSize w:val="1"/>
      <w:tblStyleColBandSize w:val="1"/>
      <w:tblCellMar>
        <w:top w:w="0" w:type="dxa"/>
        <w:left w:w="115" w:type="dxa"/>
        <w:bottom w:w="0"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KZAPM7z7Pj5a5mzy09Qq9/AOA==">CgMxLjAyCWguM3JkY3JqbjIOaC5kYWozajJ4bzZxNjYyCGguZ2pkZ3hzMgloLjNkeTZ2a20yCWguMzBqMHpsbDIJaC4yczhleW8xMghoLnR5amN3dDIJaC4zem55c2g3MgloLjJldDkycDAyCWguMXQzaDVzZjIJaC4xZm9iOXRlMg5oLmhuenhzY2g1Z3lzejIOaC5vdDNxcTZ2eGEwOGYyCGgubG54Yno5Mg5oLjEyZjB5aXNpZ3FpeTgAciExcXRBcnRpcmUzUmpLenRlNHNlSmFEaXZ3d3cxeVFPb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13672</Words>
  <Characters>75196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2025-10-17T00:47:00Z</cp:lastPrinted>
  <dcterms:created xsi:type="dcterms:W3CDTF">2025-11-14T17:16:00Z</dcterms:created>
  <dcterms:modified xsi:type="dcterms:W3CDTF">2025-11-14T17:16:00Z</dcterms:modified>
</cp:coreProperties>
</file>