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5ACB2"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nueve de abril de dos mil veinticinco.</w:t>
      </w:r>
    </w:p>
    <w:p w14:paraId="043F0C66"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01CB4F78" w14:textId="36DA721E" w:rsidR="00835735" w:rsidRPr="00495DBE" w:rsidRDefault="0071539A">
      <w:pPr>
        <w:spacing w:line="360" w:lineRule="auto"/>
        <w:jc w:val="both"/>
        <w:rPr>
          <w:rFonts w:ascii="Palatino Linotype" w:eastAsia="Palatino Linotype" w:hAnsi="Palatino Linotype" w:cs="Palatino Linotype"/>
          <w:b/>
          <w:sz w:val="22"/>
          <w:szCs w:val="22"/>
        </w:rPr>
      </w:pPr>
      <w:r w:rsidRPr="00495DBE">
        <w:rPr>
          <w:rFonts w:ascii="Palatino Linotype" w:eastAsia="Palatino Linotype" w:hAnsi="Palatino Linotype" w:cs="Palatino Linotype"/>
          <w:b/>
          <w:sz w:val="22"/>
          <w:szCs w:val="22"/>
        </w:rPr>
        <w:t>Visto</w:t>
      </w:r>
      <w:r w:rsidRPr="00495DBE">
        <w:rPr>
          <w:rFonts w:ascii="Palatino Linotype" w:eastAsia="Palatino Linotype" w:hAnsi="Palatino Linotype" w:cs="Palatino Linotype"/>
          <w:sz w:val="22"/>
          <w:szCs w:val="22"/>
        </w:rPr>
        <w:t xml:space="preserve"> el expediente relativo al recurso de revisión </w:t>
      </w:r>
      <w:r w:rsidRPr="00495DBE">
        <w:rPr>
          <w:rFonts w:ascii="Palatino Linotype" w:eastAsia="Palatino Linotype" w:hAnsi="Palatino Linotype" w:cs="Palatino Linotype"/>
          <w:b/>
          <w:sz w:val="22"/>
          <w:szCs w:val="22"/>
        </w:rPr>
        <w:t>01914/INFOEM/IP/RR/2025</w:t>
      </w:r>
      <w:r w:rsidRPr="00495DBE">
        <w:rPr>
          <w:rFonts w:ascii="Palatino Linotype" w:eastAsia="Palatino Linotype" w:hAnsi="Palatino Linotype" w:cs="Palatino Linotype"/>
          <w:sz w:val="22"/>
          <w:szCs w:val="22"/>
        </w:rPr>
        <w:t xml:space="preserve">, interpuesto por </w:t>
      </w:r>
      <w:r w:rsidR="00D05D4F" w:rsidRPr="00D05D4F">
        <w:rPr>
          <w:rFonts w:ascii="Palatino Linotype" w:eastAsia="Palatino Linotype" w:hAnsi="Palatino Linotype" w:cs="Palatino Linotype"/>
          <w:b/>
          <w:sz w:val="22"/>
          <w:szCs w:val="22"/>
        </w:rPr>
        <w:t>XXXXX XXXX XXXXXX</w:t>
      </w:r>
      <w:r w:rsidRPr="00495DBE">
        <w:rPr>
          <w:rFonts w:ascii="Palatino Linotype" w:eastAsia="Palatino Linotype" w:hAnsi="Palatino Linotype" w:cs="Palatino Linotype"/>
          <w:b/>
          <w:sz w:val="22"/>
          <w:szCs w:val="22"/>
        </w:rPr>
        <w:t>,</w:t>
      </w:r>
      <w:r w:rsidRPr="00495DBE">
        <w:rPr>
          <w:rFonts w:ascii="Palatino Linotype" w:eastAsia="Palatino Linotype" w:hAnsi="Palatino Linotype" w:cs="Palatino Linotype"/>
          <w:sz w:val="22"/>
          <w:szCs w:val="22"/>
        </w:rPr>
        <w:t xml:space="preserve"> en lo sucesivo se le denominará la parte</w:t>
      </w:r>
      <w:r w:rsidRPr="00495DBE">
        <w:rPr>
          <w:rFonts w:ascii="Palatino Linotype" w:eastAsia="Palatino Linotype" w:hAnsi="Palatino Linotype" w:cs="Palatino Linotype"/>
          <w:b/>
          <w:sz w:val="22"/>
          <w:szCs w:val="22"/>
        </w:rPr>
        <w:t xml:space="preserve"> RECURRENTE</w:t>
      </w:r>
      <w:r w:rsidRPr="00495DBE">
        <w:rPr>
          <w:rFonts w:ascii="Palatino Linotype" w:eastAsia="Palatino Linotype" w:hAnsi="Palatino Linotype" w:cs="Palatino Linotype"/>
          <w:sz w:val="22"/>
          <w:szCs w:val="22"/>
        </w:rPr>
        <w:t>, en contra de la falta de respuesta a su solicitud de información con número de folio</w:t>
      </w:r>
      <w:r w:rsidRPr="00495DBE">
        <w:rPr>
          <w:rFonts w:ascii="Palatino Linotype" w:eastAsia="Palatino Linotype" w:hAnsi="Palatino Linotype" w:cs="Palatino Linotype"/>
          <w:b/>
          <w:sz w:val="22"/>
          <w:szCs w:val="22"/>
        </w:rPr>
        <w:t xml:space="preserve"> 00014/OASCUATIZC/IP/2025, </w:t>
      </w:r>
      <w:r w:rsidRPr="00495DBE">
        <w:rPr>
          <w:rFonts w:ascii="Palatino Linotype" w:eastAsia="Palatino Linotype" w:hAnsi="Palatino Linotype" w:cs="Palatino Linotype"/>
          <w:sz w:val="22"/>
          <w:szCs w:val="22"/>
        </w:rPr>
        <w:t xml:space="preserve">por parte del </w:t>
      </w:r>
      <w:r w:rsidRPr="00495DBE">
        <w:rPr>
          <w:rFonts w:ascii="Palatino Linotype" w:eastAsia="Palatino Linotype" w:hAnsi="Palatino Linotype" w:cs="Palatino Linotype"/>
          <w:b/>
          <w:sz w:val="22"/>
          <w:szCs w:val="22"/>
        </w:rPr>
        <w:t xml:space="preserve">Organismo Público Descentralizado Municipal para la Prestación de Los Servicios de Agua Potable Alcantarillado y Saneamiento de Cuautitlán Izcalli denominado OPERAGUA, O.P.D.M. </w:t>
      </w:r>
      <w:r w:rsidRPr="00495DBE">
        <w:rPr>
          <w:rFonts w:ascii="Palatino Linotype" w:eastAsia="Palatino Linotype" w:hAnsi="Palatino Linotype" w:cs="Palatino Linotype"/>
          <w:sz w:val="22"/>
          <w:szCs w:val="22"/>
        </w:rPr>
        <w:t xml:space="preserve">en lo sucesivo el </w:t>
      </w:r>
      <w:r w:rsidRPr="00495DBE">
        <w:rPr>
          <w:rFonts w:ascii="Palatino Linotype" w:eastAsia="Palatino Linotype" w:hAnsi="Palatino Linotype" w:cs="Palatino Linotype"/>
          <w:b/>
          <w:sz w:val="22"/>
          <w:szCs w:val="22"/>
        </w:rPr>
        <w:t>SUJETO OBLIGADO</w:t>
      </w:r>
      <w:r w:rsidRPr="00495DBE">
        <w:rPr>
          <w:rFonts w:ascii="Palatino Linotype" w:eastAsia="Palatino Linotype" w:hAnsi="Palatino Linotype" w:cs="Palatino Linotype"/>
          <w:sz w:val="22"/>
          <w:szCs w:val="22"/>
        </w:rPr>
        <w:t>;</w:t>
      </w:r>
      <w:r w:rsidRPr="00495DBE">
        <w:rPr>
          <w:rFonts w:ascii="Palatino Linotype" w:eastAsia="Palatino Linotype" w:hAnsi="Palatino Linotype" w:cs="Palatino Linotype"/>
          <w:b/>
          <w:sz w:val="22"/>
          <w:szCs w:val="22"/>
        </w:rPr>
        <w:t xml:space="preserve"> </w:t>
      </w:r>
      <w:r w:rsidRPr="00495DBE">
        <w:rPr>
          <w:rFonts w:ascii="Palatino Linotype" w:eastAsia="Palatino Linotype" w:hAnsi="Palatino Linotype" w:cs="Palatino Linotype"/>
          <w:sz w:val="22"/>
          <w:szCs w:val="22"/>
        </w:rPr>
        <w:t xml:space="preserve">se procede a dictar la presente resolución, con base en los siguientes: </w:t>
      </w:r>
    </w:p>
    <w:p w14:paraId="6FB45AB9"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75096AE2" w14:textId="77777777" w:rsidR="00835735" w:rsidRPr="00495DBE" w:rsidRDefault="0071539A">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495DBE">
        <w:rPr>
          <w:rFonts w:ascii="Palatino Linotype" w:eastAsia="Palatino Linotype" w:hAnsi="Palatino Linotype" w:cs="Palatino Linotype"/>
          <w:b/>
          <w:sz w:val="22"/>
          <w:szCs w:val="22"/>
        </w:rPr>
        <w:t>A N T E C E D E N T E S:</w:t>
      </w:r>
    </w:p>
    <w:p w14:paraId="055664CE" w14:textId="77777777" w:rsidR="00835735" w:rsidRPr="00495DBE" w:rsidRDefault="0083573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E65DA52" w14:textId="77777777" w:rsidR="00835735" w:rsidRPr="00495DBE" w:rsidRDefault="0071539A">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495DBE">
        <w:rPr>
          <w:rFonts w:ascii="Palatino Linotype" w:eastAsia="Palatino Linotype" w:hAnsi="Palatino Linotype" w:cs="Palatino Linotype"/>
          <w:b/>
          <w:sz w:val="22"/>
          <w:szCs w:val="22"/>
        </w:rPr>
        <w:t xml:space="preserve">Solicitud de acceso a la información. </w:t>
      </w:r>
      <w:r w:rsidRPr="00495DBE">
        <w:rPr>
          <w:rFonts w:ascii="Palatino Linotype" w:eastAsia="Palatino Linotype" w:hAnsi="Palatino Linotype" w:cs="Palatino Linotype"/>
          <w:sz w:val="22"/>
          <w:szCs w:val="22"/>
        </w:rPr>
        <w:t xml:space="preserve">Con fecha </w:t>
      </w:r>
      <w:r w:rsidRPr="00495DBE">
        <w:rPr>
          <w:rFonts w:ascii="Palatino Linotype" w:eastAsia="Palatino Linotype" w:hAnsi="Palatino Linotype" w:cs="Palatino Linotype"/>
          <w:b/>
          <w:sz w:val="22"/>
          <w:szCs w:val="22"/>
        </w:rPr>
        <w:t>veintinueve de enero de dos mil veinticinco</w:t>
      </w:r>
      <w:r w:rsidRPr="00495DBE">
        <w:rPr>
          <w:rFonts w:ascii="Palatino Linotype" w:eastAsia="Palatino Linotype" w:hAnsi="Palatino Linotype" w:cs="Palatino Linotype"/>
          <w:sz w:val="22"/>
          <w:szCs w:val="22"/>
        </w:rPr>
        <w:t xml:space="preserve">, la parte </w:t>
      </w:r>
      <w:r w:rsidRPr="00495DBE">
        <w:rPr>
          <w:rFonts w:ascii="Palatino Linotype" w:eastAsia="Palatino Linotype" w:hAnsi="Palatino Linotype" w:cs="Palatino Linotype"/>
          <w:b/>
          <w:sz w:val="22"/>
          <w:szCs w:val="22"/>
        </w:rPr>
        <w:t>RECURRENTE</w:t>
      </w:r>
      <w:r w:rsidRPr="00495DBE">
        <w:rPr>
          <w:rFonts w:ascii="Palatino Linotype" w:eastAsia="Palatino Linotype" w:hAnsi="Palatino Linotype" w:cs="Palatino Linotype"/>
          <w:sz w:val="22"/>
          <w:szCs w:val="22"/>
        </w:rPr>
        <w:t xml:space="preserve"> formuló solicitud de acceso a información pública al </w:t>
      </w:r>
      <w:r w:rsidRPr="00495DBE">
        <w:rPr>
          <w:rFonts w:ascii="Palatino Linotype" w:eastAsia="Palatino Linotype" w:hAnsi="Palatino Linotype" w:cs="Palatino Linotype"/>
          <w:b/>
          <w:sz w:val="22"/>
          <w:szCs w:val="22"/>
        </w:rPr>
        <w:t>SUJETO OBLIGADO,</w:t>
      </w:r>
      <w:r w:rsidRPr="00495DBE">
        <w:rPr>
          <w:rFonts w:ascii="Palatino Linotype" w:eastAsia="Palatino Linotype" w:hAnsi="Palatino Linotype" w:cs="Palatino Linotype"/>
          <w:sz w:val="22"/>
          <w:szCs w:val="22"/>
        </w:rPr>
        <w:t xml:space="preserve"> a través del Sistema de Acceso a la Información Mexiquense, en adelante </w:t>
      </w:r>
      <w:r w:rsidRPr="00495DBE">
        <w:rPr>
          <w:rFonts w:ascii="Palatino Linotype" w:eastAsia="Palatino Linotype" w:hAnsi="Palatino Linotype" w:cs="Palatino Linotype"/>
          <w:b/>
          <w:sz w:val="22"/>
          <w:szCs w:val="22"/>
        </w:rPr>
        <w:t>SAIMEX</w:t>
      </w:r>
      <w:r w:rsidRPr="00495DBE">
        <w:rPr>
          <w:rFonts w:ascii="Palatino Linotype" w:eastAsia="Palatino Linotype" w:hAnsi="Palatino Linotype" w:cs="Palatino Linotype"/>
          <w:sz w:val="22"/>
          <w:szCs w:val="22"/>
        </w:rPr>
        <w:t xml:space="preserve">, en la que requirió lo siguiente:  </w:t>
      </w:r>
    </w:p>
    <w:p w14:paraId="0475716E"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88D432F"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E571AB8"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EA8EAF8" w14:textId="77777777" w:rsidR="00835735" w:rsidRPr="00495DBE" w:rsidRDefault="0071539A">
      <w:pPr>
        <w:spacing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lastRenderedPageBreak/>
        <w:t xml:space="preserve">“Cuál es el último grado de estudios de los subcontralores de investigación y sustanciación de </w:t>
      </w:r>
      <w:proofErr w:type="spellStart"/>
      <w:r w:rsidRPr="00495DBE">
        <w:rPr>
          <w:rFonts w:ascii="Palatino Linotype" w:eastAsia="Palatino Linotype" w:hAnsi="Palatino Linotype" w:cs="Palatino Linotype"/>
          <w:i/>
          <w:sz w:val="22"/>
          <w:szCs w:val="22"/>
        </w:rPr>
        <w:t>operagua</w:t>
      </w:r>
      <w:proofErr w:type="spellEnd"/>
      <w:r w:rsidRPr="00495DBE">
        <w:rPr>
          <w:rFonts w:ascii="Palatino Linotype" w:eastAsia="Palatino Linotype" w:hAnsi="Palatino Linotype" w:cs="Palatino Linotype"/>
          <w:i/>
          <w:sz w:val="22"/>
          <w:szCs w:val="22"/>
        </w:rPr>
        <w:t xml:space="preserve"> de </w:t>
      </w:r>
      <w:proofErr w:type="spellStart"/>
      <w:r w:rsidRPr="00495DBE">
        <w:rPr>
          <w:rFonts w:ascii="Palatino Linotype" w:eastAsia="Palatino Linotype" w:hAnsi="Palatino Linotype" w:cs="Palatino Linotype"/>
          <w:i/>
          <w:sz w:val="22"/>
          <w:szCs w:val="22"/>
        </w:rPr>
        <w:t>cuautitlán</w:t>
      </w:r>
      <w:proofErr w:type="spellEnd"/>
      <w:r w:rsidRPr="00495DBE">
        <w:rPr>
          <w:rFonts w:ascii="Palatino Linotype" w:eastAsia="Palatino Linotype" w:hAnsi="Palatino Linotype" w:cs="Palatino Linotype"/>
          <w:i/>
          <w:sz w:val="22"/>
          <w:szCs w:val="22"/>
        </w:rPr>
        <w:t xml:space="preserve"> Izcalli, y se explique el criterio que se optó para designar a dichas personas en su lugar, que experiencia se tiene en esas áreas, por favor adjuntar nombramientos en su caso”</w:t>
      </w:r>
    </w:p>
    <w:p w14:paraId="314B1C0A" w14:textId="77777777" w:rsidR="00835735" w:rsidRPr="00495DBE" w:rsidRDefault="00835735">
      <w:pPr>
        <w:spacing w:line="360" w:lineRule="auto"/>
        <w:ind w:left="709" w:right="900"/>
        <w:jc w:val="both"/>
        <w:rPr>
          <w:rFonts w:ascii="Palatino Linotype" w:eastAsia="Palatino Linotype" w:hAnsi="Palatino Linotype" w:cs="Palatino Linotype"/>
          <w:b/>
          <w:i/>
          <w:sz w:val="22"/>
          <w:szCs w:val="22"/>
        </w:rPr>
      </w:pPr>
    </w:p>
    <w:p w14:paraId="297F6D7F"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 xml:space="preserve">Modalidad elegida para la entrega de la información: </w:t>
      </w:r>
      <w:r w:rsidRPr="00495DBE">
        <w:rPr>
          <w:rFonts w:ascii="Palatino Linotype" w:eastAsia="Palatino Linotype" w:hAnsi="Palatino Linotype" w:cs="Palatino Linotype"/>
          <w:sz w:val="22"/>
          <w:szCs w:val="22"/>
        </w:rPr>
        <w:t>a través del Sistema de Acceso a la Información Mexiquense.</w:t>
      </w:r>
    </w:p>
    <w:p w14:paraId="18986E04"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2AC150DE" w14:textId="77777777" w:rsidR="00835735" w:rsidRPr="00495DBE" w:rsidRDefault="0071539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 xml:space="preserve">Respuesta. </w:t>
      </w:r>
      <w:r w:rsidRPr="00495DBE">
        <w:rPr>
          <w:rFonts w:ascii="Palatino Linotype" w:eastAsia="Palatino Linotype" w:hAnsi="Palatino Linotype" w:cs="Palatino Linotype"/>
          <w:sz w:val="22"/>
          <w:szCs w:val="22"/>
        </w:rPr>
        <w:t>De las constancias que obran en el Sistema de Acceso a la Información Mexiquense, se aprecia que el Sujeto Obligado fue omiso en dar respuesta a la solicitud.</w:t>
      </w:r>
    </w:p>
    <w:p w14:paraId="55481E14"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B6BF67" w14:textId="77777777" w:rsidR="00835735" w:rsidRPr="00495DBE" w:rsidRDefault="0071539A">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 xml:space="preserve">Interposición del recurso de revisión. Ante la falta de respuesta </w:t>
      </w:r>
      <w:r w:rsidRPr="00495DBE">
        <w:rPr>
          <w:rFonts w:ascii="Palatino Linotype" w:eastAsia="Palatino Linotype" w:hAnsi="Palatino Linotype" w:cs="Palatino Linotype"/>
          <w:sz w:val="22"/>
          <w:szCs w:val="22"/>
        </w:rPr>
        <w:t xml:space="preserve">del </w:t>
      </w:r>
      <w:r w:rsidRPr="00495DBE">
        <w:rPr>
          <w:rFonts w:ascii="Palatino Linotype" w:eastAsia="Palatino Linotype" w:hAnsi="Palatino Linotype" w:cs="Palatino Linotype"/>
          <w:b/>
          <w:sz w:val="22"/>
          <w:szCs w:val="22"/>
        </w:rPr>
        <w:t>SUJETO OBLIGADO, el ahora RECURRENTE</w:t>
      </w:r>
      <w:r w:rsidRPr="00495DBE">
        <w:rPr>
          <w:rFonts w:ascii="Palatino Linotype" w:eastAsia="Palatino Linotype" w:hAnsi="Palatino Linotype" w:cs="Palatino Linotype"/>
          <w:sz w:val="22"/>
          <w:szCs w:val="22"/>
        </w:rPr>
        <w:t xml:space="preserve"> interpuso recurso de revisión a través del SAIMEX en fecha </w:t>
      </w:r>
      <w:r w:rsidRPr="00495DBE">
        <w:rPr>
          <w:rFonts w:ascii="Palatino Linotype" w:eastAsia="Palatino Linotype" w:hAnsi="Palatino Linotype" w:cs="Palatino Linotype"/>
          <w:b/>
          <w:sz w:val="22"/>
          <w:szCs w:val="22"/>
        </w:rPr>
        <w:t>veinticuatro</w:t>
      </w:r>
      <w:r w:rsidRPr="00495DBE">
        <w:rPr>
          <w:rFonts w:ascii="Palatino Linotype" w:eastAsia="Palatino Linotype" w:hAnsi="Palatino Linotype" w:cs="Palatino Linotype"/>
          <w:sz w:val="22"/>
          <w:szCs w:val="22"/>
        </w:rPr>
        <w:t xml:space="preserve"> </w:t>
      </w:r>
      <w:r w:rsidRPr="00495DBE">
        <w:rPr>
          <w:rFonts w:ascii="Palatino Linotype" w:eastAsia="Palatino Linotype" w:hAnsi="Palatino Linotype" w:cs="Palatino Linotype"/>
          <w:b/>
          <w:sz w:val="22"/>
          <w:szCs w:val="22"/>
        </w:rPr>
        <w:t>de febrero de dos mil veinticinco</w:t>
      </w:r>
      <w:r w:rsidRPr="00495DBE">
        <w:rPr>
          <w:rFonts w:ascii="Palatino Linotype" w:eastAsia="Palatino Linotype" w:hAnsi="Palatino Linotype" w:cs="Palatino Linotype"/>
          <w:sz w:val="22"/>
          <w:szCs w:val="22"/>
        </w:rPr>
        <w:t>, a través del cual expresó lo siguiente:</w:t>
      </w:r>
    </w:p>
    <w:p w14:paraId="5FD9BFF6" w14:textId="77777777" w:rsidR="00835735" w:rsidRPr="00495DBE" w:rsidRDefault="00835735">
      <w:pPr>
        <w:spacing w:line="360" w:lineRule="auto"/>
        <w:ind w:right="49"/>
        <w:jc w:val="both"/>
        <w:rPr>
          <w:rFonts w:ascii="Palatino Linotype" w:eastAsia="Palatino Linotype" w:hAnsi="Palatino Linotype" w:cs="Palatino Linotype"/>
          <w:sz w:val="22"/>
          <w:szCs w:val="22"/>
        </w:rPr>
      </w:pPr>
    </w:p>
    <w:p w14:paraId="3FA62FA3" w14:textId="77777777" w:rsidR="00835735" w:rsidRPr="00495DBE" w:rsidRDefault="0071539A">
      <w:pPr>
        <w:spacing w:line="360" w:lineRule="auto"/>
        <w:ind w:left="567" w:right="900"/>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 xml:space="preserve">Acto impugnado. </w:t>
      </w:r>
      <w:r w:rsidRPr="00495DBE">
        <w:rPr>
          <w:rFonts w:ascii="Palatino Linotype" w:eastAsia="Palatino Linotype" w:hAnsi="Palatino Linotype" w:cs="Palatino Linotype"/>
          <w:i/>
          <w:sz w:val="22"/>
          <w:szCs w:val="22"/>
        </w:rPr>
        <w:t xml:space="preserve">“No haberse presentado la respuesta en tiempo y forma”. </w:t>
      </w:r>
    </w:p>
    <w:p w14:paraId="657E4FF0" w14:textId="77777777" w:rsidR="00835735" w:rsidRPr="00495DBE" w:rsidRDefault="00835735">
      <w:pPr>
        <w:spacing w:line="360" w:lineRule="auto"/>
        <w:ind w:left="567" w:right="900"/>
        <w:jc w:val="both"/>
        <w:rPr>
          <w:rFonts w:ascii="Palatino Linotype" w:eastAsia="Palatino Linotype" w:hAnsi="Palatino Linotype" w:cs="Palatino Linotype"/>
          <w:b/>
          <w:sz w:val="22"/>
          <w:szCs w:val="22"/>
        </w:rPr>
      </w:pPr>
    </w:p>
    <w:p w14:paraId="39CD8E38" w14:textId="77777777" w:rsidR="00835735" w:rsidRPr="00495DBE" w:rsidRDefault="0071539A">
      <w:pPr>
        <w:spacing w:line="360" w:lineRule="auto"/>
        <w:ind w:left="567" w:right="900"/>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sz w:val="22"/>
          <w:szCs w:val="22"/>
        </w:rPr>
        <w:t xml:space="preserve">Motivos de inconformidad. </w:t>
      </w:r>
      <w:r w:rsidRPr="00495DBE">
        <w:rPr>
          <w:rFonts w:ascii="Palatino Linotype" w:eastAsia="Palatino Linotype" w:hAnsi="Palatino Linotype" w:cs="Palatino Linotype"/>
          <w:i/>
          <w:sz w:val="22"/>
          <w:szCs w:val="22"/>
        </w:rPr>
        <w:t>“No haber contestado la solicitud en tiempo y forma”.</w:t>
      </w:r>
    </w:p>
    <w:p w14:paraId="1DD5C0A1" w14:textId="77777777" w:rsidR="00835735" w:rsidRPr="00495DBE" w:rsidRDefault="00835735">
      <w:pPr>
        <w:spacing w:line="360" w:lineRule="auto"/>
        <w:ind w:right="900"/>
        <w:jc w:val="both"/>
        <w:rPr>
          <w:rFonts w:ascii="Palatino Linotype" w:eastAsia="Palatino Linotype" w:hAnsi="Palatino Linotype" w:cs="Palatino Linotype"/>
          <w:i/>
          <w:sz w:val="22"/>
          <w:szCs w:val="22"/>
        </w:rPr>
      </w:pPr>
    </w:p>
    <w:p w14:paraId="2C4BA280" w14:textId="77777777" w:rsidR="00835735" w:rsidRPr="00495DBE" w:rsidRDefault="0071539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lastRenderedPageBreak/>
        <w:t xml:space="preserve">Turno. </w:t>
      </w:r>
      <w:r w:rsidRPr="00495DB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495DBE">
        <w:rPr>
          <w:rFonts w:ascii="Palatino Linotype" w:eastAsia="Palatino Linotype" w:hAnsi="Palatino Linotype" w:cs="Palatino Linotype"/>
          <w:b/>
          <w:sz w:val="22"/>
          <w:szCs w:val="22"/>
        </w:rPr>
        <w:t>01914/INFOEM/IP/RR/2025</w:t>
      </w:r>
      <w:r w:rsidRPr="00495DBE">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95DBE">
        <w:rPr>
          <w:rFonts w:ascii="Palatino Linotype" w:eastAsia="Palatino Linotype" w:hAnsi="Palatino Linotype" w:cs="Palatino Linotype"/>
          <w:b/>
          <w:sz w:val="22"/>
          <w:szCs w:val="22"/>
        </w:rPr>
        <w:t>Guadalupe Ramírez Peña</w:t>
      </w:r>
      <w:r w:rsidRPr="00495DBE">
        <w:rPr>
          <w:rFonts w:ascii="Palatino Linotype" w:eastAsia="Palatino Linotype" w:hAnsi="Palatino Linotype" w:cs="Palatino Linotype"/>
          <w:sz w:val="22"/>
          <w:szCs w:val="22"/>
        </w:rPr>
        <w:t>, para su análisis, estudio, elaboración del proyecto y presentación ante el Pleno de este Instituto.</w:t>
      </w:r>
    </w:p>
    <w:p w14:paraId="6CA5E350" w14:textId="77777777" w:rsidR="00835735" w:rsidRPr="00495DBE" w:rsidRDefault="0083573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30E5399" w14:textId="77777777" w:rsidR="00835735" w:rsidRPr="00495DBE" w:rsidRDefault="0071539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0" w:name="_heading=h.gjdgxs" w:colFirst="0" w:colLast="0"/>
      <w:bookmarkEnd w:id="0"/>
      <w:r w:rsidRPr="00495DBE">
        <w:rPr>
          <w:rFonts w:ascii="Palatino Linotype" w:eastAsia="Palatino Linotype" w:hAnsi="Palatino Linotype" w:cs="Palatino Linotype"/>
          <w:b/>
          <w:sz w:val="22"/>
          <w:szCs w:val="22"/>
        </w:rPr>
        <w:t xml:space="preserve">Admisión del recurso de revisión: </w:t>
      </w:r>
      <w:r w:rsidRPr="00495DBE">
        <w:rPr>
          <w:rFonts w:ascii="Palatino Linotype" w:eastAsia="Palatino Linotype" w:hAnsi="Palatino Linotype" w:cs="Palatino Linotype"/>
          <w:sz w:val="22"/>
          <w:szCs w:val="22"/>
        </w:rPr>
        <w:t xml:space="preserve">En fecha </w:t>
      </w:r>
      <w:r w:rsidRPr="00495DBE">
        <w:rPr>
          <w:rFonts w:ascii="Palatino Linotype" w:eastAsia="Palatino Linotype" w:hAnsi="Palatino Linotype" w:cs="Palatino Linotype"/>
          <w:b/>
          <w:sz w:val="22"/>
          <w:szCs w:val="22"/>
        </w:rPr>
        <w:t>veinticinco de febrero de dos mil veinticinco</w:t>
      </w:r>
      <w:r w:rsidRPr="00495DBE">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495DBE">
        <w:rPr>
          <w:rFonts w:ascii="Palatino Linotype" w:eastAsia="Palatino Linotype" w:hAnsi="Palatino Linotype" w:cs="Palatino Linotype"/>
          <w:b/>
          <w:sz w:val="22"/>
          <w:szCs w:val="22"/>
        </w:rPr>
        <w:t>SUJETO OBLIGADO</w:t>
      </w:r>
      <w:r w:rsidRPr="00495DBE">
        <w:rPr>
          <w:rFonts w:ascii="Palatino Linotype" w:eastAsia="Palatino Linotype" w:hAnsi="Palatino Linotype" w:cs="Palatino Linotype"/>
          <w:sz w:val="22"/>
          <w:szCs w:val="22"/>
        </w:rPr>
        <w:t xml:space="preserve"> presentara su informe justificado.</w:t>
      </w:r>
    </w:p>
    <w:p w14:paraId="47A9DED6" w14:textId="77777777" w:rsidR="00835735" w:rsidRPr="00495DBE" w:rsidRDefault="0083573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AD691CE" w14:textId="77777777" w:rsidR="00835735" w:rsidRPr="00495DBE" w:rsidRDefault="0071539A">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Manifestaciones</w:t>
      </w:r>
      <w:r w:rsidRPr="00495DBE">
        <w:rPr>
          <w:rFonts w:ascii="Palatino Linotype" w:eastAsia="Palatino Linotype" w:hAnsi="Palatino Linotype" w:cs="Palatino Linotype"/>
          <w:sz w:val="22"/>
          <w:szCs w:val="22"/>
        </w:rPr>
        <w:t xml:space="preserve">: El </w:t>
      </w:r>
      <w:r w:rsidRPr="00495DBE">
        <w:rPr>
          <w:rFonts w:ascii="Palatino Linotype" w:eastAsia="Palatino Linotype" w:hAnsi="Palatino Linotype" w:cs="Palatino Linotype"/>
          <w:b/>
          <w:sz w:val="22"/>
          <w:szCs w:val="22"/>
        </w:rPr>
        <w:t>veintiséis de febrero de dos mil veinticinco</w:t>
      </w:r>
      <w:r w:rsidRPr="00495DBE">
        <w:rPr>
          <w:rFonts w:ascii="Palatino Linotype" w:eastAsia="Palatino Linotype" w:hAnsi="Palatino Linotype" w:cs="Palatino Linotype"/>
          <w:sz w:val="22"/>
          <w:szCs w:val="22"/>
        </w:rPr>
        <w:t xml:space="preserve">, el Sujeto Obligado rindió su informe justificado, el cual se puso a la vista de la parte Recurrente el </w:t>
      </w:r>
      <w:r w:rsidRPr="00495DBE">
        <w:rPr>
          <w:rFonts w:ascii="Palatino Linotype" w:eastAsia="Palatino Linotype" w:hAnsi="Palatino Linotype" w:cs="Palatino Linotype"/>
          <w:b/>
          <w:sz w:val="22"/>
          <w:szCs w:val="22"/>
        </w:rPr>
        <w:t>dos de abril de la misma anualidad</w:t>
      </w:r>
      <w:r w:rsidRPr="00495DBE">
        <w:rPr>
          <w:rFonts w:ascii="Palatino Linotype" w:eastAsia="Palatino Linotype" w:hAnsi="Palatino Linotype" w:cs="Palatino Linotype"/>
          <w:sz w:val="22"/>
          <w:szCs w:val="22"/>
        </w:rPr>
        <w:t>, dicho informe justificado consiste en el documento electrónico siguiente:</w:t>
      </w:r>
    </w:p>
    <w:p w14:paraId="74A47269" w14:textId="77777777" w:rsidR="00835735" w:rsidRPr="00495DBE" w:rsidRDefault="00835735">
      <w:pPr>
        <w:pBdr>
          <w:top w:val="nil"/>
          <w:left w:val="nil"/>
          <w:bottom w:val="nil"/>
          <w:right w:val="nil"/>
          <w:between w:val="nil"/>
        </w:pBdr>
        <w:ind w:left="708"/>
        <w:rPr>
          <w:rFonts w:ascii="Palatino Linotype" w:eastAsia="Palatino Linotype" w:hAnsi="Palatino Linotype" w:cs="Palatino Linotype"/>
          <w:sz w:val="22"/>
          <w:szCs w:val="22"/>
        </w:rPr>
      </w:pPr>
    </w:p>
    <w:p w14:paraId="63C61988" w14:textId="77777777" w:rsidR="00835735" w:rsidRPr="00495DBE" w:rsidRDefault="0071539A">
      <w:pPr>
        <w:numPr>
          <w:ilvl w:val="0"/>
          <w:numId w:val="2"/>
        </w:numPr>
        <w:pBdr>
          <w:top w:val="nil"/>
          <w:left w:val="nil"/>
          <w:bottom w:val="nil"/>
          <w:right w:val="nil"/>
          <w:between w:val="nil"/>
        </w:pBdr>
        <w:tabs>
          <w:tab w:val="left" w:pos="284"/>
        </w:tabs>
        <w:spacing w:line="360" w:lineRule="auto"/>
        <w:ind w:left="426"/>
        <w:jc w:val="both"/>
        <w:rPr>
          <w:rFonts w:ascii="Palatino Linotype" w:eastAsia="Palatino Linotype" w:hAnsi="Palatino Linotype" w:cs="Palatino Linotype"/>
          <w:b/>
          <w:sz w:val="22"/>
          <w:szCs w:val="22"/>
        </w:rPr>
      </w:pPr>
      <w:r w:rsidRPr="00495DBE">
        <w:rPr>
          <w:rFonts w:ascii="Palatino Linotype" w:eastAsia="Palatino Linotype" w:hAnsi="Palatino Linotype" w:cs="Palatino Linotype"/>
          <w:b/>
          <w:sz w:val="22"/>
          <w:szCs w:val="22"/>
        </w:rPr>
        <w:t xml:space="preserve">Documentos.pdf: </w:t>
      </w:r>
      <w:r w:rsidRPr="00495DBE">
        <w:rPr>
          <w:rFonts w:ascii="Palatino Linotype" w:eastAsia="Palatino Linotype" w:hAnsi="Palatino Linotype" w:cs="Palatino Linotype"/>
          <w:sz w:val="22"/>
          <w:szCs w:val="22"/>
        </w:rPr>
        <w:t xml:space="preserve">Contiene la Ficha curricular y nombramiento de José Alfonso Galindo Gómez y como Titular de la </w:t>
      </w:r>
      <w:proofErr w:type="spellStart"/>
      <w:r w:rsidRPr="00495DBE">
        <w:rPr>
          <w:rFonts w:ascii="Palatino Linotype" w:eastAsia="Palatino Linotype" w:hAnsi="Palatino Linotype" w:cs="Palatino Linotype"/>
          <w:sz w:val="22"/>
          <w:szCs w:val="22"/>
        </w:rPr>
        <w:t>Subcontraloría</w:t>
      </w:r>
      <w:proofErr w:type="spellEnd"/>
      <w:r w:rsidRPr="00495DBE">
        <w:rPr>
          <w:rFonts w:ascii="Palatino Linotype" w:eastAsia="Palatino Linotype" w:hAnsi="Palatino Linotype" w:cs="Palatino Linotype"/>
          <w:sz w:val="22"/>
          <w:szCs w:val="22"/>
        </w:rPr>
        <w:t xml:space="preserve"> Substanciadora y </w:t>
      </w:r>
      <w:proofErr w:type="gramStart"/>
      <w:r w:rsidRPr="00495DBE">
        <w:rPr>
          <w:rFonts w:ascii="Palatino Linotype" w:eastAsia="Palatino Linotype" w:hAnsi="Palatino Linotype" w:cs="Palatino Linotype"/>
          <w:sz w:val="22"/>
          <w:szCs w:val="22"/>
        </w:rPr>
        <w:t>Resolutora  del</w:t>
      </w:r>
      <w:proofErr w:type="gramEnd"/>
      <w:r w:rsidRPr="00495DBE">
        <w:rPr>
          <w:rFonts w:ascii="Palatino Linotype" w:eastAsia="Palatino Linotype" w:hAnsi="Palatino Linotype" w:cs="Palatino Linotype"/>
          <w:sz w:val="22"/>
          <w:szCs w:val="22"/>
        </w:rPr>
        <w:t xml:space="preserve"> Organismo de Agua, así como la Ficha curricular y nombramiento de Oscar Rodríguez Espinosa como Titular de la </w:t>
      </w:r>
      <w:proofErr w:type="spellStart"/>
      <w:r w:rsidRPr="00495DBE">
        <w:rPr>
          <w:rFonts w:ascii="Palatino Linotype" w:eastAsia="Palatino Linotype" w:hAnsi="Palatino Linotype" w:cs="Palatino Linotype"/>
          <w:sz w:val="22"/>
          <w:szCs w:val="22"/>
        </w:rPr>
        <w:t>Subcontraloría</w:t>
      </w:r>
      <w:proofErr w:type="spellEnd"/>
      <w:r w:rsidRPr="00495DBE">
        <w:rPr>
          <w:rFonts w:ascii="Palatino Linotype" w:eastAsia="Palatino Linotype" w:hAnsi="Palatino Linotype" w:cs="Palatino Linotype"/>
          <w:sz w:val="22"/>
          <w:szCs w:val="22"/>
        </w:rPr>
        <w:t xml:space="preserve"> Investigadora del Organismo de Agua.</w:t>
      </w:r>
    </w:p>
    <w:p w14:paraId="41CE6C1E" w14:textId="77777777" w:rsidR="00835735" w:rsidRPr="00495DBE" w:rsidRDefault="0071539A">
      <w:pPr>
        <w:numPr>
          <w:ilvl w:val="0"/>
          <w:numId w:val="2"/>
        </w:numPr>
        <w:pBdr>
          <w:top w:val="nil"/>
          <w:left w:val="nil"/>
          <w:bottom w:val="nil"/>
          <w:right w:val="nil"/>
          <w:between w:val="nil"/>
        </w:pBdr>
        <w:tabs>
          <w:tab w:val="left" w:pos="284"/>
        </w:tabs>
        <w:spacing w:line="360" w:lineRule="auto"/>
        <w:ind w:left="426"/>
        <w:jc w:val="both"/>
        <w:rPr>
          <w:rFonts w:ascii="Palatino Linotype" w:eastAsia="Palatino Linotype" w:hAnsi="Palatino Linotype" w:cs="Palatino Linotype"/>
          <w:b/>
          <w:sz w:val="22"/>
          <w:szCs w:val="22"/>
        </w:rPr>
      </w:pPr>
      <w:r w:rsidRPr="00495DBE">
        <w:rPr>
          <w:rFonts w:ascii="Palatino Linotype" w:eastAsia="Palatino Linotype" w:hAnsi="Palatino Linotype" w:cs="Palatino Linotype"/>
          <w:b/>
          <w:sz w:val="22"/>
          <w:szCs w:val="22"/>
        </w:rPr>
        <w:lastRenderedPageBreak/>
        <w:t xml:space="preserve">RESPUESTA ADMINISTRACION Y FINANZAS.pdf: </w:t>
      </w:r>
      <w:r w:rsidRPr="00495DBE">
        <w:rPr>
          <w:rFonts w:ascii="Palatino Linotype" w:eastAsia="Palatino Linotype" w:hAnsi="Palatino Linotype" w:cs="Palatino Linotype"/>
          <w:sz w:val="22"/>
          <w:szCs w:val="22"/>
        </w:rPr>
        <w:t>Contiene los siguientes oficios</w:t>
      </w:r>
      <w:r w:rsidRPr="00495DBE">
        <w:rPr>
          <w:rFonts w:ascii="Palatino Linotype" w:eastAsia="Palatino Linotype" w:hAnsi="Palatino Linotype" w:cs="Palatino Linotype"/>
          <w:b/>
          <w:sz w:val="22"/>
          <w:szCs w:val="22"/>
        </w:rPr>
        <w:t>:</w:t>
      </w:r>
    </w:p>
    <w:p w14:paraId="2716A274" w14:textId="77777777" w:rsidR="00835735" w:rsidRPr="00495DBE" w:rsidRDefault="0071539A">
      <w:pPr>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Oficio DAF/193/JEQA/</w:t>
      </w:r>
      <w:proofErr w:type="gramStart"/>
      <w:r w:rsidRPr="00495DBE">
        <w:rPr>
          <w:rFonts w:ascii="Palatino Linotype" w:eastAsia="Palatino Linotype" w:hAnsi="Palatino Linotype" w:cs="Palatino Linotype"/>
          <w:sz w:val="22"/>
          <w:szCs w:val="22"/>
        </w:rPr>
        <w:t>2025  suscrito</w:t>
      </w:r>
      <w:proofErr w:type="gramEnd"/>
      <w:r w:rsidRPr="00495DBE">
        <w:rPr>
          <w:rFonts w:ascii="Palatino Linotype" w:eastAsia="Palatino Linotype" w:hAnsi="Palatino Linotype" w:cs="Palatino Linotype"/>
          <w:sz w:val="22"/>
          <w:szCs w:val="22"/>
        </w:rPr>
        <w:t xml:space="preserve"> por el Director de Administración mediante el cual refiere que adjunta la respuesta de la Coordinación de Recursos Humanos.</w:t>
      </w:r>
    </w:p>
    <w:p w14:paraId="2A62F0AB" w14:textId="77777777" w:rsidR="00835735" w:rsidRPr="00495DBE" w:rsidRDefault="0071539A">
      <w:pPr>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Oficio </w:t>
      </w:r>
      <w:proofErr w:type="spellStart"/>
      <w:r w:rsidRPr="00495DBE">
        <w:rPr>
          <w:rFonts w:ascii="Palatino Linotype" w:eastAsia="Palatino Linotype" w:hAnsi="Palatino Linotype" w:cs="Palatino Linotype"/>
          <w:sz w:val="22"/>
          <w:szCs w:val="22"/>
        </w:rPr>
        <w:t>SBa</w:t>
      </w:r>
      <w:proofErr w:type="spellEnd"/>
      <w:r w:rsidRPr="00495DBE">
        <w:rPr>
          <w:rFonts w:ascii="Palatino Linotype" w:eastAsia="Palatino Linotype" w:hAnsi="Palatino Linotype" w:cs="Palatino Linotype"/>
          <w:sz w:val="22"/>
          <w:szCs w:val="22"/>
        </w:rPr>
        <w:t>/Rh/00036/AGV/2025 suscrito por la Titular de la Coordinación de Recursos Humanos en el que medularmente refiere que se adjunta los documentos que acreditan el último grado de estudios y nombramientos de los mandos medios y superiores del Órgano Interno de Control, con fundamento en el artículo 12 de la Ley de Transparencia y Acceso a la Información Pública del Estado de México y Municipios.</w:t>
      </w:r>
    </w:p>
    <w:p w14:paraId="30B79043" w14:textId="77777777" w:rsidR="00835735" w:rsidRPr="00495DBE" w:rsidRDefault="00835735">
      <w:pPr>
        <w:pBdr>
          <w:top w:val="nil"/>
          <w:left w:val="nil"/>
          <w:bottom w:val="nil"/>
          <w:right w:val="nil"/>
          <w:between w:val="nil"/>
        </w:pBdr>
        <w:tabs>
          <w:tab w:val="left" w:pos="284"/>
        </w:tabs>
        <w:spacing w:line="360" w:lineRule="auto"/>
        <w:ind w:left="426"/>
        <w:jc w:val="both"/>
        <w:rPr>
          <w:rFonts w:ascii="Palatino Linotype" w:eastAsia="Palatino Linotype" w:hAnsi="Palatino Linotype" w:cs="Palatino Linotype"/>
          <w:b/>
          <w:sz w:val="22"/>
          <w:szCs w:val="22"/>
        </w:rPr>
      </w:pPr>
    </w:p>
    <w:p w14:paraId="0D262067" w14:textId="77777777" w:rsidR="00835735" w:rsidRPr="00495DBE" w:rsidRDefault="0071539A">
      <w:pPr>
        <w:numPr>
          <w:ilvl w:val="0"/>
          <w:numId w:val="1"/>
        </w:numPr>
        <w:pBdr>
          <w:top w:val="nil"/>
          <w:left w:val="nil"/>
          <w:bottom w:val="nil"/>
          <w:right w:val="nil"/>
          <w:between w:val="nil"/>
        </w:pBdr>
        <w:tabs>
          <w:tab w:val="left" w:pos="360"/>
        </w:tabs>
        <w:spacing w:line="360" w:lineRule="auto"/>
        <w:ind w:left="0" w:right="49" w:firstLine="0"/>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 xml:space="preserve">Cierre de instrucción. </w:t>
      </w:r>
      <w:r w:rsidRPr="00495DBE">
        <w:rPr>
          <w:rFonts w:ascii="Palatino Linotype" w:eastAsia="Palatino Linotype" w:hAnsi="Palatino Linotype" w:cs="Palatino Linotype"/>
          <w:sz w:val="22"/>
          <w:szCs w:val="22"/>
        </w:rPr>
        <w:t>El ocho de abril de dos mil veinticinco, la Comisionada Ponente determinó el cierre de instrucción en términos de la fracción VI del artículo 185 de la Ley de Transparencia y Acceso a la Información Pública del Estado de México y Municipios.</w:t>
      </w:r>
    </w:p>
    <w:p w14:paraId="0AB5BC87" w14:textId="77777777" w:rsidR="00835735" w:rsidRPr="00495DBE" w:rsidRDefault="00835735">
      <w:pPr>
        <w:pBdr>
          <w:top w:val="nil"/>
          <w:left w:val="nil"/>
          <w:bottom w:val="nil"/>
          <w:right w:val="nil"/>
          <w:between w:val="nil"/>
        </w:pBdr>
        <w:ind w:left="708"/>
        <w:rPr>
          <w:rFonts w:ascii="Palatino Linotype" w:eastAsia="Palatino Linotype" w:hAnsi="Palatino Linotype" w:cs="Palatino Linotype"/>
          <w:sz w:val="22"/>
          <w:szCs w:val="22"/>
        </w:rPr>
      </w:pPr>
    </w:p>
    <w:p w14:paraId="790E47DA"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3E77AF8"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526550D6" w14:textId="77777777" w:rsidR="00835735" w:rsidRPr="00495DBE" w:rsidRDefault="0071539A">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 w:name="_heading=h.30j0zll" w:colFirst="0" w:colLast="0"/>
      <w:bookmarkEnd w:id="1"/>
      <w:r w:rsidRPr="00495DBE">
        <w:rPr>
          <w:rFonts w:ascii="Palatino Linotype" w:eastAsia="Palatino Linotype" w:hAnsi="Palatino Linotype" w:cs="Palatino Linotype"/>
          <w:b/>
          <w:sz w:val="22"/>
          <w:szCs w:val="22"/>
        </w:rPr>
        <w:t>C O N S I D E R A N D O:</w:t>
      </w:r>
    </w:p>
    <w:p w14:paraId="13DB0C4B" w14:textId="77777777" w:rsidR="00835735" w:rsidRPr="00495DBE" w:rsidRDefault="0083573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57357F6"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 xml:space="preserve">Primero. Competencia. </w:t>
      </w:r>
      <w:r w:rsidRPr="00495DBE">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w:t>
      </w:r>
      <w:r w:rsidRPr="00495DBE">
        <w:rPr>
          <w:rFonts w:ascii="Palatino Linotype" w:eastAsia="Palatino Linotype" w:hAnsi="Palatino Linotype" w:cs="Palatino Linotype"/>
          <w:sz w:val="22"/>
          <w:szCs w:val="22"/>
        </w:rPr>
        <w:lastRenderedPageBreak/>
        <w:t>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502537B" w14:textId="77777777" w:rsidR="00835735" w:rsidRPr="00495DBE" w:rsidRDefault="00835735">
      <w:pPr>
        <w:spacing w:line="360" w:lineRule="auto"/>
        <w:jc w:val="both"/>
        <w:rPr>
          <w:rFonts w:ascii="Palatino Linotype" w:eastAsia="Palatino Linotype" w:hAnsi="Palatino Linotype" w:cs="Palatino Linotype"/>
          <w:b/>
          <w:sz w:val="22"/>
          <w:szCs w:val="22"/>
        </w:rPr>
      </w:pPr>
    </w:p>
    <w:p w14:paraId="05496ABB"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 xml:space="preserve">SEGUNDO. OPORTUNIDAD Y PROCEDIBILIDAD. </w:t>
      </w:r>
      <w:r w:rsidRPr="00495DBE">
        <w:rPr>
          <w:rFonts w:ascii="Palatino Linotype" w:eastAsia="Palatino Linotype" w:hAnsi="Palatino Linotype" w:cs="Palatino Linotype"/>
          <w:sz w:val="22"/>
          <w:szCs w:val="22"/>
        </w:rPr>
        <w:t>Es de precisar que la</w:t>
      </w:r>
      <w:r w:rsidRPr="00495DBE">
        <w:rPr>
          <w:rFonts w:ascii="Palatino Linotype" w:eastAsia="Palatino Linotype" w:hAnsi="Palatino Linotype" w:cs="Palatino Linotype"/>
          <w:b/>
          <w:sz w:val="22"/>
          <w:szCs w:val="22"/>
        </w:rPr>
        <w:t xml:space="preserve"> </w:t>
      </w:r>
      <w:r w:rsidRPr="00495DBE">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cuarto párrafo del 166, del tenor literal siguiente: </w:t>
      </w:r>
    </w:p>
    <w:p w14:paraId="6C9041A0"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75329214" w14:textId="77777777" w:rsidR="00835735" w:rsidRPr="00495DBE" w:rsidRDefault="0071539A">
      <w:pPr>
        <w:pBdr>
          <w:top w:val="nil"/>
          <w:left w:val="nil"/>
          <w:bottom w:val="nil"/>
          <w:right w:val="nil"/>
          <w:between w:val="nil"/>
        </w:pBdr>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i/>
          <w:sz w:val="22"/>
          <w:szCs w:val="22"/>
        </w:rPr>
        <w:t xml:space="preserve">“Artículo 163. </w:t>
      </w:r>
      <w:r w:rsidRPr="00495DBE">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301B0C51" w14:textId="77777777" w:rsidR="00835735" w:rsidRPr="00495DBE" w:rsidRDefault="00835735">
      <w:pPr>
        <w:pBdr>
          <w:top w:val="nil"/>
          <w:left w:val="nil"/>
          <w:bottom w:val="nil"/>
          <w:right w:val="nil"/>
          <w:between w:val="nil"/>
        </w:pBdr>
        <w:ind w:left="862" w:right="862"/>
        <w:jc w:val="both"/>
        <w:rPr>
          <w:rFonts w:ascii="Palatino Linotype" w:eastAsia="Palatino Linotype" w:hAnsi="Palatino Linotype" w:cs="Palatino Linotype"/>
          <w:i/>
          <w:sz w:val="22"/>
          <w:szCs w:val="22"/>
        </w:rPr>
      </w:pPr>
    </w:p>
    <w:p w14:paraId="18B44D6E" w14:textId="77777777" w:rsidR="00835735" w:rsidRPr="00495DBE" w:rsidRDefault="0071539A">
      <w:pPr>
        <w:pBdr>
          <w:top w:val="nil"/>
          <w:left w:val="nil"/>
          <w:bottom w:val="nil"/>
          <w:right w:val="nil"/>
          <w:between w:val="nil"/>
        </w:pBdr>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i/>
          <w:sz w:val="22"/>
          <w:szCs w:val="22"/>
        </w:rPr>
        <w:t>Artículo 166.</w:t>
      </w:r>
    </w:p>
    <w:p w14:paraId="580B2BCF" w14:textId="77777777" w:rsidR="00835735" w:rsidRPr="00495DBE" w:rsidRDefault="0071539A">
      <w:pPr>
        <w:pBdr>
          <w:top w:val="nil"/>
          <w:left w:val="nil"/>
          <w:bottom w:val="nil"/>
          <w:right w:val="nil"/>
          <w:between w:val="nil"/>
        </w:pBdr>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w:t>
      </w:r>
    </w:p>
    <w:p w14:paraId="3F9C7C8A" w14:textId="77777777" w:rsidR="00835735" w:rsidRPr="00495DBE" w:rsidRDefault="0071539A">
      <w:pPr>
        <w:pBdr>
          <w:top w:val="nil"/>
          <w:left w:val="nil"/>
          <w:bottom w:val="nil"/>
          <w:right w:val="nil"/>
          <w:between w:val="nil"/>
        </w:pBdr>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716299E3" w14:textId="77777777" w:rsidR="00835735" w:rsidRPr="00495DBE" w:rsidRDefault="0071539A">
      <w:pPr>
        <w:pBdr>
          <w:top w:val="nil"/>
          <w:left w:val="nil"/>
          <w:bottom w:val="nil"/>
          <w:right w:val="nil"/>
          <w:between w:val="nil"/>
        </w:pBdr>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w:t>
      </w:r>
    </w:p>
    <w:p w14:paraId="6EB69EE9" w14:textId="77777777" w:rsidR="00835735" w:rsidRPr="00495DBE" w:rsidRDefault="00835735">
      <w:pPr>
        <w:pBdr>
          <w:top w:val="nil"/>
          <w:left w:val="nil"/>
          <w:bottom w:val="nil"/>
          <w:right w:val="nil"/>
          <w:between w:val="nil"/>
        </w:pBdr>
        <w:spacing w:line="360" w:lineRule="auto"/>
        <w:ind w:left="864" w:right="864"/>
        <w:jc w:val="both"/>
        <w:rPr>
          <w:rFonts w:ascii="Palatino Linotype" w:eastAsia="Palatino Linotype" w:hAnsi="Palatino Linotype" w:cs="Palatino Linotype"/>
          <w:sz w:val="22"/>
          <w:szCs w:val="22"/>
        </w:rPr>
      </w:pPr>
    </w:p>
    <w:p w14:paraId="6EFB3DD0" w14:textId="77777777" w:rsidR="00835735" w:rsidRPr="00495DBE" w:rsidRDefault="0071539A">
      <w:pPr>
        <w:spacing w:line="360" w:lineRule="auto"/>
        <w:ind w:left="-426"/>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14:paraId="377F476E" w14:textId="77777777" w:rsidR="00835735" w:rsidRPr="00495DBE" w:rsidRDefault="00835735">
      <w:pPr>
        <w:spacing w:line="360" w:lineRule="auto"/>
        <w:ind w:left="-426"/>
        <w:jc w:val="both"/>
        <w:rPr>
          <w:rFonts w:ascii="Palatino Linotype" w:eastAsia="Palatino Linotype" w:hAnsi="Palatino Linotype" w:cs="Palatino Linotype"/>
          <w:sz w:val="22"/>
          <w:szCs w:val="22"/>
        </w:rPr>
      </w:pPr>
    </w:p>
    <w:p w14:paraId="28E40BF9" w14:textId="77777777" w:rsidR="00835735" w:rsidRPr="00495DBE" w:rsidRDefault="0071539A">
      <w:pPr>
        <w:spacing w:line="360" w:lineRule="auto"/>
        <w:ind w:left="-426"/>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4FAC0E19" w14:textId="77777777" w:rsidR="00835735" w:rsidRPr="00495DBE" w:rsidRDefault="00835735">
      <w:pPr>
        <w:spacing w:line="360" w:lineRule="auto"/>
        <w:ind w:left="-426"/>
        <w:jc w:val="both"/>
        <w:rPr>
          <w:rFonts w:ascii="Palatino Linotype" w:eastAsia="Palatino Linotype" w:hAnsi="Palatino Linotype" w:cs="Palatino Linotype"/>
          <w:sz w:val="22"/>
          <w:szCs w:val="22"/>
        </w:rPr>
      </w:pPr>
    </w:p>
    <w:p w14:paraId="16A5A93B" w14:textId="77777777" w:rsidR="00835735" w:rsidRPr="00495DBE" w:rsidRDefault="0071539A">
      <w:pPr>
        <w:spacing w:line="360" w:lineRule="auto"/>
        <w:ind w:left="-426"/>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Por su parte, el artículo 178 del citado ordenamiento, establece:</w:t>
      </w:r>
    </w:p>
    <w:p w14:paraId="6C59EF3C" w14:textId="77777777" w:rsidR="00835735" w:rsidRPr="00495DBE" w:rsidRDefault="0083573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13BB07B" w14:textId="77777777" w:rsidR="00835735" w:rsidRPr="00495DBE" w:rsidRDefault="0071539A">
      <w:pPr>
        <w:pBdr>
          <w:top w:val="nil"/>
          <w:left w:val="nil"/>
          <w:bottom w:val="nil"/>
          <w:right w:val="nil"/>
          <w:between w:val="nil"/>
        </w:pBdr>
        <w:ind w:left="862" w:right="862"/>
        <w:jc w:val="both"/>
        <w:rPr>
          <w:rFonts w:ascii="Palatino Linotype" w:eastAsia="Palatino Linotype" w:hAnsi="Palatino Linotype" w:cs="Palatino Linotype"/>
          <w:b/>
          <w:i/>
          <w:sz w:val="22"/>
          <w:szCs w:val="22"/>
        </w:rPr>
      </w:pPr>
      <w:r w:rsidRPr="00495DBE">
        <w:rPr>
          <w:rFonts w:ascii="Palatino Linotype" w:eastAsia="Palatino Linotype" w:hAnsi="Palatino Linotype" w:cs="Palatino Linotype"/>
          <w:b/>
          <w:i/>
          <w:sz w:val="22"/>
          <w:szCs w:val="22"/>
        </w:rPr>
        <w:t xml:space="preserve">“Artículo 178. </w:t>
      </w:r>
      <w:r w:rsidRPr="00495DB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495DBE">
        <w:rPr>
          <w:rFonts w:ascii="Palatino Linotype" w:eastAsia="Palatino Linotype" w:hAnsi="Palatino Linotype" w:cs="Palatino Linotype"/>
          <w:b/>
          <w:i/>
          <w:sz w:val="22"/>
          <w:szCs w:val="22"/>
        </w:rPr>
        <w:t>.</w:t>
      </w:r>
    </w:p>
    <w:p w14:paraId="79EE36DF" w14:textId="77777777" w:rsidR="00835735" w:rsidRPr="00495DBE" w:rsidRDefault="0071539A">
      <w:pPr>
        <w:pBdr>
          <w:top w:val="nil"/>
          <w:left w:val="nil"/>
          <w:bottom w:val="nil"/>
          <w:right w:val="nil"/>
          <w:between w:val="nil"/>
        </w:pBdr>
        <w:ind w:left="862" w:right="862"/>
        <w:jc w:val="both"/>
        <w:rPr>
          <w:rFonts w:ascii="Palatino Linotype" w:eastAsia="Palatino Linotype" w:hAnsi="Palatino Linotype" w:cs="Palatino Linotype"/>
          <w:b/>
          <w:i/>
          <w:sz w:val="22"/>
          <w:szCs w:val="22"/>
        </w:rPr>
      </w:pPr>
      <w:r w:rsidRPr="00495DBE">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495DBE">
        <w:rPr>
          <w:rFonts w:ascii="Palatino Linotype" w:eastAsia="Palatino Linotype" w:hAnsi="Palatino Linotype" w:cs="Palatino Linotype"/>
          <w:b/>
          <w:i/>
          <w:sz w:val="22"/>
          <w:szCs w:val="22"/>
        </w:rPr>
        <w:t>.</w:t>
      </w:r>
    </w:p>
    <w:p w14:paraId="42BC0132" w14:textId="77777777" w:rsidR="00835735" w:rsidRPr="00495DBE" w:rsidRDefault="0071539A">
      <w:pPr>
        <w:pBdr>
          <w:top w:val="nil"/>
          <w:left w:val="nil"/>
          <w:bottom w:val="nil"/>
          <w:right w:val="nil"/>
          <w:between w:val="nil"/>
        </w:pBdr>
        <w:spacing w:line="360" w:lineRule="auto"/>
        <w:ind w:left="862" w:right="862"/>
        <w:jc w:val="both"/>
        <w:rPr>
          <w:rFonts w:ascii="Palatino Linotype" w:eastAsia="Palatino Linotype" w:hAnsi="Palatino Linotype" w:cs="Palatino Linotype"/>
          <w:b/>
          <w:i/>
          <w:sz w:val="22"/>
          <w:szCs w:val="22"/>
        </w:rPr>
      </w:pPr>
      <w:r w:rsidRPr="00495DBE">
        <w:rPr>
          <w:rFonts w:ascii="Palatino Linotype" w:eastAsia="Palatino Linotype" w:hAnsi="Palatino Linotype" w:cs="Palatino Linotype"/>
          <w:i/>
          <w:sz w:val="22"/>
          <w:szCs w:val="22"/>
        </w:rPr>
        <w:t>(</w:t>
      </w:r>
      <w:r w:rsidRPr="00495DBE">
        <w:rPr>
          <w:rFonts w:ascii="Palatino Linotype" w:eastAsia="Palatino Linotype" w:hAnsi="Palatino Linotype" w:cs="Palatino Linotype"/>
          <w:b/>
          <w:i/>
          <w:sz w:val="22"/>
          <w:szCs w:val="22"/>
        </w:rPr>
        <w:t>…)”</w:t>
      </w:r>
    </w:p>
    <w:p w14:paraId="4186C27E" w14:textId="77777777" w:rsidR="00835735" w:rsidRPr="00495DBE" w:rsidRDefault="00835735">
      <w:pPr>
        <w:pBdr>
          <w:top w:val="nil"/>
          <w:left w:val="nil"/>
          <w:bottom w:val="nil"/>
          <w:right w:val="nil"/>
          <w:between w:val="nil"/>
        </w:pBdr>
        <w:spacing w:line="360" w:lineRule="auto"/>
        <w:ind w:left="864" w:right="864"/>
        <w:jc w:val="both"/>
        <w:rPr>
          <w:rFonts w:ascii="Palatino Linotype" w:eastAsia="Palatino Linotype" w:hAnsi="Palatino Linotype" w:cs="Palatino Linotype"/>
          <w:b/>
          <w:i/>
          <w:sz w:val="22"/>
          <w:szCs w:val="22"/>
        </w:rPr>
      </w:pPr>
    </w:p>
    <w:p w14:paraId="69E021C1"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 xml:space="preserve">De lo anterior, se advierte que el recurso de revisión no se ha de interponer dentro del plazo de quince días hábiles, a partir de la fecha en que </w:t>
      </w:r>
      <w:r w:rsidRPr="00495DBE">
        <w:rPr>
          <w:rFonts w:ascii="Palatino Linotype" w:eastAsia="Palatino Linotype" w:hAnsi="Palatino Linotype" w:cs="Palatino Linotype"/>
          <w:b/>
          <w:sz w:val="22"/>
          <w:szCs w:val="22"/>
        </w:rPr>
        <w:t xml:space="preserve">EL SUJETO OBLIGADO </w:t>
      </w:r>
      <w:r w:rsidRPr="00495DBE">
        <w:rPr>
          <w:rFonts w:ascii="Palatino Linotype" w:eastAsia="Palatino Linotype" w:hAnsi="Palatino Linotype" w:cs="Palatino Linotype"/>
          <w:sz w:val="22"/>
          <w:szCs w:val="22"/>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495DBE">
        <w:rPr>
          <w:rFonts w:ascii="Palatino Linotype" w:eastAsia="Palatino Linotype" w:hAnsi="Palatino Linotype" w:cs="Palatino Linotype"/>
          <w:b/>
          <w:sz w:val="22"/>
          <w:szCs w:val="22"/>
          <w:u w:val="single"/>
        </w:rPr>
        <w:t>la interposición del recurso de revisión puede ser en cualquier momento.</w:t>
      </w:r>
    </w:p>
    <w:p w14:paraId="567BDBFA"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68B2F11E"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495DBE">
        <w:rPr>
          <w:rFonts w:ascii="Palatino Linotype" w:eastAsia="Palatino Linotype" w:hAnsi="Palatino Linotype" w:cs="Palatino Linotype"/>
          <w:b/>
          <w:sz w:val="22"/>
          <w:szCs w:val="22"/>
        </w:rPr>
        <w:t xml:space="preserve">SUJETO OBLIGADO, </w:t>
      </w:r>
      <w:r w:rsidRPr="00495DBE">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3D8E9EF"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23934E18"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495DBE">
        <w:rPr>
          <w:rFonts w:ascii="Palatino Linotype" w:eastAsia="Palatino Linotype" w:hAnsi="Palatino Linotype" w:cs="Palatino Linotype"/>
          <w:b/>
          <w:sz w:val="22"/>
          <w:szCs w:val="22"/>
        </w:rPr>
        <w:t>SUJETO OBLIGADO</w:t>
      </w:r>
      <w:r w:rsidRPr="00495DBE">
        <w:rPr>
          <w:rFonts w:ascii="Palatino Linotype" w:eastAsia="Palatino Linotype" w:hAnsi="Palatino Linotype" w:cs="Palatino Linotype"/>
          <w:sz w:val="22"/>
          <w:szCs w:val="22"/>
        </w:rPr>
        <w:t xml:space="preserve"> de dar respuesta, por lo que este Organismo Garante del derecho de acceso a </w:t>
      </w:r>
      <w:r w:rsidRPr="00495DBE">
        <w:rPr>
          <w:rFonts w:ascii="Palatino Linotype" w:eastAsia="Palatino Linotype" w:hAnsi="Palatino Linotype" w:cs="Palatino Linotype"/>
          <w:sz w:val="22"/>
          <w:szCs w:val="22"/>
        </w:rPr>
        <w:lastRenderedPageBreak/>
        <w:t xml:space="preserve">la información y en aras de privilegiar el principio de máxima publicidad deberá dar entrada al estudio del fondo del recurso interpuesto en dichos casos y no optar por el </w:t>
      </w:r>
      <w:proofErr w:type="spellStart"/>
      <w:r w:rsidRPr="00495DBE">
        <w:rPr>
          <w:rFonts w:ascii="Palatino Linotype" w:eastAsia="Palatino Linotype" w:hAnsi="Palatino Linotype" w:cs="Palatino Linotype"/>
          <w:sz w:val="22"/>
          <w:szCs w:val="22"/>
        </w:rPr>
        <w:t>desechamiento</w:t>
      </w:r>
      <w:proofErr w:type="spellEnd"/>
      <w:r w:rsidRPr="00495DBE">
        <w:rPr>
          <w:rFonts w:ascii="Palatino Linotype" w:eastAsia="Palatino Linotype" w:hAnsi="Palatino Linotype" w:cs="Palatino Linotype"/>
          <w:sz w:val="22"/>
          <w:szCs w:val="22"/>
        </w:rPr>
        <w:t xml:space="preserve"> del mismo.</w:t>
      </w:r>
    </w:p>
    <w:p w14:paraId="6527A125"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3C5DEBA6"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Por lo tanto, con la finalidad de no reducir ni limitar el derecho de acceso a la información y concederle una protección más eficaz al solicitante para impugnar el silencio del </w:t>
      </w:r>
      <w:r w:rsidRPr="00495DBE">
        <w:rPr>
          <w:rFonts w:ascii="Palatino Linotype" w:eastAsia="Palatino Linotype" w:hAnsi="Palatino Linotype" w:cs="Palatino Linotype"/>
          <w:b/>
          <w:sz w:val="22"/>
          <w:szCs w:val="22"/>
        </w:rPr>
        <w:t>SUJETO OBLIGADO,</w:t>
      </w:r>
      <w:r w:rsidRPr="00495DBE">
        <w:rPr>
          <w:rFonts w:ascii="Palatino Linotype" w:eastAsia="Palatino Linotype" w:hAnsi="Palatino Linotype" w:cs="Palatino Linotype"/>
          <w:sz w:val="22"/>
          <w:szCs w:val="22"/>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A2605A9"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1FB413BE" w14:textId="77777777" w:rsidR="00835735" w:rsidRPr="00495DBE" w:rsidRDefault="0071539A">
      <w:pPr>
        <w:tabs>
          <w:tab w:val="left" w:pos="1276"/>
        </w:tabs>
        <w:spacing w:line="276" w:lineRule="auto"/>
        <w:ind w:left="567" w:right="618"/>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i/>
          <w:sz w:val="22"/>
          <w:szCs w:val="22"/>
        </w:rPr>
        <w:t>“CRITERIO 0001-15. NEGATIVA FICTA. PLAZO PARA INTERPONER EL RECURSO DE REVISIÓN TRATÁNDOSE DE</w:t>
      </w:r>
      <w:r w:rsidRPr="00495DBE">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w:t>
      </w:r>
      <w:r w:rsidRPr="00495DBE">
        <w:rPr>
          <w:rFonts w:ascii="Palatino Linotype" w:eastAsia="Palatino Linotype" w:hAnsi="Palatino Linotype" w:cs="Palatino Linotype"/>
          <w:i/>
          <w:sz w:val="22"/>
          <w:szCs w:val="22"/>
        </w:rPr>
        <w:lastRenderedPageBreak/>
        <w:t>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A661080" w14:textId="77777777" w:rsidR="00835735" w:rsidRPr="00495DBE" w:rsidRDefault="00835735">
      <w:pPr>
        <w:tabs>
          <w:tab w:val="left" w:pos="1276"/>
        </w:tabs>
        <w:spacing w:line="276" w:lineRule="auto"/>
        <w:ind w:right="616"/>
        <w:jc w:val="both"/>
        <w:rPr>
          <w:rFonts w:ascii="Palatino Linotype" w:eastAsia="Palatino Linotype" w:hAnsi="Palatino Linotype" w:cs="Palatino Linotype"/>
          <w:sz w:val="22"/>
          <w:szCs w:val="22"/>
        </w:rPr>
      </w:pPr>
    </w:p>
    <w:p w14:paraId="1893EC59" w14:textId="77777777" w:rsidR="00835735" w:rsidRPr="00495DBE" w:rsidRDefault="0071539A">
      <w:pPr>
        <w:spacing w:line="360" w:lineRule="auto"/>
        <w:ind w:right="49"/>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Además, por cuanto hace a la procedibilidad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495DBE">
        <w:rPr>
          <w:rFonts w:ascii="Palatino Linotype" w:eastAsia="Palatino Linotype" w:hAnsi="Palatino Linotype" w:cs="Palatino Linotype"/>
          <w:b/>
          <w:sz w:val="22"/>
          <w:szCs w:val="22"/>
        </w:rPr>
        <w:t>EL</w:t>
      </w:r>
      <w:r w:rsidRPr="00495DBE">
        <w:rPr>
          <w:rFonts w:ascii="Palatino Linotype" w:eastAsia="Palatino Linotype" w:hAnsi="Palatino Linotype" w:cs="Palatino Linotype"/>
          <w:sz w:val="22"/>
          <w:szCs w:val="22"/>
        </w:rPr>
        <w:t xml:space="preserve"> </w:t>
      </w:r>
      <w:r w:rsidRPr="00495DBE">
        <w:rPr>
          <w:rFonts w:ascii="Palatino Linotype" w:eastAsia="Palatino Linotype" w:hAnsi="Palatino Linotype" w:cs="Palatino Linotype"/>
          <w:b/>
          <w:sz w:val="22"/>
          <w:szCs w:val="22"/>
        </w:rPr>
        <w:t>SAIMEX</w:t>
      </w:r>
      <w:r w:rsidRPr="00495DBE">
        <w:rPr>
          <w:rFonts w:ascii="Palatino Linotype" w:eastAsia="Palatino Linotype" w:hAnsi="Palatino Linotype" w:cs="Palatino Linotype"/>
          <w:sz w:val="22"/>
          <w:szCs w:val="22"/>
        </w:rPr>
        <w:t>.</w:t>
      </w:r>
    </w:p>
    <w:p w14:paraId="7DDED0BE" w14:textId="77777777" w:rsidR="00835735" w:rsidRPr="00495DBE" w:rsidRDefault="00835735">
      <w:pPr>
        <w:spacing w:line="360" w:lineRule="auto"/>
        <w:ind w:right="51"/>
        <w:jc w:val="both"/>
        <w:rPr>
          <w:rFonts w:ascii="Palatino Linotype" w:eastAsia="Palatino Linotype" w:hAnsi="Palatino Linotype" w:cs="Palatino Linotype"/>
          <w:sz w:val="22"/>
          <w:szCs w:val="22"/>
        </w:rPr>
      </w:pPr>
    </w:p>
    <w:p w14:paraId="67FB14FD"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Finalmente, antes de entrar al estudio de la presente resolución es preciso determinar si resulta procedente la interposición del recurso de revisión, toda vez que se actualiza la hipótesis prevista en la fracción VII del artículo 179 de la ley de la materia, que a la letra dice:</w:t>
      </w:r>
    </w:p>
    <w:p w14:paraId="26611371" w14:textId="77777777" w:rsidR="00835735" w:rsidRPr="00495DBE" w:rsidRDefault="00835735">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75338E3E" w14:textId="77777777" w:rsidR="00835735" w:rsidRPr="00495DBE" w:rsidRDefault="0071539A">
      <w:pPr>
        <w:pBdr>
          <w:top w:val="nil"/>
          <w:left w:val="nil"/>
          <w:bottom w:val="nil"/>
          <w:right w:val="nil"/>
          <w:between w:val="nil"/>
        </w:pBdr>
        <w:spacing w:line="276" w:lineRule="auto"/>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i/>
          <w:sz w:val="22"/>
          <w:szCs w:val="22"/>
        </w:rPr>
        <w:t xml:space="preserve">“Artículo 179. </w:t>
      </w:r>
      <w:r w:rsidRPr="00495DB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5E4E991" w14:textId="77777777" w:rsidR="00835735" w:rsidRPr="00495DBE" w:rsidRDefault="0071539A">
      <w:pPr>
        <w:pBdr>
          <w:top w:val="nil"/>
          <w:left w:val="nil"/>
          <w:bottom w:val="nil"/>
          <w:right w:val="nil"/>
          <w:between w:val="nil"/>
        </w:pBdr>
        <w:spacing w:line="276" w:lineRule="auto"/>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w:t>
      </w:r>
    </w:p>
    <w:p w14:paraId="49E1420E" w14:textId="77777777" w:rsidR="00835735" w:rsidRPr="00495DBE" w:rsidRDefault="0071539A">
      <w:pPr>
        <w:pBdr>
          <w:top w:val="nil"/>
          <w:left w:val="nil"/>
          <w:bottom w:val="nil"/>
          <w:right w:val="nil"/>
          <w:between w:val="nil"/>
        </w:pBdr>
        <w:spacing w:line="276" w:lineRule="auto"/>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i/>
          <w:sz w:val="22"/>
          <w:szCs w:val="22"/>
        </w:rPr>
        <w:t xml:space="preserve">VII. </w:t>
      </w:r>
      <w:r w:rsidRPr="00495DBE">
        <w:rPr>
          <w:rFonts w:ascii="Palatino Linotype" w:eastAsia="Palatino Linotype" w:hAnsi="Palatino Linotype" w:cs="Palatino Linotype"/>
          <w:i/>
          <w:sz w:val="22"/>
          <w:szCs w:val="22"/>
        </w:rPr>
        <w:t>La falta de respuesta a una solicitud de acceso a la información;”</w:t>
      </w:r>
    </w:p>
    <w:p w14:paraId="61AFFFE1" w14:textId="77777777" w:rsidR="00835735" w:rsidRPr="00495DBE" w:rsidRDefault="0071539A">
      <w:pPr>
        <w:pBdr>
          <w:top w:val="nil"/>
          <w:left w:val="nil"/>
          <w:bottom w:val="nil"/>
          <w:right w:val="nil"/>
          <w:between w:val="nil"/>
        </w:pBdr>
        <w:spacing w:line="276" w:lineRule="auto"/>
        <w:ind w:left="862" w:right="862"/>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w:t>
      </w:r>
    </w:p>
    <w:p w14:paraId="37F8510D" w14:textId="77777777" w:rsidR="00835735" w:rsidRPr="00495DBE" w:rsidRDefault="00835735">
      <w:pPr>
        <w:pBdr>
          <w:top w:val="nil"/>
          <w:left w:val="nil"/>
          <w:bottom w:val="nil"/>
          <w:right w:val="nil"/>
          <w:between w:val="nil"/>
        </w:pBdr>
        <w:spacing w:line="360" w:lineRule="auto"/>
        <w:ind w:left="864" w:right="864"/>
        <w:jc w:val="both"/>
        <w:rPr>
          <w:rFonts w:ascii="Palatino Linotype" w:eastAsia="Palatino Linotype" w:hAnsi="Palatino Linotype" w:cs="Palatino Linotype"/>
          <w:i/>
          <w:sz w:val="22"/>
          <w:szCs w:val="22"/>
        </w:rPr>
      </w:pPr>
    </w:p>
    <w:p w14:paraId="4C4A324B"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 xml:space="preserve">El precepto legal citado, establece como supuesto de procedencia del recurso de revisión, en aquellos casos en que </w:t>
      </w:r>
      <w:r w:rsidRPr="00495DBE">
        <w:rPr>
          <w:rFonts w:ascii="Palatino Linotype" w:eastAsia="Palatino Linotype" w:hAnsi="Palatino Linotype" w:cs="Palatino Linotype"/>
          <w:b/>
          <w:sz w:val="22"/>
          <w:szCs w:val="22"/>
        </w:rPr>
        <w:t xml:space="preserve">LA PARTE RECURRENTE </w:t>
      </w:r>
      <w:r w:rsidRPr="00495DBE">
        <w:rPr>
          <w:rFonts w:ascii="Palatino Linotype" w:eastAsia="Palatino Linotype" w:hAnsi="Palatino Linotype" w:cs="Palatino Linotype"/>
          <w:sz w:val="22"/>
          <w:szCs w:val="22"/>
        </w:rPr>
        <w:t xml:space="preserve">estime negado el acceso a la información por la falta de respuesta por </w:t>
      </w:r>
      <w:r w:rsidRPr="00495DBE">
        <w:rPr>
          <w:rFonts w:ascii="Palatino Linotype" w:eastAsia="Palatino Linotype" w:hAnsi="Palatino Linotype" w:cs="Palatino Linotype"/>
          <w:b/>
          <w:sz w:val="22"/>
          <w:szCs w:val="22"/>
        </w:rPr>
        <w:t>EL SUJETO OBLIGADO,</w:t>
      </w:r>
      <w:r w:rsidRPr="00495DBE">
        <w:rPr>
          <w:rFonts w:ascii="Palatino Linotype" w:eastAsia="Palatino Linotype" w:hAnsi="Palatino Linotype" w:cs="Palatino Linotype"/>
          <w:sz w:val="22"/>
          <w:szCs w:val="22"/>
        </w:rPr>
        <w:t xml:space="preserve"> en este asunto se actualiza la hipótesis jurídica citada, en atención a que </w:t>
      </w:r>
      <w:r w:rsidRPr="00495DBE">
        <w:rPr>
          <w:rFonts w:ascii="Palatino Linotype" w:eastAsia="Palatino Linotype" w:hAnsi="Palatino Linotype" w:cs="Palatino Linotype"/>
          <w:b/>
          <w:sz w:val="22"/>
          <w:szCs w:val="22"/>
        </w:rPr>
        <w:t>LA PARTE</w:t>
      </w:r>
      <w:r w:rsidRPr="00495DBE">
        <w:rPr>
          <w:rFonts w:ascii="Palatino Linotype" w:eastAsia="Palatino Linotype" w:hAnsi="Palatino Linotype" w:cs="Palatino Linotype"/>
          <w:sz w:val="22"/>
          <w:szCs w:val="22"/>
        </w:rPr>
        <w:t xml:space="preserve"> </w:t>
      </w:r>
      <w:r w:rsidRPr="00495DBE">
        <w:rPr>
          <w:rFonts w:ascii="Palatino Linotype" w:eastAsia="Palatino Linotype" w:hAnsi="Palatino Linotype" w:cs="Palatino Linotype"/>
          <w:b/>
          <w:sz w:val="22"/>
          <w:szCs w:val="22"/>
        </w:rPr>
        <w:t>RECURRENTE</w:t>
      </w:r>
      <w:r w:rsidRPr="00495DBE">
        <w:rPr>
          <w:rFonts w:ascii="Palatino Linotype" w:eastAsia="Palatino Linotype" w:hAnsi="Palatino Linotype" w:cs="Palatino Linotype"/>
          <w:sz w:val="22"/>
          <w:szCs w:val="22"/>
        </w:rPr>
        <w:t xml:space="preserve"> combate falta de trámite por </w:t>
      </w:r>
      <w:r w:rsidRPr="00495DBE">
        <w:rPr>
          <w:rFonts w:ascii="Palatino Linotype" w:eastAsia="Palatino Linotype" w:hAnsi="Palatino Linotype" w:cs="Palatino Linotype"/>
          <w:b/>
          <w:sz w:val="22"/>
          <w:szCs w:val="22"/>
        </w:rPr>
        <w:t>EL SUJETO OBLIGADO</w:t>
      </w:r>
      <w:r w:rsidRPr="00495DBE">
        <w:rPr>
          <w:rFonts w:ascii="Palatino Linotype" w:eastAsia="Palatino Linotype" w:hAnsi="Palatino Linotype" w:cs="Palatino Linotype"/>
          <w:sz w:val="22"/>
          <w:szCs w:val="22"/>
        </w:rPr>
        <w:t xml:space="preserve"> y expresa motivos de inconformidad en contra de dicha circunstancia.</w:t>
      </w:r>
    </w:p>
    <w:p w14:paraId="55784787"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025CEF8C"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TERCERO. ANÁLISIS DE LAS CAUSALES DE SOBRESEIMIENTO</w:t>
      </w:r>
      <w:r w:rsidRPr="00495DBE">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25E77BF"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3D24A278" w14:textId="77777777" w:rsidR="00835735" w:rsidRPr="00495DBE" w:rsidRDefault="0071539A">
      <w:pP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w:t>
      </w:r>
      <w:r w:rsidRPr="00495DBE">
        <w:rPr>
          <w:rFonts w:ascii="Palatino Linotype" w:eastAsia="Palatino Linotype" w:hAnsi="Palatino Linotype" w:cs="Palatino Linotype"/>
          <w:sz w:val="22"/>
          <w:szCs w:val="22"/>
        </w:rPr>
        <w:lastRenderedPageBreak/>
        <w:t>son incompatibles con el derecho de acceso a la justicia, ya que éste no se coarta por regular causas de improcedencia y sobreseimiento con tales fines.</w:t>
      </w:r>
    </w:p>
    <w:p w14:paraId="4179BC65" w14:textId="77777777" w:rsidR="00835735" w:rsidRPr="00495DBE" w:rsidRDefault="00835735">
      <w:pPr>
        <w:spacing w:line="360" w:lineRule="auto"/>
        <w:jc w:val="both"/>
        <w:rPr>
          <w:rFonts w:ascii="Palatino Linotype" w:eastAsia="Palatino Linotype" w:hAnsi="Palatino Linotype" w:cs="Palatino Linotype"/>
          <w:sz w:val="22"/>
          <w:szCs w:val="22"/>
        </w:rPr>
      </w:pPr>
    </w:p>
    <w:p w14:paraId="763D509F" w14:textId="77777777" w:rsidR="00835735" w:rsidRPr="00495DBE" w:rsidRDefault="0071539A">
      <w:pPr>
        <w:spacing w:line="360" w:lineRule="auto"/>
        <w:ind w:right="51"/>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De manera preliminar en el caso concreto conviene analizar si se actualiza alguna de las causales de sobreseimiento de los recursos de revisión.</w:t>
      </w:r>
    </w:p>
    <w:p w14:paraId="294ACD1D" w14:textId="77777777" w:rsidR="00835735" w:rsidRPr="00495DBE" w:rsidRDefault="00835735">
      <w:pPr>
        <w:spacing w:line="360" w:lineRule="auto"/>
        <w:ind w:right="51"/>
        <w:jc w:val="both"/>
        <w:rPr>
          <w:rFonts w:ascii="Palatino Linotype" w:eastAsia="Palatino Linotype" w:hAnsi="Palatino Linotype" w:cs="Palatino Linotype"/>
          <w:sz w:val="22"/>
          <w:szCs w:val="22"/>
        </w:rPr>
      </w:pPr>
    </w:p>
    <w:p w14:paraId="35AB93FF" w14:textId="77777777" w:rsidR="00835735" w:rsidRPr="00495DBE" w:rsidRDefault="0071539A">
      <w:pPr>
        <w:spacing w:line="360" w:lineRule="auto"/>
        <w:ind w:right="51"/>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Dicho lo anterior, es conveniente referir que el Recurrente solicitó la siguiente información </w:t>
      </w:r>
      <w:r w:rsidRPr="00495DBE">
        <w:rPr>
          <w:rFonts w:ascii="Palatino Linotype" w:eastAsia="Palatino Linotype" w:hAnsi="Palatino Linotype" w:cs="Palatino Linotype"/>
        </w:rPr>
        <w:t>de los subcontralores de investigación y sustanciación</w:t>
      </w:r>
      <w:r w:rsidRPr="00495DBE">
        <w:rPr>
          <w:rFonts w:ascii="Palatino Linotype" w:eastAsia="Palatino Linotype" w:hAnsi="Palatino Linotype" w:cs="Palatino Linotype"/>
          <w:i/>
        </w:rPr>
        <w:t>:</w:t>
      </w:r>
    </w:p>
    <w:p w14:paraId="12597BE6" w14:textId="77777777" w:rsidR="00835735" w:rsidRPr="00495DBE" w:rsidRDefault="00835735">
      <w:pPr>
        <w:spacing w:line="360" w:lineRule="auto"/>
        <w:ind w:right="51"/>
        <w:jc w:val="both"/>
        <w:rPr>
          <w:rFonts w:ascii="Palatino Linotype" w:eastAsia="Palatino Linotype" w:hAnsi="Palatino Linotype" w:cs="Palatino Linotype"/>
          <w:sz w:val="22"/>
          <w:szCs w:val="22"/>
        </w:rPr>
      </w:pPr>
    </w:p>
    <w:p w14:paraId="0DF2ED5E" w14:textId="77777777" w:rsidR="00835735" w:rsidRPr="00495DBE" w:rsidRDefault="0071539A">
      <w:pPr>
        <w:numPr>
          <w:ilvl w:val="0"/>
          <w:numId w:val="5"/>
        </w:numPr>
        <w:pBdr>
          <w:top w:val="nil"/>
          <w:left w:val="nil"/>
          <w:bottom w:val="nil"/>
          <w:right w:val="nil"/>
          <w:between w:val="nil"/>
        </w:pBdr>
        <w:spacing w:line="360" w:lineRule="auto"/>
        <w:ind w:right="51"/>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 xml:space="preserve">Cuál es el último grado de estudios </w:t>
      </w:r>
    </w:p>
    <w:p w14:paraId="3B88D536" w14:textId="77777777" w:rsidR="00835735" w:rsidRPr="00495DBE" w:rsidRDefault="0071539A">
      <w:pPr>
        <w:numPr>
          <w:ilvl w:val="0"/>
          <w:numId w:val="5"/>
        </w:numPr>
        <w:pBdr>
          <w:top w:val="nil"/>
          <w:left w:val="nil"/>
          <w:bottom w:val="nil"/>
          <w:right w:val="nil"/>
          <w:between w:val="nil"/>
        </w:pBdr>
        <w:spacing w:line="360" w:lineRule="auto"/>
        <w:ind w:right="51"/>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 xml:space="preserve">se explique el criterio que se optó para designar a dichas personas en su lugar, </w:t>
      </w:r>
    </w:p>
    <w:p w14:paraId="0B685CF3" w14:textId="77777777" w:rsidR="00835735" w:rsidRPr="00495DBE" w:rsidRDefault="0071539A">
      <w:pPr>
        <w:numPr>
          <w:ilvl w:val="0"/>
          <w:numId w:val="5"/>
        </w:numPr>
        <w:pBdr>
          <w:top w:val="nil"/>
          <w:left w:val="nil"/>
          <w:bottom w:val="nil"/>
          <w:right w:val="nil"/>
          <w:between w:val="nil"/>
        </w:pBdr>
        <w:spacing w:line="360" w:lineRule="auto"/>
        <w:ind w:right="51"/>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 xml:space="preserve">que experiencia se tiene en esas áreas, </w:t>
      </w:r>
    </w:p>
    <w:p w14:paraId="3DC29212" w14:textId="77777777" w:rsidR="00835735" w:rsidRPr="00495DBE" w:rsidRDefault="0071539A">
      <w:pPr>
        <w:numPr>
          <w:ilvl w:val="0"/>
          <w:numId w:val="5"/>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i/>
          <w:sz w:val="22"/>
          <w:szCs w:val="22"/>
        </w:rPr>
        <w:t>nombramientos</w:t>
      </w:r>
    </w:p>
    <w:p w14:paraId="6C6A946D" w14:textId="77777777" w:rsidR="00835735" w:rsidRPr="00495DBE" w:rsidRDefault="00835735">
      <w:pPr>
        <w:spacing w:line="360" w:lineRule="auto"/>
        <w:ind w:right="51"/>
        <w:jc w:val="both"/>
        <w:rPr>
          <w:rFonts w:ascii="Palatino Linotype" w:eastAsia="Palatino Linotype" w:hAnsi="Palatino Linotype" w:cs="Palatino Linotype"/>
          <w:sz w:val="22"/>
          <w:szCs w:val="22"/>
        </w:rPr>
      </w:pPr>
    </w:p>
    <w:p w14:paraId="4FCD1C46" w14:textId="77777777" w:rsidR="00835735" w:rsidRPr="00495DBE" w:rsidRDefault="0071539A">
      <w:pPr>
        <w:spacing w:line="360" w:lineRule="auto"/>
        <w:ind w:right="51"/>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El Sujeto Obligado fue omiso en dar respuesta a la solicitud, motivo por el que se inconformó el particular. Sin embargo, mediante el informe justificado, a través de la Coordinación de Recursos Humanos adscrita a la Dirección de Administración, entregó la ficha curricular y nombramiento de dos servidores públicos.</w:t>
      </w:r>
    </w:p>
    <w:p w14:paraId="0AC27AE1" w14:textId="77777777" w:rsidR="00835735" w:rsidRPr="00495DBE" w:rsidRDefault="00835735">
      <w:pPr>
        <w:spacing w:line="360" w:lineRule="auto"/>
        <w:ind w:right="51"/>
        <w:jc w:val="both"/>
        <w:rPr>
          <w:rFonts w:ascii="Palatino Linotype" w:eastAsia="Palatino Linotype" w:hAnsi="Palatino Linotype" w:cs="Palatino Linotype"/>
          <w:sz w:val="22"/>
          <w:szCs w:val="22"/>
        </w:rPr>
      </w:pPr>
    </w:p>
    <w:p w14:paraId="61F0CE39" w14:textId="77777777" w:rsidR="00835735" w:rsidRPr="00495DBE" w:rsidRDefault="0071539A">
      <w:pPr>
        <w:spacing w:before="240" w:after="240"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Es necesario resaltar que, quien dio respuesta a los requerimientos del particular fue la Coordinación de Recursos Humanos, por tal razón, es necesario traer a contexto el Reglamento Interno del Organismo de Agua, cuyo contenido es el siguiente:</w:t>
      </w:r>
    </w:p>
    <w:p w14:paraId="6E243B4B" w14:textId="77777777" w:rsidR="00835735" w:rsidRPr="00495DBE" w:rsidRDefault="0071539A">
      <w:pPr>
        <w:spacing w:before="240" w:after="240" w:line="360" w:lineRule="auto"/>
        <w:ind w:left="567" w:right="616"/>
        <w:jc w:val="center"/>
        <w:rPr>
          <w:rFonts w:ascii="Palatino Linotype" w:eastAsia="Palatino Linotype" w:hAnsi="Palatino Linotype" w:cs="Palatino Linotype"/>
          <w:b/>
          <w:i/>
          <w:sz w:val="20"/>
          <w:szCs w:val="20"/>
        </w:rPr>
      </w:pPr>
      <w:r w:rsidRPr="00495DBE">
        <w:rPr>
          <w:rFonts w:ascii="Palatino Linotype" w:eastAsia="Palatino Linotype" w:hAnsi="Palatino Linotype" w:cs="Palatino Linotype"/>
          <w:b/>
          <w:i/>
          <w:sz w:val="22"/>
          <w:szCs w:val="22"/>
        </w:rPr>
        <w:t>De la Coordinación de Recursos Humanos</w:t>
      </w:r>
    </w:p>
    <w:p w14:paraId="7F039D3C" w14:textId="77777777" w:rsidR="00835735" w:rsidRPr="00495DBE" w:rsidRDefault="0071539A">
      <w:pPr>
        <w:spacing w:before="240" w:after="240"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Artículo 62.- La Coordinación de Recursos Humanos tendrá las siguientes atribuciones:</w:t>
      </w:r>
    </w:p>
    <w:p w14:paraId="48B403B4" w14:textId="77777777" w:rsidR="00835735" w:rsidRPr="00495DBE" w:rsidRDefault="0071539A">
      <w:pPr>
        <w:spacing w:before="240" w:after="240" w:line="360" w:lineRule="auto"/>
        <w:ind w:left="567" w:right="616"/>
        <w:jc w:val="both"/>
        <w:rPr>
          <w:rFonts w:ascii="Palatino Linotype" w:eastAsia="Palatino Linotype" w:hAnsi="Palatino Linotype" w:cs="Palatino Linotype"/>
          <w:b/>
          <w:i/>
          <w:sz w:val="22"/>
          <w:szCs w:val="22"/>
        </w:rPr>
      </w:pPr>
      <w:r w:rsidRPr="00495DBE">
        <w:rPr>
          <w:rFonts w:ascii="Palatino Linotype" w:eastAsia="Palatino Linotype" w:hAnsi="Palatino Linotype" w:cs="Palatino Linotype"/>
          <w:b/>
          <w:i/>
          <w:sz w:val="22"/>
          <w:szCs w:val="22"/>
        </w:rPr>
        <w:t xml:space="preserve">I. Ejecutar la programación, presupuestación, administración y control de los recursos humanos que se requieran para el funcionamiento de las Unidades Administrativas del Organismo; </w:t>
      </w:r>
    </w:p>
    <w:p w14:paraId="3CFEE270" w14:textId="77777777" w:rsidR="00835735" w:rsidRPr="00495DBE" w:rsidRDefault="0071539A">
      <w:pPr>
        <w:spacing w:before="240" w:after="240" w:line="360" w:lineRule="auto"/>
        <w:ind w:left="567" w:right="616"/>
        <w:jc w:val="both"/>
        <w:rPr>
          <w:rFonts w:ascii="Palatino Linotype" w:eastAsia="Palatino Linotype" w:hAnsi="Palatino Linotype" w:cs="Palatino Linotype"/>
          <w:b/>
          <w:i/>
          <w:sz w:val="22"/>
          <w:szCs w:val="22"/>
        </w:rPr>
      </w:pPr>
      <w:r w:rsidRPr="00495DBE">
        <w:rPr>
          <w:rFonts w:ascii="Palatino Linotype" w:eastAsia="Palatino Linotype" w:hAnsi="Palatino Linotype" w:cs="Palatino Linotype"/>
          <w:b/>
          <w:i/>
          <w:sz w:val="22"/>
          <w:szCs w:val="22"/>
        </w:rPr>
        <w:t xml:space="preserve">II. Cumplir con las normas y políticas aplicables en materia de administración de recursos humanos; </w:t>
      </w:r>
    </w:p>
    <w:p w14:paraId="1941B88F" w14:textId="77777777" w:rsidR="00835735" w:rsidRPr="00495DBE" w:rsidRDefault="0071539A">
      <w:pPr>
        <w:spacing w:before="240" w:after="240"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 xml:space="preserve">III. Elaborar el presupuesto correspondiente al capítulo de servicios personales y de su correlación con las obligaciones fiscales correspondientes al Organismo; </w:t>
      </w:r>
    </w:p>
    <w:p w14:paraId="0951FF93" w14:textId="77777777" w:rsidR="00835735" w:rsidRPr="00495DBE" w:rsidRDefault="0071539A">
      <w:pPr>
        <w:spacing w:before="240" w:after="240"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IV. Vigilar, supervisar, coordinar los procesos de nómina del Organismo;</w:t>
      </w:r>
    </w:p>
    <w:p w14:paraId="29C651AB" w14:textId="77777777" w:rsidR="00835735" w:rsidRPr="00495DBE" w:rsidRDefault="0071539A">
      <w:pPr>
        <w:spacing w:before="240" w:after="240" w:line="360" w:lineRule="auto"/>
        <w:ind w:left="567" w:right="616"/>
        <w:jc w:val="both"/>
        <w:rPr>
          <w:rFonts w:ascii="Palatino Linotype" w:eastAsia="Palatino Linotype" w:hAnsi="Palatino Linotype" w:cs="Palatino Linotype"/>
          <w:b/>
          <w:i/>
          <w:sz w:val="22"/>
          <w:szCs w:val="22"/>
        </w:rPr>
      </w:pPr>
      <w:r w:rsidRPr="00495DBE">
        <w:rPr>
          <w:rFonts w:ascii="Palatino Linotype" w:eastAsia="Palatino Linotype" w:hAnsi="Palatino Linotype" w:cs="Palatino Linotype"/>
          <w:b/>
          <w:i/>
          <w:sz w:val="22"/>
          <w:szCs w:val="22"/>
        </w:rPr>
        <w:t xml:space="preserve">V. Vigilar, supervisar, coordinar el control del personal del Organismo, y </w:t>
      </w:r>
    </w:p>
    <w:p w14:paraId="3837C77E" w14:textId="77777777" w:rsidR="00835735" w:rsidRPr="00495DBE" w:rsidRDefault="0071539A">
      <w:pPr>
        <w:spacing w:before="240" w:after="240"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VI. Las demás previstas en las disposiciones legales y las que le encomiende la Subdirección de Administración</w:t>
      </w:r>
    </w:p>
    <w:p w14:paraId="4EECF35B" w14:textId="77777777" w:rsidR="00835735" w:rsidRPr="00495DBE" w:rsidRDefault="00835735">
      <w:pPr>
        <w:spacing w:before="240" w:after="240" w:line="360" w:lineRule="auto"/>
        <w:ind w:left="567" w:right="616"/>
        <w:jc w:val="both"/>
        <w:rPr>
          <w:rFonts w:ascii="Palatino Linotype" w:eastAsia="Palatino Linotype" w:hAnsi="Palatino Linotype" w:cs="Palatino Linotype"/>
          <w:i/>
          <w:sz w:val="22"/>
          <w:szCs w:val="22"/>
        </w:rPr>
      </w:pPr>
    </w:p>
    <w:p w14:paraId="7340C7F1" w14:textId="77777777" w:rsidR="00835735" w:rsidRPr="00495DBE" w:rsidRDefault="0071539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Es así que, la Coordinación de Recursos Humanos tiene entre sus atribuciones de vigilar, supervisar, coordinar el control del personal de organismo, así como cumplir con las normas y políticas aplicables en materia de administración de recursos humanos, por lo que la información del personal del Sujeto Obligado estará a cargo de dicha coordinación.</w:t>
      </w:r>
    </w:p>
    <w:p w14:paraId="1743593F" w14:textId="77777777" w:rsidR="00835735" w:rsidRPr="00495DBE" w:rsidRDefault="0083573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DC3808F" w14:textId="77777777" w:rsidR="00835735" w:rsidRPr="00495DBE" w:rsidRDefault="0071539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Dicho lo anterior, se precisa que el Sujeto Obligado turnó la solicitud a la Dirección de Administración y a su vez, la Coordinación de Recursos Humanos, siguiendo con ello el procedimiento para la atención a las solicitudes de acceso a la información, establecido en los artículos 151, 160, 162, 163, 164, 165 y 166, de la Ley de Transparencia y Acceso a la Información Pública del Estado de México y Municipios: </w:t>
      </w:r>
    </w:p>
    <w:p w14:paraId="2027AA0B" w14:textId="77777777" w:rsidR="00835735" w:rsidRPr="00495DBE" w:rsidRDefault="0083573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CB33566" w14:textId="77777777" w:rsidR="00835735" w:rsidRPr="00495DBE" w:rsidRDefault="0071539A">
      <w:pPr>
        <w:spacing w:after="240" w:line="360" w:lineRule="auto"/>
        <w:ind w:left="284"/>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21455E1" w14:textId="77777777" w:rsidR="00835735" w:rsidRPr="00495DBE" w:rsidRDefault="0071539A">
      <w:pPr>
        <w:spacing w:after="240" w:line="360" w:lineRule="auto"/>
        <w:ind w:left="284"/>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12F920D" w14:textId="77777777" w:rsidR="00835735" w:rsidRPr="00495DBE" w:rsidRDefault="0071539A">
      <w:pPr>
        <w:spacing w:after="240" w:line="360" w:lineRule="auto"/>
        <w:ind w:left="284"/>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6902B331" w14:textId="77777777" w:rsidR="00835735" w:rsidRPr="00495DBE" w:rsidRDefault="0071539A">
      <w:pPr>
        <w:spacing w:after="240" w:line="360" w:lineRule="auto"/>
        <w:ind w:left="284"/>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7A16107" w14:textId="77777777" w:rsidR="00835735" w:rsidRPr="00495DBE" w:rsidRDefault="0071539A">
      <w:pPr>
        <w:spacing w:after="240" w:line="360" w:lineRule="auto"/>
        <w:ind w:left="284"/>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514178A" w14:textId="77777777" w:rsidR="00835735" w:rsidRPr="00495DBE" w:rsidRDefault="0071539A">
      <w:pPr>
        <w:spacing w:after="240" w:line="360" w:lineRule="auto"/>
        <w:ind w:left="284"/>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1ED80CB6" w14:textId="77777777" w:rsidR="00835735" w:rsidRPr="00495DBE" w:rsidRDefault="0071539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En este orden de ideas, se reitera que la Unidad de Transparencia turnó la solicitud de información a la unidad administrativa competente, conforme al Reglamento Interior del Sujeto Obligado, con lo que se acreditó que se realizó una correcta búsqueda exhaustiva y razonable de la información.</w:t>
      </w:r>
    </w:p>
    <w:p w14:paraId="616C5418"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E2FC7B" w14:textId="77777777" w:rsidR="00835735" w:rsidRPr="00495DBE" w:rsidRDefault="0071539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 xml:space="preserve">Dicho lo anterior, es necesario referir que el Recurrente solicitó cual es el último grado de estudios y la experiencia que tienen en las áreas. Derivado de la naturaleza de la información, se determina que pudiera obrar de manera enunciativa más no limitativa en el </w:t>
      </w:r>
      <w:proofErr w:type="spellStart"/>
      <w:r w:rsidRPr="00495DBE">
        <w:rPr>
          <w:rFonts w:ascii="Palatino Linotype" w:eastAsia="Palatino Linotype" w:hAnsi="Palatino Linotype" w:cs="Palatino Linotype"/>
          <w:sz w:val="22"/>
          <w:szCs w:val="22"/>
        </w:rPr>
        <w:t>currículom</w:t>
      </w:r>
      <w:proofErr w:type="spellEnd"/>
      <w:r w:rsidRPr="00495DBE">
        <w:rPr>
          <w:rFonts w:ascii="Palatino Linotype" w:eastAsia="Palatino Linotype" w:hAnsi="Palatino Linotype" w:cs="Palatino Linotype"/>
          <w:sz w:val="22"/>
          <w:szCs w:val="22"/>
        </w:rPr>
        <w:t xml:space="preserve"> vitae o ficha curricular, ya que contienen entre otra información, </w:t>
      </w:r>
      <w:r w:rsidRPr="00495DBE">
        <w:rPr>
          <w:rFonts w:ascii="Palatino Linotype" w:eastAsia="Palatino Linotype" w:hAnsi="Palatino Linotype" w:cs="Palatino Linotype"/>
          <w:b/>
          <w:sz w:val="22"/>
          <w:szCs w:val="22"/>
        </w:rPr>
        <w:t>la preparación académica, laboral y méritos con los que cuentan los servidores públicos</w:t>
      </w:r>
      <w:r w:rsidRPr="00495DBE">
        <w:rPr>
          <w:rFonts w:ascii="Palatino Linotype" w:eastAsia="Palatino Linotype" w:hAnsi="Palatino Linotype" w:cs="Palatino Linotype"/>
          <w:sz w:val="22"/>
          <w:szCs w:val="22"/>
        </w:rPr>
        <w:t xml:space="preserve"> para ocupar un cargo público. Se cita lo que dispone la Real Academia de la Lengua Española define como currículum vitae: </w:t>
      </w:r>
    </w:p>
    <w:p w14:paraId="05FCB368" w14:textId="77777777" w:rsidR="00835735" w:rsidRPr="00495DBE" w:rsidRDefault="0071539A">
      <w:pPr>
        <w:tabs>
          <w:tab w:val="left" w:pos="426"/>
        </w:tabs>
        <w:spacing w:line="360" w:lineRule="auto"/>
        <w:ind w:left="567" w:right="616"/>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w:t>
      </w:r>
      <w:r w:rsidRPr="00495DBE">
        <w:rPr>
          <w:rFonts w:ascii="Palatino Linotype" w:eastAsia="Palatino Linotype" w:hAnsi="Palatino Linotype" w:cs="Palatino Linotype"/>
          <w:b/>
          <w:i/>
          <w:sz w:val="22"/>
          <w:szCs w:val="22"/>
        </w:rPr>
        <w:t>currículum vítae</w:t>
      </w:r>
      <w:r w:rsidRPr="00495DBE">
        <w:rPr>
          <w:rFonts w:ascii="Palatino Linotype" w:eastAsia="Palatino Linotype" w:hAnsi="Palatino Linotype" w:cs="Palatino Linotype"/>
          <w:i/>
          <w:sz w:val="22"/>
          <w:szCs w:val="22"/>
        </w:rPr>
        <w:t>. </w:t>
      </w:r>
      <w:bookmarkStart w:id="2" w:name="bookmark=id.gjdgxs" w:colFirst="0" w:colLast="0"/>
      <w:bookmarkEnd w:id="2"/>
      <w:r w:rsidRPr="00495DBE">
        <w:rPr>
          <w:rFonts w:ascii="Palatino Linotype" w:eastAsia="Palatino Linotype" w:hAnsi="Palatino Linotype" w:cs="Palatino Linotype"/>
          <w:b/>
          <w:i/>
          <w:sz w:val="22"/>
          <w:szCs w:val="22"/>
        </w:rPr>
        <w:t>1.</w:t>
      </w:r>
      <w:r w:rsidRPr="00495DBE">
        <w:rPr>
          <w:rFonts w:ascii="Palatino Linotype" w:eastAsia="Palatino Linotype" w:hAnsi="Palatino Linotype" w:cs="Palatino Linotype"/>
          <w:i/>
          <w:sz w:val="22"/>
          <w:szCs w:val="22"/>
        </w:rPr>
        <w:t xml:space="preserve"> Loc. lat. que significa literalmente ‘carrera de la vida’. Se usa como locución nominal masculina para designar la relación de los datos personales, </w:t>
      </w:r>
      <w:r w:rsidRPr="00495DBE">
        <w:rPr>
          <w:rFonts w:ascii="Palatino Linotype" w:eastAsia="Palatino Linotype" w:hAnsi="Palatino Linotype" w:cs="Palatino Linotype"/>
          <w:b/>
          <w:i/>
          <w:sz w:val="22"/>
          <w:szCs w:val="22"/>
        </w:rPr>
        <w:t>formación académica</w:t>
      </w:r>
      <w:r w:rsidRPr="00495DBE">
        <w:rPr>
          <w:rFonts w:ascii="Palatino Linotype" w:eastAsia="Palatino Linotype" w:hAnsi="Palatino Linotype" w:cs="Palatino Linotype"/>
          <w:i/>
          <w:sz w:val="22"/>
          <w:szCs w:val="22"/>
        </w:rPr>
        <w:t>, actividad laboral y méritos de una persona.</w:t>
      </w:r>
      <w:r w:rsidRPr="00495DBE">
        <w:rPr>
          <w:rFonts w:ascii="Palatino Linotype" w:eastAsia="Palatino Linotype" w:hAnsi="Palatino Linotype" w:cs="Palatino Linotype"/>
          <w:sz w:val="22"/>
          <w:szCs w:val="22"/>
        </w:rPr>
        <w:t>”</w:t>
      </w:r>
    </w:p>
    <w:p w14:paraId="4A7B6383" w14:textId="77777777" w:rsidR="00835735" w:rsidRPr="00495DBE" w:rsidRDefault="0083573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7AA58469" w14:textId="77777777" w:rsidR="00835735" w:rsidRPr="00495DBE" w:rsidRDefault="0071539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De la interpretación a esta definición se desprende que tanto la ficha curricular como el </w:t>
      </w:r>
      <w:proofErr w:type="spellStart"/>
      <w:r w:rsidRPr="00495DBE">
        <w:rPr>
          <w:rFonts w:ascii="Palatino Linotype" w:eastAsia="Palatino Linotype" w:hAnsi="Palatino Linotype" w:cs="Palatino Linotype"/>
          <w:sz w:val="22"/>
          <w:szCs w:val="22"/>
        </w:rPr>
        <w:t>curriculum</w:t>
      </w:r>
      <w:proofErr w:type="spellEnd"/>
      <w:r w:rsidRPr="00495DBE">
        <w:rPr>
          <w:rFonts w:ascii="Palatino Linotype" w:eastAsia="Palatino Linotype" w:hAnsi="Palatino Linotype" w:cs="Palatino Linotype"/>
          <w:sz w:val="22"/>
          <w:szCs w:val="22"/>
        </w:rPr>
        <w:t xml:space="preserve"> vitae están relacionados con la hoja de vida, carrera de vida o </w:t>
      </w:r>
      <w:proofErr w:type="spellStart"/>
      <w:r w:rsidRPr="00495DBE">
        <w:rPr>
          <w:rFonts w:ascii="Palatino Linotype" w:eastAsia="Palatino Linotype" w:hAnsi="Palatino Linotype" w:cs="Palatino Linotype"/>
          <w:sz w:val="22"/>
          <w:szCs w:val="22"/>
        </w:rPr>
        <w:t>currícula</w:t>
      </w:r>
      <w:proofErr w:type="spellEnd"/>
      <w:r w:rsidRPr="00495DBE">
        <w:rPr>
          <w:rFonts w:ascii="Palatino Linotype" w:eastAsia="Palatino Linotype" w:hAnsi="Palatino Linotype" w:cs="Palatino Linotype"/>
          <w:sz w:val="22"/>
          <w:szCs w:val="22"/>
        </w:rPr>
        <w:t xml:space="preserve"> de una persona, donde se podría apreciar la preparación académica y laboral que tiene, además de los méritos como bien lo podrían ser cursos o certificaciones.</w:t>
      </w:r>
    </w:p>
    <w:p w14:paraId="3AD59898" w14:textId="77777777" w:rsidR="00835735" w:rsidRPr="00495DBE" w:rsidRDefault="0083573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F4BE127" w14:textId="77777777" w:rsidR="00835735" w:rsidRPr="00495DBE" w:rsidRDefault="0071539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Por ende, la ficha curricular o currículum vítae puede existir información más detallada y relacionada con la </w:t>
      </w:r>
      <w:r w:rsidRPr="00495DBE">
        <w:rPr>
          <w:rFonts w:ascii="Palatino Linotype" w:eastAsia="Palatino Linotype" w:hAnsi="Palatino Linotype" w:cs="Palatino Linotype"/>
          <w:b/>
          <w:sz w:val="22"/>
          <w:szCs w:val="22"/>
        </w:rPr>
        <w:t xml:space="preserve">trayectoria </w:t>
      </w:r>
      <w:proofErr w:type="gramStart"/>
      <w:r w:rsidRPr="00495DBE">
        <w:rPr>
          <w:rFonts w:ascii="Palatino Linotype" w:eastAsia="Palatino Linotype" w:hAnsi="Palatino Linotype" w:cs="Palatino Linotype"/>
          <w:b/>
          <w:sz w:val="22"/>
          <w:szCs w:val="22"/>
        </w:rPr>
        <w:t>académica,  profesional</w:t>
      </w:r>
      <w:proofErr w:type="gramEnd"/>
      <w:r w:rsidRPr="00495DBE">
        <w:rPr>
          <w:rFonts w:ascii="Palatino Linotype" w:eastAsia="Palatino Linotype" w:hAnsi="Palatino Linotype" w:cs="Palatino Linotype"/>
          <w:b/>
          <w:sz w:val="22"/>
          <w:szCs w:val="22"/>
        </w:rPr>
        <w:t xml:space="preserve"> y laboral.</w:t>
      </w:r>
    </w:p>
    <w:p w14:paraId="0D095828" w14:textId="77777777" w:rsidR="00835735" w:rsidRPr="00495DBE" w:rsidRDefault="00835735">
      <w:pPr>
        <w:pBdr>
          <w:top w:val="nil"/>
          <w:left w:val="nil"/>
          <w:bottom w:val="nil"/>
          <w:right w:val="nil"/>
          <w:between w:val="nil"/>
        </w:pBdr>
        <w:ind w:left="720"/>
        <w:rPr>
          <w:rFonts w:ascii="Palatino Linotype" w:eastAsia="Palatino Linotype" w:hAnsi="Palatino Linotype" w:cs="Palatino Linotype"/>
          <w:sz w:val="22"/>
          <w:szCs w:val="22"/>
        </w:rPr>
      </w:pPr>
    </w:p>
    <w:p w14:paraId="3A87B8D8" w14:textId="77777777" w:rsidR="00835735" w:rsidRPr="00495DBE" w:rsidRDefault="0071539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Es así que, la información contenida en el currículum vitae proporcionado por el Sujeto Obligado permite conocer el perfil profesional y laboral del servidor público, por lo que es información pública, incluso es considerada información pública de oficio contemplada en </w:t>
      </w:r>
      <w:r w:rsidRPr="00495DBE">
        <w:rPr>
          <w:rFonts w:ascii="Palatino Linotype" w:eastAsia="Palatino Linotype" w:hAnsi="Palatino Linotype" w:cs="Palatino Linotype"/>
          <w:sz w:val="22"/>
          <w:szCs w:val="22"/>
        </w:rPr>
        <w:lastRenderedPageBreak/>
        <w:t>la Ley de Transparencia y Acceso a la Información Pública del Estado de México y Municipios, en el artículo 92, fracción XXI.</w:t>
      </w:r>
    </w:p>
    <w:p w14:paraId="03CB06CC"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D068CC" w14:textId="77777777" w:rsidR="00835735" w:rsidRPr="00495DBE" w:rsidRDefault="0071539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En el presente asunto en particular, el Sujeto Obligado entregó la siguiente información:</w:t>
      </w:r>
    </w:p>
    <w:p w14:paraId="3C5125CA"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237B65" w14:textId="77777777" w:rsidR="00835735" w:rsidRPr="00495DBE" w:rsidRDefault="0071539A">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495DBE">
        <w:rPr>
          <w:rFonts w:ascii="Palatino Linotype" w:eastAsia="Palatino Linotype" w:hAnsi="Palatino Linotype" w:cs="Palatino Linotype"/>
          <w:noProof/>
          <w:sz w:val="22"/>
          <w:szCs w:val="22"/>
          <w:lang w:val="es-MX" w:eastAsia="es-MX"/>
        </w:rPr>
        <w:drawing>
          <wp:inline distT="0" distB="0" distL="0" distR="0" wp14:anchorId="56FA3E33" wp14:editId="593100FE">
            <wp:extent cx="5325218" cy="3229426"/>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25218" cy="3229426"/>
                    </a:xfrm>
                    <a:prstGeom prst="rect">
                      <a:avLst/>
                    </a:prstGeom>
                    <a:ln/>
                  </pic:spPr>
                </pic:pic>
              </a:graphicData>
            </a:graphic>
          </wp:inline>
        </w:drawing>
      </w:r>
    </w:p>
    <w:p w14:paraId="3C419055" w14:textId="77777777" w:rsidR="00835735" w:rsidRPr="00495DBE" w:rsidRDefault="0071539A">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495DBE">
        <w:rPr>
          <w:rFonts w:ascii="Palatino Linotype" w:eastAsia="Palatino Linotype" w:hAnsi="Palatino Linotype" w:cs="Palatino Linotype"/>
          <w:noProof/>
          <w:sz w:val="22"/>
          <w:szCs w:val="22"/>
          <w:lang w:val="es-MX" w:eastAsia="es-MX"/>
        </w:rPr>
        <w:lastRenderedPageBreak/>
        <w:drawing>
          <wp:inline distT="0" distB="0" distL="0" distR="0" wp14:anchorId="480001A4" wp14:editId="434BC399">
            <wp:extent cx="4353533" cy="386769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353533" cy="3867690"/>
                    </a:xfrm>
                    <a:prstGeom prst="rect">
                      <a:avLst/>
                    </a:prstGeom>
                    <a:ln/>
                  </pic:spPr>
                </pic:pic>
              </a:graphicData>
            </a:graphic>
          </wp:inline>
        </w:drawing>
      </w:r>
    </w:p>
    <w:p w14:paraId="3A4AE106"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A77C58" w14:textId="77777777" w:rsidR="00835735" w:rsidRPr="00495DBE" w:rsidRDefault="0071539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Tal y como se aprecia, la información proporcionada por el Sujeto Obligado se da cuenta del grado de estudios y la experiencia con la que cuentan los servidores públicos referidos por el Sujeto Obligado, los cuales, como se ha dicho, cuentan con los cargos Titular de la </w:t>
      </w:r>
      <w:proofErr w:type="spellStart"/>
      <w:r w:rsidRPr="00495DBE">
        <w:rPr>
          <w:rFonts w:ascii="Palatino Linotype" w:eastAsia="Palatino Linotype" w:hAnsi="Palatino Linotype" w:cs="Palatino Linotype"/>
          <w:sz w:val="22"/>
          <w:szCs w:val="22"/>
        </w:rPr>
        <w:t>Subcontraloría</w:t>
      </w:r>
      <w:proofErr w:type="spellEnd"/>
      <w:r w:rsidRPr="00495DBE">
        <w:rPr>
          <w:rFonts w:ascii="Palatino Linotype" w:eastAsia="Palatino Linotype" w:hAnsi="Palatino Linotype" w:cs="Palatino Linotype"/>
          <w:sz w:val="22"/>
          <w:szCs w:val="22"/>
        </w:rPr>
        <w:t xml:space="preserve"> Substanciadora y Resolutora y Titular de la </w:t>
      </w:r>
      <w:proofErr w:type="spellStart"/>
      <w:r w:rsidRPr="00495DBE">
        <w:rPr>
          <w:rFonts w:ascii="Palatino Linotype" w:eastAsia="Palatino Linotype" w:hAnsi="Palatino Linotype" w:cs="Palatino Linotype"/>
          <w:sz w:val="22"/>
          <w:szCs w:val="22"/>
        </w:rPr>
        <w:t>Subcontraloría</w:t>
      </w:r>
      <w:proofErr w:type="spellEnd"/>
      <w:r w:rsidRPr="00495DBE">
        <w:rPr>
          <w:rFonts w:ascii="Palatino Linotype" w:eastAsia="Palatino Linotype" w:hAnsi="Palatino Linotype" w:cs="Palatino Linotype"/>
          <w:sz w:val="22"/>
          <w:szCs w:val="22"/>
        </w:rPr>
        <w:t xml:space="preserve"> Investigadora del Organismo de Agua, con lo que se atiende los requerimientos del particular.</w:t>
      </w:r>
    </w:p>
    <w:p w14:paraId="655A1BA6"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E3ADC8" w14:textId="77777777" w:rsidR="00835735" w:rsidRPr="00495DBE" w:rsidRDefault="0071539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Ahora bien, por lo que corresponde al nombramiento, es necesario traer a contexto la Ley del Trabajo de los Servidores Públicos del Estado y Municipios, la cual en su cuerpo normativo precisa que: </w:t>
      </w:r>
    </w:p>
    <w:p w14:paraId="558EC2DF"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D6D075" w14:textId="77777777" w:rsidR="00835735" w:rsidRPr="00495DBE" w:rsidRDefault="0071539A">
      <w:pPr>
        <w:pBdr>
          <w:top w:val="nil"/>
          <w:left w:val="nil"/>
          <w:bottom w:val="nil"/>
          <w:right w:val="nil"/>
          <w:between w:val="nil"/>
        </w:pBdr>
        <w:ind w:left="567"/>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i/>
          <w:sz w:val="22"/>
          <w:szCs w:val="22"/>
        </w:rPr>
        <w:t>“ARTÍCULO 5.-</w:t>
      </w:r>
      <w:r w:rsidRPr="00495DBE">
        <w:rPr>
          <w:rFonts w:ascii="Palatino Linotype" w:eastAsia="Palatino Linotype" w:hAnsi="Palatino Linotype" w:cs="Palatino Linotype"/>
          <w:i/>
          <w:sz w:val="22"/>
          <w:szCs w:val="22"/>
        </w:rPr>
        <w:t xml:space="preserve"> La relación de trabajo entre las instituciones públicas y sus servidores públicos se entiende establecida mediante </w:t>
      </w:r>
      <w:r w:rsidRPr="00495DBE">
        <w:rPr>
          <w:rFonts w:ascii="Palatino Linotype" w:eastAsia="Palatino Linotype" w:hAnsi="Palatino Linotype" w:cs="Palatino Linotype"/>
          <w:b/>
          <w:i/>
          <w:sz w:val="22"/>
          <w:szCs w:val="22"/>
        </w:rPr>
        <w:t>nombramiento,</w:t>
      </w:r>
      <w:r w:rsidRPr="00495DBE">
        <w:rPr>
          <w:rFonts w:ascii="Palatino Linotype" w:eastAsia="Palatino Linotype" w:hAnsi="Palatino Linotype" w:cs="Palatino Linotype"/>
          <w:i/>
          <w:sz w:val="22"/>
          <w:szCs w:val="22"/>
        </w:rPr>
        <w:t xml:space="preserve">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w:t>
      </w:r>
    </w:p>
    <w:p w14:paraId="2C08047A" w14:textId="77777777" w:rsidR="00835735" w:rsidRPr="00495DBE" w:rsidRDefault="00835735">
      <w:pPr>
        <w:pBdr>
          <w:top w:val="nil"/>
          <w:left w:val="nil"/>
          <w:bottom w:val="nil"/>
          <w:right w:val="nil"/>
          <w:between w:val="nil"/>
        </w:pBdr>
        <w:ind w:left="567"/>
        <w:jc w:val="both"/>
      </w:pPr>
    </w:p>
    <w:p w14:paraId="4AA08C58" w14:textId="77777777" w:rsidR="00835735" w:rsidRPr="00495DBE" w:rsidRDefault="0071539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 xml:space="preserve">ARTÍCULO 45.- </w:t>
      </w:r>
      <w:r w:rsidRPr="00495DBE">
        <w:rPr>
          <w:rFonts w:ascii="Palatino Linotype" w:eastAsia="Palatino Linotype" w:hAnsi="Palatino Linotype" w:cs="Palatino Linotype"/>
          <w:b/>
          <w:i/>
          <w:sz w:val="22"/>
          <w:szCs w:val="22"/>
        </w:rPr>
        <w:t>Los servidores públicos prestarán sus servicios mediante nombramiento</w:t>
      </w:r>
      <w:r w:rsidRPr="00495DBE">
        <w:rPr>
          <w:rFonts w:ascii="Palatino Linotype" w:eastAsia="Palatino Linotype" w:hAnsi="Palatino Linotype" w:cs="Palatino Linotype"/>
          <w:i/>
          <w:sz w:val="22"/>
          <w:szCs w:val="22"/>
        </w:rPr>
        <w:t>, contrato o formato único de Movimientos de Personal expedidos por quien estuviere facultado legalmente para extenderlo.</w:t>
      </w:r>
    </w:p>
    <w:p w14:paraId="0C34E583" w14:textId="77777777" w:rsidR="00835735" w:rsidRPr="00495DBE" w:rsidRDefault="0071539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w:t>
      </w:r>
    </w:p>
    <w:p w14:paraId="64558863" w14:textId="77777777" w:rsidR="00835735" w:rsidRPr="00495DBE" w:rsidRDefault="0071539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 xml:space="preserve">ARTÍCULO 48. Para iniciar la prestación de los servicios se requiere: </w:t>
      </w:r>
    </w:p>
    <w:p w14:paraId="405E27D7" w14:textId="77777777" w:rsidR="00835735" w:rsidRPr="00495DBE" w:rsidRDefault="0071539A">
      <w:pPr>
        <w:pBdr>
          <w:top w:val="nil"/>
          <w:left w:val="nil"/>
          <w:bottom w:val="nil"/>
          <w:right w:val="nil"/>
          <w:between w:val="nil"/>
        </w:pBdr>
        <w:spacing w:line="360" w:lineRule="auto"/>
        <w:ind w:left="567" w:right="616"/>
        <w:jc w:val="both"/>
        <w:rPr>
          <w:rFonts w:ascii="Palatino Linotype" w:eastAsia="Palatino Linotype" w:hAnsi="Palatino Linotype" w:cs="Palatino Linotype"/>
          <w:b/>
          <w:i/>
          <w:sz w:val="22"/>
          <w:szCs w:val="22"/>
        </w:rPr>
      </w:pPr>
      <w:r w:rsidRPr="00495DBE">
        <w:rPr>
          <w:rFonts w:ascii="Palatino Linotype" w:eastAsia="Palatino Linotype" w:hAnsi="Palatino Linotype" w:cs="Palatino Linotype"/>
          <w:i/>
          <w:sz w:val="22"/>
          <w:szCs w:val="22"/>
        </w:rPr>
        <w:t xml:space="preserve">I. </w:t>
      </w:r>
      <w:r w:rsidRPr="00495DBE">
        <w:rPr>
          <w:rFonts w:ascii="Palatino Linotype" w:eastAsia="Palatino Linotype" w:hAnsi="Palatino Linotype" w:cs="Palatino Linotype"/>
          <w:b/>
          <w:i/>
          <w:sz w:val="22"/>
          <w:szCs w:val="22"/>
        </w:rPr>
        <w:t>Tener conferido el nombramiento</w:t>
      </w:r>
      <w:r w:rsidRPr="00495DBE">
        <w:rPr>
          <w:rFonts w:ascii="Palatino Linotype" w:eastAsia="Palatino Linotype" w:hAnsi="Palatino Linotype" w:cs="Palatino Linotype"/>
          <w:i/>
          <w:sz w:val="22"/>
          <w:szCs w:val="22"/>
        </w:rPr>
        <w:t xml:space="preserve">, </w:t>
      </w:r>
      <w:r w:rsidRPr="00495DBE">
        <w:rPr>
          <w:rFonts w:ascii="Palatino Linotype" w:eastAsia="Palatino Linotype" w:hAnsi="Palatino Linotype" w:cs="Palatino Linotype"/>
          <w:b/>
          <w:i/>
          <w:sz w:val="22"/>
          <w:szCs w:val="22"/>
        </w:rPr>
        <w:t xml:space="preserve">contrato respectivo o formato único de Movimientos de Personal; </w:t>
      </w:r>
    </w:p>
    <w:p w14:paraId="772B2FD4" w14:textId="77777777" w:rsidR="00835735" w:rsidRPr="00495DBE" w:rsidRDefault="0071539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 xml:space="preserve">II. Rendir la protesta de ley en caso de nombramiento; y </w:t>
      </w:r>
    </w:p>
    <w:p w14:paraId="4ED6D838" w14:textId="77777777" w:rsidR="00835735" w:rsidRPr="00495DBE" w:rsidRDefault="0071539A">
      <w:pPr>
        <w:pBdr>
          <w:top w:val="nil"/>
          <w:left w:val="nil"/>
          <w:bottom w:val="nil"/>
          <w:right w:val="nil"/>
          <w:between w:val="nil"/>
        </w:pBdr>
        <w:spacing w:line="360" w:lineRule="auto"/>
        <w:ind w:left="567" w:right="616"/>
        <w:jc w:val="both"/>
        <w:rPr>
          <w:rFonts w:ascii="Palatino Linotype" w:eastAsia="Palatino Linotype" w:hAnsi="Palatino Linotype" w:cs="Palatino Linotype"/>
          <w:b/>
          <w:i/>
          <w:sz w:val="22"/>
          <w:szCs w:val="22"/>
        </w:rPr>
      </w:pPr>
      <w:r w:rsidRPr="00495DBE">
        <w:rPr>
          <w:rFonts w:ascii="Palatino Linotype" w:eastAsia="Palatino Linotype" w:hAnsi="Palatino Linotype" w:cs="Palatino Linotype"/>
          <w:b/>
          <w:i/>
          <w:sz w:val="22"/>
          <w:szCs w:val="22"/>
        </w:rPr>
        <w:t>III. Tomar posesión del cargo.</w:t>
      </w:r>
    </w:p>
    <w:p w14:paraId="2331AE18" w14:textId="77777777" w:rsidR="00835735" w:rsidRPr="00495DBE" w:rsidRDefault="00835735">
      <w:pPr>
        <w:pBdr>
          <w:top w:val="nil"/>
          <w:left w:val="nil"/>
          <w:bottom w:val="nil"/>
          <w:right w:val="nil"/>
          <w:between w:val="nil"/>
        </w:pBdr>
        <w:ind w:left="567"/>
        <w:jc w:val="both"/>
      </w:pPr>
    </w:p>
    <w:p w14:paraId="43F088B7" w14:textId="77777777" w:rsidR="00835735" w:rsidRPr="00495DBE" w:rsidRDefault="0071539A">
      <w:pPr>
        <w:pBdr>
          <w:top w:val="nil"/>
          <w:left w:val="nil"/>
          <w:bottom w:val="nil"/>
          <w:right w:val="nil"/>
          <w:between w:val="nil"/>
        </w:pBdr>
        <w:ind w:left="567"/>
        <w:jc w:val="both"/>
      </w:pPr>
      <w:r w:rsidRPr="00495DBE">
        <w:rPr>
          <w:rFonts w:ascii="Palatino Linotype" w:eastAsia="Palatino Linotype" w:hAnsi="Palatino Linotype" w:cs="Palatino Linotype"/>
          <w:b/>
          <w:i/>
          <w:sz w:val="22"/>
          <w:szCs w:val="22"/>
        </w:rPr>
        <w:t>…</w:t>
      </w:r>
    </w:p>
    <w:p w14:paraId="7DB99E95" w14:textId="77777777" w:rsidR="00835735" w:rsidRPr="00495DBE" w:rsidRDefault="0071539A">
      <w:pPr>
        <w:pBdr>
          <w:top w:val="nil"/>
          <w:left w:val="nil"/>
          <w:bottom w:val="nil"/>
          <w:right w:val="nil"/>
          <w:between w:val="nil"/>
        </w:pBdr>
        <w:ind w:left="567" w:right="560"/>
        <w:jc w:val="both"/>
      </w:pPr>
      <w:r w:rsidRPr="00495DBE">
        <w:rPr>
          <w:rFonts w:ascii="Palatino Linotype" w:eastAsia="Palatino Linotype" w:hAnsi="Palatino Linotype" w:cs="Palatino Linotype"/>
          <w:b/>
          <w:i/>
          <w:sz w:val="22"/>
          <w:szCs w:val="22"/>
        </w:rPr>
        <w:t>ARTÍCULO 49.-</w:t>
      </w:r>
      <w:r w:rsidRPr="00495DBE">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14:paraId="5505AC9E" w14:textId="77777777" w:rsidR="00835735" w:rsidRPr="00495DBE" w:rsidRDefault="0071539A">
      <w:pPr>
        <w:pBdr>
          <w:top w:val="nil"/>
          <w:left w:val="nil"/>
          <w:bottom w:val="nil"/>
          <w:right w:val="nil"/>
          <w:between w:val="nil"/>
        </w:pBdr>
        <w:ind w:left="567" w:right="560"/>
        <w:jc w:val="both"/>
      </w:pPr>
      <w:r w:rsidRPr="00495DBE">
        <w:rPr>
          <w:rFonts w:ascii="Palatino Linotype" w:eastAsia="Palatino Linotype" w:hAnsi="Palatino Linotype" w:cs="Palatino Linotype"/>
          <w:i/>
          <w:sz w:val="22"/>
          <w:szCs w:val="22"/>
        </w:rPr>
        <w:t>I. Nombre completo del servidor público;</w:t>
      </w:r>
    </w:p>
    <w:p w14:paraId="55BC1837" w14:textId="77777777" w:rsidR="00835735" w:rsidRPr="00495DBE" w:rsidRDefault="0071539A">
      <w:pPr>
        <w:pBdr>
          <w:top w:val="nil"/>
          <w:left w:val="nil"/>
          <w:bottom w:val="nil"/>
          <w:right w:val="nil"/>
          <w:between w:val="nil"/>
        </w:pBdr>
        <w:ind w:left="567" w:right="560"/>
        <w:jc w:val="both"/>
      </w:pPr>
      <w:r w:rsidRPr="00495DBE">
        <w:rPr>
          <w:rFonts w:ascii="Palatino Linotype" w:eastAsia="Palatino Linotype" w:hAnsi="Palatino Linotype" w:cs="Palatino Linotype"/>
          <w:i/>
          <w:sz w:val="22"/>
          <w:szCs w:val="22"/>
        </w:rPr>
        <w:t xml:space="preserve">II. Cargo para el que es designado, </w:t>
      </w:r>
      <w:r w:rsidRPr="00495DBE">
        <w:rPr>
          <w:rFonts w:ascii="Palatino Linotype" w:eastAsia="Palatino Linotype" w:hAnsi="Palatino Linotype" w:cs="Palatino Linotype"/>
          <w:b/>
          <w:i/>
          <w:sz w:val="22"/>
          <w:szCs w:val="22"/>
          <w:u w:val="single"/>
        </w:rPr>
        <w:t>fecha de inicio de sus servicios</w:t>
      </w:r>
      <w:r w:rsidRPr="00495DBE">
        <w:rPr>
          <w:rFonts w:ascii="Palatino Linotype" w:eastAsia="Palatino Linotype" w:hAnsi="Palatino Linotype" w:cs="Palatino Linotype"/>
          <w:i/>
          <w:sz w:val="22"/>
          <w:szCs w:val="22"/>
        </w:rPr>
        <w:t xml:space="preserve"> y lugar de adscripción; </w:t>
      </w:r>
    </w:p>
    <w:p w14:paraId="2BF9E89F" w14:textId="77777777" w:rsidR="00835735" w:rsidRPr="00495DBE" w:rsidRDefault="0071539A">
      <w:pPr>
        <w:pBdr>
          <w:top w:val="nil"/>
          <w:left w:val="nil"/>
          <w:bottom w:val="nil"/>
          <w:right w:val="nil"/>
          <w:between w:val="nil"/>
        </w:pBdr>
        <w:ind w:left="567" w:right="560"/>
        <w:jc w:val="both"/>
      </w:pPr>
      <w:r w:rsidRPr="00495DBE">
        <w:rPr>
          <w:rFonts w:ascii="Palatino Linotype" w:eastAsia="Palatino Linotype" w:hAnsi="Palatino Linotype" w:cs="Palatino Linotype"/>
          <w:i/>
          <w:sz w:val="22"/>
          <w:szCs w:val="22"/>
        </w:rPr>
        <w:lastRenderedPageBreak/>
        <w:t>III. Carácter del nombramiento, ya sea de servidores públicos generales o de confianza, así como la temporalidad del mismo; </w:t>
      </w:r>
    </w:p>
    <w:p w14:paraId="2D5DF228" w14:textId="77777777" w:rsidR="00835735" w:rsidRPr="00495DBE" w:rsidRDefault="0071539A">
      <w:pPr>
        <w:pBdr>
          <w:top w:val="nil"/>
          <w:left w:val="nil"/>
          <w:bottom w:val="nil"/>
          <w:right w:val="nil"/>
          <w:between w:val="nil"/>
        </w:pBdr>
        <w:ind w:left="567" w:right="560"/>
        <w:jc w:val="both"/>
      </w:pPr>
      <w:r w:rsidRPr="00495DBE">
        <w:rPr>
          <w:rFonts w:ascii="Palatino Linotype" w:eastAsia="Palatino Linotype" w:hAnsi="Palatino Linotype" w:cs="Palatino Linotype"/>
          <w:i/>
          <w:sz w:val="22"/>
          <w:szCs w:val="22"/>
        </w:rPr>
        <w:t>IV. Remuneración correspondiente al puesto; </w:t>
      </w:r>
    </w:p>
    <w:p w14:paraId="081FAC92" w14:textId="77777777" w:rsidR="00835735" w:rsidRPr="00495DBE" w:rsidRDefault="0071539A">
      <w:pPr>
        <w:pBdr>
          <w:top w:val="nil"/>
          <w:left w:val="nil"/>
          <w:bottom w:val="nil"/>
          <w:right w:val="nil"/>
          <w:between w:val="nil"/>
        </w:pBdr>
        <w:ind w:left="567" w:right="560"/>
        <w:jc w:val="both"/>
      </w:pPr>
      <w:r w:rsidRPr="00495DBE">
        <w:rPr>
          <w:rFonts w:ascii="Palatino Linotype" w:eastAsia="Palatino Linotype" w:hAnsi="Palatino Linotype" w:cs="Palatino Linotype"/>
          <w:i/>
          <w:sz w:val="22"/>
          <w:szCs w:val="22"/>
        </w:rPr>
        <w:t>V. Jornada de trabajo; </w:t>
      </w:r>
    </w:p>
    <w:p w14:paraId="422C0DD1" w14:textId="77777777" w:rsidR="00835735" w:rsidRPr="00495DBE" w:rsidRDefault="0071539A">
      <w:pPr>
        <w:pBdr>
          <w:top w:val="nil"/>
          <w:left w:val="nil"/>
          <w:bottom w:val="nil"/>
          <w:right w:val="nil"/>
          <w:between w:val="nil"/>
        </w:pBdr>
        <w:ind w:left="567" w:right="560"/>
        <w:jc w:val="both"/>
      </w:pPr>
      <w:r w:rsidRPr="00495DBE">
        <w:rPr>
          <w:rFonts w:ascii="Palatino Linotype" w:eastAsia="Palatino Linotype" w:hAnsi="Palatino Linotype" w:cs="Palatino Linotype"/>
          <w:i/>
          <w:sz w:val="22"/>
          <w:szCs w:val="22"/>
        </w:rPr>
        <w:t>VI. Derogada; </w:t>
      </w:r>
    </w:p>
    <w:p w14:paraId="2F1AEE48" w14:textId="77777777" w:rsidR="00835735" w:rsidRPr="00495DBE" w:rsidRDefault="0071539A">
      <w:pPr>
        <w:pBdr>
          <w:top w:val="nil"/>
          <w:left w:val="nil"/>
          <w:bottom w:val="nil"/>
          <w:right w:val="nil"/>
          <w:between w:val="nil"/>
        </w:pBdr>
        <w:ind w:left="567" w:right="560"/>
        <w:jc w:val="both"/>
      </w:pPr>
      <w:r w:rsidRPr="00495DBE">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 (Énfasis añadido)</w:t>
      </w:r>
    </w:p>
    <w:p w14:paraId="37341474" w14:textId="77777777" w:rsidR="00835735" w:rsidRPr="00495DBE" w:rsidRDefault="0071539A">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Por lo anteriormente expuesto, se estima la relación laboral entre los servidores públicos y las entidades públicas se tiene por establecida mediante el nombramiento, formato único de movimientos o contrato, por lo que es información que debe generar, administrar o poseer la autoridad correspondiente, ya que de acuerdo al 98, fracción XVIII del citado ordenamiento legal, pues la institución pública tiene la atribución de integrar los expedientes de los servidores públicos.</w:t>
      </w:r>
    </w:p>
    <w:p w14:paraId="640166E0" w14:textId="77777777" w:rsidR="00835735" w:rsidRPr="00495DBE" w:rsidRDefault="0071539A">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Dicho lo anterior, el Sujeto Obligado entregó los siguientes nombramientos:</w:t>
      </w:r>
    </w:p>
    <w:p w14:paraId="24D49D2E" w14:textId="77777777" w:rsidR="00835735" w:rsidRPr="00495DBE" w:rsidRDefault="00835735">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p>
    <w:p w14:paraId="0B9EC694" w14:textId="77777777" w:rsidR="00835735" w:rsidRPr="00495DBE" w:rsidRDefault="0071539A">
      <w:pPr>
        <w:pBdr>
          <w:top w:val="nil"/>
          <w:left w:val="nil"/>
          <w:bottom w:val="nil"/>
          <w:right w:val="nil"/>
          <w:between w:val="nil"/>
        </w:pBdr>
        <w:spacing w:before="280" w:after="280" w:line="360" w:lineRule="auto"/>
        <w:ind w:right="49"/>
        <w:jc w:val="center"/>
        <w:rPr>
          <w:rFonts w:ascii="Palatino Linotype" w:eastAsia="Palatino Linotype" w:hAnsi="Palatino Linotype" w:cs="Palatino Linotype"/>
          <w:sz w:val="22"/>
          <w:szCs w:val="22"/>
        </w:rPr>
      </w:pPr>
      <w:r w:rsidRPr="00495DBE">
        <w:rPr>
          <w:rFonts w:ascii="Palatino Linotype" w:eastAsia="Palatino Linotype" w:hAnsi="Palatino Linotype" w:cs="Palatino Linotype"/>
          <w:noProof/>
          <w:sz w:val="22"/>
          <w:szCs w:val="22"/>
          <w:lang w:val="es-MX" w:eastAsia="es-MX"/>
        </w:rPr>
        <w:lastRenderedPageBreak/>
        <w:drawing>
          <wp:inline distT="0" distB="0" distL="0" distR="0" wp14:anchorId="4C9BA850" wp14:editId="0A94D5D7">
            <wp:extent cx="4309711" cy="6185992"/>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309711" cy="6185992"/>
                    </a:xfrm>
                    <a:prstGeom prst="rect">
                      <a:avLst/>
                    </a:prstGeom>
                    <a:ln/>
                  </pic:spPr>
                </pic:pic>
              </a:graphicData>
            </a:graphic>
          </wp:inline>
        </w:drawing>
      </w:r>
    </w:p>
    <w:p w14:paraId="6534DF93" w14:textId="77777777" w:rsidR="00835735" w:rsidRPr="00495DBE" w:rsidRDefault="0071539A">
      <w:pPr>
        <w:pBdr>
          <w:top w:val="nil"/>
          <w:left w:val="nil"/>
          <w:bottom w:val="nil"/>
          <w:right w:val="nil"/>
          <w:between w:val="nil"/>
        </w:pBdr>
        <w:spacing w:before="280" w:after="280" w:line="360" w:lineRule="auto"/>
        <w:ind w:right="49"/>
        <w:jc w:val="center"/>
        <w:rPr>
          <w:rFonts w:ascii="Palatino Linotype" w:eastAsia="Palatino Linotype" w:hAnsi="Palatino Linotype" w:cs="Palatino Linotype"/>
          <w:sz w:val="22"/>
          <w:szCs w:val="22"/>
        </w:rPr>
      </w:pPr>
      <w:r w:rsidRPr="00495DBE">
        <w:rPr>
          <w:rFonts w:ascii="Palatino Linotype" w:eastAsia="Palatino Linotype" w:hAnsi="Palatino Linotype" w:cs="Palatino Linotype"/>
          <w:noProof/>
          <w:sz w:val="22"/>
          <w:szCs w:val="22"/>
          <w:lang w:val="es-MX" w:eastAsia="es-MX"/>
        </w:rPr>
        <w:lastRenderedPageBreak/>
        <w:drawing>
          <wp:inline distT="0" distB="0" distL="0" distR="0" wp14:anchorId="0ADC453E" wp14:editId="3F590E7A">
            <wp:extent cx="4398911" cy="6128193"/>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398911" cy="6128193"/>
                    </a:xfrm>
                    <a:prstGeom prst="rect">
                      <a:avLst/>
                    </a:prstGeom>
                    <a:ln/>
                  </pic:spPr>
                </pic:pic>
              </a:graphicData>
            </a:graphic>
          </wp:inline>
        </w:drawing>
      </w:r>
    </w:p>
    <w:p w14:paraId="3871F301" w14:textId="77777777" w:rsidR="00835735" w:rsidRPr="00495DBE" w:rsidRDefault="0071539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 xml:space="preserve">La información proporcionada corresponde a los nombramientos de los servidores públicos con cargos de Titular de la </w:t>
      </w:r>
      <w:proofErr w:type="spellStart"/>
      <w:r w:rsidRPr="00495DBE">
        <w:rPr>
          <w:rFonts w:ascii="Palatino Linotype" w:eastAsia="Palatino Linotype" w:hAnsi="Palatino Linotype" w:cs="Palatino Linotype"/>
          <w:sz w:val="22"/>
          <w:szCs w:val="22"/>
        </w:rPr>
        <w:t>Subcontraloría</w:t>
      </w:r>
      <w:proofErr w:type="spellEnd"/>
      <w:r w:rsidRPr="00495DBE">
        <w:rPr>
          <w:rFonts w:ascii="Palatino Linotype" w:eastAsia="Palatino Linotype" w:hAnsi="Palatino Linotype" w:cs="Palatino Linotype"/>
          <w:sz w:val="22"/>
          <w:szCs w:val="22"/>
        </w:rPr>
        <w:t xml:space="preserve"> Substanciadora y Resolutora y Titular de la </w:t>
      </w:r>
      <w:proofErr w:type="spellStart"/>
      <w:r w:rsidRPr="00495DBE">
        <w:rPr>
          <w:rFonts w:ascii="Palatino Linotype" w:eastAsia="Palatino Linotype" w:hAnsi="Palatino Linotype" w:cs="Palatino Linotype"/>
          <w:sz w:val="22"/>
          <w:szCs w:val="22"/>
        </w:rPr>
        <w:t>Subcontraloría</w:t>
      </w:r>
      <w:proofErr w:type="spellEnd"/>
      <w:r w:rsidRPr="00495DBE">
        <w:rPr>
          <w:rFonts w:ascii="Palatino Linotype" w:eastAsia="Palatino Linotype" w:hAnsi="Palatino Linotype" w:cs="Palatino Linotype"/>
          <w:sz w:val="22"/>
          <w:szCs w:val="22"/>
        </w:rPr>
        <w:t xml:space="preserve"> Investigadora del Organismo de Agua, con lo que se atiende los requerimientos del particular. </w:t>
      </w:r>
    </w:p>
    <w:p w14:paraId="068436B9"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9340404" w14:textId="77777777" w:rsidR="00835735" w:rsidRPr="00495DBE" w:rsidRDefault="0071539A">
      <w:pPr>
        <w:spacing w:line="360" w:lineRule="auto"/>
        <w:ind w:right="49"/>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En consecuencia, al haber existido un pronunciamiento por la Coordinación de Recursos Humanos que corresponde al área con atribuciones para generar, administrar o poseer la información requerida por el particular, respecto a la información del personal como grado de estudios, experiencia y nombramientos, es que no se puede dudar se la veracidad de la información proporcionada.</w:t>
      </w:r>
    </w:p>
    <w:p w14:paraId="7B8AD8C1" w14:textId="77777777" w:rsidR="00835735" w:rsidRPr="00495DBE" w:rsidRDefault="00835735">
      <w:pPr>
        <w:spacing w:line="360" w:lineRule="auto"/>
        <w:ind w:right="49"/>
        <w:jc w:val="both"/>
        <w:rPr>
          <w:rFonts w:ascii="Palatino Linotype" w:eastAsia="Palatino Linotype" w:hAnsi="Palatino Linotype" w:cs="Palatino Linotype"/>
          <w:sz w:val="22"/>
          <w:szCs w:val="22"/>
        </w:rPr>
      </w:pPr>
    </w:p>
    <w:p w14:paraId="18AA5303" w14:textId="77777777" w:rsidR="00835735" w:rsidRPr="00495DBE" w:rsidRDefault="0071539A">
      <w:pPr>
        <w:spacing w:line="360" w:lineRule="auto"/>
        <w:ind w:right="49"/>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Sirve de sustento lo establecido en el Criterio histórico 31/10 emitido por el Instituto Nacional de Transparencia, Acceso a la Información Pública y Protección de Datos Personales INAI (anteriormente IFAI), este organismo garante no puede dudar de la veracidad de la información que los sujetos obligados ponen a disposición de los particulares, el cual, se procede a citar a continuación: </w:t>
      </w:r>
    </w:p>
    <w:p w14:paraId="593F46F8" w14:textId="77777777" w:rsidR="00835735" w:rsidRPr="00495DBE" w:rsidRDefault="00835735">
      <w:pPr>
        <w:spacing w:line="360" w:lineRule="auto"/>
        <w:ind w:right="49"/>
        <w:jc w:val="both"/>
        <w:rPr>
          <w:rFonts w:ascii="Palatino Linotype" w:eastAsia="Palatino Linotype" w:hAnsi="Palatino Linotype" w:cs="Palatino Linotype"/>
          <w:sz w:val="22"/>
          <w:szCs w:val="22"/>
        </w:rPr>
      </w:pPr>
    </w:p>
    <w:p w14:paraId="6B9290BA" w14:textId="77777777" w:rsidR="00835735" w:rsidRPr="00495DBE" w:rsidRDefault="0071539A">
      <w:pPr>
        <w:tabs>
          <w:tab w:val="left" w:pos="8222"/>
        </w:tabs>
        <w:ind w:left="567" w:right="567"/>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95DBE">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495DBE">
        <w:rPr>
          <w:rFonts w:ascii="Palatino Linotype" w:eastAsia="Palatino Linotype" w:hAnsi="Palatino Linotype" w:cs="Palatino Linotype"/>
          <w:i/>
          <w:sz w:val="22"/>
          <w:szCs w:val="22"/>
        </w:rPr>
        <w:lastRenderedPageBreak/>
        <w:t>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0C71A57" w14:textId="77777777" w:rsidR="00835735" w:rsidRPr="00495DBE" w:rsidRDefault="00835735">
      <w:pPr>
        <w:tabs>
          <w:tab w:val="left" w:pos="8222"/>
        </w:tabs>
        <w:spacing w:line="360" w:lineRule="auto"/>
        <w:ind w:left="567" w:right="567"/>
        <w:jc w:val="both"/>
        <w:rPr>
          <w:rFonts w:ascii="Palatino Linotype" w:eastAsia="Palatino Linotype" w:hAnsi="Palatino Linotype" w:cs="Palatino Linotype"/>
          <w:i/>
          <w:sz w:val="22"/>
          <w:szCs w:val="22"/>
        </w:rPr>
      </w:pPr>
    </w:p>
    <w:p w14:paraId="214A75AA" w14:textId="77777777" w:rsidR="00835735" w:rsidRPr="00495DBE" w:rsidRDefault="0071539A">
      <w:pPr>
        <w:spacing w:line="360" w:lineRule="auto"/>
        <w:ind w:right="49"/>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Por lo que, este Organismo Garante carece de facultades para dudar de la veracidad de la información que el Sujeto Obligado puso a disposición de la parte Recurrente, razón por la que se tiene colmados los requerimientos mencionados, </w:t>
      </w:r>
      <w:r w:rsidRPr="00495DBE">
        <w:rPr>
          <w:rFonts w:ascii="Palatino Linotype" w:eastAsia="Palatino Linotype" w:hAnsi="Palatino Linotype" w:cs="Palatino Linotype"/>
          <w:b/>
          <w:sz w:val="22"/>
          <w:szCs w:val="22"/>
        </w:rPr>
        <w:t xml:space="preserve">al señalar que la información se proporcionó </w:t>
      </w:r>
      <w:proofErr w:type="gramStart"/>
      <w:r w:rsidRPr="00495DBE">
        <w:rPr>
          <w:rFonts w:ascii="Palatino Linotype" w:eastAsia="Palatino Linotype" w:hAnsi="Palatino Linotype" w:cs="Palatino Linotype"/>
          <w:b/>
          <w:sz w:val="22"/>
          <w:szCs w:val="22"/>
        </w:rPr>
        <w:t>el términos</w:t>
      </w:r>
      <w:proofErr w:type="gramEnd"/>
      <w:r w:rsidRPr="00495DBE">
        <w:rPr>
          <w:rFonts w:ascii="Palatino Linotype" w:eastAsia="Palatino Linotype" w:hAnsi="Palatino Linotype" w:cs="Palatino Linotype"/>
          <w:b/>
          <w:sz w:val="22"/>
          <w:szCs w:val="22"/>
        </w:rPr>
        <w:t xml:space="preserve"> del artículo 12 de la Ley de Transparencia y Acceso a la Información Pública del Estado de México y Municipios.</w:t>
      </w:r>
    </w:p>
    <w:p w14:paraId="4090D08D" w14:textId="77777777" w:rsidR="00835735" w:rsidRPr="00495DBE" w:rsidRDefault="00835735">
      <w:pPr>
        <w:spacing w:line="360" w:lineRule="auto"/>
        <w:ind w:right="49"/>
        <w:jc w:val="both"/>
        <w:rPr>
          <w:rFonts w:ascii="Palatino Linotype" w:eastAsia="Palatino Linotype" w:hAnsi="Palatino Linotype" w:cs="Palatino Linotype"/>
          <w:sz w:val="22"/>
          <w:szCs w:val="22"/>
        </w:rPr>
      </w:pPr>
    </w:p>
    <w:p w14:paraId="0E9D8A3E" w14:textId="77777777" w:rsidR="00835735" w:rsidRPr="00495DBE" w:rsidRDefault="0071539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Esta última manifestación del Sujeto Obligado cobra con relación al requerimiento identificado como “…</w:t>
      </w:r>
      <w:r w:rsidRPr="00495DBE">
        <w:rPr>
          <w:rFonts w:ascii="Palatino Linotype" w:eastAsia="Palatino Linotype" w:hAnsi="Palatino Linotype" w:cs="Palatino Linotype"/>
          <w:b/>
          <w:i/>
          <w:sz w:val="22"/>
          <w:szCs w:val="22"/>
          <w:u w:val="single"/>
        </w:rPr>
        <w:t>se expliqu</w:t>
      </w:r>
      <w:r w:rsidRPr="00495DBE">
        <w:rPr>
          <w:rFonts w:ascii="Palatino Linotype" w:eastAsia="Palatino Linotype" w:hAnsi="Palatino Linotype" w:cs="Palatino Linotype"/>
          <w:i/>
          <w:sz w:val="22"/>
          <w:szCs w:val="22"/>
        </w:rPr>
        <w:t xml:space="preserve">e el criterio que se optó para designar a dichas personas en su lugar…” </w:t>
      </w:r>
      <w:r w:rsidRPr="00495DBE">
        <w:rPr>
          <w:rFonts w:ascii="Palatino Linotype" w:eastAsia="Palatino Linotype" w:hAnsi="Palatino Linotype" w:cs="Palatino Linotype"/>
          <w:sz w:val="22"/>
          <w:szCs w:val="22"/>
        </w:rPr>
        <w:t xml:space="preserve">En primera instancia es de señalar que la pretensión del ahora parte </w:t>
      </w:r>
      <w:r w:rsidRPr="00495DBE">
        <w:rPr>
          <w:rFonts w:ascii="Palatino Linotype" w:eastAsia="Palatino Linotype" w:hAnsi="Palatino Linotype" w:cs="Palatino Linotype"/>
          <w:b/>
          <w:sz w:val="22"/>
          <w:szCs w:val="22"/>
        </w:rPr>
        <w:t>Recurrente</w:t>
      </w:r>
      <w:r w:rsidRPr="00495DBE">
        <w:rPr>
          <w:rFonts w:ascii="Palatino Linotype" w:eastAsia="Palatino Linotype" w:hAnsi="Palatino Linotype" w:cs="Palatino Linotype"/>
          <w:sz w:val="22"/>
          <w:szCs w:val="22"/>
        </w:rPr>
        <w:t xml:space="preserve"> es obtener un pronunciamiento específico respecto a una situación en Particular, de servidores públicos determinados, situación por la cual nos lleva a recordar que el artículo 12 de la Ley de Transparencia y Acceso a la Información Pública del Estado de México y Municipios, establece que los sujetos obligados únicamente están constreñidos a entregar los documentos que obren en sus archivos en el estado en que estos se encuentren, lo que no comprende entregar la información conforme al interés del solicitante.  </w:t>
      </w:r>
    </w:p>
    <w:p w14:paraId="4CCD17E8" w14:textId="77777777" w:rsidR="00835735" w:rsidRPr="00495DBE" w:rsidRDefault="008357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1AFFA3" w14:textId="77777777" w:rsidR="00835735" w:rsidRPr="00495DBE" w:rsidRDefault="0071539A">
      <w:pPr>
        <w:pBdr>
          <w:top w:val="nil"/>
          <w:left w:val="nil"/>
          <w:bottom w:val="nil"/>
          <w:right w:val="nil"/>
          <w:between w:val="nil"/>
        </w:pBdr>
        <w:spacing w:line="360" w:lineRule="auto"/>
        <w:jc w:val="both"/>
        <w:rPr>
          <w:sz w:val="22"/>
          <w:szCs w:val="22"/>
        </w:rPr>
      </w:pPr>
      <w:r w:rsidRPr="00495DBE">
        <w:rPr>
          <w:rFonts w:ascii="Palatino Linotype" w:eastAsia="Palatino Linotype" w:hAnsi="Palatino Linotype" w:cs="Palatino Linotype"/>
          <w:sz w:val="22"/>
          <w:szCs w:val="22"/>
        </w:rPr>
        <w:lastRenderedPageBreak/>
        <w:t>Robustece lo anterior, el Criterio 03/17 emitido por el entonces Instituto Nacional de Transparencia, Acceso a la Información y Protección de Datos Personales, el cual establece lo siguiente: </w:t>
      </w:r>
    </w:p>
    <w:p w14:paraId="6DCE00AE" w14:textId="77777777" w:rsidR="00835735" w:rsidRPr="00495DBE" w:rsidRDefault="00835735"/>
    <w:p w14:paraId="12FD05C8" w14:textId="77777777" w:rsidR="00835735" w:rsidRPr="00495DBE" w:rsidRDefault="0071539A">
      <w:pPr>
        <w:pBdr>
          <w:top w:val="nil"/>
          <w:left w:val="nil"/>
          <w:bottom w:val="nil"/>
          <w:right w:val="nil"/>
          <w:between w:val="nil"/>
        </w:pBdr>
        <w:ind w:left="567" w:right="567"/>
        <w:jc w:val="both"/>
      </w:pPr>
      <w:r w:rsidRPr="00495DBE">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495DB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FD372CC" w14:textId="77777777" w:rsidR="00835735" w:rsidRPr="00495DBE" w:rsidRDefault="00835735"/>
    <w:p w14:paraId="3DE7A4DF" w14:textId="77777777" w:rsidR="00835735" w:rsidRPr="00495DBE" w:rsidRDefault="0071539A">
      <w:pPr>
        <w:pBdr>
          <w:top w:val="nil"/>
          <w:left w:val="nil"/>
          <w:bottom w:val="nil"/>
          <w:right w:val="nil"/>
          <w:between w:val="nil"/>
        </w:pBdr>
        <w:spacing w:line="360" w:lineRule="auto"/>
        <w:jc w:val="both"/>
      </w:pPr>
      <w:r w:rsidRPr="00495DBE">
        <w:rPr>
          <w:rFonts w:ascii="Palatino Linotype" w:eastAsia="Palatino Linotype" w:hAnsi="Palatino Linotype" w:cs="Palatino Linotype"/>
          <w:sz w:val="22"/>
          <w:szCs w:val="22"/>
        </w:rPr>
        <w:t xml:space="preserve">Por otro lado, es importante mencionar que el requerimiento del Particular es tendiente a obligar a la autoridad a que actúe en el sentido de contestar lo solicitado, lo cual no es factible atenderse vía acceso a la información pública, toda vez, que la atención a dicho requerimiento no se pueden colmar con documentos que obren en los archivos del </w:t>
      </w:r>
      <w:r w:rsidRPr="00495DBE">
        <w:rPr>
          <w:rFonts w:ascii="Palatino Linotype" w:eastAsia="Palatino Linotype" w:hAnsi="Palatino Linotype" w:cs="Palatino Linotype"/>
          <w:b/>
          <w:sz w:val="22"/>
          <w:szCs w:val="22"/>
        </w:rPr>
        <w:t>Sujeto Obligado</w:t>
      </w:r>
      <w:r w:rsidRPr="00495DBE">
        <w:rPr>
          <w:rFonts w:ascii="Palatino Linotype" w:eastAsia="Palatino Linotype" w:hAnsi="Palatino Linotype" w:cs="Palatino Linotype"/>
          <w:sz w:val="22"/>
          <w:szCs w:val="22"/>
        </w:rPr>
        <w:t>, ya que no se encontró fuente obligacional que establezca que la Titular de la Unidad de Transparencia deba generar, poseer o administrar un documento en el que conste el pronunciamiento solicitado por el particular. </w:t>
      </w:r>
    </w:p>
    <w:p w14:paraId="7AACD1A8" w14:textId="77777777" w:rsidR="00835735" w:rsidRPr="00495DBE" w:rsidRDefault="00835735">
      <w:pPr>
        <w:spacing w:line="360" w:lineRule="auto"/>
      </w:pPr>
    </w:p>
    <w:p w14:paraId="52F40148" w14:textId="77777777" w:rsidR="00835735" w:rsidRPr="00495DBE" w:rsidRDefault="0071539A">
      <w:pPr>
        <w:pBdr>
          <w:top w:val="nil"/>
          <w:left w:val="nil"/>
          <w:bottom w:val="nil"/>
          <w:right w:val="nil"/>
          <w:between w:val="nil"/>
        </w:pBdr>
        <w:spacing w:line="360" w:lineRule="auto"/>
        <w:jc w:val="both"/>
      </w:pPr>
      <w:r w:rsidRPr="00495DBE">
        <w:rPr>
          <w:rFonts w:ascii="Palatino Linotype" w:eastAsia="Palatino Linotype" w:hAnsi="Palatino Linotype" w:cs="Palatino Linotype"/>
          <w:sz w:val="22"/>
          <w:szCs w:val="22"/>
        </w:rPr>
        <w:t xml:space="preserve">Es por lo anterior que se advierte que la solicitud no constituye un derecho de acceso a la información </w:t>
      </w:r>
      <w:proofErr w:type="gramStart"/>
      <w:r w:rsidRPr="00495DBE">
        <w:rPr>
          <w:rFonts w:ascii="Palatino Linotype" w:eastAsia="Palatino Linotype" w:hAnsi="Palatino Linotype" w:cs="Palatino Linotype"/>
          <w:sz w:val="22"/>
          <w:szCs w:val="22"/>
        </w:rPr>
        <w:t>y</w:t>
      </w:r>
      <w:proofErr w:type="gramEnd"/>
      <w:r w:rsidRPr="00495DBE">
        <w:rPr>
          <w:rFonts w:ascii="Palatino Linotype" w:eastAsia="Palatino Linotype" w:hAnsi="Palatino Linotype" w:cs="Palatino Linotype"/>
          <w:sz w:val="22"/>
          <w:szCs w:val="22"/>
        </w:rPr>
        <w:t xml:space="preserve"> por lo tanto, no es atendible mediante una solicitud de acceso a la información </w:t>
      </w:r>
      <w:r w:rsidRPr="00495DBE">
        <w:rPr>
          <w:rFonts w:ascii="Palatino Linotype" w:eastAsia="Palatino Linotype" w:hAnsi="Palatino Linotype" w:cs="Palatino Linotype"/>
          <w:sz w:val="22"/>
          <w:szCs w:val="22"/>
        </w:rPr>
        <w:lastRenderedPageBreak/>
        <w:t>pública, ya que se tratan de una petición del Particular, situación que conlleva a afirmar que se está en presencia del ejercicio del derecho a la libre expresión y en todo caso a un derecho de petición. </w:t>
      </w:r>
    </w:p>
    <w:p w14:paraId="75E20CAE" w14:textId="77777777" w:rsidR="00835735" w:rsidRPr="00495DBE" w:rsidRDefault="00835735"/>
    <w:p w14:paraId="7C0D7421" w14:textId="77777777" w:rsidR="00835735" w:rsidRPr="00495DBE" w:rsidRDefault="0071539A">
      <w:pPr>
        <w:pBdr>
          <w:top w:val="nil"/>
          <w:left w:val="nil"/>
          <w:bottom w:val="nil"/>
          <w:right w:val="nil"/>
          <w:between w:val="nil"/>
        </w:pBdr>
        <w:spacing w:line="360" w:lineRule="auto"/>
        <w:jc w:val="both"/>
      </w:pPr>
      <w:r w:rsidRPr="00495DBE">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495DBE">
        <w:rPr>
          <w:rFonts w:ascii="Palatino Linotype" w:eastAsia="Palatino Linotype" w:hAnsi="Palatino Linotype" w:cs="Palatino Linotype"/>
          <w:i/>
          <w:sz w:val="22"/>
          <w:szCs w:val="22"/>
        </w:rPr>
        <w:t>“</w:t>
      </w:r>
      <w:r w:rsidRPr="00495DBE">
        <w:rPr>
          <w:rFonts w:ascii="Palatino Linotype" w:eastAsia="Palatino Linotype" w:hAnsi="Palatino Linotype" w:cs="Palatino Linotype"/>
          <w:b/>
          <w:i/>
          <w:sz w:val="22"/>
          <w:szCs w:val="22"/>
          <w:u w:val="single"/>
        </w:rPr>
        <w:t>el derecho de toda persona a ser escuchado por quienes ejercen el poder públic</w:t>
      </w:r>
      <w:r w:rsidRPr="00495DBE">
        <w:rPr>
          <w:rFonts w:ascii="Palatino Linotype" w:eastAsia="Palatino Linotype" w:hAnsi="Palatino Linotype" w:cs="Palatino Linotype"/>
          <w:i/>
          <w:sz w:val="22"/>
          <w:szCs w:val="22"/>
        </w:rPr>
        <w:t>o</w:t>
      </w:r>
      <w:proofErr w:type="gramStart"/>
      <w:r w:rsidRPr="00495DBE">
        <w:rPr>
          <w:rFonts w:ascii="Palatino Linotype" w:eastAsia="Palatino Linotype" w:hAnsi="Palatino Linotype" w:cs="Palatino Linotype"/>
          <w:i/>
          <w:sz w:val="22"/>
          <w:szCs w:val="22"/>
        </w:rPr>
        <w:t>.</w:t>
      </w:r>
      <w:r w:rsidRPr="00495DBE">
        <w:rPr>
          <w:rFonts w:ascii="Palatino Linotype" w:eastAsia="Palatino Linotype" w:hAnsi="Palatino Linotype" w:cs="Palatino Linotype"/>
          <w:i/>
          <w:sz w:val="13"/>
          <w:szCs w:val="13"/>
          <w:vertAlign w:val="superscript"/>
        </w:rPr>
        <w:t xml:space="preserve"> </w:t>
      </w:r>
      <w:r w:rsidRPr="00495DBE">
        <w:rPr>
          <w:rFonts w:ascii="Palatino Linotype" w:eastAsia="Palatino Linotype" w:hAnsi="Palatino Linotype" w:cs="Palatino Linotype"/>
          <w:i/>
          <w:sz w:val="22"/>
          <w:szCs w:val="22"/>
        </w:rPr>
        <w:t>”</w:t>
      </w:r>
      <w:proofErr w:type="gramEnd"/>
      <w:r w:rsidRPr="00495DBE">
        <w:rPr>
          <w:rFonts w:ascii="Palatino Linotype" w:eastAsia="Palatino Linotype" w:hAnsi="Palatino Linotype" w:cs="Palatino Linotype"/>
          <w:i/>
          <w:sz w:val="22"/>
          <w:szCs w:val="22"/>
        </w:rPr>
        <w:t>  </w:t>
      </w:r>
    </w:p>
    <w:p w14:paraId="2B2D1F2F" w14:textId="77777777" w:rsidR="00835735" w:rsidRPr="00495DBE" w:rsidRDefault="00835735">
      <w:pPr>
        <w:spacing w:line="360" w:lineRule="auto"/>
      </w:pPr>
    </w:p>
    <w:p w14:paraId="7D121806" w14:textId="77777777" w:rsidR="00835735" w:rsidRPr="00495DBE" w:rsidRDefault="0071539A">
      <w:pPr>
        <w:pBdr>
          <w:top w:val="nil"/>
          <w:left w:val="nil"/>
          <w:bottom w:val="nil"/>
          <w:right w:val="nil"/>
          <w:between w:val="nil"/>
        </w:pBdr>
        <w:spacing w:line="360" w:lineRule="auto"/>
        <w:jc w:val="both"/>
      </w:pPr>
      <w:r w:rsidRPr="00495DBE">
        <w:rPr>
          <w:rFonts w:ascii="Palatino Linotype" w:eastAsia="Palatino Linotype" w:hAnsi="Palatino Linotype" w:cs="Palatino Linotype"/>
          <w:sz w:val="22"/>
          <w:szCs w:val="22"/>
        </w:rPr>
        <w:t xml:space="preserve">De la misma manera, Miguel Carbonell en su libro “Los derechos fundamentales” refiere que el </w:t>
      </w:r>
      <w:r w:rsidRPr="00495DBE">
        <w:rPr>
          <w:rFonts w:ascii="Palatino Linotype" w:eastAsia="Palatino Linotype" w:hAnsi="Palatino Linotype" w:cs="Palatino Linotype"/>
          <w:sz w:val="22"/>
          <w:szCs w:val="22"/>
          <w:u w:val="single"/>
        </w:rPr>
        <w:t>derecho de petición se ha entendido de dos distintitas maneras</w:t>
      </w:r>
      <w:r w:rsidRPr="00495DBE">
        <w:rPr>
          <w:rFonts w:ascii="Palatino Linotype" w:eastAsia="Palatino Linotype" w:hAnsi="Palatino Linotype" w:cs="Palatino Linotype"/>
          <w:sz w:val="22"/>
          <w:szCs w:val="22"/>
        </w:rPr>
        <w:t xml:space="preserve">, a saber: como un derecho fundamental de participación política ya que </w:t>
      </w:r>
      <w:r w:rsidRPr="00495DBE">
        <w:rPr>
          <w:rFonts w:ascii="Palatino Linotype" w:eastAsia="Palatino Linotype" w:hAnsi="Palatino Linotype" w:cs="Palatino Linotype"/>
          <w:sz w:val="22"/>
          <w:szCs w:val="22"/>
          <w:u w:val="single"/>
        </w:rPr>
        <w:t xml:space="preserve">permite a los </w:t>
      </w:r>
      <w:r w:rsidRPr="00495DBE">
        <w:rPr>
          <w:rFonts w:ascii="Palatino Linotype" w:eastAsia="Palatino Linotype" w:hAnsi="Palatino Linotype" w:cs="Palatino Linotype"/>
          <w:sz w:val="22"/>
          <w:szCs w:val="22"/>
        </w:rPr>
        <w:t xml:space="preserve">particulares trasladar a las autoridades sus </w:t>
      </w:r>
      <w:r w:rsidRPr="00495DBE">
        <w:rPr>
          <w:rFonts w:ascii="Palatino Linotype" w:eastAsia="Palatino Linotype" w:hAnsi="Palatino Linotype" w:cs="Palatino Linotype"/>
          <w:b/>
          <w:sz w:val="22"/>
          <w:szCs w:val="22"/>
        </w:rPr>
        <w:t>inquietudes, quejas</w:t>
      </w:r>
      <w:r w:rsidRPr="00495DBE">
        <w:rPr>
          <w:rFonts w:ascii="Palatino Linotype" w:eastAsia="Palatino Linotype" w:hAnsi="Palatino Linotype" w:cs="Palatino Linotype"/>
          <w:sz w:val="22"/>
          <w:szCs w:val="22"/>
        </w:rPr>
        <w:t xml:space="preserve">, sugerencias y requerimientos en cualquier materia o asunto; y como una </w:t>
      </w:r>
      <w:r w:rsidRPr="00495DBE">
        <w:rPr>
          <w:rFonts w:ascii="Palatino Linotype" w:eastAsia="Palatino Linotype" w:hAnsi="Palatino Linotype" w:cs="Palatino Linotype"/>
          <w:b/>
          <w:sz w:val="22"/>
          <w:szCs w:val="22"/>
        </w:rPr>
        <w:t>forma específica de la libertad de expresión</w:t>
      </w:r>
      <w:r w:rsidRPr="00495DBE">
        <w:rPr>
          <w:rFonts w:ascii="Palatino Linotype" w:eastAsia="Palatino Linotype" w:hAnsi="Palatino Linotype" w:cs="Palatino Linotype"/>
          <w:sz w:val="22"/>
          <w:szCs w:val="22"/>
        </w:rPr>
        <w:t>, en tanto que permite expresarse frente a las autoridades. </w:t>
      </w:r>
    </w:p>
    <w:p w14:paraId="3A30A919" w14:textId="77777777" w:rsidR="00835735" w:rsidRPr="00495DBE" w:rsidRDefault="00835735">
      <w:pPr>
        <w:spacing w:line="360" w:lineRule="auto"/>
      </w:pPr>
    </w:p>
    <w:p w14:paraId="77D3F4ED" w14:textId="77777777" w:rsidR="00835735" w:rsidRPr="00495DBE" w:rsidRDefault="0071539A">
      <w:pPr>
        <w:pBdr>
          <w:top w:val="nil"/>
          <w:left w:val="nil"/>
          <w:bottom w:val="nil"/>
          <w:right w:val="nil"/>
          <w:between w:val="nil"/>
        </w:pBdr>
        <w:spacing w:line="360" w:lineRule="auto"/>
        <w:jc w:val="both"/>
      </w:pPr>
      <w:r w:rsidRPr="00495DBE">
        <w:rPr>
          <w:rFonts w:ascii="Palatino Linotype" w:eastAsia="Palatino Linotype" w:hAnsi="Palatino Linotype" w:cs="Palatino Linotype"/>
          <w:sz w:val="22"/>
          <w:szCs w:val="22"/>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196827EE" w14:textId="77777777" w:rsidR="00835735" w:rsidRPr="00495DBE" w:rsidRDefault="00835735">
      <w:pPr>
        <w:spacing w:line="360" w:lineRule="auto"/>
      </w:pPr>
    </w:p>
    <w:p w14:paraId="4BD08471" w14:textId="77777777" w:rsidR="00835735" w:rsidRPr="00495DBE" w:rsidRDefault="0071539A">
      <w:pPr>
        <w:pBdr>
          <w:top w:val="nil"/>
          <w:left w:val="nil"/>
          <w:bottom w:val="nil"/>
          <w:right w:val="nil"/>
          <w:between w:val="nil"/>
        </w:pBdr>
        <w:spacing w:line="360" w:lineRule="auto"/>
        <w:ind w:right="99"/>
        <w:jc w:val="both"/>
      </w:pPr>
      <w:r w:rsidRPr="00495DBE">
        <w:rPr>
          <w:rFonts w:ascii="Palatino Linotype" w:eastAsia="Palatino Linotype" w:hAnsi="Palatino Linotype" w:cs="Palatino Linotype"/>
          <w:sz w:val="22"/>
          <w:szCs w:val="22"/>
        </w:rPr>
        <w:t xml:space="preserve">Por otro lado, el autor anteriormente citado, indica que el </w:t>
      </w:r>
      <w:r w:rsidRPr="00495DBE">
        <w:rPr>
          <w:rFonts w:ascii="Palatino Linotype" w:eastAsia="Palatino Linotype" w:hAnsi="Palatino Linotype" w:cs="Palatino Linotype"/>
          <w:b/>
          <w:sz w:val="22"/>
          <w:szCs w:val="22"/>
          <w:u w:val="single"/>
        </w:rPr>
        <w:t>derecho de acceso a la información pública</w:t>
      </w:r>
      <w:r w:rsidRPr="00495DBE">
        <w:rPr>
          <w:rFonts w:ascii="Palatino Linotype" w:eastAsia="Palatino Linotype" w:hAnsi="Palatino Linotype" w:cs="Palatino Linotype"/>
          <w:sz w:val="22"/>
          <w:szCs w:val="22"/>
        </w:rPr>
        <w:t xml:space="preserve"> es el derecho de conocer la </w:t>
      </w:r>
      <w:r w:rsidRPr="00495DBE">
        <w:rPr>
          <w:rFonts w:ascii="Palatino Linotype" w:eastAsia="Palatino Linotype" w:hAnsi="Palatino Linotype" w:cs="Palatino Linotype"/>
          <w:sz w:val="22"/>
          <w:szCs w:val="22"/>
          <w:u w:val="single"/>
        </w:rPr>
        <w:t>información de carácter público que se genera o está en posesión de los órganos del poder público</w:t>
      </w:r>
      <w:r w:rsidRPr="00495DBE">
        <w:rPr>
          <w:rFonts w:ascii="Palatino Linotype" w:eastAsia="Palatino Linotype" w:hAnsi="Palatino Linotype" w:cs="Palatino Linotype"/>
          <w:sz w:val="22"/>
          <w:szCs w:val="22"/>
        </w:rPr>
        <w:t xml:space="preserve"> o de los sujetos que utilizan o </w:t>
      </w:r>
      <w:r w:rsidRPr="00495DBE">
        <w:rPr>
          <w:rFonts w:ascii="Palatino Linotype" w:eastAsia="Palatino Linotype" w:hAnsi="Palatino Linotype" w:cs="Palatino Linotype"/>
          <w:sz w:val="22"/>
          <w:szCs w:val="22"/>
        </w:rPr>
        <w:lastRenderedPageBreak/>
        <w:t>se benefician con recursos provenientes del Estado, es el derecho que tienen los ciudadanos para acceder a documentos y datos que obren en el poder del gobierno.</w:t>
      </w:r>
    </w:p>
    <w:p w14:paraId="1975B89F" w14:textId="77777777" w:rsidR="00835735" w:rsidRPr="00495DBE" w:rsidRDefault="00835735">
      <w:pPr>
        <w:spacing w:line="360" w:lineRule="auto"/>
      </w:pPr>
    </w:p>
    <w:p w14:paraId="54386FDF" w14:textId="77777777" w:rsidR="00835735" w:rsidRPr="00495DBE" w:rsidRDefault="0071539A">
      <w:pPr>
        <w:pBdr>
          <w:top w:val="nil"/>
          <w:left w:val="nil"/>
          <w:bottom w:val="nil"/>
          <w:right w:val="nil"/>
          <w:between w:val="nil"/>
        </w:pBdr>
        <w:spacing w:line="360" w:lineRule="auto"/>
        <w:ind w:right="99"/>
        <w:jc w:val="both"/>
      </w:pPr>
      <w:r w:rsidRPr="00495DBE">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14289C20" w14:textId="77777777" w:rsidR="00835735" w:rsidRPr="00495DBE" w:rsidRDefault="00835735">
      <w:pPr>
        <w:spacing w:line="360" w:lineRule="auto"/>
      </w:pPr>
    </w:p>
    <w:p w14:paraId="74FA307E" w14:textId="77777777" w:rsidR="00835735" w:rsidRPr="00495DBE" w:rsidRDefault="0071539A">
      <w:pPr>
        <w:pBdr>
          <w:top w:val="nil"/>
          <w:left w:val="nil"/>
          <w:bottom w:val="nil"/>
          <w:right w:val="nil"/>
          <w:between w:val="nil"/>
        </w:pBdr>
        <w:spacing w:line="360" w:lineRule="auto"/>
        <w:ind w:right="99"/>
        <w:jc w:val="both"/>
      </w:pPr>
      <w:r w:rsidRPr="00495DBE">
        <w:rPr>
          <w:rFonts w:ascii="Palatino Linotype" w:eastAsia="Palatino Linotype" w:hAnsi="Palatino Linotype" w:cs="Palatino Linotype"/>
          <w:sz w:val="22"/>
          <w:szCs w:val="22"/>
        </w:rPr>
        <w:t xml:space="preserve">De lo anterior se puede concluir que la distinción entre el </w:t>
      </w:r>
      <w:r w:rsidRPr="00495DBE">
        <w:rPr>
          <w:rFonts w:ascii="Palatino Linotype" w:eastAsia="Palatino Linotype" w:hAnsi="Palatino Linotype" w:cs="Palatino Linotype"/>
          <w:b/>
          <w:sz w:val="22"/>
          <w:szCs w:val="22"/>
        </w:rPr>
        <w:t>derecho de petición</w:t>
      </w:r>
      <w:r w:rsidRPr="00495DBE">
        <w:rPr>
          <w:rFonts w:ascii="Palatino Linotype" w:eastAsia="Palatino Linotype" w:hAnsi="Palatino Linotype" w:cs="Palatino Linotype"/>
          <w:sz w:val="22"/>
          <w:szCs w:val="22"/>
        </w:rPr>
        <w:t xml:space="preserve"> y el derecho de acceso a la información descansa, principalmente, en que </w:t>
      </w:r>
      <w:r w:rsidRPr="00495DBE">
        <w:rPr>
          <w:rFonts w:ascii="Palatino Linotype" w:eastAsia="Palatino Linotype" w:hAnsi="Palatino Linotype" w:cs="Palatino Linotype"/>
          <w:sz w:val="22"/>
          <w:szCs w:val="22"/>
          <w:u w:val="single"/>
        </w:rPr>
        <w:t>la pretensión del peticionario consiste generalmente en obligar a la autoridad responsable a que actúe en el sentido de contestar lo solicitado</w:t>
      </w:r>
      <w:r w:rsidRPr="00495DBE">
        <w:rPr>
          <w:rFonts w:ascii="Palatino Linotype" w:eastAsia="Palatino Linotype" w:hAnsi="Palatino Linotype" w:cs="Palatino Linotype"/>
          <w:sz w:val="22"/>
          <w:szCs w:val="22"/>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3D234CCE" w14:textId="77777777" w:rsidR="00835735" w:rsidRPr="00495DBE" w:rsidRDefault="0071539A">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Es así que el requerimiento del particular no resulta atendible vía derecho de acceso a la información pública, ya que va encaminado a que el Sujeto Obligado realice un juicio de valor y de una explicación sobre un tema específico, lo que se traduce como un derecho de petición o una consulta.</w:t>
      </w:r>
    </w:p>
    <w:p w14:paraId="0E465E92" w14:textId="77777777" w:rsidR="00835735" w:rsidRPr="00495DBE" w:rsidRDefault="0071539A">
      <w:pPr>
        <w:spacing w:before="240" w:after="240"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Corolario a lo anterior, se estima que el presente caso actualiza el supuesto previsto en el artículo 192, fracción III de la Ley de Transparencia y Acceso a la Información Pública del Estado de México y Municipios vigente, a saber:</w:t>
      </w:r>
    </w:p>
    <w:p w14:paraId="3CA6B173" w14:textId="77777777" w:rsidR="00835735" w:rsidRPr="00495DBE" w:rsidRDefault="0071539A">
      <w:pPr>
        <w:spacing w:before="240" w:after="240"/>
        <w:ind w:left="851" w:right="900"/>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w:t>
      </w:r>
      <w:r w:rsidRPr="00495DBE">
        <w:rPr>
          <w:rFonts w:ascii="Palatino Linotype" w:eastAsia="Palatino Linotype" w:hAnsi="Palatino Linotype" w:cs="Palatino Linotype"/>
          <w:b/>
          <w:i/>
          <w:sz w:val="22"/>
          <w:szCs w:val="22"/>
        </w:rPr>
        <w:t>Artículo 192</w:t>
      </w:r>
      <w:r w:rsidRPr="00495DBE">
        <w:rPr>
          <w:rFonts w:ascii="Palatino Linotype" w:eastAsia="Palatino Linotype" w:hAnsi="Palatino Linotype" w:cs="Palatino Linotype"/>
          <w:i/>
          <w:sz w:val="22"/>
          <w:szCs w:val="22"/>
        </w:rPr>
        <w:t xml:space="preserve">. </w:t>
      </w:r>
      <w:r w:rsidRPr="00495DBE">
        <w:rPr>
          <w:rFonts w:ascii="Palatino Linotype" w:eastAsia="Palatino Linotype" w:hAnsi="Palatino Linotype" w:cs="Palatino Linotype"/>
          <w:b/>
          <w:i/>
          <w:sz w:val="22"/>
          <w:szCs w:val="22"/>
        </w:rPr>
        <w:t>El recurso será sobreseído</w:t>
      </w:r>
      <w:r w:rsidRPr="00495DBE">
        <w:rPr>
          <w:rFonts w:ascii="Palatino Linotype" w:eastAsia="Palatino Linotype" w:hAnsi="Palatino Linotype" w:cs="Palatino Linotype"/>
          <w:i/>
          <w:sz w:val="22"/>
          <w:szCs w:val="22"/>
        </w:rPr>
        <w:t xml:space="preserve">, </w:t>
      </w:r>
      <w:r w:rsidRPr="00495DBE">
        <w:rPr>
          <w:rFonts w:ascii="Palatino Linotype" w:eastAsia="Palatino Linotype" w:hAnsi="Palatino Linotype" w:cs="Palatino Linotype"/>
          <w:b/>
          <w:i/>
          <w:sz w:val="22"/>
          <w:szCs w:val="22"/>
        </w:rPr>
        <w:t>en todo o en parte,</w:t>
      </w:r>
      <w:r w:rsidRPr="00495DBE">
        <w:rPr>
          <w:rFonts w:ascii="Palatino Linotype" w:eastAsia="Palatino Linotype" w:hAnsi="Palatino Linotype" w:cs="Palatino Linotype"/>
          <w:i/>
          <w:sz w:val="22"/>
          <w:szCs w:val="22"/>
        </w:rPr>
        <w:t xml:space="preserve"> </w:t>
      </w:r>
      <w:r w:rsidRPr="00495DBE">
        <w:rPr>
          <w:rFonts w:ascii="Palatino Linotype" w:eastAsia="Palatino Linotype" w:hAnsi="Palatino Linotype" w:cs="Palatino Linotype"/>
          <w:b/>
          <w:i/>
          <w:sz w:val="22"/>
          <w:szCs w:val="22"/>
        </w:rPr>
        <w:t>cuando una vez admitido, se actualicen alguno de los siguientes supuestos</w:t>
      </w:r>
      <w:r w:rsidRPr="00495DBE">
        <w:rPr>
          <w:rFonts w:ascii="Palatino Linotype" w:eastAsia="Palatino Linotype" w:hAnsi="Palatino Linotype" w:cs="Palatino Linotype"/>
          <w:i/>
          <w:sz w:val="22"/>
          <w:szCs w:val="22"/>
        </w:rPr>
        <w:t xml:space="preserve">: </w:t>
      </w:r>
    </w:p>
    <w:p w14:paraId="61F25B46" w14:textId="77777777" w:rsidR="00835735" w:rsidRPr="00495DBE" w:rsidRDefault="0071539A">
      <w:pPr>
        <w:spacing w:before="240" w:after="240"/>
        <w:ind w:left="1134" w:right="900"/>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i/>
          <w:sz w:val="22"/>
          <w:szCs w:val="22"/>
        </w:rPr>
        <w:t>(…)</w:t>
      </w:r>
    </w:p>
    <w:p w14:paraId="29A465BF" w14:textId="77777777" w:rsidR="00835735" w:rsidRPr="00495DBE" w:rsidRDefault="0071539A">
      <w:pPr>
        <w:spacing w:before="240" w:after="240"/>
        <w:ind w:left="1134" w:right="900"/>
        <w:jc w:val="both"/>
        <w:rPr>
          <w:rFonts w:ascii="Palatino Linotype" w:eastAsia="Palatino Linotype" w:hAnsi="Palatino Linotype" w:cs="Palatino Linotype"/>
          <w:i/>
          <w:sz w:val="22"/>
          <w:szCs w:val="22"/>
        </w:rPr>
      </w:pPr>
      <w:r w:rsidRPr="00495DBE">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495DBE">
        <w:rPr>
          <w:rFonts w:ascii="Palatino Linotype" w:eastAsia="Palatino Linotype" w:hAnsi="Palatino Linotype" w:cs="Palatino Linotype"/>
          <w:i/>
          <w:sz w:val="22"/>
          <w:szCs w:val="22"/>
        </w:rPr>
        <w:t>”</w:t>
      </w:r>
    </w:p>
    <w:p w14:paraId="22E017A5" w14:textId="77777777" w:rsidR="00835735" w:rsidRPr="00495DBE" w:rsidRDefault="0071539A">
      <w:pPr>
        <w:spacing w:before="240" w:after="240"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09F7E4D2" w14:textId="77777777" w:rsidR="00835735" w:rsidRPr="00495DBE" w:rsidRDefault="0071539A">
      <w:pPr>
        <w:spacing w:before="240" w:after="240" w:line="360" w:lineRule="auto"/>
        <w:ind w:left="284"/>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a) Cuando el sujeto obligado modifique el acto impugnado. </w:t>
      </w:r>
    </w:p>
    <w:p w14:paraId="0611F188" w14:textId="77777777" w:rsidR="00835735" w:rsidRPr="00495DBE" w:rsidRDefault="0071539A">
      <w:pPr>
        <w:spacing w:before="240" w:after="240" w:line="360" w:lineRule="auto"/>
        <w:ind w:left="284"/>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b) Cuando el sujeto obligado revoque el acto impugnado; </w:t>
      </w:r>
    </w:p>
    <w:p w14:paraId="796BAC72" w14:textId="77777777" w:rsidR="00835735" w:rsidRPr="00495DBE" w:rsidRDefault="0071539A">
      <w:pPr>
        <w:spacing w:before="240" w:after="240"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Quedando en ambos casos el acto combatido sin materia o sin efectos.</w:t>
      </w:r>
    </w:p>
    <w:p w14:paraId="32C37A8A" w14:textId="77777777" w:rsidR="00835735" w:rsidRPr="00495DBE" w:rsidRDefault="0071539A">
      <w:pPr>
        <w:spacing w:before="240" w:after="240" w:line="360" w:lineRule="auto"/>
        <w:jc w:val="both"/>
        <w:rPr>
          <w:rFonts w:ascii="Palatino Linotype" w:eastAsia="Palatino Linotype" w:hAnsi="Palatino Linotype" w:cs="Palatino Linotype"/>
          <w:b/>
          <w:sz w:val="22"/>
          <w:szCs w:val="22"/>
        </w:rPr>
      </w:pPr>
      <w:r w:rsidRPr="00495DBE">
        <w:rPr>
          <w:rFonts w:ascii="Palatino Linotype" w:eastAsia="Palatino Linotype" w:hAnsi="Palatino Linotype" w:cs="Palatino Linotype"/>
          <w:sz w:val="22"/>
          <w:szCs w:val="22"/>
        </w:rPr>
        <w:t>Como se observa de lo anterior, un acto impugnado es modificado en aquellos casos en los que el Sujeto Obligado después de haber otorgado una respuesta, o haber omitido hacerlo (acto de no hacer), emite una o una diversa de manera posterior y en esta subsana las deficiencias que hubiera tenido, quedando satisfecho el derecho subjetivo accionado por la parte Recurrente</w:t>
      </w:r>
      <w:r w:rsidRPr="00495DBE">
        <w:rPr>
          <w:rFonts w:ascii="Palatino Linotype" w:eastAsia="Palatino Linotype" w:hAnsi="Palatino Linotype" w:cs="Palatino Linotype"/>
          <w:b/>
          <w:sz w:val="22"/>
          <w:szCs w:val="22"/>
        </w:rPr>
        <w:t>.</w:t>
      </w:r>
    </w:p>
    <w:p w14:paraId="1040D3FB" w14:textId="77777777" w:rsidR="00835735" w:rsidRPr="00495DBE" w:rsidRDefault="0071539A">
      <w:pPr>
        <w:spacing w:before="240" w:after="240"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lastRenderedPageBreak/>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2211017A" w14:textId="77777777" w:rsidR="00835735" w:rsidRPr="00495DBE" w:rsidRDefault="0071539A">
      <w:pPr>
        <w:spacing w:before="240" w:after="240"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En este orden de ideas, un acto impugnado queda sin efectos, cuando aun existiendo jurídicamente (esto es, que no se ha modificado, ni revocado) ya no genera ninguna consecuencia legal.</w:t>
      </w:r>
    </w:p>
    <w:p w14:paraId="01726F21" w14:textId="77777777" w:rsidR="00835735" w:rsidRPr="00495DBE" w:rsidRDefault="0071539A">
      <w:pPr>
        <w:spacing w:before="240" w:after="240"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En tanto que, un acto impugnado queda sin materia, cuando ha sido satisfecha la pretensión de la parte Recurrente de manera que el Sujeto Obligado entrega una respuesta, aunque sea posterior a los términos previstos en la ley y mediante ésta concede la información solicitada.</w:t>
      </w:r>
    </w:p>
    <w:p w14:paraId="1E1DF53F" w14:textId="77777777" w:rsidR="00835735" w:rsidRPr="00495DBE" w:rsidRDefault="0071539A">
      <w:pPr>
        <w:spacing w:line="360" w:lineRule="auto"/>
        <w:ind w:right="49"/>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 De tal manera, es evidente que con ello queda sin materia el presente recurso de revisión, ya que la inconformidad sobre la falta de respuesta se subsanó con la información entregada en informe justificado dentro del apartado de manifestaciones del SAIMEX. </w:t>
      </w:r>
    </w:p>
    <w:p w14:paraId="7E562476" w14:textId="77777777" w:rsidR="00835735" w:rsidRPr="00495DBE" w:rsidRDefault="0071539A">
      <w:pPr>
        <w:spacing w:before="240" w:after="240" w:line="360" w:lineRule="auto"/>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 xml:space="preserve">Es así que se concluye que la información remitida por el </w:t>
      </w:r>
      <w:r w:rsidRPr="00495DBE">
        <w:rPr>
          <w:rFonts w:ascii="Palatino Linotype" w:eastAsia="Palatino Linotype" w:hAnsi="Palatino Linotype" w:cs="Palatino Linotype"/>
          <w:b/>
          <w:sz w:val="22"/>
          <w:szCs w:val="22"/>
        </w:rPr>
        <w:t xml:space="preserve">Sujeto Obligado </w:t>
      </w:r>
      <w:r w:rsidRPr="00495DBE">
        <w:rPr>
          <w:rFonts w:ascii="Palatino Linotype" w:eastAsia="Palatino Linotype" w:hAnsi="Palatino Linotype" w:cs="Palatino Linotype"/>
          <w:sz w:val="22"/>
          <w:szCs w:val="22"/>
        </w:rPr>
        <w:t xml:space="preserve">en la etapa de manifestaciones satisface el requerimiento de información combatido, con lo cual quedó sin materia el presente recurso de revisión, actualizando entonces la causal prevista en la fracción III del artículo 192 de la Ley de la Materia vigente en la Entidad, antes transcrita. </w:t>
      </w:r>
    </w:p>
    <w:p w14:paraId="49C1BF83" w14:textId="77777777" w:rsidR="00835735" w:rsidRPr="00495DBE" w:rsidRDefault="0071539A">
      <w:pPr>
        <w:spacing w:before="240" w:after="240" w:line="360" w:lineRule="auto"/>
        <w:jc w:val="both"/>
        <w:rPr>
          <w:rFonts w:ascii="Palatino Linotype" w:eastAsia="Palatino Linotype" w:hAnsi="Palatino Linotype" w:cs="Palatino Linotype"/>
          <w:b/>
          <w:sz w:val="22"/>
          <w:szCs w:val="22"/>
        </w:rPr>
      </w:pPr>
      <w:r w:rsidRPr="00495DBE">
        <w:rPr>
          <w:rFonts w:ascii="Palatino Linotype" w:eastAsia="Palatino Linotype" w:hAnsi="Palatino Linotype" w:cs="Palatino Linotype"/>
          <w:sz w:val="22"/>
          <w:szCs w:val="22"/>
        </w:rPr>
        <w:lastRenderedPageBreak/>
        <w:t xml:space="preserve">Siendo el </w:t>
      </w:r>
      <w:r w:rsidRPr="00495DBE">
        <w:rPr>
          <w:rFonts w:ascii="Palatino Linotype" w:eastAsia="Palatino Linotype" w:hAnsi="Palatino Linotype" w:cs="Palatino Linotype"/>
          <w:i/>
          <w:sz w:val="22"/>
          <w:szCs w:val="22"/>
        </w:rPr>
        <w:t>sobreseimiento</w:t>
      </w:r>
      <w:r w:rsidRPr="00495DBE">
        <w:rPr>
          <w:rFonts w:ascii="Palatino Linotype" w:eastAsia="Palatino Linotype" w:hAnsi="Palatino Linotype" w:cs="Palatino Linotype"/>
          <w:sz w:val="22"/>
          <w:szCs w:val="22"/>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495DBE">
        <w:rPr>
          <w:rFonts w:ascii="Palatino Linotype" w:eastAsia="Palatino Linotype" w:hAnsi="Palatino Linotype" w:cs="Palatino Linotype"/>
          <w:b/>
          <w:sz w:val="22"/>
          <w:szCs w:val="22"/>
        </w:rPr>
        <w:t>SOBRESEIMIENTO, NO PERMITE ENTRAR AL ESTUDIO DE LAS CUESTIONES DE FONDO</w:t>
      </w:r>
      <w:r w:rsidRPr="00495DBE">
        <w:rPr>
          <w:rFonts w:ascii="Palatino Linotype" w:eastAsia="Palatino Linotype" w:hAnsi="Palatino Linotype" w:cs="Palatino Linotype"/>
          <w:b/>
          <w:sz w:val="22"/>
          <w:szCs w:val="22"/>
          <w:vertAlign w:val="superscript"/>
        </w:rPr>
        <w:footnoteReference w:id="1"/>
      </w:r>
      <w:r w:rsidRPr="00495DBE">
        <w:rPr>
          <w:rFonts w:ascii="Palatino Linotype" w:eastAsia="Palatino Linotype" w:hAnsi="Palatino Linotype" w:cs="Palatino Linotype"/>
          <w:b/>
          <w:sz w:val="22"/>
          <w:szCs w:val="22"/>
        </w:rPr>
        <w:t>.</w:t>
      </w:r>
    </w:p>
    <w:p w14:paraId="28DCD165" w14:textId="77777777" w:rsidR="00835735" w:rsidRPr="00495DBE" w:rsidRDefault="0071539A">
      <w:pPr>
        <w:spacing w:line="360" w:lineRule="auto"/>
        <w:ind w:right="96"/>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 de la Ley de Transparencia y Acceso a la Información Pública del Estado de México y Municipios, este Pleno:</w:t>
      </w:r>
    </w:p>
    <w:p w14:paraId="3A59CA23" w14:textId="77777777" w:rsidR="00835735" w:rsidRPr="00495DBE" w:rsidRDefault="0071539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3" w:name="_heading=h.lnxbz9" w:colFirst="0" w:colLast="0"/>
      <w:bookmarkEnd w:id="3"/>
      <w:r w:rsidRPr="00495DBE">
        <w:rPr>
          <w:rFonts w:ascii="Palatino Linotype" w:eastAsia="Palatino Linotype" w:hAnsi="Palatino Linotype" w:cs="Palatino Linotype"/>
          <w:b/>
          <w:sz w:val="22"/>
          <w:szCs w:val="22"/>
        </w:rPr>
        <w:t>III. R E S U E L V E</w:t>
      </w:r>
    </w:p>
    <w:p w14:paraId="21AC6E45" w14:textId="77777777" w:rsidR="00835735" w:rsidRPr="00495DBE" w:rsidRDefault="0071539A">
      <w:pPr>
        <w:spacing w:line="360" w:lineRule="auto"/>
        <w:jc w:val="both"/>
        <w:rPr>
          <w:rFonts w:ascii="Palatino Linotype" w:eastAsia="Palatino Linotype" w:hAnsi="Palatino Linotype" w:cs="Palatino Linotype"/>
          <w:sz w:val="22"/>
          <w:szCs w:val="22"/>
        </w:rPr>
      </w:pPr>
      <w:bookmarkStart w:id="4" w:name="_heading=h.1fob9te" w:colFirst="0" w:colLast="0"/>
      <w:bookmarkEnd w:id="4"/>
      <w:r w:rsidRPr="00495DBE">
        <w:rPr>
          <w:rFonts w:ascii="Palatino Linotype" w:eastAsia="Palatino Linotype" w:hAnsi="Palatino Linotype" w:cs="Palatino Linotype"/>
          <w:b/>
          <w:sz w:val="22"/>
          <w:szCs w:val="22"/>
        </w:rPr>
        <w:t xml:space="preserve">PRIMERO. </w:t>
      </w:r>
      <w:r w:rsidRPr="00495DBE">
        <w:rPr>
          <w:rFonts w:ascii="Palatino Linotype" w:eastAsia="Palatino Linotype" w:hAnsi="Palatino Linotype" w:cs="Palatino Linotype"/>
          <w:sz w:val="22"/>
          <w:szCs w:val="22"/>
        </w:rPr>
        <w:t xml:space="preserve">Se </w:t>
      </w:r>
      <w:r w:rsidRPr="00495DBE">
        <w:rPr>
          <w:rFonts w:ascii="Palatino Linotype" w:eastAsia="Palatino Linotype" w:hAnsi="Palatino Linotype" w:cs="Palatino Linotype"/>
          <w:b/>
          <w:sz w:val="22"/>
          <w:szCs w:val="22"/>
        </w:rPr>
        <w:t xml:space="preserve">SOBRESEE </w:t>
      </w:r>
      <w:r w:rsidRPr="00495DBE">
        <w:rPr>
          <w:rFonts w:ascii="Palatino Linotype" w:eastAsia="Palatino Linotype" w:hAnsi="Palatino Linotype" w:cs="Palatino Linotype"/>
          <w:sz w:val="22"/>
          <w:szCs w:val="22"/>
        </w:rPr>
        <w:t>el recurso de revisión número</w:t>
      </w:r>
      <w:r w:rsidRPr="00495DBE">
        <w:rPr>
          <w:rFonts w:ascii="Palatino Linotype" w:eastAsia="Palatino Linotype" w:hAnsi="Palatino Linotype" w:cs="Palatino Linotype"/>
          <w:b/>
          <w:sz w:val="22"/>
          <w:szCs w:val="22"/>
        </w:rPr>
        <w:t xml:space="preserve"> 01914/INFOEM/IP/RR/2025</w:t>
      </w:r>
      <w:r w:rsidRPr="00495DBE">
        <w:rPr>
          <w:rFonts w:ascii="Palatino Linotype" w:eastAsia="Palatino Linotype" w:hAnsi="Palatino Linotype" w:cs="Palatino Linotype"/>
          <w:sz w:val="22"/>
          <w:szCs w:val="22"/>
        </w:rPr>
        <w:t xml:space="preserve">, porque al colmar la pretensión de </w:t>
      </w:r>
      <w:r w:rsidRPr="00495DBE">
        <w:rPr>
          <w:rFonts w:ascii="Palatino Linotype" w:eastAsia="Palatino Linotype" w:hAnsi="Palatino Linotype" w:cs="Palatino Linotype"/>
          <w:b/>
          <w:sz w:val="22"/>
          <w:szCs w:val="22"/>
        </w:rPr>
        <w:t>LA PARTE RECURRENTE</w:t>
      </w:r>
      <w:r w:rsidRPr="00495DBE">
        <w:rPr>
          <w:rFonts w:ascii="Palatino Linotype" w:eastAsia="Palatino Linotype" w:hAnsi="Palatino Linotype" w:cs="Palatino Linotype"/>
          <w:sz w:val="22"/>
          <w:szCs w:val="22"/>
        </w:rPr>
        <w:t xml:space="preserve"> mediante informe justificado, el medio de impugnación quedó sin materia, de conformidad con lo previsto en el artículo </w:t>
      </w:r>
      <w:r w:rsidRPr="00495DBE">
        <w:rPr>
          <w:rFonts w:ascii="Palatino Linotype" w:eastAsia="Palatino Linotype" w:hAnsi="Palatino Linotype" w:cs="Palatino Linotype"/>
          <w:sz w:val="22"/>
          <w:szCs w:val="22"/>
        </w:rPr>
        <w:lastRenderedPageBreak/>
        <w:t xml:space="preserve">192 fracción III de la Ley de Transparencia y Acceso a la Información Pública del Estado de México y Municipios, en términos del </w:t>
      </w:r>
      <w:r w:rsidRPr="00495DBE">
        <w:rPr>
          <w:rFonts w:ascii="Palatino Linotype" w:eastAsia="Palatino Linotype" w:hAnsi="Palatino Linotype" w:cs="Palatino Linotype"/>
          <w:b/>
          <w:sz w:val="22"/>
          <w:szCs w:val="22"/>
        </w:rPr>
        <w:t>Considerando Tercero</w:t>
      </w:r>
      <w:r w:rsidRPr="00495DBE">
        <w:rPr>
          <w:rFonts w:ascii="Palatino Linotype" w:eastAsia="Palatino Linotype" w:hAnsi="Palatino Linotype" w:cs="Palatino Linotype"/>
          <w:sz w:val="22"/>
          <w:szCs w:val="22"/>
        </w:rPr>
        <w:t xml:space="preserve"> de la presente resolución.</w:t>
      </w:r>
    </w:p>
    <w:p w14:paraId="6F0F0077" w14:textId="77777777" w:rsidR="00835735" w:rsidRPr="00495DBE" w:rsidRDefault="00835735">
      <w:pPr>
        <w:spacing w:line="360" w:lineRule="auto"/>
        <w:jc w:val="both"/>
        <w:rPr>
          <w:sz w:val="22"/>
          <w:szCs w:val="22"/>
        </w:rPr>
      </w:pPr>
    </w:p>
    <w:p w14:paraId="2D91C64C" w14:textId="77777777" w:rsidR="00835735" w:rsidRPr="00495DBE" w:rsidRDefault="0071539A">
      <w:pPr>
        <w:spacing w:line="360" w:lineRule="auto"/>
        <w:jc w:val="both"/>
        <w:rPr>
          <w:rFonts w:ascii="Palatino Linotype" w:eastAsia="Palatino Linotype" w:hAnsi="Palatino Linotype" w:cs="Palatino Linotype"/>
          <w:sz w:val="22"/>
          <w:szCs w:val="22"/>
        </w:rPr>
      </w:pPr>
      <w:bookmarkStart w:id="5" w:name="_heading=h.canwj9j6jrxm" w:colFirst="0" w:colLast="0"/>
      <w:bookmarkEnd w:id="5"/>
      <w:r w:rsidRPr="00495DBE">
        <w:rPr>
          <w:rFonts w:ascii="Palatino Linotype" w:eastAsia="Palatino Linotype" w:hAnsi="Palatino Linotype" w:cs="Palatino Linotype"/>
          <w:b/>
          <w:sz w:val="22"/>
          <w:szCs w:val="22"/>
        </w:rPr>
        <w:t xml:space="preserve">SEGUNDO. Notifíquese </w:t>
      </w:r>
      <w:r w:rsidRPr="00495DBE">
        <w:rPr>
          <w:rFonts w:ascii="Palatino Linotype" w:eastAsia="Palatino Linotype" w:hAnsi="Palatino Linotype" w:cs="Palatino Linotype"/>
          <w:sz w:val="22"/>
          <w:szCs w:val="22"/>
        </w:rPr>
        <w:t xml:space="preserve">a través del Sistema de Acceso a la Información Mexiquense </w:t>
      </w:r>
      <w:r w:rsidRPr="00495DBE">
        <w:rPr>
          <w:rFonts w:ascii="Palatino Linotype" w:eastAsia="Palatino Linotype" w:hAnsi="Palatino Linotype" w:cs="Palatino Linotype"/>
          <w:b/>
          <w:sz w:val="22"/>
          <w:szCs w:val="22"/>
        </w:rPr>
        <w:t xml:space="preserve">(SAIMEX) </w:t>
      </w:r>
      <w:r w:rsidRPr="00495DBE">
        <w:rPr>
          <w:rFonts w:ascii="Palatino Linotype" w:eastAsia="Palatino Linotype" w:hAnsi="Palatino Linotype" w:cs="Palatino Linotype"/>
          <w:sz w:val="22"/>
          <w:szCs w:val="22"/>
        </w:rPr>
        <w:t>la presente resolución a la Titular de la Unidad de Transparencia del</w:t>
      </w:r>
      <w:r w:rsidRPr="00495DBE">
        <w:rPr>
          <w:rFonts w:ascii="Palatino Linotype" w:eastAsia="Palatino Linotype" w:hAnsi="Palatino Linotype" w:cs="Palatino Linotype"/>
          <w:b/>
          <w:sz w:val="22"/>
          <w:szCs w:val="22"/>
        </w:rPr>
        <w:t xml:space="preserve"> SUJETO OBLIGADO, p</w:t>
      </w:r>
      <w:r w:rsidRPr="00495DBE">
        <w:rPr>
          <w:rFonts w:ascii="Palatino Linotype" w:eastAsia="Palatino Linotype" w:hAnsi="Palatino Linotype" w:cs="Palatino Linotype"/>
          <w:sz w:val="22"/>
          <w:szCs w:val="22"/>
        </w:rPr>
        <w:t>ara su conocimiento, lo anterior en términos del artículo 189 de la Ley de Transparencia y Acceso a la Información Pública del Estado de México y Municipios.</w:t>
      </w:r>
    </w:p>
    <w:p w14:paraId="4C712F32" w14:textId="77777777" w:rsidR="00835735" w:rsidRPr="00495DBE" w:rsidRDefault="00835735">
      <w:pPr>
        <w:spacing w:line="360" w:lineRule="auto"/>
        <w:jc w:val="both"/>
        <w:rPr>
          <w:rFonts w:ascii="Palatino Linotype" w:eastAsia="Palatino Linotype" w:hAnsi="Palatino Linotype" w:cs="Palatino Linotype"/>
          <w:b/>
          <w:sz w:val="22"/>
          <w:szCs w:val="22"/>
        </w:rPr>
      </w:pPr>
    </w:p>
    <w:p w14:paraId="2D2C65FC" w14:textId="77777777" w:rsidR="00835735" w:rsidRPr="00495DBE" w:rsidRDefault="0071539A">
      <w:pPr>
        <w:spacing w:line="360" w:lineRule="auto"/>
        <w:ind w:right="51"/>
        <w:jc w:val="both"/>
        <w:rPr>
          <w:rFonts w:ascii="Palatino Linotype" w:eastAsia="Palatino Linotype" w:hAnsi="Palatino Linotype" w:cs="Palatino Linotype"/>
          <w:sz w:val="22"/>
          <w:szCs w:val="22"/>
        </w:rPr>
      </w:pPr>
      <w:r w:rsidRPr="00495DBE">
        <w:rPr>
          <w:rFonts w:ascii="Palatino Linotype" w:eastAsia="Palatino Linotype" w:hAnsi="Palatino Linotype" w:cs="Palatino Linotype"/>
          <w:b/>
          <w:sz w:val="22"/>
          <w:szCs w:val="22"/>
        </w:rPr>
        <w:t>TERCERO. NOTIFÍQUESE </w:t>
      </w:r>
      <w:r w:rsidRPr="00495DBE">
        <w:rPr>
          <w:rFonts w:ascii="Palatino Linotype" w:eastAsia="Palatino Linotype" w:hAnsi="Palatino Linotype" w:cs="Palatino Linotype"/>
          <w:sz w:val="22"/>
          <w:szCs w:val="22"/>
        </w:rPr>
        <w:t>vía SAIMEX</w:t>
      </w:r>
      <w:r w:rsidRPr="00495DBE">
        <w:rPr>
          <w:rFonts w:ascii="Palatino Linotype" w:eastAsia="Palatino Linotype" w:hAnsi="Palatino Linotype" w:cs="Palatino Linotype"/>
          <w:b/>
          <w:sz w:val="22"/>
          <w:szCs w:val="22"/>
        </w:rPr>
        <w:t xml:space="preserve"> a LA PARTE RECURRENTE</w:t>
      </w:r>
      <w:r w:rsidRPr="00495DBE">
        <w:rPr>
          <w:rFonts w:ascii="Palatino Linotype" w:eastAsia="Palatino Linotype" w:hAnsi="Palatino Linotype" w:cs="Palatino Linotype"/>
          <w:sz w:val="22"/>
          <w:szCs w:val="22"/>
        </w:rPr>
        <w:t>, la presente resolución, además que de conformidad con lo establecido en el artículo 196 de la Ley de Transparencia y Acceso a la Información Pública del Estado de México y Municipios, podrá impugnar vía Juicio de Amparo en los términos de las leyes aplicables.</w:t>
      </w:r>
    </w:p>
    <w:p w14:paraId="1B513FB4" w14:textId="77777777" w:rsidR="00835735" w:rsidRPr="00495DBE" w:rsidRDefault="00835735">
      <w:pPr>
        <w:spacing w:line="360" w:lineRule="auto"/>
        <w:ind w:right="51"/>
        <w:jc w:val="both"/>
        <w:rPr>
          <w:rFonts w:ascii="Palatino Linotype" w:eastAsia="Palatino Linotype" w:hAnsi="Palatino Linotype" w:cs="Palatino Linotype"/>
        </w:rPr>
      </w:pPr>
    </w:p>
    <w:p w14:paraId="170596FD" w14:textId="77777777" w:rsidR="00835735" w:rsidRPr="00356B4A" w:rsidRDefault="0071539A">
      <w:pPr>
        <w:spacing w:line="360" w:lineRule="auto"/>
        <w:jc w:val="both"/>
        <w:rPr>
          <w:rFonts w:ascii="Palatino Linotype" w:eastAsia="Palatino Linotype" w:hAnsi="Palatino Linotype" w:cs="Palatino Linotype"/>
          <w:sz w:val="22"/>
          <w:szCs w:val="22"/>
        </w:rPr>
        <w:sectPr w:rsidR="00835735" w:rsidRPr="00356B4A">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r w:rsidRPr="00495DB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DE ABRIL DE DOS MIL VEINTICINCO ANTE EL SECRETARIO TÉCNICO DEL PLENO ALEXIS TAPIA RAMÍREZ.</w:t>
      </w:r>
      <w:r w:rsidRPr="00356B4A">
        <w:rPr>
          <w:rFonts w:ascii="Palatino Linotype" w:eastAsia="Palatino Linotype" w:hAnsi="Palatino Linotype" w:cs="Palatino Linotype"/>
          <w:sz w:val="22"/>
          <w:szCs w:val="22"/>
        </w:rPr>
        <w:t xml:space="preserve">                             </w:t>
      </w:r>
    </w:p>
    <w:p w14:paraId="4C7E1D09" w14:textId="77777777" w:rsidR="00835735" w:rsidRPr="00356B4A" w:rsidRDefault="00835735">
      <w:pPr>
        <w:spacing w:line="360" w:lineRule="auto"/>
        <w:jc w:val="both"/>
        <w:rPr>
          <w:rFonts w:ascii="Palatino Linotype" w:eastAsia="Palatino Linotype" w:hAnsi="Palatino Linotype" w:cs="Palatino Linotype"/>
          <w:sz w:val="22"/>
          <w:szCs w:val="22"/>
        </w:rPr>
      </w:pPr>
    </w:p>
    <w:p w14:paraId="1D2CB3CB" w14:textId="77777777" w:rsidR="00835735" w:rsidRPr="00356B4A" w:rsidRDefault="00835735">
      <w:pPr>
        <w:spacing w:line="360" w:lineRule="auto"/>
        <w:jc w:val="both"/>
        <w:rPr>
          <w:rFonts w:ascii="Palatino Linotype" w:eastAsia="Palatino Linotype" w:hAnsi="Palatino Linotype" w:cs="Palatino Linotype"/>
          <w:sz w:val="22"/>
          <w:szCs w:val="22"/>
        </w:rPr>
      </w:pPr>
    </w:p>
    <w:sectPr w:rsidR="00835735" w:rsidRPr="00356B4A">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2FCAF" w14:textId="77777777" w:rsidR="009C145A" w:rsidRDefault="009C145A">
      <w:r>
        <w:separator/>
      </w:r>
    </w:p>
  </w:endnote>
  <w:endnote w:type="continuationSeparator" w:id="0">
    <w:p w14:paraId="68D25A27" w14:textId="77777777" w:rsidR="009C145A" w:rsidRDefault="009C1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56B8" w14:textId="77777777" w:rsidR="00835735" w:rsidRDefault="0071539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95DBE">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95DBE">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7C09A6C8" w14:textId="77777777" w:rsidR="00835735" w:rsidRDefault="00835735">
    <w:pPr>
      <w:pBdr>
        <w:top w:val="nil"/>
        <w:left w:val="nil"/>
        <w:bottom w:val="nil"/>
        <w:right w:val="nil"/>
        <w:between w:val="nil"/>
      </w:pBdr>
      <w:tabs>
        <w:tab w:val="center" w:pos="4252"/>
        <w:tab w:val="right" w:pos="8504"/>
      </w:tabs>
      <w:rPr>
        <w:color w:val="000000"/>
      </w:rPr>
    </w:pPr>
  </w:p>
  <w:p w14:paraId="195053F9" w14:textId="77777777" w:rsidR="00835735" w:rsidRDefault="0083573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1FFE" w14:textId="77777777" w:rsidR="00835735" w:rsidRDefault="0071539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95DBE">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95DBE">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74BD4430" w14:textId="77777777" w:rsidR="00835735" w:rsidRDefault="0083573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15EC" w14:textId="77777777" w:rsidR="009C145A" w:rsidRDefault="009C145A">
      <w:r>
        <w:separator/>
      </w:r>
    </w:p>
  </w:footnote>
  <w:footnote w:type="continuationSeparator" w:id="0">
    <w:p w14:paraId="5AF09DCE" w14:textId="77777777" w:rsidR="009C145A" w:rsidRDefault="009C145A">
      <w:r>
        <w:continuationSeparator/>
      </w:r>
    </w:p>
  </w:footnote>
  <w:footnote w:id="1">
    <w:p w14:paraId="3A451AE6" w14:textId="77777777" w:rsidR="00835735" w:rsidRDefault="0071539A">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0825AABF" w14:textId="77777777" w:rsidR="00835735" w:rsidRDefault="0071539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2AC6" w14:textId="77777777" w:rsidR="00835735" w:rsidRDefault="0071539A">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70349ED" wp14:editId="1437E32A">
          <wp:simplePos x="0" y="0"/>
          <wp:positionH relativeFrom="column">
            <wp:posOffset>-781049</wp:posOffset>
          </wp:positionH>
          <wp:positionV relativeFrom="paragraph">
            <wp:posOffset>-316864</wp:posOffset>
          </wp:positionV>
          <wp:extent cx="7809876" cy="10165823"/>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528" w:type="dxa"/>
      <w:tblInd w:w="3261" w:type="dxa"/>
      <w:tblLayout w:type="fixed"/>
      <w:tblLook w:val="0400" w:firstRow="0" w:lastRow="0" w:firstColumn="0" w:lastColumn="0" w:noHBand="0" w:noVBand="1"/>
    </w:tblPr>
    <w:tblGrid>
      <w:gridCol w:w="2551"/>
      <w:gridCol w:w="2977"/>
    </w:tblGrid>
    <w:tr w:rsidR="00835735" w14:paraId="017A0143" w14:textId="77777777">
      <w:tc>
        <w:tcPr>
          <w:tcW w:w="2551" w:type="dxa"/>
          <w:vAlign w:val="center"/>
        </w:tcPr>
        <w:p w14:paraId="7A80C598" w14:textId="77777777" w:rsidR="00835735" w:rsidRDefault="007153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92953A0" w14:textId="77777777" w:rsidR="00835735" w:rsidRDefault="0071539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01914/INFOEM/IP/RR/2025</w:t>
          </w:r>
        </w:p>
      </w:tc>
    </w:tr>
    <w:tr w:rsidR="00835735" w14:paraId="2C3F76EC" w14:textId="77777777">
      <w:trPr>
        <w:trHeight w:val="228"/>
      </w:trPr>
      <w:tc>
        <w:tcPr>
          <w:tcW w:w="2551" w:type="dxa"/>
          <w:vAlign w:val="center"/>
        </w:tcPr>
        <w:p w14:paraId="408F1C8A" w14:textId="77777777" w:rsidR="00835735" w:rsidRDefault="007153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D46B2A0" w14:textId="77777777" w:rsidR="00835735" w:rsidRDefault="0071539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Municipal para la Prestación de Los Servicios de Agua Potable Alcantarillado y Saneamiento de Cuautitlán Izcalli denominado OPERAGUA, O.P.D.M.</w:t>
          </w:r>
        </w:p>
      </w:tc>
    </w:tr>
    <w:tr w:rsidR="00835735" w14:paraId="7E63365C" w14:textId="77777777">
      <w:tc>
        <w:tcPr>
          <w:tcW w:w="2551" w:type="dxa"/>
          <w:vAlign w:val="center"/>
        </w:tcPr>
        <w:p w14:paraId="19C20A90" w14:textId="77777777" w:rsidR="00835735" w:rsidRDefault="007153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41BED16" w14:textId="77777777" w:rsidR="00835735" w:rsidRDefault="0071539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2971AA" w14:textId="77777777" w:rsidR="00835735" w:rsidRDefault="0071539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BE38" w14:textId="77777777" w:rsidR="00835735" w:rsidRDefault="0071539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F128279" wp14:editId="442428FC">
          <wp:simplePos x="0" y="0"/>
          <wp:positionH relativeFrom="column">
            <wp:posOffset>-798193</wp:posOffset>
          </wp:positionH>
          <wp:positionV relativeFrom="paragraph">
            <wp:posOffset>-399413</wp:posOffset>
          </wp:positionV>
          <wp:extent cx="7809876" cy="10165823"/>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835735" w14:paraId="51688A0A" w14:textId="77777777">
      <w:tc>
        <w:tcPr>
          <w:tcW w:w="2551" w:type="dxa"/>
          <w:vAlign w:val="center"/>
        </w:tcPr>
        <w:p w14:paraId="61262529" w14:textId="77777777" w:rsidR="00835735" w:rsidRDefault="007153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F6C864A" w14:textId="77777777" w:rsidR="00835735" w:rsidRDefault="0071539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01914/INFOEM/IP/RR/2025 </w:t>
          </w:r>
        </w:p>
      </w:tc>
    </w:tr>
    <w:tr w:rsidR="00835735" w14:paraId="196D6541" w14:textId="77777777">
      <w:tc>
        <w:tcPr>
          <w:tcW w:w="2551" w:type="dxa"/>
          <w:vAlign w:val="center"/>
        </w:tcPr>
        <w:p w14:paraId="32849493" w14:textId="77777777" w:rsidR="00835735" w:rsidRDefault="0071539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344974F" w14:textId="28F9073A" w:rsidR="00835735" w:rsidRDefault="00D05D4F">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XXXXXX</w:t>
          </w:r>
        </w:p>
      </w:tc>
    </w:tr>
    <w:tr w:rsidR="00835735" w14:paraId="4FBEADAE" w14:textId="77777777">
      <w:trPr>
        <w:trHeight w:val="228"/>
      </w:trPr>
      <w:tc>
        <w:tcPr>
          <w:tcW w:w="2551" w:type="dxa"/>
          <w:vAlign w:val="center"/>
        </w:tcPr>
        <w:p w14:paraId="14D220E5" w14:textId="77777777" w:rsidR="00835735" w:rsidRDefault="007153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C44A018" w14:textId="77777777" w:rsidR="00835735" w:rsidRDefault="0071539A">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Municipal para la Prestación de Los Servicios de Agua Potable Alcantarillado y Saneamiento de Cuautitlán Izcalli denominado OPERAGUA, O.P.D.M.</w:t>
          </w:r>
        </w:p>
      </w:tc>
    </w:tr>
    <w:tr w:rsidR="00835735" w14:paraId="712C39CB" w14:textId="77777777">
      <w:tc>
        <w:tcPr>
          <w:tcW w:w="2551" w:type="dxa"/>
          <w:vAlign w:val="center"/>
        </w:tcPr>
        <w:p w14:paraId="6119DACE" w14:textId="77777777" w:rsidR="00835735" w:rsidRDefault="007153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7EBEE92" w14:textId="77777777" w:rsidR="00835735" w:rsidRDefault="0071539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8B20A05" w14:textId="77777777" w:rsidR="00835735" w:rsidRDefault="0083573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A7EB" w14:textId="77777777" w:rsidR="00835735" w:rsidRDefault="0083573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A1E8D61" w14:textId="77777777" w:rsidR="00835735" w:rsidRDefault="0083573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0A7F"/>
    <w:multiLevelType w:val="multilevel"/>
    <w:tmpl w:val="9512571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D65CF1"/>
    <w:multiLevelType w:val="multilevel"/>
    <w:tmpl w:val="A9C69806"/>
    <w:lvl w:ilvl="0">
      <w:start w:val="1"/>
      <w:numFmt w:val="upperRoman"/>
      <w:pStyle w:val="Listaconvietas3"/>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3F3F27A2"/>
    <w:multiLevelType w:val="multilevel"/>
    <w:tmpl w:val="764EF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B62AA4"/>
    <w:multiLevelType w:val="multilevel"/>
    <w:tmpl w:val="29947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D26D2B"/>
    <w:multiLevelType w:val="multilevel"/>
    <w:tmpl w:val="A5507EB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735"/>
    <w:rsid w:val="00356B4A"/>
    <w:rsid w:val="00495DBE"/>
    <w:rsid w:val="0071539A"/>
    <w:rsid w:val="00835735"/>
    <w:rsid w:val="009C145A"/>
    <w:rsid w:val="00D05D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E1DE"/>
  <w15:docId w15:val="{CD6792F8-BA8D-4EAC-81F3-42DF494F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21E62"/>
    <w:rPr>
      <w:color w:val="605E5C"/>
      <w:shd w:val="clear" w:color="auto" w:fill="E1DFDD"/>
    </w:rPr>
  </w:style>
  <w:style w:type="paragraph" w:customStyle="1" w:styleId="INFOEM">
    <w:name w:val="INFOEM"/>
    <w:basedOn w:val="Normal"/>
    <w:qFormat/>
    <w:rsid w:val="00A87C1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paragraph" w:customStyle="1" w:styleId="Default">
    <w:name w:val="Default"/>
    <w:rsid w:val="005E228D"/>
    <w:pPr>
      <w:autoSpaceDE w:val="0"/>
      <w:autoSpaceDN w:val="0"/>
      <w:adjustRightInd w:val="0"/>
    </w:pPr>
    <w:rPr>
      <w:rFonts w:ascii="Palatino Linotype" w:eastAsiaTheme="minorEastAsia" w:hAnsi="Palatino Linotype" w:cs="Palatino Linotype"/>
      <w:color w:val="000000"/>
      <w:lang w:val="es-MX" w:eastAsia="es-ES"/>
    </w:rPr>
  </w:style>
  <w:style w:type="character" w:customStyle="1" w:styleId="Mencinsinresolver4">
    <w:name w:val="Mención sin resolver4"/>
    <w:basedOn w:val="Fuentedeprrafopredeter"/>
    <w:uiPriority w:val="99"/>
    <w:semiHidden/>
    <w:unhideWhenUsed/>
    <w:rsid w:val="00577C03"/>
    <w:rPr>
      <w:color w:val="605E5C"/>
      <w:shd w:val="clear" w:color="auto" w:fill="E1DFDD"/>
    </w:rPr>
  </w:style>
  <w:style w:type="paragraph" w:styleId="Revisin">
    <w:name w:val="Revision"/>
    <w:hidden/>
    <w:uiPriority w:val="99"/>
    <w:semiHidden/>
    <w:rsid w:val="009F0FE0"/>
    <w:rPr>
      <w:lang w:eastAsia="es-ES"/>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t3rGxP6bc2s+7EN5MolApZCXeA==">CgMxLjAyCGguZ2pkZ3hzMgloLjMwajB6bGwyCWlkLmdqZGd4czIIaC5sbnhiejkyCWguMWZvYjl0ZTIOaC5jYW53ajlqNmpyeG04AHIhMXNDNkxzVThTYl9WbXJoZlhZRHJRdFhKS2hXMkxsWk9t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5716</Words>
  <Characters>31438</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2025-04-11T17:14:00Z</cp:lastPrinted>
  <dcterms:created xsi:type="dcterms:W3CDTF">2025-05-07T18:26:00Z</dcterms:created>
  <dcterms:modified xsi:type="dcterms:W3CDTF">2025-05-07T18:26:00Z</dcterms:modified>
</cp:coreProperties>
</file>