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E68" w:rsidRPr="00177D55" w:rsidRDefault="00FB3022" w:rsidP="00282807">
      <w:pPr>
        <w:spacing w:before="240" w:after="240" w:line="360" w:lineRule="auto"/>
        <w:jc w:val="both"/>
        <w:rPr>
          <w:rFonts w:ascii="Palatino Linotype" w:eastAsia="Palatino Linotype" w:hAnsi="Palatino Linotype" w:cs="Palatino Linotype"/>
          <w:b/>
          <w:color w:val="000000" w:themeColor="text1"/>
        </w:rPr>
      </w:pPr>
      <w:bookmarkStart w:id="0" w:name="_GoBack"/>
      <w:bookmarkEnd w:id="0"/>
      <w:r w:rsidRPr="00177D5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77D55">
        <w:rPr>
          <w:rFonts w:ascii="Palatino Linotype" w:eastAsia="Palatino Linotype" w:hAnsi="Palatino Linotype" w:cs="Palatino Linotype"/>
          <w:b/>
          <w:color w:val="000000" w:themeColor="text1"/>
        </w:rPr>
        <w:t>de fecha</w:t>
      </w:r>
      <w:r w:rsidRPr="00177D55">
        <w:rPr>
          <w:rFonts w:ascii="Palatino Linotype" w:eastAsia="Palatino Linotype" w:hAnsi="Palatino Linotype" w:cs="Palatino Linotype"/>
          <w:color w:val="000000" w:themeColor="text1"/>
        </w:rPr>
        <w:t xml:space="preserve"> </w:t>
      </w:r>
      <w:r w:rsidR="006C2BDF" w:rsidRPr="00177D55">
        <w:rPr>
          <w:rFonts w:ascii="Palatino Linotype" w:eastAsia="Palatino Linotype" w:hAnsi="Palatino Linotype" w:cs="Palatino Linotype"/>
          <w:b/>
          <w:color w:val="000000" w:themeColor="text1"/>
        </w:rPr>
        <w:t>diez</w:t>
      </w:r>
      <w:r w:rsidR="00F411E4">
        <w:rPr>
          <w:rFonts w:ascii="Palatino Linotype" w:eastAsia="Palatino Linotype" w:hAnsi="Palatino Linotype" w:cs="Palatino Linotype"/>
          <w:b/>
          <w:color w:val="000000" w:themeColor="text1"/>
        </w:rPr>
        <w:t xml:space="preserve"> (10)</w:t>
      </w:r>
      <w:r w:rsidR="006C2BDF" w:rsidRPr="00177D55">
        <w:rPr>
          <w:rFonts w:ascii="Palatino Linotype" w:eastAsia="Palatino Linotype" w:hAnsi="Palatino Linotype" w:cs="Palatino Linotype"/>
          <w:b/>
          <w:color w:val="000000" w:themeColor="text1"/>
        </w:rPr>
        <w:t xml:space="preserve"> de septiembre</w:t>
      </w:r>
      <w:r w:rsidR="006E157D" w:rsidRPr="00177D55">
        <w:rPr>
          <w:rFonts w:ascii="Palatino Linotype" w:eastAsia="Palatino Linotype" w:hAnsi="Palatino Linotype" w:cs="Palatino Linotype"/>
          <w:b/>
          <w:color w:val="000000" w:themeColor="text1"/>
        </w:rPr>
        <w:t xml:space="preserve"> de dos mil veinticinco.</w:t>
      </w:r>
    </w:p>
    <w:p w:rsidR="00453E68" w:rsidRDefault="00FB3022" w:rsidP="00282807">
      <w:pPr>
        <w:spacing w:before="240" w:after="240" w:line="360"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b/>
          <w:color w:val="000000" w:themeColor="text1"/>
        </w:rPr>
        <w:t xml:space="preserve">VISTOS </w:t>
      </w:r>
      <w:r w:rsidRPr="00177D55">
        <w:rPr>
          <w:rFonts w:ascii="Palatino Linotype" w:eastAsia="Palatino Linotype" w:hAnsi="Palatino Linotype" w:cs="Palatino Linotype"/>
          <w:color w:val="000000" w:themeColor="text1"/>
        </w:rPr>
        <w:t xml:space="preserve">el expediente electrónico formado con motivo del recurso de revisión </w:t>
      </w:r>
      <w:r w:rsidR="006E157D" w:rsidRPr="00177D55">
        <w:rPr>
          <w:rFonts w:ascii="Palatino Linotype" w:eastAsia="Palatino Linotype" w:hAnsi="Palatino Linotype" w:cs="Palatino Linotype"/>
          <w:b/>
          <w:bCs/>
          <w:color w:val="000000" w:themeColor="text1"/>
        </w:rPr>
        <w:t>0</w:t>
      </w:r>
      <w:r w:rsidR="00282807" w:rsidRPr="00177D55">
        <w:rPr>
          <w:rFonts w:ascii="Palatino Linotype" w:eastAsia="Palatino Linotype" w:hAnsi="Palatino Linotype" w:cs="Palatino Linotype"/>
          <w:b/>
          <w:bCs/>
          <w:color w:val="000000" w:themeColor="text1"/>
        </w:rPr>
        <w:t>7163</w:t>
      </w:r>
      <w:r w:rsidR="006E157D" w:rsidRPr="00177D55">
        <w:rPr>
          <w:rFonts w:ascii="Palatino Linotype" w:eastAsia="Palatino Linotype" w:hAnsi="Palatino Linotype" w:cs="Palatino Linotype"/>
          <w:b/>
          <w:bCs/>
          <w:color w:val="000000" w:themeColor="text1"/>
        </w:rPr>
        <w:t>/INFOEM/IP/RR/202</w:t>
      </w:r>
      <w:r w:rsidR="00282807" w:rsidRPr="00177D55">
        <w:rPr>
          <w:rFonts w:ascii="Palatino Linotype" w:eastAsia="Palatino Linotype" w:hAnsi="Palatino Linotype" w:cs="Palatino Linotype"/>
          <w:b/>
          <w:bCs/>
          <w:color w:val="000000" w:themeColor="text1"/>
        </w:rPr>
        <w:t>5</w:t>
      </w:r>
      <w:r w:rsidRPr="00177D55">
        <w:rPr>
          <w:rFonts w:ascii="Palatino Linotype" w:eastAsia="Palatino Linotype" w:hAnsi="Palatino Linotype" w:cs="Palatino Linotype"/>
          <w:color w:val="000000" w:themeColor="text1"/>
        </w:rPr>
        <w:t xml:space="preserve">, promovido por </w:t>
      </w:r>
      <w:r w:rsidR="009D0888">
        <w:rPr>
          <w:rFonts w:ascii="Palatino Linotype" w:eastAsia="Palatino Linotype" w:hAnsi="Palatino Linotype" w:cs="Palatino Linotype"/>
          <w:b/>
          <w:bCs/>
          <w:color w:val="000000" w:themeColor="text1"/>
        </w:rPr>
        <w:t>XXXX</w:t>
      </w:r>
      <w:r w:rsidRPr="00177D55">
        <w:rPr>
          <w:rFonts w:ascii="Palatino Linotype" w:eastAsia="Palatino Linotype" w:hAnsi="Palatino Linotype" w:cs="Palatino Linotype"/>
          <w:color w:val="000000" w:themeColor="text1"/>
        </w:rPr>
        <w:t>, en adelante</w:t>
      </w:r>
      <w:r w:rsidR="00282807" w:rsidRPr="00177D55">
        <w:rPr>
          <w:rFonts w:ascii="Palatino Linotype" w:eastAsia="Palatino Linotype" w:hAnsi="Palatino Linotype" w:cs="Palatino Linotype"/>
          <w:b/>
          <w:color w:val="000000" w:themeColor="text1"/>
        </w:rPr>
        <w:t xml:space="preserve"> EL</w:t>
      </w:r>
      <w:r w:rsidRPr="00177D55">
        <w:rPr>
          <w:rFonts w:ascii="Palatino Linotype" w:eastAsia="Palatino Linotype" w:hAnsi="Palatino Linotype" w:cs="Palatino Linotype"/>
          <w:b/>
          <w:color w:val="000000" w:themeColor="text1"/>
        </w:rPr>
        <w:t xml:space="preserve"> RECURRENTE, </w:t>
      </w:r>
      <w:r w:rsidRPr="00177D55">
        <w:rPr>
          <w:rFonts w:ascii="Palatino Linotype" w:eastAsia="Palatino Linotype" w:hAnsi="Palatino Linotype" w:cs="Palatino Linotype"/>
          <w:color w:val="000000" w:themeColor="text1"/>
        </w:rPr>
        <w:t>en contra de la respuesta</w:t>
      </w:r>
      <w:r w:rsidR="006E157D" w:rsidRPr="00177D55">
        <w:rPr>
          <w:rFonts w:ascii="Palatino Linotype" w:eastAsia="Palatino Linotype" w:hAnsi="Palatino Linotype" w:cs="Palatino Linotype"/>
          <w:color w:val="000000" w:themeColor="text1"/>
        </w:rPr>
        <w:t xml:space="preserve"> del </w:t>
      </w:r>
      <w:r w:rsidR="006E157D" w:rsidRPr="00177D55">
        <w:rPr>
          <w:rFonts w:ascii="Palatino Linotype" w:eastAsia="Palatino Linotype" w:hAnsi="Palatino Linotype" w:cs="Palatino Linotype"/>
          <w:b/>
          <w:color w:val="000000" w:themeColor="text1"/>
        </w:rPr>
        <w:t xml:space="preserve">Ayuntamiento de </w:t>
      </w:r>
      <w:r w:rsidR="00282807" w:rsidRPr="00177D55">
        <w:rPr>
          <w:rFonts w:ascii="Palatino Linotype" w:eastAsia="Palatino Linotype" w:hAnsi="Palatino Linotype" w:cs="Palatino Linotype"/>
          <w:b/>
          <w:color w:val="000000" w:themeColor="text1"/>
        </w:rPr>
        <w:t>Teoloyucan</w:t>
      </w:r>
      <w:r w:rsidRPr="00177D55">
        <w:rPr>
          <w:rFonts w:ascii="Palatino Linotype" w:eastAsia="Palatino Linotype" w:hAnsi="Palatino Linotype" w:cs="Palatino Linotype"/>
          <w:b/>
          <w:color w:val="000000" w:themeColor="text1"/>
        </w:rPr>
        <w:t xml:space="preserve">, </w:t>
      </w:r>
      <w:r w:rsidRPr="00177D55">
        <w:rPr>
          <w:rFonts w:ascii="Palatino Linotype" w:eastAsia="Palatino Linotype" w:hAnsi="Palatino Linotype" w:cs="Palatino Linotype"/>
          <w:color w:val="000000" w:themeColor="text1"/>
        </w:rPr>
        <w:t xml:space="preserve">en lo sucesivo el </w:t>
      </w:r>
      <w:r w:rsidRPr="00177D55">
        <w:rPr>
          <w:rFonts w:ascii="Palatino Linotype" w:eastAsia="Palatino Linotype" w:hAnsi="Palatino Linotype" w:cs="Palatino Linotype"/>
          <w:b/>
          <w:color w:val="000000" w:themeColor="text1"/>
        </w:rPr>
        <w:t xml:space="preserve">SUJETO OBLIGADO, </w:t>
      </w:r>
      <w:r w:rsidRPr="00177D55">
        <w:rPr>
          <w:rFonts w:ascii="Palatino Linotype" w:eastAsia="Palatino Linotype" w:hAnsi="Palatino Linotype" w:cs="Palatino Linotype"/>
          <w:color w:val="000000" w:themeColor="text1"/>
        </w:rPr>
        <w:t>se procede a dictar la presente resolución, con base en los siguientes:</w:t>
      </w:r>
    </w:p>
    <w:p w:rsidR="00F411E4" w:rsidRPr="00177D55" w:rsidRDefault="00F411E4" w:rsidP="00282807">
      <w:pPr>
        <w:spacing w:before="240" w:after="240" w:line="360" w:lineRule="auto"/>
        <w:jc w:val="both"/>
        <w:rPr>
          <w:rFonts w:ascii="Palatino Linotype" w:eastAsia="Palatino Linotype" w:hAnsi="Palatino Linotype" w:cs="Palatino Linotype"/>
          <w:color w:val="000000" w:themeColor="text1"/>
        </w:rPr>
      </w:pPr>
    </w:p>
    <w:p w:rsidR="00453E68" w:rsidRPr="00177D55" w:rsidRDefault="00FB3022" w:rsidP="00282807">
      <w:pPr>
        <w:pStyle w:val="Ttulo1"/>
        <w:jc w:val="center"/>
        <w:rPr>
          <w:color w:val="000000" w:themeColor="text1"/>
          <w:szCs w:val="24"/>
        </w:rPr>
      </w:pPr>
      <w:bookmarkStart w:id="1" w:name="_heading=h.gjdgxs" w:colFirst="0" w:colLast="0"/>
      <w:bookmarkEnd w:id="1"/>
      <w:r w:rsidRPr="00177D55">
        <w:rPr>
          <w:color w:val="000000" w:themeColor="text1"/>
          <w:szCs w:val="24"/>
        </w:rPr>
        <w:t>A N T E C E D E N T E S</w:t>
      </w:r>
    </w:p>
    <w:p w:rsidR="00453E68" w:rsidRPr="00177D55" w:rsidRDefault="00453E68" w:rsidP="00282807">
      <w:pPr>
        <w:rPr>
          <w:rFonts w:ascii="Palatino Linotype" w:hAnsi="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before="240" w:after="240"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El </w:t>
      </w:r>
      <w:r w:rsidR="006C2BDF" w:rsidRPr="00177D55">
        <w:rPr>
          <w:rFonts w:ascii="Palatino Linotype" w:eastAsia="Palatino Linotype" w:hAnsi="Palatino Linotype" w:cs="Palatino Linotype"/>
          <w:b/>
          <w:color w:val="000000" w:themeColor="text1"/>
        </w:rPr>
        <w:t>veintitrés de mayo de dos mil veinticinco</w:t>
      </w:r>
      <w:r w:rsidR="001C4904" w:rsidRPr="00177D55">
        <w:rPr>
          <w:rFonts w:ascii="Palatino Linotype" w:eastAsia="Palatino Linotype" w:hAnsi="Palatino Linotype" w:cs="Palatino Linotype"/>
          <w:color w:val="000000" w:themeColor="text1"/>
        </w:rPr>
        <w:t>, la</w:t>
      </w:r>
      <w:r w:rsidRPr="00177D55">
        <w:rPr>
          <w:rFonts w:ascii="Palatino Linotype" w:eastAsia="Palatino Linotype" w:hAnsi="Palatino Linotype" w:cs="Palatino Linotype"/>
          <w:color w:val="000000" w:themeColor="text1"/>
        </w:rPr>
        <w:t xml:space="preserve"> </w:t>
      </w:r>
      <w:r w:rsidRPr="00177D55">
        <w:rPr>
          <w:rFonts w:ascii="Palatino Linotype" w:eastAsia="Palatino Linotype" w:hAnsi="Palatino Linotype" w:cs="Palatino Linotype"/>
          <w:b/>
          <w:color w:val="000000" w:themeColor="text1"/>
        </w:rPr>
        <w:t>PARTICULAR</w:t>
      </w:r>
      <w:r w:rsidRPr="00177D55">
        <w:rPr>
          <w:rFonts w:ascii="Palatino Linotype" w:eastAsia="Palatino Linotype" w:hAnsi="Palatino Linotype" w:cs="Palatino Linotype"/>
          <w:color w:val="000000" w:themeColor="text1"/>
        </w:rPr>
        <w:t xml:space="preserve"> presentó</w:t>
      </w:r>
      <w:r w:rsidRPr="00177D55">
        <w:rPr>
          <w:rFonts w:ascii="Palatino Linotype" w:eastAsia="Palatino Linotype" w:hAnsi="Palatino Linotype" w:cs="Palatino Linotype"/>
          <w:b/>
          <w:color w:val="000000" w:themeColor="text1"/>
        </w:rPr>
        <w:t xml:space="preserve"> </w:t>
      </w:r>
      <w:r w:rsidRPr="00177D55">
        <w:rPr>
          <w:rFonts w:ascii="Palatino Linotype" w:eastAsia="Palatino Linotype" w:hAnsi="Palatino Linotype" w:cs="Palatino Linotype"/>
          <w:color w:val="000000" w:themeColor="text1"/>
        </w:rPr>
        <w:t>a través del Sistema de Acceso a la Información Mexiquense (SAIMEX),</w:t>
      </w:r>
      <w:r w:rsidRPr="00177D55">
        <w:rPr>
          <w:rFonts w:ascii="Palatino Linotype" w:eastAsia="Palatino Linotype" w:hAnsi="Palatino Linotype" w:cs="Palatino Linotype"/>
          <w:b/>
          <w:color w:val="000000" w:themeColor="text1"/>
        </w:rPr>
        <w:t xml:space="preserve"> </w:t>
      </w:r>
      <w:r w:rsidRPr="00177D55">
        <w:rPr>
          <w:rFonts w:ascii="Palatino Linotype" w:eastAsia="Palatino Linotype" w:hAnsi="Palatino Linotype" w:cs="Palatino Linotype"/>
          <w:color w:val="000000" w:themeColor="text1"/>
        </w:rPr>
        <w:t xml:space="preserve">la solicitud de información pública registrada con el número </w:t>
      </w:r>
      <w:r w:rsidR="006C2BDF" w:rsidRPr="00177D55">
        <w:rPr>
          <w:rFonts w:ascii="Palatino Linotype" w:eastAsia="Palatino Linotype" w:hAnsi="Palatino Linotype" w:cs="Palatino Linotype"/>
          <w:b/>
          <w:bCs/>
          <w:color w:val="000000" w:themeColor="text1"/>
        </w:rPr>
        <w:t>00464/TEOLOYU/IP/2025</w:t>
      </w:r>
      <w:r w:rsidRPr="00177D55">
        <w:rPr>
          <w:rFonts w:ascii="Palatino Linotype" w:eastAsia="Palatino Linotype" w:hAnsi="Palatino Linotype" w:cs="Palatino Linotype"/>
          <w:b/>
          <w:color w:val="000000" w:themeColor="text1"/>
        </w:rPr>
        <w:t>,</w:t>
      </w:r>
      <w:r w:rsidRPr="00177D55">
        <w:rPr>
          <w:rFonts w:ascii="Palatino Linotype" w:eastAsia="Palatino Linotype" w:hAnsi="Palatino Linotype" w:cs="Palatino Linotype"/>
          <w:color w:val="000000" w:themeColor="text1"/>
        </w:rPr>
        <w:t xml:space="preserve"> en la que requirió:</w:t>
      </w:r>
    </w:p>
    <w:p w:rsidR="00453E68" w:rsidRPr="00177D55" w:rsidRDefault="00FB3022" w:rsidP="00282807">
      <w:pPr>
        <w:spacing w:line="276"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w:t>
      </w:r>
      <w:r w:rsidR="006C2BDF" w:rsidRPr="00177D55">
        <w:rPr>
          <w:rFonts w:ascii="Palatino Linotype" w:eastAsia="Palatino Linotype" w:hAnsi="Palatino Linotype" w:cs="Palatino Linotype"/>
          <w:i/>
          <w:color w:val="000000" w:themeColor="text1"/>
        </w:rPr>
        <w:t>Solicito todos los oficios firmados, por el director de vinculación del ayuntamiento de TEOLOYUCAN del mes de enero 2025</w:t>
      </w:r>
      <w:r w:rsidR="001C4904" w:rsidRPr="00177D55">
        <w:rPr>
          <w:rFonts w:ascii="Palatino Linotype" w:eastAsia="Palatino Linotype" w:hAnsi="Palatino Linotype" w:cs="Palatino Linotype"/>
          <w:i/>
          <w:color w:val="000000" w:themeColor="text1"/>
        </w:rPr>
        <w:t>”</w:t>
      </w:r>
      <w:r w:rsidRPr="00177D55">
        <w:rPr>
          <w:rFonts w:ascii="Palatino Linotype" w:eastAsia="Palatino Linotype" w:hAnsi="Palatino Linotype" w:cs="Palatino Linotype"/>
          <w:color w:val="000000" w:themeColor="text1"/>
        </w:rPr>
        <w:t>(Sic).</w:t>
      </w:r>
    </w:p>
    <w:p w:rsidR="00453E68" w:rsidRPr="00177D55" w:rsidRDefault="00453E68" w:rsidP="00282807">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453E68" w:rsidRPr="00177D55" w:rsidRDefault="00FB3022" w:rsidP="0028280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Se señaló como modalidad de entrega de la información</w:t>
      </w:r>
      <w:r w:rsidRPr="00177D55">
        <w:rPr>
          <w:rFonts w:ascii="Palatino Linotype" w:eastAsia="Palatino Linotype" w:hAnsi="Palatino Linotype" w:cs="Palatino Linotype"/>
          <w:b/>
          <w:color w:val="000000" w:themeColor="text1"/>
        </w:rPr>
        <w:t>:</w:t>
      </w:r>
      <w:r w:rsidRPr="00177D55">
        <w:rPr>
          <w:rFonts w:ascii="Palatino Linotype" w:eastAsia="Palatino Linotype" w:hAnsi="Palatino Linotype" w:cs="Palatino Linotype"/>
          <w:color w:val="000000" w:themeColor="text1"/>
        </w:rPr>
        <w:t xml:space="preserve"> </w:t>
      </w:r>
      <w:r w:rsidRPr="00177D55">
        <w:rPr>
          <w:rFonts w:ascii="Palatino Linotype" w:eastAsia="Palatino Linotype" w:hAnsi="Palatino Linotype" w:cs="Palatino Linotype"/>
          <w:b/>
          <w:color w:val="000000" w:themeColor="text1"/>
        </w:rPr>
        <w:t>A través del SAIMEX.</w:t>
      </w:r>
    </w:p>
    <w:p w:rsidR="00453E68" w:rsidRPr="00177D55" w:rsidRDefault="00453E68" w:rsidP="0028280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C4904" w:rsidRPr="00177D55" w:rsidRDefault="007A67FF"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 xml:space="preserve">El </w:t>
      </w:r>
      <w:r w:rsidR="006C2BDF" w:rsidRPr="00177D55">
        <w:rPr>
          <w:rFonts w:ascii="Palatino Linotype" w:eastAsia="Palatino Linotype" w:hAnsi="Palatino Linotype" w:cs="Palatino Linotype"/>
          <w:b/>
          <w:color w:val="000000" w:themeColor="text1"/>
        </w:rPr>
        <w:t>dieciséis de junio de dos mil veinticinco</w:t>
      </w:r>
      <w:r w:rsidRPr="00177D55">
        <w:rPr>
          <w:rFonts w:ascii="Palatino Linotype" w:eastAsia="Palatino Linotype" w:hAnsi="Palatino Linotype" w:cs="Palatino Linotype"/>
          <w:b/>
          <w:color w:val="000000" w:themeColor="text1"/>
        </w:rPr>
        <w:t xml:space="preserve">, </w:t>
      </w:r>
      <w:r w:rsidRPr="00177D55">
        <w:rPr>
          <w:rFonts w:ascii="Palatino Linotype" w:eastAsia="Palatino Linotype" w:hAnsi="Palatino Linotype" w:cs="Palatino Linotype"/>
          <w:color w:val="000000" w:themeColor="text1"/>
        </w:rPr>
        <w:t xml:space="preserve">el </w:t>
      </w:r>
      <w:r w:rsidRPr="00177D55">
        <w:rPr>
          <w:rFonts w:ascii="Palatino Linotype" w:eastAsia="Palatino Linotype" w:hAnsi="Palatino Linotype" w:cs="Palatino Linotype"/>
          <w:b/>
          <w:color w:val="000000" w:themeColor="text1"/>
        </w:rPr>
        <w:t xml:space="preserve">SUJETO OBLIGADO </w:t>
      </w:r>
      <w:r w:rsidR="00FB3022" w:rsidRPr="00177D55">
        <w:rPr>
          <w:rFonts w:ascii="Palatino Linotype" w:eastAsia="Palatino Linotype" w:hAnsi="Palatino Linotype" w:cs="Palatino Linotype"/>
          <w:color w:val="000000" w:themeColor="text1"/>
        </w:rPr>
        <w:t>dio respuesta a la solicitud de i</w:t>
      </w:r>
      <w:r w:rsidR="001C4904" w:rsidRPr="00177D55">
        <w:rPr>
          <w:rFonts w:ascii="Palatino Linotype" w:eastAsia="Palatino Linotype" w:hAnsi="Palatino Linotype" w:cs="Palatino Linotype"/>
          <w:color w:val="000000" w:themeColor="text1"/>
        </w:rPr>
        <w:t>nformación a través del archivos siguientes:</w:t>
      </w:r>
    </w:p>
    <w:p w:rsidR="001C4904" w:rsidRPr="00177D55" w:rsidRDefault="001C4904"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6C2BDF" w:rsidRPr="00177D55" w:rsidRDefault="00265E18" w:rsidP="00282807">
      <w:pPr>
        <w:pStyle w:val="Prrafodelista"/>
        <w:numPr>
          <w:ilvl w:val="0"/>
          <w:numId w:val="1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i/>
          <w:color w:val="000000" w:themeColor="text1"/>
        </w:rPr>
      </w:pPr>
      <w:hyperlink r:id="rId8" w:tgtFrame="_blank" w:history="1">
        <w:r w:rsidR="006C2BDF" w:rsidRPr="00177D55">
          <w:rPr>
            <w:rStyle w:val="Hipervnculo"/>
            <w:rFonts w:ascii="Palatino Linotype" w:eastAsia="Palatino Linotype" w:hAnsi="Palatino Linotype" w:cs="Palatino Linotype"/>
            <w:b/>
            <w:bCs/>
            <w:i/>
            <w:color w:val="000000" w:themeColor="text1"/>
            <w:u w:val="none"/>
          </w:rPr>
          <w:t>FOLIOS ENERO 2025.pdf</w:t>
        </w:r>
      </w:hyperlink>
      <w:r w:rsidR="006C2BDF" w:rsidRPr="00177D55">
        <w:rPr>
          <w:rFonts w:ascii="Palatino Linotype" w:eastAsia="Palatino Linotype" w:hAnsi="Palatino Linotype" w:cs="Palatino Linotype"/>
          <w:b/>
          <w:i/>
          <w:color w:val="000000" w:themeColor="text1"/>
        </w:rPr>
        <w:t xml:space="preserve"> </w:t>
      </w:r>
    </w:p>
    <w:p w:rsidR="004E22AE" w:rsidRPr="00177D55" w:rsidRDefault="006C2BDF"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Relación de oficios del mes de enero de dos mil veinticinco.</w:t>
      </w:r>
    </w:p>
    <w:p w:rsidR="004E22AE" w:rsidRPr="00177D55" w:rsidRDefault="004E22AE"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177D55">
        <w:rPr>
          <w:rFonts w:ascii="Palatino Linotype" w:eastAsia="Palatino Linotype" w:hAnsi="Palatino Linotype" w:cs="Palatino Linotype"/>
          <w:color w:val="000000" w:themeColor="text1"/>
        </w:rPr>
        <w:t xml:space="preserve">El </w:t>
      </w:r>
      <w:r w:rsidR="006C2BDF" w:rsidRPr="00177D55">
        <w:rPr>
          <w:rFonts w:ascii="Palatino Linotype" w:eastAsia="Palatino Linotype" w:hAnsi="Palatino Linotype" w:cs="Palatino Linotype"/>
          <w:b/>
          <w:color w:val="000000" w:themeColor="text1"/>
        </w:rPr>
        <w:t>dieciséis de dos mil veinticinco</w:t>
      </w:r>
      <w:r w:rsidR="00282807" w:rsidRPr="00177D55">
        <w:rPr>
          <w:rFonts w:ascii="Palatino Linotype" w:eastAsia="Palatino Linotype" w:hAnsi="Palatino Linotype" w:cs="Palatino Linotype"/>
          <w:color w:val="000000" w:themeColor="text1"/>
        </w:rPr>
        <w:t>, el</w:t>
      </w:r>
      <w:r w:rsidRPr="00177D55">
        <w:rPr>
          <w:rFonts w:ascii="Palatino Linotype" w:eastAsia="Palatino Linotype" w:hAnsi="Palatino Linotype" w:cs="Palatino Linotype"/>
          <w:color w:val="000000" w:themeColor="text1"/>
        </w:rPr>
        <w:t xml:space="preserve"> </w:t>
      </w:r>
      <w:r w:rsidRPr="00177D55">
        <w:rPr>
          <w:rFonts w:ascii="Palatino Linotype" w:eastAsia="Palatino Linotype" w:hAnsi="Palatino Linotype" w:cs="Palatino Linotype"/>
          <w:b/>
          <w:color w:val="000000" w:themeColor="text1"/>
        </w:rPr>
        <w:t xml:space="preserve">PARTICULAR </w:t>
      </w:r>
      <w:r w:rsidRPr="00177D55">
        <w:rPr>
          <w:rFonts w:ascii="Palatino Linotype" w:eastAsia="Palatino Linotype" w:hAnsi="Palatino Linotype" w:cs="Palatino Linotype"/>
          <w:color w:val="000000" w:themeColor="text1"/>
        </w:rPr>
        <w:t xml:space="preserve">interpuso recurso de revisión, el cual recayó bajo el número </w:t>
      </w:r>
      <w:r w:rsidR="006C2BDF" w:rsidRPr="00177D55">
        <w:rPr>
          <w:rFonts w:ascii="Palatino Linotype" w:eastAsia="Palatino Linotype" w:hAnsi="Palatino Linotype" w:cs="Palatino Linotype"/>
          <w:b/>
          <w:color w:val="000000" w:themeColor="text1"/>
        </w:rPr>
        <w:t>07163/INFOEM/IP/RR/2025</w:t>
      </w:r>
      <w:r w:rsidRPr="00177D55">
        <w:rPr>
          <w:rFonts w:ascii="Palatino Linotype" w:eastAsia="Palatino Linotype" w:hAnsi="Palatino Linotype" w:cs="Palatino Linotype"/>
          <w:color w:val="000000" w:themeColor="text1"/>
        </w:rPr>
        <w:t>, en el que señaló como:</w:t>
      </w:r>
    </w:p>
    <w:p w:rsidR="004E22AE" w:rsidRPr="00177D55" w:rsidRDefault="004E22AE"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453E68" w:rsidRPr="00177D55" w:rsidRDefault="00FB3022" w:rsidP="00F411E4">
      <w:pPr>
        <w:numPr>
          <w:ilvl w:val="0"/>
          <w:numId w:val="3"/>
        </w:numPr>
        <w:spacing w:line="276" w:lineRule="auto"/>
        <w:ind w:left="0" w:firstLine="0"/>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b/>
          <w:color w:val="000000" w:themeColor="text1"/>
        </w:rPr>
        <w:t>Acto impugnado:</w:t>
      </w:r>
      <w:r w:rsidRPr="00177D55">
        <w:rPr>
          <w:rFonts w:ascii="Palatino Linotype" w:eastAsia="Palatino Linotype" w:hAnsi="Palatino Linotype" w:cs="Palatino Linotype"/>
          <w:color w:val="000000" w:themeColor="text1"/>
        </w:rPr>
        <w:t xml:space="preserve"> </w:t>
      </w:r>
      <w:r w:rsidR="004E22AE" w:rsidRPr="00177D55">
        <w:rPr>
          <w:rFonts w:ascii="Palatino Linotype" w:eastAsia="Palatino Linotype" w:hAnsi="Palatino Linotype" w:cs="Palatino Linotype"/>
          <w:i/>
          <w:color w:val="000000" w:themeColor="text1"/>
        </w:rPr>
        <w:t>“</w:t>
      </w:r>
      <w:r w:rsidR="006C2BDF" w:rsidRPr="00177D55">
        <w:rPr>
          <w:rFonts w:ascii="Palatino Linotype" w:eastAsia="Palatino Linotype" w:hAnsi="Palatino Linotype" w:cs="Palatino Linotype"/>
          <w:i/>
          <w:color w:val="000000" w:themeColor="text1"/>
        </w:rPr>
        <w:t>FALTA DE RESPUESTA</w:t>
      </w:r>
      <w:r w:rsidR="004E22AE" w:rsidRPr="00177D55">
        <w:rPr>
          <w:rFonts w:ascii="Palatino Linotype" w:eastAsia="Palatino Linotype" w:hAnsi="Palatino Linotype" w:cs="Palatino Linotype"/>
          <w:i/>
          <w:color w:val="000000" w:themeColor="text1"/>
        </w:rPr>
        <w:t>)”</w:t>
      </w:r>
      <w:r w:rsidRPr="00177D55">
        <w:rPr>
          <w:rFonts w:ascii="Palatino Linotype" w:eastAsia="Palatino Linotype" w:hAnsi="Palatino Linotype" w:cs="Palatino Linotype"/>
          <w:i/>
          <w:color w:val="000000" w:themeColor="text1"/>
        </w:rPr>
        <w:t>(Sic)</w:t>
      </w:r>
    </w:p>
    <w:p w:rsidR="004E22AE" w:rsidRPr="00177D55" w:rsidRDefault="004E22AE" w:rsidP="00282807">
      <w:pPr>
        <w:tabs>
          <w:tab w:val="left" w:pos="1418"/>
        </w:tabs>
        <w:spacing w:line="276" w:lineRule="auto"/>
        <w:jc w:val="both"/>
        <w:rPr>
          <w:rFonts w:ascii="Palatino Linotype" w:eastAsia="Palatino Linotype" w:hAnsi="Palatino Linotype" w:cs="Palatino Linotype"/>
          <w:i/>
          <w:color w:val="000000" w:themeColor="text1"/>
        </w:rPr>
      </w:pPr>
    </w:p>
    <w:p w:rsidR="00453E68" w:rsidRPr="00177D55" w:rsidRDefault="00FB3022" w:rsidP="00F411E4">
      <w:pPr>
        <w:numPr>
          <w:ilvl w:val="0"/>
          <w:numId w:val="3"/>
        </w:numPr>
        <w:spacing w:line="276" w:lineRule="auto"/>
        <w:ind w:left="0" w:firstLine="0"/>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b/>
          <w:color w:val="000000" w:themeColor="text1"/>
        </w:rPr>
        <w:t>Razones o motivos de inconformidad:</w:t>
      </w:r>
      <w:r w:rsidRPr="00177D55">
        <w:rPr>
          <w:rFonts w:ascii="Palatino Linotype" w:eastAsia="Palatino Linotype" w:hAnsi="Palatino Linotype" w:cs="Palatino Linotype"/>
          <w:color w:val="000000" w:themeColor="text1"/>
        </w:rPr>
        <w:t xml:space="preserve"> </w:t>
      </w:r>
      <w:r w:rsidR="004E22AE" w:rsidRPr="00177D55">
        <w:rPr>
          <w:rFonts w:ascii="Palatino Linotype" w:eastAsia="Palatino Linotype" w:hAnsi="Palatino Linotype" w:cs="Palatino Linotype"/>
          <w:i/>
          <w:color w:val="000000" w:themeColor="text1"/>
        </w:rPr>
        <w:t>“</w:t>
      </w:r>
      <w:r w:rsidR="006C2BDF" w:rsidRPr="00177D55">
        <w:rPr>
          <w:rFonts w:ascii="Palatino Linotype" w:eastAsia="Palatino Linotype" w:hAnsi="Palatino Linotype" w:cs="Palatino Linotype"/>
          <w:i/>
          <w:color w:val="000000" w:themeColor="text1"/>
        </w:rPr>
        <w:t>YA PASARON MAS DE 16 DIAS HABILES Y NO ME HAN DADO NINGUNA RESPUESTA, SOLICITO QUE POR FAVOR NO ME QUITEN MI DERECHO HUMANO DE ACCESO A LA INFORMACION PUBLICA.</w:t>
      </w:r>
      <w:r w:rsidR="004E22AE" w:rsidRPr="00177D55">
        <w:rPr>
          <w:rFonts w:ascii="Palatino Linotype" w:eastAsia="Palatino Linotype" w:hAnsi="Palatino Linotype" w:cs="Palatino Linotype"/>
          <w:i/>
          <w:color w:val="000000" w:themeColor="text1"/>
        </w:rPr>
        <w:t>.</w:t>
      </w:r>
      <w:r w:rsidRPr="00177D55">
        <w:rPr>
          <w:rFonts w:ascii="Palatino Linotype" w:eastAsia="Palatino Linotype" w:hAnsi="Palatino Linotype" w:cs="Palatino Linotype"/>
          <w:i/>
          <w:color w:val="000000" w:themeColor="text1"/>
        </w:rPr>
        <w:t>” (Sic)</w:t>
      </w:r>
    </w:p>
    <w:p w:rsidR="00453E68" w:rsidRPr="00177D55" w:rsidRDefault="00453E68" w:rsidP="00282807">
      <w:pPr>
        <w:tabs>
          <w:tab w:val="left" w:pos="0"/>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177D55">
        <w:rPr>
          <w:rFonts w:ascii="Palatino Linotype" w:eastAsia="Palatino Linotype" w:hAnsi="Palatino Linotype" w:cs="Palatino Linotype"/>
          <w:b/>
          <w:color w:val="000000" w:themeColor="text1"/>
        </w:rPr>
        <w:t xml:space="preserve">Comisionada María del Rosario Mejía Ayala, </w:t>
      </w:r>
      <w:r w:rsidRPr="00177D55">
        <w:rPr>
          <w:rFonts w:ascii="Palatino Linotype" w:eastAsia="Palatino Linotype" w:hAnsi="Palatino Linotype" w:cs="Palatino Linotype"/>
          <w:color w:val="000000" w:themeColor="text1"/>
        </w:rPr>
        <w:t>para su análisis.</w:t>
      </w:r>
    </w:p>
    <w:p w:rsidR="00453E68" w:rsidRPr="00177D55" w:rsidRDefault="00453E68" w:rsidP="00282807">
      <w:pPr>
        <w:tabs>
          <w:tab w:val="left" w:pos="426"/>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006C2BDF" w:rsidRPr="00177D55">
        <w:rPr>
          <w:rFonts w:ascii="Palatino Linotype" w:eastAsia="Palatino Linotype" w:hAnsi="Palatino Linotype" w:cs="Palatino Linotype"/>
          <w:b/>
          <w:color w:val="000000" w:themeColor="text1"/>
        </w:rPr>
        <w:t xml:space="preserve">veintitrés de junio de dos mil </w:t>
      </w:r>
      <w:r w:rsidR="00282807" w:rsidRPr="00177D55">
        <w:rPr>
          <w:rFonts w:ascii="Palatino Linotype" w:eastAsia="Palatino Linotype" w:hAnsi="Palatino Linotype" w:cs="Palatino Linotype"/>
          <w:b/>
          <w:color w:val="000000" w:themeColor="text1"/>
        </w:rPr>
        <w:t>veinticinco</w:t>
      </w:r>
      <w:r w:rsidRPr="00177D55">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a efecto de que en un plazo máximo de siete días manifestara lo que a su derecho conviniera, ofreciera pruebas y alegatos según corresponda a los casos concretos, de esta forma para que el </w:t>
      </w:r>
      <w:r w:rsidRPr="00177D55">
        <w:rPr>
          <w:rFonts w:ascii="Palatino Linotype" w:eastAsia="Palatino Linotype" w:hAnsi="Palatino Linotype" w:cs="Palatino Linotype"/>
          <w:b/>
          <w:color w:val="000000" w:themeColor="text1"/>
        </w:rPr>
        <w:t>SUJETO OBLIGADO</w:t>
      </w:r>
      <w:r w:rsidRPr="00177D55">
        <w:rPr>
          <w:rFonts w:ascii="Palatino Linotype" w:eastAsia="Palatino Linotype" w:hAnsi="Palatino Linotype" w:cs="Palatino Linotype"/>
          <w:color w:val="000000" w:themeColor="text1"/>
        </w:rPr>
        <w:t xml:space="preserve"> presentará el informe justificado procedente.</w:t>
      </w:r>
    </w:p>
    <w:p w:rsidR="00453E68" w:rsidRPr="00177D55" w:rsidRDefault="00453E68" w:rsidP="00282807">
      <w:pPr>
        <w:pBdr>
          <w:top w:val="nil"/>
          <w:left w:val="nil"/>
          <w:bottom w:val="nil"/>
          <w:right w:val="nil"/>
          <w:between w:val="nil"/>
        </w:pBdr>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 xml:space="preserve">De las constancias que obran en el expediente electrónico del SAIMEX se aprecia que </w:t>
      </w:r>
      <w:r w:rsidR="00282807" w:rsidRPr="00177D55">
        <w:rPr>
          <w:rFonts w:ascii="Palatino Linotype" w:eastAsia="Palatino Linotype" w:hAnsi="Palatino Linotype" w:cs="Palatino Linotype"/>
          <w:color w:val="000000" w:themeColor="text1"/>
        </w:rPr>
        <w:t xml:space="preserve">el </w:t>
      </w:r>
      <w:r w:rsidRPr="00177D55">
        <w:rPr>
          <w:rFonts w:ascii="Palatino Linotype" w:eastAsia="Palatino Linotype" w:hAnsi="Palatino Linotype" w:cs="Palatino Linotype"/>
          <w:b/>
          <w:color w:val="000000" w:themeColor="text1"/>
        </w:rPr>
        <w:t>RECURRENTE</w:t>
      </w:r>
      <w:r w:rsidRPr="00177D55">
        <w:rPr>
          <w:rFonts w:ascii="Palatino Linotype" w:eastAsia="Palatino Linotype" w:hAnsi="Palatino Linotype" w:cs="Palatino Linotype"/>
          <w:color w:val="000000" w:themeColor="text1"/>
        </w:rPr>
        <w:t xml:space="preserve"> no realizó manifestaciones conforme a su derecho conviniera, en tanto, el </w:t>
      </w:r>
      <w:r w:rsidRPr="00177D55">
        <w:rPr>
          <w:rFonts w:ascii="Palatino Linotype" w:eastAsia="Palatino Linotype" w:hAnsi="Palatino Linotype" w:cs="Palatino Linotype"/>
          <w:b/>
          <w:color w:val="000000" w:themeColor="text1"/>
        </w:rPr>
        <w:t>SUJETO OBLIGADO</w:t>
      </w:r>
      <w:r w:rsidRPr="00177D55">
        <w:rPr>
          <w:rFonts w:ascii="Palatino Linotype" w:eastAsia="Palatino Linotype" w:hAnsi="Palatino Linotype" w:cs="Palatino Linotype"/>
          <w:color w:val="000000" w:themeColor="text1"/>
        </w:rPr>
        <w:t xml:space="preserve"> el, rindió su informe justificado a través </w:t>
      </w:r>
      <w:r w:rsidR="006C2BDF" w:rsidRPr="00177D55">
        <w:rPr>
          <w:rFonts w:ascii="Palatino Linotype" w:eastAsia="Palatino Linotype" w:hAnsi="Palatino Linotype" w:cs="Palatino Linotype"/>
          <w:color w:val="000000" w:themeColor="text1"/>
        </w:rPr>
        <w:t>del archivo siguiente:</w:t>
      </w:r>
    </w:p>
    <w:p w:rsidR="006C2BDF" w:rsidRPr="00177D55" w:rsidRDefault="006C2BDF"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91E06" w:rsidRPr="00177D55" w:rsidRDefault="006C2BDF" w:rsidP="00282807">
      <w:pPr>
        <w:pStyle w:val="Prrafodelista"/>
        <w:numPr>
          <w:ilvl w:val="0"/>
          <w:numId w:val="16"/>
        </w:numPr>
        <w:pBdr>
          <w:top w:val="nil"/>
          <w:left w:val="nil"/>
          <w:bottom w:val="nil"/>
          <w:right w:val="nil"/>
          <w:between w:val="nil"/>
        </w:pBdr>
        <w:tabs>
          <w:tab w:val="left" w:pos="426"/>
        </w:tabs>
        <w:spacing w:line="276" w:lineRule="auto"/>
        <w:ind w:left="0" w:firstLine="0"/>
        <w:jc w:val="both"/>
        <w:rPr>
          <w:rFonts w:ascii="Palatino Linotype" w:eastAsia="Palatino Linotype" w:hAnsi="Palatino Linotype" w:cs="Palatino Linotype"/>
          <w:b/>
          <w:color w:val="000000" w:themeColor="text1"/>
        </w:rPr>
      </w:pPr>
      <w:r w:rsidRPr="00177D55">
        <w:rPr>
          <w:rFonts w:ascii="Palatino Linotype" w:eastAsia="Palatino Linotype" w:hAnsi="Palatino Linotype" w:cs="Palatino Linotype"/>
          <w:b/>
          <w:color w:val="000000" w:themeColor="text1"/>
        </w:rPr>
        <w:lastRenderedPageBreak/>
        <w:t>Manifestaciones a diversos RR.pdf</w:t>
      </w:r>
    </w:p>
    <w:p w:rsidR="006C2BDF" w:rsidRPr="00177D55" w:rsidRDefault="006C2BDF" w:rsidP="00282807">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 xml:space="preserve">Oficio de veintitrés de junio de dos mil </w:t>
      </w:r>
      <w:r w:rsidR="000F1BAC" w:rsidRPr="00177D55">
        <w:rPr>
          <w:rFonts w:ascii="Palatino Linotype" w:eastAsia="Palatino Linotype" w:hAnsi="Palatino Linotype" w:cs="Palatino Linotype"/>
          <w:color w:val="000000" w:themeColor="text1"/>
        </w:rPr>
        <w:t>veinticinco</w:t>
      </w:r>
      <w:r w:rsidRPr="00177D55">
        <w:rPr>
          <w:rFonts w:ascii="Palatino Linotype" w:eastAsia="Palatino Linotype" w:hAnsi="Palatino Linotype" w:cs="Palatino Linotype"/>
          <w:color w:val="000000" w:themeColor="text1"/>
        </w:rPr>
        <w:t>, por el que medularmente el Titular der Transparencia solicitó que en atención a manifestaciones diversas se sobresea el presente recurso de revisión.</w:t>
      </w:r>
    </w:p>
    <w:p w:rsidR="006C2BDF" w:rsidRPr="00177D55" w:rsidRDefault="006C2BDF" w:rsidP="00282807">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color w:val="000000" w:themeColor="text1"/>
        </w:rPr>
      </w:pPr>
    </w:p>
    <w:p w:rsidR="00491E06" w:rsidRPr="00177D55" w:rsidRDefault="00491E06"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b/>
          <w:color w:val="000000" w:themeColor="text1"/>
        </w:rPr>
      </w:pPr>
      <w:r w:rsidRPr="00177D55">
        <w:rPr>
          <w:rFonts w:ascii="Palatino Linotype" w:hAnsi="Palatino Linotype"/>
          <w:color w:val="000000" w:themeColor="text1"/>
        </w:rPr>
        <w:t xml:space="preserve">El </w:t>
      </w:r>
      <w:r w:rsidR="006C2BDF" w:rsidRPr="00177D55">
        <w:rPr>
          <w:rFonts w:ascii="Palatino Linotype" w:hAnsi="Palatino Linotype"/>
          <w:b/>
          <w:color w:val="000000" w:themeColor="text1"/>
        </w:rPr>
        <w:t>cuatro de septiembre</w:t>
      </w:r>
      <w:r w:rsidRPr="00177D55">
        <w:rPr>
          <w:rFonts w:ascii="Palatino Linotype" w:hAnsi="Palatino Linotype"/>
          <w:b/>
          <w:color w:val="000000" w:themeColor="text1"/>
        </w:rPr>
        <w:t xml:space="preserve"> de dos mil veinticinco, </w:t>
      </w:r>
      <w:r w:rsidRPr="00177D55">
        <w:rPr>
          <w:rFonts w:ascii="Palatino Linotype" w:hAnsi="Palatino Linotype"/>
          <w:color w:val="000000" w:themeColor="text1"/>
        </w:rPr>
        <w:t xml:space="preserve">se notificó el acuerdo por el que se amplió el plazo para resolver el recurso de revisión que nos ocupa. </w:t>
      </w:r>
    </w:p>
    <w:p w:rsidR="00491E06" w:rsidRPr="00177D55" w:rsidRDefault="00491E06" w:rsidP="00282807">
      <w:pPr>
        <w:pBdr>
          <w:top w:val="nil"/>
          <w:left w:val="nil"/>
          <w:bottom w:val="nil"/>
          <w:right w:val="nil"/>
          <w:between w:val="nil"/>
        </w:pBdr>
        <w:rPr>
          <w:rFonts w:ascii="Palatino Linotype" w:eastAsia="Palatino Linotype" w:hAnsi="Palatino Linotype" w:cs="Palatino Linotype"/>
          <w:color w:val="000000" w:themeColor="text1"/>
        </w:rPr>
      </w:pPr>
    </w:p>
    <w:p w:rsidR="00453E68" w:rsidRDefault="00FB3022" w:rsidP="00EB0DE8">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color w:val="000000" w:themeColor="text1"/>
        </w:rPr>
        <w:t xml:space="preserve">El </w:t>
      </w:r>
      <w:r w:rsidR="006C2BDF" w:rsidRPr="00177D55">
        <w:rPr>
          <w:rFonts w:ascii="Palatino Linotype" w:eastAsia="Palatino Linotype" w:hAnsi="Palatino Linotype" w:cs="Palatino Linotype"/>
          <w:b/>
          <w:color w:val="000000" w:themeColor="text1"/>
        </w:rPr>
        <w:t>diez de septiembre</w:t>
      </w:r>
      <w:r w:rsidR="007B0376" w:rsidRPr="00177D55">
        <w:rPr>
          <w:rFonts w:ascii="Palatino Linotype" w:eastAsia="Palatino Linotype" w:hAnsi="Palatino Linotype" w:cs="Palatino Linotype"/>
          <w:b/>
          <w:color w:val="000000" w:themeColor="text1"/>
        </w:rPr>
        <w:t xml:space="preserve"> </w:t>
      </w:r>
      <w:r w:rsidRPr="00177D55">
        <w:rPr>
          <w:rFonts w:ascii="Palatino Linotype" w:eastAsia="Palatino Linotype" w:hAnsi="Palatino Linotype" w:cs="Palatino Linotype"/>
          <w:b/>
          <w:color w:val="000000" w:themeColor="text1"/>
        </w:rPr>
        <w:t xml:space="preserve">de dos mil </w:t>
      </w:r>
      <w:r w:rsidR="00EE4755" w:rsidRPr="00177D55">
        <w:rPr>
          <w:rFonts w:ascii="Palatino Linotype" w:eastAsia="Palatino Linotype" w:hAnsi="Palatino Linotype" w:cs="Palatino Linotype"/>
          <w:b/>
          <w:color w:val="000000" w:themeColor="text1"/>
        </w:rPr>
        <w:t>veinticinco</w:t>
      </w:r>
      <w:r w:rsidRPr="00177D55">
        <w:rPr>
          <w:rFonts w:ascii="Palatino Linotype" w:eastAsia="Palatino Linotype" w:hAnsi="Palatino Linotype" w:cs="Palatino Linotype"/>
          <w:color w:val="000000" w:themeColor="text1"/>
        </w:rPr>
        <w:t>, se  decretó el cierre de instrucción, por lo que no habiendo más que hacer constar, y</w:t>
      </w:r>
    </w:p>
    <w:p w:rsidR="00F411E4" w:rsidRDefault="00F411E4" w:rsidP="00F411E4">
      <w:pPr>
        <w:pStyle w:val="Prrafodelista"/>
        <w:rPr>
          <w:rFonts w:ascii="Palatino Linotype" w:eastAsia="Palatino Linotype" w:hAnsi="Palatino Linotype" w:cs="Palatino Linotype"/>
          <w:color w:val="000000" w:themeColor="text1"/>
        </w:rPr>
      </w:pPr>
    </w:p>
    <w:p w:rsidR="00F411E4" w:rsidRPr="00177D55" w:rsidRDefault="00F411E4" w:rsidP="00F411E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pStyle w:val="Ttulo1"/>
        <w:jc w:val="center"/>
        <w:rPr>
          <w:color w:val="000000" w:themeColor="text1"/>
          <w:szCs w:val="24"/>
        </w:rPr>
      </w:pPr>
      <w:bookmarkStart w:id="2" w:name="_heading=h.30j0zll" w:colFirst="0" w:colLast="0"/>
      <w:bookmarkEnd w:id="2"/>
      <w:r w:rsidRPr="00177D55">
        <w:rPr>
          <w:color w:val="000000" w:themeColor="text1"/>
          <w:szCs w:val="24"/>
        </w:rPr>
        <w:t>C O N S I D E R A N D O</w:t>
      </w:r>
    </w:p>
    <w:p w:rsidR="00453E68" w:rsidRPr="00177D55" w:rsidRDefault="00FB3022" w:rsidP="00282807">
      <w:pPr>
        <w:pStyle w:val="Ttulo1"/>
        <w:jc w:val="center"/>
        <w:rPr>
          <w:b w:val="0"/>
          <w:color w:val="000000" w:themeColor="text1"/>
          <w:szCs w:val="24"/>
        </w:rPr>
      </w:pPr>
      <w:bookmarkStart w:id="3" w:name="_heading=h.t8fsgysims5d" w:colFirst="0" w:colLast="0"/>
      <w:bookmarkEnd w:id="3"/>
      <w:r w:rsidRPr="00177D55">
        <w:rPr>
          <w:color w:val="000000" w:themeColor="text1"/>
          <w:szCs w:val="24"/>
        </w:rPr>
        <w:t xml:space="preserve"> </w:t>
      </w:r>
    </w:p>
    <w:p w:rsidR="00453E68" w:rsidRPr="00177D55" w:rsidRDefault="00FB3022" w:rsidP="00282807">
      <w:pPr>
        <w:pStyle w:val="Ttulo2"/>
        <w:rPr>
          <w:rFonts w:ascii="Palatino Linotype" w:eastAsia="Palatino Linotype" w:hAnsi="Palatino Linotype" w:cs="Palatino Linotype"/>
          <w:b/>
          <w:color w:val="000000" w:themeColor="text1"/>
          <w:sz w:val="24"/>
          <w:szCs w:val="24"/>
        </w:rPr>
      </w:pPr>
      <w:bookmarkStart w:id="4" w:name="_heading=h.1fob9te" w:colFirst="0" w:colLast="0"/>
      <w:bookmarkEnd w:id="4"/>
      <w:r w:rsidRPr="00177D55">
        <w:rPr>
          <w:rFonts w:ascii="Palatino Linotype" w:eastAsia="Palatino Linotype" w:hAnsi="Palatino Linotype" w:cs="Palatino Linotype"/>
          <w:b/>
          <w:color w:val="000000" w:themeColor="text1"/>
          <w:sz w:val="24"/>
          <w:szCs w:val="24"/>
        </w:rPr>
        <w:t>PRIMERO. De la competencia</w:t>
      </w:r>
    </w:p>
    <w:p w:rsidR="00282807" w:rsidRPr="00177D55" w:rsidRDefault="00282807" w:rsidP="00282807">
      <w:pPr>
        <w:rPr>
          <w:lang w:val="es-MX" w:eastAsia="en-US"/>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77D55">
        <w:rPr>
          <w:rFonts w:ascii="Palatino Linotype" w:eastAsia="Palatino Linotype" w:hAnsi="Palatino Linotype" w:cs="Palatino Linotype"/>
          <w:b/>
          <w:color w:val="000000" w:themeColor="text1"/>
        </w:rPr>
        <w:t>Constitución Política de los Estados Unidos Mexicanos</w:t>
      </w:r>
      <w:r w:rsidRPr="00177D55">
        <w:rPr>
          <w:rFonts w:ascii="Palatino Linotype" w:eastAsia="Palatino Linotype" w:hAnsi="Palatino Linotype" w:cs="Palatino Linotype"/>
          <w:color w:val="000000" w:themeColor="text1"/>
        </w:rPr>
        <w:t xml:space="preserve">; 5, párrafos vigésimo noveno, trigésimo y trigésimo primero fracciones IV y V de la </w:t>
      </w:r>
      <w:r w:rsidRPr="00177D55">
        <w:rPr>
          <w:rFonts w:ascii="Palatino Linotype" w:eastAsia="Palatino Linotype" w:hAnsi="Palatino Linotype" w:cs="Palatino Linotype"/>
          <w:b/>
          <w:color w:val="000000" w:themeColor="text1"/>
        </w:rPr>
        <w:t>Constitución Política del Estado Libre y Soberano de México</w:t>
      </w:r>
      <w:r w:rsidRPr="00177D55">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177D55">
        <w:rPr>
          <w:rFonts w:ascii="Palatino Linotype" w:eastAsia="Palatino Linotype" w:hAnsi="Palatino Linotype" w:cs="Palatino Linotype"/>
          <w:b/>
          <w:color w:val="000000" w:themeColor="text1"/>
        </w:rPr>
        <w:t>Ley de Transparencia y Acceso a la Información Pública del Estado de México y Municipios</w:t>
      </w:r>
      <w:r w:rsidRPr="00177D55">
        <w:rPr>
          <w:rFonts w:ascii="Palatino Linotype" w:eastAsia="Palatino Linotype" w:hAnsi="Palatino Linotype" w:cs="Palatino Linotype"/>
          <w:color w:val="000000" w:themeColor="text1"/>
        </w:rPr>
        <w:t xml:space="preserve">; y 7, 9 fracciones I y XXIV, y 11 del </w:t>
      </w:r>
      <w:r w:rsidRPr="00177D55">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177D55">
        <w:rPr>
          <w:rFonts w:ascii="Palatino Linotype" w:eastAsia="Palatino Linotype" w:hAnsi="Palatino Linotype" w:cs="Palatino Linotype"/>
          <w:color w:val="000000" w:themeColor="text1"/>
        </w:rPr>
        <w:t>.</w:t>
      </w:r>
    </w:p>
    <w:p w:rsidR="00453E68" w:rsidRPr="00177D55" w:rsidRDefault="00453E68" w:rsidP="00282807">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p>
    <w:p w:rsidR="00453E68" w:rsidRPr="00177D55" w:rsidRDefault="00FB3022" w:rsidP="00282807">
      <w:pPr>
        <w:pStyle w:val="Ttulo2"/>
        <w:rPr>
          <w:rFonts w:ascii="Palatino Linotype" w:eastAsia="Palatino Linotype" w:hAnsi="Palatino Linotype" w:cs="Palatino Linotype"/>
          <w:b/>
          <w:color w:val="000000" w:themeColor="text1"/>
          <w:sz w:val="24"/>
          <w:szCs w:val="24"/>
        </w:rPr>
      </w:pPr>
      <w:bookmarkStart w:id="5" w:name="_heading=h.3znysh7" w:colFirst="0" w:colLast="0"/>
      <w:bookmarkEnd w:id="5"/>
      <w:r w:rsidRPr="00177D55">
        <w:rPr>
          <w:rFonts w:ascii="Palatino Linotype" w:eastAsia="Palatino Linotype" w:hAnsi="Palatino Linotype" w:cs="Palatino Linotype"/>
          <w:b/>
          <w:color w:val="000000" w:themeColor="text1"/>
          <w:sz w:val="24"/>
          <w:szCs w:val="24"/>
        </w:rPr>
        <w:lastRenderedPageBreak/>
        <w:t>SEGUNDO. De la oportunidad y procedencia.</w:t>
      </w: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Los medios de impugnación fueron presentados a través del </w:t>
      </w:r>
      <w:r w:rsidRPr="00177D55">
        <w:rPr>
          <w:rFonts w:ascii="Palatino Linotype" w:eastAsia="Palatino Linotype" w:hAnsi="Palatino Linotype" w:cs="Palatino Linotype"/>
          <w:b/>
          <w:color w:val="000000" w:themeColor="text1"/>
        </w:rPr>
        <w:t>SAIMEX,</w:t>
      </w:r>
      <w:r w:rsidRPr="00177D5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77D55">
        <w:rPr>
          <w:rFonts w:ascii="Palatino Linotype" w:eastAsia="Palatino Linotype" w:hAnsi="Palatino Linotype" w:cs="Palatino Linotype"/>
          <w:b/>
          <w:color w:val="000000" w:themeColor="text1"/>
        </w:rPr>
        <w:t>SUJETO OBLIGADO</w:t>
      </w:r>
      <w:r w:rsidRPr="00177D55">
        <w:rPr>
          <w:rFonts w:ascii="Palatino Linotype" w:eastAsia="Palatino Linotype" w:hAnsi="Palatino Linotype" w:cs="Palatino Linotype"/>
          <w:color w:val="000000" w:themeColor="text1"/>
        </w:rPr>
        <w:t xml:space="preserve"> entregó su respuesta a la solicitud de información el </w:t>
      </w:r>
      <w:r w:rsidR="006C2BDF" w:rsidRPr="00177D55">
        <w:rPr>
          <w:rFonts w:ascii="Palatino Linotype" w:eastAsia="Palatino Linotype" w:hAnsi="Palatino Linotype" w:cs="Palatino Linotype"/>
          <w:b/>
          <w:color w:val="000000" w:themeColor="text1"/>
        </w:rPr>
        <w:t>dieciséis de junio de dos mil veinticinco</w:t>
      </w:r>
      <w:r w:rsidRPr="00177D55">
        <w:rPr>
          <w:rFonts w:ascii="Palatino Linotype" w:eastAsia="Palatino Linotype" w:hAnsi="Palatino Linotype" w:cs="Palatino Linotype"/>
          <w:color w:val="000000" w:themeColor="text1"/>
        </w:rPr>
        <w:t xml:space="preserve">, de tal forma que el plazo para interponer el presente recurso de revisión transcurrió del día </w:t>
      </w:r>
      <w:r w:rsidR="006C2BDF" w:rsidRPr="00177D55">
        <w:rPr>
          <w:rFonts w:ascii="Palatino Linotype" w:eastAsia="Palatino Linotype" w:hAnsi="Palatino Linotype" w:cs="Palatino Linotype"/>
          <w:b/>
          <w:color w:val="000000" w:themeColor="text1"/>
        </w:rPr>
        <w:t>diecisiete de junio</w:t>
      </w:r>
      <w:r w:rsidR="00B24B03" w:rsidRPr="00177D55">
        <w:rPr>
          <w:rFonts w:ascii="Palatino Linotype" w:eastAsia="Palatino Linotype" w:hAnsi="Palatino Linotype" w:cs="Palatino Linotype"/>
          <w:b/>
          <w:color w:val="000000" w:themeColor="text1"/>
        </w:rPr>
        <w:t xml:space="preserve"> al siete de julio de dos mil veinticinco</w:t>
      </w:r>
      <w:r w:rsidR="006C2BDF" w:rsidRPr="00177D55">
        <w:rPr>
          <w:rFonts w:ascii="Palatino Linotype" w:eastAsia="Palatino Linotype" w:hAnsi="Palatino Linotype" w:cs="Palatino Linotype"/>
          <w:b/>
          <w:color w:val="000000" w:themeColor="text1"/>
        </w:rPr>
        <w:t xml:space="preserve"> </w:t>
      </w:r>
      <w:r w:rsidR="007B0376" w:rsidRPr="00177D55">
        <w:rPr>
          <w:rFonts w:ascii="Palatino Linotype" w:eastAsia="Palatino Linotype" w:hAnsi="Palatino Linotype" w:cs="Palatino Linotype"/>
          <w:color w:val="000000" w:themeColor="text1"/>
        </w:rPr>
        <w:t xml:space="preserve">, en consecuencia, presentó el recurso que nos ocupa el </w:t>
      </w:r>
      <w:r w:rsidR="00B24B03" w:rsidRPr="00177D55">
        <w:rPr>
          <w:rFonts w:ascii="Palatino Linotype" w:eastAsia="Palatino Linotype" w:hAnsi="Palatino Linotype" w:cs="Palatino Linotype"/>
          <w:b/>
          <w:color w:val="000000" w:themeColor="text1"/>
        </w:rPr>
        <w:t>dieciséis de junio de dos mil veinticinco</w:t>
      </w:r>
      <w:r w:rsidRPr="00177D5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177D55">
        <w:rPr>
          <w:rFonts w:ascii="Palatino Linotype" w:eastAsia="Palatino Linotype" w:hAnsi="Palatino Linotype" w:cs="Palatino Linotype"/>
          <w:b/>
          <w:color w:val="000000" w:themeColor="text1"/>
        </w:rPr>
        <w:t>Ley de Transparencia y Acceso a la Información Pública del Estado de México y Municipios vigente.</w:t>
      </w:r>
    </w:p>
    <w:p w:rsidR="00453E68" w:rsidRPr="00177D55" w:rsidRDefault="00453E68"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53E68" w:rsidRPr="00177D55" w:rsidRDefault="00453E68" w:rsidP="00282807">
      <w:pPr>
        <w:pBdr>
          <w:top w:val="nil"/>
          <w:left w:val="nil"/>
          <w:bottom w:val="nil"/>
          <w:right w:val="nil"/>
          <w:between w:val="nil"/>
        </w:pBdr>
        <w:rPr>
          <w:rFonts w:ascii="Palatino Linotype" w:eastAsia="Palatino Linotype" w:hAnsi="Palatino Linotype" w:cs="Palatino Linotype"/>
          <w:color w:val="000000" w:themeColor="text1"/>
        </w:rPr>
      </w:pPr>
    </w:p>
    <w:p w:rsidR="00453E68" w:rsidRPr="00177D55" w:rsidRDefault="00FB3022" w:rsidP="00282807">
      <w:pPr>
        <w:keepNext/>
        <w:keepLines/>
        <w:spacing w:before="240" w:line="360" w:lineRule="auto"/>
        <w:rPr>
          <w:rFonts w:ascii="Palatino Linotype" w:eastAsia="Palatino Linotype" w:hAnsi="Palatino Linotype" w:cs="Palatino Linotype"/>
          <w:b/>
          <w:color w:val="000000" w:themeColor="text1"/>
        </w:rPr>
      </w:pPr>
      <w:bookmarkStart w:id="6" w:name="_heading=h.2et92p0" w:colFirst="0" w:colLast="0"/>
      <w:bookmarkEnd w:id="6"/>
      <w:r w:rsidRPr="00177D55">
        <w:rPr>
          <w:rFonts w:ascii="Palatino Linotype" w:eastAsia="Palatino Linotype" w:hAnsi="Palatino Linotype" w:cs="Palatino Linotype"/>
          <w:b/>
          <w:color w:val="000000" w:themeColor="text1"/>
        </w:rPr>
        <w:t>TERCERO. De las causales del sobreseimiento.</w:t>
      </w: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177D55">
        <w:rPr>
          <w:rFonts w:ascii="Palatino Linotype" w:eastAsia="Palatino Linotype" w:hAnsi="Palatino Linotype" w:cs="Palatino Linotype"/>
          <w:b/>
          <w:color w:val="000000" w:themeColor="text1"/>
          <w:u w:val="single"/>
        </w:rPr>
        <w:t>sobreseimiento</w:t>
      </w:r>
      <w:r w:rsidRPr="00177D55">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177D55">
        <w:rPr>
          <w:rFonts w:ascii="Palatino Linotype" w:eastAsia="Palatino Linotype" w:hAnsi="Palatino Linotype" w:cs="Palatino Linotype"/>
          <w:b/>
          <w:color w:val="000000" w:themeColor="text1"/>
        </w:rPr>
        <w:t>SUJETO</w:t>
      </w:r>
      <w:r w:rsidRPr="00177D55">
        <w:rPr>
          <w:rFonts w:ascii="Palatino Linotype" w:eastAsia="Palatino Linotype" w:hAnsi="Palatino Linotype" w:cs="Palatino Linotype"/>
          <w:color w:val="000000" w:themeColor="text1"/>
        </w:rPr>
        <w:t xml:space="preserve"> </w:t>
      </w:r>
      <w:r w:rsidRPr="00177D55">
        <w:rPr>
          <w:rFonts w:ascii="Palatino Linotype" w:eastAsia="Palatino Linotype" w:hAnsi="Palatino Linotype" w:cs="Palatino Linotype"/>
          <w:b/>
          <w:color w:val="000000" w:themeColor="text1"/>
        </w:rPr>
        <w:t>OBLIGADO</w:t>
      </w:r>
      <w:r w:rsidRPr="00177D55">
        <w:rPr>
          <w:rFonts w:ascii="Palatino Linotype" w:eastAsia="Palatino Linotype" w:hAnsi="Palatino Linotype" w:cs="Palatino Linotype"/>
          <w:color w:val="000000" w:themeColor="text1"/>
        </w:rPr>
        <w:t>.</w:t>
      </w:r>
    </w:p>
    <w:p w:rsidR="00453E68" w:rsidRPr="00177D55" w:rsidRDefault="00453E68"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B0376"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Ahora bien, en el presente caso el recurrente solicitó</w:t>
      </w:r>
      <w:r w:rsidR="007B0376" w:rsidRPr="00177D55">
        <w:rPr>
          <w:rFonts w:ascii="Palatino Linotype" w:eastAsia="Palatino Linotype" w:hAnsi="Palatino Linotype" w:cs="Palatino Linotype"/>
          <w:color w:val="000000" w:themeColor="text1"/>
        </w:rPr>
        <w:t xml:space="preserve"> la información que a continuación se desagrega:</w:t>
      </w:r>
    </w:p>
    <w:p w:rsidR="00EE4755" w:rsidRPr="00177D55" w:rsidRDefault="00B24B03" w:rsidP="00282807">
      <w:pPr>
        <w:pStyle w:val="Prrafodelista"/>
        <w:numPr>
          <w:ilvl w:val="0"/>
          <w:numId w:val="12"/>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hAnsi="Palatino Linotype"/>
          <w:color w:val="000000" w:themeColor="text1"/>
        </w:rPr>
        <w:lastRenderedPageBreak/>
        <w:t>Solicito todos los oficios firmados, por el director de vinculación del ayuntamiento de TEOLOYUCAN del mes de enero 2025</w:t>
      </w:r>
    </w:p>
    <w:p w:rsidR="00282807" w:rsidRPr="00177D55" w:rsidRDefault="00282807" w:rsidP="00282807">
      <w:pPr>
        <w:pStyle w:val="Prrafodelista"/>
        <w:pBdr>
          <w:top w:val="nil"/>
          <w:left w:val="nil"/>
          <w:bottom w:val="nil"/>
          <w:right w:val="nil"/>
          <w:between w:val="nil"/>
        </w:pBdr>
        <w:tabs>
          <w:tab w:val="left" w:pos="426"/>
        </w:tabs>
        <w:spacing w:line="360" w:lineRule="auto"/>
        <w:ind w:left="0"/>
        <w:jc w:val="both"/>
        <w:rPr>
          <w:rFonts w:ascii="Palatino Linotype" w:hAnsi="Palatino Linotype"/>
          <w:color w:val="000000" w:themeColor="text1"/>
        </w:rPr>
      </w:pPr>
    </w:p>
    <w:p w:rsidR="00EF68D9"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A lo anterior, el </w:t>
      </w:r>
      <w:r w:rsidRPr="00177D55">
        <w:rPr>
          <w:rFonts w:ascii="Palatino Linotype" w:eastAsia="Palatino Linotype" w:hAnsi="Palatino Linotype" w:cs="Palatino Linotype"/>
          <w:b/>
          <w:color w:val="000000" w:themeColor="text1"/>
        </w:rPr>
        <w:t xml:space="preserve">SUJETO OBLIGADO </w:t>
      </w:r>
      <w:r w:rsidRPr="00177D55">
        <w:rPr>
          <w:rFonts w:ascii="Palatino Linotype" w:eastAsia="Palatino Linotype" w:hAnsi="Palatino Linotype" w:cs="Palatino Linotype"/>
          <w:color w:val="000000" w:themeColor="text1"/>
        </w:rPr>
        <w:t xml:space="preserve">dio respuesta </w:t>
      </w:r>
      <w:r w:rsidR="00491E06" w:rsidRPr="00177D55">
        <w:rPr>
          <w:rFonts w:ascii="Palatino Linotype" w:eastAsia="Palatino Linotype" w:hAnsi="Palatino Linotype" w:cs="Palatino Linotype"/>
          <w:color w:val="000000" w:themeColor="text1"/>
        </w:rPr>
        <w:t xml:space="preserve">a través del servidor público habilitado </w:t>
      </w:r>
      <w:r w:rsidRPr="00177D55">
        <w:rPr>
          <w:rFonts w:ascii="Palatino Linotype" w:eastAsia="Palatino Linotype" w:hAnsi="Palatino Linotype" w:cs="Palatino Linotype"/>
          <w:color w:val="000000" w:themeColor="text1"/>
        </w:rPr>
        <w:t xml:space="preserve">como ya ha quedado referido en el </w:t>
      </w:r>
      <w:r w:rsidR="00EF68D9" w:rsidRPr="00177D55">
        <w:rPr>
          <w:rFonts w:ascii="Palatino Linotype" w:eastAsia="Palatino Linotype" w:hAnsi="Palatino Linotype" w:cs="Palatino Linotype"/>
          <w:color w:val="000000" w:themeColor="text1"/>
        </w:rPr>
        <w:t>numeral 2 del presente recurso.</w:t>
      </w:r>
    </w:p>
    <w:p w:rsidR="00EE4755" w:rsidRPr="00177D55" w:rsidRDefault="00EE4755" w:rsidP="00282807">
      <w:pPr>
        <w:pBdr>
          <w:top w:val="nil"/>
          <w:left w:val="nil"/>
          <w:bottom w:val="nil"/>
          <w:right w:val="nil"/>
          <w:between w:val="nil"/>
        </w:pBdr>
        <w:tabs>
          <w:tab w:val="left" w:pos="426"/>
        </w:tabs>
        <w:spacing w:line="360" w:lineRule="auto"/>
        <w:jc w:val="both"/>
        <w:rPr>
          <w:rFonts w:ascii="Palatino Linotype" w:hAnsi="Palatino Linotype"/>
          <w:color w:val="000000" w:themeColor="text1"/>
        </w:rPr>
      </w:pPr>
    </w:p>
    <w:p w:rsidR="00F45F31" w:rsidRPr="00177D55" w:rsidRDefault="00EF68D9"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Inconforme con la respuesta proporcionada, </w:t>
      </w:r>
      <w:r w:rsidR="00282807" w:rsidRPr="00177D55">
        <w:rPr>
          <w:rFonts w:ascii="Palatino Linotype" w:eastAsia="Palatino Linotype" w:hAnsi="Palatino Linotype" w:cs="Palatino Linotype"/>
          <w:color w:val="000000" w:themeColor="text1"/>
        </w:rPr>
        <w:t xml:space="preserve">el </w:t>
      </w:r>
      <w:r w:rsidRPr="00177D55">
        <w:rPr>
          <w:rFonts w:ascii="Palatino Linotype" w:eastAsia="Palatino Linotype" w:hAnsi="Palatino Linotype" w:cs="Palatino Linotype"/>
          <w:b/>
          <w:color w:val="000000" w:themeColor="text1"/>
        </w:rPr>
        <w:t xml:space="preserve">PARTICULAR </w:t>
      </w:r>
      <w:r w:rsidRPr="00177D55">
        <w:rPr>
          <w:rFonts w:ascii="Palatino Linotype" w:eastAsia="Palatino Linotype" w:hAnsi="Palatino Linotype" w:cs="Palatino Linotype"/>
          <w:color w:val="000000" w:themeColor="text1"/>
        </w:rPr>
        <w:t>interpuso el presente recuso, sin embargo,</w:t>
      </w:r>
      <w:r w:rsidR="00FB3022" w:rsidRPr="00177D55">
        <w:rPr>
          <w:rFonts w:ascii="Palatino Linotype" w:eastAsia="Palatino Linotype" w:hAnsi="Palatino Linotype" w:cs="Palatino Linotype"/>
          <w:color w:val="000000" w:themeColor="text1"/>
        </w:rPr>
        <w:t xml:space="preserve"> se advierte que los motivos o razones de inconformidad no guardan relación con la solicitud de acceso a la información, </w:t>
      </w:r>
      <w:r w:rsidR="00EE4755" w:rsidRPr="00177D55">
        <w:rPr>
          <w:rFonts w:ascii="Palatino Linotype" w:eastAsia="Palatino Linotype" w:hAnsi="Palatino Linotype" w:cs="Palatino Linotype"/>
          <w:color w:val="000000" w:themeColor="text1"/>
        </w:rPr>
        <w:t xml:space="preserve">tampoco </w:t>
      </w:r>
      <w:r w:rsidR="00FB3022" w:rsidRPr="00177D55">
        <w:rPr>
          <w:rFonts w:ascii="Palatino Linotype" w:eastAsia="Palatino Linotype" w:hAnsi="Palatino Linotype" w:cs="Palatino Linotype"/>
          <w:color w:val="000000" w:themeColor="text1"/>
        </w:rPr>
        <w:t xml:space="preserve">con la respuesta emitida por el Sujeto Obligado, pues el </w:t>
      </w:r>
      <w:r w:rsidR="00FB3022" w:rsidRPr="00177D55">
        <w:rPr>
          <w:rFonts w:ascii="Palatino Linotype" w:eastAsia="Palatino Linotype" w:hAnsi="Palatino Linotype" w:cs="Palatino Linotype"/>
          <w:b/>
          <w:color w:val="000000" w:themeColor="text1"/>
        </w:rPr>
        <w:t xml:space="preserve">RECURRENTE </w:t>
      </w:r>
      <w:r w:rsidRPr="00177D55">
        <w:rPr>
          <w:rFonts w:ascii="Palatino Linotype" w:eastAsia="Palatino Linotype" w:hAnsi="Palatino Linotype" w:cs="Palatino Linotype"/>
          <w:color w:val="000000" w:themeColor="text1"/>
        </w:rPr>
        <w:t xml:space="preserve">se inconformo arguyendo </w:t>
      </w:r>
      <w:r w:rsidR="00F45F31" w:rsidRPr="00177D55">
        <w:rPr>
          <w:rFonts w:ascii="Palatino Linotype" w:eastAsia="Palatino Linotype" w:hAnsi="Palatino Linotype" w:cs="Palatino Linotype"/>
          <w:color w:val="000000" w:themeColor="text1"/>
        </w:rPr>
        <w:t>lo siguiente:</w:t>
      </w:r>
    </w:p>
    <w:p w:rsidR="00F45F31" w:rsidRPr="00177D55" w:rsidRDefault="00F45F31" w:rsidP="00282807">
      <w:pPr>
        <w:pBdr>
          <w:top w:val="nil"/>
          <w:left w:val="nil"/>
          <w:bottom w:val="nil"/>
          <w:right w:val="nil"/>
          <w:between w:val="nil"/>
        </w:pBdr>
        <w:tabs>
          <w:tab w:val="left" w:pos="426"/>
        </w:tabs>
        <w:spacing w:line="360" w:lineRule="auto"/>
        <w:jc w:val="both"/>
        <w:rPr>
          <w:rFonts w:ascii="Palatino Linotype" w:hAnsi="Palatino Linotype"/>
          <w:color w:val="000000" w:themeColor="text1"/>
        </w:rPr>
      </w:pPr>
    </w:p>
    <w:p w:rsidR="00F45F31" w:rsidRPr="00177D55" w:rsidRDefault="00F45F31" w:rsidP="00282807">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color w:val="000000" w:themeColor="text1"/>
        </w:rPr>
        <w:t>●</w:t>
      </w:r>
      <w:r w:rsidRPr="00177D55">
        <w:rPr>
          <w:rFonts w:ascii="Palatino Linotype" w:eastAsia="Palatino Linotype" w:hAnsi="Palatino Linotype" w:cs="Palatino Linotype"/>
          <w:color w:val="000000" w:themeColor="text1"/>
        </w:rPr>
        <w:tab/>
        <w:t>Acto impugnado: “</w:t>
      </w:r>
      <w:r w:rsidR="00B24B03" w:rsidRPr="00177D55">
        <w:rPr>
          <w:rFonts w:ascii="Palatino Linotype" w:eastAsia="Palatino Linotype" w:hAnsi="Palatino Linotype" w:cs="Palatino Linotype"/>
          <w:i/>
          <w:color w:val="000000" w:themeColor="text1"/>
        </w:rPr>
        <w:t>FALTA DE RESPUESTA</w:t>
      </w:r>
      <w:r w:rsidRPr="00177D55">
        <w:rPr>
          <w:rFonts w:ascii="Palatino Linotype" w:eastAsia="Palatino Linotype" w:hAnsi="Palatino Linotype" w:cs="Palatino Linotype"/>
          <w:i/>
          <w:color w:val="000000" w:themeColor="text1"/>
        </w:rPr>
        <w:t>” (Sic)</w:t>
      </w:r>
    </w:p>
    <w:p w:rsidR="00F45F31" w:rsidRPr="00177D55" w:rsidRDefault="00F45F31" w:rsidP="00282807">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color w:val="000000" w:themeColor="text1"/>
        </w:rPr>
      </w:pPr>
    </w:p>
    <w:p w:rsidR="00F45F31" w:rsidRPr="00177D55" w:rsidRDefault="00F45F31" w:rsidP="00282807">
      <w:pPr>
        <w:pBdr>
          <w:top w:val="nil"/>
          <w:left w:val="nil"/>
          <w:bottom w:val="nil"/>
          <w:right w:val="nil"/>
          <w:between w:val="nil"/>
        </w:pBdr>
        <w:tabs>
          <w:tab w:val="left" w:pos="426"/>
        </w:tabs>
        <w:spacing w:line="276"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color w:val="000000" w:themeColor="text1"/>
        </w:rPr>
        <w:t>●</w:t>
      </w:r>
      <w:r w:rsidRPr="00177D55">
        <w:rPr>
          <w:rFonts w:ascii="Palatino Linotype" w:eastAsia="Palatino Linotype" w:hAnsi="Palatino Linotype" w:cs="Palatino Linotype"/>
          <w:color w:val="000000" w:themeColor="text1"/>
        </w:rPr>
        <w:tab/>
        <w:t xml:space="preserve">Razones o motivos de inconformidad: </w:t>
      </w:r>
      <w:r w:rsidRPr="00177D55">
        <w:rPr>
          <w:rFonts w:ascii="Palatino Linotype" w:eastAsia="Palatino Linotype" w:hAnsi="Palatino Linotype" w:cs="Palatino Linotype"/>
          <w:i/>
          <w:color w:val="000000" w:themeColor="text1"/>
        </w:rPr>
        <w:t>“</w:t>
      </w:r>
      <w:r w:rsidR="00B24B03" w:rsidRPr="00177D55">
        <w:rPr>
          <w:rFonts w:ascii="Palatino Linotype" w:eastAsia="Palatino Linotype" w:hAnsi="Palatino Linotype" w:cs="Palatino Linotype"/>
          <w:i/>
          <w:color w:val="000000" w:themeColor="text1"/>
        </w:rPr>
        <w:t>YA PASARON MAS DE 16 DIAS HABILES Y NO ME HAN DADO NINGUNA RESPUESTA, SOLICITO QUE POR FAVOR NO ME QUITEN MI DERECHO HUMANO DE ACCESO A LA INFORMACION PUBLICA.</w:t>
      </w:r>
      <w:r w:rsidRPr="00177D55">
        <w:rPr>
          <w:rFonts w:ascii="Palatino Linotype" w:eastAsia="Palatino Linotype" w:hAnsi="Palatino Linotype" w:cs="Palatino Linotype"/>
          <w:i/>
          <w:color w:val="000000" w:themeColor="text1"/>
        </w:rPr>
        <w:t>.” (Sic)</w:t>
      </w:r>
    </w:p>
    <w:p w:rsidR="00F45F31" w:rsidRPr="00177D55" w:rsidRDefault="00F45F31" w:rsidP="002828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45F31" w:rsidRPr="00177D55" w:rsidRDefault="00F45F31"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De lo anterior, se observa que la inconformidad deviene inatendible e improcedente, ya que </w:t>
      </w:r>
      <w:r w:rsidR="00B24B03" w:rsidRPr="00177D55">
        <w:rPr>
          <w:rFonts w:ascii="Palatino Linotype" w:eastAsia="Palatino Linotype" w:hAnsi="Palatino Linotype" w:cs="Palatino Linotype"/>
          <w:color w:val="000000" w:themeColor="text1"/>
        </w:rPr>
        <w:t xml:space="preserve">el motivo de inconformidad debe guardar relación con la respuesta proporcionada, sin embargo en el caso que nos acontece, el </w:t>
      </w:r>
      <w:r w:rsidR="00B24B03" w:rsidRPr="00177D55">
        <w:rPr>
          <w:rFonts w:ascii="Palatino Linotype" w:eastAsia="Palatino Linotype" w:hAnsi="Palatino Linotype" w:cs="Palatino Linotype"/>
          <w:b/>
          <w:color w:val="000000" w:themeColor="text1"/>
        </w:rPr>
        <w:t xml:space="preserve">RECURRENTE </w:t>
      </w:r>
      <w:r w:rsidR="00B24B03" w:rsidRPr="00177D55">
        <w:rPr>
          <w:rFonts w:ascii="Palatino Linotype" w:eastAsia="Palatino Linotype" w:hAnsi="Palatino Linotype" w:cs="Palatino Linotype"/>
          <w:color w:val="000000" w:themeColor="text1"/>
        </w:rPr>
        <w:t>se duele de una falta de respuesta y robustece ello manifestando que han pasado más de 16 días hábiles y no hay respuesta, sin embargo de acuerdo a las constancias que integran el SAIMEX, si hay respuesta y en consecuencia no se observa que se inconforme por la respuesta proporcionada, es decir por la relación de los oficios, si no, por una negativa de respuesta, es decir por una omisión.</w:t>
      </w:r>
    </w:p>
    <w:p w:rsidR="00B24B03" w:rsidRPr="00177D55" w:rsidRDefault="00B24B03" w:rsidP="00282807">
      <w:pPr>
        <w:pBdr>
          <w:top w:val="nil"/>
          <w:left w:val="nil"/>
          <w:bottom w:val="nil"/>
          <w:right w:val="nil"/>
          <w:between w:val="nil"/>
        </w:pBdr>
        <w:tabs>
          <w:tab w:val="left" w:pos="426"/>
        </w:tabs>
        <w:spacing w:line="360" w:lineRule="auto"/>
        <w:jc w:val="both"/>
        <w:rPr>
          <w:rFonts w:ascii="Palatino Linotype" w:hAnsi="Palatino Linotype"/>
          <w:color w:val="000000" w:themeColor="text1"/>
        </w:rPr>
      </w:pPr>
    </w:p>
    <w:p w:rsidR="00453E68" w:rsidRPr="00177D55" w:rsidRDefault="00905F7E"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hAnsi="Palatino Linotype"/>
          <w:color w:val="000000" w:themeColor="text1"/>
        </w:rPr>
        <w:lastRenderedPageBreak/>
        <w:t>Es por lo anterior que se advierte que los motivos de inconformidad no guardan relación con la información que se proporcionó en repuesta, resultando necesario</w:t>
      </w:r>
      <w:r w:rsidR="00EF68D9" w:rsidRPr="00177D55">
        <w:rPr>
          <w:rFonts w:ascii="Palatino Linotype" w:eastAsia="Palatino Linotype" w:hAnsi="Palatino Linotype" w:cs="Palatino Linotype"/>
          <w:color w:val="000000" w:themeColor="text1"/>
        </w:rPr>
        <w:t>, precisar que,</w:t>
      </w:r>
      <w:r w:rsidR="00FB3022" w:rsidRPr="00177D55">
        <w:rPr>
          <w:rFonts w:ascii="Palatino Linotype" w:eastAsia="Palatino Linotype" w:hAnsi="Palatino Linotype" w:cs="Palatino Linotype"/>
          <w:color w:val="000000" w:themeColor="text1"/>
        </w:rPr>
        <w:t xml:space="preserve"> para la interposición del recurso de revisión, los motivos de inconformidad deben tener relación con la solicitud </w:t>
      </w:r>
      <w:r w:rsidR="00EF68D9" w:rsidRPr="00177D55">
        <w:rPr>
          <w:rFonts w:ascii="Palatino Linotype" w:eastAsia="Palatino Linotype" w:hAnsi="Palatino Linotype" w:cs="Palatino Linotype"/>
          <w:color w:val="000000" w:themeColor="text1"/>
        </w:rPr>
        <w:t xml:space="preserve">de información </w:t>
      </w:r>
      <w:r w:rsidR="00FB3022" w:rsidRPr="00177D55">
        <w:rPr>
          <w:rFonts w:ascii="Palatino Linotype" w:eastAsia="Palatino Linotype" w:hAnsi="Palatino Linotype" w:cs="Palatino Linotype"/>
          <w:color w:val="000000" w:themeColor="text1"/>
        </w:rPr>
        <w:t>o bien</w:t>
      </w:r>
      <w:r w:rsidR="00EF68D9" w:rsidRPr="00177D55">
        <w:rPr>
          <w:rFonts w:ascii="Palatino Linotype" w:eastAsia="Palatino Linotype" w:hAnsi="Palatino Linotype" w:cs="Palatino Linotype"/>
          <w:color w:val="000000" w:themeColor="text1"/>
        </w:rPr>
        <w:t xml:space="preserve"> con la respuesta proporcionada, requisito necesario </w:t>
      </w:r>
      <w:r w:rsidR="00FB3022" w:rsidRPr="00177D55">
        <w:rPr>
          <w:rFonts w:ascii="Palatino Linotype" w:eastAsia="Palatino Linotype" w:hAnsi="Palatino Linotype" w:cs="Palatino Linotype"/>
          <w:color w:val="000000" w:themeColor="text1"/>
        </w:rPr>
        <w:t>para que se actualice alguna causal de procede</w:t>
      </w:r>
      <w:r w:rsidR="00EF68D9" w:rsidRPr="00177D55">
        <w:rPr>
          <w:rFonts w:ascii="Palatino Linotype" w:eastAsia="Palatino Linotype" w:hAnsi="Palatino Linotype" w:cs="Palatino Linotype"/>
          <w:color w:val="000000" w:themeColor="text1"/>
        </w:rPr>
        <w:t>ncia</w:t>
      </w:r>
      <w:r w:rsidR="00867852" w:rsidRPr="00177D55">
        <w:rPr>
          <w:rFonts w:ascii="Palatino Linotype" w:eastAsia="Palatino Linotype" w:hAnsi="Palatino Linotype" w:cs="Palatino Linotype"/>
          <w:color w:val="000000" w:themeColor="text1"/>
        </w:rPr>
        <w:t>, como lo refiere el artículo 179 de la ley adjetiva en la materia:</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b/>
          <w:i/>
          <w:color w:val="000000" w:themeColor="text1"/>
        </w:rPr>
        <w:t>Artículo 179.</w:t>
      </w:r>
      <w:r w:rsidRPr="00177D55">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I. La negativa a la información solicitada;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II. La clasificación de la información;</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III. La declaración de inexistencia de la información;</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 IV. La declaración de incompetencia por el sujeto obligado;</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V. La entrega de información incompleta;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VI. La entrega de información que no corresponda con lo solicitado;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VII. La falta de respuesta a una solicitud de acceso a la información;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VIII. La notificación, entrega o puesta a disposición de información en una modalidad o formato distinto al solicitado;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IX. La entrega o puesta a disposición de información en un formato incomprensible y/o no accesible para el solicitante;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X. Los costos o tiempos de entrega de la información;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XI. La falta de trámite a una solicitud;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XII. La negativa a permitir la consulta directa de la información;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XIII. La falta, deficiencia o insuficiencia de la fundamentación y/o motivación en la respuesta; y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 xml:space="preserve">XIV. La orientación a un trámite específico. </w:t>
      </w:r>
    </w:p>
    <w:p w:rsidR="00867852" w:rsidRPr="00177D55" w:rsidRDefault="00867852" w:rsidP="00282807">
      <w:pPr>
        <w:pBdr>
          <w:top w:val="nil"/>
          <w:left w:val="nil"/>
          <w:bottom w:val="nil"/>
          <w:right w:val="nil"/>
          <w:between w:val="nil"/>
        </w:pBdr>
        <w:tabs>
          <w:tab w:val="left" w:pos="426"/>
        </w:tabs>
        <w:spacing w:line="276" w:lineRule="auto"/>
        <w:jc w:val="both"/>
        <w:rPr>
          <w:rFonts w:ascii="Palatino Linotype" w:hAnsi="Palatino Linotype"/>
          <w:i/>
          <w:color w:val="000000" w:themeColor="text1"/>
        </w:rPr>
      </w:pPr>
      <w:r w:rsidRPr="00177D55">
        <w:rPr>
          <w:rFonts w:ascii="Palatino Linotype" w:hAnsi="Palatino Linotype"/>
          <w:i/>
          <w:color w:val="000000" w:themeColor="text1"/>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53E68" w:rsidRPr="00177D55" w:rsidRDefault="00453E68" w:rsidP="00282807">
      <w:pPr>
        <w:pBdr>
          <w:top w:val="nil"/>
          <w:left w:val="nil"/>
          <w:bottom w:val="nil"/>
          <w:right w:val="nil"/>
          <w:between w:val="nil"/>
        </w:pBdr>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lastRenderedPageBreak/>
        <w:t>Sirve de sustento la Jurisprudencia No. 29 visible a foja 19 del Apéndice al Semanario Judicial de la Federación 1917-1995, Tomo VI, Materia Común, Primera Parte, Tesis de la Suprema Corte de Justicia, que contiene:</w:t>
      </w:r>
    </w:p>
    <w:p w:rsidR="00453E68" w:rsidRPr="00177D55" w:rsidRDefault="00FB3022" w:rsidP="00282807">
      <w:pPr>
        <w:shd w:val="clear" w:color="auto" w:fill="FFFFFF"/>
        <w:spacing w:after="240"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b/>
          <w:i/>
          <w:color w:val="000000" w:themeColor="text1"/>
        </w:rPr>
        <w:t>AGRAVIOS EN LA REVISION. DEBEN ESTAR EN RELACION DIRECTA CON LOS FUNDAMENTOS Y CONSIDERACIONES DE LA SENTENCIA</w:t>
      </w:r>
      <w:r w:rsidRPr="00177D55">
        <w:rPr>
          <w:rFonts w:ascii="Palatino Linotype" w:eastAsia="Palatino Linotype" w:hAnsi="Palatino Linotype" w:cs="Palatino Linotype"/>
          <w:i/>
          <w:color w:val="000000" w:themeColor="text1"/>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Luego entonces, al no guardar relación los motivos de inconformidad hechos valer por el </w:t>
      </w:r>
      <w:r w:rsidRPr="00177D55">
        <w:rPr>
          <w:rFonts w:ascii="Palatino Linotype" w:eastAsia="Palatino Linotype" w:hAnsi="Palatino Linotype" w:cs="Palatino Linotype"/>
          <w:b/>
          <w:color w:val="000000" w:themeColor="text1"/>
        </w:rPr>
        <w:t xml:space="preserve">RECURRENTE </w:t>
      </w:r>
      <w:r w:rsidRPr="00177D55">
        <w:rPr>
          <w:rFonts w:ascii="Palatino Linotype" w:eastAsia="Palatino Linotype" w:hAnsi="Palatino Linotype" w:cs="Palatino Linotype"/>
          <w:color w:val="000000" w:themeColor="text1"/>
        </w:rPr>
        <w:t xml:space="preserve">con la solicitud o bien, con la respuesta, no se configura causal de procedencia alguna, trayendo consigo que el recurso de revisión sea desechado por improcedente, de acuerdo a lo estipulado en el artículo 191 fracción III en relación con el 192 fracción IV de la citada  ley que refieren lo siguiente: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r w:rsidRPr="00177D55">
        <w:rPr>
          <w:rFonts w:ascii="Palatino Linotype" w:eastAsia="Palatino Linotype" w:hAnsi="Palatino Linotype" w:cs="Palatino Linotype"/>
          <w:b/>
          <w:i/>
          <w:color w:val="000000" w:themeColor="text1"/>
        </w:rPr>
        <w:t>Artículo 191. El recurso será desechado por improcedente cuando:</w:t>
      </w:r>
    </w:p>
    <w:p w:rsidR="00453E68" w:rsidRPr="00177D55" w:rsidRDefault="00453E68"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 Sea extemporáneo por haber transcurrido el plazo establecido en la presente Ley, a partir de la respuesta;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II. Se esté tramitando ante el Poder Judicial de la Federación algún recurso o medio de defensa interpuesto por el recurrente;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r w:rsidRPr="00177D55">
        <w:rPr>
          <w:rFonts w:ascii="Palatino Linotype" w:eastAsia="Palatino Linotype" w:hAnsi="Palatino Linotype" w:cs="Palatino Linotype"/>
          <w:b/>
          <w:i/>
          <w:color w:val="000000" w:themeColor="text1"/>
        </w:rPr>
        <w:t xml:space="preserve">III. No actualice alguno de los supuestos previstos en la presente Ley;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IV. No se haya desahogado la prevención en los términos establecidos en la presente Ley;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lastRenderedPageBreak/>
        <w:t xml:space="preserve">V. Se impugne la veracidad de la información proporcionada;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VI. Se trate de una consulta, o trámite en específico; y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VII. El recurrente amplíe su solicitud en el recurso de revisión, únicamente respecto de los nuevos contenidos.</w:t>
      </w:r>
    </w:p>
    <w:p w:rsidR="00453E68" w:rsidRPr="00177D55" w:rsidRDefault="00453E68"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r w:rsidRPr="00177D55">
        <w:rPr>
          <w:rFonts w:ascii="Palatino Linotype" w:eastAsia="Palatino Linotype" w:hAnsi="Palatino Linotype" w:cs="Palatino Linotype"/>
          <w:b/>
          <w:i/>
          <w:color w:val="000000" w:themeColor="text1"/>
        </w:rPr>
        <w:t>Artículo 192. El recurso será sobreseído, en todo o en parte, cuando una vez admitido, se actualicen alguno de los siguientes supuestos:</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 El recurrente se desista expresamente del recurso;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II. El recurrente fallezca o, tratándose de personas jurídicas colectivas, se disuelva;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 xml:space="preserve">III. El sujeto obligado responsable del acto lo modifique o revoque de tal manera que el recurso de revisión quede sin materia;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r w:rsidRPr="00177D55">
        <w:rPr>
          <w:rFonts w:ascii="Palatino Linotype" w:eastAsia="Palatino Linotype" w:hAnsi="Palatino Linotype" w:cs="Palatino Linotype"/>
          <w:b/>
          <w:i/>
          <w:color w:val="000000" w:themeColor="text1"/>
        </w:rPr>
        <w:t xml:space="preserve">IV. Admitido el recurso de revisión, aparezca alguna causal de improcedencia en los términos de la presente Ley; y </w:t>
      </w:r>
    </w:p>
    <w:p w:rsidR="00453E68" w:rsidRPr="00177D55" w:rsidRDefault="00FB3022"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77D55">
        <w:rPr>
          <w:rFonts w:ascii="Palatino Linotype" w:eastAsia="Palatino Linotype" w:hAnsi="Palatino Linotype" w:cs="Palatino Linotype"/>
          <w:i/>
          <w:color w:val="000000" w:themeColor="text1"/>
        </w:rPr>
        <w:t>V. Cuando por cualquier motivo quede sin materia el recurso.</w:t>
      </w:r>
    </w:p>
    <w:p w:rsidR="00453E68" w:rsidRPr="00177D55" w:rsidRDefault="00453E68"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Es así que, el presente recurso de revisión actualiza la causal de sobreseimiento establecida en el artículo 192, fracción IV, en relación con el artículo 191 fracción III, de la Ley de Transparencia y Acceso a la Información Pública del Estado de México y Municipios.</w:t>
      </w:r>
    </w:p>
    <w:p w:rsidR="00491E06" w:rsidRPr="00177D55" w:rsidRDefault="00491E06" w:rsidP="00282807">
      <w:pPr>
        <w:pBdr>
          <w:top w:val="nil"/>
          <w:left w:val="nil"/>
          <w:bottom w:val="nil"/>
          <w:right w:val="nil"/>
          <w:between w:val="nil"/>
        </w:pBdr>
        <w:tabs>
          <w:tab w:val="left" w:pos="426"/>
        </w:tabs>
        <w:spacing w:line="360" w:lineRule="auto"/>
        <w:jc w:val="both"/>
        <w:rPr>
          <w:rFonts w:ascii="Palatino Linotype" w:hAnsi="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Finalmente, no pasa desapercibido que el </w:t>
      </w:r>
      <w:r w:rsidRPr="00177D55">
        <w:rPr>
          <w:rFonts w:ascii="Palatino Linotype" w:eastAsia="Palatino Linotype" w:hAnsi="Palatino Linotype" w:cs="Palatino Linotype"/>
          <w:b/>
          <w:color w:val="000000" w:themeColor="text1"/>
        </w:rPr>
        <w:t xml:space="preserve">SUJETO OBLIGADO, </w:t>
      </w:r>
      <w:r w:rsidR="00B24B03" w:rsidRPr="00177D55">
        <w:rPr>
          <w:rFonts w:ascii="Palatino Linotype" w:eastAsia="Palatino Linotype" w:hAnsi="Palatino Linotype" w:cs="Palatino Linotype"/>
          <w:color w:val="000000" w:themeColor="text1"/>
        </w:rPr>
        <w:t>rindió el informe justificado correspondiente</w:t>
      </w:r>
      <w:r w:rsidRPr="00177D55">
        <w:rPr>
          <w:rFonts w:ascii="Palatino Linotype" w:eastAsia="Palatino Linotype" w:hAnsi="Palatino Linotype" w:cs="Palatino Linotype"/>
          <w:color w:val="000000" w:themeColor="text1"/>
        </w:rPr>
        <w:t>, sin embargo, este resulta inatendible al haberse configurado el sobreseimiento del presente recurso, lo que impide entrar al estudio del asunto</w:t>
      </w:r>
    </w:p>
    <w:p w:rsidR="00453E68" w:rsidRPr="00177D55" w:rsidRDefault="00453E68" w:rsidP="0028280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lastRenderedPageBreak/>
        <w:t>No obstante, a efecto de no vulnerar los derechos del particular, este Órgano Garante deja a salvo sus derechos para que, si así lo desea, presente una nueva solicitud de acceso a la información requiriendo información que sea de su interés.</w:t>
      </w:r>
    </w:p>
    <w:p w:rsidR="00453E68" w:rsidRPr="00177D55" w:rsidRDefault="00453E68" w:rsidP="00282807">
      <w:pPr>
        <w:pBdr>
          <w:top w:val="nil"/>
          <w:left w:val="nil"/>
          <w:bottom w:val="nil"/>
          <w:right w:val="nil"/>
          <w:between w:val="nil"/>
        </w:pBdr>
        <w:rPr>
          <w:rFonts w:ascii="Palatino Linotype" w:eastAsia="Palatino Linotype" w:hAnsi="Palatino Linotype" w:cs="Palatino Linotype"/>
          <w:color w:val="000000" w:themeColor="text1"/>
        </w:rPr>
      </w:pPr>
    </w:p>
    <w:p w:rsidR="00453E68" w:rsidRPr="00177D55" w:rsidRDefault="00FB3022" w:rsidP="00282807">
      <w:pPr>
        <w:numPr>
          <w:ilvl w:val="0"/>
          <w:numId w:val="8"/>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77D55">
        <w:rPr>
          <w:rFonts w:ascii="Palatino Linotype" w:eastAsia="Palatino Linotype" w:hAnsi="Palatino Linotype" w:cs="Palatino Linotype"/>
          <w:color w:val="000000" w:themeColor="text1"/>
        </w:rPr>
        <w:t xml:space="preserve">Por lo anteriormente expuesto y fundado, este </w:t>
      </w:r>
      <w:r w:rsidRPr="00177D55">
        <w:rPr>
          <w:rFonts w:ascii="Palatino Linotype" w:eastAsia="Palatino Linotype" w:hAnsi="Palatino Linotype" w:cs="Palatino Linotype"/>
          <w:b/>
          <w:color w:val="000000" w:themeColor="text1"/>
        </w:rPr>
        <w:t>ÓRGANO GARANTE</w:t>
      </w:r>
      <w:r w:rsidRPr="00177D55">
        <w:rPr>
          <w:rFonts w:ascii="Palatino Linotype" w:eastAsia="Palatino Linotype" w:hAnsi="Palatino Linotype" w:cs="Palatino Linotype"/>
          <w:color w:val="000000" w:themeColor="text1"/>
        </w:rPr>
        <w:t xml:space="preserve"> emite los siguientes:</w:t>
      </w:r>
      <w:r w:rsidR="00F411E4">
        <w:rPr>
          <w:rFonts w:ascii="Palatino Linotype" w:eastAsia="Palatino Linotype" w:hAnsi="Palatino Linotype" w:cs="Palatino Linotype"/>
          <w:color w:val="000000" w:themeColor="text1"/>
        </w:rPr>
        <w:t xml:space="preserve"> </w:t>
      </w:r>
    </w:p>
    <w:p w:rsidR="00453E68" w:rsidRPr="00177D55" w:rsidRDefault="00453E68" w:rsidP="00282807">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453E68" w:rsidRPr="00177D55" w:rsidRDefault="00FB3022" w:rsidP="00282807">
      <w:pPr>
        <w:pStyle w:val="Ttulo1"/>
        <w:spacing w:line="360" w:lineRule="auto"/>
        <w:jc w:val="center"/>
        <w:rPr>
          <w:color w:val="000000" w:themeColor="text1"/>
          <w:szCs w:val="24"/>
        </w:rPr>
      </w:pPr>
      <w:bookmarkStart w:id="7" w:name="_heading=h.3dy6vkm" w:colFirst="0" w:colLast="0"/>
      <w:bookmarkEnd w:id="7"/>
      <w:r w:rsidRPr="00177D55">
        <w:rPr>
          <w:color w:val="000000" w:themeColor="text1"/>
          <w:szCs w:val="24"/>
        </w:rPr>
        <w:t>R E S O L U T I V O S</w:t>
      </w:r>
    </w:p>
    <w:p w:rsidR="00157079" w:rsidRPr="00177D55" w:rsidRDefault="00157079" w:rsidP="00157079">
      <w:pPr>
        <w:rPr>
          <w:lang w:val="es-MX" w:eastAsia="en-US"/>
        </w:rPr>
      </w:pPr>
    </w:p>
    <w:p w:rsidR="00453E68" w:rsidRPr="00177D55" w:rsidRDefault="00453E68" w:rsidP="00282807">
      <w:pPr>
        <w:rPr>
          <w:rFonts w:ascii="Palatino Linotype" w:hAnsi="Palatino Linotype"/>
          <w:color w:val="000000" w:themeColor="text1"/>
        </w:rPr>
      </w:pPr>
    </w:p>
    <w:p w:rsidR="00453E68" w:rsidRPr="00177D55" w:rsidRDefault="00FB3022" w:rsidP="00282807">
      <w:pPr>
        <w:spacing w:after="240" w:line="360"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b/>
          <w:color w:val="000000" w:themeColor="text1"/>
        </w:rPr>
        <w:t>PRIMERO.</w:t>
      </w:r>
      <w:r w:rsidRPr="00177D55">
        <w:rPr>
          <w:rFonts w:ascii="Palatino Linotype" w:eastAsia="Palatino Linotype" w:hAnsi="Palatino Linotype" w:cs="Palatino Linotype"/>
          <w:color w:val="000000" w:themeColor="text1"/>
        </w:rPr>
        <w:t xml:space="preserve"> Se </w:t>
      </w:r>
      <w:r w:rsidRPr="00177D55">
        <w:rPr>
          <w:rFonts w:ascii="Palatino Linotype" w:eastAsia="Palatino Linotype" w:hAnsi="Palatino Linotype" w:cs="Palatino Linotype"/>
          <w:b/>
          <w:color w:val="000000" w:themeColor="text1"/>
        </w:rPr>
        <w:t xml:space="preserve">SOBRESEE el </w:t>
      </w:r>
      <w:r w:rsidR="004814EC" w:rsidRPr="00177D55">
        <w:rPr>
          <w:rFonts w:ascii="Palatino Linotype" w:eastAsia="Palatino Linotype" w:hAnsi="Palatino Linotype" w:cs="Palatino Linotype"/>
          <w:color w:val="000000" w:themeColor="text1"/>
        </w:rPr>
        <w:t>recurso de revisión número</w:t>
      </w:r>
      <w:r w:rsidR="004814EC" w:rsidRPr="00177D55">
        <w:rPr>
          <w:rFonts w:ascii="Palatino Linotype" w:eastAsia="Palatino Linotype" w:hAnsi="Palatino Linotype" w:cs="Palatino Linotype"/>
          <w:b/>
          <w:bCs/>
          <w:color w:val="000000" w:themeColor="text1"/>
        </w:rPr>
        <w:t> </w:t>
      </w:r>
      <w:r w:rsidR="00B24B03" w:rsidRPr="00177D55">
        <w:rPr>
          <w:rFonts w:ascii="Palatino Linotype" w:eastAsia="Palatino Linotype" w:hAnsi="Palatino Linotype" w:cs="Palatino Linotype"/>
          <w:b/>
          <w:bCs/>
          <w:color w:val="000000" w:themeColor="text1"/>
        </w:rPr>
        <w:t>07163/INFOEM/IP/RR/2025</w:t>
      </w:r>
      <w:r w:rsidRPr="00177D55">
        <w:rPr>
          <w:rFonts w:ascii="Palatino Linotype" w:eastAsia="Palatino Linotype" w:hAnsi="Palatino Linotype" w:cs="Palatino Linotype"/>
          <w:color w:val="000000" w:themeColor="text1"/>
        </w:rPr>
        <w:t xml:space="preserve">, conforme al artículo </w:t>
      </w:r>
      <w:r w:rsidRPr="00177D55">
        <w:rPr>
          <w:rFonts w:ascii="Palatino Linotype" w:eastAsia="Palatino Linotype" w:hAnsi="Palatino Linotype" w:cs="Palatino Linotype"/>
          <w:b/>
          <w:color w:val="000000" w:themeColor="text1"/>
        </w:rPr>
        <w:t>192 fracción IV</w:t>
      </w:r>
      <w:r w:rsidRPr="00177D55">
        <w:rPr>
          <w:rFonts w:ascii="Palatino Linotype" w:eastAsia="Palatino Linotype" w:hAnsi="Palatino Linotype" w:cs="Palatino Linotype"/>
          <w:color w:val="000000" w:themeColor="text1"/>
        </w:rPr>
        <w:t xml:space="preserve">, en relación a la </w:t>
      </w:r>
      <w:r w:rsidRPr="00177D55">
        <w:rPr>
          <w:rFonts w:ascii="Palatino Linotype" w:eastAsia="Palatino Linotype" w:hAnsi="Palatino Linotype" w:cs="Palatino Linotype"/>
          <w:b/>
          <w:color w:val="000000" w:themeColor="text1"/>
        </w:rPr>
        <w:t>fracción III</w:t>
      </w:r>
      <w:r w:rsidRPr="00177D55">
        <w:rPr>
          <w:rFonts w:ascii="Palatino Linotype" w:eastAsia="Palatino Linotype" w:hAnsi="Palatino Linotype" w:cs="Palatino Linotype"/>
          <w:color w:val="000000" w:themeColor="text1"/>
        </w:rPr>
        <w:t xml:space="preserve"> del artículo </w:t>
      </w:r>
      <w:r w:rsidRPr="00177D55">
        <w:rPr>
          <w:rFonts w:ascii="Palatino Linotype" w:eastAsia="Palatino Linotype" w:hAnsi="Palatino Linotype" w:cs="Palatino Linotype"/>
          <w:b/>
          <w:color w:val="000000" w:themeColor="text1"/>
        </w:rPr>
        <w:t>191</w:t>
      </w:r>
      <w:r w:rsidRPr="00177D55">
        <w:rPr>
          <w:rFonts w:ascii="Palatino Linotype" w:eastAsia="Palatino Linotype" w:hAnsi="Palatino Linotype" w:cs="Palatino Linotype"/>
          <w:color w:val="000000" w:themeColor="text1"/>
        </w:rPr>
        <w:t xml:space="preserve">, de la Ley de Transparencia y Acceso a la Información Pública del Estado de México y Municipios, en términos del </w:t>
      </w:r>
      <w:r w:rsidRPr="00177D55">
        <w:rPr>
          <w:rFonts w:ascii="Palatino Linotype" w:eastAsia="Palatino Linotype" w:hAnsi="Palatino Linotype" w:cs="Palatino Linotype"/>
          <w:b/>
          <w:color w:val="000000" w:themeColor="text1"/>
        </w:rPr>
        <w:t>Considerando TERCERO</w:t>
      </w:r>
      <w:r w:rsidRPr="00177D55">
        <w:rPr>
          <w:rFonts w:ascii="Palatino Linotype" w:eastAsia="Palatino Linotype" w:hAnsi="Palatino Linotype" w:cs="Palatino Linotype"/>
          <w:color w:val="000000" w:themeColor="text1"/>
        </w:rPr>
        <w:t xml:space="preserve"> de la presente resolución.</w:t>
      </w:r>
    </w:p>
    <w:p w:rsidR="00453E68" w:rsidRPr="00177D55" w:rsidRDefault="00157079" w:rsidP="00282807">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177D55">
        <w:rPr>
          <w:rFonts w:ascii="Palatino Linotype" w:eastAsia="Palatino Linotype" w:hAnsi="Palatino Linotype" w:cs="Palatino Linotype"/>
          <w:b/>
          <w:color w:val="000000" w:themeColor="text1"/>
        </w:rPr>
        <w:t xml:space="preserve">SEGUNDO. Notifíquese </w:t>
      </w:r>
      <w:r w:rsidR="00FB3022" w:rsidRPr="00177D55">
        <w:rPr>
          <w:rFonts w:ascii="Palatino Linotype" w:eastAsia="Palatino Linotype" w:hAnsi="Palatino Linotype" w:cs="Palatino Linotype"/>
          <w:color w:val="000000" w:themeColor="text1"/>
        </w:rPr>
        <w:t xml:space="preserve">a través del Sistema de Acceso a la Información Mexiquense </w:t>
      </w:r>
      <w:r w:rsidR="00FB3022" w:rsidRPr="00177D55">
        <w:rPr>
          <w:rFonts w:ascii="Palatino Linotype" w:eastAsia="Palatino Linotype" w:hAnsi="Palatino Linotype" w:cs="Palatino Linotype"/>
          <w:b/>
          <w:color w:val="000000" w:themeColor="text1"/>
        </w:rPr>
        <w:t xml:space="preserve">(SAIMEX) </w:t>
      </w:r>
      <w:r w:rsidR="00FB3022" w:rsidRPr="00177D55">
        <w:rPr>
          <w:rFonts w:ascii="Palatino Linotype" w:eastAsia="Palatino Linotype" w:hAnsi="Palatino Linotype" w:cs="Palatino Linotype"/>
          <w:color w:val="000000" w:themeColor="text1"/>
        </w:rPr>
        <w:t>la presente resolución al Titular de la Unidad de Transparencia del</w:t>
      </w:r>
      <w:r w:rsidR="00FB3022" w:rsidRPr="00177D55">
        <w:rPr>
          <w:rFonts w:ascii="Palatino Linotype" w:eastAsia="Palatino Linotype" w:hAnsi="Palatino Linotype" w:cs="Palatino Linotype"/>
          <w:b/>
          <w:color w:val="000000" w:themeColor="text1"/>
        </w:rPr>
        <w:t xml:space="preserve"> SUJETO OBLIGADO. </w:t>
      </w:r>
    </w:p>
    <w:p w:rsidR="00453E68" w:rsidRPr="00177D55" w:rsidRDefault="00FB3022" w:rsidP="00282807">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b/>
          <w:color w:val="000000" w:themeColor="text1"/>
        </w:rPr>
        <w:t>TER</w:t>
      </w:r>
      <w:r w:rsidR="004814EC" w:rsidRPr="00177D55">
        <w:rPr>
          <w:rFonts w:ascii="Palatino Linotype" w:eastAsia="Palatino Linotype" w:hAnsi="Palatino Linotype" w:cs="Palatino Linotype"/>
          <w:b/>
          <w:color w:val="000000" w:themeColor="text1"/>
        </w:rPr>
        <w:t xml:space="preserve">CERO. Notifíquese al RECURRENTE, vía SAIMEX </w:t>
      </w:r>
      <w:r w:rsidRPr="00177D55">
        <w:rPr>
          <w:rFonts w:ascii="Palatino Linotype" w:eastAsia="Palatino Linotype" w:hAnsi="Palatino Linotype" w:cs="Palatino Linotype"/>
          <w:color w:val="000000" w:themeColor="text1"/>
        </w:rPr>
        <w:t>la presente resolución.</w:t>
      </w:r>
    </w:p>
    <w:p w:rsidR="00453E68" w:rsidRPr="00177D55" w:rsidRDefault="00FB3022" w:rsidP="00282807">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177D55">
        <w:rPr>
          <w:rFonts w:ascii="Palatino Linotype" w:eastAsia="Palatino Linotype" w:hAnsi="Palatino Linotype" w:cs="Palatino Linotype"/>
          <w:b/>
          <w:color w:val="000000" w:themeColor="text1"/>
        </w:rPr>
        <w:t>CUARTO.</w:t>
      </w:r>
      <w:r w:rsidRPr="00177D55">
        <w:rPr>
          <w:rFonts w:ascii="Palatino Linotype" w:eastAsia="Palatino Linotype" w:hAnsi="Palatino Linotype" w:cs="Palatino Linotype"/>
          <w:color w:val="000000" w:themeColor="text1"/>
        </w:rPr>
        <w:t xml:space="preserve"> Se hace del conocimiento del </w:t>
      </w:r>
      <w:r w:rsidRPr="00177D55">
        <w:rPr>
          <w:rFonts w:ascii="Palatino Linotype" w:eastAsia="Palatino Linotype" w:hAnsi="Palatino Linotype" w:cs="Palatino Linotype"/>
          <w:b/>
          <w:color w:val="000000" w:themeColor="text1"/>
        </w:rPr>
        <w:t xml:space="preserve">RECURRENTE </w:t>
      </w:r>
      <w:r w:rsidRPr="00177D5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57079" w:rsidRPr="00177D55" w:rsidRDefault="00157079" w:rsidP="00282807">
      <w:pPr>
        <w:spacing w:before="240" w:after="240" w:line="360" w:lineRule="auto"/>
        <w:jc w:val="both"/>
        <w:rPr>
          <w:rFonts w:ascii="Palatino Linotype" w:eastAsia="Palatino Linotype" w:hAnsi="Palatino Linotype" w:cs="Palatino Linotype"/>
          <w:color w:val="000000" w:themeColor="text1"/>
        </w:rPr>
      </w:pPr>
    </w:p>
    <w:p w:rsidR="00157079" w:rsidRPr="00177D55" w:rsidRDefault="00177D55" w:rsidP="00157079">
      <w:pPr>
        <w:spacing w:line="360" w:lineRule="auto"/>
        <w:ind w:right="49"/>
        <w:jc w:val="both"/>
        <w:rPr>
          <w:rFonts w:ascii="Palatino Linotype" w:eastAsia="Palatino Linotype" w:hAnsi="Palatino Linotype" w:cs="Palatino Linotype"/>
        </w:rPr>
      </w:pPr>
      <w:r w:rsidRPr="00177D5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157079" w:rsidRPr="00177D55">
        <w:rPr>
          <w:rFonts w:ascii="Palatino Linotype" w:eastAsia="Palatino Linotype" w:hAnsi="Palatino Linotype" w:cs="Palatino Linotype"/>
        </w:rPr>
        <w:t>.</w:t>
      </w:r>
    </w:p>
    <w:p w:rsidR="00453E68" w:rsidRPr="00177D55" w:rsidRDefault="00453E68" w:rsidP="00282807">
      <w:pPr>
        <w:spacing w:line="360" w:lineRule="auto"/>
        <w:jc w:val="both"/>
        <w:rPr>
          <w:rFonts w:ascii="Palatino Linotype" w:eastAsia="Palatino Linotype" w:hAnsi="Palatino Linotype" w:cs="Palatino Linotype"/>
          <w:color w:val="000000" w:themeColor="text1"/>
        </w:rPr>
      </w:pPr>
    </w:p>
    <w:p w:rsidR="00453E68" w:rsidRPr="00177D55" w:rsidRDefault="00453E68" w:rsidP="00282807">
      <w:pPr>
        <w:spacing w:line="360" w:lineRule="auto"/>
        <w:rPr>
          <w:rFonts w:ascii="Palatino Linotype" w:eastAsia="Palatino Linotype" w:hAnsi="Palatino Linotype" w:cs="Palatino Linotype"/>
          <w:color w:val="000000" w:themeColor="text1"/>
        </w:rPr>
      </w:pPr>
    </w:p>
    <w:p w:rsidR="00453E68" w:rsidRPr="00177D55" w:rsidRDefault="00453E68" w:rsidP="00282807">
      <w:pPr>
        <w:spacing w:line="360" w:lineRule="auto"/>
        <w:jc w:val="both"/>
        <w:rPr>
          <w:rFonts w:ascii="Palatino Linotype" w:eastAsia="Palatino Linotype" w:hAnsi="Palatino Linotype" w:cs="Palatino Linotype"/>
          <w:color w:val="000000" w:themeColor="text1"/>
        </w:rPr>
      </w:pPr>
    </w:p>
    <w:p w:rsidR="00453E68" w:rsidRPr="00177D55" w:rsidRDefault="00453E68" w:rsidP="00282807">
      <w:pPr>
        <w:spacing w:line="360" w:lineRule="auto"/>
        <w:jc w:val="both"/>
        <w:rPr>
          <w:rFonts w:ascii="Palatino Linotype" w:eastAsia="Palatino Linotype" w:hAnsi="Palatino Linotype" w:cs="Palatino Linotype"/>
          <w:color w:val="000000" w:themeColor="text1"/>
        </w:rPr>
      </w:pPr>
    </w:p>
    <w:p w:rsidR="00453E68" w:rsidRPr="00177D55" w:rsidRDefault="00453E68" w:rsidP="00282807">
      <w:pPr>
        <w:spacing w:line="360" w:lineRule="auto"/>
        <w:jc w:val="both"/>
        <w:rPr>
          <w:rFonts w:ascii="Palatino Linotype" w:eastAsia="Palatino Linotype" w:hAnsi="Palatino Linotype" w:cs="Palatino Linotype"/>
          <w:color w:val="000000" w:themeColor="text1"/>
        </w:rPr>
      </w:pPr>
    </w:p>
    <w:p w:rsidR="00453E68" w:rsidRPr="00177D55" w:rsidRDefault="00453E68" w:rsidP="0028280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453E68" w:rsidRPr="00177D55" w:rsidRDefault="00453E68"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p w:rsidR="00157079" w:rsidRPr="00177D55" w:rsidRDefault="00157079" w:rsidP="00282807">
      <w:pPr>
        <w:spacing w:line="360" w:lineRule="auto"/>
        <w:jc w:val="both"/>
        <w:rPr>
          <w:rFonts w:ascii="Palatino Linotype" w:eastAsia="Palatino Linotype" w:hAnsi="Palatino Linotype" w:cs="Palatino Linotype"/>
          <w:color w:val="000000" w:themeColor="text1"/>
        </w:rPr>
      </w:pPr>
    </w:p>
    <w:sectPr w:rsidR="00157079" w:rsidRPr="00177D55" w:rsidSect="00F411E4">
      <w:headerReference w:type="even" r:id="rId9"/>
      <w:headerReference w:type="default" r:id="rId10"/>
      <w:footerReference w:type="default" r:id="rId11"/>
      <w:headerReference w:type="first" r:id="rId12"/>
      <w:footerReference w:type="first" r:id="rId13"/>
      <w:pgSz w:w="12240" w:h="15840"/>
      <w:pgMar w:top="1417"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E18" w:rsidRDefault="00265E18">
      <w:r>
        <w:separator/>
      </w:r>
    </w:p>
  </w:endnote>
  <w:endnote w:type="continuationSeparator" w:id="0">
    <w:p w:rsidR="00265E18" w:rsidRDefault="0026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rriweather">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E9" w:rsidRDefault="009613E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9D0888">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9D0888">
      <w:rPr>
        <w:rFonts w:ascii="Palatino Linotype" w:eastAsia="Palatino Linotype" w:hAnsi="Palatino Linotype" w:cs="Palatino Linotype"/>
        <w:b/>
        <w:noProof/>
        <w:color w:val="000000"/>
      </w:rPr>
      <w:t>11</w:t>
    </w:r>
    <w:r>
      <w:rPr>
        <w:rFonts w:ascii="Palatino Linotype" w:eastAsia="Palatino Linotype" w:hAnsi="Palatino Linotype" w:cs="Palatino Linotype"/>
        <w:b/>
        <w:color w:val="000000"/>
      </w:rPr>
      <w:fldChar w:fldCharType="end"/>
    </w:r>
  </w:p>
  <w:p w:rsidR="009613E9" w:rsidRDefault="009613E9">
    <w:pPr>
      <w:pBdr>
        <w:top w:val="nil"/>
        <w:left w:val="nil"/>
        <w:bottom w:val="nil"/>
        <w:right w:val="nil"/>
        <w:between w:val="nil"/>
      </w:pBdr>
      <w:tabs>
        <w:tab w:val="center" w:pos="4252"/>
        <w:tab w:val="right" w:pos="8504"/>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E9" w:rsidRDefault="009613E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D088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D0888">
      <w:rPr>
        <w:rFonts w:ascii="Palatino Linotype" w:eastAsia="Palatino Linotype" w:hAnsi="Palatino Linotype" w:cs="Palatino Linotype"/>
        <w:noProof/>
        <w:color w:val="000000"/>
        <w:sz w:val="22"/>
        <w:szCs w:val="22"/>
      </w:rPr>
      <w:t>11</w:t>
    </w:r>
    <w:r>
      <w:rPr>
        <w:rFonts w:ascii="Palatino Linotype" w:eastAsia="Palatino Linotype" w:hAnsi="Palatino Linotype" w:cs="Palatino Linotype"/>
        <w:color w:val="000000"/>
        <w:sz w:val="22"/>
        <w:szCs w:val="22"/>
      </w:rPr>
      <w:fldChar w:fldCharType="end"/>
    </w:r>
  </w:p>
  <w:p w:rsidR="009613E9" w:rsidRDefault="009613E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E18" w:rsidRDefault="00265E18">
      <w:r>
        <w:separator/>
      </w:r>
    </w:p>
  </w:footnote>
  <w:footnote w:type="continuationSeparator" w:id="0">
    <w:p w:rsidR="00265E18" w:rsidRDefault="0026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E9" w:rsidRDefault="00265E18">
    <w:pPr>
      <w:pBdr>
        <w:top w:val="nil"/>
        <w:left w:val="nil"/>
        <w:bottom w:val="nil"/>
        <w:right w:val="nil"/>
        <w:between w:val="nil"/>
      </w:pBdr>
      <w:tabs>
        <w:tab w:val="center" w:pos="4252"/>
        <w:tab w:val="right" w:pos="8504"/>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21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3270"/>
      <w:gridCol w:w="3945"/>
    </w:tblGrid>
    <w:tr w:rsidR="009613E9" w:rsidTr="00F411E4">
      <w:trPr>
        <w:trHeight w:val="138"/>
      </w:trPr>
      <w:tc>
        <w:tcPr>
          <w:tcW w:w="3270" w:type="dxa"/>
          <w:vAlign w:val="center"/>
        </w:tcPr>
        <w:p w:rsidR="009613E9" w:rsidRPr="00282807" w:rsidRDefault="009613E9" w:rsidP="00282807">
          <w:pPr>
            <w:ind w:left="425" w:right="-10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Recurso de revisión:</w:t>
          </w:r>
        </w:p>
      </w:tc>
      <w:tc>
        <w:tcPr>
          <w:tcW w:w="3945" w:type="dxa"/>
          <w:vAlign w:val="center"/>
        </w:tcPr>
        <w:p w:rsidR="009613E9" w:rsidRPr="00282807" w:rsidRDefault="006C2BDF" w:rsidP="00282807">
          <w:pPr>
            <w:pBdr>
              <w:top w:val="nil"/>
              <w:left w:val="nil"/>
              <w:bottom w:val="nil"/>
              <w:right w:val="nil"/>
              <w:between w:val="nil"/>
            </w:pBdr>
            <w:tabs>
              <w:tab w:val="right" w:pos="8504"/>
            </w:tabs>
            <w:ind w:right="-494"/>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bCs/>
              <w:color w:val="000000" w:themeColor="text1"/>
            </w:rPr>
            <w:t>07163/INFOEM/IP/RR/2025</w:t>
          </w:r>
        </w:p>
      </w:tc>
    </w:tr>
    <w:tr w:rsidR="009613E9" w:rsidTr="00F411E4">
      <w:trPr>
        <w:trHeight w:val="321"/>
      </w:trPr>
      <w:tc>
        <w:tcPr>
          <w:tcW w:w="3270" w:type="dxa"/>
          <w:vAlign w:val="center"/>
        </w:tcPr>
        <w:p w:rsidR="009613E9" w:rsidRPr="00282807" w:rsidRDefault="009613E9" w:rsidP="00282807">
          <w:pPr>
            <w:ind w:left="425" w:right="-10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Sujeto obligado:</w:t>
          </w:r>
        </w:p>
      </w:tc>
      <w:tc>
        <w:tcPr>
          <w:tcW w:w="3945" w:type="dxa"/>
          <w:vAlign w:val="center"/>
        </w:tcPr>
        <w:p w:rsidR="009613E9" w:rsidRPr="00282807" w:rsidRDefault="006C2BDF" w:rsidP="00282807">
          <w:pPr>
            <w:pBdr>
              <w:top w:val="nil"/>
              <w:left w:val="nil"/>
              <w:bottom w:val="nil"/>
              <w:right w:val="nil"/>
              <w:between w:val="nil"/>
            </w:pBdr>
            <w:tabs>
              <w:tab w:val="right" w:pos="8504"/>
            </w:tabs>
            <w:ind w:right="-494"/>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bCs/>
              <w:color w:val="000000" w:themeColor="text1"/>
            </w:rPr>
            <w:t>Ayuntamiento de Teoloyucan</w:t>
          </w:r>
        </w:p>
      </w:tc>
    </w:tr>
    <w:tr w:rsidR="009613E9" w:rsidTr="00F411E4">
      <w:trPr>
        <w:trHeight w:val="321"/>
      </w:trPr>
      <w:tc>
        <w:tcPr>
          <w:tcW w:w="3270" w:type="dxa"/>
          <w:vAlign w:val="center"/>
        </w:tcPr>
        <w:p w:rsidR="009613E9" w:rsidRPr="00282807" w:rsidRDefault="009613E9" w:rsidP="00282807">
          <w:pPr>
            <w:ind w:left="425" w:right="-10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Comisionada ponente:</w:t>
          </w:r>
        </w:p>
      </w:tc>
      <w:tc>
        <w:tcPr>
          <w:tcW w:w="3945" w:type="dxa"/>
          <w:vAlign w:val="center"/>
        </w:tcPr>
        <w:p w:rsidR="009613E9" w:rsidRPr="00282807" w:rsidRDefault="009613E9" w:rsidP="00282807">
          <w:pPr>
            <w:pBdr>
              <w:top w:val="nil"/>
              <w:left w:val="nil"/>
              <w:bottom w:val="nil"/>
              <w:right w:val="nil"/>
              <w:between w:val="nil"/>
            </w:pBdr>
            <w:tabs>
              <w:tab w:val="right" w:pos="8504"/>
            </w:tabs>
            <w:ind w:right="-494"/>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color w:val="000000" w:themeColor="text1"/>
            </w:rPr>
            <w:t>María del Rosario Mejía Ayala</w:t>
          </w:r>
        </w:p>
      </w:tc>
    </w:tr>
  </w:tbl>
  <w:p w:rsidR="009613E9" w:rsidRDefault="00265E18">
    <w:pPr>
      <w:pBdr>
        <w:top w:val="nil"/>
        <w:left w:val="nil"/>
        <w:bottom w:val="nil"/>
        <w:right w:val="nil"/>
        <w:between w:val="nil"/>
      </w:pBdr>
      <w:tabs>
        <w:tab w:val="center" w:pos="4252"/>
        <w:tab w:val="right" w:pos="8504"/>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75pt;margin-top:-110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2595"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3960"/>
      <w:gridCol w:w="2400"/>
      <w:gridCol w:w="255"/>
      <w:gridCol w:w="3255"/>
    </w:tblGrid>
    <w:tr w:rsidR="009613E9" w:rsidTr="00F411E4">
      <w:trPr>
        <w:trHeight w:val="138"/>
      </w:trPr>
      <w:tc>
        <w:tcPr>
          <w:tcW w:w="2725" w:type="dxa"/>
          <w:vAlign w:val="center"/>
        </w:tcPr>
        <w:p w:rsidR="009613E9" w:rsidRPr="00282807" w:rsidRDefault="009613E9" w:rsidP="00282807">
          <w:pPr>
            <w:ind w:right="-23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Recurso de revisión:</w:t>
          </w:r>
        </w:p>
      </w:tc>
      <w:tc>
        <w:tcPr>
          <w:tcW w:w="3960" w:type="dxa"/>
          <w:vAlign w:val="center"/>
        </w:tcPr>
        <w:p w:rsidR="009613E9" w:rsidRPr="00282807" w:rsidRDefault="006C2BDF" w:rsidP="00282807">
          <w:pPr>
            <w:pBdr>
              <w:top w:val="nil"/>
              <w:left w:val="nil"/>
              <w:bottom w:val="nil"/>
              <w:right w:val="nil"/>
              <w:between w:val="nil"/>
            </w:pBdr>
            <w:tabs>
              <w:tab w:val="right" w:pos="8504"/>
            </w:tabs>
            <w:ind w:right="-1143"/>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bCs/>
              <w:color w:val="000000" w:themeColor="text1"/>
            </w:rPr>
            <w:t>07163/INFOEM/IP/RR/2025</w:t>
          </w:r>
        </w:p>
      </w:tc>
      <w:tc>
        <w:tcPr>
          <w:tcW w:w="2400" w:type="dxa"/>
          <w:vAlign w:val="center"/>
        </w:tcPr>
        <w:p w:rsidR="009613E9" w:rsidRDefault="009613E9">
          <w:pPr>
            <w:rPr>
              <w:rFonts w:ascii="Palatino Linotype" w:eastAsia="Palatino Linotype" w:hAnsi="Palatino Linotype" w:cs="Palatino Linotype"/>
              <w:b/>
              <w:sz w:val="22"/>
              <w:szCs w:val="22"/>
            </w:rPr>
          </w:pPr>
        </w:p>
      </w:tc>
      <w:tc>
        <w:tcPr>
          <w:tcW w:w="255" w:type="dxa"/>
          <w:vAlign w:val="center"/>
        </w:tcPr>
        <w:p w:rsidR="009613E9" w:rsidRDefault="009613E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sz w:val="22"/>
              <w:szCs w:val="22"/>
            </w:rPr>
          </w:pPr>
        </w:p>
      </w:tc>
      <w:tc>
        <w:tcPr>
          <w:tcW w:w="3255" w:type="dxa"/>
          <w:vAlign w:val="center"/>
        </w:tcPr>
        <w:p w:rsidR="009613E9" w:rsidRDefault="009613E9">
          <w:pPr>
            <w:pBdr>
              <w:top w:val="nil"/>
              <w:left w:val="nil"/>
              <w:bottom w:val="nil"/>
              <w:right w:val="nil"/>
              <w:between w:val="nil"/>
            </w:pBdr>
            <w:tabs>
              <w:tab w:val="center" w:pos="4252"/>
              <w:tab w:val="right" w:pos="8504"/>
            </w:tabs>
            <w:rPr>
              <w:rFonts w:ascii="Palatino Linotype" w:eastAsia="Palatino Linotype" w:hAnsi="Palatino Linotype" w:cs="Palatino Linotype"/>
              <w:b/>
              <w:sz w:val="22"/>
              <w:szCs w:val="22"/>
            </w:rPr>
          </w:pPr>
        </w:p>
      </w:tc>
    </w:tr>
    <w:tr w:rsidR="009613E9" w:rsidTr="00F411E4">
      <w:trPr>
        <w:trHeight w:val="227"/>
      </w:trPr>
      <w:tc>
        <w:tcPr>
          <w:tcW w:w="2725" w:type="dxa"/>
          <w:vAlign w:val="center"/>
        </w:tcPr>
        <w:p w:rsidR="009613E9" w:rsidRPr="00282807" w:rsidRDefault="009613E9" w:rsidP="00282807">
          <w:pPr>
            <w:ind w:right="-23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Recurrente:</w:t>
          </w:r>
        </w:p>
      </w:tc>
      <w:tc>
        <w:tcPr>
          <w:tcW w:w="3960" w:type="dxa"/>
          <w:vAlign w:val="center"/>
        </w:tcPr>
        <w:p w:rsidR="009613E9" w:rsidRPr="00282807" w:rsidRDefault="009D0888" w:rsidP="00282807">
          <w:pPr>
            <w:pBdr>
              <w:top w:val="nil"/>
              <w:left w:val="nil"/>
              <w:bottom w:val="nil"/>
              <w:right w:val="nil"/>
              <w:between w:val="nil"/>
            </w:pBdr>
            <w:tabs>
              <w:tab w:val="right" w:pos="8504"/>
            </w:tabs>
            <w:ind w:right="-1143"/>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c>
        <w:tcPr>
          <w:tcW w:w="2400" w:type="dxa"/>
          <w:vAlign w:val="center"/>
        </w:tcPr>
        <w:p w:rsidR="009613E9" w:rsidRDefault="009613E9">
          <w:pPr>
            <w:rPr>
              <w:rFonts w:ascii="Palatino Linotype" w:eastAsia="Palatino Linotype" w:hAnsi="Palatino Linotype" w:cs="Palatino Linotype"/>
              <w:b/>
              <w:sz w:val="22"/>
              <w:szCs w:val="22"/>
            </w:rPr>
          </w:pPr>
        </w:p>
      </w:tc>
      <w:tc>
        <w:tcPr>
          <w:tcW w:w="255" w:type="dxa"/>
          <w:vAlign w:val="center"/>
        </w:tcPr>
        <w:p w:rsidR="009613E9" w:rsidRDefault="009613E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sz w:val="22"/>
              <w:szCs w:val="22"/>
            </w:rPr>
          </w:pPr>
        </w:p>
      </w:tc>
      <w:tc>
        <w:tcPr>
          <w:tcW w:w="3255" w:type="dxa"/>
          <w:vAlign w:val="center"/>
        </w:tcPr>
        <w:p w:rsidR="009613E9" w:rsidRDefault="009613E9">
          <w:pPr>
            <w:pBdr>
              <w:top w:val="nil"/>
              <w:left w:val="nil"/>
              <w:bottom w:val="nil"/>
              <w:right w:val="nil"/>
              <w:between w:val="nil"/>
            </w:pBdr>
            <w:tabs>
              <w:tab w:val="center" w:pos="4252"/>
              <w:tab w:val="right" w:pos="8504"/>
            </w:tabs>
            <w:rPr>
              <w:rFonts w:ascii="Palatino Linotype" w:eastAsia="Palatino Linotype" w:hAnsi="Palatino Linotype" w:cs="Palatino Linotype"/>
              <w:b/>
              <w:sz w:val="22"/>
              <w:szCs w:val="22"/>
            </w:rPr>
          </w:pPr>
        </w:p>
      </w:tc>
    </w:tr>
    <w:tr w:rsidR="009613E9" w:rsidTr="00F411E4">
      <w:trPr>
        <w:trHeight w:val="232"/>
      </w:trPr>
      <w:tc>
        <w:tcPr>
          <w:tcW w:w="2725" w:type="dxa"/>
          <w:vAlign w:val="center"/>
        </w:tcPr>
        <w:p w:rsidR="009613E9" w:rsidRPr="00282807" w:rsidRDefault="009613E9" w:rsidP="00282807">
          <w:pPr>
            <w:ind w:right="-23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Sujeto obligado:</w:t>
          </w:r>
        </w:p>
      </w:tc>
      <w:tc>
        <w:tcPr>
          <w:tcW w:w="3960" w:type="dxa"/>
          <w:vAlign w:val="center"/>
        </w:tcPr>
        <w:p w:rsidR="009613E9" w:rsidRPr="00282807" w:rsidRDefault="006C2BDF" w:rsidP="00282807">
          <w:pPr>
            <w:pBdr>
              <w:top w:val="nil"/>
              <w:left w:val="nil"/>
              <w:bottom w:val="nil"/>
              <w:right w:val="nil"/>
              <w:between w:val="nil"/>
            </w:pBdr>
            <w:tabs>
              <w:tab w:val="right" w:pos="8504"/>
            </w:tabs>
            <w:ind w:right="-1143"/>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bCs/>
              <w:color w:val="000000" w:themeColor="text1"/>
            </w:rPr>
            <w:t>Ayuntamiento de Teoloyucan</w:t>
          </w:r>
        </w:p>
      </w:tc>
      <w:tc>
        <w:tcPr>
          <w:tcW w:w="2400" w:type="dxa"/>
          <w:vAlign w:val="center"/>
        </w:tcPr>
        <w:p w:rsidR="009613E9" w:rsidRDefault="009613E9">
          <w:pPr>
            <w:rPr>
              <w:rFonts w:ascii="Palatino Linotype" w:eastAsia="Palatino Linotype" w:hAnsi="Palatino Linotype" w:cs="Palatino Linotype"/>
              <w:b/>
              <w:sz w:val="22"/>
              <w:szCs w:val="22"/>
            </w:rPr>
          </w:pPr>
        </w:p>
      </w:tc>
      <w:tc>
        <w:tcPr>
          <w:tcW w:w="255" w:type="dxa"/>
          <w:vAlign w:val="center"/>
        </w:tcPr>
        <w:p w:rsidR="009613E9" w:rsidRDefault="009613E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sz w:val="22"/>
              <w:szCs w:val="22"/>
            </w:rPr>
          </w:pPr>
        </w:p>
      </w:tc>
      <w:tc>
        <w:tcPr>
          <w:tcW w:w="3255" w:type="dxa"/>
          <w:vAlign w:val="center"/>
        </w:tcPr>
        <w:p w:rsidR="009613E9" w:rsidRDefault="009613E9">
          <w:pPr>
            <w:pBdr>
              <w:top w:val="nil"/>
              <w:left w:val="nil"/>
              <w:bottom w:val="nil"/>
              <w:right w:val="nil"/>
              <w:between w:val="nil"/>
            </w:pBdr>
            <w:tabs>
              <w:tab w:val="center" w:pos="4252"/>
              <w:tab w:val="right" w:pos="8504"/>
            </w:tabs>
            <w:rPr>
              <w:rFonts w:ascii="Palatino Linotype" w:eastAsia="Palatino Linotype" w:hAnsi="Palatino Linotype" w:cs="Palatino Linotype"/>
              <w:b/>
              <w:sz w:val="22"/>
              <w:szCs w:val="22"/>
            </w:rPr>
          </w:pPr>
        </w:p>
      </w:tc>
    </w:tr>
    <w:tr w:rsidR="009613E9" w:rsidTr="00F411E4">
      <w:trPr>
        <w:trHeight w:val="320"/>
      </w:trPr>
      <w:tc>
        <w:tcPr>
          <w:tcW w:w="2725" w:type="dxa"/>
          <w:vAlign w:val="center"/>
        </w:tcPr>
        <w:p w:rsidR="009613E9" w:rsidRPr="00282807" w:rsidRDefault="009613E9" w:rsidP="00282807">
          <w:pPr>
            <w:ind w:right="-238"/>
            <w:rPr>
              <w:rFonts w:ascii="Palatino Linotype" w:eastAsia="Palatino Linotype" w:hAnsi="Palatino Linotype" w:cs="Palatino Linotype"/>
              <w:b/>
              <w:color w:val="000000" w:themeColor="text1"/>
            </w:rPr>
          </w:pPr>
          <w:r w:rsidRPr="00282807">
            <w:rPr>
              <w:rFonts w:ascii="Palatino Linotype" w:eastAsia="Palatino Linotype" w:hAnsi="Palatino Linotype" w:cs="Palatino Linotype"/>
              <w:b/>
              <w:color w:val="000000" w:themeColor="text1"/>
            </w:rPr>
            <w:t>Comisionado ponente:</w:t>
          </w:r>
        </w:p>
      </w:tc>
      <w:tc>
        <w:tcPr>
          <w:tcW w:w="3960" w:type="dxa"/>
          <w:vAlign w:val="center"/>
        </w:tcPr>
        <w:p w:rsidR="009613E9" w:rsidRPr="00282807" w:rsidRDefault="009613E9" w:rsidP="00282807">
          <w:pPr>
            <w:pBdr>
              <w:top w:val="nil"/>
              <w:left w:val="nil"/>
              <w:bottom w:val="nil"/>
              <w:right w:val="nil"/>
              <w:between w:val="nil"/>
            </w:pBdr>
            <w:tabs>
              <w:tab w:val="right" w:pos="8504"/>
            </w:tabs>
            <w:ind w:right="-1143"/>
            <w:jc w:val="both"/>
            <w:rPr>
              <w:rFonts w:ascii="Palatino Linotype" w:eastAsia="Palatino Linotype" w:hAnsi="Palatino Linotype" w:cs="Palatino Linotype"/>
              <w:color w:val="000000" w:themeColor="text1"/>
            </w:rPr>
          </w:pPr>
          <w:r w:rsidRPr="00282807">
            <w:rPr>
              <w:rFonts w:ascii="Palatino Linotype" w:eastAsia="Palatino Linotype" w:hAnsi="Palatino Linotype" w:cs="Palatino Linotype"/>
              <w:color w:val="000000" w:themeColor="text1"/>
            </w:rPr>
            <w:t>María del Rosario Mejía Ayala</w:t>
          </w:r>
        </w:p>
      </w:tc>
      <w:tc>
        <w:tcPr>
          <w:tcW w:w="2400" w:type="dxa"/>
          <w:vAlign w:val="center"/>
        </w:tcPr>
        <w:p w:rsidR="009613E9" w:rsidRDefault="009613E9">
          <w:pPr>
            <w:rPr>
              <w:rFonts w:ascii="Palatino Linotype" w:eastAsia="Palatino Linotype" w:hAnsi="Palatino Linotype" w:cs="Palatino Linotype"/>
              <w:b/>
              <w:sz w:val="22"/>
              <w:szCs w:val="22"/>
            </w:rPr>
          </w:pPr>
        </w:p>
      </w:tc>
      <w:tc>
        <w:tcPr>
          <w:tcW w:w="255" w:type="dxa"/>
          <w:vAlign w:val="center"/>
        </w:tcPr>
        <w:p w:rsidR="009613E9" w:rsidRDefault="009613E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sz w:val="22"/>
              <w:szCs w:val="22"/>
            </w:rPr>
          </w:pPr>
        </w:p>
      </w:tc>
      <w:tc>
        <w:tcPr>
          <w:tcW w:w="3255" w:type="dxa"/>
          <w:vAlign w:val="center"/>
        </w:tcPr>
        <w:p w:rsidR="009613E9" w:rsidRDefault="009613E9">
          <w:pPr>
            <w:pBdr>
              <w:top w:val="nil"/>
              <w:left w:val="nil"/>
              <w:bottom w:val="nil"/>
              <w:right w:val="nil"/>
              <w:between w:val="nil"/>
            </w:pBdr>
            <w:tabs>
              <w:tab w:val="center" w:pos="4252"/>
              <w:tab w:val="right" w:pos="8504"/>
            </w:tabs>
            <w:rPr>
              <w:rFonts w:ascii="Palatino Linotype" w:eastAsia="Palatino Linotype" w:hAnsi="Palatino Linotype" w:cs="Palatino Linotype"/>
              <w:b/>
              <w:sz w:val="22"/>
              <w:szCs w:val="22"/>
            </w:rPr>
          </w:pPr>
        </w:p>
      </w:tc>
    </w:tr>
  </w:tbl>
  <w:p w:rsidR="009613E9" w:rsidRDefault="00265E18">
    <w:pPr>
      <w:pBdr>
        <w:top w:val="nil"/>
        <w:left w:val="nil"/>
        <w:bottom w:val="nil"/>
        <w:right w:val="nil"/>
        <w:between w:val="nil"/>
      </w:pBdr>
      <w:tabs>
        <w:tab w:val="center" w:pos="4252"/>
        <w:tab w:val="right" w:pos="8504"/>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15pt;margin-top:-117.3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609"/>
    <w:multiLevelType w:val="multilevel"/>
    <w:tmpl w:val="0F80068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EBF4A53"/>
    <w:multiLevelType w:val="multilevel"/>
    <w:tmpl w:val="50C056DE"/>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FA3D7E"/>
    <w:multiLevelType w:val="multilevel"/>
    <w:tmpl w:val="B4E8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9B4648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C119BC"/>
    <w:multiLevelType w:val="hybridMultilevel"/>
    <w:tmpl w:val="AB0C9F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9069F7"/>
    <w:multiLevelType w:val="multilevel"/>
    <w:tmpl w:val="EE04A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30531C"/>
    <w:multiLevelType w:val="hybridMultilevel"/>
    <w:tmpl w:val="25AA6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A718C3"/>
    <w:multiLevelType w:val="multilevel"/>
    <w:tmpl w:val="611A8F46"/>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944916"/>
    <w:multiLevelType w:val="multilevel"/>
    <w:tmpl w:val="36C6C9A6"/>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2649D0"/>
    <w:multiLevelType w:val="hybridMultilevel"/>
    <w:tmpl w:val="65D2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136C6"/>
    <w:multiLevelType w:val="hybridMultilevel"/>
    <w:tmpl w:val="03E856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694567"/>
    <w:multiLevelType w:val="multilevel"/>
    <w:tmpl w:val="A6D8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748BF"/>
    <w:multiLevelType w:val="multilevel"/>
    <w:tmpl w:val="1A42B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8A5734"/>
    <w:multiLevelType w:val="hybridMultilevel"/>
    <w:tmpl w:val="566AB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113C66"/>
    <w:multiLevelType w:val="multilevel"/>
    <w:tmpl w:val="B19C4FA4"/>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12"/>
  </w:num>
  <w:num w:numId="4">
    <w:abstractNumId w:val="8"/>
  </w:num>
  <w:num w:numId="5">
    <w:abstractNumId w:val="2"/>
  </w:num>
  <w:num w:numId="6">
    <w:abstractNumId w:val="7"/>
  </w:num>
  <w:num w:numId="7">
    <w:abstractNumId w:val="0"/>
  </w:num>
  <w:num w:numId="8">
    <w:abstractNumId w:val="14"/>
  </w:num>
  <w:num w:numId="9">
    <w:abstractNumId w:val="6"/>
  </w:num>
  <w:num w:numId="10">
    <w:abstractNumId w:val="4"/>
  </w:num>
  <w:num w:numId="11">
    <w:abstractNumId w:val="13"/>
  </w:num>
  <w:num w:numId="12">
    <w:abstractNumId w:val="10"/>
  </w:num>
  <w:num w:numId="13">
    <w:abstractNumId w:val="11"/>
  </w:num>
  <w:num w:numId="14">
    <w:abstractNumId w:val="1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68"/>
    <w:rsid w:val="000F1BAC"/>
    <w:rsid w:val="00123A4D"/>
    <w:rsid w:val="00157079"/>
    <w:rsid w:val="00161B10"/>
    <w:rsid w:val="0017573E"/>
    <w:rsid w:val="00177D55"/>
    <w:rsid w:val="0018321E"/>
    <w:rsid w:val="001C4904"/>
    <w:rsid w:val="00252C43"/>
    <w:rsid w:val="00265E18"/>
    <w:rsid w:val="00282807"/>
    <w:rsid w:val="002D7043"/>
    <w:rsid w:val="002E705E"/>
    <w:rsid w:val="00453E68"/>
    <w:rsid w:val="004814EC"/>
    <w:rsid w:val="00491E06"/>
    <w:rsid w:val="004E22AE"/>
    <w:rsid w:val="004F7799"/>
    <w:rsid w:val="005A51CE"/>
    <w:rsid w:val="006C2BDF"/>
    <w:rsid w:val="006E157D"/>
    <w:rsid w:val="00711453"/>
    <w:rsid w:val="00781F22"/>
    <w:rsid w:val="007A67FF"/>
    <w:rsid w:val="007B0376"/>
    <w:rsid w:val="00867852"/>
    <w:rsid w:val="008E473D"/>
    <w:rsid w:val="00905F7E"/>
    <w:rsid w:val="009613E9"/>
    <w:rsid w:val="009D0888"/>
    <w:rsid w:val="00A536F3"/>
    <w:rsid w:val="00A5511C"/>
    <w:rsid w:val="00B24B03"/>
    <w:rsid w:val="00E95B96"/>
    <w:rsid w:val="00EE4755"/>
    <w:rsid w:val="00EF68D9"/>
    <w:rsid w:val="00F411E4"/>
    <w:rsid w:val="00F45F31"/>
    <w:rsid w:val="00FB30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6F637B6-7D53-42D8-890A-96048EEB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98"/>
    <w:rPr>
      <w:rFonts w:eastAsiaTheme="minorEastAsia"/>
      <w:lang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pPr>
    <w:rPr>
      <w:rFonts w:ascii="Times New Roman" w:hAnsi="Times New Roman" w:cs="Times New Roman"/>
      <w:color w:val="000000"/>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rPr>
      <w:rFonts w:eastAsiaTheme="minorEastAsia"/>
      <w:lang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rPr>
      <w:rFonts w:eastAsiaTheme="minorEastAsia"/>
      <w:color w:val="000000" w:themeColor="text1"/>
      <w:lang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style>
  <w:style w:type="table" w:customStyle="1" w:styleId="a0">
    <w:basedOn w:val="TableNormal"/>
    <w:rPr>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938">
      <w:bodyDiv w:val="1"/>
      <w:marLeft w:val="0"/>
      <w:marRight w:val="0"/>
      <w:marTop w:val="0"/>
      <w:marBottom w:val="0"/>
      <w:divBdr>
        <w:top w:val="none" w:sz="0" w:space="0" w:color="auto"/>
        <w:left w:val="none" w:sz="0" w:space="0" w:color="auto"/>
        <w:bottom w:val="none" w:sz="0" w:space="0" w:color="auto"/>
        <w:right w:val="none" w:sz="0" w:space="0" w:color="auto"/>
      </w:divBdr>
    </w:div>
    <w:div w:id="758066644">
      <w:bodyDiv w:val="1"/>
      <w:marLeft w:val="0"/>
      <w:marRight w:val="0"/>
      <w:marTop w:val="0"/>
      <w:marBottom w:val="0"/>
      <w:divBdr>
        <w:top w:val="none" w:sz="0" w:space="0" w:color="auto"/>
        <w:left w:val="none" w:sz="0" w:space="0" w:color="auto"/>
        <w:bottom w:val="none" w:sz="0" w:space="0" w:color="auto"/>
        <w:right w:val="none" w:sz="0" w:space="0" w:color="auto"/>
      </w:divBdr>
    </w:div>
    <w:div w:id="899292047">
      <w:bodyDiv w:val="1"/>
      <w:marLeft w:val="0"/>
      <w:marRight w:val="0"/>
      <w:marTop w:val="0"/>
      <w:marBottom w:val="0"/>
      <w:divBdr>
        <w:top w:val="none" w:sz="0" w:space="0" w:color="auto"/>
        <w:left w:val="none" w:sz="0" w:space="0" w:color="auto"/>
        <w:bottom w:val="none" w:sz="0" w:space="0" w:color="auto"/>
        <w:right w:val="none" w:sz="0" w:space="0" w:color="auto"/>
      </w:divBdr>
    </w:div>
    <w:div w:id="967931083">
      <w:bodyDiv w:val="1"/>
      <w:marLeft w:val="0"/>
      <w:marRight w:val="0"/>
      <w:marTop w:val="0"/>
      <w:marBottom w:val="0"/>
      <w:divBdr>
        <w:top w:val="none" w:sz="0" w:space="0" w:color="auto"/>
        <w:left w:val="none" w:sz="0" w:space="0" w:color="auto"/>
        <w:bottom w:val="none" w:sz="0" w:space="0" w:color="auto"/>
        <w:right w:val="none" w:sz="0" w:space="0" w:color="auto"/>
      </w:divBdr>
    </w:div>
    <w:div w:id="1169829645">
      <w:bodyDiv w:val="1"/>
      <w:marLeft w:val="0"/>
      <w:marRight w:val="0"/>
      <w:marTop w:val="0"/>
      <w:marBottom w:val="0"/>
      <w:divBdr>
        <w:top w:val="none" w:sz="0" w:space="0" w:color="auto"/>
        <w:left w:val="none" w:sz="0" w:space="0" w:color="auto"/>
        <w:bottom w:val="none" w:sz="0" w:space="0" w:color="auto"/>
        <w:right w:val="none" w:sz="0" w:space="0" w:color="auto"/>
      </w:divBdr>
    </w:div>
    <w:div w:id="1516187458">
      <w:bodyDiv w:val="1"/>
      <w:marLeft w:val="0"/>
      <w:marRight w:val="0"/>
      <w:marTop w:val="0"/>
      <w:marBottom w:val="0"/>
      <w:divBdr>
        <w:top w:val="none" w:sz="0" w:space="0" w:color="auto"/>
        <w:left w:val="none" w:sz="0" w:space="0" w:color="auto"/>
        <w:bottom w:val="none" w:sz="0" w:space="0" w:color="auto"/>
        <w:right w:val="none" w:sz="0" w:space="0" w:color="auto"/>
      </w:divBdr>
    </w:div>
    <w:div w:id="179714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744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TiyZonSjEECIQR8Cj5HvZ2hRw==">CgMxLjAyCGguZ2pkZ3hzMgloLjMwajB6bGwyDmgudDhmc2d5c2ltczVkMgloLjFmb2I5dGUyCWguM3pueXNoNzIJaC4yZXQ5MnAwMghoLnR5amN3dDIJaC4zZHk2dmttOAByITFEeVdpT216NHUyZi04U1hrNUExOEJUcDUyZnluVjk2Tw==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2221</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7</cp:revision>
  <cp:lastPrinted>2025-09-11T15:58:00Z</cp:lastPrinted>
  <dcterms:created xsi:type="dcterms:W3CDTF">2025-09-04T21:00:00Z</dcterms:created>
  <dcterms:modified xsi:type="dcterms:W3CDTF">2025-09-23T22:55:00Z</dcterms:modified>
</cp:coreProperties>
</file>