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D0" w:rsidRPr="00653F13" w:rsidRDefault="001D4F8C" w:rsidP="007B29C8">
      <w:pPr>
        <w:shd w:val="clear" w:color="auto" w:fill="FFFFFF"/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Resolución del Pleno del Instituto de Transparencia, Acceso a la Información Pública y Protección de Datos Personales del Estado de México y Municipios, con domicilio en Metepec, Esta</w:t>
      </w:r>
      <w:r w:rsidR="00D63514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do de México, </w:t>
      </w:r>
      <w:r w:rsidR="007B29C8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con fecha treinta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 </w:t>
      </w:r>
      <w:r w:rsidR="0065006C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abril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 dos mil veinticinco. </w:t>
      </w:r>
    </w:p>
    <w:p w:rsidR="00D727D0" w:rsidRPr="00653F13" w:rsidRDefault="00D727D0" w:rsidP="007B29C8">
      <w:pPr>
        <w:shd w:val="clear" w:color="auto" w:fill="FFFFFF"/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VISTO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el expediente electrónico formado con motivo del recurso de revisión número </w:t>
      </w:r>
      <w:r w:rsidR="00AD3E73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0</w:t>
      </w:r>
      <w:r w:rsidR="004943B7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3</w:t>
      </w:r>
      <w:r w:rsidR="001D5C49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808</w:t>
      </w:r>
      <w:r w:rsidR="0065006C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/INFOEM/IP/RR/2025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interpuesto por </w:t>
      </w:r>
      <w:r w:rsidR="001D5C49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una persona que no proporciono datos</w:t>
      </w:r>
      <w:r w:rsidR="000636A4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="00C84E40"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a quien en lo sucesivo se le denominará como </w:t>
      </w:r>
      <w:r w:rsidR="00C84E40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“</w:t>
      </w:r>
      <w:r w:rsidR="004943B7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EL</w:t>
      </w:r>
      <w:r w:rsidR="00D250F6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RECURRENTE</w:t>
      </w:r>
      <w:r w:rsidR="00C84E40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”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>en contra de la falta de respuesta de</w:t>
      </w:r>
      <w:r w:rsidR="002E1639" w:rsidRPr="00653F13">
        <w:rPr>
          <w:rFonts w:ascii="Palatino Linotype" w:eastAsia="Palatino Linotype" w:hAnsi="Palatino Linotype" w:cs="Palatino Linotype"/>
          <w:sz w:val="24"/>
          <w:szCs w:val="24"/>
        </w:rPr>
        <w:t>l</w:t>
      </w:r>
      <w:r w:rsidR="0065006C"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AC187D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Ayuntamiento de </w:t>
      </w:r>
      <w:r w:rsidR="001D5C49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Chiconcuac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en adelante </w:t>
      </w:r>
      <w:r w:rsidR="00C84E40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“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EL SUJETO OBLIGADO</w:t>
      </w:r>
      <w:r w:rsidR="00C84E40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”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en lo conducente se procede a dictar la presente resolución: 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spacing w:after="0" w:line="36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A N T E C E D E N T E S</w:t>
      </w:r>
    </w:p>
    <w:p w:rsidR="00D727D0" w:rsidRPr="00653F13" w:rsidRDefault="00D727D0" w:rsidP="007B29C8">
      <w:pPr>
        <w:spacing w:after="0" w:line="360" w:lineRule="auto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A77A66" w:rsidRPr="00653F13" w:rsidRDefault="00A77A66" w:rsidP="007B29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ab/>
        <w:t>veintiocho de febrero de dos mil veinticinco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, </w:t>
      </w:r>
      <w:r w:rsidR="004943B7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RECURRENTE,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presentó a través del Sistema de Acceso a la Información Mexiquense (SAIMEX), la solicitud de acceso a la información pública, con número de folio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="004943B7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00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048</w:t>
      </w:r>
      <w:r w:rsidR="0065006C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CHICONCU</w:t>
      </w:r>
      <w:r w:rsidR="0065006C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/IP/2025,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en la que solicitó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lo siguiente: 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jc w:val="both"/>
        <w:rPr>
          <w:rFonts w:ascii="Palatino Linotype" w:hAnsi="Palatino Linotype"/>
          <w:i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i/>
          <w:color w:val="000000"/>
          <w:sz w:val="24"/>
          <w:szCs w:val="24"/>
        </w:rPr>
        <w:t>“</w:t>
      </w:r>
      <w:r w:rsidR="001D5C49" w:rsidRPr="00653F13">
        <w:rPr>
          <w:rFonts w:ascii="Palatino Linotype" w:eastAsia="Times New Roman" w:hAnsi="Palatino Linotype" w:cs="Times New Roman"/>
          <w:i/>
          <w:sz w:val="24"/>
          <w:szCs w:val="24"/>
          <w:lang w:val="es-MX"/>
        </w:rPr>
        <w:t>solicito certificación del titular de la unidad de transparencia, su cv, experiencia para ocupar el cargo, y recibos de nómina del mes de diciembre 2024 y recibos de nómina del mes de enero 2025.</w:t>
      </w:r>
      <w:r w:rsidR="00ED39C7" w:rsidRPr="00653F13">
        <w:rPr>
          <w:rFonts w:ascii="Palatino Linotype" w:hAnsi="Palatino Linotype"/>
          <w:i/>
          <w:color w:val="000000"/>
          <w:sz w:val="24"/>
          <w:szCs w:val="24"/>
        </w:rPr>
        <w:t>”(Sic)</w:t>
      </w:r>
    </w:p>
    <w:p w:rsidR="00D727D0" w:rsidRPr="00653F13" w:rsidRDefault="001D4F8C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79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Modalidad de entrega: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a través del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SAIMEX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.</w:t>
      </w:r>
    </w:p>
    <w:p w:rsidR="0063035A" w:rsidRPr="00653F13" w:rsidRDefault="0063035A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</w:p>
    <w:p w:rsidR="00D727D0" w:rsidRPr="00653F13" w:rsidRDefault="003D23F2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Derivado de lo anterior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, </w:t>
      </w:r>
      <w:r w:rsidR="001D4F8C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="001D4F8C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no proporcionó respuesta a la solicitud de información dentro del plazo de quince días establecido en el artículo 163 de la Ley de Transparencia y Acceso a la Información Pública del Estado de México y Municipios.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FE2FFD" w:rsidRPr="00653F13" w:rsidRDefault="005F3197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Ante la falta de respuesta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del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</w:t>
      </w:r>
      <w:r w:rsidR="004943B7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RECURRENTE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interpuso el Recurso de Revisión el 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uno de abril</w:t>
      </w:r>
      <w:r w:rsidR="0065006C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de dos mil veinticinco,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registrado en el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SAIMEX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con número de expediente </w:t>
      </w:r>
      <w:r w:rsidR="00FE22A7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03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808</w:t>
      </w:r>
      <w:r w:rsidR="0065006C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/INFOEM/IP/RR/2025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,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en el cual aduce, las siguientes manifestaciones:</w:t>
      </w:r>
    </w:p>
    <w:p w:rsidR="00FE2FFD" w:rsidRPr="00653F13" w:rsidRDefault="00FE2FFD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5"/>
        </w:numPr>
        <w:spacing w:after="0"/>
        <w:ind w:left="0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Acto Impugnado: </w:t>
      </w:r>
    </w:p>
    <w:p w:rsidR="00D727D0" w:rsidRPr="00653F13" w:rsidRDefault="001D4F8C" w:rsidP="007B29C8">
      <w:pPr>
        <w:ind w:firstLine="720"/>
        <w:jc w:val="both"/>
        <w:rPr>
          <w:rFonts w:ascii="Palatino Linotype" w:eastAsia="Times New Roman" w:hAnsi="Palatino Linotype" w:cs="Times New Roman"/>
          <w:sz w:val="24"/>
          <w:szCs w:val="24"/>
          <w:lang w:val="es-MX"/>
        </w:rPr>
      </w:pPr>
      <w:r w:rsidRPr="00653F13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“</w:t>
      </w:r>
      <w:r w:rsidR="001D5C49" w:rsidRPr="00653F13">
        <w:rPr>
          <w:rFonts w:ascii="Palatino Linotype" w:hAnsi="Palatino Linotype"/>
          <w:i/>
          <w:color w:val="000000"/>
          <w:sz w:val="24"/>
          <w:szCs w:val="24"/>
        </w:rPr>
        <w:t>se niega a entregar la información.</w:t>
      </w:r>
      <w:r w:rsidRPr="00653F13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” (Sic).</w:t>
      </w:r>
    </w:p>
    <w:p w:rsidR="003F074D" w:rsidRPr="00653F13" w:rsidRDefault="004775B0" w:rsidP="007B29C8">
      <w:pPr>
        <w:tabs>
          <w:tab w:val="left" w:pos="3396"/>
          <w:tab w:val="left" w:pos="3915"/>
        </w:tabs>
        <w:spacing w:after="0"/>
        <w:jc w:val="both"/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ab/>
      </w:r>
      <w:r w:rsidR="00997C8C" w:rsidRPr="00653F13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ab/>
      </w:r>
    </w:p>
    <w:p w:rsidR="00D727D0" w:rsidRPr="00653F13" w:rsidRDefault="001D4F8C" w:rsidP="007B29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Razones o Motivos de Inconformidad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: </w:t>
      </w:r>
    </w:p>
    <w:p w:rsidR="00D727D0" w:rsidRPr="00653F13" w:rsidRDefault="00FE22A7" w:rsidP="007B29C8">
      <w:pPr>
        <w:spacing w:after="0" w:line="360" w:lineRule="auto"/>
        <w:ind w:firstLine="72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“</w:t>
      </w:r>
      <w:r w:rsidR="001D5C49" w:rsidRPr="00653F13">
        <w:rPr>
          <w:rFonts w:ascii="Palatino Linotype" w:hAnsi="Palatino Linotype"/>
          <w:i/>
          <w:color w:val="000000"/>
          <w:sz w:val="24"/>
          <w:szCs w:val="24"/>
        </w:rPr>
        <w:t>se niega a entregar la información.</w:t>
      </w:r>
      <w:r w:rsidRPr="00653F13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” (Sic).</w:t>
      </w:r>
    </w:p>
    <w:p w:rsidR="00AF7F2C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Medio de impugnación que le fue turnado por medio del sistema electrónico a la Comisionada María del Rosario Mejía Ayala, en términos del arábigo 185 fracción I de la Ley de Transparencia y Acceso a la información Pública del Estado de México y Municipios, al cual recayó </w:t>
      </w:r>
      <w:r w:rsidR="00FE2FFD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acuerdo de admisión de fecha 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cuatro</w:t>
      </w:r>
      <w:r w:rsidR="00FE22A7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de abril </w:t>
      </w:r>
      <w:r w:rsidR="004B3908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de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dos mil veinticinco,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>determinando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un plazo de siete días para que las partes </w:t>
      </w:r>
      <w:r w:rsidR="00566F41" w:rsidRPr="00653F13">
        <w:rPr>
          <w:rFonts w:ascii="Palatino Linotype" w:eastAsia="Palatino Linotype" w:hAnsi="Palatino Linotype" w:cs="Palatino Linotype"/>
          <w:sz w:val="24"/>
          <w:szCs w:val="24"/>
        </w:rPr>
        <w:t>manifestara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n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lo que a su derecho corresponda en términos de los numerales ya citados. </w:t>
      </w:r>
    </w:p>
    <w:p w:rsidR="00AF7F2C" w:rsidRPr="00653F13" w:rsidRDefault="00AF7F2C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lastRenderedPageBreak/>
        <w:t>EL 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fue omiso en rendir el Informe Justificado; </w:t>
      </w:r>
      <w:r w:rsidR="00D63514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mientras que</w:t>
      </w:r>
      <w:r w:rsidR="00ED39C7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</w:t>
      </w:r>
      <w:r w:rsidR="00642A68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EL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RECURRENTE</w:t>
      </w:r>
      <w:r w:rsidR="00D63514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</w:t>
      </w:r>
      <w:r w:rsidR="003E6BA3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no realizó manifestaciones que a su derecho conviniera. </w:t>
      </w:r>
    </w:p>
    <w:p w:rsidR="00FE22A7" w:rsidRPr="00653F13" w:rsidRDefault="00FE22A7" w:rsidP="007B29C8">
      <w:pPr>
        <w:pStyle w:val="Prrafodelista"/>
        <w:ind w:left="0"/>
        <w:rPr>
          <w:rFonts w:ascii="Palatino Linotype" w:eastAsia="Palatino Linotype" w:hAnsi="Palatino Linotype" w:cs="Palatino Linotype"/>
          <w:color w:val="000000"/>
        </w:rPr>
      </w:pPr>
    </w:p>
    <w:p w:rsidR="00FE22A7" w:rsidRPr="00653F13" w:rsidRDefault="00FE22A7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Ahora bien, en términos del artículo 185 fracciones VI y VIII de la Ley de Transparencia y Acceso a la Información Pública del Estado de México y Municipios, el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="00FE22A7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veintitrés de abril</w:t>
      </w:r>
      <w:r w:rsidR="00FE2FFD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de dos mil veinticinco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se decretó el cierre de instrucción, y se orden</w:t>
      </w:r>
      <w:r w:rsidR="00D338C8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ó la Resolución que conforme a d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erecho proceda, de acuerdo con los siguientes: </w:t>
      </w:r>
    </w:p>
    <w:p w:rsidR="00D727D0" w:rsidRPr="00653F13" w:rsidRDefault="00D727D0" w:rsidP="007B29C8">
      <w:pPr>
        <w:spacing w:after="0" w:line="36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D727D0" w:rsidRPr="00653F13" w:rsidRDefault="000D69BD" w:rsidP="007B29C8">
      <w:pPr>
        <w:spacing w:after="0" w:line="360" w:lineRule="auto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C O N S I D E R A N D O S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PRIMERO. De la competencia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DA45F6" w:rsidRPr="00653F13" w:rsidRDefault="00DA45F6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Este Instituto de Transparencia, Acceso a la Información Pública y Protección de Datos Personales del Estado de México, es competente para conocer y resolver el presente recurso de revisión conforme a lo dispuesto en los artículos 6, apartado A, fracción IV de la Constitución Política de los Estados Unidos Mexicanos; 5, párrafos trigésimo segundo, trigésimo tercero y trigésimo cuarto, fracciones IV y V, de la Constitución Política del Estado Libre y Soberano de México; artículos 1, 2 fracción II, 13, 29, 36 fracciones I y II, 176, 178, 179, 181 párrafo tercero y 185 de la Ley de Transparencia y Acceso a la Información Pública del Estado de México y Municipios; 6, 9 fracciones I y XXIII, y 11 del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Reglamento Interior del Instituto de Transparencia, Acceso a la Información Pública y Protección de Datos Personales del Estado de México y Municipios.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FE22A7" w:rsidRPr="00653F13" w:rsidRDefault="00FE22A7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SEGUNDO. De la Oportunidad y Procedencia del Recurso de Revisión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DA45F6" w:rsidRPr="00653F13" w:rsidRDefault="00DA45F6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El artículo 178 de la Ley de Transparencia y Acceso a la Información Pública del Estado de México y Municipios est</w:t>
      </w:r>
      <w:r w:rsidR="004B3908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ablece que el solicitante podrá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interponer, por sí mismo o a través de su representante, de manera directa o por medios electrónicos, recurso de revisión ante el Instituto o ante la Unidad de Transparencia que haya conocido de la solicitud dentro de los quince días hábiles, siguientes a la fecha de la notificación de la respuesta y que ante la falta de respuesta del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dentro de los plazos establecidos en la Ley de Transparencia Local, a una solicitud de acceso a la información pública, el recurso podrá ser interpuesto en cualquier momento, por lo que la interposición del presente recurso de revisión resulta oportuna.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artículo 180 de la Ley de Transparencia y Acceso a la Información Pública del Estado de México y Municipios, señala los requisitos que deberán contener los recursos de revisión, como lo es, el nombre del solicitante que recurre; sin embargo, en su último párrafo establece que cuando el recurso se interponga de manera electrónica, no será indispensable que contenga determinados requisitos, entre ellos, el nombre de la parte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lastRenderedPageBreak/>
        <w:t>R</w:t>
      </w:r>
      <w:r w:rsidR="00364C7E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ECURRENTE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por lo que, en el presente caso, al haber sido presentado el recurso de revisión vía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SAIMEX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dicho requisito resulta innecesario.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artículo 179 fracción VII de la Ley de Transparencia y Acceso a la Información Pública del Estado de México y Municipios establece como supuesto de procedencia del recurso de revisión, la falta de respuesta a una solicitud de información por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hipótesis jurídica que se actualiza en este caso, aunado a que la parte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Recurrente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combate la falta de trámite por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y expresa motivos de inconformidad en contra de dicha circunstancia.</w:t>
      </w:r>
    </w:p>
    <w:p w:rsidR="003D23F2" w:rsidRPr="00653F13" w:rsidRDefault="003D23F2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widowControl w:val="0"/>
        <w:spacing w:after="0" w:line="360" w:lineRule="auto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bookmarkStart w:id="0" w:name="_heading=h.1fob9te" w:colFirst="0" w:colLast="0"/>
      <w:bookmarkEnd w:id="0"/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TERCERO. Estudio y resolución del asunto. </w:t>
      </w:r>
    </w:p>
    <w:p w:rsidR="00DA45F6" w:rsidRPr="00653F13" w:rsidRDefault="00DA45F6" w:rsidP="007B29C8">
      <w:pPr>
        <w:widowControl w:val="0"/>
        <w:spacing w:after="0" w:line="360" w:lineRule="auto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derecho de acceso a la información pública es un derecho humano reconocido en el Pacto de Derechos Civiles y Políticos en su artículo 19.2; en la Convención Americana sobre Derechos Humanos en su artículo 13.1; en el artículo Sexto de la Constitución Política de los Estados Unidos Mexicanos y en el artículo Quinto de la Constitución Local, a través del cual se puede solicitar aquellos documentos que generen, administren o posean las autoridades en ejercicio de sus respectivas atribuciones y competencias. 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Por lo que en cumplimiento a las obligaciones que establece nuestra Carta Magna, la Constitución Estatal y la Ley de la materia</w:t>
      </w:r>
      <w:r w:rsidR="00D338C8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que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le imponen </w:t>
      </w:r>
      <w:r w:rsidR="00D338C8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al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="00D338C8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 xml:space="preserve">está constreñido a dar atención a las solicitudes de información que a través del SAIMEX o de vía directa le sean presentadas en ejercicio del derecho humano de acceso a la información pública, lo cual, en el caso no aconteció, pues tal y como se ha acreditado de la revisión del expediente electrónico formado de las constancias que obran en el sistema SAIMEX,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fue omiso en dar respuesta a la solicitud de información dentro de los plazos establecidos en la Ley de Transparencia Local.</w:t>
      </w:r>
    </w:p>
    <w:p w:rsidR="006C655C" w:rsidRPr="00653F13" w:rsidRDefault="006C655C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Asimismo, los motivos o razones de inconformidad expuestos por la parte Recurrente se adolece de la falta de respuesta a la solicitud de acceso a la información formulada, por lo que se actualiza la causal de procedencia establecida en la fracción VII, del artículo 179, de la Ley de Transparencia y Acceso a la Información Pública del Estado de México y Municipios,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y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por tanto, </w:t>
      </w:r>
      <w:r w:rsidR="00D338C8"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es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procedente la interposición del recurso de revisión.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En consecuencia, las razones o motivos de inconformidad hechos valer, resultan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fundadas y procedentes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en virtud de las constancias que obran en el expediente electrónico SAIMEX, se acredita que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fue omiso en responder la solicitud de información hecha por </w:t>
      </w:r>
      <w:r w:rsidR="00642A68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EL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RECURRENTE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es decir, incumplió las obligaciones que se le imponen como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de conformidad con lo establecido en los artículos 4, 12, 23 fracción IV, 24 último párrafo y 160 de la Ley de Transparencia y Acceso a la Información Pública del Estado de México y Municipios.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 xml:space="preserve">De conformidad con lo establecido en los artículos 50 y 51 de la Ley de Transparencia y Acceso a la Información Pública del Estado de México y Municipios, los Sujetos Obligados deben contar con un área responsable para la atención de las solicitudes de información, a la que se le denominará Unidad de Transparencia; asimismo, deben designar a un responsable para atender dicha Unidad, quien fungirá como enlace entre éstos y los solicitantes. Además, se establece que la Unidad de Transparencia es la encargada de tramitar internamente las solicitudes de información y tiene la responsabilidad de verificar, en cada caso, que la información no tenga el carácter de confidencial o reservada. </w:t>
      </w:r>
    </w:p>
    <w:p w:rsidR="006C655C" w:rsidRPr="00653F13" w:rsidRDefault="006C655C" w:rsidP="007B29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El artículo 53, fracciones II, IV y V de la Ley de Transparencia Local establece que las Unidades de Transparencia tienen, entre otras, las funciones de recibir, tramitar y dar respuesta a las solicitudes de acceso a la información; realizar con efectividad los trámites internos necesarios para la atención de las solicitudes de acceso a la información; así como, entregar en su caso, a los particulares la información solicitada.</w:t>
      </w:r>
    </w:p>
    <w:p w:rsidR="00D727D0" w:rsidRPr="00653F13" w:rsidRDefault="00D727D0" w:rsidP="007B29C8">
      <w:pPr>
        <w:widowControl w:val="0"/>
        <w:tabs>
          <w:tab w:val="left" w:pos="1276"/>
        </w:tabs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artículo 163 de la mencionada Ley, señala que la Unidad de Transparencia debe notificar la respuesta a las solicitudes de acceso a la información, en el menor tiempo posible, que no podrá exceder de quince días hábiles, teniendo como excepción al plazo referido, una prórroga de hasta siete días hábiles adicionales, siempre y cuando existan razones fundadas y motivadas, las cuales deberán ser aprobadas por el Comité de Transparencia, lo cual no aconteció en el presente asunto. De tal manera que la omisión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del Titular de la Unidad de Transparencia, como primer responsable de atender la solicitud de información, se traduce en una conducta que ha vulnerado el derecho de acceso a la información consignado a favor del particular.</w:t>
      </w:r>
    </w:p>
    <w:p w:rsidR="00642A68" w:rsidRPr="00653F13" w:rsidRDefault="00642A68" w:rsidP="00642A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En consecuencia, según lo dispuesto por el artículo 150 de la Ley de Transparencia y Acceso a la Información Pública del Estado de México y Municipios, el </w:t>
      </w:r>
      <w:r w:rsidRPr="00653F13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 xml:space="preserve">procedimiento de acceso a la información es la garantía primaria del derecho en cuestión,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por lo tanto, la falta de respuesta a una solicitud de acceso a la información constituye un incumplimiento del sujeto obligado a su deber de garantizar el derecho, lo que constituye una vulneración al mismo.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Por lo que, en cumplimiento a esta resolución,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EL SUJETO OBLIGADO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deberá dar atención a la solicitud de información, puesto que el silencio administrativo que hizo patente al omitir dar respuesta trae como consecuencia que se le ordene dar atención a la solicitud entregando la información solicitada, lo cual deberá llevar a cabo en ejercicio de sus atribuciones y con arreglo a lo dispuesto por la ley de la materia.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De la clasificación de la información</w:t>
      </w: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 conformidad con el artículo 91 de la Ley de Transparencia y Acceso a la Información Pública el  acceso a la información pública será restringido excepcionalmente, cuando ésta sea clasificada como reservada o confidencial; la información reservada es aquella que se clasifica de manera temporal cuya divulgación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 xml:space="preserve">pueda causar algún daño; la información confidencial es la relacionada con los secretos bancario, fiduciario, industrial, comercial, fiscal, bursátil y postal, cuya titularidad corresponde a particulares, sujetos de derecho internacional o a Sujetos Obligados cuando no involucren el ejercicio de recursos públicos, así como la información privada contenida en documentos públicos o privados que refiera a la vida privada y/o los datos personales, que no son de acceso público. 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La Ley de Transparencia y Acceso a la Información Pública del Estado de México y Municipios, en sus artículos 140 y 143 prevé los siguientes supuestos para clasificar la información como reservada o confidencial.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Por lo que para dar atención a la solicitud de información, si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advierte que la información solicitada contiene datos personales que sean susceptibles de ser clasificados como confidenciales, o bien si, por su propia y especial naturaleza, encuadra en alguno de los supuestos de reserva o de confidencialidad en su totalidad, deberá emitir, un Acuerdo de Clasificación debidamente fundado y motivado que sustente la clasificación parcial, a través de la versión pública que emita, o bien, la restricción total del derecho de acceso a la información.  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De este modo, en armonía entre los principios constitucionales de máxima publicidad y de protección de datos personales, la Ley permite la elaboración de versiones públicas en las que se suprima aquella información relacionada con la vida privada de los particulares y de los servidores públicos.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Para la clasificación de la información es necesario considerar lo establecido por los Lineamientos Generales en materia de Clasificación y Desclasificación de la información, emitidos por el Sistema Nacional de Transparencia, Acceso a la Información Pública y Protección de Datos Personales, ya que establecen los criterios para la clasificación y desclasificación de la información, garantizan la confidencialidad, el uso adecuado de la información, entre otros.</w:t>
      </w:r>
    </w:p>
    <w:p w:rsidR="004B3908" w:rsidRPr="00653F13" w:rsidRDefault="004B3908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derecho de acceso a la información pública puede ser restringido cuando se trate de información clasificada como reservada, por lo que para motivar la clasificación se deberán de señalar las razones, motivos o circunstancias especiales que llevaron al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a concluir que, el caso particular se ajusta al supuesto previsto por la norma legal invocada como fundamento; siendo que, además, en todo momento, se debe aplicar una prueba de daño, entendida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>ésta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como la responsabilidad de los Sujetos Obligados de demostrar, de manera fundada y motivada, que la divulgación de la información lesiona el interés debidamente protegido por la Ley y que el menoscabo o daño que puede producirse con la publicidad de la información, es mayor que el interés de conocerla; debiendo clasificarse como reservada.</w:t>
      </w:r>
    </w:p>
    <w:p w:rsidR="005D0591" w:rsidRPr="00653F13" w:rsidRDefault="005D0591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Para la clasificación de la información como reservada se deben establecer, de manera fundada y motivada, las hipótesis normativas aplicables al caso concreto y se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analice la prueba de daño, misma que se encuentra prevista en el artículo 129 de la Ley de Transparencia y Acceso a la Información pública del Estado de México y Municipios.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 tal manera, las limitaciones al acceso a la información deben sustentarse en una adecuada clasificación que debe distinguir y tomar en cuenta qué información puede generar un daño desproporcionado o innecesario a valores jurídicamente protegidos. 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Por lo tanto, la entrega de documentos, en su versión pública, debe acompañarse necesariamente del Acuerdo del Comité de Transparencia que la sustente, en el que se expongan los fundamentos y razonamientos que llevaron al Sujeto Obligado a testar, suprimir o eliminar datos de dicho soporte documental, ya que no hacerlo implica que lo entregado no es legal ni formalmente una versión pública, sino más bien una documentación ilegible, incompleta o tachada que deja al solicitante en estado de incertidumbre, al no conocer o comprender porque no aparecen en la documentación respectiva.</w:t>
      </w:r>
    </w:p>
    <w:p w:rsidR="00D727D0" w:rsidRPr="00653F13" w:rsidRDefault="00D727D0" w:rsidP="007B2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Por lo tanto, es necesario que el Comité de Transparencia emita un Acuerdo de Clasificación que cumpla con las formalidades previstas en los artículos 137, 143 y 149 de la Ley de Transparencia y Acceso a la Información Pública del Estado de México y Municipios</w:t>
      </w:r>
      <w:r w:rsidRPr="00653F13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097A13" w:rsidP="007B29C8">
      <w:pPr>
        <w:numPr>
          <w:ilvl w:val="0"/>
          <w:numId w:val="3"/>
        </w:numPr>
        <w:tabs>
          <w:tab w:val="left" w:pos="7938"/>
        </w:tabs>
        <w:spacing w:after="0" w:line="360" w:lineRule="auto"/>
        <w:ind w:left="0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De la vista a los Órganos de C</w:t>
      </w:r>
      <w:r w:rsidR="001D4F8C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ontrol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I</w:t>
      </w:r>
      <w:r w:rsidR="001D4F8C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nterno competentes </w:t>
      </w: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 xml:space="preserve">Como ya se mencionó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no proporcionó respuesta a la solicitud de acceso a la información pública, en el término previsto en el artículo 163 de la Ley de Transparencia y Acceso a la Información Pública por lo que ordena dar vista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 la Secretaría Técnica del Pleno de este Instituto para hacer del conocimiento del Órgano Interno de Control competente la presente resolución, a fin de que de conformidad con los artículos 190 y 222  de la Ley de Transparencia y Acceso a la Información Pública del Estado de México y Municipios y 19 fracción XXVII del Reglamento Interior del Instituto de Transparencia, Acceso a la Información y Protección de Datos Personales del Estado de México y Municipios, se determine lo conducente.</w:t>
      </w:r>
    </w:p>
    <w:p w:rsidR="00E47FE5" w:rsidRPr="00653F13" w:rsidRDefault="00E47FE5" w:rsidP="007B29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653F13" w:rsidRDefault="001D4F8C" w:rsidP="007B29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Por lo tanto, de lo expuesto y con fundamento en la fracción IV del artículo 186, de la Ley de Transparencia y Acceso a la Información Pública del Estado de México y Municipios, se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ORDENA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al 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atienda la solicitud de información </w:t>
      </w:r>
      <w:r w:rsidR="00AF7F2C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="00FE22A7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00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048</w:t>
      </w:r>
      <w:r w:rsidR="0065006C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CHICONCU</w:t>
      </w:r>
      <w:r w:rsidR="00FE22A7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/IP/202</w:t>
      </w:r>
      <w:r w:rsidR="001D5C49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5</w:t>
      </w: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, </w:t>
      </w:r>
      <w:r w:rsidRPr="00653F13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que ha sido materia del presente fallo. 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sz w:val="24"/>
          <w:szCs w:val="24"/>
        </w:rPr>
        <w:t>Por lo antes expuesto y fundado es de resolverse y,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spacing w:after="0" w:line="360" w:lineRule="auto"/>
        <w:jc w:val="center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 E    R E S U E L V E</w:t>
      </w:r>
    </w:p>
    <w:p w:rsidR="00D727D0" w:rsidRPr="00653F13" w:rsidRDefault="00D727D0" w:rsidP="007B29C8">
      <w:pPr>
        <w:spacing w:after="0" w:line="360" w:lineRule="auto"/>
        <w:jc w:val="center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</w:p>
    <w:p w:rsidR="00D727D0" w:rsidRPr="00653F13" w:rsidRDefault="001D4F8C" w:rsidP="007B29C8">
      <w:pPr>
        <w:tabs>
          <w:tab w:val="left" w:pos="8647"/>
        </w:tabs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PRIMERO.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Resultan fundadas las razones o motivos de inconformidad hechos valer por </w:t>
      </w:r>
      <w:r w:rsidR="00642A68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EL</w:t>
      </w:r>
      <w:r w:rsidR="00ED39C7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RECURRENTE,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en términos del considerando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TERCERO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>, de la presente resolución.</w:t>
      </w:r>
    </w:p>
    <w:p w:rsidR="00D727D0" w:rsidRPr="00653F13" w:rsidRDefault="00D727D0" w:rsidP="007B29C8">
      <w:pPr>
        <w:tabs>
          <w:tab w:val="left" w:pos="8647"/>
        </w:tabs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tabs>
          <w:tab w:val="left" w:pos="8647"/>
        </w:tabs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lastRenderedPageBreak/>
        <w:t>SEGUNDO.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Se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ORDENA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al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Sujeto Obligado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atienda la solicitud de información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</w:t>
      </w:r>
      <w:r w:rsidR="00FA713F" w:rsidRPr="00653F13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00048/CHICONCU/IP/2025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vía Sistema de Acceso a la Información Mexiquense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(SAIMEX)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, en términos del Considerando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TERCERO 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>de esta resolución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.</w:t>
      </w:r>
    </w:p>
    <w:p w:rsidR="00D727D0" w:rsidRPr="00653F13" w:rsidRDefault="00D727D0" w:rsidP="007B29C8">
      <w:pPr>
        <w:tabs>
          <w:tab w:val="left" w:pos="8647"/>
        </w:tabs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tabs>
          <w:tab w:val="left" w:pos="8647"/>
        </w:tabs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TERCERO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Notifíquese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, vía Sistema de Acceso a la Información Mexiquense (SAIMEX), la presente resolución al Titular de la Unidad de Transparencia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DEL SUJETO OBLIGADO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, para que conforme al artículo 186 último párrafo, 189 segundo párrafo y 194 de la Ley de Transparencia y Acceso a la Información Pública del Estado de México y Municipios;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dé cumplimiento a lo ordenado dentro del plazo de diez días hábiles,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e informe a este Instituto en un plazo de tres días hábiles siguientes sobre el cumplimiento dado a la presente y, se le apercibe que en caso de negarse a cumplir la presente resolución o hacerlo de manera parcial, se le impondrá una medida de apremio de conformidad con lo previsto en los artículos 198, 200, fracción III; 214, 215 y 216 de la Ley  de Transparencia y Acceso a la Información Pública del Estado de México y Municipios</w:t>
      </w:r>
    </w:p>
    <w:p w:rsidR="00D727D0" w:rsidRPr="00653F13" w:rsidRDefault="00D727D0" w:rsidP="007B29C8">
      <w:pPr>
        <w:tabs>
          <w:tab w:val="left" w:pos="8647"/>
        </w:tabs>
        <w:spacing w:after="0" w:line="360" w:lineRule="auto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D727D0" w:rsidRPr="00653F13" w:rsidRDefault="001D4F8C" w:rsidP="007B29C8">
      <w:pPr>
        <w:tabs>
          <w:tab w:val="left" w:pos="8647"/>
        </w:tabs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CUARTO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Notifíquese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, vía Sistema de Acceso a la Información Mexiquense (SAIMEX) al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Recurrente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la presente resolución; así mismo, hágase de su conocimiento que de conformidad con lo establecido en el artículo 196, de la Ley de Transparencia y Acceso a la Información Pública del Estado de México y Municipios, en caso de considerar que le causa algún perjuicio, podrá promover el Juicio de Amparo en los términos de las leyes aplicables.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lastRenderedPageBreak/>
        <w:t>QUINTO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Se hace del conocimiento</w:t>
      </w:r>
      <w:r w:rsidR="002E762E"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2E762E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A</w:t>
      </w:r>
      <w:r w:rsidR="00642A68"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L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RECURRENTE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que, de conformidad con lo establecido en el artículo 179, párrafo segundo, de la Ley de Transparencia y Acceso a la Información Pública del Estado de México y Municipios, tiene derecho a interponer nuevamente Recurso de Revisión ante este Instituto, por la respuesta que proporcione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EL SUJETO OBLIGADO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>, en cumplimiento a esta Resolución.</w:t>
      </w:r>
    </w:p>
    <w:p w:rsidR="00D727D0" w:rsidRPr="00653F13" w:rsidRDefault="00D727D0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653F13" w:rsidRDefault="001D4F8C" w:rsidP="007B29C8">
      <w:pPr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SEXTO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Gírese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oficio a la S</w:t>
      </w:r>
      <w:bookmarkStart w:id="1" w:name="_GoBack"/>
      <w:bookmarkEnd w:id="1"/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ecretaría Técnica del Pleno de este Instituto para hacer del conocimiento del Órgano Interno de Control competente la presente resolución, a fin de que de conformidad con el artículo 190 de la Ley de Transparencia y Acceso a la Información Pública del Estado de México y Municipios se determine lo conducente, en términos de lo señalado en el </w:t>
      </w:r>
      <w:r w:rsidRPr="00653F13">
        <w:rPr>
          <w:rFonts w:ascii="Palatino Linotype" w:eastAsia="Palatino Linotype" w:hAnsi="Palatino Linotype" w:cs="Palatino Linotype"/>
          <w:b/>
          <w:sz w:val="24"/>
          <w:szCs w:val="24"/>
        </w:rPr>
        <w:t>Considerando TERCERO</w:t>
      </w:r>
      <w:r w:rsidRPr="00653F13">
        <w:rPr>
          <w:rFonts w:ascii="Palatino Linotype" w:eastAsia="Palatino Linotype" w:hAnsi="Palatino Linotype" w:cs="Palatino Linotype"/>
          <w:sz w:val="24"/>
          <w:szCs w:val="24"/>
        </w:rPr>
        <w:t xml:space="preserve"> de la presente resolución.</w:t>
      </w:r>
    </w:p>
    <w:p w:rsidR="00C213D7" w:rsidRPr="00653F13" w:rsidRDefault="00C213D7" w:rsidP="007B29C8">
      <w:pPr>
        <w:spacing w:before="240" w:after="24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7B29C8" w:rsidRDefault="00642A68" w:rsidP="007B29C8">
      <w:pPr>
        <w:spacing w:before="240" w:after="24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53F13">
        <w:rPr>
          <w:rFonts w:ascii="Palatino Linotype" w:eastAsia="Palatino Linotype" w:hAnsi="Palatino Linotype" w:cs="Palatino Linotype"/>
          <w:sz w:val="24"/>
          <w:szCs w:val="24"/>
        </w:rPr>
        <w:t>ASÍ LO RESUELVE, POR UNANIMIDAD DE VOTOS, EL PLENO DEL INSTITUTO DE TRANSPARENCIA, ACCESO A LA INFORMACIÓN PÚBLICA Y PROTECCIÓN DE DATOS PERSONALES DEL ESTADO DE MÉXICO Y MUNICIPIOS, CONFORMADO POR LOS COMISIONADOS JOSÉ MARTÍNEZ VILCHIS, MARÍA DEL ROSARIO MEJÍA AYALA, SHARON CRISTINA MORALES MARTÍNEZ, LUIS GUSTAVO PARRA NORIEGA Y GUADALUPE RAMÍREZ PEÑA; EN LA DÉCIMA QUINTA SESIÓN ORDINARIA, CELEBRADA EL TREINTA (30) DE ABRIL DE DOS MIL VEINTICINCO, ANTE EL SECRETARIO TÉCNICO DEL PLENO ALEXIS TAPIA RAMÍREZ.</w:t>
      </w:r>
    </w:p>
    <w:p w:rsidR="00D727D0" w:rsidRPr="007B29C8" w:rsidRDefault="00D727D0" w:rsidP="007B29C8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p w:rsidR="00D727D0" w:rsidRPr="007B29C8" w:rsidRDefault="00D727D0" w:rsidP="007B29C8">
      <w:pPr>
        <w:spacing w:after="0"/>
        <w:rPr>
          <w:rFonts w:ascii="Palatino Linotype" w:hAnsi="Palatino Linotype"/>
          <w:sz w:val="24"/>
          <w:szCs w:val="24"/>
        </w:rPr>
      </w:pPr>
    </w:p>
    <w:sectPr w:rsidR="00D727D0" w:rsidRPr="007B29C8" w:rsidSect="007B29C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970" w:right="1183" w:bottom="993" w:left="1701" w:header="708" w:footer="55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45" w:rsidRDefault="00BA6745">
      <w:pPr>
        <w:spacing w:after="0" w:line="240" w:lineRule="auto"/>
      </w:pPr>
      <w:r>
        <w:separator/>
      </w:r>
    </w:p>
  </w:endnote>
  <w:endnote w:type="continuationSeparator" w:id="0">
    <w:p w:rsidR="00BA6745" w:rsidRDefault="00BA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Página 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instrText>PAGE</w:instrTex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separate"/>
    </w:r>
    <w:r w:rsidR="00653F13">
      <w:rPr>
        <w:rFonts w:ascii="Palatino Linotype" w:eastAsia="Palatino Linotype" w:hAnsi="Palatino Linotype" w:cs="Palatino Linotype"/>
        <w:noProof/>
        <w:color w:val="000000"/>
        <w:sz w:val="20"/>
        <w:szCs w:val="20"/>
      </w:rPr>
      <w:t>15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de 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instrText>NUMPAGES</w:instrTex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separate"/>
    </w:r>
    <w:r w:rsidR="00653F13">
      <w:rPr>
        <w:rFonts w:ascii="Palatino Linotype" w:eastAsia="Palatino Linotype" w:hAnsi="Palatino Linotype" w:cs="Palatino Linotype"/>
        <w:noProof/>
        <w:color w:val="000000"/>
        <w:sz w:val="20"/>
        <w:szCs w:val="20"/>
      </w:rPr>
      <w:t>15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end"/>
    </w:r>
  </w:p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Página 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instrText>PAGE</w:instrTex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separate"/>
    </w:r>
    <w:r w:rsidR="00653F13">
      <w:rPr>
        <w:rFonts w:ascii="Palatino Linotype" w:eastAsia="Palatino Linotype" w:hAnsi="Palatino Linotype" w:cs="Palatino Linotype"/>
        <w:noProof/>
        <w:color w:val="000000"/>
        <w:sz w:val="20"/>
        <w:szCs w:val="20"/>
      </w:rPr>
      <w:t>1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de 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instrText>NUMPAGES</w:instrTex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separate"/>
    </w:r>
    <w:r w:rsidR="00653F13">
      <w:rPr>
        <w:rFonts w:ascii="Palatino Linotype" w:eastAsia="Palatino Linotype" w:hAnsi="Palatino Linotype" w:cs="Palatino Linotype"/>
        <w:noProof/>
        <w:color w:val="000000"/>
        <w:sz w:val="20"/>
        <w:szCs w:val="20"/>
      </w:rPr>
      <w:t>15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end"/>
    </w:r>
  </w:p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45" w:rsidRDefault="00BA6745">
      <w:pPr>
        <w:spacing w:after="0" w:line="240" w:lineRule="auto"/>
      </w:pPr>
      <w:r>
        <w:separator/>
      </w:r>
    </w:p>
  </w:footnote>
  <w:footnote w:type="continuationSeparator" w:id="0">
    <w:p w:rsidR="00BA6745" w:rsidRDefault="00BA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7D" w:rsidRDefault="00AC18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>
      <w:rPr>
        <w:rFonts w:ascii="Palatino Linotype" w:eastAsia="Palatino Linotype" w:hAnsi="Palatino Linotype" w:cs="Palatino Linotype"/>
        <w:b/>
        <w:noProof/>
        <w:color w:val="000000"/>
        <w:sz w:val="24"/>
        <w:szCs w:val="24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posOffset>171450</wp:posOffset>
          </wp:positionV>
          <wp:extent cx="7705725" cy="10048875"/>
          <wp:effectExtent l="0" t="0" r="9525" b="9525"/>
          <wp:wrapNone/>
          <wp:docPr id="1" name="image1.jpg" descr="logo info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fo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725" cy="10048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8222" w:type="dxa"/>
      <w:tblInd w:w="1884" w:type="dxa"/>
      <w:tblLayout w:type="fixed"/>
      <w:tblLook w:val="0400" w:firstRow="0" w:lastRow="0" w:firstColumn="0" w:lastColumn="0" w:noHBand="0" w:noVBand="1"/>
    </w:tblPr>
    <w:tblGrid>
      <w:gridCol w:w="3133"/>
      <w:gridCol w:w="5089"/>
    </w:tblGrid>
    <w:tr w:rsidR="00AC187D" w:rsidRPr="007B29C8" w:rsidTr="002433E9">
      <w:trPr>
        <w:trHeight w:val="252"/>
      </w:trPr>
      <w:tc>
        <w:tcPr>
          <w:tcW w:w="3133" w:type="dxa"/>
        </w:tcPr>
        <w:p w:rsidR="00AC187D" w:rsidRPr="007B29C8" w:rsidRDefault="00AC187D" w:rsidP="0079523E">
          <w:pPr>
            <w:spacing w:after="120" w:line="256" w:lineRule="auto"/>
            <w:ind w:right="204"/>
            <w:jc w:val="right"/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  <w:t>Recurso de Revisión:</w:t>
          </w:r>
        </w:p>
      </w:tc>
      <w:tc>
        <w:tcPr>
          <w:tcW w:w="5089" w:type="dxa"/>
        </w:tcPr>
        <w:p w:rsidR="00AC187D" w:rsidRPr="007B29C8" w:rsidRDefault="004943B7" w:rsidP="006608B8">
          <w:pPr>
            <w:spacing w:after="120" w:line="256" w:lineRule="auto"/>
            <w:ind w:right="-435"/>
            <w:jc w:val="both"/>
            <w:rPr>
              <w:rFonts w:ascii="Palatino Linotype" w:eastAsia="Palatino Linotype" w:hAnsi="Palatino Linotype" w:cs="Palatino Linotype"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03</w:t>
          </w:r>
          <w:r w:rsidR="00FA713F"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808</w:t>
          </w:r>
          <w:r w:rsidR="00AC187D"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/INFOEM/IP/RR/2025</w:t>
          </w:r>
        </w:p>
      </w:tc>
    </w:tr>
    <w:tr w:rsidR="00AC187D" w:rsidRPr="007B29C8" w:rsidTr="002433E9">
      <w:trPr>
        <w:trHeight w:val="269"/>
      </w:trPr>
      <w:tc>
        <w:tcPr>
          <w:tcW w:w="3133" w:type="dxa"/>
        </w:tcPr>
        <w:p w:rsidR="00AC187D" w:rsidRPr="007B29C8" w:rsidRDefault="00AC187D" w:rsidP="0079523E">
          <w:pPr>
            <w:spacing w:after="120" w:line="256" w:lineRule="auto"/>
            <w:ind w:right="204"/>
            <w:jc w:val="right"/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  <w:t>Sujeto Obligado:</w:t>
          </w:r>
        </w:p>
      </w:tc>
      <w:tc>
        <w:tcPr>
          <w:tcW w:w="5089" w:type="dxa"/>
        </w:tcPr>
        <w:p w:rsidR="00AC187D" w:rsidRPr="007B29C8" w:rsidRDefault="00AC187D" w:rsidP="001D5C49">
          <w:pPr>
            <w:spacing w:after="0" w:line="240" w:lineRule="auto"/>
            <w:ind w:left="-67" w:right="38"/>
            <w:jc w:val="both"/>
            <w:rPr>
              <w:rFonts w:ascii="Palatino Linotype" w:eastAsia="Palatino Linotype" w:hAnsi="Palatino Linotype" w:cs="Palatino Linotype"/>
              <w:sz w:val="24"/>
              <w:szCs w:val="24"/>
            </w:rPr>
          </w:pPr>
          <w:r w:rsidRPr="007B29C8">
            <w:rPr>
              <w:rFonts w:ascii="Palatino Linotype" w:hAnsi="Palatino Linotype"/>
              <w:bCs/>
              <w:color w:val="000000"/>
              <w:sz w:val="24"/>
              <w:szCs w:val="24"/>
            </w:rPr>
            <w:t xml:space="preserve">Ayuntamiento de </w:t>
          </w:r>
          <w:r w:rsidR="001D5C49" w:rsidRPr="007B29C8">
            <w:rPr>
              <w:rFonts w:ascii="Palatino Linotype" w:hAnsi="Palatino Linotype"/>
              <w:bCs/>
              <w:color w:val="000000"/>
              <w:sz w:val="24"/>
              <w:szCs w:val="24"/>
            </w:rPr>
            <w:t>Chiconcuac</w:t>
          </w:r>
        </w:p>
      </w:tc>
    </w:tr>
    <w:tr w:rsidR="00AC187D" w:rsidRPr="007B29C8" w:rsidTr="002433E9">
      <w:trPr>
        <w:trHeight w:val="380"/>
      </w:trPr>
      <w:tc>
        <w:tcPr>
          <w:tcW w:w="3133" w:type="dxa"/>
        </w:tcPr>
        <w:p w:rsidR="00AC187D" w:rsidRPr="007B29C8" w:rsidRDefault="00AC187D" w:rsidP="00C84E40">
          <w:pPr>
            <w:tabs>
              <w:tab w:val="left" w:pos="4892"/>
            </w:tabs>
            <w:spacing w:after="120" w:line="256" w:lineRule="auto"/>
            <w:ind w:right="204"/>
            <w:jc w:val="right"/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  <w:t>Comisionada Ponente:</w:t>
          </w:r>
        </w:p>
      </w:tc>
      <w:tc>
        <w:tcPr>
          <w:tcW w:w="5089" w:type="dxa"/>
        </w:tcPr>
        <w:p w:rsidR="00AC187D" w:rsidRPr="007B29C8" w:rsidRDefault="00AC187D" w:rsidP="002433E9">
          <w:pPr>
            <w:spacing w:after="120" w:line="256" w:lineRule="auto"/>
            <w:ind w:right="214"/>
            <w:jc w:val="both"/>
            <w:rPr>
              <w:rFonts w:ascii="Palatino Linotype" w:eastAsia="Palatino Linotype" w:hAnsi="Palatino Linotype" w:cs="Palatino Linotype"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María del Rosario Mejía Ayala</w:t>
          </w:r>
        </w:p>
      </w:tc>
    </w:tr>
  </w:tbl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05"/>
      </w:tabs>
      <w:spacing w:after="0" w:line="240" w:lineRule="auto"/>
      <w:rPr>
        <w:rFonts w:ascii="Times New Roman" w:eastAsia="Times New Roman" w:hAnsi="Times New Roman" w:cs="Times New Roman"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7D" w:rsidRDefault="00AC18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rFonts w:ascii="Palatino Linotype" w:eastAsia="Palatino Linotype" w:hAnsi="Palatino Linotype" w:cs="Palatino Linotype"/>
        <w:noProof/>
        <w:color w:val="000000"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05725" cy="9988490"/>
          <wp:effectExtent l="0" t="0" r="0" b="0"/>
          <wp:wrapNone/>
          <wp:docPr id="2" name="image1.jpg" descr="logo info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fo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725" cy="998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7371" w:type="dxa"/>
      <w:tblInd w:w="2694" w:type="dxa"/>
      <w:tblLayout w:type="fixed"/>
      <w:tblLook w:val="0400" w:firstRow="0" w:lastRow="0" w:firstColumn="0" w:lastColumn="0" w:noHBand="0" w:noVBand="1"/>
    </w:tblPr>
    <w:tblGrid>
      <w:gridCol w:w="3118"/>
      <w:gridCol w:w="4253"/>
    </w:tblGrid>
    <w:tr w:rsidR="00AC187D" w:rsidRPr="007B29C8" w:rsidTr="002433E9">
      <w:trPr>
        <w:trHeight w:val="227"/>
      </w:trPr>
      <w:tc>
        <w:tcPr>
          <w:tcW w:w="3118" w:type="dxa"/>
        </w:tcPr>
        <w:p w:rsidR="00AC187D" w:rsidRPr="007B29C8" w:rsidRDefault="00AC187D" w:rsidP="002433E9">
          <w:pPr>
            <w:spacing w:after="120" w:line="256" w:lineRule="auto"/>
            <w:ind w:left="-259" w:right="355"/>
            <w:jc w:val="right"/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</w:pPr>
          <w:bookmarkStart w:id="2" w:name="_heading=h.30j0zll" w:colFirst="0" w:colLast="0"/>
          <w:bookmarkEnd w:id="2"/>
          <w:r w:rsidRPr="007B29C8"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  <w:t>Recurso de Revisión:</w:t>
          </w:r>
        </w:p>
      </w:tc>
      <w:tc>
        <w:tcPr>
          <w:tcW w:w="4253" w:type="dxa"/>
        </w:tcPr>
        <w:p w:rsidR="00AC187D" w:rsidRPr="007B29C8" w:rsidRDefault="00AC187D" w:rsidP="004943B7">
          <w:pPr>
            <w:spacing w:after="120" w:line="256" w:lineRule="auto"/>
            <w:ind w:right="-435"/>
            <w:rPr>
              <w:rFonts w:ascii="Palatino Linotype" w:eastAsia="Palatino Linotype" w:hAnsi="Palatino Linotype" w:cs="Palatino Linotype"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0</w:t>
          </w:r>
          <w:r w:rsidR="004943B7"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3</w:t>
          </w:r>
          <w:r w:rsidR="001D5C49"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808</w:t>
          </w:r>
          <w:r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/INFOEM/IP/RR/2025</w:t>
          </w:r>
        </w:p>
      </w:tc>
    </w:tr>
    <w:tr w:rsidR="00AC187D" w:rsidRPr="007B29C8" w:rsidTr="007B29C8">
      <w:trPr>
        <w:trHeight w:val="527"/>
      </w:trPr>
      <w:tc>
        <w:tcPr>
          <w:tcW w:w="3118" w:type="dxa"/>
        </w:tcPr>
        <w:p w:rsidR="00AC187D" w:rsidRPr="007B29C8" w:rsidRDefault="00AC187D" w:rsidP="002433E9">
          <w:pPr>
            <w:spacing w:after="120" w:line="256" w:lineRule="auto"/>
            <w:ind w:right="355"/>
            <w:jc w:val="right"/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  <w:t>Sujeto Obligado:</w:t>
          </w:r>
        </w:p>
      </w:tc>
      <w:tc>
        <w:tcPr>
          <w:tcW w:w="4253" w:type="dxa"/>
        </w:tcPr>
        <w:p w:rsidR="00AC187D" w:rsidRPr="007B29C8" w:rsidRDefault="00AC187D" w:rsidP="001D5C49">
          <w:pPr>
            <w:spacing w:after="0" w:line="240" w:lineRule="auto"/>
            <w:ind w:right="72"/>
            <w:jc w:val="both"/>
            <w:rPr>
              <w:rFonts w:ascii="Palatino Linotype" w:eastAsia="Palatino Linotype" w:hAnsi="Palatino Linotype" w:cs="Palatino Linotype"/>
              <w:sz w:val="24"/>
              <w:szCs w:val="24"/>
            </w:rPr>
          </w:pPr>
          <w:r w:rsidRPr="007B29C8">
            <w:rPr>
              <w:rFonts w:ascii="Palatino Linotype" w:hAnsi="Palatino Linotype"/>
              <w:bCs/>
              <w:color w:val="000000"/>
              <w:sz w:val="24"/>
              <w:szCs w:val="24"/>
            </w:rPr>
            <w:t xml:space="preserve">Ayuntamiento de </w:t>
          </w:r>
          <w:r w:rsidR="001D5C49" w:rsidRPr="007B29C8">
            <w:rPr>
              <w:rFonts w:ascii="Palatino Linotype" w:hAnsi="Palatino Linotype"/>
              <w:bCs/>
              <w:color w:val="000000"/>
              <w:sz w:val="24"/>
              <w:szCs w:val="24"/>
            </w:rPr>
            <w:t>Chiconcuac</w:t>
          </w:r>
        </w:p>
      </w:tc>
    </w:tr>
    <w:tr w:rsidR="00AC187D" w:rsidRPr="007B29C8" w:rsidTr="002433E9">
      <w:trPr>
        <w:trHeight w:val="342"/>
      </w:trPr>
      <w:tc>
        <w:tcPr>
          <w:tcW w:w="3118" w:type="dxa"/>
        </w:tcPr>
        <w:p w:rsidR="00AC187D" w:rsidRPr="007B29C8" w:rsidRDefault="00AC187D" w:rsidP="002433E9">
          <w:pPr>
            <w:tabs>
              <w:tab w:val="left" w:pos="4892"/>
            </w:tabs>
            <w:spacing w:after="120" w:line="256" w:lineRule="auto"/>
            <w:ind w:right="355"/>
            <w:jc w:val="right"/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  <w:t>Recurrente:</w:t>
          </w:r>
        </w:p>
      </w:tc>
      <w:tc>
        <w:tcPr>
          <w:tcW w:w="4253" w:type="dxa"/>
        </w:tcPr>
        <w:p w:rsidR="00AC187D" w:rsidRPr="007B29C8" w:rsidRDefault="00AC187D" w:rsidP="001D5C49">
          <w:pPr>
            <w:spacing w:after="120" w:line="256" w:lineRule="auto"/>
            <w:ind w:right="-435"/>
            <w:jc w:val="both"/>
            <w:rPr>
              <w:rFonts w:ascii="Palatino Linotype" w:eastAsia="Palatino Linotype" w:hAnsi="Palatino Linotype" w:cs="Palatino Linotype"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 xml:space="preserve"> </w:t>
          </w:r>
        </w:p>
      </w:tc>
    </w:tr>
    <w:tr w:rsidR="00AC187D" w:rsidRPr="007B29C8" w:rsidTr="002433E9">
      <w:trPr>
        <w:trHeight w:val="342"/>
      </w:trPr>
      <w:tc>
        <w:tcPr>
          <w:tcW w:w="3118" w:type="dxa"/>
        </w:tcPr>
        <w:p w:rsidR="00AC187D" w:rsidRPr="007B29C8" w:rsidRDefault="00AC187D" w:rsidP="002433E9">
          <w:pPr>
            <w:tabs>
              <w:tab w:val="left" w:pos="4892"/>
            </w:tabs>
            <w:spacing w:after="120" w:line="256" w:lineRule="auto"/>
            <w:ind w:right="355"/>
            <w:jc w:val="right"/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  <w:t>Comisionada Ponente:</w:t>
          </w:r>
        </w:p>
      </w:tc>
      <w:tc>
        <w:tcPr>
          <w:tcW w:w="4253" w:type="dxa"/>
        </w:tcPr>
        <w:p w:rsidR="00AC187D" w:rsidRPr="007B29C8" w:rsidRDefault="00AC187D" w:rsidP="002433E9">
          <w:pPr>
            <w:spacing w:after="120" w:line="256" w:lineRule="auto"/>
            <w:ind w:right="-435"/>
            <w:rPr>
              <w:rFonts w:ascii="Palatino Linotype" w:eastAsia="Palatino Linotype" w:hAnsi="Palatino Linotype" w:cs="Palatino Linotype"/>
              <w:sz w:val="24"/>
              <w:szCs w:val="24"/>
            </w:rPr>
          </w:pPr>
          <w:r w:rsidRPr="007B29C8">
            <w:rPr>
              <w:rFonts w:ascii="Palatino Linotype" w:eastAsia="Palatino Linotype" w:hAnsi="Palatino Linotype" w:cs="Palatino Linotype"/>
              <w:sz w:val="24"/>
              <w:szCs w:val="24"/>
            </w:rPr>
            <w:t>María del Rosario Mejía Ayala</w:t>
          </w:r>
        </w:p>
      </w:tc>
    </w:tr>
  </w:tbl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7603"/>
    <w:multiLevelType w:val="multilevel"/>
    <w:tmpl w:val="4DE80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9166F0"/>
    <w:multiLevelType w:val="multilevel"/>
    <w:tmpl w:val="94643E60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17A91"/>
    <w:multiLevelType w:val="multilevel"/>
    <w:tmpl w:val="AB56B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EA67C1A"/>
    <w:multiLevelType w:val="multilevel"/>
    <w:tmpl w:val="31E46F0E"/>
    <w:lvl w:ilvl="0">
      <w:start w:val="2"/>
      <w:numFmt w:val="decimal"/>
      <w:lvlText w:val="%1.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5ED609E2"/>
    <w:multiLevelType w:val="multilevel"/>
    <w:tmpl w:val="853014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3391B9F"/>
    <w:multiLevelType w:val="multilevel"/>
    <w:tmpl w:val="A4002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D0"/>
    <w:rsid w:val="00030762"/>
    <w:rsid w:val="0003512E"/>
    <w:rsid w:val="00053C8F"/>
    <w:rsid w:val="000636A4"/>
    <w:rsid w:val="00076336"/>
    <w:rsid w:val="00097A13"/>
    <w:rsid w:val="000B1AF2"/>
    <w:rsid w:val="000B318A"/>
    <w:rsid w:val="000D69BD"/>
    <w:rsid w:val="000E1363"/>
    <w:rsid w:val="000F5078"/>
    <w:rsid w:val="001033CE"/>
    <w:rsid w:val="001102E4"/>
    <w:rsid w:val="00135E97"/>
    <w:rsid w:val="001435CA"/>
    <w:rsid w:val="001A43B2"/>
    <w:rsid w:val="001D4F8C"/>
    <w:rsid w:val="001D5C49"/>
    <w:rsid w:val="001F07C5"/>
    <w:rsid w:val="00211A72"/>
    <w:rsid w:val="00214AEA"/>
    <w:rsid w:val="0022300F"/>
    <w:rsid w:val="0023587C"/>
    <w:rsid w:val="002433E9"/>
    <w:rsid w:val="00257B36"/>
    <w:rsid w:val="00273466"/>
    <w:rsid w:val="002829BD"/>
    <w:rsid w:val="00290C46"/>
    <w:rsid w:val="002D4AE6"/>
    <w:rsid w:val="002E1639"/>
    <w:rsid w:val="002E4B1E"/>
    <w:rsid w:val="002E762E"/>
    <w:rsid w:val="00326911"/>
    <w:rsid w:val="00326C35"/>
    <w:rsid w:val="003456AD"/>
    <w:rsid w:val="00350227"/>
    <w:rsid w:val="00364C7E"/>
    <w:rsid w:val="003B31C0"/>
    <w:rsid w:val="003D23F2"/>
    <w:rsid w:val="003D72DC"/>
    <w:rsid w:val="003D73AC"/>
    <w:rsid w:val="003E4D29"/>
    <w:rsid w:val="003E6BA3"/>
    <w:rsid w:val="003F074D"/>
    <w:rsid w:val="00402260"/>
    <w:rsid w:val="00420EA6"/>
    <w:rsid w:val="004775B0"/>
    <w:rsid w:val="004913A6"/>
    <w:rsid w:val="004943B7"/>
    <w:rsid w:val="004B3908"/>
    <w:rsid w:val="004C4C1A"/>
    <w:rsid w:val="00534A92"/>
    <w:rsid w:val="005434DE"/>
    <w:rsid w:val="00566F41"/>
    <w:rsid w:val="005907BA"/>
    <w:rsid w:val="005B7410"/>
    <w:rsid w:val="005D0591"/>
    <w:rsid w:val="005D1572"/>
    <w:rsid w:val="005F3197"/>
    <w:rsid w:val="0061342D"/>
    <w:rsid w:val="0063035A"/>
    <w:rsid w:val="00642A68"/>
    <w:rsid w:val="0065006C"/>
    <w:rsid w:val="00653F13"/>
    <w:rsid w:val="006608B8"/>
    <w:rsid w:val="00695578"/>
    <w:rsid w:val="006B6964"/>
    <w:rsid w:val="006C655C"/>
    <w:rsid w:val="006D396F"/>
    <w:rsid w:val="00704055"/>
    <w:rsid w:val="0070584A"/>
    <w:rsid w:val="00774E39"/>
    <w:rsid w:val="00776B77"/>
    <w:rsid w:val="007810EC"/>
    <w:rsid w:val="00784F1A"/>
    <w:rsid w:val="0079523E"/>
    <w:rsid w:val="007B13A2"/>
    <w:rsid w:val="007B1D6C"/>
    <w:rsid w:val="007B29C8"/>
    <w:rsid w:val="007D17EE"/>
    <w:rsid w:val="007D7FE4"/>
    <w:rsid w:val="0080511D"/>
    <w:rsid w:val="00832F3C"/>
    <w:rsid w:val="008771DA"/>
    <w:rsid w:val="00890D69"/>
    <w:rsid w:val="008D7BAF"/>
    <w:rsid w:val="008F05F0"/>
    <w:rsid w:val="00903949"/>
    <w:rsid w:val="00916C20"/>
    <w:rsid w:val="00997C8C"/>
    <w:rsid w:val="00A44C17"/>
    <w:rsid w:val="00A67078"/>
    <w:rsid w:val="00A769D4"/>
    <w:rsid w:val="00A77A66"/>
    <w:rsid w:val="00AB310C"/>
    <w:rsid w:val="00AC187D"/>
    <w:rsid w:val="00AC4D67"/>
    <w:rsid w:val="00AD3E73"/>
    <w:rsid w:val="00AF7F2C"/>
    <w:rsid w:val="00B30EBD"/>
    <w:rsid w:val="00B46ECE"/>
    <w:rsid w:val="00B52F58"/>
    <w:rsid w:val="00B77D42"/>
    <w:rsid w:val="00BA6745"/>
    <w:rsid w:val="00BE35F5"/>
    <w:rsid w:val="00BF43A4"/>
    <w:rsid w:val="00C213D7"/>
    <w:rsid w:val="00C3459C"/>
    <w:rsid w:val="00C468CA"/>
    <w:rsid w:val="00C55CC8"/>
    <w:rsid w:val="00C84E40"/>
    <w:rsid w:val="00C92BC9"/>
    <w:rsid w:val="00C946E9"/>
    <w:rsid w:val="00CB07B3"/>
    <w:rsid w:val="00CC24E2"/>
    <w:rsid w:val="00D250F6"/>
    <w:rsid w:val="00D330C9"/>
    <w:rsid w:val="00D338C8"/>
    <w:rsid w:val="00D57CA8"/>
    <w:rsid w:val="00D62DE2"/>
    <w:rsid w:val="00D63514"/>
    <w:rsid w:val="00D727D0"/>
    <w:rsid w:val="00D731CB"/>
    <w:rsid w:val="00D82C27"/>
    <w:rsid w:val="00D95DA6"/>
    <w:rsid w:val="00DA1F93"/>
    <w:rsid w:val="00DA45F6"/>
    <w:rsid w:val="00DE0884"/>
    <w:rsid w:val="00E47FE5"/>
    <w:rsid w:val="00EA35F6"/>
    <w:rsid w:val="00EB5A28"/>
    <w:rsid w:val="00ED39C7"/>
    <w:rsid w:val="00ED6F3D"/>
    <w:rsid w:val="00EE567A"/>
    <w:rsid w:val="00F0134F"/>
    <w:rsid w:val="00F358E2"/>
    <w:rsid w:val="00F557FF"/>
    <w:rsid w:val="00F60345"/>
    <w:rsid w:val="00FA713F"/>
    <w:rsid w:val="00FC4C16"/>
    <w:rsid w:val="00FE22A7"/>
    <w:rsid w:val="00FE2FFD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DECE06-C9CE-46BF-8E23-BC138E9A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80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804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E4804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4804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4804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6E48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6E48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itas">
    <w:name w:val="Citas"/>
    <w:basedOn w:val="Normal"/>
    <w:qFormat/>
    <w:rsid w:val="006E4804"/>
    <w:pPr>
      <w:spacing w:before="240" w:line="360" w:lineRule="auto"/>
      <w:ind w:left="851" w:right="851"/>
      <w:jc w:val="both"/>
    </w:pPr>
    <w:rPr>
      <w:rFonts w:ascii="Palatino Linotype" w:hAnsi="Palatino Linotype" w:cs="Arial"/>
      <w:i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63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y1fYVHCwaDCrBwVLrI4zpookQ==">CgMxLjAyCWguMWZvYjl0ZTIIaC5namRneHMyCWguMzBqMHpsbDgAciExVlpVYU81NGwxRzZabmdWN3AzSjZwNWxzX0c3OFA3V3c=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8282A8-9E77-494A-AEE2-43C7F877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2981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INFOEM399</dc:creator>
  <cp:lastModifiedBy>INFOEM416</cp:lastModifiedBy>
  <cp:revision>4</cp:revision>
  <cp:lastPrinted>2025-05-06T18:10:00Z</cp:lastPrinted>
  <dcterms:created xsi:type="dcterms:W3CDTF">2025-04-24T17:55:00Z</dcterms:created>
  <dcterms:modified xsi:type="dcterms:W3CDTF">2025-05-06T18:10:00Z</dcterms:modified>
</cp:coreProperties>
</file>