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1A" w:rsidRPr="00D366B7" w:rsidRDefault="004F3EC5" w:rsidP="00C227F6">
      <w:pPr>
        <w:tabs>
          <w:tab w:val="left" w:pos="0"/>
        </w:tabs>
        <w:spacing w:before="240" w:after="240" w:line="360" w:lineRule="auto"/>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76A78" w:rsidRPr="00D366B7">
        <w:rPr>
          <w:rFonts w:ascii="Palatino Linotype" w:eastAsia="Palatino Linotype" w:hAnsi="Palatino Linotype" w:cs="Palatino Linotype"/>
        </w:rPr>
        <w:t>veinte (20) de marzo de dos mil veinticinco.</w:t>
      </w:r>
    </w:p>
    <w:p w:rsidR="00187A1A" w:rsidRPr="00D366B7" w:rsidRDefault="004F3EC5" w:rsidP="00C227F6">
      <w:pPr>
        <w:spacing w:before="240" w:after="240" w:line="360" w:lineRule="auto"/>
        <w:ind w:right="1"/>
        <w:jc w:val="both"/>
        <w:rPr>
          <w:rFonts w:ascii="Palatino Linotype" w:eastAsia="Palatino Linotype" w:hAnsi="Palatino Linotype" w:cs="Palatino Linotype"/>
        </w:rPr>
      </w:pPr>
      <w:r w:rsidRPr="00D366B7">
        <w:rPr>
          <w:rFonts w:ascii="Palatino Linotype" w:eastAsia="Palatino Linotype" w:hAnsi="Palatino Linotype" w:cs="Palatino Linotype"/>
          <w:b/>
        </w:rPr>
        <w:t>VISTO</w:t>
      </w:r>
      <w:r w:rsidRPr="00D366B7">
        <w:rPr>
          <w:rFonts w:ascii="Palatino Linotype" w:eastAsia="Palatino Linotype" w:hAnsi="Palatino Linotype" w:cs="Palatino Linotype"/>
        </w:rPr>
        <w:t xml:space="preserve"> el expediente electrónico formado con motivo del recurso de revisión </w:t>
      </w:r>
      <w:r w:rsidRPr="00D366B7">
        <w:rPr>
          <w:rFonts w:ascii="Palatino Linotype" w:eastAsia="Palatino Linotype" w:hAnsi="Palatino Linotype" w:cs="Palatino Linotype"/>
          <w:b/>
        </w:rPr>
        <w:t>0</w:t>
      </w:r>
      <w:r w:rsidR="00976A78" w:rsidRPr="00D366B7">
        <w:rPr>
          <w:rFonts w:ascii="Palatino Linotype" w:eastAsia="Palatino Linotype" w:hAnsi="Palatino Linotype" w:cs="Palatino Linotype"/>
          <w:b/>
        </w:rPr>
        <w:t>1913/INFOEM/IP/RR/2025</w:t>
      </w:r>
      <w:r w:rsidRPr="00D366B7">
        <w:rPr>
          <w:rFonts w:ascii="Palatino Linotype" w:eastAsia="Palatino Linotype" w:hAnsi="Palatino Linotype" w:cs="Palatino Linotype"/>
          <w:b/>
        </w:rPr>
        <w:t xml:space="preserve"> </w:t>
      </w:r>
      <w:r w:rsidRPr="00D366B7">
        <w:rPr>
          <w:rFonts w:ascii="Palatino Linotype" w:eastAsia="Palatino Linotype" w:hAnsi="Palatino Linotype" w:cs="Palatino Linotype"/>
        </w:rPr>
        <w:t xml:space="preserve">promovido por </w:t>
      </w:r>
      <w:r w:rsidR="009D10A0">
        <w:rPr>
          <w:rFonts w:ascii="Palatino Linotype" w:eastAsia="Palatino Linotype" w:hAnsi="Palatino Linotype" w:cs="Palatino Linotype"/>
          <w:b/>
        </w:rPr>
        <w:t>XXXX</w:t>
      </w:r>
      <w:r w:rsidR="00EF29ED" w:rsidRPr="00D366B7">
        <w:rPr>
          <w:rFonts w:ascii="Palatino Linotype" w:eastAsia="Palatino Linotype" w:hAnsi="Palatino Linotype" w:cs="Palatino Linotype"/>
        </w:rPr>
        <w:t>,</w:t>
      </w:r>
      <w:r w:rsidRPr="00D366B7">
        <w:rPr>
          <w:rFonts w:ascii="Palatino Linotype" w:eastAsia="Palatino Linotype" w:hAnsi="Palatino Linotype" w:cs="Palatino Linotype"/>
        </w:rPr>
        <w:t xml:space="preserve"> a quien en lo sucesivo denominaremos  </w:t>
      </w:r>
      <w:r w:rsidR="00F62720" w:rsidRPr="00D366B7">
        <w:rPr>
          <w:rFonts w:ascii="Palatino Linotype" w:eastAsia="Palatino Linotype" w:hAnsi="Palatino Linotype" w:cs="Palatino Linotype"/>
          <w:b/>
        </w:rPr>
        <w:t xml:space="preserve">EL </w:t>
      </w:r>
      <w:r w:rsidRPr="00D366B7">
        <w:rPr>
          <w:rFonts w:ascii="Palatino Linotype" w:eastAsia="Palatino Linotype" w:hAnsi="Palatino Linotype" w:cs="Palatino Linotype"/>
          <w:b/>
        </w:rPr>
        <w:t>RECURRENTE</w:t>
      </w:r>
      <w:r w:rsidR="00EF29ED" w:rsidRPr="00D366B7">
        <w:rPr>
          <w:rFonts w:ascii="Palatino Linotype" w:eastAsia="Palatino Linotype" w:hAnsi="Palatino Linotype" w:cs="Palatino Linotype"/>
        </w:rPr>
        <w:t xml:space="preserve">, en contra de la respuesta </w:t>
      </w:r>
      <w:r w:rsidR="00AE7314" w:rsidRPr="00D366B7">
        <w:rPr>
          <w:rFonts w:ascii="Palatino Linotype" w:eastAsia="Palatino Linotype" w:hAnsi="Palatino Linotype" w:cs="Palatino Linotype"/>
        </w:rPr>
        <w:t>del</w:t>
      </w:r>
      <w:r w:rsidR="00F62720" w:rsidRPr="00D366B7">
        <w:rPr>
          <w:rFonts w:ascii="Palatino Linotype" w:eastAsia="Palatino Linotype" w:hAnsi="Palatino Linotype" w:cs="Palatino Linotype"/>
        </w:rPr>
        <w:t xml:space="preserve"> </w:t>
      </w:r>
      <w:r w:rsidR="00AE7314" w:rsidRPr="00D366B7">
        <w:rPr>
          <w:rFonts w:ascii="Palatino Linotype" w:eastAsia="Palatino Linotype" w:hAnsi="Palatino Linotype" w:cs="Palatino Linotype"/>
          <w:b/>
          <w:szCs w:val="22"/>
        </w:rPr>
        <w:t>Ayuntamiento de Timilpan</w:t>
      </w:r>
      <w:r w:rsidRPr="00D366B7">
        <w:rPr>
          <w:rFonts w:ascii="Palatino Linotype" w:eastAsia="Palatino Linotype" w:hAnsi="Palatino Linotype" w:cs="Palatino Linotype"/>
          <w:b/>
        </w:rPr>
        <w:t xml:space="preserve">, </w:t>
      </w:r>
      <w:r w:rsidRPr="00D366B7">
        <w:rPr>
          <w:rFonts w:ascii="Palatino Linotype" w:eastAsia="Palatino Linotype" w:hAnsi="Palatino Linotype" w:cs="Palatino Linotype"/>
        </w:rPr>
        <w:t>en adelante el</w:t>
      </w:r>
      <w:r w:rsidRPr="00D366B7">
        <w:rPr>
          <w:rFonts w:ascii="Palatino Linotype" w:eastAsia="Palatino Linotype" w:hAnsi="Palatino Linotype" w:cs="Palatino Linotype"/>
          <w:b/>
        </w:rPr>
        <w:t xml:space="preserve"> SUJETO OBLIGADO, </w:t>
      </w:r>
      <w:r w:rsidRPr="00D366B7">
        <w:rPr>
          <w:rFonts w:ascii="Palatino Linotype" w:eastAsia="Palatino Linotype" w:hAnsi="Palatino Linotype" w:cs="Palatino Linotype"/>
        </w:rPr>
        <w:t>se procede a dictar la presente resolución, con base en los siguientes:</w:t>
      </w:r>
    </w:p>
    <w:p w:rsidR="00187A1A" w:rsidRPr="00D366B7" w:rsidRDefault="004F3EC5" w:rsidP="00C227F6">
      <w:pPr>
        <w:keepNext/>
        <w:keepLines/>
        <w:tabs>
          <w:tab w:val="left" w:pos="0"/>
        </w:tabs>
        <w:spacing w:before="240" w:after="240" w:line="360" w:lineRule="auto"/>
        <w:ind w:right="1"/>
        <w:jc w:val="center"/>
        <w:rPr>
          <w:rFonts w:ascii="Palatino Linotype" w:eastAsia="Palatino Linotype" w:hAnsi="Palatino Linotype" w:cs="Palatino Linotype"/>
          <w:b/>
        </w:rPr>
      </w:pPr>
      <w:bookmarkStart w:id="0" w:name="_heading=h.gjdgxs" w:colFirst="0" w:colLast="0"/>
      <w:bookmarkEnd w:id="0"/>
      <w:r w:rsidRPr="00D366B7">
        <w:rPr>
          <w:rFonts w:ascii="Palatino Linotype" w:eastAsia="Palatino Linotype" w:hAnsi="Palatino Linotype" w:cs="Palatino Linotype"/>
          <w:b/>
        </w:rPr>
        <w:t>A N T E C E D E N T E S</w:t>
      </w:r>
    </w:p>
    <w:p w:rsidR="00187A1A" w:rsidRPr="00D366B7" w:rsidRDefault="004F3EC5" w:rsidP="00EF29ED">
      <w:pPr>
        <w:numPr>
          <w:ilvl w:val="0"/>
          <w:numId w:val="1"/>
        </w:numPr>
        <w:tabs>
          <w:tab w:val="left" w:pos="0"/>
        </w:tabs>
        <w:spacing w:before="240"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El </w:t>
      </w:r>
      <w:r w:rsidR="00976A78" w:rsidRPr="00D366B7">
        <w:rPr>
          <w:rFonts w:ascii="Palatino Linotype" w:eastAsia="Palatino Linotype" w:hAnsi="Palatino Linotype" w:cs="Palatino Linotype"/>
        </w:rPr>
        <w:t>veintinueve de enero de dos mil veinticinco</w:t>
      </w:r>
      <w:r w:rsidRPr="00D366B7">
        <w:rPr>
          <w:rFonts w:ascii="Palatino Linotype" w:eastAsia="Palatino Linotype" w:hAnsi="Palatino Linotype" w:cs="Palatino Linotype"/>
        </w:rPr>
        <w:t>, el</w:t>
      </w:r>
      <w:r w:rsidRPr="00D366B7">
        <w:rPr>
          <w:rFonts w:ascii="Palatino Linotype" w:eastAsia="Palatino Linotype" w:hAnsi="Palatino Linotype" w:cs="Palatino Linotype"/>
          <w:b/>
        </w:rPr>
        <w:t xml:space="preserve"> RECURRENTE </w:t>
      </w:r>
      <w:r w:rsidRPr="00D366B7">
        <w:rPr>
          <w:rFonts w:ascii="Palatino Linotype" w:eastAsia="Palatino Linotype" w:hAnsi="Palatino Linotype" w:cs="Palatino Linotype"/>
        </w:rPr>
        <w:t>presentó</w:t>
      </w:r>
      <w:r w:rsidRPr="00D366B7">
        <w:rPr>
          <w:rFonts w:ascii="Palatino Linotype" w:eastAsia="Palatino Linotype" w:hAnsi="Palatino Linotype" w:cs="Palatino Linotype"/>
          <w:b/>
        </w:rPr>
        <w:t xml:space="preserve"> </w:t>
      </w:r>
      <w:r w:rsidRPr="00D366B7">
        <w:rPr>
          <w:rFonts w:ascii="Palatino Linotype" w:eastAsia="Palatino Linotype" w:hAnsi="Palatino Linotype" w:cs="Palatino Linotype"/>
        </w:rPr>
        <w:t xml:space="preserve">ante 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a través </w:t>
      </w:r>
      <w:r w:rsidR="00976A78" w:rsidRPr="00D366B7">
        <w:rPr>
          <w:rFonts w:ascii="Palatino Linotype" w:eastAsia="Palatino Linotype" w:hAnsi="Palatino Linotype" w:cs="Palatino Linotype"/>
        </w:rPr>
        <w:t xml:space="preserve">Sistema de Acceso a la Información Mexiquense (SAIMEX), </w:t>
      </w:r>
      <w:r w:rsidRPr="00D366B7">
        <w:rPr>
          <w:rFonts w:ascii="Palatino Linotype" w:eastAsia="Palatino Linotype" w:hAnsi="Palatino Linotype" w:cs="Palatino Linotype"/>
        </w:rPr>
        <w:t xml:space="preserve">la solicitud de información pública registrada con el número </w:t>
      </w:r>
      <w:r w:rsidR="00976A78" w:rsidRPr="00D366B7">
        <w:rPr>
          <w:rFonts w:ascii="Palatino Linotype" w:eastAsia="Palatino Linotype" w:hAnsi="Palatino Linotype" w:cs="Palatino Linotype"/>
          <w:b/>
        </w:rPr>
        <w:t>00006</w:t>
      </w:r>
      <w:r w:rsidRPr="00D366B7">
        <w:rPr>
          <w:rFonts w:ascii="Palatino Linotype" w:eastAsia="Palatino Linotype" w:hAnsi="Palatino Linotype" w:cs="Palatino Linotype"/>
          <w:b/>
        </w:rPr>
        <w:t>/</w:t>
      </w:r>
      <w:r w:rsidR="00976A78" w:rsidRPr="00D366B7">
        <w:rPr>
          <w:rFonts w:ascii="Palatino Linotype" w:eastAsia="Palatino Linotype" w:hAnsi="Palatino Linotype" w:cs="Palatino Linotype"/>
          <w:b/>
        </w:rPr>
        <w:t>TIMILPAN/IP/2025</w:t>
      </w:r>
      <w:r w:rsidR="00EF29ED" w:rsidRPr="00D366B7">
        <w:rPr>
          <w:rFonts w:ascii="Palatino Linotype" w:eastAsia="Palatino Linotype" w:hAnsi="Palatino Linotype" w:cs="Palatino Linotype"/>
          <w:b/>
        </w:rPr>
        <w:t xml:space="preserve">, </w:t>
      </w:r>
      <w:r w:rsidRPr="00D366B7">
        <w:rPr>
          <w:rFonts w:ascii="Palatino Linotype" w:eastAsia="Palatino Linotype" w:hAnsi="Palatino Linotype" w:cs="Palatino Linotype"/>
        </w:rPr>
        <w:t>en la que se solicitó:</w:t>
      </w:r>
    </w:p>
    <w:p w:rsidR="00187A1A" w:rsidRPr="00D366B7" w:rsidRDefault="00187A1A" w:rsidP="00EF29ED">
      <w:pPr>
        <w:ind w:left="567" w:right="568"/>
        <w:jc w:val="both"/>
        <w:rPr>
          <w:rFonts w:ascii="Palatino Linotype" w:eastAsia="Palatino Linotype" w:hAnsi="Palatino Linotype" w:cs="Palatino Linotype"/>
          <w:i/>
        </w:rPr>
      </w:pPr>
    </w:p>
    <w:p w:rsidR="00187A1A" w:rsidRPr="00D366B7" w:rsidRDefault="004F3EC5" w:rsidP="00976A78">
      <w:pPr>
        <w:ind w:left="567" w:right="568"/>
        <w:jc w:val="both"/>
        <w:rPr>
          <w:rFonts w:ascii="Palatino Linotype" w:eastAsia="Palatino Linotype" w:hAnsi="Palatino Linotype" w:cs="Palatino Linotype"/>
          <w:i/>
          <w:color w:val="000000"/>
        </w:rPr>
      </w:pPr>
      <w:r w:rsidRPr="00D366B7">
        <w:rPr>
          <w:rFonts w:ascii="Palatino Linotype" w:eastAsia="Palatino Linotype" w:hAnsi="Palatino Linotype" w:cs="Palatino Linotype"/>
          <w:i/>
          <w:color w:val="000000"/>
        </w:rPr>
        <w:t>“</w:t>
      </w:r>
      <w:r w:rsidR="00976A78" w:rsidRPr="00D366B7">
        <w:rPr>
          <w:rFonts w:ascii="Palatino Linotype" w:hAnsi="Palatino Linotype"/>
          <w:i/>
          <w:color w:val="000000"/>
        </w:rPr>
        <w:t>SOLICITO EL NOMBRE COMPLETO Y SULEDO MENSUAL NETO DE TODOS LOS SE</w:t>
      </w:r>
      <w:bookmarkStart w:id="1" w:name="_GoBack"/>
      <w:bookmarkEnd w:id="1"/>
      <w:r w:rsidR="00976A78" w:rsidRPr="00D366B7">
        <w:rPr>
          <w:rFonts w:ascii="Palatino Linotype" w:hAnsi="Palatino Linotype"/>
          <w:i/>
          <w:color w:val="000000"/>
        </w:rPr>
        <w:t>RVIDORES PUBLICOS QUE INTEGRARON EL AYUNTAMIENTO (PERSONAL DE BASE , DE CONTRATO, DE CONFIANZA, DE TODOS) POR EL PERIODO: 2022 A ENERO 2025</w:t>
      </w:r>
      <w:r w:rsidRPr="00D366B7">
        <w:rPr>
          <w:rFonts w:ascii="Palatino Linotype" w:eastAsia="Palatino Linotype" w:hAnsi="Palatino Linotype" w:cs="Palatino Linotype"/>
          <w:i/>
          <w:color w:val="000000"/>
        </w:rPr>
        <w:t>” (Sic)</w:t>
      </w:r>
    </w:p>
    <w:p w:rsidR="00187A1A" w:rsidRPr="00D366B7" w:rsidRDefault="00187A1A" w:rsidP="00C227F6">
      <w:pPr>
        <w:ind w:left="567" w:right="1"/>
        <w:jc w:val="both"/>
        <w:rPr>
          <w:rFonts w:ascii="Palatino Linotype" w:eastAsia="Palatino Linotype" w:hAnsi="Palatino Linotype" w:cs="Palatino Linotype"/>
          <w:i/>
        </w:rPr>
      </w:pPr>
    </w:p>
    <w:p w:rsidR="00976A78" w:rsidRPr="00D366B7" w:rsidRDefault="004F3EC5" w:rsidP="00976A78">
      <w:pPr>
        <w:numPr>
          <w:ilvl w:val="0"/>
          <w:numId w:val="1"/>
        </w:numPr>
        <w:pBdr>
          <w:top w:val="nil"/>
          <w:left w:val="nil"/>
          <w:bottom w:val="nil"/>
          <w:right w:val="nil"/>
          <w:between w:val="nil"/>
        </w:pBdr>
        <w:spacing w:before="240" w:after="240"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Se hace constar que se señaló como modalidad de entrega de la información a través del Sistema de Acceso a la Información Mexiquense </w:t>
      </w:r>
      <w:r w:rsidRPr="00D366B7">
        <w:rPr>
          <w:rFonts w:ascii="Palatino Linotype" w:eastAsia="Palatino Linotype" w:hAnsi="Palatino Linotype" w:cs="Palatino Linotype"/>
          <w:b/>
          <w:color w:val="000000"/>
        </w:rPr>
        <w:t>(SAIMEX).</w:t>
      </w:r>
      <w:bookmarkStart w:id="2" w:name="_heading=h.30j0zll" w:colFirst="0" w:colLast="0"/>
      <w:bookmarkEnd w:id="2"/>
    </w:p>
    <w:p w:rsidR="00187A1A" w:rsidRPr="00D366B7" w:rsidRDefault="004F3EC5" w:rsidP="00C227F6">
      <w:pPr>
        <w:numPr>
          <w:ilvl w:val="0"/>
          <w:numId w:val="1"/>
        </w:numPr>
        <w:tabs>
          <w:tab w:val="left" w:pos="0"/>
        </w:tabs>
        <w:spacing w:line="360" w:lineRule="auto"/>
        <w:ind w:left="0" w:right="1" w:firstLine="0"/>
        <w:jc w:val="both"/>
        <w:rPr>
          <w:rFonts w:ascii="Palatino Linotype" w:eastAsia="Palatino Linotype" w:hAnsi="Palatino Linotype" w:cs="Palatino Linotype"/>
          <w:b/>
        </w:rPr>
      </w:pPr>
      <w:r w:rsidRPr="00D366B7">
        <w:rPr>
          <w:rFonts w:ascii="Palatino Linotype" w:eastAsia="Palatino Linotype" w:hAnsi="Palatino Linotype" w:cs="Palatino Linotype"/>
        </w:rPr>
        <w:t xml:space="preserve">El </w:t>
      </w:r>
      <w:r w:rsidR="00976A78" w:rsidRPr="00D366B7">
        <w:rPr>
          <w:rFonts w:ascii="Palatino Linotype" w:eastAsia="Palatino Linotype" w:hAnsi="Palatino Linotype" w:cs="Palatino Linotype"/>
        </w:rPr>
        <w:t>trece de febrero de dos mil veinticinco</w:t>
      </w:r>
      <w:r w:rsidRPr="00D366B7">
        <w:rPr>
          <w:rFonts w:ascii="Palatino Linotype" w:eastAsia="Palatino Linotype" w:hAnsi="Palatino Linotype" w:cs="Palatino Linotype"/>
        </w:rPr>
        <w:t xml:space="preserve">, el </w:t>
      </w:r>
      <w:r w:rsidRPr="00D366B7">
        <w:rPr>
          <w:rFonts w:ascii="Palatino Linotype" w:eastAsia="Palatino Linotype" w:hAnsi="Palatino Linotype" w:cs="Palatino Linotype"/>
          <w:b/>
        </w:rPr>
        <w:t xml:space="preserve">SUJETO OBLIGADO </w:t>
      </w:r>
      <w:r w:rsidRPr="00D366B7">
        <w:rPr>
          <w:rFonts w:ascii="Palatino Linotype" w:eastAsia="Palatino Linotype" w:hAnsi="Palatino Linotype" w:cs="Palatino Linotype"/>
        </w:rPr>
        <w:t>dio respuesta a la solicitud, en los siguientes términos:</w:t>
      </w:r>
    </w:p>
    <w:p w:rsidR="00EF29ED" w:rsidRPr="00D366B7" w:rsidRDefault="00EF29ED" w:rsidP="00EF29ED">
      <w:pPr>
        <w:tabs>
          <w:tab w:val="left" w:pos="0"/>
        </w:tabs>
        <w:spacing w:line="360" w:lineRule="auto"/>
        <w:ind w:right="1"/>
        <w:jc w:val="both"/>
        <w:rPr>
          <w:rFonts w:ascii="Palatino Linotype" w:eastAsia="Palatino Linotype" w:hAnsi="Palatino Linotype" w:cs="Palatino Linotype"/>
          <w:b/>
        </w:rPr>
      </w:pPr>
    </w:p>
    <w:p w:rsidR="00EF29ED" w:rsidRPr="00D366B7" w:rsidRDefault="00976A78" w:rsidP="00976A78">
      <w:pPr>
        <w:ind w:left="567" w:right="568"/>
        <w:jc w:val="both"/>
        <w:rPr>
          <w:rFonts w:ascii="Palatino Linotype" w:eastAsia="Palatino Linotype" w:hAnsi="Palatino Linotype" w:cs="Palatino Linotype"/>
          <w:i/>
          <w:color w:val="000000"/>
        </w:rPr>
      </w:pPr>
      <w:r w:rsidRPr="00D366B7">
        <w:rPr>
          <w:rFonts w:ascii="Palatino Linotype" w:hAnsi="Palatino Linotype"/>
          <w:i/>
          <w:color w:val="000000"/>
        </w:rPr>
        <w:t>“RESPUESTA GENERADA POR EL AREA RESPONSABLE En respuesta a su solicitud no 00006/TIMILPAN/IP/2025, donde solicita la siguiente información, SOLICITO EL NOMBRE COMPLETO Y SULEDO MENSUAL NETO DE TODOS LOS SERVIDORES PUBLICOS QUE INTEGRARON EL AYUNTAMIENTO (PERSONAL DE BASE, DE CONTRATO, DE CONFIANZA, DE TODOS) POR EL PERIODO: 2022 A ENERO 2025. Se informa que lo solicitado se encuentra en el portal de IPOMEX que puede consultar el siguiente link. https://infoem2.ipomex.org.mx/ipomex/#/obligaciones/193 ARTICULO 92 “ (Sic)</w:t>
      </w:r>
    </w:p>
    <w:p w:rsidR="00EF29ED" w:rsidRPr="00D366B7" w:rsidRDefault="004F3EC5" w:rsidP="00EF29ED">
      <w:pPr>
        <w:numPr>
          <w:ilvl w:val="0"/>
          <w:numId w:val="1"/>
        </w:numPr>
        <w:pBdr>
          <w:top w:val="nil"/>
          <w:left w:val="nil"/>
          <w:bottom w:val="nil"/>
          <w:right w:val="nil"/>
          <w:between w:val="nil"/>
        </w:pBdr>
        <w:tabs>
          <w:tab w:val="left" w:pos="0"/>
        </w:tabs>
        <w:spacing w:before="240" w:after="240" w:line="360" w:lineRule="auto"/>
        <w:ind w:left="0" w:right="1" w:firstLine="0"/>
        <w:jc w:val="both"/>
        <w:rPr>
          <w:rFonts w:ascii="Palatino Linotype" w:eastAsia="Palatino Linotype" w:hAnsi="Palatino Linotype" w:cs="Palatino Linotype"/>
          <w:b/>
          <w:color w:val="000000"/>
        </w:rPr>
      </w:pPr>
      <w:r w:rsidRPr="00D366B7">
        <w:rPr>
          <w:rFonts w:ascii="Palatino Linotype" w:eastAsia="Palatino Linotype" w:hAnsi="Palatino Linotype" w:cs="Palatino Linotype"/>
          <w:color w:val="000000"/>
        </w:rPr>
        <w:t xml:space="preserve">El </w:t>
      </w:r>
      <w:r w:rsidR="00976A78" w:rsidRPr="00D366B7">
        <w:rPr>
          <w:rFonts w:ascii="Palatino Linotype" w:eastAsia="Palatino Linotype" w:hAnsi="Palatino Linotype" w:cs="Palatino Linotype"/>
          <w:color w:val="000000"/>
        </w:rPr>
        <w:t>veinticuatro de febrero</w:t>
      </w:r>
      <w:r w:rsidR="00EF29ED" w:rsidRPr="00D366B7">
        <w:rPr>
          <w:rFonts w:ascii="Palatino Linotype" w:eastAsia="Palatino Linotype" w:hAnsi="Palatino Linotype" w:cs="Palatino Linotype"/>
          <w:color w:val="000000"/>
        </w:rPr>
        <w:t xml:space="preserve"> </w:t>
      </w:r>
      <w:r w:rsidR="00976A78" w:rsidRPr="00D366B7">
        <w:rPr>
          <w:rFonts w:ascii="Palatino Linotype" w:eastAsia="Palatino Linotype" w:hAnsi="Palatino Linotype" w:cs="Palatino Linotype"/>
          <w:color w:val="000000"/>
        </w:rPr>
        <w:t>de dos mil veinticinco</w:t>
      </w:r>
      <w:r w:rsidRPr="00D366B7">
        <w:rPr>
          <w:rFonts w:ascii="Palatino Linotype" w:eastAsia="Palatino Linotype" w:hAnsi="Palatino Linotype" w:cs="Palatino Linotype"/>
          <w:b/>
          <w:color w:val="000000"/>
        </w:rPr>
        <w:t>,</w:t>
      </w:r>
      <w:r w:rsidRPr="00D366B7">
        <w:rPr>
          <w:rFonts w:ascii="Palatino Linotype" w:eastAsia="Palatino Linotype" w:hAnsi="Palatino Linotype" w:cs="Palatino Linotype"/>
          <w:color w:val="000000"/>
        </w:rPr>
        <w:t xml:space="preserve"> el </w:t>
      </w:r>
      <w:r w:rsidRPr="00D366B7">
        <w:rPr>
          <w:rFonts w:ascii="Palatino Linotype" w:eastAsia="Palatino Linotype" w:hAnsi="Palatino Linotype" w:cs="Palatino Linotype"/>
          <w:b/>
          <w:color w:val="000000"/>
        </w:rPr>
        <w:t xml:space="preserve">RECURRENTE </w:t>
      </w:r>
      <w:r w:rsidRPr="00D366B7">
        <w:rPr>
          <w:rFonts w:ascii="Palatino Linotype" w:eastAsia="Palatino Linotype" w:hAnsi="Palatino Linotype" w:cs="Palatino Linotype"/>
          <w:color w:val="000000"/>
        </w:rPr>
        <w:t>interpuso el recurso de revisión, señalando como:</w:t>
      </w:r>
    </w:p>
    <w:p w:rsidR="00187A1A" w:rsidRPr="00D366B7" w:rsidRDefault="004F3EC5" w:rsidP="0077406A">
      <w:pPr>
        <w:ind w:left="567" w:right="568"/>
        <w:jc w:val="both"/>
        <w:rPr>
          <w:rFonts w:ascii="Palatino Linotype" w:eastAsia="Palatino Linotype" w:hAnsi="Palatino Linotype" w:cs="Palatino Linotype"/>
          <w:i/>
          <w:color w:val="000000"/>
        </w:rPr>
      </w:pPr>
      <w:r w:rsidRPr="00D366B7">
        <w:rPr>
          <w:rFonts w:ascii="Palatino Linotype" w:eastAsia="Palatino Linotype" w:hAnsi="Palatino Linotype" w:cs="Palatino Linotype"/>
          <w:b/>
        </w:rPr>
        <w:t>Acto impugnado:</w:t>
      </w:r>
      <w:r w:rsidRPr="00D366B7">
        <w:rPr>
          <w:rFonts w:ascii="Palatino Linotype" w:eastAsia="Palatino Linotype" w:hAnsi="Palatino Linotype" w:cs="Palatino Linotype"/>
          <w:i/>
        </w:rPr>
        <w:t xml:space="preserve"> “</w:t>
      </w:r>
      <w:r w:rsidR="00976A78" w:rsidRPr="00D366B7">
        <w:rPr>
          <w:rFonts w:ascii="Palatino Linotype" w:hAnsi="Palatino Linotype"/>
          <w:i/>
          <w:color w:val="000000"/>
        </w:rPr>
        <w:t>LA RESPUESTA A LA SOLICITUD DE INFORMACIÓN REFIERE UNA LIGA ELECTRONICA PARA CONSULTAR LA RESPUESTA, DICHA LIGA NO CONTIENE NADA DE INFORMACIÓN, ESTA DESACTUALIZADA, NO CONTINEN NINGUN DATO. SE SOLICITA SE PROPORCIONE LA INFORMACION QUE SE SOLICITO.</w:t>
      </w:r>
      <w:r w:rsidRPr="00D366B7">
        <w:rPr>
          <w:rFonts w:ascii="Palatino Linotype" w:eastAsia="Palatino Linotype" w:hAnsi="Palatino Linotype" w:cs="Palatino Linotype"/>
          <w:i/>
          <w:color w:val="000000"/>
        </w:rPr>
        <w:t>” (Sic)</w:t>
      </w:r>
    </w:p>
    <w:p w:rsidR="00C227F6" w:rsidRPr="00D366B7" w:rsidRDefault="00C227F6" w:rsidP="0077406A">
      <w:pPr>
        <w:ind w:left="567" w:right="568"/>
        <w:jc w:val="both"/>
        <w:rPr>
          <w:rFonts w:ascii="Palatino Linotype" w:eastAsia="Palatino Linotype" w:hAnsi="Palatino Linotype" w:cs="Palatino Linotype"/>
        </w:rPr>
      </w:pPr>
    </w:p>
    <w:p w:rsidR="00187A1A" w:rsidRPr="00D366B7" w:rsidRDefault="004F3EC5" w:rsidP="00976A78">
      <w:pPr>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b/>
        </w:rPr>
        <w:t>Razones o Motivos de inconformidad</w:t>
      </w:r>
      <w:r w:rsidR="00976A78" w:rsidRPr="00D366B7">
        <w:rPr>
          <w:rFonts w:ascii="Palatino Linotype" w:eastAsia="Palatino Linotype" w:hAnsi="Palatino Linotype" w:cs="Palatino Linotype"/>
          <w:i/>
        </w:rPr>
        <w:t>: “</w:t>
      </w:r>
      <w:r w:rsidR="00976A78" w:rsidRPr="00D366B7">
        <w:rPr>
          <w:rFonts w:ascii="Palatino Linotype" w:hAnsi="Palatino Linotype"/>
          <w:i/>
          <w:color w:val="000000"/>
        </w:rPr>
        <w:t>RESPUESTA A LA SOLICITUD DE INFORMACIÓN REFIERE UNA LIGA ELECTRONICA PARA CONSULTAR LA RESPUESTA, DICHA LIGA NO CONTIENE NADA DE INFORMACIÓN, ESTA DESACTUALIZADA, NO CONTINEN NINGUN DATO. SE SOLICITA SE PROPORCIONE LA INFORMACION QUE SE SOLICITO.” (Sic)</w:t>
      </w:r>
    </w:p>
    <w:p w:rsidR="00EF29ED" w:rsidRPr="00D366B7" w:rsidRDefault="00EF29ED" w:rsidP="00EF29ED">
      <w:pPr>
        <w:spacing w:before="100" w:beforeAutospacing="1" w:after="100" w:afterAutospacing="1"/>
        <w:rPr>
          <w:rFonts w:ascii="Palatino Linotype" w:hAnsi="Palatino Linotype" w:cs="Arial"/>
          <w:color w:val="333333"/>
        </w:rPr>
      </w:pPr>
    </w:p>
    <w:p w:rsidR="00187A1A" w:rsidRPr="00D366B7" w:rsidRDefault="004F3EC5" w:rsidP="00C227F6">
      <w:pPr>
        <w:numPr>
          <w:ilvl w:val="0"/>
          <w:numId w:val="1"/>
        </w:numP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La </w:t>
      </w:r>
      <w:r w:rsidRPr="00D366B7">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00976A78" w:rsidRPr="00D366B7">
        <w:rPr>
          <w:rFonts w:ascii="Palatino Linotype" w:eastAsia="Palatino Linotype" w:hAnsi="Palatino Linotype" w:cs="Palatino Linotype"/>
        </w:rPr>
        <w:t>veintiséis de febrero de dos mil veinticinco</w:t>
      </w:r>
      <w:r w:rsidRPr="00D366B7">
        <w:rPr>
          <w:rFonts w:ascii="Palatino Linotype" w:eastAsia="Palatino Linotype" w:hAnsi="Palatino Linotype" w:cs="Palatino Linotype"/>
        </w:rPr>
        <w:t xml:space="preserve">, puso </w:t>
      </w:r>
      <w:r w:rsidR="00C227F6" w:rsidRPr="00D366B7">
        <w:rPr>
          <w:rFonts w:ascii="Palatino Linotype" w:eastAsia="Palatino Linotype" w:hAnsi="Palatino Linotype" w:cs="Palatino Linotype"/>
        </w:rPr>
        <w:t xml:space="preserve">a disposición de las partes el </w:t>
      </w:r>
      <w:r w:rsidRPr="00D366B7">
        <w:rPr>
          <w:rFonts w:ascii="Palatino Linotype" w:eastAsia="Palatino Linotype" w:hAnsi="Palatino Linotype" w:cs="Palatino Linotype"/>
        </w:rPr>
        <w:t xml:space="preserve">expediente electrónicos vía Sistema de Acceso a la Información Mexiquense </w:t>
      </w:r>
      <w:r w:rsidRPr="00D366B7">
        <w:rPr>
          <w:rFonts w:ascii="Palatino Linotype" w:eastAsia="Palatino Linotype" w:hAnsi="Palatino Linotype" w:cs="Palatino Linotype"/>
          <w:b/>
        </w:rPr>
        <w:t xml:space="preserve">SAIMEX </w:t>
      </w:r>
      <w:r w:rsidRPr="00D366B7">
        <w:rPr>
          <w:rFonts w:ascii="Palatino Linotype" w:eastAsia="Palatino Linotype" w:hAnsi="Palatino Linotype" w:cs="Palatino Linotype"/>
        </w:rPr>
        <w:t xml:space="preserve">a efecto de que en un plazo máximo de siete días manifestara lo que a su derecho conviniera, </w:t>
      </w:r>
      <w:r w:rsidRPr="00D366B7">
        <w:rPr>
          <w:rFonts w:ascii="Palatino Linotype" w:eastAsia="Palatino Linotype" w:hAnsi="Palatino Linotype" w:cs="Palatino Linotype"/>
        </w:rPr>
        <w:lastRenderedPageBreak/>
        <w:t xml:space="preserve">ofreciera pruebas y alegatos según correspondiera a los casos concretos, de esta forma para que 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presentará el Informe Justificado procedente.</w:t>
      </w:r>
    </w:p>
    <w:p w:rsidR="00187A1A" w:rsidRPr="00D366B7" w:rsidRDefault="00187A1A" w:rsidP="00C227F6">
      <w:pPr>
        <w:spacing w:line="360" w:lineRule="auto"/>
        <w:ind w:right="1"/>
        <w:jc w:val="both"/>
        <w:rPr>
          <w:rFonts w:ascii="Palatino Linotype" w:eastAsia="Palatino Linotype" w:hAnsi="Palatino Linotype" w:cs="Palatino Linotype"/>
          <w:color w:val="000000"/>
        </w:rPr>
      </w:pPr>
    </w:p>
    <w:p w:rsidR="0077406A" w:rsidRPr="00D366B7" w:rsidRDefault="004F3EC5" w:rsidP="00976A78">
      <w:pPr>
        <w:numPr>
          <w:ilvl w:val="0"/>
          <w:numId w:val="1"/>
        </w:numPr>
        <w:spacing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color w:val="000000"/>
        </w:rPr>
        <w:t xml:space="preserve">El </w:t>
      </w:r>
      <w:r w:rsidR="00C227F6"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w:t>
      </w:r>
      <w:r w:rsidR="00976A78" w:rsidRPr="00D366B7">
        <w:rPr>
          <w:rFonts w:ascii="Palatino Linotype" w:eastAsia="Palatino Linotype" w:hAnsi="Palatino Linotype" w:cs="Palatino Linotype"/>
        </w:rPr>
        <w:t>fue omiso en rendir el</w:t>
      </w:r>
      <w:r w:rsidRPr="00D366B7">
        <w:rPr>
          <w:rFonts w:ascii="Palatino Linotype" w:eastAsia="Palatino Linotype" w:hAnsi="Palatino Linotype" w:cs="Palatino Linotype"/>
        </w:rPr>
        <w:t xml:space="preserve"> infor</w:t>
      </w:r>
      <w:r w:rsidR="00976A78" w:rsidRPr="00D366B7">
        <w:rPr>
          <w:rFonts w:ascii="Palatino Linotype" w:eastAsia="Palatino Linotype" w:hAnsi="Palatino Linotype" w:cs="Palatino Linotype"/>
        </w:rPr>
        <w:t>me justificado correspondiente, p</w:t>
      </w:r>
      <w:r w:rsidRPr="00D366B7">
        <w:rPr>
          <w:rFonts w:ascii="Palatino Linotype" w:eastAsia="Palatino Linotype" w:hAnsi="Palatino Linotype" w:cs="Palatino Linotype"/>
        </w:rPr>
        <w:t xml:space="preserve">or su parte, el </w:t>
      </w:r>
      <w:r w:rsidRPr="00D366B7">
        <w:rPr>
          <w:rFonts w:ascii="Palatino Linotype" w:eastAsia="Palatino Linotype" w:hAnsi="Palatino Linotype" w:cs="Palatino Linotype"/>
          <w:b/>
        </w:rPr>
        <w:t xml:space="preserve">RECURRENTE </w:t>
      </w:r>
      <w:r w:rsidRPr="00D366B7">
        <w:rPr>
          <w:rFonts w:ascii="Palatino Linotype" w:eastAsia="Palatino Linotype" w:hAnsi="Palatino Linotype" w:cs="Palatino Linotype"/>
        </w:rPr>
        <w:t xml:space="preserve">no presentó alegatos ni ofreció medios de prueba, según constancias del Sistema de Acceso a la Información Mexiquense </w:t>
      </w:r>
      <w:r w:rsidRPr="00D366B7">
        <w:rPr>
          <w:rFonts w:ascii="Palatino Linotype" w:eastAsia="Palatino Linotype" w:hAnsi="Palatino Linotype" w:cs="Palatino Linotype"/>
          <w:b/>
        </w:rPr>
        <w:t>SAIMEX.</w:t>
      </w:r>
    </w:p>
    <w:p w:rsidR="0077406A" w:rsidRPr="00D366B7" w:rsidRDefault="0077406A" w:rsidP="0049746C">
      <w:pPr>
        <w:pStyle w:val="Prrafodelista"/>
        <w:ind w:left="0"/>
        <w:rPr>
          <w:rFonts w:ascii="Palatino Linotype" w:eastAsia="Palatino Linotype" w:hAnsi="Palatino Linotype" w:cs="Palatino Linotype"/>
          <w:sz w:val="24"/>
        </w:rPr>
      </w:pPr>
    </w:p>
    <w:p w:rsidR="00187A1A" w:rsidRPr="00D366B7" w:rsidRDefault="004F3EC5" w:rsidP="0049746C">
      <w:pPr>
        <w:numPr>
          <w:ilvl w:val="0"/>
          <w:numId w:val="1"/>
        </w:numPr>
        <w:spacing w:line="360" w:lineRule="auto"/>
        <w:ind w:left="0" w:right="1" w:firstLine="0"/>
        <w:jc w:val="both"/>
        <w:rPr>
          <w:rFonts w:ascii="Palatino Linotype" w:eastAsia="Palatino Linotype" w:hAnsi="Palatino Linotype" w:cs="Palatino Linotype"/>
          <w:b/>
        </w:rPr>
      </w:pPr>
      <w:r w:rsidRPr="00D366B7">
        <w:rPr>
          <w:rFonts w:ascii="Palatino Linotype" w:eastAsia="Palatino Linotype" w:hAnsi="Palatino Linotype" w:cs="Palatino Linotype"/>
        </w:rPr>
        <w:t>La Comisionada Ponente decretó el cierre de instrucción mediante acuerdo del</w:t>
      </w:r>
      <w:r w:rsidR="0049746C" w:rsidRPr="00D366B7">
        <w:rPr>
          <w:rFonts w:ascii="Palatino Linotype" w:eastAsia="Palatino Linotype" w:hAnsi="Palatino Linotype" w:cs="Palatino Linotype"/>
        </w:rPr>
        <w:t xml:space="preserve"> </w:t>
      </w:r>
      <w:r w:rsidR="00976A78" w:rsidRPr="00D366B7">
        <w:rPr>
          <w:rFonts w:ascii="Palatino Linotype" w:eastAsia="Palatino Linotype" w:hAnsi="Palatino Linotype" w:cs="Palatino Linotype"/>
        </w:rPr>
        <w:t>trece de marzo</w:t>
      </w:r>
      <w:r w:rsidR="0049746C" w:rsidRPr="00D366B7">
        <w:rPr>
          <w:rFonts w:ascii="Palatino Linotype" w:eastAsia="Palatino Linotype" w:hAnsi="Palatino Linotype" w:cs="Palatino Linotype"/>
        </w:rPr>
        <w:t xml:space="preserve"> de dos mil veinticinco</w:t>
      </w:r>
      <w:r w:rsidRPr="00D366B7">
        <w:rPr>
          <w:rFonts w:ascii="Palatino Linotype" w:eastAsia="Palatino Linotype" w:hAnsi="Palatino Linotype" w:cs="Palatino Linotype"/>
        </w:rPr>
        <w:t>, por lo que, ordenó turnar el expediente a resolución, misma que a continuación se pronuncia.---------------------------------------------------</w:t>
      </w:r>
      <w:r w:rsidR="00C227F6" w:rsidRPr="00D366B7">
        <w:rPr>
          <w:rFonts w:ascii="Palatino Linotype" w:eastAsia="Palatino Linotype" w:hAnsi="Palatino Linotype" w:cs="Palatino Linotype"/>
        </w:rPr>
        <w:t>-------------------</w:t>
      </w:r>
      <w:r w:rsidR="0049746C" w:rsidRPr="00D366B7">
        <w:rPr>
          <w:rFonts w:ascii="Palatino Linotype" w:eastAsia="Palatino Linotype" w:hAnsi="Palatino Linotype" w:cs="Palatino Linotype"/>
        </w:rPr>
        <w:t>-----------------</w:t>
      </w:r>
    </w:p>
    <w:p w:rsidR="00187A1A" w:rsidRPr="00D366B7" w:rsidRDefault="00187A1A" w:rsidP="00C227F6">
      <w:pPr>
        <w:ind w:right="1"/>
        <w:rPr>
          <w:rFonts w:ascii="Palatino Linotype" w:eastAsia="Palatino Linotype" w:hAnsi="Palatino Linotype" w:cs="Palatino Linotype"/>
        </w:rPr>
      </w:pPr>
    </w:p>
    <w:p w:rsidR="00187A1A" w:rsidRPr="00D366B7" w:rsidRDefault="004F3EC5" w:rsidP="00C227F6">
      <w:pPr>
        <w:keepNext/>
        <w:keepLines/>
        <w:spacing w:before="240" w:after="240" w:line="360" w:lineRule="auto"/>
        <w:ind w:right="1"/>
        <w:jc w:val="center"/>
        <w:rPr>
          <w:rFonts w:ascii="Palatino Linotype" w:eastAsia="Palatino Linotype" w:hAnsi="Palatino Linotype" w:cs="Palatino Linotype"/>
          <w:b/>
        </w:rPr>
      </w:pPr>
      <w:bookmarkStart w:id="3" w:name="_heading=h.1fob9te" w:colFirst="0" w:colLast="0"/>
      <w:bookmarkEnd w:id="3"/>
      <w:r w:rsidRPr="00D366B7">
        <w:rPr>
          <w:rFonts w:ascii="Palatino Linotype" w:eastAsia="Palatino Linotype" w:hAnsi="Palatino Linotype" w:cs="Palatino Linotype"/>
          <w:b/>
        </w:rPr>
        <w:t>C O N S I D E R A N D O</w:t>
      </w:r>
    </w:p>
    <w:p w:rsidR="00187A1A" w:rsidRPr="00D366B7" w:rsidRDefault="004F3EC5" w:rsidP="00C227F6">
      <w:pPr>
        <w:keepNext/>
        <w:keepLines/>
        <w:spacing w:before="240" w:after="240" w:line="360" w:lineRule="auto"/>
        <w:ind w:right="1"/>
        <w:rPr>
          <w:rFonts w:ascii="Palatino Linotype" w:eastAsia="Palatino Linotype" w:hAnsi="Palatino Linotype" w:cs="Palatino Linotype"/>
          <w:b/>
        </w:rPr>
      </w:pPr>
      <w:bookmarkStart w:id="4" w:name="_heading=h.3znysh7" w:colFirst="0" w:colLast="0"/>
      <w:bookmarkEnd w:id="4"/>
      <w:r w:rsidRPr="00D366B7">
        <w:rPr>
          <w:rFonts w:ascii="Palatino Linotype" w:eastAsia="Palatino Linotype" w:hAnsi="Palatino Linotype" w:cs="Palatino Linotype"/>
          <w:b/>
        </w:rPr>
        <w:t>PRIMERO. De la competencia.</w:t>
      </w:r>
    </w:p>
    <w:p w:rsidR="00187A1A" w:rsidRPr="00D366B7" w:rsidRDefault="004F3EC5" w:rsidP="00C227F6">
      <w:pPr>
        <w:numPr>
          <w:ilvl w:val="0"/>
          <w:numId w:val="1"/>
        </w:numPr>
        <w:spacing w:before="240" w:line="360" w:lineRule="auto"/>
        <w:ind w:left="0" w:right="1" w:firstLine="0"/>
        <w:jc w:val="both"/>
        <w:rPr>
          <w:rFonts w:ascii="Palatino Linotype" w:eastAsia="Palatino Linotype" w:hAnsi="Palatino Linotype" w:cs="Palatino Linotype"/>
          <w:b/>
        </w:rPr>
      </w:pPr>
      <w:bookmarkStart w:id="5" w:name="_heading=h.2et92p0" w:colFirst="0" w:colLast="0"/>
      <w:bookmarkEnd w:id="5"/>
      <w:r w:rsidRPr="00D366B7">
        <w:rPr>
          <w:rFonts w:ascii="Palatino Linotype" w:eastAsia="Palatino Linotype" w:hAnsi="Palatino Linotype" w:cs="Palatino Linotype"/>
        </w:rPr>
        <w:t xml:space="preserve">Este </w:t>
      </w:r>
      <w:r w:rsidRPr="00D366B7">
        <w:rPr>
          <w:rFonts w:ascii="Palatino Linotype" w:eastAsia="Palatino Linotype" w:hAnsi="Palatino Linotype" w:cs="Palatino Linotype"/>
          <w:color w:val="222222"/>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w:t>
      </w:r>
      <w:r w:rsidRPr="00D366B7">
        <w:rPr>
          <w:rFonts w:ascii="Palatino Linotype" w:eastAsia="Palatino Linotype" w:hAnsi="Palatino Linotype" w:cs="Palatino Linotype"/>
          <w:color w:val="222222"/>
        </w:rPr>
        <w:lastRenderedPageBreak/>
        <w:t>y XXIV, y 11 del Reglamento Interior del Instituto de Transparencia, Acceso a la Información Pública y Protección de Datos Personales del Estado de México y Municipios.</w:t>
      </w:r>
    </w:p>
    <w:p w:rsidR="00187A1A" w:rsidRPr="00D366B7" w:rsidRDefault="00187A1A" w:rsidP="00C227F6">
      <w:pPr>
        <w:spacing w:line="360" w:lineRule="auto"/>
        <w:ind w:right="1"/>
        <w:jc w:val="both"/>
        <w:rPr>
          <w:rFonts w:ascii="Palatino Linotype" w:eastAsia="Palatino Linotype" w:hAnsi="Palatino Linotype" w:cs="Palatino Linotype"/>
          <w:b/>
        </w:rPr>
      </w:pPr>
    </w:p>
    <w:p w:rsidR="00187A1A" w:rsidRPr="00D366B7" w:rsidRDefault="004F3EC5" w:rsidP="00C227F6">
      <w:pPr>
        <w:keepNext/>
        <w:keepLines/>
        <w:spacing w:after="240" w:line="360" w:lineRule="auto"/>
        <w:ind w:right="1"/>
        <w:jc w:val="both"/>
        <w:rPr>
          <w:rFonts w:ascii="Palatino Linotype" w:eastAsia="Palatino Linotype" w:hAnsi="Palatino Linotype" w:cs="Palatino Linotype"/>
          <w:b/>
        </w:rPr>
      </w:pPr>
      <w:r w:rsidRPr="00D366B7">
        <w:rPr>
          <w:rFonts w:ascii="Palatino Linotype" w:eastAsia="Palatino Linotype" w:hAnsi="Palatino Linotype" w:cs="Palatino Linotype"/>
          <w:b/>
        </w:rPr>
        <w:t>SEGUNDO. De la oportunidad y procedencia.</w:t>
      </w:r>
    </w:p>
    <w:p w:rsidR="00187A1A" w:rsidRPr="00D366B7" w:rsidRDefault="004F3EC5" w:rsidP="00C227F6">
      <w:pPr>
        <w:numPr>
          <w:ilvl w:val="0"/>
          <w:numId w:val="1"/>
        </w:numPr>
        <w:spacing w:before="240"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El medio de impugnación fue presentado a través del </w:t>
      </w:r>
      <w:r w:rsidRPr="00D366B7">
        <w:rPr>
          <w:rFonts w:ascii="Palatino Linotype" w:eastAsia="Palatino Linotype" w:hAnsi="Palatino Linotype" w:cs="Palatino Linotype"/>
          <w:b/>
        </w:rPr>
        <w:t>SAIMEX,</w:t>
      </w:r>
      <w:r w:rsidRPr="00D366B7">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entregó respuestas el </w:t>
      </w:r>
      <w:r w:rsidR="00976A78" w:rsidRPr="00D366B7">
        <w:rPr>
          <w:rFonts w:ascii="Palatino Linotype" w:eastAsia="Palatino Linotype" w:hAnsi="Palatino Linotype" w:cs="Palatino Linotype"/>
        </w:rPr>
        <w:t>trece de febrero de dos mil veinticinco</w:t>
      </w:r>
      <w:r w:rsidRPr="00D366B7">
        <w:rPr>
          <w:rFonts w:ascii="Palatino Linotype" w:eastAsia="Palatino Linotype" w:hAnsi="Palatino Linotype" w:cs="Palatino Linotype"/>
        </w:rPr>
        <w:t xml:space="preserve">, de tal forma que el plazo para interponer el recurso transcurrió del </w:t>
      </w:r>
      <w:r w:rsidR="00976A78" w:rsidRPr="00D366B7">
        <w:rPr>
          <w:rFonts w:ascii="Palatino Linotype" w:eastAsia="Palatino Linotype" w:hAnsi="Palatino Linotype" w:cs="Palatino Linotype"/>
        </w:rPr>
        <w:t>catorce de febrero</w:t>
      </w:r>
      <w:r w:rsidR="0049746C" w:rsidRPr="00D366B7">
        <w:rPr>
          <w:rFonts w:ascii="Palatino Linotype" w:eastAsia="Palatino Linotype" w:hAnsi="Palatino Linotype" w:cs="Palatino Linotype"/>
        </w:rPr>
        <w:t xml:space="preserve"> </w:t>
      </w:r>
      <w:r w:rsidR="004C2EDB" w:rsidRPr="00D366B7">
        <w:rPr>
          <w:rFonts w:ascii="Palatino Linotype" w:eastAsia="Palatino Linotype" w:hAnsi="Palatino Linotype" w:cs="Palatino Linotype"/>
        </w:rPr>
        <w:t xml:space="preserve">al </w:t>
      </w:r>
      <w:r w:rsidR="00976A78" w:rsidRPr="00D366B7">
        <w:rPr>
          <w:rFonts w:ascii="Palatino Linotype" w:eastAsia="Palatino Linotype" w:hAnsi="Palatino Linotype" w:cs="Palatino Linotype"/>
        </w:rPr>
        <w:t>siete de marzo</w:t>
      </w:r>
      <w:r w:rsidR="004C2EDB" w:rsidRPr="00D366B7">
        <w:rPr>
          <w:rFonts w:ascii="Palatino Linotype" w:eastAsia="Palatino Linotype" w:hAnsi="Palatino Linotype" w:cs="Palatino Linotype"/>
        </w:rPr>
        <w:t xml:space="preserve"> </w:t>
      </w:r>
      <w:r w:rsidRPr="00D366B7">
        <w:rPr>
          <w:rFonts w:ascii="Palatino Linotype" w:eastAsia="Palatino Linotype" w:hAnsi="Palatino Linotype" w:cs="Palatino Linotype"/>
        </w:rPr>
        <w:t>de dos mil vei</w:t>
      </w:r>
      <w:r w:rsidR="00976A78" w:rsidRPr="00D366B7">
        <w:rPr>
          <w:rFonts w:ascii="Palatino Linotype" w:eastAsia="Palatino Linotype" w:hAnsi="Palatino Linotype" w:cs="Palatino Linotype"/>
        </w:rPr>
        <w:t>nticinco</w:t>
      </w:r>
      <w:r w:rsidRPr="00D366B7">
        <w:rPr>
          <w:rFonts w:ascii="Palatino Linotype" w:eastAsia="Palatino Linotype" w:hAnsi="Palatino Linotype" w:cs="Palatino Linotype"/>
        </w:rPr>
        <w:t xml:space="preserve">; en consecuencia, si el </w:t>
      </w:r>
      <w:r w:rsidRPr="00D366B7">
        <w:rPr>
          <w:rFonts w:ascii="Palatino Linotype" w:eastAsia="Palatino Linotype" w:hAnsi="Palatino Linotype" w:cs="Palatino Linotype"/>
          <w:b/>
        </w:rPr>
        <w:t>RECURRENTE</w:t>
      </w:r>
      <w:r w:rsidRPr="00D366B7">
        <w:rPr>
          <w:rFonts w:ascii="Palatino Linotype" w:eastAsia="Palatino Linotype" w:hAnsi="Palatino Linotype" w:cs="Palatino Linotype"/>
        </w:rPr>
        <w:t xml:space="preserve"> presentó su inconformidad el </w:t>
      </w:r>
      <w:r w:rsidR="00976A78" w:rsidRPr="00D366B7">
        <w:rPr>
          <w:rFonts w:ascii="Palatino Linotype" w:eastAsia="Palatino Linotype" w:hAnsi="Palatino Linotype" w:cs="Palatino Linotype"/>
        </w:rPr>
        <w:t>veinticuatro de febrero de dos mil veinticinco</w:t>
      </w:r>
      <w:r w:rsidRPr="00D366B7">
        <w:rPr>
          <w:rFonts w:ascii="Palatino Linotype" w:eastAsia="Palatino Linotype" w:hAnsi="Palatino Linotype" w:cs="Palatino Linotype"/>
        </w:rPr>
        <w:t xml:space="preserve">, se encuentra dentro de los márgenes temporales previstos en el artículo 178 de la </w:t>
      </w:r>
      <w:r w:rsidRPr="00D366B7">
        <w:rPr>
          <w:rFonts w:ascii="Palatino Linotype" w:eastAsia="Palatino Linotype" w:hAnsi="Palatino Linotype" w:cs="Palatino Linotype"/>
          <w:b/>
        </w:rPr>
        <w:t xml:space="preserve">Ley de Transparencia y Acceso a la Información Pública del Estado de México y Municipios </w:t>
      </w:r>
      <w:r w:rsidRPr="00D366B7">
        <w:rPr>
          <w:rFonts w:ascii="Palatino Linotype" w:eastAsia="Palatino Linotype" w:hAnsi="Palatino Linotype" w:cs="Palatino Linotype"/>
        </w:rPr>
        <w:t>vigente.</w:t>
      </w:r>
    </w:p>
    <w:p w:rsidR="00187A1A" w:rsidRPr="00D366B7" w:rsidRDefault="00187A1A" w:rsidP="00C227F6">
      <w:pPr>
        <w:spacing w:line="360" w:lineRule="auto"/>
        <w:ind w:right="1"/>
        <w:jc w:val="both"/>
        <w:rPr>
          <w:rFonts w:ascii="Palatino Linotype" w:eastAsia="Palatino Linotype" w:hAnsi="Palatino Linotype" w:cs="Palatino Linotype"/>
        </w:rPr>
      </w:pPr>
    </w:p>
    <w:p w:rsidR="00187A1A" w:rsidRPr="00D366B7" w:rsidRDefault="004F3EC5" w:rsidP="00C227F6">
      <w:pPr>
        <w:numPr>
          <w:ilvl w:val="0"/>
          <w:numId w:val="1"/>
        </w:numPr>
        <w:spacing w:line="360" w:lineRule="auto"/>
        <w:ind w:left="0" w:right="1" w:firstLine="0"/>
        <w:jc w:val="both"/>
        <w:rPr>
          <w:rFonts w:ascii="Palatino Linotype" w:eastAsia="Palatino Linotype" w:hAnsi="Palatino Linotype" w:cs="Palatino Linotype"/>
          <w:b/>
        </w:rPr>
      </w:pPr>
      <w:r w:rsidRPr="00D366B7">
        <w:rPr>
          <w:rFonts w:ascii="Palatino Linotype" w:eastAsia="Palatino Linotype" w:hAnsi="Palatino Linotype" w:cs="Palatino Linotype"/>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87A1A" w:rsidRPr="00D366B7" w:rsidRDefault="00187A1A" w:rsidP="00C227F6">
      <w:pPr>
        <w:spacing w:line="360" w:lineRule="auto"/>
        <w:ind w:right="1"/>
        <w:jc w:val="both"/>
        <w:rPr>
          <w:rFonts w:ascii="Palatino Linotype" w:eastAsia="Palatino Linotype" w:hAnsi="Palatino Linotype" w:cs="Palatino Linotype"/>
          <w:b/>
        </w:rPr>
      </w:pPr>
    </w:p>
    <w:p w:rsidR="00187A1A" w:rsidRPr="00D366B7" w:rsidRDefault="004F3EC5" w:rsidP="00C227F6">
      <w:pPr>
        <w:keepNext/>
        <w:keepLines/>
        <w:spacing w:after="240" w:line="360" w:lineRule="auto"/>
        <w:ind w:right="1"/>
        <w:rPr>
          <w:rFonts w:ascii="Palatino Linotype" w:eastAsia="Palatino Linotype" w:hAnsi="Palatino Linotype" w:cs="Palatino Linotype"/>
          <w:b/>
        </w:rPr>
      </w:pPr>
      <w:bookmarkStart w:id="6" w:name="_heading=h.tyjcwt" w:colFirst="0" w:colLast="0"/>
      <w:bookmarkEnd w:id="6"/>
      <w:r w:rsidRPr="00D366B7">
        <w:rPr>
          <w:rFonts w:ascii="Palatino Linotype" w:eastAsia="Palatino Linotype" w:hAnsi="Palatino Linotype" w:cs="Palatino Linotype"/>
          <w:b/>
        </w:rPr>
        <w:t>TERCERO. Planteamiento de la Litis.</w:t>
      </w:r>
    </w:p>
    <w:p w:rsidR="0049746C" w:rsidRPr="00D366B7" w:rsidRDefault="004F3EC5" w:rsidP="0049746C">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El </w:t>
      </w:r>
      <w:r w:rsidRPr="00D366B7">
        <w:rPr>
          <w:rFonts w:ascii="Palatino Linotype" w:eastAsia="Palatino Linotype" w:hAnsi="Palatino Linotype" w:cs="Palatino Linotype"/>
          <w:b/>
          <w:color w:val="000000"/>
        </w:rPr>
        <w:t>RECURRENTE</w:t>
      </w:r>
      <w:r w:rsidRPr="00D366B7">
        <w:rPr>
          <w:rFonts w:ascii="Palatino Linotype" w:eastAsia="Palatino Linotype" w:hAnsi="Palatino Linotype" w:cs="Palatino Linotype"/>
          <w:color w:val="000000"/>
        </w:rPr>
        <w:t xml:space="preserve"> solicitó </w:t>
      </w:r>
      <w:r w:rsidR="0049746C" w:rsidRPr="00D366B7">
        <w:rPr>
          <w:rFonts w:ascii="Palatino Linotype" w:eastAsia="Palatino Linotype" w:hAnsi="Palatino Linotype" w:cs="Palatino Linotype"/>
          <w:color w:val="000000"/>
        </w:rPr>
        <w:t xml:space="preserve">el </w:t>
      </w:r>
      <w:r w:rsidR="00976A78" w:rsidRPr="00D366B7">
        <w:rPr>
          <w:rFonts w:ascii="Palatino Linotype" w:eastAsia="Palatino Linotype" w:hAnsi="Palatino Linotype" w:cs="Palatino Linotype"/>
          <w:color w:val="000000"/>
        </w:rPr>
        <w:t xml:space="preserve">nombre completo y sueldo mensual neto de </w:t>
      </w:r>
      <w:r w:rsidR="00746824" w:rsidRPr="00D366B7">
        <w:rPr>
          <w:rFonts w:ascii="Palatino Linotype" w:eastAsia="Palatino Linotype" w:hAnsi="Palatino Linotype" w:cs="Palatino Linotype"/>
          <w:color w:val="000000"/>
        </w:rPr>
        <w:t>todos los servidores públicos, de 2022 al 29 de enero de 2025.</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46824" w:rsidRPr="00D366B7" w:rsidRDefault="004F3EC5" w:rsidP="00746824">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En respuesta, el </w:t>
      </w:r>
      <w:r w:rsidRPr="00D366B7">
        <w:rPr>
          <w:rFonts w:ascii="Palatino Linotype" w:eastAsia="Palatino Linotype" w:hAnsi="Palatino Linotype" w:cs="Palatino Linotype"/>
          <w:b/>
          <w:color w:val="000000"/>
        </w:rPr>
        <w:t>SUJETO OBLIGADO</w:t>
      </w:r>
      <w:r w:rsidRPr="00D366B7">
        <w:rPr>
          <w:rFonts w:ascii="Palatino Linotype" w:eastAsia="Palatino Linotype" w:hAnsi="Palatino Linotype" w:cs="Palatino Linotype"/>
          <w:color w:val="000000"/>
        </w:rPr>
        <w:t xml:space="preserve"> </w:t>
      </w:r>
      <w:r w:rsidR="00746824" w:rsidRPr="00D366B7">
        <w:rPr>
          <w:rFonts w:ascii="Palatino Linotype" w:eastAsia="Palatino Linotype" w:hAnsi="Palatino Linotype" w:cs="Palatino Linotype"/>
          <w:color w:val="000000"/>
        </w:rPr>
        <w:t xml:space="preserve">por medio del área responsable, refirió que lo solicitado se encuentra en el Portal de Información Pública de Oficio (IPOMEX) y se puede consultar en </w:t>
      </w:r>
      <w:r w:rsidR="00746824" w:rsidRPr="00D366B7">
        <w:rPr>
          <w:rFonts w:ascii="Palatino Linotype" w:hAnsi="Palatino Linotype"/>
          <w:color w:val="000000"/>
        </w:rPr>
        <w:t xml:space="preserve">el siguiente link https://infoem2.ipomex.org.mx/ipomex/#/obligaciones/193 </w:t>
      </w:r>
      <w:r w:rsidR="002F6C92" w:rsidRPr="00D366B7">
        <w:rPr>
          <w:rFonts w:ascii="Palatino Linotype" w:hAnsi="Palatino Linotype"/>
          <w:color w:val="000000"/>
        </w:rPr>
        <w:t>ARTÍCULO</w:t>
      </w:r>
      <w:r w:rsidR="00746824" w:rsidRPr="00D366B7">
        <w:rPr>
          <w:rFonts w:ascii="Palatino Linotype" w:hAnsi="Palatino Linotype"/>
          <w:color w:val="000000"/>
        </w:rPr>
        <w:t xml:space="preserve"> 92.</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9746C"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E</w:t>
      </w:r>
      <w:r w:rsidR="004F3EC5" w:rsidRPr="00D366B7">
        <w:rPr>
          <w:rFonts w:ascii="Palatino Linotype" w:eastAsia="Palatino Linotype" w:hAnsi="Palatino Linotype" w:cs="Palatino Linotype"/>
          <w:color w:val="000000"/>
        </w:rPr>
        <w:t xml:space="preserve">l </w:t>
      </w:r>
      <w:r w:rsidR="004F3EC5" w:rsidRPr="00D366B7">
        <w:rPr>
          <w:rFonts w:ascii="Palatino Linotype" w:eastAsia="Palatino Linotype" w:hAnsi="Palatino Linotype" w:cs="Palatino Linotype"/>
          <w:b/>
          <w:color w:val="000000"/>
        </w:rPr>
        <w:t xml:space="preserve">RECURRENTE </w:t>
      </w:r>
      <w:r w:rsidR="004F3EC5" w:rsidRPr="00D366B7">
        <w:rPr>
          <w:rFonts w:ascii="Palatino Linotype" w:eastAsia="Palatino Linotype" w:hAnsi="Palatino Linotype" w:cs="Palatino Linotype"/>
          <w:color w:val="000000"/>
        </w:rPr>
        <w:t xml:space="preserve">interpuso recurso de revisión, mediante el cual, </w:t>
      </w:r>
      <w:r w:rsidRPr="00D366B7">
        <w:rPr>
          <w:rFonts w:ascii="Palatino Linotype" w:eastAsia="Palatino Linotype" w:hAnsi="Palatino Linotype" w:cs="Palatino Linotype"/>
          <w:color w:val="000000"/>
        </w:rPr>
        <w:t xml:space="preserve">se inconformó por </w:t>
      </w:r>
      <w:r w:rsidRPr="00D366B7">
        <w:rPr>
          <w:rFonts w:ascii="Palatino Linotype" w:eastAsia="Palatino Linotype" w:hAnsi="Palatino Linotype" w:cs="Palatino Linotype"/>
          <w:b/>
          <w:color w:val="000000"/>
        </w:rPr>
        <w:t>la negativa de la información solicitada.</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En consecuencia, la Litis a resolver en este recurso, se circunscribe a determinar si la respuesta colma con lo solicitado o si se actualizan las causales de procedencia previstas en el artículo 179, fracción I de la Ley de Transparencia y Acceso a la Información Pública del Est</w:t>
      </w:r>
      <w:r w:rsidR="0049746C" w:rsidRPr="00D366B7">
        <w:rPr>
          <w:rFonts w:ascii="Palatino Linotype" w:eastAsia="Palatino Linotype" w:hAnsi="Palatino Linotype" w:cs="Palatino Linotype"/>
          <w:color w:val="000000"/>
        </w:rPr>
        <w:t>ado de México y Municipios.</w:t>
      </w:r>
    </w:p>
    <w:p w:rsidR="00187A1A" w:rsidRPr="00D366B7" w:rsidRDefault="00187A1A" w:rsidP="00C227F6">
      <w:pPr>
        <w:pBdr>
          <w:top w:val="nil"/>
          <w:left w:val="nil"/>
          <w:bottom w:val="nil"/>
          <w:right w:val="nil"/>
          <w:between w:val="nil"/>
        </w:pBdr>
        <w:spacing w:after="240" w:line="360" w:lineRule="auto"/>
        <w:ind w:right="1"/>
        <w:jc w:val="both"/>
        <w:rPr>
          <w:rFonts w:ascii="Palatino Linotype" w:eastAsia="Palatino Linotype" w:hAnsi="Palatino Linotype" w:cs="Palatino Linotype"/>
          <w:color w:val="000000"/>
        </w:rPr>
      </w:pPr>
    </w:p>
    <w:p w:rsidR="00187A1A" w:rsidRPr="00D366B7" w:rsidRDefault="004F3EC5" w:rsidP="00C227F6">
      <w:pPr>
        <w:pStyle w:val="Ttulo1"/>
        <w:spacing w:before="0" w:after="240" w:line="360" w:lineRule="auto"/>
        <w:ind w:right="1"/>
        <w:rPr>
          <w:rFonts w:ascii="Palatino Linotype" w:eastAsia="Palatino Linotype" w:hAnsi="Palatino Linotype" w:cs="Palatino Linotype"/>
          <w:b/>
          <w:color w:val="000000"/>
          <w:sz w:val="24"/>
          <w:szCs w:val="24"/>
        </w:rPr>
      </w:pPr>
      <w:bookmarkStart w:id="7" w:name="_heading=h.3dy6vkm" w:colFirst="0" w:colLast="0"/>
      <w:bookmarkEnd w:id="7"/>
      <w:r w:rsidRPr="00D366B7">
        <w:rPr>
          <w:rFonts w:ascii="Palatino Linotype" w:eastAsia="Palatino Linotype" w:hAnsi="Palatino Linotype" w:cs="Palatino Linotype"/>
          <w:b/>
          <w:color w:val="000000"/>
          <w:sz w:val="24"/>
          <w:szCs w:val="24"/>
        </w:rPr>
        <w:t>CUARTO. Del estudio y resolución del recurso de revisión.</w:t>
      </w:r>
    </w:p>
    <w:p w:rsidR="007431EC" w:rsidRPr="00D366B7" w:rsidRDefault="004F3EC5" w:rsidP="007431EC">
      <w:pPr>
        <w:pStyle w:val="Ttulo1"/>
        <w:numPr>
          <w:ilvl w:val="0"/>
          <w:numId w:val="5"/>
        </w:numPr>
        <w:spacing w:before="0" w:after="240" w:line="360" w:lineRule="auto"/>
        <w:ind w:right="1"/>
        <w:rPr>
          <w:rFonts w:ascii="Palatino Linotype" w:eastAsia="Palatino Linotype" w:hAnsi="Palatino Linotype" w:cs="Palatino Linotype"/>
          <w:b/>
          <w:color w:val="000000"/>
          <w:sz w:val="24"/>
          <w:szCs w:val="24"/>
        </w:rPr>
      </w:pPr>
      <w:bookmarkStart w:id="8" w:name="_heading=h.1t3h5sf" w:colFirst="0" w:colLast="0"/>
      <w:bookmarkEnd w:id="8"/>
      <w:r w:rsidRPr="00D366B7">
        <w:rPr>
          <w:rFonts w:ascii="Palatino Linotype" w:eastAsia="Palatino Linotype" w:hAnsi="Palatino Linotype" w:cs="Palatino Linotype"/>
          <w:b/>
          <w:color w:val="000000"/>
          <w:sz w:val="24"/>
          <w:szCs w:val="24"/>
        </w:rPr>
        <w:t>Del derecho de acceso a la información.</w:t>
      </w:r>
    </w:p>
    <w:p w:rsidR="007431EC" w:rsidRPr="00D366B7" w:rsidRDefault="007431EC" w:rsidP="007431EC">
      <w:pPr>
        <w:rPr>
          <w:rFonts w:ascii="Palatino Linotype" w:eastAsia="Palatino Linotype" w:hAnsi="Palatino Linotype"/>
        </w:rPr>
      </w:pPr>
    </w:p>
    <w:p w:rsidR="00187A1A" w:rsidRPr="00D366B7" w:rsidRDefault="004F3EC5" w:rsidP="00C227F6">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187A1A" w:rsidRPr="00D366B7" w:rsidRDefault="004F3EC5" w:rsidP="00C227F6">
      <w:pPr>
        <w:numPr>
          <w:ilvl w:val="0"/>
          <w:numId w:val="1"/>
        </w:numPr>
        <w:spacing w:before="240"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lastRenderedPageBreak/>
        <w:t xml:space="preserve">Definiendo el Derecho de Acceso a la Información Pública como: </w:t>
      </w:r>
      <w:r w:rsidRPr="00D366B7">
        <w:rPr>
          <w:rFonts w:ascii="Palatino Linotype" w:eastAsia="Palatino Linotype" w:hAnsi="Palatino Linotype" w:cs="Palatino Linotype"/>
          <w:i/>
          <w:color w:val="000000"/>
        </w:rPr>
        <w:t>La igualdad de oportunidades para recibir, buscar e impartir información</w:t>
      </w:r>
      <w:r w:rsidRPr="00D366B7">
        <w:rPr>
          <w:rFonts w:ascii="Palatino Linotype" w:eastAsia="Palatino Linotype" w:hAnsi="Palatino Linotype" w:cs="Palatino Linotype"/>
          <w:i/>
          <w:vertAlign w:val="superscript"/>
        </w:rPr>
        <w:footnoteReference w:id="1"/>
      </w:r>
      <w:r w:rsidRPr="00D366B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366B7">
        <w:rPr>
          <w:rFonts w:ascii="Palatino Linotype" w:eastAsia="Palatino Linotype" w:hAnsi="Palatino Linotype" w:cs="Palatino Linotype"/>
          <w:i/>
          <w:vertAlign w:val="superscript"/>
        </w:rPr>
        <w:footnoteReference w:id="2"/>
      </w:r>
      <w:r w:rsidRPr="00D366B7">
        <w:rPr>
          <w:rFonts w:ascii="Palatino Linotype" w:eastAsia="Palatino Linotype" w:hAnsi="Palatino Linotype" w:cs="Palatino Linotype"/>
          <w:color w:val="000000"/>
        </w:rPr>
        <w:t>que se constituye como una herramienta fundamental para ejercer</w:t>
      </w:r>
      <w:r w:rsidRPr="00D366B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D366B7">
        <w:rPr>
          <w:rFonts w:ascii="Palatino Linotype" w:eastAsia="Palatino Linotype" w:hAnsi="Palatino Linotype" w:cs="Palatino Linotype"/>
          <w:i/>
          <w:vertAlign w:val="superscript"/>
        </w:rPr>
        <w:footnoteReference w:id="3"/>
      </w:r>
      <w:r w:rsidRPr="00D366B7">
        <w:rPr>
          <w:rFonts w:ascii="Palatino Linotype" w:eastAsia="Palatino Linotype" w:hAnsi="Palatino Linotype" w:cs="Palatino Linotype"/>
          <w:color w:val="000000"/>
        </w:rPr>
        <w:t>fomentando</w:t>
      </w:r>
      <w:r w:rsidRPr="00D366B7">
        <w:rPr>
          <w:rFonts w:ascii="Palatino Linotype" w:eastAsia="Palatino Linotype" w:hAnsi="Palatino Linotype" w:cs="Palatino Linotype"/>
          <w:i/>
          <w:color w:val="000000"/>
        </w:rPr>
        <w:t xml:space="preserve"> la transparencia de las actividades estatales y </w:t>
      </w:r>
      <w:r w:rsidRPr="00D366B7">
        <w:rPr>
          <w:rFonts w:ascii="Palatino Linotype" w:eastAsia="Palatino Linotype" w:hAnsi="Palatino Linotype" w:cs="Palatino Linotype"/>
          <w:color w:val="000000"/>
        </w:rPr>
        <w:t>promoviendo</w:t>
      </w:r>
      <w:r w:rsidRPr="00D366B7">
        <w:rPr>
          <w:rFonts w:ascii="Palatino Linotype" w:eastAsia="Palatino Linotype" w:hAnsi="Palatino Linotype" w:cs="Palatino Linotype"/>
          <w:i/>
          <w:color w:val="000000"/>
        </w:rPr>
        <w:t xml:space="preserve"> la responsabilidad de los funcionarios sobre su gestión pública,</w:t>
      </w:r>
      <w:r w:rsidRPr="00D366B7">
        <w:rPr>
          <w:rFonts w:ascii="Palatino Linotype" w:eastAsia="Palatino Linotype" w:hAnsi="Palatino Linotype" w:cs="Palatino Linotype"/>
          <w:i/>
          <w:vertAlign w:val="superscript"/>
        </w:rPr>
        <w:footnoteReference w:id="4"/>
      </w:r>
      <w:r w:rsidRPr="00D366B7">
        <w:rPr>
          <w:rFonts w:ascii="Palatino Linotype" w:eastAsia="Palatino Linotype" w:hAnsi="Palatino Linotype" w:cs="Palatino Linotype"/>
          <w:color w:val="000000"/>
        </w:rPr>
        <w:t>que permite</w:t>
      </w:r>
      <w:r w:rsidRPr="00D366B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187A1A" w:rsidRPr="00D366B7" w:rsidRDefault="00187A1A" w:rsidP="00C227F6">
      <w:pPr>
        <w:spacing w:line="360" w:lineRule="auto"/>
        <w:ind w:right="1"/>
        <w:jc w:val="both"/>
        <w:rPr>
          <w:rFonts w:ascii="Palatino Linotype" w:eastAsia="Palatino Linotype" w:hAnsi="Palatino Linotype" w:cs="Palatino Linotype"/>
        </w:rPr>
      </w:pPr>
    </w:p>
    <w:p w:rsidR="00187A1A" w:rsidRPr="00D366B7" w:rsidRDefault="004F3EC5" w:rsidP="00C227F6">
      <w:pPr>
        <w:numPr>
          <w:ilvl w:val="0"/>
          <w:numId w:val="1"/>
        </w:numPr>
        <w:spacing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DB3BC1" w:rsidRPr="00D366B7" w:rsidRDefault="00DB3BC1" w:rsidP="00DB3BC1">
      <w:pPr>
        <w:spacing w:line="360" w:lineRule="auto"/>
        <w:ind w:right="1"/>
        <w:jc w:val="both"/>
        <w:rPr>
          <w:rFonts w:ascii="Palatino Linotype" w:eastAsia="Palatino Linotype" w:hAnsi="Palatino Linotype" w:cs="Palatino Linotype"/>
        </w:rPr>
      </w:pPr>
    </w:p>
    <w:p w:rsidR="00187A1A" w:rsidRPr="00D366B7" w:rsidRDefault="004F3EC5" w:rsidP="00DB3BC1">
      <w:pPr>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i/>
        </w:rPr>
        <w:t>“</w:t>
      </w:r>
      <w:r w:rsidRPr="00D366B7">
        <w:rPr>
          <w:rFonts w:ascii="Palatino Linotype" w:eastAsia="Palatino Linotype" w:hAnsi="Palatino Linotype" w:cs="Palatino Linotype"/>
          <w:b/>
          <w:i/>
        </w:rPr>
        <w:t>Artículo 1.-</w:t>
      </w:r>
      <w:r w:rsidRPr="00D366B7">
        <w:rPr>
          <w:rFonts w:ascii="Palatino Linotype" w:eastAsia="Palatino Linotype" w:hAnsi="Palatino Linotype" w:cs="Palatino Linotype"/>
          <w:i/>
        </w:rPr>
        <w:t xml:space="preserve"> </w:t>
      </w:r>
    </w:p>
    <w:p w:rsidR="00187A1A" w:rsidRPr="00D366B7" w:rsidRDefault="004F3EC5" w:rsidP="00DB3BC1">
      <w:pPr>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i/>
        </w:rPr>
        <w:t>(…)</w:t>
      </w:r>
    </w:p>
    <w:p w:rsidR="00187A1A" w:rsidRPr="00D366B7" w:rsidRDefault="004F3EC5" w:rsidP="00DB3BC1">
      <w:pPr>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i/>
        </w:rPr>
        <w:t>Todas las</w:t>
      </w:r>
      <w:r w:rsidRPr="00D366B7">
        <w:rPr>
          <w:rFonts w:ascii="Palatino Linotype" w:eastAsia="Palatino Linotype" w:hAnsi="Palatino Linotype" w:cs="Palatino Linotype"/>
        </w:rPr>
        <w:t xml:space="preserve"> </w:t>
      </w:r>
      <w:r w:rsidRPr="00D366B7">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87A1A" w:rsidRPr="00D366B7" w:rsidRDefault="004F3EC5" w:rsidP="00DB3BC1">
      <w:pPr>
        <w:ind w:left="567" w:right="568"/>
        <w:jc w:val="both"/>
        <w:rPr>
          <w:rFonts w:ascii="Palatino Linotype" w:eastAsia="Palatino Linotype" w:hAnsi="Palatino Linotype" w:cs="Palatino Linotype"/>
        </w:rPr>
      </w:pPr>
      <w:r w:rsidRPr="00D366B7">
        <w:rPr>
          <w:rFonts w:ascii="Palatino Linotype" w:eastAsia="Palatino Linotype" w:hAnsi="Palatino Linotype" w:cs="Palatino Linotype"/>
          <w:i/>
        </w:rPr>
        <w:lastRenderedPageBreak/>
        <w:t>(…)</w:t>
      </w:r>
      <w:r w:rsidRPr="00D366B7">
        <w:rPr>
          <w:rFonts w:ascii="Palatino Linotype" w:eastAsia="Palatino Linotype" w:hAnsi="Palatino Linotype" w:cs="Palatino Linotype"/>
        </w:rPr>
        <w:t>”.</w:t>
      </w:r>
    </w:p>
    <w:p w:rsidR="00187A1A" w:rsidRPr="00D366B7" w:rsidRDefault="00187A1A" w:rsidP="00C227F6">
      <w:pPr>
        <w:ind w:right="1"/>
        <w:jc w:val="both"/>
        <w:rPr>
          <w:rFonts w:ascii="Palatino Linotype" w:eastAsia="Palatino Linotype" w:hAnsi="Palatino Linotype" w:cs="Palatino Linotype"/>
          <w:b/>
        </w:rPr>
      </w:pPr>
    </w:p>
    <w:p w:rsidR="00187A1A" w:rsidRPr="00D366B7" w:rsidRDefault="004F3EC5" w:rsidP="00C227F6">
      <w:pPr>
        <w:numPr>
          <w:ilvl w:val="0"/>
          <w:numId w:val="1"/>
        </w:numPr>
        <w:spacing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187A1A" w:rsidRPr="00D366B7" w:rsidRDefault="00187A1A" w:rsidP="00C227F6">
      <w:pPr>
        <w:spacing w:line="360" w:lineRule="auto"/>
        <w:ind w:right="1"/>
        <w:jc w:val="both"/>
        <w:rPr>
          <w:rFonts w:ascii="Palatino Linotype" w:eastAsia="Palatino Linotype" w:hAnsi="Palatino Linotype" w:cs="Palatino Linotype"/>
        </w:rPr>
      </w:pPr>
    </w:p>
    <w:p w:rsidR="00187A1A" w:rsidRPr="00D366B7" w:rsidRDefault="004F3EC5" w:rsidP="00C227F6">
      <w:pPr>
        <w:numPr>
          <w:ilvl w:val="0"/>
          <w:numId w:val="1"/>
        </w:numPr>
        <w:spacing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4C2EDB" w:rsidRPr="00D366B7" w:rsidRDefault="004C2EDB" w:rsidP="004C2EDB">
      <w:pPr>
        <w:spacing w:line="360" w:lineRule="auto"/>
        <w:ind w:right="1"/>
        <w:jc w:val="both"/>
        <w:rPr>
          <w:rFonts w:ascii="Palatino Linotype" w:eastAsia="Palatino Linotype" w:hAnsi="Palatino Linotype" w:cs="Palatino Linotype"/>
        </w:rPr>
      </w:pPr>
    </w:p>
    <w:p w:rsidR="00187A1A" w:rsidRPr="00D366B7" w:rsidRDefault="004F3EC5" w:rsidP="004C2EDB">
      <w:pPr>
        <w:spacing w:after="240"/>
        <w:ind w:left="567" w:right="568"/>
        <w:jc w:val="both"/>
        <w:rPr>
          <w:rFonts w:ascii="Palatino Linotype" w:eastAsia="Palatino Linotype" w:hAnsi="Palatino Linotype" w:cs="Palatino Linotype"/>
          <w:b/>
          <w:i/>
        </w:rPr>
      </w:pPr>
      <w:r w:rsidRPr="00D366B7">
        <w:rPr>
          <w:rFonts w:ascii="Palatino Linotype" w:eastAsia="Palatino Linotype" w:hAnsi="Palatino Linotype" w:cs="Palatino Linotype"/>
          <w:b/>
          <w:i/>
        </w:rPr>
        <w:t>Constitución Política de los Estados Unidos Mexicanos</w:t>
      </w:r>
    </w:p>
    <w:p w:rsidR="00187A1A" w:rsidRPr="00D366B7" w:rsidRDefault="004F3EC5" w:rsidP="004C2EDB">
      <w:pPr>
        <w:spacing w:before="240" w:after="240"/>
        <w:ind w:left="567" w:right="568"/>
        <w:jc w:val="both"/>
        <w:rPr>
          <w:rFonts w:ascii="Palatino Linotype" w:eastAsia="Palatino Linotype" w:hAnsi="Palatino Linotype" w:cs="Palatino Linotype"/>
          <w:b/>
          <w:i/>
        </w:rPr>
      </w:pPr>
      <w:r w:rsidRPr="00D366B7">
        <w:rPr>
          <w:rFonts w:ascii="Palatino Linotype" w:eastAsia="Palatino Linotype" w:hAnsi="Palatino Linotype" w:cs="Palatino Linotype"/>
          <w:b/>
          <w:i/>
        </w:rPr>
        <w:t>“Artículo 6.</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i/>
        </w:rPr>
        <w:t>(…)</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i/>
        </w:rPr>
        <w:t>Para efectos de lo dispuesto en el presente artículo se observará lo siguiente:</w:t>
      </w:r>
    </w:p>
    <w:p w:rsidR="00187A1A" w:rsidRPr="00D366B7" w:rsidRDefault="004F3EC5" w:rsidP="004C2EDB">
      <w:pPr>
        <w:spacing w:before="240" w:after="240"/>
        <w:ind w:left="567" w:right="568"/>
        <w:jc w:val="both"/>
        <w:rPr>
          <w:rFonts w:ascii="Palatino Linotype" w:eastAsia="Palatino Linotype" w:hAnsi="Palatino Linotype" w:cs="Palatino Linotype"/>
          <w:b/>
          <w:i/>
        </w:rPr>
      </w:pPr>
      <w:r w:rsidRPr="00D366B7">
        <w:rPr>
          <w:rFonts w:ascii="Palatino Linotype" w:eastAsia="Palatino Linotype" w:hAnsi="Palatino Linotype" w:cs="Palatino Linotype"/>
          <w:b/>
          <w:i/>
        </w:rPr>
        <w:t>A</w:t>
      </w:r>
      <w:r w:rsidRPr="00D366B7">
        <w:rPr>
          <w:rFonts w:ascii="Palatino Linotype" w:eastAsia="Palatino Linotype" w:hAnsi="Palatino Linotype" w:cs="Palatino Linotype"/>
          <w:i/>
        </w:rPr>
        <w:t xml:space="preserve">. </w:t>
      </w:r>
      <w:r w:rsidRPr="00D366B7">
        <w:rPr>
          <w:rFonts w:ascii="Palatino Linotype" w:eastAsia="Palatino Linotype" w:hAnsi="Palatino Linotype" w:cs="Palatino Linotype"/>
          <w:b/>
          <w:i/>
        </w:rPr>
        <w:t>Para el ejercicio del derecho de acceso a la información</w:t>
      </w:r>
      <w:r w:rsidRPr="00D366B7">
        <w:rPr>
          <w:rFonts w:ascii="Palatino Linotype" w:eastAsia="Palatino Linotype" w:hAnsi="Palatino Linotype" w:cs="Palatino Linotype"/>
          <w:i/>
        </w:rPr>
        <w:t xml:space="preserve">, la Federación y </w:t>
      </w:r>
      <w:r w:rsidRPr="00D366B7">
        <w:rPr>
          <w:rFonts w:ascii="Palatino Linotype" w:eastAsia="Palatino Linotype" w:hAnsi="Palatino Linotype" w:cs="Palatino Linotype"/>
          <w:b/>
          <w:i/>
        </w:rPr>
        <w:t>las entidades federativas, en el ámbito de sus respectivas competencias, se regirán por los siguientes principios y bases:</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b/>
          <w:i/>
        </w:rPr>
        <w:t xml:space="preserve">I. </w:t>
      </w:r>
      <w:r w:rsidRPr="00D366B7">
        <w:rPr>
          <w:rFonts w:ascii="Palatino Linotype" w:eastAsia="Palatino Linotype" w:hAnsi="Palatino Linotype" w:cs="Palatino Linotype"/>
          <w:b/>
          <w:i/>
        </w:rPr>
        <w:tab/>
        <w:t>Toda la información en posesión de cualquier</w:t>
      </w:r>
      <w:r w:rsidRPr="00D366B7">
        <w:rPr>
          <w:rFonts w:ascii="Palatino Linotype" w:eastAsia="Palatino Linotype" w:hAnsi="Palatino Linotype" w:cs="Palatino Linotype"/>
          <w:i/>
        </w:rPr>
        <w:t xml:space="preserve"> </w:t>
      </w:r>
      <w:r w:rsidRPr="00D366B7">
        <w:rPr>
          <w:rFonts w:ascii="Palatino Linotype" w:eastAsia="Palatino Linotype" w:hAnsi="Palatino Linotype" w:cs="Palatino Linotype"/>
          <w:b/>
          <w:i/>
        </w:rPr>
        <w:t>autoridad</w:t>
      </w:r>
      <w:r w:rsidRPr="00D366B7">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366B7">
        <w:rPr>
          <w:rFonts w:ascii="Palatino Linotype" w:eastAsia="Palatino Linotype" w:hAnsi="Palatino Linotype" w:cs="Palatino Linotype"/>
          <w:b/>
          <w:i/>
        </w:rPr>
        <w:t>municipal</w:t>
      </w:r>
      <w:r w:rsidRPr="00D366B7">
        <w:rPr>
          <w:rFonts w:ascii="Palatino Linotype" w:eastAsia="Palatino Linotype" w:hAnsi="Palatino Linotype" w:cs="Palatino Linotype"/>
          <w:i/>
        </w:rPr>
        <w:t xml:space="preserve">, </w:t>
      </w:r>
      <w:r w:rsidRPr="00D366B7">
        <w:rPr>
          <w:rFonts w:ascii="Palatino Linotype" w:eastAsia="Palatino Linotype" w:hAnsi="Palatino Linotype" w:cs="Palatino Linotype"/>
          <w:b/>
          <w:i/>
        </w:rPr>
        <w:t>es pública</w:t>
      </w:r>
      <w:r w:rsidRPr="00D366B7">
        <w:rPr>
          <w:rFonts w:ascii="Palatino Linotype" w:eastAsia="Palatino Linotype" w:hAnsi="Palatino Linotype" w:cs="Palatino Linotype"/>
          <w:i/>
        </w:rPr>
        <w:t xml:space="preserve"> y sólo podrá ser </w:t>
      </w:r>
      <w:r w:rsidRPr="00D366B7">
        <w:rPr>
          <w:rFonts w:ascii="Palatino Linotype" w:eastAsia="Palatino Linotype" w:hAnsi="Palatino Linotype" w:cs="Palatino Linotype"/>
          <w:i/>
        </w:rPr>
        <w:lastRenderedPageBreak/>
        <w:t xml:space="preserve">reservada temporalmente por razones de interés público y seguridad nacional, en los términos que fijen las leyes. </w:t>
      </w:r>
      <w:r w:rsidRPr="00D366B7">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D366B7">
        <w:rPr>
          <w:rFonts w:ascii="Palatino Linotype" w:eastAsia="Palatino Linotype" w:hAnsi="Palatino Linotype" w:cs="Palatino Linotype"/>
          <w:i/>
        </w:rPr>
        <w:t>, la ley determinará los supuestos específicos bajo los cuales procederá la declaración de inexistencia de la información.”</w:t>
      </w:r>
    </w:p>
    <w:p w:rsidR="00187A1A" w:rsidRPr="00D366B7" w:rsidRDefault="004F3EC5" w:rsidP="004C2EDB">
      <w:pPr>
        <w:spacing w:before="240" w:after="240"/>
        <w:ind w:left="567" w:right="568"/>
        <w:jc w:val="both"/>
        <w:rPr>
          <w:rFonts w:ascii="Palatino Linotype" w:eastAsia="Palatino Linotype" w:hAnsi="Palatino Linotype" w:cs="Palatino Linotype"/>
          <w:b/>
          <w:i/>
        </w:rPr>
      </w:pPr>
      <w:r w:rsidRPr="00D366B7">
        <w:rPr>
          <w:rFonts w:ascii="Palatino Linotype" w:eastAsia="Palatino Linotype" w:hAnsi="Palatino Linotype" w:cs="Palatino Linotype"/>
          <w:b/>
          <w:i/>
        </w:rPr>
        <w:t>Constitución Política del Estado Libre y Soberano de México</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b/>
          <w:i/>
        </w:rPr>
        <w:t>“Artículo 5</w:t>
      </w:r>
      <w:r w:rsidRPr="00D366B7">
        <w:rPr>
          <w:rFonts w:ascii="Palatino Linotype" w:eastAsia="Palatino Linotype" w:hAnsi="Palatino Linotype" w:cs="Palatino Linotype"/>
          <w:i/>
        </w:rPr>
        <w:t xml:space="preserve">.- </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i/>
        </w:rPr>
        <w:t>(…)</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D366B7">
        <w:rPr>
          <w:rFonts w:ascii="Palatino Linotype" w:eastAsia="Palatino Linotype" w:hAnsi="Palatino Linotype" w:cs="Palatino Linotype"/>
          <w:i/>
        </w:rPr>
        <w:t>.</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b/>
          <w:i/>
        </w:rPr>
        <w:t>Este derecho se regirá por los principios y bases siguientes</w:t>
      </w:r>
      <w:r w:rsidRPr="00D366B7">
        <w:rPr>
          <w:rFonts w:ascii="Palatino Linotype" w:eastAsia="Palatino Linotype" w:hAnsi="Palatino Linotype" w:cs="Palatino Linotype"/>
          <w:i/>
        </w:rPr>
        <w:t>:</w:t>
      </w:r>
    </w:p>
    <w:p w:rsidR="00187A1A" w:rsidRPr="00D366B7" w:rsidRDefault="004F3EC5" w:rsidP="004C2EDB">
      <w:pPr>
        <w:spacing w:before="240" w:after="240"/>
        <w:ind w:left="567" w:right="568"/>
        <w:jc w:val="both"/>
        <w:rPr>
          <w:rFonts w:ascii="Palatino Linotype" w:eastAsia="Palatino Linotype" w:hAnsi="Palatino Linotype" w:cs="Palatino Linotype"/>
          <w:i/>
        </w:rPr>
      </w:pPr>
      <w:r w:rsidRPr="00D366B7">
        <w:rPr>
          <w:rFonts w:ascii="Palatino Linotype" w:eastAsia="Palatino Linotype" w:hAnsi="Palatino Linotype" w:cs="Palatino Linotype"/>
          <w:b/>
          <w:i/>
        </w:rPr>
        <w:t>I. Toda la información en posesión de cualquier autoridad, entidad, órgano y organismos de los</w:t>
      </w:r>
      <w:r w:rsidRPr="00D366B7">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D366B7">
        <w:rPr>
          <w:rFonts w:ascii="Palatino Linotype" w:eastAsia="Palatino Linotype" w:hAnsi="Palatino Linotype" w:cs="Palatino Linotype"/>
          <w:b/>
          <w:i/>
        </w:rPr>
        <w:t>municipales</w:t>
      </w:r>
      <w:r w:rsidRPr="00D366B7">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366B7">
        <w:rPr>
          <w:rFonts w:ascii="Palatino Linotype" w:eastAsia="Palatino Linotype" w:hAnsi="Palatino Linotype" w:cs="Palatino Linotype"/>
          <w:b/>
          <w:i/>
        </w:rPr>
        <w:t>es pública</w:t>
      </w:r>
      <w:r w:rsidRPr="00D366B7">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D366B7">
        <w:rPr>
          <w:rFonts w:ascii="Palatino Linotype" w:eastAsia="Palatino Linotype" w:hAnsi="Palatino Linotype" w:cs="Palatino Linotype"/>
          <w:b/>
          <w:i/>
        </w:rPr>
        <w:t>En la interpretación de este derecho deberá prevalecer el principio de máxima publicidad</w:t>
      </w:r>
      <w:r w:rsidRPr="00D366B7">
        <w:rPr>
          <w:rFonts w:ascii="Palatino Linotype" w:eastAsia="Palatino Linotype" w:hAnsi="Palatino Linotype" w:cs="Palatino Linotype"/>
          <w:i/>
        </w:rPr>
        <w:t xml:space="preserve">. </w:t>
      </w:r>
      <w:r w:rsidRPr="00D366B7">
        <w:rPr>
          <w:rFonts w:ascii="Palatino Linotype" w:eastAsia="Palatino Linotype" w:hAnsi="Palatino Linotype" w:cs="Palatino Linotype"/>
          <w:b/>
          <w:i/>
        </w:rPr>
        <w:t>Los sujetos obligados deberán documentar todo acto que derive del ejercicio de sus facultades, competencias o funciones</w:t>
      </w:r>
      <w:r w:rsidRPr="00D366B7">
        <w:rPr>
          <w:rFonts w:ascii="Palatino Linotype" w:eastAsia="Palatino Linotype" w:hAnsi="Palatino Linotype" w:cs="Palatino Linotype"/>
          <w:i/>
        </w:rPr>
        <w:t>, la ley determinará los supuestos específicos bajo los cuales procederá la declaración de inexistencia de la información.”</w:t>
      </w:r>
    </w:p>
    <w:p w:rsidR="00187A1A" w:rsidRPr="00D366B7" w:rsidRDefault="00187A1A" w:rsidP="00C227F6">
      <w:pPr>
        <w:tabs>
          <w:tab w:val="left" w:pos="567"/>
        </w:tabs>
        <w:spacing w:before="240" w:after="240"/>
        <w:ind w:right="1"/>
        <w:jc w:val="both"/>
        <w:rPr>
          <w:rFonts w:ascii="Palatino Linotype" w:eastAsia="Palatino Linotype" w:hAnsi="Palatino Linotype" w:cs="Palatino Linotype"/>
          <w:b/>
          <w:i/>
        </w:rPr>
      </w:pPr>
    </w:p>
    <w:p w:rsidR="007431EC" w:rsidRPr="00D366B7" w:rsidRDefault="004F3EC5" w:rsidP="007431EC">
      <w:pPr>
        <w:numPr>
          <w:ilvl w:val="0"/>
          <w:numId w:val="1"/>
        </w:numPr>
        <w:spacing w:before="240"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D366B7">
        <w:rPr>
          <w:rFonts w:ascii="Palatino Linotype" w:eastAsia="Palatino Linotype" w:hAnsi="Palatino Linotype" w:cs="Palatino Linotype"/>
          <w:i/>
        </w:rPr>
        <w:t>por los principios de simplicidad, rapidez gratuidad del procedimiento, auxilio y orientación a los particulares</w:t>
      </w:r>
      <w:r w:rsidRPr="00D366B7">
        <w:rPr>
          <w:rFonts w:ascii="Palatino Linotype" w:eastAsia="Palatino Linotype" w:hAnsi="Palatino Linotype" w:cs="Palatino Linotype"/>
        </w:rPr>
        <w:t>, contemplando el derecho de las personas con discapacidad y hablantes de lengua indígena.</w:t>
      </w:r>
    </w:p>
    <w:p w:rsidR="007431EC" w:rsidRPr="00D366B7" w:rsidRDefault="007431EC" w:rsidP="007431EC">
      <w:pPr>
        <w:spacing w:before="240" w:line="360" w:lineRule="auto"/>
        <w:ind w:right="1"/>
        <w:jc w:val="both"/>
        <w:rPr>
          <w:rFonts w:ascii="Palatino Linotype" w:eastAsia="Palatino Linotype" w:hAnsi="Palatino Linotype" w:cs="Palatino Linotype"/>
        </w:rPr>
      </w:pPr>
    </w:p>
    <w:p w:rsidR="00187A1A" w:rsidRPr="00D366B7" w:rsidRDefault="004F3EC5" w:rsidP="00C227F6">
      <w:pPr>
        <w:numPr>
          <w:ilvl w:val="0"/>
          <w:numId w:val="1"/>
        </w:numPr>
        <w:spacing w:line="360" w:lineRule="auto"/>
        <w:ind w:left="0" w:right="1" w:firstLine="0"/>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El Derecho de Acceso a la Información se garantiza y respeta oportunamente, y según lo que dispone la Ley, las </w:t>
      </w:r>
      <w:r w:rsidRPr="00D366B7">
        <w:rPr>
          <w:rFonts w:ascii="Palatino Linotype" w:eastAsia="Palatino Linotype" w:hAnsi="Palatino Linotype" w:cs="Palatino Linotype"/>
          <w:i/>
        </w:rPr>
        <w:t>solicitudes de acceso a la información</w:t>
      </w:r>
      <w:r w:rsidRPr="00D366B7">
        <w:rPr>
          <w:rFonts w:ascii="Palatino Linotype" w:eastAsia="Palatino Linotype" w:hAnsi="Palatino Linotype" w:cs="Palatino Linotype"/>
        </w:rPr>
        <w:t>.</w:t>
      </w:r>
    </w:p>
    <w:p w:rsidR="00746824" w:rsidRPr="00D366B7" w:rsidRDefault="00746824" w:rsidP="00746824">
      <w:pPr>
        <w:spacing w:line="360" w:lineRule="auto"/>
        <w:ind w:right="1"/>
        <w:jc w:val="both"/>
        <w:rPr>
          <w:rFonts w:ascii="Palatino Linotype" w:eastAsia="Palatino Linotype" w:hAnsi="Palatino Linotype" w:cs="Palatino Linotype"/>
        </w:rPr>
      </w:pPr>
    </w:p>
    <w:p w:rsidR="00187A1A" w:rsidRPr="00D366B7" w:rsidRDefault="004F3EC5" w:rsidP="00C227F6">
      <w:pPr>
        <w:numPr>
          <w:ilvl w:val="0"/>
          <w:numId w:val="1"/>
        </w:numPr>
        <w:spacing w:line="360" w:lineRule="auto"/>
        <w:ind w:left="0" w:right="1" w:firstLine="0"/>
        <w:jc w:val="both"/>
        <w:rPr>
          <w:rFonts w:ascii="Palatino Linotype" w:eastAsia="Palatino Linotype" w:hAnsi="Palatino Linotype" w:cs="Palatino Linotype"/>
        </w:rPr>
      </w:pPr>
      <w:bookmarkStart w:id="9" w:name="_heading=h.4d34og8" w:colFirst="0" w:colLast="0"/>
      <w:bookmarkEnd w:id="9"/>
      <w:r w:rsidRPr="00D366B7">
        <w:rPr>
          <w:rFonts w:ascii="Palatino Linotype" w:eastAsia="Palatino Linotype" w:hAnsi="Palatino Linotype" w:cs="Palatino Linotype"/>
        </w:rPr>
        <w:t xml:space="preserve">Así entonces, se procede analizar, en primer lugar, si 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87A1A" w:rsidRPr="00D366B7" w:rsidRDefault="004F3EC5" w:rsidP="00C227F6">
      <w:pPr>
        <w:pStyle w:val="Ttulo1"/>
        <w:spacing w:before="0" w:after="240" w:line="360" w:lineRule="auto"/>
        <w:ind w:right="1"/>
        <w:rPr>
          <w:rFonts w:ascii="Palatino Linotype" w:eastAsia="Palatino Linotype" w:hAnsi="Palatino Linotype" w:cs="Palatino Linotype"/>
          <w:b/>
          <w:color w:val="000000"/>
          <w:sz w:val="24"/>
          <w:szCs w:val="24"/>
        </w:rPr>
      </w:pPr>
      <w:bookmarkStart w:id="10" w:name="_heading=h.2s8eyo1" w:colFirst="0" w:colLast="0"/>
      <w:bookmarkEnd w:id="10"/>
      <w:r w:rsidRPr="00D366B7">
        <w:rPr>
          <w:rFonts w:ascii="Palatino Linotype" w:eastAsia="Palatino Linotype" w:hAnsi="Palatino Linotype" w:cs="Palatino Linotype"/>
          <w:b/>
          <w:color w:val="000000"/>
          <w:sz w:val="24"/>
          <w:szCs w:val="24"/>
        </w:rPr>
        <w:t>II. De la información solicitada y la respuesta del SUJETO OBLIGADO</w:t>
      </w:r>
    </w:p>
    <w:p w:rsidR="00187A1A" w:rsidRPr="00D366B7" w:rsidRDefault="004F3EC5" w:rsidP="00C227F6">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552B44" w:rsidRPr="00D366B7" w:rsidRDefault="004F3EC5" w:rsidP="00552B44">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Así, debemos recapitular que el </w:t>
      </w:r>
      <w:r w:rsidRPr="00D366B7">
        <w:rPr>
          <w:rFonts w:ascii="Palatino Linotype" w:eastAsia="Palatino Linotype" w:hAnsi="Palatino Linotype" w:cs="Palatino Linotype"/>
          <w:b/>
          <w:color w:val="000000"/>
        </w:rPr>
        <w:t>RECURRENTE</w:t>
      </w:r>
      <w:r w:rsidRPr="00D366B7">
        <w:rPr>
          <w:rFonts w:ascii="Palatino Linotype" w:eastAsia="Palatino Linotype" w:hAnsi="Palatino Linotype" w:cs="Palatino Linotype"/>
          <w:color w:val="000000"/>
        </w:rPr>
        <w:t xml:space="preserve"> </w:t>
      </w:r>
      <w:r w:rsidR="00552B44" w:rsidRPr="00D366B7">
        <w:rPr>
          <w:rFonts w:ascii="Palatino Linotype" w:eastAsia="Palatino Linotype" w:hAnsi="Palatino Linotype" w:cs="Palatino Linotype"/>
          <w:color w:val="000000"/>
        </w:rPr>
        <w:t xml:space="preserve">solicitó </w:t>
      </w:r>
      <w:r w:rsidR="00746824" w:rsidRPr="00D366B7">
        <w:rPr>
          <w:rFonts w:ascii="Palatino Linotype" w:eastAsia="Palatino Linotype" w:hAnsi="Palatino Linotype" w:cs="Palatino Linotype"/>
          <w:color w:val="000000"/>
        </w:rPr>
        <w:t>el nombre completo y sueldo mensual neto de todos los servidores públicos, de 2022 al 29 de enero de 2025.</w:t>
      </w:r>
    </w:p>
    <w:p w:rsidR="00552B44" w:rsidRPr="00D366B7" w:rsidRDefault="00552B44" w:rsidP="00552B44">
      <w:pPr>
        <w:pStyle w:val="Prrafodelista"/>
        <w:rPr>
          <w:rFonts w:ascii="Palatino Linotype" w:eastAsia="Palatino Linotype" w:hAnsi="Palatino Linotype" w:cs="Palatino Linotype"/>
          <w:color w:val="000000"/>
          <w:sz w:val="24"/>
        </w:rPr>
      </w:pPr>
    </w:p>
    <w:p w:rsidR="00DB3BC1" w:rsidRPr="00D366B7" w:rsidRDefault="00DB3BC1" w:rsidP="00552B44">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En respuesta, </w:t>
      </w:r>
      <w:r w:rsidR="00552B44" w:rsidRPr="00D366B7">
        <w:rPr>
          <w:rFonts w:ascii="Palatino Linotype" w:eastAsia="Palatino Linotype" w:hAnsi="Palatino Linotype" w:cs="Palatino Linotype"/>
          <w:color w:val="000000"/>
        </w:rPr>
        <w:t xml:space="preserve">el </w:t>
      </w:r>
      <w:r w:rsidR="00552B44" w:rsidRPr="00D366B7">
        <w:rPr>
          <w:rFonts w:ascii="Palatino Linotype" w:eastAsia="Palatino Linotype" w:hAnsi="Palatino Linotype" w:cs="Palatino Linotype"/>
          <w:b/>
          <w:color w:val="000000"/>
        </w:rPr>
        <w:t>SUJETO OBLIGADO</w:t>
      </w:r>
      <w:r w:rsidR="00552B44" w:rsidRPr="00D366B7">
        <w:rPr>
          <w:rFonts w:ascii="Palatino Linotype" w:eastAsia="Palatino Linotype" w:hAnsi="Palatino Linotype" w:cs="Palatino Linotype"/>
          <w:color w:val="000000"/>
        </w:rPr>
        <w:t xml:space="preserve"> </w:t>
      </w:r>
      <w:r w:rsidR="00746824" w:rsidRPr="00D366B7">
        <w:rPr>
          <w:rFonts w:ascii="Palatino Linotype" w:eastAsia="Palatino Linotype" w:hAnsi="Palatino Linotype" w:cs="Palatino Linotype"/>
          <w:color w:val="000000"/>
        </w:rPr>
        <w:t xml:space="preserve">por medio del área responsable, refirió que lo solicitado se encuentra en el Portal de Información Pública de Oficio (IPOMEX) y se puede consultar en </w:t>
      </w:r>
      <w:r w:rsidR="00746824" w:rsidRPr="00D366B7">
        <w:rPr>
          <w:rFonts w:ascii="Palatino Linotype" w:hAnsi="Palatino Linotype"/>
          <w:color w:val="000000"/>
        </w:rPr>
        <w:t xml:space="preserve">el siguiente link https://infoem2.ipomex.org.mx/ipomex/#/obligaciones/193 </w:t>
      </w:r>
      <w:r w:rsidR="00F62720" w:rsidRPr="00D366B7">
        <w:rPr>
          <w:rFonts w:ascii="Palatino Linotype" w:hAnsi="Palatino Linotype"/>
          <w:color w:val="000000"/>
        </w:rPr>
        <w:t>ARTÍCULO</w:t>
      </w:r>
      <w:r w:rsidR="00746824" w:rsidRPr="00D366B7">
        <w:rPr>
          <w:rFonts w:ascii="Palatino Linotype" w:hAnsi="Palatino Linotype"/>
          <w:color w:val="000000"/>
        </w:rPr>
        <w:t xml:space="preserve"> 92.</w:t>
      </w:r>
    </w:p>
    <w:p w:rsidR="00187A1A" w:rsidRPr="00D366B7" w:rsidRDefault="004F3EC5" w:rsidP="00DB3BC1">
      <w:pPr>
        <w:pBdr>
          <w:top w:val="nil"/>
          <w:left w:val="nil"/>
          <w:bottom w:val="nil"/>
          <w:right w:val="nil"/>
          <w:between w:val="nil"/>
        </w:pBdr>
        <w:spacing w:line="360" w:lineRule="auto"/>
        <w:ind w:right="1"/>
        <w:rPr>
          <w:rFonts w:ascii="Palatino Linotype" w:eastAsia="Palatino Linotype" w:hAnsi="Palatino Linotype" w:cs="Palatino Linotype"/>
          <w:color w:val="000000"/>
        </w:rPr>
      </w:pPr>
      <w:r w:rsidRPr="00D366B7">
        <w:rPr>
          <w:rFonts w:ascii="Palatino Linotype" w:hAnsi="Palatino Linotype"/>
          <w:noProof/>
        </w:rPr>
        <mc:AlternateContent>
          <mc:Choice Requires="wps">
            <w:drawing>
              <wp:anchor distT="0" distB="0" distL="114300" distR="114300" simplePos="0" relativeHeight="251658240" behindDoc="0" locked="0" layoutInCell="1" hidden="0" allowOverlap="1">
                <wp:simplePos x="0" y="0"/>
                <wp:positionH relativeFrom="column">
                  <wp:posOffset>901700</wp:posOffset>
                </wp:positionH>
                <wp:positionV relativeFrom="paragraph">
                  <wp:posOffset>2794000</wp:posOffset>
                </wp:positionV>
                <wp:extent cx="0" cy="38100"/>
                <wp:effectExtent l="0" t="0" r="0" b="0"/>
                <wp:wrapNone/>
                <wp:docPr id="5" name="Conector recto de flecha 5"/>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w:pict>
              <v:shapetype w14:anchorId="29C51369" id="_x0000_t32" coordsize="21600,21600" o:spt="32" o:oned="t" path="m,l21600,21600e" filled="f">
                <v:path arrowok="t" fillok="f" o:connecttype="none"/>
                <o:lock v:ext="edit" shapetype="t"/>
              </v:shapetype>
              <v:shape id="Conector recto de flecha 5" o:spid="_x0000_s1026" type="#_x0000_t32" style="position:absolute;margin-left:71pt;margin-top:220pt;width:0;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" strokecolor="#c00000" strokeweight="3pt">
                <v:stroke startarrowwidth="narrow" startarrowlength="short" endarrowwidth="narrow" endarrowlength="short" joinstyle="miter"/>
              </v:shape>
            </w:pict>
          </mc:Fallback>
        </mc:AlternateContent>
      </w:r>
    </w:p>
    <w:p w:rsidR="00552B44" w:rsidRPr="00D366B7" w:rsidRDefault="004F3EC5" w:rsidP="00746824">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b/>
          <w:color w:val="000000"/>
        </w:rPr>
      </w:pPr>
      <w:bookmarkStart w:id="11" w:name="_heading=h.17dp8vu" w:colFirst="0" w:colLast="0"/>
      <w:bookmarkEnd w:id="11"/>
      <w:r w:rsidRPr="00D366B7">
        <w:rPr>
          <w:rFonts w:ascii="Palatino Linotype" w:eastAsia="Palatino Linotype" w:hAnsi="Palatino Linotype" w:cs="Palatino Linotype"/>
          <w:color w:val="000000"/>
        </w:rPr>
        <w:t>Posteriormente, el</w:t>
      </w:r>
      <w:r w:rsidRPr="00D366B7">
        <w:rPr>
          <w:rFonts w:ascii="Palatino Linotype" w:eastAsia="Palatino Linotype" w:hAnsi="Palatino Linotype" w:cs="Palatino Linotype"/>
          <w:b/>
          <w:color w:val="000000"/>
        </w:rPr>
        <w:t xml:space="preserve"> RECURRENTE</w:t>
      </w:r>
      <w:r w:rsidRPr="00D366B7">
        <w:rPr>
          <w:rFonts w:ascii="Palatino Linotype" w:eastAsia="Palatino Linotype" w:hAnsi="Palatino Linotype" w:cs="Palatino Linotype"/>
          <w:color w:val="000000"/>
        </w:rPr>
        <w:t xml:space="preserve"> interpuso recurso de revisión, mediante el cual, </w:t>
      </w:r>
      <w:r w:rsidR="00552B44" w:rsidRPr="00D366B7">
        <w:rPr>
          <w:rFonts w:ascii="Palatino Linotype" w:eastAsia="Palatino Linotype" w:hAnsi="Palatino Linotype" w:cs="Palatino Linotype"/>
          <w:color w:val="000000"/>
        </w:rPr>
        <w:t xml:space="preserve">se inconformó por </w:t>
      </w:r>
      <w:r w:rsidR="00552B44" w:rsidRPr="00D366B7">
        <w:rPr>
          <w:rFonts w:ascii="Palatino Linotype" w:eastAsia="Palatino Linotype" w:hAnsi="Palatino Linotype" w:cs="Palatino Linotype"/>
          <w:b/>
          <w:color w:val="000000"/>
        </w:rPr>
        <w:t>la negati</w:t>
      </w:r>
      <w:r w:rsidR="00746824" w:rsidRPr="00D366B7">
        <w:rPr>
          <w:rFonts w:ascii="Palatino Linotype" w:eastAsia="Palatino Linotype" w:hAnsi="Palatino Linotype" w:cs="Palatino Linotype"/>
          <w:b/>
          <w:color w:val="000000"/>
        </w:rPr>
        <w:t>va de la información solicitada</w:t>
      </w:r>
      <w:r w:rsidR="00746824" w:rsidRPr="00D366B7">
        <w:rPr>
          <w:rFonts w:ascii="Palatino Linotype" w:eastAsia="Palatino Linotype" w:hAnsi="Palatino Linotype" w:cs="Palatino Linotype"/>
          <w:color w:val="000000"/>
        </w:rPr>
        <w:t>, en los siguientes términos:</w:t>
      </w:r>
      <w:r w:rsidR="00746824" w:rsidRPr="00D366B7">
        <w:rPr>
          <w:rFonts w:ascii="Palatino Linotype" w:eastAsia="Palatino Linotype" w:hAnsi="Palatino Linotype" w:cs="Palatino Linotype"/>
          <w:b/>
          <w:color w:val="000000"/>
        </w:rPr>
        <w:t xml:space="preserve"> </w:t>
      </w:r>
      <w:r w:rsidR="00746824" w:rsidRPr="00D366B7">
        <w:rPr>
          <w:rFonts w:ascii="Palatino Linotype" w:eastAsia="Palatino Linotype" w:hAnsi="Palatino Linotype" w:cs="Palatino Linotype"/>
          <w:i/>
        </w:rPr>
        <w:t>“</w:t>
      </w:r>
      <w:r w:rsidR="00746824" w:rsidRPr="00D366B7">
        <w:rPr>
          <w:rFonts w:ascii="Palatino Linotype" w:hAnsi="Palatino Linotype"/>
          <w:i/>
          <w:color w:val="000000"/>
        </w:rPr>
        <w:t xml:space="preserve">RESPUESTA A LA SOLICITUD DE INFORMACIÓN REFIERE UNA LIGA ELECTRONICA PARA CONSULTAR LA RESPUESTA, DICHA LIGA </w:t>
      </w:r>
      <w:r w:rsidR="00746824" w:rsidRPr="00D366B7">
        <w:rPr>
          <w:rFonts w:ascii="Palatino Linotype" w:hAnsi="Palatino Linotype"/>
          <w:b/>
          <w:i/>
          <w:color w:val="000000"/>
        </w:rPr>
        <w:t>NO CONTIENE NADA DE INFORMACIÓN,</w:t>
      </w:r>
      <w:r w:rsidR="00746824" w:rsidRPr="00D366B7">
        <w:rPr>
          <w:rFonts w:ascii="Palatino Linotype" w:hAnsi="Palatino Linotype"/>
          <w:i/>
          <w:color w:val="000000"/>
        </w:rPr>
        <w:t xml:space="preserve"> ESTA DESACTUALIZADA, NO CONTINEN NINGUN DATO. SE SOLICITA SE PROPORCIONE LA INFORMACION QUE SE SOLICITO.” (Sic)</w:t>
      </w:r>
    </w:p>
    <w:p w:rsidR="00746824" w:rsidRPr="00D366B7" w:rsidRDefault="00746824" w:rsidP="00746824">
      <w:pPr>
        <w:pBdr>
          <w:top w:val="nil"/>
          <w:left w:val="nil"/>
          <w:bottom w:val="nil"/>
          <w:right w:val="nil"/>
          <w:between w:val="nil"/>
        </w:pBdr>
        <w:spacing w:line="360" w:lineRule="auto"/>
        <w:ind w:right="1"/>
        <w:jc w:val="both"/>
        <w:rPr>
          <w:rFonts w:ascii="Palatino Linotype" w:eastAsia="Palatino Linotype" w:hAnsi="Palatino Linotype" w:cs="Palatino Linotype"/>
          <w:b/>
          <w:color w:val="000000"/>
        </w:rPr>
      </w:pPr>
    </w:p>
    <w:p w:rsidR="00187A1A" w:rsidRPr="00D366B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Ahora bien, es necesario señalar que, </w:t>
      </w:r>
      <w:r w:rsidRPr="00D366B7">
        <w:rPr>
          <w:rFonts w:ascii="Palatino Linotype" w:eastAsia="Palatino Linotype" w:hAnsi="Palatino Linotype" w:cs="Palatino Linotype"/>
          <w:color w:val="222222"/>
        </w:rPr>
        <w:t xml:space="preserve">se obvia el análisis de la competencia por parte del </w:t>
      </w:r>
      <w:r w:rsidRPr="00D366B7">
        <w:rPr>
          <w:rFonts w:ascii="Palatino Linotype" w:eastAsia="Palatino Linotype" w:hAnsi="Palatino Linotype" w:cs="Palatino Linotype"/>
          <w:b/>
          <w:color w:val="222222"/>
        </w:rPr>
        <w:t>SUJETO OBLIGADO</w:t>
      </w:r>
      <w:r w:rsidRPr="00D366B7">
        <w:rPr>
          <w:rFonts w:ascii="Palatino Linotype" w:eastAsia="Palatino Linotype" w:hAnsi="Palatino Linotype" w:cs="Palatino Linotype"/>
          <w:color w:val="222222"/>
        </w:rPr>
        <w:t>, para generar, administrar o poseer la información solicitada, dado que éste ha asumido la misma.</w:t>
      </w:r>
    </w:p>
    <w:p w:rsidR="00552B44" w:rsidRPr="00D366B7" w:rsidRDefault="004F3EC5" w:rsidP="00552B44">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En este sentido, </w:t>
      </w:r>
      <w:r w:rsidRPr="00D366B7">
        <w:rPr>
          <w:rFonts w:ascii="Palatino Linotype" w:eastAsia="Palatino Linotype" w:hAnsi="Palatino Linotype" w:cs="Palatino Linotype"/>
          <w:color w:val="222222"/>
        </w:rPr>
        <w:t xml:space="preserve">el hecho de que </w:t>
      </w:r>
      <w:r w:rsidRPr="00D366B7">
        <w:rPr>
          <w:rFonts w:ascii="Palatino Linotype" w:eastAsia="Palatino Linotype" w:hAnsi="Palatino Linotype" w:cs="Palatino Linotype"/>
          <w:b/>
          <w:color w:val="222222"/>
        </w:rPr>
        <w:t>EL SUJETO OBLIGADO</w:t>
      </w:r>
      <w:r w:rsidRPr="00D366B7">
        <w:rPr>
          <w:rFonts w:ascii="Palatino Linotype" w:eastAsia="Palatino Linotype" w:hAnsi="Palatino Linotype" w:cs="Palatino Linotype"/>
          <w:color w:val="222222"/>
        </w:rPr>
        <w:t xml:space="preserve"> haya asumido contar con la información pública solicitada, acepta que la genera, posee y administra, en ejercicio de sus funciones de derecho público, motivo por el cual se actualiza el supuesto </w:t>
      </w:r>
      <w:r w:rsidRPr="00D366B7">
        <w:rPr>
          <w:rFonts w:ascii="Palatino Linotype" w:eastAsia="Palatino Linotype" w:hAnsi="Palatino Linotype" w:cs="Palatino Linotype"/>
          <w:color w:val="222222"/>
        </w:rPr>
        <w:lastRenderedPageBreak/>
        <w:t>jurídico, previsto en el artículo 12 de la Ley de Transparencia y Acceso a la Información Pública del Estado de México y Municipios.</w:t>
      </w:r>
    </w:p>
    <w:p w:rsidR="00187A1A" w:rsidRPr="00D366B7" w:rsidRDefault="004F3EC5" w:rsidP="00DB3BC1">
      <w:pPr>
        <w:shd w:val="clear" w:color="auto" w:fill="FFFFFF"/>
        <w:ind w:left="567" w:right="568"/>
        <w:jc w:val="both"/>
        <w:rPr>
          <w:rFonts w:ascii="Palatino Linotype" w:eastAsia="Palatino Linotype" w:hAnsi="Palatino Linotype" w:cs="Palatino Linotype"/>
          <w:i/>
          <w:color w:val="222222"/>
        </w:rPr>
      </w:pPr>
      <w:r w:rsidRPr="00D366B7">
        <w:rPr>
          <w:rFonts w:ascii="Palatino Linotype" w:eastAsia="Palatino Linotype" w:hAnsi="Palatino Linotype" w:cs="Palatino Linotype"/>
          <w:i/>
          <w:color w:val="222222"/>
        </w:rPr>
        <w:t>“</w:t>
      </w:r>
      <w:r w:rsidRPr="00D366B7">
        <w:rPr>
          <w:rFonts w:ascii="Palatino Linotype" w:eastAsia="Palatino Linotype" w:hAnsi="Palatino Linotype" w:cs="Palatino Linotype"/>
          <w:b/>
          <w:i/>
          <w:color w:val="222222"/>
        </w:rPr>
        <w:t>Artículo 12.</w:t>
      </w:r>
      <w:r w:rsidRPr="00D366B7">
        <w:rPr>
          <w:rFonts w:ascii="Palatino Linotype" w:eastAsia="Palatino Linotype" w:hAnsi="Palatino Linotype" w:cs="Palatino Linotype"/>
          <w:i/>
          <w:color w:val="222222"/>
        </w:rPr>
        <w:t> Quienes generen, recopilen, administren, manejen, procesen, archiven o conserven información pública serán responsables de la misma en los términos de las disposiciones jurídicas aplicables.</w:t>
      </w:r>
    </w:p>
    <w:p w:rsidR="00187A1A" w:rsidRPr="00D366B7" w:rsidRDefault="00187A1A" w:rsidP="00DB3BC1">
      <w:pPr>
        <w:shd w:val="clear" w:color="auto" w:fill="FFFFFF"/>
        <w:ind w:left="567" w:right="568"/>
        <w:jc w:val="both"/>
        <w:rPr>
          <w:rFonts w:ascii="Palatino Linotype" w:eastAsia="Palatino Linotype" w:hAnsi="Palatino Linotype" w:cs="Palatino Linotype"/>
          <w:color w:val="222222"/>
        </w:rPr>
      </w:pPr>
    </w:p>
    <w:p w:rsidR="00187A1A" w:rsidRPr="00D366B7" w:rsidRDefault="004F3EC5" w:rsidP="00DB3BC1">
      <w:pPr>
        <w:shd w:val="clear" w:color="auto" w:fill="FFFFFF"/>
        <w:ind w:left="567" w:right="568"/>
        <w:jc w:val="both"/>
        <w:rPr>
          <w:rFonts w:ascii="Palatino Linotype" w:eastAsia="Palatino Linotype" w:hAnsi="Palatino Linotype" w:cs="Palatino Linotype"/>
          <w:i/>
          <w:color w:val="222222"/>
        </w:rPr>
      </w:pPr>
      <w:r w:rsidRPr="00D366B7">
        <w:rPr>
          <w:rFonts w:ascii="Palatino Linotype" w:eastAsia="Palatino Linotype" w:hAnsi="Palatino Linotype" w:cs="Palatino Linotype"/>
          <w:i/>
          <w:color w:val="2222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187A1A" w:rsidRPr="00D366B7" w:rsidRDefault="00187A1A" w:rsidP="00DB3BC1">
      <w:pPr>
        <w:pBdr>
          <w:top w:val="nil"/>
          <w:left w:val="nil"/>
          <w:bottom w:val="nil"/>
          <w:right w:val="nil"/>
          <w:between w:val="nil"/>
        </w:pBdr>
        <w:ind w:right="568"/>
        <w:jc w:val="both"/>
        <w:rPr>
          <w:rFonts w:ascii="Palatino Linotype" w:eastAsia="Palatino Linotype" w:hAnsi="Palatino Linotype" w:cs="Palatino Linotype"/>
          <w:color w:val="000000"/>
        </w:rPr>
      </w:pPr>
    </w:p>
    <w:p w:rsidR="00746824" w:rsidRPr="00D366B7" w:rsidRDefault="004F3EC5" w:rsidP="00746824">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Precisado lo anterior, </w:t>
      </w:r>
      <w:r w:rsidRPr="00D366B7">
        <w:rPr>
          <w:rFonts w:ascii="Palatino Linotype" w:eastAsia="Palatino Linotype" w:hAnsi="Palatino Linotype" w:cs="Palatino Linotype"/>
          <w:b/>
        </w:rPr>
        <w:t>no se advierte</w:t>
      </w:r>
      <w:r w:rsidRPr="00D366B7">
        <w:rPr>
          <w:rFonts w:ascii="Palatino Linotype" w:eastAsia="Palatino Linotype" w:hAnsi="Palatino Linotype" w:cs="Palatino Linotype"/>
        </w:rPr>
        <w:t xml:space="preserve"> que la información remitida sirva para atender </w:t>
      </w:r>
      <w:r w:rsidR="00746824" w:rsidRPr="00D366B7">
        <w:rPr>
          <w:rFonts w:ascii="Palatino Linotype" w:eastAsia="Palatino Linotype" w:hAnsi="Palatino Linotype" w:cs="Palatino Linotype"/>
        </w:rPr>
        <w:t>a la solicitud de información, t</w:t>
      </w:r>
      <w:r w:rsidRPr="00D366B7">
        <w:rPr>
          <w:rFonts w:ascii="Palatino Linotype" w:eastAsia="Palatino Linotype" w:hAnsi="Palatino Linotype" w:cs="Palatino Linotype"/>
        </w:rPr>
        <w:t xml:space="preserve">oda vez que, </w:t>
      </w:r>
      <w:r w:rsidR="00746824" w:rsidRPr="00D366B7">
        <w:rPr>
          <w:rFonts w:ascii="Palatino Linotype" w:eastAsia="Palatino Linotype" w:hAnsi="Palatino Linotype" w:cs="Palatino Linotype"/>
        </w:rPr>
        <w:t xml:space="preserve">si bien </w:t>
      </w:r>
      <w:r w:rsidRPr="00D366B7">
        <w:rPr>
          <w:rFonts w:ascii="Palatino Linotype" w:eastAsia="Palatino Linotype" w:hAnsi="Palatino Linotype" w:cs="Palatino Linotype"/>
        </w:rPr>
        <w:t xml:space="preserve">el </w:t>
      </w:r>
      <w:r w:rsidRPr="00D366B7">
        <w:rPr>
          <w:rFonts w:ascii="Palatino Linotype" w:eastAsia="Palatino Linotype" w:hAnsi="Palatino Linotype" w:cs="Palatino Linotype"/>
          <w:b/>
        </w:rPr>
        <w:t>SUJETO OBLIGADO</w:t>
      </w:r>
      <w:r w:rsidR="00DB3BC1" w:rsidRPr="00D366B7">
        <w:rPr>
          <w:rFonts w:ascii="Palatino Linotype" w:eastAsia="Palatino Linotype" w:hAnsi="Palatino Linotype" w:cs="Palatino Linotype"/>
        </w:rPr>
        <w:t xml:space="preserve"> remitió </w:t>
      </w:r>
      <w:r w:rsidR="00746824" w:rsidRPr="00D366B7">
        <w:rPr>
          <w:rFonts w:ascii="Palatino Linotype" w:eastAsia="Palatino Linotype" w:hAnsi="Palatino Linotype" w:cs="Palatino Linotype"/>
        </w:rPr>
        <w:t>un enlace electrónico que dirige</w:t>
      </w:r>
      <w:r w:rsidR="00746824" w:rsidRPr="00D366B7">
        <w:rPr>
          <w:rFonts w:ascii="Palatino Linotype" w:eastAsia="Palatino Linotype" w:hAnsi="Palatino Linotype" w:cs="Palatino Linotype"/>
          <w:color w:val="000000"/>
        </w:rPr>
        <w:t xml:space="preserve"> Portal de Información Pública de Oficio (IPOMEX), donde podría obrar </w:t>
      </w:r>
      <w:r w:rsidR="00B564C0" w:rsidRPr="00D366B7">
        <w:rPr>
          <w:rFonts w:ascii="Palatino Linotype" w:eastAsia="Palatino Linotype" w:hAnsi="Palatino Linotype" w:cs="Palatino Linotype"/>
          <w:color w:val="000000"/>
        </w:rPr>
        <w:t>lo</w:t>
      </w:r>
      <w:r w:rsidR="00746824" w:rsidRPr="00D366B7">
        <w:rPr>
          <w:rFonts w:ascii="Palatino Linotype" w:eastAsia="Palatino Linotype" w:hAnsi="Palatino Linotype" w:cs="Palatino Linotype"/>
          <w:color w:val="000000"/>
        </w:rPr>
        <w:t xml:space="preserve"> solicitad</w:t>
      </w:r>
      <w:r w:rsidR="00B564C0" w:rsidRPr="00D366B7">
        <w:rPr>
          <w:rFonts w:ascii="Palatino Linotype" w:eastAsia="Palatino Linotype" w:hAnsi="Palatino Linotype" w:cs="Palatino Linotype"/>
          <w:color w:val="000000"/>
        </w:rPr>
        <w:t>o</w:t>
      </w:r>
      <w:r w:rsidR="00746824" w:rsidRPr="00D366B7">
        <w:rPr>
          <w:rFonts w:ascii="Palatino Linotype" w:eastAsia="Palatino Linotype" w:hAnsi="Palatino Linotype" w:cs="Palatino Linotype"/>
          <w:color w:val="000000"/>
        </w:rPr>
        <w:t xml:space="preserve"> por tratarse de </w:t>
      </w:r>
      <w:r w:rsidR="00B564C0" w:rsidRPr="00D366B7">
        <w:rPr>
          <w:rFonts w:ascii="Palatino Linotype" w:eastAsia="Palatino Linotype" w:hAnsi="Palatino Linotype" w:cs="Palatino Linotype"/>
          <w:color w:val="000000"/>
        </w:rPr>
        <w:t>una</w:t>
      </w:r>
      <w:r w:rsidR="00746824" w:rsidRPr="00D366B7">
        <w:rPr>
          <w:rFonts w:ascii="Palatino Linotype" w:eastAsia="Palatino Linotype" w:hAnsi="Palatino Linotype" w:cs="Palatino Linotype"/>
          <w:color w:val="000000"/>
        </w:rPr>
        <w:t xml:space="preserve"> obligaci</w:t>
      </w:r>
      <w:r w:rsidR="00B564C0" w:rsidRPr="00D366B7">
        <w:rPr>
          <w:rFonts w:ascii="Palatino Linotype" w:eastAsia="Palatino Linotype" w:hAnsi="Palatino Linotype" w:cs="Palatino Linotype"/>
          <w:color w:val="000000"/>
        </w:rPr>
        <w:t xml:space="preserve">ón de transparencia común, este no dirige a ningún tipo de información. Como se observa </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b/>
          <w:color w:val="000000"/>
        </w:rPr>
      </w:pPr>
    </w:p>
    <w:p w:rsidR="00B564C0" w:rsidRPr="00D366B7" w:rsidRDefault="00B564C0" w:rsidP="00C227F6">
      <w:pPr>
        <w:pBdr>
          <w:top w:val="nil"/>
          <w:left w:val="nil"/>
          <w:bottom w:val="nil"/>
          <w:right w:val="nil"/>
          <w:between w:val="nil"/>
        </w:pBdr>
        <w:spacing w:line="360" w:lineRule="auto"/>
        <w:ind w:right="1"/>
        <w:jc w:val="both"/>
        <w:rPr>
          <w:rFonts w:ascii="Palatino Linotype" w:eastAsia="Palatino Linotype" w:hAnsi="Palatino Linotype" w:cs="Palatino Linotype"/>
          <w:b/>
          <w:color w:val="000000"/>
        </w:rPr>
      </w:pPr>
      <w:r w:rsidRPr="00D366B7">
        <w:rPr>
          <w:rFonts w:ascii="Palatino Linotype" w:eastAsia="Palatino Linotype" w:hAnsi="Palatino Linotype" w:cs="Palatino Linotype"/>
          <w:b/>
          <w:noProof/>
          <w:color w:val="000000"/>
        </w:rPr>
        <w:drawing>
          <wp:inline distT="0" distB="0" distL="0" distR="0" wp14:anchorId="70D1309B" wp14:editId="7BE9C36A">
            <wp:extent cx="5832475" cy="2238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7958"/>
                    <a:stretch/>
                  </pic:blipFill>
                  <pic:spPr bwMode="auto">
                    <a:xfrm>
                      <a:off x="0" y="0"/>
                      <a:ext cx="5832475" cy="2238375"/>
                    </a:xfrm>
                    <a:prstGeom prst="rect">
                      <a:avLst/>
                    </a:prstGeom>
                    <a:ln>
                      <a:noFill/>
                    </a:ln>
                    <a:extLst>
                      <a:ext uri="{53640926-AAD7-44D8-BBD7-CCE9431645EC}">
                        <a14:shadowObscured xmlns:a14="http://schemas.microsoft.com/office/drawing/2010/main"/>
                      </a:ext>
                    </a:extLst>
                  </pic:spPr>
                </pic:pic>
              </a:graphicData>
            </a:graphic>
          </wp:inline>
        </w:drawing>
      </w:r>
    </w:p>
    <w:p w:rsidR="00B564C0" w:rsidRPr="00D366B7" w:rsidRDefault="00B564C0"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lastRenderedPageBreak/>
        <w:t xml:space="preserve">Correlativo a lo anterior, el artículo 92 de la Ley de Transparencia Local, establece lo siguiente: </w:t>
      </w:r>
    </w:p>
    <w:p w:rsidR="00B564C0" w:rsidRPr="00D366B7" w:rsidRDefault="00B564C0" w:rsidP="00B564C0">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B564C0" w:rsidRPr="00D366B7" w:rsidRDefault="00B564C0" w:rsidP="00B564C0">
      <w:pPr>
        <w:pBdr>
          <w:top w:val="nil"/>
          <w:left w:val="nil"/>
          <w:bottom w:val="nil"/>
          <w:right w:val="nil"/>
          <w:between w:val="nil"/>
        </w:pBdr>
        <w:ind w:left="567" w:right="680"/>
        <w:jc w:val="center"/>
        <w:rPr>
          <w:rFonts w:ascii="Palatino Linotype" w:hAnsi="Palatino Linotype"/>
          <w:b/>
          <w:i/>
        </w:rPr>
      </w:pPr>
      <w:r w:rsidRPr="00D366B7">
        <w:rPr>
          <w:rFonts w:ascii="Palatino Linotype" w:hAnsi="Palatino Linotype"/>
          <w:b/>
          <w:i/>
        </w:rPr>
        <w:t>Capítulo II</w:t>
      </w:r>
    </w:p>
    <w:p w:rsidR="00B564C0" w:rsidRPr="00D366B7" w:rsidRDefault="00B564C0" w:rsidP="00B564C0">
      <w:pPr>
        <w:pBdr>
          <w:top w:val="nil"/>
          <w:left w:val="nil"/>
          <w:bottom w:val="nil"/>
          <w:right w:val="nil"/>
          <w:between w:val="nil"/>
        </w:pBdr>
        <w:ind w:left="567" w:right="680"/>
        <w:jc w:val="center"/>
        <w:rPr>
          <w:rFonts w:ascii="Palatino Linotype" w:hAnsi="Palatino Linotype"/>
          <w:b/>
          <w:i/>
        </w:rPr>
      </w:pPr>
      <w:r w:rsidRPr="00D366B7">
        <w:rPr>
          <w:rFonts w:ascii="Palatino Linotype" w:hAnsi="Palatino Linotype"/>
          <w:b/>
          <w:i/>
        </w:rPr>
        <w:t>De las Obligaciones de Transparencia Comunes</w:t>
      </w:r>
    </w:p>
    <w:p w:rsidR="00B564C0" w:rsidRPr="00D366B7" w:rsidRDefault="00B564C0" w:rsidP="00B564C0">
      <w:pPr>
        <w:pBdr>
          <w:top w:val="nil"/>
          <w:left w:val="nil"/>
          <w:bottom w:val="nil"/>
          <w:right w:val="nil"/>
          <w:between w:val="nil"/>
        </w:pBdr>
        <w:ind w:left="567" w:right="680"/>
        <w:jc w:val="both"/>
        <w:rPr>
          <w:rFonts w:ascii="Palatino Linotype" w:hAnsi="Palatino Linotype"/>
          <w:i/>
        </w:rPr>
      </w:pPr>
    </w:p>
    <w:p w:rsidR="00B564C0" w:rsidRPr="00D366B7" w:rsidRDefault="00B564C0" w:rsidP="00B564C0">
      <w:pPr>
        <w:pBdr>
          <w:top w:val="nil"/>
          <w:left w:val="nil"/>
          <w:bottom w:val="nil"/>
          <w:right w:val="nil"/>
          <w:between w:val="nil"/>
        </w:pBdr>
        <w:ind w:left="567" w:right="680"/>
        <w:jc w:val="both"/>
        <w:rPr>
          <w:rFonts w:ascii="Palatino Linotype" w:hAnsi="Palatino Linotype"/>
          <w:i/>
        </w:rPr>
      </w:pPr>
      <w:r w:rsidRPr="00D366B7">
        <w:rPr>
          <w:rFonts w:ascii="Palatino Linotype" w:hAnsi="Palatino Linotype"/>
          <w:b/>
          <w:i/>
        </w:rPr>
        <w:t>“Artículo 92.</w:t>
      </w:r>
      <w:r w:rsidRPr="00D366B7">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B564C0" w:rsidRPr="00D366B7" w:rsidRDefault="00B564C0" w:rsidP="00B564C0">
      <w:pPr>
        <w:pBdr>
          <w:top w:val="nil"/>
          <w:left w:val="nil"/>
          <w:bottom w:val="nil"/>
          <w:right w:val="nil"/>
          <w:between w:val="nil"/>
        </w:pBdr>
        <w:ind w:left="567" w:right="680"/>
        <w:jc w:val="both"/>
        <w:rPr>
          <w:rFonts w:ascii="Palatino Linotype" w:hAnsi="Palatino Linotype"/>
          <w:b/>
          <w:i/>
        </w:rPr>
      </w:pPr>
      <w:r w:rsidRPr="00D366B7">
        <w:rPr>
          <w:rFonts w:ascii="Palatino Linotype" w:hAnsi="Palatino Linotype"/>
          <w:b/>
          <w:i/>
        </w:rPr>
        <w:t>(…)</w:t>
      </w:r>
    </w:p>
    <w:p w:rsidR="00B564C0" w:rsidRPr="00D366B7" w:rsidRDefault="00B564C0" w:rsidP="00B564C0">
      <w:pPr>
        <w:pBdr>
          <w:top w:val="nil"/>
          <w:left w:val="nil"/>
          <w:bottom w:val="nil"/>
          <w:right w:val="nil"/>
          <w:between w:val="nil"/>
        </w:pBdr>
        <w:ind w:left="567" w:right="680"/>
        <w:jc w:val="both"/>
        <w:rPr>
          <w:rFonts w:ascii="Palatino Linotype" w:hAnsi="Palatino Linotype"/>
          <w:b/>
          <w:i/>
        </w:rPr>
      </w:pPr>
    </w:p>
    <w:p w:rsidR="00B564C0" w:rsidRPr="00D366B7" w:rsidRDefault="00B564C0" w:rsidP="00B564C0">
      <w:pPr>
        <w:pBdr>
          <w:top w:val="nil"/>
          <w:left w:val="nil"/>
          <w:bottom w:val="nil"/>
          <w:right w:val="nil"/>
          <w:between w:val="nil"/>
        </w:pBdr>
        <w:ind w:left="567" w:right="680"/>
        <w:jc w:val="both"/>
        <w:rPr>
          <w:rFonts w:ascii="Palatino Linotype" w:hAnsi="Palatino Linotype"/>
          <w:b/>
          <w:i/>
        </w:rPr>
      </w:pPr>
      <w:r w:rsidRPr="00D366B7">
        <w:rPr>
          <w:rFonts w:ascii="Palatino Linotype" w:hAnsi="Palatino Linotype"/>
          <w:b/>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B564C0" w:rsidRPr="00D366B7" w:rsidRDefault="00B564C0" w:rsidP="00B564C0">
      <w:pPr>
        <w:pBdr>
          <w:top w:val="nil"/>
          <w:left w:val="nil"/>
          <w:bottom w:val="nil"/>
          <w:right w:val="nil"/>
          <w:between w:val="nil"/>
        </w:pBdr>
        <w:ind w:left="567" w:right="680"/>
        <w:jc w:val="both"/>
        <w:rPr>
          <w:rFonts w:ascii="Palatino Linotype" w:eastAsia="Palatino Linotype" w:hAnsi="Palatino Linotype" w:cs="Palatino Linotype"/>
          <w:i/>
          <w:color w:val="000000"/>
        </w:rPr>
      </w:pPr>
      <w:r w:rsidRPr="00D366B7">
        <w:rPr>
          <w:rFonts w:ascii="Palatino Linotype" w:hAnsi="Palatino Linotype"/>
          <w:i/>
        </w:rPr>
        <w:t>(…)”</w:t>
      </w:r>
    </w:p>
    <w:p w:rsidR="00B564C0" w:rsidRPr="00D366B7" w:rsidRDefault="00B564C0" w:rsidP="00B564C0">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Ahora bien, </w:t>
      </w:r>
      <w:r w:rsidRPr="00D366B7">
        <w:rPr>
          <w:rFonts w:ascii="Palatino Linotype" w:eastAsia="Palatino Linotype" w:hAnsi="Palatino Linotype" w:cs="Palatino Linotype"/>
        </w:rPr>
        <w:t>resulta conveniente referir lo establecido en el artículo 161 de la citada Ley de Transparencia Local, mismo que se transcribe a continuación:</w:t>
      </w:r>
    </w:p>
    <w:p w:rsidR="00DB3BC1" w:rsidRPr="00D366B7" w:rsidRDefault="00DB3BC1" w:rsidP="00DB3BC1">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F3EC5" w:rsidP="00DB3BC1">
      <w:pPr>
        <w:pBdr>
          <w:top w:val="nil"/>
          <w:left w:val="nil"/>
          <w:bottom w:val="nil"/>
          <w:right w:val="nil"/>
          <w:between w:val="nil"/>
        </w:pBdr>
        <w:spacing w:before="240" w:after="240"/>
        <w:ind w:left="567" w:right="568"/>
        <w:jc w:val="both"/>
        <w:rPr>
          <w:rFonts w:ascii="Palatino Linotype" w:eastAsia="Palatino Linotype" w:hAnsi="Palatino Linotype" w:cs="Palatino Linotype"/>
          <w:i/>
          <w:color w:val="000000"/>
        </w:rPr>
      </w:pPr>
      <w:r w:rsidRPr="00D366B7">
        <w:rPr>
          <w:rFonts w:ascii="Palatino Linotype" w:eastAsia="Palatino Linotype" w:hAnsi="Palatino Linotype" w:cs="Palatino Linotype"/>
          <w:b/>
          <w:i/>
          <w:color w:val="000000"/>
        </w:rPr>
        <w:t>Artículo 161. Cuando la información requerida por el solicitante ya esté disponible</w:t>
      </w:r>
      <w:r w:rsidRPr="00D366B7">
        <w:rPr>
          <w:rFonts w:ascii="Palatino Linotype" w:eastAsia="Palatino Linotype" w:hAnsi="Palatino Linotype" w:cs="Palatino Linotype"/>
          <w:i/>
          <w:color w:val="000000"/>
        </w:rPr>
        <w:t xml:space="preserve"> al público en medios impresos, tales como libros, compendios, trípticos, registros públicos, </w:t>
      </w:r>
      <w:r w:rsidRPr="00D366B7">
        <w:rPr>
          <w:rFonts w:ascii="Palatino Linotype" w:eastAsia="Palatino Linotype" w:hAnsi="Palatino Linotype" w:cs="Palatino Linotype"/>
          <w:b/>
          <w:i/>
          <w:color w:val="000000"/>
        </w:rPr>
        <w:t xml:space="preserve">en formatos electrónicos disponibles en Internet </w:t>
      </w:r>
      <w:r w:rsidRPr="00D366B7">
        <w:rPr>
          <w:rFonts w:ascii="Palatino Linotype" w:eastAsia="Palatino Linotype" w:hAnsi="Palatino Linotype" w:cs="Palatino Linotype"/>
          <w:i/>
          <w:color w:val="000000"/>
        </w:rPr>
        <w:t xml:space="preserve">o en cualquier otro medio, se le hará saber por el medio requerido por el solicitante la fuente, el lugar y la forma en que puede consultar, reproducir o adquirir dicha información </w:t>
      </w:r>
      <w:r w:rsidRPr="00D366B7">
        <w:rPr>
          <w:rFonts w:ascii="Palatino Linotype" w:eastAsia="Palatino Linotype" w:hAnsi="Palatino Linotype" w:cs="Palatino Linotype"/>
          <w:b/>
          <w:i/>
          <w:color w:val="000000"/>
        </w:rPr>
        <w:t>en un plazo no mayor a cinco días hábiles</w:t>
      </w:r>
      <w:r w:rsidRPr="00D366B7">
        <w:rPr>
          <w:rFonts w:ascii="Palatino Linotype" w:eastAsia="Palatino Linotype" w:hAnsi="Palatino Linotype" w:cs="Palatino Linotype"/>
          <w:i/>
          <w:color w:val="000000"/>
        </w:rPr>
        <w:t xml:space="preserve">. </w:t>
      </w:r>
      <w:r w:rsidRPr="00D366B7">
        <w:rPr>
          <w:rFonts w:ascii="Palatino Linotype" w:eastAsia="Palatino Linotype" w:hAnsi="Palatino Linotype" w:cs="Palatino Linotype"/>
          <w:b/>
          <w:i/>
          <w:color w:val="000000"/>
        </w:rPr>
        <w:t>La fuente deberá ser precisa y concreta y no debe implicar que el solicitante realice una búsqueda en toda la información que se encuentre disponible</w:t>
      </w:r>
      <w:r w:rsidRPr="00D366B7">
        <w:rPr>
          <w:rFonts w:ascii="Palatino Linotype" w:eastAsia="Palatino Linotype" w:hAnsi="Palatino Linotype" w:cs="Palatino Linotype"/>
          <w:i/>
          <w:color w:val="000000"/>
        </w:rPr>
        <w:t>.</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En este sentido, toda aquella información que sea requerida por los Particulares pero que, previamente se encuentre disponible en sitios electrónicos, como puede ser de manera enunciativa más no limitativa, el sitio oficial del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o el </w:t>
      </w:r>
      <w:r w:rsidRPr="00D366B7">
        <w:rPr>
          <w:rFonts w:ascii="Palatino Linotype" w:eastAsia="Palatino Linotype" w:hAnsi="Palatino Linotype" w:cs="Palatino Linotype"/>
          <w:b/>
        </w:rPr>
        <w:t>portal IPOMEX</w:t>
      </w:r>
      <w:r w:rsidRPr="00D366B7">
        <w:rPr>
          <w:rFonts w:ascii="Palatino Linotype" w:eastAsia="Palatino Linotype" w:hAnsi="Palatino Linotype" w:cs="Palatino Linotype"/>
        </w:rPr>
        <w:t xml:space="preserve"> o las páginas institucionales. Los Sujetos Obligado pueden indicar la dirección electrónica donde obra la información solicitada, no obstante,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552B44" w:rsidRPr="00D366B7" w:rsidRDefault="00552B44" w:rsidP="00552B44">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En este sentido, </w:t>
      </w:r>
      <w:r w:rsidRPr="00D366B7">
        <w:rPr>
          <w:rFonts w:ascii="Palatino Linotype" w:eastAsia="Palatino Linotype" w:hAnsi="Palatino Linotype" w:cs="Palatino Linotype"/>
          <w:b/>
        </w:rPr>
        <w:t>la orientación</w:t>
      </w:r>
      <w:r w:rsidRPr="00D366B7">
        <w:rPr>
          <w:rFonts w:ascii="Palatino Linotype" w:eastAsia="Palatino Linotype" w:hAnsi="Palatino Linotype" w:cs="Palatino Linotype"/>
        </w:rPr>
        <w:t xml:space="preserve"> que realicen los Sujetos Obligados a los sitios electrónicos para la consulta de la información </w:t>
      </w:r>
      <w:r w:rsidRPr="00D366B7">
        <w:rPr>
          <w:rFonts w:ascii="Palatino Linotype" w:eastAsia="Palatino Linotype" w:hAnsi="Palatino Linotype" w:cs="Palatino Linotype"/>
          <w:b/>
        </w:rPr>
        <w:t>debe cumplir con las características de tiempo y forma.</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Y, para que la orientación se encuentre en tiempo, debe realizarse en un plazo no mayor a cinco días hábiles. En este caso, el </w:t>
      </w:r>
      <w:r w:rsidRPr="00D366B7">
        <w:rPr>
          <w:rFonts w:ascii="Palatino Linotype" w:eastAsia="Palatino Linotype" w:hAnsi="Palatino Linotype" w:cs="Palatino Linotype"/>
          <w:b/>
        </w:rPr>
        <w:t>RECURRENTE</w:t>
      </w:r>
      <w:r w:rsidRPr="00D366B7">
        <w:rPr>
          <w:rFonts w:ascii="Palatino Linotype" w:eastAsia="Palatino Linotype" w:hAnsi="Palatino Linotype" w:cs="Palatino Linotype"/>
        </w:rPr>
        <w:t xml:space="preserve"> presentó su solicitud el </w:t>
      </w:r>
      <w:r w:rsidR="00B564C0" w:rsidRPr="00D366B7">
        <w:rPr>
          <w:rFonts w:ascii="Palatino Linotype" w:eastAsia="Palatino Linotype" w:hAnsi="Palatino Linotype" w:cs="Palatino Linotype"/>
        </w:rPr>
        <w:t>veintinueve de enero de dos mil veinticinco</w:t>
      </w:r>
      <w:r w:rsidRPr="00D366B7">
        <w:rPr>
          <w:rFonts w:ascii="Palatino Linotype" w:eastAsia="Palatino Linotype" w:hAnsi="Palatino Linotype" w:cs="Palatino Linotype"/>
        </w:rPr>
        <w:t xml:space="preserve">, por lo que, el plazo de cinco días hábiles para señalar los sitios electrónicos en donde obra la información transcurrió del </w:t>
      </w:r>
      <w:r w:rsidR="00B564C0" w:rsidRPr="00D366B7">
        <w:rPr>
          <w:rFonts w:ascii="Palatino Linotype" w:eastAsia="Palatino Linotype" w:hAnsi="Palatino Linotype" w:cs="Palatino Linotype"/>
        </w:rPr>
        <w:t>treinta de enero</w:t>
      </w:r>
      <w:r w:rsidRPr="00D366B7">
        <w:rPr>
          <w:rFonts w:ascii="Palatino Linotype" w:eastAsia="Palatino Linotype" w:hAnsi="Palatino Linotype" w:cs="Palatino Linotype"/>
        </w:rPr>
        <w:t xml:space="preserve"> al </w:t>
      </w:r>
      <w:r w:rsidR="00B564C0" w:rsidRPr="00D366B7">
        <w:rPr>
          <w:rFonts w:ascii="Palatino Linotype" w:eastAsia="Palatino Linotype" w:hAnsi="Palatino Linotype" w:cs="Palatino Linotype"/>
        </w:rPr>
        <w:t>seis</w:t>
      </w:r>
      <w:r w:rsidR="00BE06C9" w:rsidRPr="00D366B7">
        <w:rPr>
          <w:rFonts w:ascii="Palatino Linotype" w:eastAsia="Palatino Linotype" w:hAnsi="Palatino Linotype" w:cs="Palatino Linotype"/>
        </w:rPr>
        <w:t xml:space="preserve"> de febrero</w:t>
      </w:r>
      <w:r w:rsidR="00B564C0" w:rsidRPr="00D366B7">
        <w:rPr>
          <w:rFonts w:ascii="Palatino Linotype" w:eastAsia="Palatino Linotype" w:hAnsi="Palatino Linotype" w:cs="Palatino Linotype"/>
        </w:rPr>
        <w:t xml:space="preserve"> de dos mil veinticinco</w:t>
      </w:r>
      <w:r w:rsidRPr="00D366B7">
        <w:rPr>
          <w:rFonts w:ascii="Palatino Linotype" w:eastAsia="Palatino Linotype" w:hAnsi="Palatino Linotype" w:cs="Palatino Linotype"/>
        </w:rPr>
        <w:t xml:space="preserve">, en relación al calendario oficial emitido por el Instituto de Transparencia, Protección de Datos y Acceso a la Información Pública del Estado de México y Municipios; en este caso, 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dio respuesta el </w:t>
      </w:r>
      <w:r w:rsidR="00B564C0" w:rsidRPr="00D366B7">
        <w:rPr>
          <w:rFonts w:ascii="Palatino Linotype" w:eastAsia="Palatino Linotype" w:hAnsi="Palatino Linotype" w:cs="Palatino Linotype"/>
        </w:rPr>
        <w:t>trece de febrero de dos mil veinticinco</w:t>
      </w:r>
      <w:r w:rsidRPr="00D366B7">
        <w:rPr>
          <w:rFonts w:ascii="Palatino Linotype" w:eastAsia="Palatino Linotype" w:hAnsi="Palatino Linotype" w:cs="Palatino Linotype"/>
        </w:rPr>
        <w:t xml:space="preserve">, por lo que </w:t>
      </w:r>
      <w:r w:rsidRPr="00D366B7">
        <w:rPr>
          <w:rFonts w:ascii="Palatino Linotype" w:eastAsia="Palatino Linotype" w:hAnsi="Palatino Linotype" w:cs="Palatino Linotype"/>
        </w:rPr>
        <w:lastRenderedPageBreak/>
        <w:t xml:space="preserve">evidentemente </w:t>
      </w:r>
      <w:r w:rsidRPr="00D366B7">
        <w:rPr>
          <w:rFonts w:ascii="Palatino Linotype" w:eastAsia="Palatino Linotype" w:hAnsi="Palatino Linotype" w:cs="Palatino Linotype"/>
          <w:b/>
        </w:rPr>
        <w:t>se encuentra fuera del plazo que señala la normatividad en materia</w:t>
      </w:r>
      <w:r w:rsidRPr="00D366B7">
        <w:rPr>
          <w:rFonts w:ascii="Palatino Linotype" w:eastAsia="Palatino Linotype" w:hAnsi="Palatino Linotype" w:cs="Palatino Linotype"/>
        </w:rPr>
        <w:t xml:space="preserve">, lo que trae como consecuencia que </w:t>
      </w:r>
      <w:r w:rsidRPr="00D366B7">
        <w:rPr>
          <w:rFonts w:ascii="Palatino Linotype" w:eastAsia="Palatino Linotype" w:hAnsi="Palatino Linotype" w:cs="Palatino Linotype"/>
          <w:b/>
        </w:rPr>
        <w:t>la orientación no se encuentre en tiempo</w:t>
      </w:r>
      <w:r w:rsidRPr="00D366B7">
        <w:rPr>
          <w:rFonts w:ascii="Palatino Linotype" w:eastAsia="Palatino Linotype" w:hAnsi="Palatino Linotype" w:cs="Palatino Linotype"/>
        </w:rPr>
        <w:t>.</w:t>
      </w:r>
    </w:p>
    <w:p w:rsidR="00187A1A" w:rsidRPr="00D366B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DB3BC1" w:rsidRPr="00D366B7" w:rsidRDefault="004F3EC5" w:rsidP="00DB3BC1">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Asimismo, 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w:t>
      </w:r>
      <w:r w:rsidRPr="00D366B7">
        <w:rPr>
          <w:rFonts w:ascii="Palatino Linotype" w:eastAsia="Palatino Linotype" w:hAnsi="Palatino Linotype" w:cs="Palatino Linotype"/>
          <w:b/>
        </w:rPr>
        <w:t xml:space="preserve">no refirió el procedimiento para acceder a la información, </w:t>
      </w:r>
      <w:r w:rsidRPr="00D366B7">
        <w:rPr>
          <w:rFonts w:ascii="Palatino Linotype" w:eastAsia="Palatino Linotype" w:hAnsi="Palatino Linotype" w:cs="Palatino Linotype"/>
        </w:rPr>
        <w:t xml:space="preserve">por lo tanto, </w:t>
      </w:r>
      <w:r w:rsidRPr="00D366B7">
        <w:rPr>
          <w:rFonts w:ascii="Palatino Linotype" w:eastAsia="Palatino Linotype" w:hAnsi="Palatino Linotype" w:cs="Palatino Linotype"/>
          <w:b/>
        </w:rPr>
        <w:t xml:space="preserve">no se cumple el requisito de forma establecido por la Ley en la materia. </w:t>
      </w:r>
      <w:r w:rsidRPr="00D366B7">
        <w:rPr>
          <w:rFonts w:ascii="Palatino Linotype" w:eastAsia="Palatino Linotype" w:hAnsi="Palatino Linotype" w:cs="Palatino Linotype"/>
        </w:rPr>
        <w:t xml:space="preserve">Por tal motivo, las razones y motivos de inconformidad vertidos por el </w:t>
      </w:r>
      <w:r w:rsidRPr="00D366B7">
        <w:rPr>
          <w:rFonts w:ascii="Palatino Linotype" w:eastAsia="Palatino Linotype" w:hAnsi="Palatino Linotype" w:cs="Palatino Linotype"/>
          <w:b/>
        </w:rPr>
        <w:t xml:space="preserve">RECURRENTE </w:t>
      </w:r>
      <w:r w:rsidRPr="00D366B7">
        <w:rPr>
          <w:rFonts w:ascii="Palatino Linotype" w:eastAsia="Palatino Linotype" w:hAnsi="Palatino Linotype" w:cs="Palatino Linotype"/>
        </w:rPr>
        <w:t xml:space="preserve">en el presente recurso de revisión resultan fundados. </w:t>
      </w:r>
    </w:p>
    <w:p w:rsidR="00DB3BC1" w:rsidRPr="00D366B7" w:rsidRDefault="00DB3BC1" w:rsidP="00DB3BC1">
      <w:pPr>
        <w:rPr>
          <w:rFonts w:ascii="Palatino Linotype" w:eastAsia="Palatino Linotype" w:hAnsi="Palatino Linotype" w:cs="Palatino Linotype"/>
        </w:rPr>
      </w:pPr>
    </w:p>
    <w:p w:rsidR="00DB3BC1" w:rsidRPr="00D366B7" w:rsidRDefault="004F3EC5" w:rsidP="00BE06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En consecuencia, no es posible tener por atendido el requerimiento con la entrega de las ligas electrónicas, pues los enlaces no permiten acceder a la información solicitada; razón por la cual, será necesario que 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entregue</w:t>
      </w:r>
      <w:r w:rsidR="00BE06C9" w:rsidRPr="00D366B7">
        <w:rPr>
          <w:rFonts w:ascii="Palatino Linotype" w:eastAsia="Palatino Linotype" w:hAnsi="Palatino Linotype" w:cs="Palatino Linotype"/>
        </w:rPr>
        <w:t>, de ser procedente en versión pública</w:t>
      </w:r>
      <w:r w:rsidR="00DB3BC1" w:rsidRPr="00D366B7">
        <w:rPr>
          <w:rFonts w:ascii="Palatino Linotype" w:eastAsia="Palatino Linotype" w:hAnsi="Palatino Linotype" w:cs="Palatino Linotype"/>
        </w:rPr>
        <w:t>,</w:t>
      </w:r>
      <w:r w:rsidRPr="00D366B7">
        <w:rPr>
          <w:rFonts w:ascii="Palatino Linotype" w:eastAsia="Palatino Linotype" w:hAnsi="Palatino Linotype" w:cs="Palatino Linotype"/>
        </w:rPr>
        <w:t xml:space="preserve"> </w:t>
      </w:r>
      <w:r w:rsidR="00DB3BC1" w:rsidRPr="00D366B7">
        <w:rPr>
          <w:rFonts w:ascii="Palatino Linotype" w:eastAsia="Palatino Linotype" w:hAnsi="Palatino Linotype" w:cs="Palatino Linotype"/>
          <w:b/>
          <w:color w:val="000000"/>
        </w:rPr>
        <w:t xml:space="preserve">el </w:t>
      </w:r>
      <w:r w:rsidR="00BE06C9" w:rsidRPr="00D366B7">
        <w:rPr>
          <w:rFonts w:ascii="Palatino Linotype" w:eastAsia="Palatino Linotype" w:hAnsi="Palatino Linotype" w:cs="Palatino Linotype"/>
          <w:b/>
          <w:color w:val="000000"/>
        </w:rPr>
        <w:t xml:space="preserve">o los </w:t>
      </w:r>
      <w:r w:rsidR="00DB3BC1" w:rsidRPr="00D366B7">
        <w:rPr>
          <w:rFonts w:ascii="Palatino Linotype" w:eastAsia="Palatino Linotype" w:hAnsi="Palatino Linotype" w:cs="Palatino Linotype"/>
          <w:b/>
          <w:color w:val="000000"/>
        </w:rPr>
        <w:t>documento</w:t>
      </w:r>
      <w:r w:rsidR="00BE06C9" w:rsidRPr="00D366B7">
        <w:rPr>
          <w:rFonts w:ascii="Palatino Linotype" w:eastAsia="Palatino Linotype" w:hAnsi="Palatino Linotype" w:cs="Palatino Linotype"/>
          <w:b/>
          <w:color w:val="000000"/>
        </w:rPr>
        <w:t>s</w:t>
      </w:r>
      <w:r w:rsidR="00DB3BC1" w:rsidRPr="00D366B7">
        <w:rPr>
          <w:rFonts w:ascii="Palatino Linotype" w:eastAsia="Palatino Linotype" w:hAnsi="Palatino Linotype" w:cs="Palatino Linotype"/>
          <w:b/>
          <w:color w:val="000000"/>
        </w:rPr>
        <w:t xml:space="preserve"> donde const</w:t>
      </w:r>
      <w:r w:rsidR="00BE06C9" w:rsidRPr="00D366B7">
        <w:rPr>
          <w:rFonts w:ascii="Palatino Linotype" w:eastAsia="Palatino Linotype" w:hAnsi="Palatino Linotype" w:cs="Palatino Linotype"/>
          <w:b/>
          <w:color w:val="000000"/>
        </w:rPr>
        <w:t xml:space="preserve">e </w:t>
      </w:r>
      <w:r w:rsidR="00AC4AB6" w:rsidRPr="00D366B7">
        <w:rPr>
          <w:rFonts w:ascii="Palatino Linotype" w:eastAsia="Palatino Linotype" w:hAnsi="Palatino Linotype" w:cs="Palatino Linotype"/>
          <w:b/>
          <w:color w:val="000000"/>
        </w:rPr>
        <w:t>el nombre completo y sueldo neto de todos los servidores públicos</w:t>
      </w:r>
      <w:r w:rsidR="00AC4AB6" w:rsidRPr="00D366B7">
        <w:rPr>
          <w:rFonts w:ascii="Palatino Linotype" w:hAnsi="Palatino Linotype"/>
          <w:b/>
          <w:color w:val="000000"/>
        </w:rPr>
        <w:t>,</w:t>
      </w:r>
      <w:r w:rsidR="00AC4AB6" w:rsidRPr="00D366B7">
        <w:rPr>
          <w:rFonts w:ascii="Palatino Linotype" w:hAnsi="Palatino Linotype"/>
          <w:color w:val="000000"/>
        </w:rPr>
        <w:t xml:space="preserve"> </w:t>
      </w:r>
      <w:r w:rsidR="00AC4AB6" w:rsidRPr="00D366B7">
        <w:rPr>
          <w:rFonts w:ascii="Palatino Linotype" w:hAnsi="Palatino Linotype"/>
          <w:b/>
          <w:color w:val="000000"/>
        </w:rPr>
        <w:t>del 01 enero de 2022 al 29 de enero de 2025</w:t>
      </w:r>
      <w:r w:rsidR="00AC4AB6" w:rsidRPr="00D366B7">
        <w:rPr>
          <w:rFonts w:ascii="Palatino Linotype" w:eastAsia="Palatino Linotype" w:hAnsi="Palatino Linotype" w:cs="Palatino Linotype"/>
          <w:b/>
          <w:color w:val="000000"/>
        </w:rPr>
        <w:t>.</w:t>
      </w:r>
    </w:p>
    <w:p w:rsidR="00BE06C9" w:rsidRPr="00D366B7" w:rsidRDefault="00BE06C9" w:rsidP="00BE06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511423" w:rsidRPr="00D366B7" w:rsidRDefault="00511423" w:rsidP="00C227F6">
      <w:pPr>
        <w:pBdr>
          <w:top w:val="nil"/>
          <w:left w:val="nil"/>
          <w:bottom w:val="nil"/>
          <w:right w:val="nil"/>
          <w:between w:val="nil"/>
        </w:pBdr>
        <w:spacing w:after="240" w:line="360" w:lineRule="auto"/>
        <w:ind w:right="1"/>
        <w:jc w:val="both"/>
        <w:rPr>
          <w:rFonts w:ascii="Palatino Linotype" w:eastAsia="Palatino Linotype" w:hAnsi="Palatino Linotype" w:cs="Palatino Linotype"/>
          <w:b/>
          <w:color w:val="000000"/>
        </w:rPr>
      </w:pPr>
      <w:r w:rsidRPr="00D366B7">
        <w:rPr>
          <w:rFonts w:ascii="Palatino Linotype" w:eastAsia="Palatino Linotype" w:hAnsi="Palatino Linotype" w:cs="Palatino Linotype"/>
          <w:b/>
          <w:color w:val="000000"/>
        </w:rPr>
        <w:t>QUINTO. VERSIÓN PÚBLICA.</w:t>
      </w:r>
    </w:p>
    <w:p w:rsidR="00271E5A" w:rsidRPr="00D366B7" w:rsidRDefault="00511423" w:rsidP="00C227F6">
      <w:pPr>
        <w:keepNext/>
        <w:keepLines/>
        <w:numPr>
          <w:ilvl w:val="0"/>
          <w:numId w:val="6"/>
        </w:numPr>
        <w:spacing w:line="360" w:lineRule="auto"/>
        <w:ind w:left="284" w:right="1" w:firstLine="0"/>
        <w:rPr>
          <w:rFonts w:ascii="Palatino Linotype" w:eastAsia="Palatino Linotype" w:hAnsi="Palatino Linotype" w:cs="Palatino Linotype"/>
          <w:b/>
          <w:color w:val="000000"/>
        </w:rPr>
      </w:pPr>
      <w:r w:rsidRPr="00D366B7">
        <w:rPr>
          <w:rFonts w:ascii="Palatino Linotype" w:eastAsia="Palatino Linotype" w:hAnsi="Palatino Linotype" w:cs="Palatino Linotype"/>
          <w:b/>
          <w:color w:val="000000"/>
        </w:rPr>
        <w:t xml:space="preserve">Nociones generales. </w:t>
      </w:r>
    </w:p>
    <w:p w:rsidR="00511423" w:rsidRPr="00D366B7" w:rsidRDefault="00511423" w:rsidP="00C227F6">
      <w:pPr>
        <w:keepNext/>
        <w:keepLines/>
        <w:spacing w:line="360" w:lineRule="auto"/>
        <w:ind w:left="284" w:right="1"/>
        <w:rPr>
          <w:rFonts w:ascii="Palatino Linotype" w:eastAsia="Palatino Linotype" w:hAnsi="Palatino Linotype" w:cs="Palatino Linotype"/>
          <w:b/>
          <w:color w:val="000000"/>
        </w:rPr>
      </w:pPr>
    </w:p>
    <w:p w:rsidR="00511423" w:rsidRPr="00D366B7" w:rsidRDefault="00511423"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Debe destacarse que, debido a la naturaleza de la información solicitada</w:t>
      </w:r>
      <w:r w:rsidRPr="00D366B7">
        <w:rPr>
          <w:rFonts w:ascii="Palatino Linotype" w:eastAsia="Palatino Linotype" w:hAnsi="Palatino Linotype" w:cs="Palatino Linotype"/>
          <w:b/>
          <w:color w:val="000000"/>
        </w:rPr>
        <w:t xml:space="preserve">, </w:t>
      </w:r>
      <w:r w:rsidRPr="00D366B7">
        <w:rPr>
          <w:rFonts w:ascii="Palatino Linotype" w:eastAsia="Palatino Linotype" w:hAnsi="Palatino Linotype" w:cs="Palatino Linotype"/>
          <w:color w:val="000000"/>
        </w:rPr>
        <w:t xml:space="preserve">eventualmente pudiera obrar datos personales susceptibles de protegerse, el </w:t>
      </w:r>
      <w:r w:rsidRPr="00D366B7">
        <w:rPr>
          <w:rFonts w:ascii="Palatino Linotype" w:eastAsia="Palatino Linotype" w:hAnsi="Palatino Linotype" w:cs="Palatino Linotype"/>
          <w:b/>
          <w:color w:val="000000"/>
        </w:rPr>
        <w:t xml:space="preserve">Sujeto Obligado </w:t>
      </w:r>
      <w:r w:rsidRPr="00D366B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511423" w:rsidRPr="00D366B7" w:rsidRDefault="00511423" w:rsidP="00C227F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511423" w:rsidRPr="00D366B7" w:rsidRDefault="00511423"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lastRenderedPageBreak/>
        <w:t>No pasa desapercibido para este Órgano Garante que los Sujetos Obligados</w:t>
      </w:r>
      <w:r w:rsidRPr="00D366B7">
        <w:rPr>
          <w:rFonts w:ascii="Palatino Linotype" w:eastAsia="Palatino Linotype" w:hAnsi="Palatino Linotype" w:cs="Palatino Linotype"/>
          <w:b/>
          <w:color w:val="000000"/>
        </w:rPr>
        <w:t xml:space="preserve"> </w:t>
      </w:r>
      <w:r w:rsidRPr="00D366B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511423" w:rsidRPr="00D366B7" w:rsidRDefault="00511423" w:rsidP="00C227F6">
      <w:pPr>
        <w:ind w:right="1"/>
        <w:rPr>
          <w:rFonts w:ascii="Palatino Linotype" w:eastAsia="Calibri" w:hAnsi="Palatino Linotype" w:cs="Arial"/>
          <w:color w:val="000000" w:themeColor="text1"/>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511423" w:rsidRPr="00D366B7" w:rsidTr="004C2EDB">
        <w:tc>
          <w:tcPr>
            <w:tcW w:w="1838" w:type="dxa"/>
          </w:tcPr>
          <w:p w:rsidR="00511423" w:rsidRPr="00D366B7" w:rsidRDefault="00511423" w:rsidP="00C227F6">
            <w:pPr>
              <w:ind w:right="1"/>
              <w:rPr>
                <w:rFonts w:ascii="Palatino Linotype" w:eastAsia="Palatino Linotype" w:hAnsi="Palatino Linotype" w:cs="Palatino Linotype"/>
              </w:rPr>
            </w:pPr>
            <w:r w:rsidRPr="00D366B7">
              <w:rPr>
                <w:rFonts w:ascii="Palatino Linotype" w:eastAsia="Palatino Linotype" w:hAnsi="Palatino Linotype" w:cs="Palatino Linotype"/>
              </w:rPr>
              <w:t>a) Requisitos previos.</w:t>
            </w:r>
          </w:p>
        </w:tc>
        <w:tc>
          <w:tcPr>
            <w:tcW w:w="6990" w:type="dxa"/>
          </w:tcPr>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Al hacerlo tienen que precisar de qué información se trata, señalando el supuesto de clasificación (confidencialidad o reserva).</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Además, se debe señalar el procedimiento, de los tres que establecen los artículos 132 y 106 de la Ley Estatal y General, respectivamente.</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D366B7">
              <w:rPr>
                <w:rFonts w:ascii="Palatino Linotype" w:eastAsia="Palatino Linotype" w:hAnsi="Palatino Linotype" w:cs="Palatino Linotype"/>
                <w:u w:val="single"/>
              </w:rPr>
              <w:t>no se puede hacer un acuerdo para clasificar de manera general todos los documentos de un expediente o área, sin</w:t>
            </w:r>
            <w:r w:rsidRPr="00D366B7">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511423" w:rsidRPr="00D366B7" w:rsidTr="004C2EDB">
        <w:tc>
          <w:tcPr>
            <w:tcW w:w="1838" w:type="dxa"/>
          </w:tcPr>
          <w:p w:rsidR="00511423" w:rsidRPr="00D366B7" w:rsidRDefault="00511423" w:rsidP="00C227F6">
            <w:pPr>
              <w:ind w:right="1"/>
              <w:rPr>
                <w:rFonts w:ascii="Palatino Linotype" w:eastAsia="Palatino Linotype" w:hAnsi="Palatino Linotype" w:cs="Palatino Linotype"/>
              </w:rPr>
            </w:pPr>
            <w:r w:rsidRPr="00D366B7">
              <w:rPr>
                <w:rFonts w:ascii="Palatino Linotype" w:eastAsia="Palatino Linotype" w:hAnsi="Palatino Linotype" w:cs="Palatino Linotype"/>
              </w:rPr>
              <w:t>b) Supuestos de clasificación.</w:t>
            </w:r>
          </w:p>
        </w:tc>
        <w:tc>
          <w:tcPr>
            <w:tcW w:w="6990" w:type="dxa"/>
          </w:tcPr>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D366B7">
              <w:rPr>
                <w:rFonts w:ascii="Palatino Linotype" w:eastAsia="Palatino Linotype" w:hAnsi="Palatino Linotype" w:cs="Palatino Linotype"/>
              </w:rPr>
              <w:lastRenderedPageBreak/>
              <w:t>debe realizarse de manera restrictiva y limitada, por lo que debe acreditarse que se cumple con esta condición y no se pueden ampliar las excepciones o supuestos de clasificación aduciendo analogía o mayoría de razón.</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11423" w:rsidRPr="00D366B7" w:rsidTr="004C2EDB">
        <w:tc>
          <w:tcPr>
            <w:tcW w:w="1838" w:type="dxa"/>
          </w:tcPr>
          <w:p w:rsidR="00511423" w:rsidRPr="00D366B7" w:rsidRDefault="00511423" w:rsidP="00C227F6">
            <w:pPr>
              <w:ind w:right="1"/>
              <w:rPr>
                <w:rFonts w:ascii="Palatino Linotype" w:eastAsia="Palatino Linotype" w:hAnsi="Palatino Linotype" w:cs="Palatino Linotype"/>
              </w:rPr>
            </w:pPr>
            <w:r w:rsidRPr="00D366B7">
              <w:rPr>
                <w:rFonts w:ascii="Palatino Linotype" w:eastAsia="Palatino Linotype" w:hAnsi="Palatino Linotype" w:cs="Palatino Linotype"/>
              </w:rPr>
              <w:lastRenderedPageBreak/>
              <w:t>c) Formalidades para emitir el acuerdo de clasificación.</w:t>
            </w:r>
          </w:p>
        </w:tc>
        <w:tc>
          <w:tcPr>
            <w:tcW w:w="6990" w:type="dxa"/>
          </w:tcPr>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Es necesario que </w:t>
            </w:r>
            <w:r w:rsidRPr="00D366B7">
              <w:rPr>
                <w:rFonts w:ascii="Palatino Linotype" w:eastAsia="Palatino Linotype" w:hAnsi="Palatino Linotype" w:cs="Palatino Linotype"/>
                <w:b/>
                <w:u w:val="single"/>
              </w:rPr>
              <w:t>el acto reúna con los requisitos elementales</w:t>
            </w:r>
            <w:r w:rsidRPr="00D366B7">
              <w:rPr>
                <w:rFonts w:ascii="Palatino Linotype" w:eastAsia="Palatino Linotype" w:hAnsi="Palatino Linotype" w:cs="Palatino Linotype"/>
              </w:rPr>
              <w:t>, entre ellos, que la autoridad que va a emitir el acto de autoridad sea la legalmente facultada para ello.</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11423" w:rsidRPr="00D366B7" w:rsidTr="004C2EDB">
        <w:tc>
          <w:tcPr>
            <w:tcW w:w="1838" w:type="dxa"/>
          </w:tcPr>
          <w:p w:rsidR="00511423" w:rsidRPr="00D366B7" w:rsidRDefault="00511423" w:rsidP="00C227F6">
            <w:pPr>
              <w:ind w:right="1"/>
              <w:rPr>
                <w:rFonts w:ascii="Palatino Linotype" w:eastAsia="Palatino Linotype" w:hAnsi="Palatino Linotype" w:cs="Palatino Linotype"/>
              </w:rPr>
            </w:pP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d) Requisitos de fondo del acuerdo de clasificación. </w:t>
            </w:r>
          </w:p>
        </w:tc>
        <w:tc>
          <w:tcPr>
            <w:tcW w:w="6990" w:type="dxa"/>
          </w:tcPr>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366B7">
              <w:rPr>
                <w:rFonts w:ascii="Palatino Linotype" w:eastAsia="Palatino Linotype" w:hAnsi="Palatino Linotype" w:cs="Palatino Linotype"/>
                <w:b/>
              </w:rPr>
              <w:t>Sujetos Obligados</w:t>
            </w:r>
            <w:r w:rsidRPr="00D366B7">
              <w:rPr>
                <w:rFonts w:ascii="Palatino Linotype" w:eastAsia="Palatino Linotype" w:hAnsi="Palatino Linotype" w:cs="Palatino Linotype"/>
              </w:rPr>
              <w:t xml:space="preserve">, por lo que deberán fundar y motivar debidamente la clasificación. </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De lo anterior, se desprende que para una correcta </w:t>
            </w:r>
            <w:r w:rsidRPr="00D366B7">
              <w:rPr>
                <w:rFonts w:ascii="Palatino Linotype" w:eastAsia="Palatino Linotype" w:hAnsi="Palatino Linotype" w:cs="Palatino Linotype"/>
                <w:b/>
              </w:rPr>
              <w:t>clasificación total o parcial</w:t>
            </w:r>
            <w:r w:rsidRPr="00D366B7">
              <w:rPr>
                <w:rFonts w:ascii="Palatino Linotype" w:eastAsia="Palatino Linotype" w:hAnsi="Palatino Linotype" w:cs="Palatino Linotype"/>
              </w:rPr>
              <w:t xml:space="preserve">, esto es determinar los datos que se suprimen en las versiones públicas, es necesario fundar y motivar, de manera </w:t>
            </w:r>
            <w:r w:rsidRPr="00D366B7">
              <w:rPr>
                <w:rFonts w:ascii="Palatino Linotype" w:eastAsia="Palatino Linotype" w:hAnsi="Palatino Linotype" w:cs="Palatino Linotype"/>
              </w:rPr>
              <w:lastRenderedPageBreak/>
              <w:t>correcta, la clasificación; considerando que todo acto que la autoridad pronuncie en el ejercicio de sus atribuciones, debe expresar los fundamentos legales que le dieron origen y las razones por las que se deben aplicar al caso concreto.</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Ahora bien, </w:t>
            </w:r>
            <w:r w:rsidRPr="00D366B7">
              <w:rPr>
                <w:rFonts w:ascii="Palatino Linotype" w:eastAsia="Palatino Linotype" w:hAnsi="Palatino Linotype" w:cs="Palatino Linotype"/>
                <w:b/>
                <w:u w:val="single"/>
              </w:rPr>
              <w:t>para cada caso además de fundar y motivar</w:t>
            </w:r>
            <w:r w:rsidRPr="00D366B7">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11423" w:rsidRPr="00D366B7" w:rsidTr="004C2EDB">
        <w:tc>
          <w:tcPr>
            <w:tcW w:w="1838" w:type="dxa"/>
          </w:tcPr>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511423" w:rsidRPr="00D366B7" w:rsidRDefault="00511423" w:rsidP="00C227F6">
            <w:pPr>
              <w:ind w:right="1"/>
              <w:jc w:val="both"/>
              <w:rPr>
                <w:rFonts w:ascii="Palatino Linotype" w:eastAsia="Palatino Linotype" w:hAnsi="Palatino Linotype" w:cs="Palatino Linotype"/>
              </w:rPr>
            </w:pPr>
            <w:r w:rsidRPr="00D366B7">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11423" w:rsidRPr="00D366B7" w:rsidRDefault="00511423" w:rsidP="00C227F6">
            <w:pPr>
              <w:ind w:right="1"/>
              <w:rPr>
                <w:rFonts w:ascii="Palatino Linotype" w:eastAsia="Palatino Linotype" w:hAnsi="Palatino Linotype" w:cs="Palatino Linotype"/>
              </w:rPr>
            </w:pPr>
            <w:r w:rsidRPr="00D366B7">
              <w:rPr>
                <w:rFonts w:ascii="Palatino Linotype" w:eastAsia="Palatino Linotype" w:hAnsi="Palatino Linotype" w:cs="Palatino Linotype"/>
              </w:rPr>
              <w:t xml:space="preserve">Pero si la información que se pretende clasificar como confidencial no se encuentra en los supuestos de los artículos señalados y es posible, se deberá consultar al titular de los </w:t>
            </w:r>
            <w:r w:rsidRPr="00D366B7">
              <w:rPr>
                <w:rFonts w:ascii="Palatino Linotype" w:eastAsia="Palatino Linotype" w:hAnsi="Palatino Linotype" w:cs="Palatino Linotype"/>
              </w:rPr>
              <w:lastRenderedPageBreak/>
              <w:t>datos si permite o no el acceso. De no ser posible, la realización de la consulta, procede, fundando y motivando, la clasificación.</w:t>
            </w:r>
          </w:p>
        </w:tc>
      </w:tr>
    </w:tbl>
    <w:p w:rsidR="00BE06C9" w:rsidRPr="00D366B7" w:rsidRDefault="00BE06C9" w:rsidP="00BE06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pStyle w:val="Prrafodelista"/>
        <w:numPr>
          <w:ilvl w:val="0"/>
          <w:numId w:val="12"/>
        </w:numPr>
        <w:tabs>
          <w:tab w:val="left" w:pos="426"/>
        </w:tabs>
        <w:spacing w:line="360" w:lineRule="auto"/>
        <w:ind w:right="51"/>
        <w:jc w:val="both"/>
        <w:rPr>
          <w:rFonts w:ascii="Palatino Linotype" w:eastAsia="Palatino Linotype" w:hAnsi="Palatino Linotype" w:cs="Palatino Linotype"/>
          <w:b/>
          <w:sz w:val="24"/>
        </w:rPr>
      </w:pPr>
      <w:r w:rsidRPr="00D366B7">
        <w:rPr>
          <w:rFonts w:ascii="Palatino Linotype" w:eastAsia="Palatino Linotype" w:hAnsi="Palatino Linotype" w:cs="Palatino Linotype"/>
          <w:b/>
          <w:sz w:val="24"/>
        </w:rPr>
        <w:t>Del análisis de los datos</w:t>
      </w:r>
      <w:r w:rsidR="00AC4AB6" w:rsidRPr="00D366B7">
        <w:rPr>
          <w:rFonts w:ascii="Palatino Linotype" w:eastAsia="Palatino Linotype" w:hAnsi="Palatino Linotype" w:cs="Palatino Linotype"/>
          <w:b/>
          <w:sz w:val="24"/>
        </w:rPr>
        <w:t xml:space="preserve"> susceptibles de ser protegidos en la nómina.</w:t>
      </w:r>
    </w:p>
    <w:p w:rsidR="007743C9" w:rsidRPr="00D366B7" w:rsidRDefault="007743C9" w:rsidP="007743C9">
      <w:pPr>
        <w:tabs>
          <w:tab w:val="left" w:pos="426"/>
        </w:tabs>
        <w:spacing w:line="360" w:lineRule="auto"/>
        <w:ind w:right="51"/>
        <w:jc w:val="both"/>
        <w:rPr>
          <w:rFonts w:ascii="Palatino Linotype" w:eastAsia="Palatino Linotype" w:hAnsi="Palatino Linotype" w:cs="Palatino Linotype"/>
          <w:b/>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Arial"/>
          <w:color w:val="000000" w:themeColor="text1"/>
          <w:lang w:val="es-ES"/>
        </w:rPr>
        <w:t xml:space="preserve">Bajo </w:t>
      </w:r>
      <w:r w:rsidRPr="00D366B7">
        <w:rPr>
          <w:rFonts w:ascii="Palatino Linotype" w:eastAsia="Palatino Linotype" w:hAnsi="Palatino Linotype" w:cs="Palatino Linotype"/>
        </w:rPr>
        <w:t xml:space="preserve">lo anterior, es importante analizar los datos personales susceptibles de ser protegidos, que pudieran estar contenidos en los documentos donde obra lo requerido, tales como </w:t>
      </w:r>
      <w:r w:rsidRPr="00D366B7">
        <w:rPr>
          <w:rFonts w:ascii="Palatino Linotype" w:eastAsia="Palatino Linotype" w:hAnsi="Palatino Linotype" w:cs="Palatino Linotype"/>
          <w:b/>
        </w:rPr>
        <w:t xml:space="preserve">Registro Federal de Contribuyentes (RFC), </w:t>
      </w:r>
      <w:r w:rsidRPr="00D366B7">
        <w:rPr>
          <w:rFonts w:ascii="Palatino Linotype" w:eastAsia="Palatino Linotype" w:hAnsi="Palatino Linotype" w:cs="Palatino Linotype"/>
        </w:rPr>
        <w:t xml:space="preserve">la </w:t>
      </w:r>
      <w:r w:rsidRPr="00D366B7">
        <w:rPr>
          <w:rFonts w:ascii="Palatino Linotype" w:eastAsia="Palatino Linotype" w:hAnsi="Palatino Linotype" w:cs="Palatino Linotype"/>
          <w:b/>
        </w:rPr>
        <w:t>Clave Única de Registro de Población (CURP)</w:t>
      </w:r>
      <w:r w:rsidRPr="00D366B7">
        <w:rPr>
          <w:rFonts w:ascii="Palatino Linotype" w:eastAsia="Palatino Linotype" w:hAnsi="Palatino Linotype" w:cs="Palatino Linotype"/>
        </w:rPr>
        <w:t xml:space="preserve">, la </w:t>
      </w:r>
      <w:r w:rsidRPr="00D366B7">
        <w:rPr>
          <w:rFonts w:ascii="Palatino Linotype" w:eastAsia="Palatino Linotype" w:hAnsi="Palatino Linotype" w:cs="Palatino Linotype"/>
          <w:b/>
        </w:rPr>
        <w:t xml:space="preserve">Clave de ISSEMyM </w:t>
      </w:r>
      <w:r w:rsidRPr="00D366B7">
        <w:rPr>
          <w:rFonts w:ascii="Palatino Linotype" w:eastAsia="Palatino Linotype" w:hAnsi="Palatino Linotype" w:cs="Palatino Linotype"/>
        </w:rPr>
        <w:t xml:space="preserve">u análogos, </w:t>
      </w:r>
      <w:r w:rsidRPr="00D366B7">
        <w:rPr>
          <w:rFonts w:ascii="Palatino Linotype" w:eastAsia="Palatino Linotype" w:hAnsi="Palatino Linotype" w:cs="Palatino Linotype"/>
          <w:b/>
        </w:rPr>
        <w:t xml:space="preserve">préstamos o descuentos </w:t>
      </w:r>
      <w:r w:rsidRPr="00D366B7">
        <w:rPr>
          <w:rFonts w:ascii="Palatino Linotype" w:eastAsia="Palatino Linotype" w:hAnsi="Palatino Linotype" w:cs="Palatino Linotype"/>
        </w:rPr>
        <w:t xml:space="preserve">realizados al servidor público y la </w:t>
      </w:r>
      <w:r w:rsidRPr="00D366B7">
        <w:rPr>
          <w:rFonts w:ascii="Palatino Linotype" w:eastAsia="Palatino Linotype" w:hAnsi="Palatino Linotype" w:cs="Palatino Linotype"/>
          <w:b/>
        </w:rPr>
        <w:t>clave interbancaria de depósito.</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tabs>
          <w:tab w:val="left" w:pos="426"/>
        </w:tabs>
        <w:spacing w:line="360" w:lineRule="auto"/>
        <w:ind w:right="51"/>
        <w:jc w:val="both"/>
        <w:rPr>
          <w:rFonts w:ascii="Palatino Linotype" w:eastAsia="Palatino Linotype" w:hAnsi="Palatino Linotype" w:cs="Palatino Linotype"/>
          <w:b/>
        </w:rPr>
      </w:pPr>
      <w:r w:rsidRPr="00D366B7">
        <w:rPr>
          <w:rFonts w:ascii="Palatino Linotype" w:eastAsia="Palatino Linotype" w:hAnsi="Palatino Linotype" w:cs="Palatino Linotype"/>
          <w:b/>
        </w:rPr>
        <w:t>a) Del Registro Federal de Contribuyentes.</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Las personas físicas obligadas a presentar declaraciones o expedir comprobantes fiscales, deberán solicitar su inscripción en el Registro Federal de Contribuyentes. La clave del RFC es el medio por el cual el Servicio de Administración Tributaria exige y </w:t>
      </w:r>
      <w:r w:rsidRPr="00D366B7">
        <w:rPr>
          <w:rFonts w:ascii="Palatino Linotype" w:eastAsia="Palatino Linotype" w:hAnsi="Palatino Linotype" w:cs="Palatino Linotype"/>
        </w:rPr>
        <w:lastRenderedPageBreak/>
        <w:t>vigila el cumplimiento de las obligaciones fiscales de los contribuyentes, además que identifica como contribuyentes a las personas físicas o morales en nuestro país.</w:t>
      </w:r>
    </w:p>
    <w:p w:rsidR="007743C9" w:rsidRPr="00D366B7" w:rsidRDefault="007743C9" w:rsidP="007743C9">
      <w:pPr>
        <w:pStyle w:val="Prrafodelista"/>
        <w:rPr>
          <w:rFonts w:ascii="Palatino Linotype" w:eastAsia="Palatino Linotype" w:hAnsi="Palatino Linotype" w:cs="Palatino Linotype"/>
          <w:sz w:val="24"/>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En el mismo sentido, resulta aplicable el Criterio 19/17 emitido por el Instituto Nacional de Transparencia, Acceso a la Información, y Protección de Datos Personales, en el cual se señala lo siguiente:</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rPr>
      </w:pPr>
    </w:p>
    <w:p w:rsidR="007743C9" w:rsidRPr="00D366B7" w:rsidRDefault="007743C9" w:rsidP="007743C9">
      <w:pPr>
        <w:shd w:val="clear" w:color="auto" w:fill="FFFFFF"/>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REGISTRO FEDERAL DE CONTRIBUYENTES (RFC) DE PERSONAS FÍSICAS.</w:t>
      </w:r>
      <w:r w:rsidRPr="00D366B7">
        <w:rPr>
          <w:rFonts w:ascii="Palatino Linotype" w:eastAsia="Palatino Linotype" w:hAnsi="Palatino Linotype" w:cs="Palatino Linotype"/>
          <w:i/>
        </w:rPr>
        <w:t xml:space="preserve"> “El RFC es una clave de carácter fiscal, única e irrepetible, que permite identificar al titular, su edad y fecha de nacimiento, por lo que es un dato personal de carácter confidencial.”</w:t>
      </w:r>
    </w:p>
    <w:p w:rsidR="007743C9" w:rsidRPr="00D366B7" w:rsidRDefault="007743C9" w:rsidP="007743C9">
      <w:pPr>
        <w:tabs>
          <w:tab w:val="left" w:pos="426"/>
        </w:tabs>
        <w:spacing w:line="360" w:lineRule="auto"/>
        <w:ind w:right="51"/>
        <w:jc w:val="both"/>
        <w:rPr>
          <w:rFonts w:ascii="Palatino Linotype" w:eastAsia="Palatino Linotype" w:hAnsi="Palatino Linotype" w:cs="Palatino Linotype"/>
        </w:rPr>
      </w:pPr>
    </w:p>
    <w:p w:rsidR="007743C9" w:rsidRPr="00D366B7" w:rsidRDefault="007743C9" w:rsidP="007743C9">
      <w:pPr>
        <w:tabs>
          <w:tab w:val="left" w:pos="426"/>
        </w:tabs>
        <w:spacing w:line="360" w:lineRule="auto"/>
        <w:ind w:right="51"/>
        <w:jc w:val="both"/>
        <w:rPr>
          <w:rFonts w:ascii="Palatino Linotype" w:eastAsia="Palatino Linotype" w:hAnsi="Palatino Linotype" w:cs="Palatino Linotype"/>
          <w:b/>
        </w:rPr>
      </w:pPr>
      <w:r w:rsidRPr="00D366B7">
        <w:rPr>
          <w:rFonts w:ascii="Palatino Linotype" w:eastAsia="Palatino Linotype" w:hAnsi="Palatino Linotype" w:cs="Palatino Linotype"/>
          <w:b/>
        </w:rPr>
        <w:t>b) De la Clave Única de Registro de Población.</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La Clave Única de Registro de Población (CURP) según lo establecido en el Instructivo Normativo para la Asignación de la Clave Única de Registro de Población, </w:t>
      </w:r>
      <w:r w:rsidRPr="00D366B7">
        <w:rPr>
          <w:rFonts w:ascii="Palatino Linotype" w:eastAsia="Palatino Linotype" w:hAnsi="Palatino Linotype" w:cs="Palatino Linotype"/>
        </w:rPr>
        <w:lastRenderedPageBreak/>
        <w:t>la CURP es un elemento que permite registrar de forma individual a las o los mexicanos, así como a los extranjeros que se encuentren en condiciones de estancia regular en el país o en trámite de ésta, se integra por dieciocho (18) caracteres, los cuales son:</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pBdr>
          <w:top w:val="nil"/>
          <w:left w:val="nil"/>
          <w:bottom w:val="nil"/>
          <w:right w:val="nil"/>
          <w:between w:val="nil"/>
        </w:pBdr>
        <w:spacing w:line="360" w:lineRule="auto"/>
        <w:ind w:right="1"/>
        <w:jc w:val="center"/>
        <w:rPr>
          <w:rFonts w:ascii="Palatino Linotype" w:eastAsia="Palatino Linotype" w:hAnsi="Palatino Linotype" w:cs="Palatino Linotype"/>
          <w:color w:val="000000"/>
        </w:rPr>
      </w:pPr>
      <w:r w:rsidRPr="00D366B7">
        <w:rPr>
          <w:rFonts w:ascii="Palatino Linotype" w:hAnsi="Palatino Linotype"/>
          <w:noProof/>
        </w:rPr>
        <w:drawing>
          <wp:inline distT="0" distB="0" distL="0" distR="0" wp14:anchorId="56BB6DAC" wp14:editId="6F6B3221">
            <wp:extent cx="2572603" cy="2306471"/>
            <wp:effectExtent l="19050" t="19050" r="18415" b="1778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9"/>
                    <a:srcRect l="25748" t="8269" r="41254" b="18081"/>
                    <a:stretch>
                      <a:fillRect/>
                    </a:stretch>
                  </pic:blipFill>
                  <pic:spPr>
                    <a:xfrm>
                      <a:off x="0" y="0"/>
                      <a:ext cx="2590089" cy="2322149"/>
                    </a:xfrm>
                    <a:prstGeom prst="rect">
                      <a:avLst/>
                    </a:prstGeom>
                    <a:ln w="12700">
                      <a:solidFill>
                        <a:srgbClr val="000000"/>
                      </a:solidFill>
                      <a:prstDash val="solid"/>
                    </a:ln>
                  </pic:spPr>
                </pic:pic>
              </a:graphicData>
            </a:graphic>
          </wp:inline>
        </w:drawing>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Entre las características de la CURP, se encuentra:</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rPr>
      </w:pPr>
    </w:p>
    <w:p w:rsidR="007743C9" w:rsidRPr="00D366B7" w:rsidRDefault="007743C9" w:rsidP="007743C9">
      <w:pPr>
        <w:tabs>
          <w:tab w:val="left" w:pos="426"/>
          <w:tab w:val="left" w:pos="567"/>
        </w:tabs>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 xml:space="preserve">Composición. </w:t>
      </w:r>
      <w:r w:rsidRPr="00D366B7">
        <w:rPr>
          <w:rFonts w:ascii="Palatino Linotype" w:eastAsia="Palatino Linotype" w:hAnsi="Palatino Linotype" w:cs="Palatino Linotype"/>
          <w:i/>
        </w:rPr>
        <w:t>Alfanumérica.</w:t>
      </w:r>
    </w:p>
    <w:p w:rsidR="007743C9" w:rsidRPr="00D366B7" w:rsidRDefault="007743C9" w:rsidP="007743C9">
      <w:pPr>
        <w:tabs>
          <w:tab w:val="left" w:pos="426"/>
          <w:tab w:val="left" w:pos="567"/>
        </w:tabs>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 xml:space="preserve">Longitud. </w:t>
      </w:r>
      <w:r w:rsidRPr="00D366B7">
        <w:rPr>
          <w:rFonts w:ascii="Palatino Linotype" w:eastAsia="Palatino Linotype" w:hAnsi="Palatino Linotype" w:cs="Palatino Linotype"/>
          <w:i/>
        </w:rPr>
        <w:t xml:space="preserve"> 18 caracteres.</w:t>
      </w:r>
    </w:p>
    <w:p w:rsidR="007743C9" w:rsidRPr="00D366B7" w:rsidRDefault="007743C9" w:rsidP="007743C9">
      <w:pPr>
        <w:tabs>
          <w:tab w:val="left" w:pos="426"/>
          <w:tab w:val="left" w:pos="567"/>
        </w:tabs>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 xml:space="preserve">Naturaleza. </w:t>
      </w:r>
      <w:r w:rsidRPr="00D366B7">
        <w:rPr>
          <w:rFonts w:ascii="Palatino Linotype" w:eastAsia="Palatino Linotype" w:hAnsi="Palatino Linotype" w:cs="Palatino Linotype"/>
          <w:i/>
        </w:rPr>
        <w:t>Biunívoca.</w:t>
      </w:r>
    </w:p>
    <w:p w:rsidR="007743C9" w:rsidRPr="00D366B7" w:rsidRDefault="007743C9" w:rsidP="007743C9">
      <w:pPr>
        <w:tabs>
          <w:tab w:val="left" w:pos="426"/>
          <w:tab w:val="left" w:pos="567"/>
        </w:tabs>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 xml:space="preserve">Universalidad. </w:t>
      </w:r>
      <w:r w:rsidRPr="00D366B7">
        <w:rPr>
          <w:rFonts w:ascii="Palatino Linotype" w:eastAsia="Palatino Linotype" w:hAnsi="Palatino Linotype" w:cs="Palatino Linotype"/>
          <w:i/>
        </w:rPr>
        <w:t>Se asigna a todas las personas que conforman la población.</w:t>
      </w:r>
    </w:p>
    <w:p w:rsidR="007743C9" w:rsidRPr="00D366B7" w:rsidRDefault="007743C9" w:rsidP="00AC4AB6">
      <w:pPr>
        <w:tabs>
          <w:tab w:val="left" w:pos="142"/>
          <w:tab w:val="left" w:pos="284"/>
          <w:tab w:val="left" w:pos="426"/>
        </w:tabs>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 xml:space="preserve">Verificabilidad. En su estructura existen elementos que permiten comprobar si fue conformada correctamente o no, así como fecha de nacimiento, sexo, </w:t>
      </w:r>
      <w:r w:rsidRPr="00D366B7">
        <w:rPr>
          <w:rFonts w:ascii="Palatino Linotype" w:eastAsia="Palatino Linotype" w:hAnsi="Palatino Linotype" w:cs="Palatino Linotype"/>
          <w:b/>
          <w:i/>
        </w:rPr>
        <w:lastRenderedPageBreak/>
        <w:t>identificad federativa de nacimiento y las primeras composiciones de la clave, conformadas por la letra inicial y primera vocal interna del primer apellido, la letra inicial del segundo apellido y la primera letra del nombre.</w:t>
      </w: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Ante ello, resulta aplicable el Criterio 18/17 emitido por el Instituto Nacional de Transparencia, Acceso a la Información y Protección de Datos Personales, que a la literalidad señala:</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rPr>
      </w:pPr>
    </w:p>
    <w:p w:rsidR="007743C9" w:rsidRPr="00D366B7" w:rsidRDefault="007743C9" w:rsidP="007743C9">
      <w:pPr>
        <w:shd w:val="clear" w:color="auto" w:fill="FFFFFF"/>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CLAVE ÚNICA DE REGISTRO DE POBLACIÓN (CURP). “</w:t>
      </w:r>
      <w:r w:rsidRPr="00D366B7">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7743C9" w:rsidRPr="00D366B7" w:rsidRDefault="007743C9" w:rsidP="007743C9">
      <w:pPr>
        <w:tabs>
          <w:tab w:val="left" w:pos="426"/>
        </w:tabs>
        <w:spacing w:line="360" w:lineRule="auto"/>
        <w:ind w:right="51"/>
        <w:jc w:val="both"/>
        <w:rPr>
          <w:rFonts w:ascii="Palatino Linotype" w:eastAsia="Palatino Linotype" w:hAnsi="Palatino Linotype" w:cs="Palatino Linotype"/>
        </w:rPr>
      </w:pPr>
    </w:p>
    <w:p w:rsidR="007743C9" w:rsidRPr="00D366B7" w:rsidRDefault="007743C9" w:rsidP="007743C9">
      <w:pPr>
        <w:tabs>
          <w:tab w:val="left" w:pos="426"/>
        </w:tabs>
        <w:spacing w:line="360" w:lineRule="auto"/>
        <w:ind w:right="51"/>
        <w:jc w:val="both"/>
        <w:rPr>
          <w:rFonts w:ascii="Palatino Linotype" w:eastAsia="Palatino Linotype" w:hAnsi="Palatino Linotype" w:cs="Palatino Linotype"/>
          <w:b/>
        </w:rPr>
      </w:pPr>
      <w:r w:rsidRPr="00D366B7">
        <w:rPr>
          <w:rFonts w:ascii="Palatino Linotype" w:eastAsia="Palatino Linotype" w:hAnsi="Palatino Linotype" w:cs="Palatino Linotype"/>
          <w:b/>
        </w:rPr>
        <w:lastRenderedPageBreak/>
        <w:t>c) De la clave de identificación del Instituto de Seguridad Social del Estado de México y Municipios.</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Entre los elementos que integra la credencial expedida se encuentra la Clave ISSEMyM, la cual permite identificar al servidor público que actualmente labora o laboró en alguna institución pública y que tenga vigente su derecho a recibir las prestaciones.</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Como se advierte, este número asignado a los derechohabientes en un dato personal que permite la identificación de la persona que goza de las prestaciones que otorga la Institución y de qué prestaciones ha hecho uso. Es de destacar, que el Derecho </w:t>
      </w:r>
      <w:r w:rsidRPr="00D366B7">
        <w:rPr>
          <w:rFonts w:ascii="Palatino Linotype" w:eastAsia="Palatino Linotype" w:hAnsi="Palatino Linotype" w:cs="Palatino Linotype"/>
        </w:rPr>
        <w:lastRenderedPageBreak/>
        <w:t>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rsidR="007743C9" w:rsidRPr="00D366B7" w:rsidRDefault="007743C9" w:rsidP="007743C9">
      <w:pPr>
        <w:rPr>
          <w:rFonts w:ascii="Palatino Linotype" w:eastAsia="Palatino Linotype" w:hAnsi="Palatino Linotype" w:cs="Palatino Linotype"/>
        </w:rPr>
      </w:pPr>
    </w:p>
    <w:p w:rsidR="007743C9" w:rsidRPr="00D366B7" w:rsidRDefault="007743C9" w:rsidP="007743C9">
      <w:pPr>
        <w:tabs>
          <w:tab w:val="left" w:pos="426"/>
        </w:tabs>
        <w:spacing w:line="360" w:lineRule="auto"/>
        <w:ind w:right="51"/>
        <w:jc w:val="both"/>
        <w:rPr>
          <w:rFonts w:ascii="Palatino Linotype" w:eastAsia="Palatino Linotype" w:hAnsi="Palatino Linotype" w:cs="Palatino Linotype"/>
          <w:b/>
        </w:rPr>
      </w:pPr>
      <w:r w:rsidRPr="00D366B7">
        <w:rPr>
          <w:rFonts w:ascii="Palatino Linotype" w:eastAsia="Palatino Linotype" w:hAnsi="Palatino Linotype" w:cs="Palatino Linotype"/>
          <w:b/>
        </w:rPr>
        <w:t>d) Préstamos o descuentos de carácter personal.</w:t>
      </w:r>
    </w:p>
    <w:p w:rsidR="007743C9" w:rsidRPr="00D366B7" w:rsidRDefault="007743C9" w:rsidP="007743C9">
      <w:pPr>
        <w:rPr>
          <w:rFonts w:ascii="Palatino Linotype" w:eastAsia="Palatino Linotype" w:hAnsi="Palatino Linotype" w:cs="Palatino Linotype"/>
        </w:rPr>
      </w:pPr>
    </w:p>
    <w:p w:rsidR="007743C9" w:rsidRPr="00D366B7" w:rsidRDefault="007743C9" w:rsidP="007743C9">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Para entender los límites y alcances de esta restricción, es oportuno traer a colación lo establecido por el artículo 84 de la Ley del Trabajo de los Servidores Públicos del Estado y Municipios, el cual señala que:</w:t>
      </w:r>
    </w:p>
    <w:p w:rsidR="007743C9" w:rsidRPr="00D366B7" w:rsidRDefault="007743C9"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7743C9" w:rsidRPr="00D366B7" w:rsidRDefault="007743C9" w:rsidP="007743C9">
      <w:pPr>
        <w:tabs>
          <w:tab w:val="left" w:pos="426"/>
        </w:tabs>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“ARTÍCULO 84.</w:t>
      </w:r>
      <w:r w:rsidRPr="00D366B7">
        <w:rPr>
          <w:rFonts w:ascii="Palatino Linotype" w:eastAsia="Palatino Linotype" w:hAnsi="Palatino Linotype" w:cs="Palatino Linotype"/>
          <w:i/>
        </w:rPr>
        <w:t xml:space="preserve"> Sólo podrán hacerse retenciones, descuentos o deducciones al sueldo de los servidores públicos por concepto de: </w:t>
      </w:r>
    </w:p>
    <w:p w:rsidR="007743C9" w:rsidRPr="00D366B7" w:rsidRDefault="007743C9" w:rsidP="007743C9">
      <w:pPr>
        <w:tabs>
          <w:tab w:val="left" w:pos="426"/>
        </w:tabs>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I.</w:t>
      </w:r>
      <w:r w:rsidRPr="00D366B7">
        <w:rPr>
          <w:rFonts w:ascii="Palatino Linotype" w:eastAsia="Palatino Linotype" w:hAnsi="Palatino Linotype" w:cs="Palatino Linotype"/>
          <w:i/>
        </w:rPr>
        <w:t xml:space="preserve"> Gravámenes fiscales relacionados con el sueldo;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II.</w:t>
      </w:r>
      <w:r w:rsidRPr="00D366B7">
        <w:rPr>
          <w:rFonts w:ascii="Palatino Linotype" w:eastAsia="Palatino Linotype" w:hAnsi="Palatino Linotype" w:cs="Palatino Linotype"/>
          <w:i/>
        </w:rPr>
        <w:t xml:space="preserve"> Deudas contraídas con las instituciones públicas o dependencias por concepto de anticipos de sueldo, pagos hechos con exceso, errores o pérdidas debidamente comprobados;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III.</w:t>
      </w:r>
      <w:r w:rsidRPr="00D366B7">
        <w:rPr>
          <w:rFonts w:ascii="Palatino Linotype" w:eastAsia="Palatino Linotype" w:hAnsi="Palatino Linotype" w:cs="Palatino Linotype"/>
          <w:i/>
        </w:rPr>
        <w:t xml:space="preserve"> Cuotas sindicales;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IV.</w:t>
      </w:r>
      <w:r w:rsidRPr="00D366B7">
        <w:rPr>
          <w:rFonts w:ascii="Palatino Linotype" w:eastAsia="Palatino Linotype" w:hAnsi="Palatino Linotype" w:cs="Palatino Linotype"/>
          <w:i/>
        </w:rPr>
        <w:t xml:space="preserve"> Cuotas de aportación a fondos para la constitución de cooperativas y de cajas de ahorro, siempre que el servidor público hubiese manifestado previamente, de manera expresa, su conformidad;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V.</w:t>
      </w:r>
      <w:r w:rsidRPr="00D366B7">
        <w:rPr>
          <w:rFonts w:ascii="Palatino Linotype" w:eastAsia="Palatino Linotype" w:hAnsi="Palatino Linotype" w:cs="Palatino Linotype"/>
          <w:i/>
        </w:rPr>
        <w:t xml:space="preserve"> Descuentos ordenados por el Instituto de Seguridad Social del Estado de México y Municipios, con motivo de cuotas y obligaciones contraídas con éste por los servidores públicos;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VI.</w:t>
      </w:r>
      <w:r w:rsidRPr="00D366B7">
        <w:rPr>
          <w:rFonts w:ascii="Palatino Linotype" w:eastAsia="Palatino Linotype" w:hAnsi="Palatino Linotype" w:cs="Palatino Linotype"/>
          <w:i/>
        </w:rPr>
        <w:t xml:space="preserve"> Obligaciones a cargo del servidor público con las que haya consentido, derivadas de la adquisición o del uso de habitaciones consideradas como de interés social;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VII.</w:t>
      </w:r>
      <w:r w:rsidRPr="00D366B7">
        <w:rPr>
          <w:rFonts w:ascii="Palatino Linotype" w:eastAsia="Palatino Linotype" w:hAnsi="Palatino Linotype" w:cs="Palatino Linotype"/>
          <w:i/>
        </w:rPr>
        <w:t xml:space="preserve"> Faltas de puntualidad o de asistencia injustificadas;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t>VIII.</w:t>
      </w:r>
      <w:r w:rsidRPr="00D366B7">
        <w:rPr>
          <w:rFonts w:ascii="Palatino Linotype" w:eastAsia="Palatino Linotype" w:hAnsi="Palatino Linotype" w:cs="Palatino Linotype"/>
          <w:i/>
        </w:rPr>
        <w:t xml:space="preserve"> Pensiones alimenticias ordenadas por la autoridad judicial; o </w:t>
      </w: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b/>
          <w:i/>
        </w:rPr>
        <w:lastRenderedPageBreak/>
        <w:t>IX.</w:t>
      </w:r>
      <w:r w:rsidRPr="00D366B7">
        <w:rPr>
          <w:rFonts w:ascii="Palatino Linotype" w:eastAsia="Palatino Linotype" w:hAnsi="Palatino Linotype" w:cs="Palatino Linotype"/>
          <w:i/>
        </w:rPr>
        <w:t xml:space="preserve"> Cualquier otro convenido con instituciones de servicios y aceptado por el servidor público. </w:t>
      </w:r>
    </w:p>
    <w:p w:rsidR="007743C9" w:rsidRPr="00D366B7" w:rsidRDefault="007743C9" w:rsidP="007743C9">
      <w:pPr>
        <w:ind w:left="567" w:right="567"/>
        <w:jc w:val="both"/>
        <w:rPr>
          <w:rFonts w:ascii="Palatino Linotype" w:eastAsia="Palatino Linotype" w:hAnsi="Palatino Linotype" w:cs="Palatino Linotype"/>
        </w:rPr>
      </w:pPr>
    </w:p>
    <w:p w:rsidR="007743C9" w:rsidRPr="00D366B7" w:rsidRDefault="007743C9" w:rsidP="007743C9">
      <w:pPr>
        <w:ind w:left="567" w:right="567"/>
        <w:jc w:val="both"/>
        <w:rPr>
          <w:rFonts w:ascii="Palatino Linotype" w:eastAsia="Palatino Linotype" w:hAnsi="Palatino Linotype" w:cs="Palatino Linotype"/>
          <w:i/>
        </w:rPr>
      </w:pPr>
      <w:r w:rsidRPr="00D366B7">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7743C9" w:rsidRPr="00D366B7" w:rsidRDefault="007743C9"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7743C9"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pStyle w:val="Prrafodelista"/>
        <w:numPr>
          <w:ilvl w:val="0"/>
          <w:numId w:val="12"/>
        </w:numPr>
        <w:rPr>
          <w:rFonts w:ascii="Palatino Linotype" w:eastAsia="Palatino Linotype" w:hAnsi="Palatino Linotype" w:cs="Palatino Linotype"/>
          <w:b/>
          <w:sz w:val="24"/>
        </w:rPr>
      </w:pPr>
      <w:r w:rsidRPr="00D366B7">
        <w:rPr>
          <w:rFonts w:ascii="Palatino Linotype" w:eastAsia="MS Gothic" w:hAnsi="Palatino Linotype"/>
          <w:b/>
          <w:color w:val="000000"/>
          <w:sz w:val="24"/>
        </w:rPr>
        <w:t>Del nombre de los elementos operativos de seguridad pública municipal.</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rPr>
        <w:t xml:space="preserve">En </w:t>
      </w:r>
      <w:r w:rsidRPr="00D366B7">
        <w:rPr>
          <w:rFonts w:ascii="Palatino Linotype" w:eastAsia="Calibri" w:hAnsi="Palatino Linotype"/>
        </w:rPr>
        <w:t xml:space="preserve">atención a que se observa que la información de la que se requiere acceso contiene información de los elementos de seguridad pública, es necesario señalar que las condiciones en las cuales se deberá entregar la información solicitada adquieren una especial naturaleza.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rPr>
        <w:t>En efecto</w:t>
      </w:r>
      <w:r w:rsidRPr="00D366B7">
        <w:rPr>
          <w:rFonts w:ascii="Palatino Linotype" w:hAnsi="Palatino Linotype"/>
        </w:rPr>
        <w:t xml:space="preserve">, este instituto advierte que otorgar acceso al nombre de policías operativos podría comprometer la integridad de los mismos, de conformidad con lo que establece el artículo 140 de la Ley de Transparencia y Acceso a la Información Pública del Estado de México y Municipios: </w:t>
      </w:r>
    </w:p>
    <w:p w:rsidR="00AC4AB6" w:rsidRPr="00D366B7" w:rsidRDefault="00AC4AB6" w:rsidP="00AC4AB6">
      <w:pPr>
        <w:pBdr>
          <w:top w:val="nil"/>
          <w:left w:val="nil"/>
          <w:bottom w:val="nil"/>
          <w:right w:val="nil"/>
          <w:between w:val="nil"/>
        </w:pBdr>
        <w:spacing w:line="360" w:lineRule="auto"/>
        <w:ind w:right="1"/>
        <w:jc w:val="both"/>
        <w:rPr>
          <w:rFonts w:ascii="Palatino Linotype" w:hAnsi="Palatino Linotype"/>
        </w:rPr>
      </w:pPr>
    </w:p>
    <w:p w:rsidR="00AC4AB6" w:rsidRPr="00D366B7" w:rsidRDefault="00AC4AB6" w:rsidP="00AC4AB6">
      <w:pPr>
        <w:spacing w:before="240" w:after="240"/>
        <w:ind w:left="567" w:right="616"/>
        <w:contextualSpacing/>
        <w:jc w:val="both"/>
        <w:rPr>
          <w:rFonts w:ascii="Palatino Linotype" w:hAnsi="Palatino Linotype"/>
          <w:i/>
        </w:rPr>
      </w:pPr>
      <w:r w:rsidRPr="00D366B7">
        <w:rPr>
          <w:rFonts w:ascii="Palatino Linotype" w:hAnsi="Palatino Linotype"/>
          <w:b/>
          <w:i/>
        </w:rPr>
        <w:t>“Artículo 140.</w:t>
      </w:r>
      <w:r w:rsidRPr="00D366B7">
        <w:rPr>
          <w:rFonts w:ascii="Palatino Linotype" w:hAnsi="Palatino Linotype"/>
          <w:i/>
        </w:rPr>
        <w:t xml:space="preserve"> El acceso a la información pública será restringido excepcionalmente, cuando por razones de interés público, ésta sea clasificada como reservada, conforme a los criterios siguientes: </w:t>
      </w:r>
    </w:p>
    <w:p w:rsidR="00AC4AB6" w:rsidRPr="00D366B7" w:rsidRDefault="00AC4AB6" w:rsidP="00AC4AB6">
      <w:pPr>
        <w:spacing w:before="240" w:after="240"/>
        <w:ind w:left="567" w:right="616"/>
        <w:contextualSpacing/>
        <w:jc w:val="both"/>
        <w:rPr>
          <w:rFonts w:ascii="Palatino Linotype" w:hAnsi="Palatino Linotype"/>
          <w:i/>
        </w:rPr>
      </w:pPr>
      <w:r w:rsidRPr="00D366B7">
        <w:rPr>
          <w:rFonts w:ascii="Palatino Linotype" w:hAnsi="Palatino Linotype"/>
          <w:i/>
        </w:rPr>
        <w:t xml:space="preserve">I. Comprometa la seguridad pública y cuente con un propósito genuino y un efecto demostrable; </w:t>
      </w:r>
    </w:p>
    <w:p w:rsidR="00AC4AB6" w:rsidRPr="00D366B7" w:rsidRDefault="00AC4AB6" w:rsidP="00AC4AB6">
      <w:pPr>
        <w:spacing w:before="240" w:after="240"/>
        <w:ind w:left="567" w:right="616"/>
        <w:contextualSpacing/>
        <w:jc w:val="both"/>
        <w:rPr>
          <w:rFonts w:ascii="Palatino Linotype" w:hAnsi="Palatino Linotype"/>
          <w:i/>
        </w:rPr>
      </w:pPr>
      <w:r w:rsidRPr="00D366B7">
        <w:rPr>
          <w:rFonts w:ascii="Palatino Linotype" w:hAnsi="Palatino Linotype"/>
          <w:i/>
        </w:rPr>
        <w:t xml:space="preserve">II. Pueda menoscabar la conducción de las negociaciones y relaciones internacionales; </w:t>
      </w:r>
    </w:p>
    <w:p w:rsidR="00AC4AB6" w:rsidRPr="00D366B7" w:rsidRDefault="00AC4AB6" w:rsidP="00AC4AB6">
      <w:pPr>
        <w:spacing w:before="240" w:after="240"/>
        <w:ind w:left="567" w:right="616"/>
        <w:contextualSpacing/>
        <w:jc w:val="both"/>
        <w:rPr>
          <w:rFonts w:ascii="Palatino Linotype" w:hAnsi="Palatino Linotype"/>
          <w:i/>
        </w:rPr>
      </w:pPr>
      <w:r w:rsidRPr="00D366B7">
        <w:rPr>
          <w:rFonts w:ascii="Palatino Linotype" w:hAnsi="Palatino Linotype"/>
          <w:i/>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AC4AB6" w:rsidRPr="00D366B7" w:rsidRDefault="00AC4AB6" w:rsidP="00AC4AB6">
      <w:pPr>
        <w:spacing w:before="240" w:after="240"/>
        <w:ind w:left="567" w:right="616"/>
        <w:contextualSpacing/>
        <w:jc w:val="both"/>
        <w:rPr>
          <w:rFonts w:ascii="Palatino Linotype" w:hAnsi="Palatino Linotype"/>
          <w:b/>
          <w:i/>
        </w:rPr>
      </w:pPr>
      <w:r w:rsidRPr="00D366B7">
        <w:rPr>
          <w:rFonts w:ascii="Palatino Linotype" w:hAnsi="Palatino Linotype"/>
          <w:b/>
          <w:i/>
        </w:rPr>
        <w:t>IV. Ponga en riesgo la vida, la seguridad o la salud de una persona física;</w:t>
      </w:r>
    </w:p>
    <w:p w:rsidR="00AC4AB6" w:rsidRPr="00D366B7" w:rsidRDefault="00AC4AB6" w:rsidP="00AC4AB6">
      <w:pPr>
        <w:spacing w:before="240" w:after="240"/>
        <w:ind w:left="567" w:right="616"/>
        <w:contextualSpacing/>
        <w:jc w:val="both"/>
        <w:rPr>
          <w:rFonts w:ascii="Palatino Linotype" w:eastAsia="Calibri" w:hAnsi="Palatino Linotype"/>
          <w:i/>
        </w:rPr>
      </w:pPr>
      <w:r w:rsidRPr="00D366B7">
        <w:rPr>
          <w:rFonts w:ascii="Palatino Linotype" w:hAnsi="Palatino Linotype"/>
          <w:i/>
        </w:rPr>
        <w:t xml:space="preserve">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hAnsi="Palatino Linotype"/>
        </w:rPr>
        <w:t>En este contexto, este Pleno considera que dar a conocer los nombres de servidores públicos que realizan funciones en materia de seguridad, tal como es el caso de los policías, los vuelve identificables y posiblemente reconocibles para grupos delictivos</w:t>
      </w:r>
      <w:r w:rsidRPr="00D366B7">
        <w:rPr>
          <w:rFonts w:ascii="Palatino Linotype" w:hAnsi="Palatino Linotype" w:cs="Tahoma"/>
          <w:bCs/>
        </w:rPr>
        <w:t xml:space="preserve">; así, dicha información puede ser utilizada para </w:t>
      </w:r>
      <w:r w:rsidRPr="00D366B7">
        <w:rPr>
          <w:rFonts w:ascii="Palatino Linotype" w:hAnsi="Palatino Linotype" w:cs="Tahoma"/>
          <w:b/>
          <w:bCs/>
        </w:rPr>
        <w:t xml:space="preserve">vulnerar la vida, seguridad o salud de dichos elementos, incluso la de sus familias o entorno social, </w:t>
      </w:r>
      <w:r w:rsidRPr="00D366B7">
        <w:rPr>
          <w:rFonts w:ascii="Palatino Linotype" w:hAnsi="Palatino Linotype" w:cs="Tahoma"/>
          <w:bCs/>
        </w:rPr>
        <w:t>demás, de que aumenta el riesgo de que personas ajenas a los intereses institucionales e intenten realizar actos tendientes a inhibir o entrometerse en las funciones de los policías municipales, lo cual causaría una vulneración a la seguridad municipal.</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t xml:space="preserve">En ese sentido, el proporcionar el nombre de los elementos policiales operativos en la nómina general de la Dirección de Seguridad Pública y Vialidad Municipal, pone en riesgo de manera directa la vida y la seguridad de dicho servidor, siendo obligación de la Institución protegerla en todo momento para salvaguarda de sus integrantes.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t xml:space="preserve">Lo 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t>Asimismo, 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D366B7">
        <w:rPr>
          <w:rFonts w:ascii="Palatino Linotype" w:eastAsia="Calibri" w:hAnsi="Palatino Linotype" w:cs="Tahoma"/>
          <w:b/>
          <w:bCs/>
        </w:rPr>
        <w:t xml:space="preserve"> SUJETO OBLIGADO</w:t>
      </w:r>
      <w:r w:rsidRPr="00D366B7">
        <w:rPr>
          <w:rFonts w:ascii="Palatino Linotype" w:eastAsia="Calibri" w:hAnsi="Palatino Linotype" w:cs="Tahoma"/>
          <w:bCs/>
        </w:rPr>
        <w:t>, colocando en inminente riesgo la vida de todos los integrantes, menoscabando así las actividades de prevención del delito y combate a la delincuencia.</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t xml:space="preserve">Así 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t xml:space="preserve">El dar el nombre de los servidores públicos operativos de la Dirección de Seguridad Pública y Vialidad Municipal pone en riesgo sus vidas y seguridad, ya que </w:t>
      </w:r>
      <w:r w:rsidRPr="00D366B7">
        <w:rPr>
          <w:rFonts w:ascii="Palatino Linotype" w:eastAsia="Calibri" w:hAnsi="Palatino Linotype" w:cs="Tahoma"/>
          <w:bCs/>
        </w:rPr>
        <w:lastRenderedPageBreak/>
        <w:t>pueden ser identificarles, provocando que se utilice la información para amenazar, intimidar o extorsionar al integrante.</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t xml:space="preserve">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t>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eh Estado.</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Calibri" w:hAnsi="Palatino Linotype" w:cs="Tahoma"/>
          <w:bCs/>
        </w:rPr>
        <w:lastRenderedPageBreak/>
        <w:t xml:space="preserve">Por lo que, el derecho a la vida y seguridad nacional tiene una-primacía que el derecho al acceso a la información, por lo que el bien jurídico a salvaguardarse primordialmente, es la vida y la seguridad de los servidores públicos encargados de la seguridad pública.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MS Mincho" w:hAnsi="Palatino Linotype" w:cs="Arial"/>
          <w:lang w:val="es-ES_tradnl"/>
        </w:rPr>
        <w:t xml:space="preserve">Al respecto, cabe hacer mención que el artículo 81 fracción III de la Ley de Seguridad del Estado de México, establece lo siguiente: </w:t>
      </w:r>
    </w:p>
    <w:p w:rsidR="00AC4AB6" w:rsidRPr="00D366B7" w:rsidRDefault="00AC4AB6" w:rsidP="00AC4AB6">
      <w:pPr>
        <w:pBdr>
          <w:top w:val="nil"/>
          <w:left w:val="nil"/>
          <w:bottom w:val="nil"/>
          <w:right w:val="nil"/>
          <w:between w:val="nil"/>
        </w:pBdr>
        <w:spacing w:line="360" w:lineRule="auto"/>
        <w:ind w:right="1"/>
        <w:jc w:val="both"/>
        <w:rPr>
          <w:rFonts w:ascii="Palatino Linotype" w:hAnsi="Palatino Linotype" w:cs="Arial"/>
        </w:rPr>
      </w:pPr>
    </w:p>
    <w:p w:rsidR="00AC4AB6" w:rsidRPr="00D366B7" w:rsidRDefault="00AC4AB6" w:rsidP="00AC4AB6">
      <w:pPr>
        <w:ind w:left="567" w:right="567"/>
        <w:contextualSpacing/>
        <w:jc w:val="both"/>
        <w:rPr>
          <w:rFonts w:ascii="Palatino Linotype" w:eastAsia="MS Mincho" w:hAnsi="Palatino Linotype" w:cs="Arial"/>
          <w:i/>
          <w:lang w:val="es-ES_tradnl"/>
        </w:rPr>
      </w:pPr>
      <w:r w:rsidRPr="00D366B7">
        <w:rPr>
          <w:rFonts w:ascii="Palatino Linotype" w:eastAsia="MS Mincho" w:hAnsi="Palatino Linotype" w:cs="Arial"/>
          <w:i/>
          <w:lang w:val="es-ES_tradnl"/>
        </w:rPr>
        <w:t>“</w:t>
      </w:r>
      <w:r w:rsidRPr="00D366B7">
        <w:rPr>
          <w:rFonts w:ascii="Palatino Linotype" w:eastAsia="MS Mincho" w:hAnsi="Palatino Linotype" w:cs="Arial"/>
          <w:b/>
          <w:i/>
          <w:lang w:val="es-ES_tradnl"/>
        </w:rPr>
        <w:t>Artículo 81.-</w:t>
      </w:r>
      <w:r w:rsidRPr="00D366B7">
        <w:rPr>
          <w:rFonts w:ascii="Palatino Linotype" w:eastAsia="MS Mincho" w:hAnsi="Palatino Linotype" w:cs="Arial"/>
          <w:i/>
          <w:lang w:val="es-ES_tradnl"/>
        </w:rPr>
        <w:t xml:space="preserve"> </w:t>
      </w:r>
      <w:r w:rsidRPr="00D366B7">
        <w:rPr>
          <w:rFonts w:ascii="Palatino Linotype" w:eastAsia="MS Mincho" w:hAnsi="Palatino Linotype" w:cs="Arial"/>
          <w:b/>
          <w:i/>
          <w:lang w:val="es-ES_tradnl"/>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D366B7">
        <w:rPr>
          <w:rFonts w:ascii="Palatino Linotype" w:eastAsia="MS Mincho" w:hAnsi="Palatino Linotype" w:cs="Arial"/>
          <w:i/>
          <w:lang w:val="es-ES_tradnl"/>
        </w:rPr>
        <w:t xml:space="preserve"> en los casos siguientes:</w:t>
      </w:r>
    </w:p>
    <w:p w:rsidR="00AC4AB6" w:rsidRPr="00D366B7" w:rsidRDefault="00AC4AB6" w:rsidP="00AC4AB6">
      <w:pPr>
        <w:ind w:left="567" w:right="567"/>
        <w:contextualSpacing/>
        <w:jc w:val="both"/>
        <w:rPr>
          <w:rFonts w:ascii="Palatino Linotype" w:eastAsia="MS Mincho" w:hAnsi="Palatino Linotype" w:cs="Arial"/>
          <w:i/>
          <w:lang w:val="es-ES_tradnl"/>
        </w:rPr>
      </w:pPr>
      <w:r w:rsidRPr="00D366B7">
        <w:rPr>
          <w:rFonts w:ascii="Palatino Linotype" w:eastAsia="MS Mincho" w:hAnsi="Palatino Linotype" w:cs="Arial"/>
          <w:i/>
          <w:lang w:val="es-ES_tradnl"/>
        </w:rPr>
        <w:t>…</w:t>
      </w:r>
    </w:p>
    <w:p w:rsidR="00AC4AB6" w:rsidRPr="00D366B7" w:rsidRDefault="00AC4AB6" w:rsidP="00AC4AB6">
      <w:pPr>
        <w:ind w:left="567" w:right="567"/>
        <w:contextualSpacing/>
        <w:jc w:val="both"/>
        <w:rPr>
          <w:rFonts w:ascii="Palatino Linotype" w:eastAsia="MS Mincho" w:hAnsi="Palatino Linotype" w:cs="Arial"/>
          <w:i/>
          <w:lang w:val="es-ES_tradnl"/>
        </w:rPr>
      </w:pPr>
      <w:r w:rsidRPr="00D366B7">
        <w:rPr>
          <w:rFonts w:ascii="Palatino Linotype" w:eastAsia="MS Mincho" w:hAnsi="Palatino Linotype" w:cs="Arial"/>
          <w:b/>
          <w:i/>
          <w:lang w:val="es-ES_tradnl"/>
        </w:rPr>
        <w:t>III.</w:t>
      </w:r>
      <w:r w:rsidRPr="00D366B7">
        <w:rPr>
          <w:rFonts w:ascii="Palatino Linotype" w:eastAsia="MS Mincho" w:hAnsi="Palatino Linotype" w:cs="Arial"/>
          <w:i/>
          <w:lang w:val="es-ES_tradnl"/>
        </w:rPr>
        <w:t xml:space="preserve"> </w:t>
      </w:r>
      <w:r w:rsidRPr="00D366B7">
        <w:rPr>
          <w:rFonts w:ascii="Palatino Linotype" w:eastAsia="MS Mincho" w:hAnsi="Palatino Linotype" w:cs="Arial"/>
          <w:b/>
          <w:i/>
          <w:lang w:val="es-ES_tradnl"/>
        </w:rPr>
        <w:t>La relativa a servidores públicos miembros de las instituciones de seguridad pública, cuya revelación pueda poner en riesgo su vida e integridad física con motivo de sus funciones;</w:t>
      </w:r>
      <w:r w:rsidRPr="00D366B7">
        <w:rPr>
          <w:rFonts w:ascii="Palatino Linotype" w:eastAsia="MS Mincho" w:hAnsi="Palatino Linotype" w:cs="Arial"/>
          <w:i/>
          <w:lang w:val="es-ES_tradnl"/>
        </w:rPr>
        <w:t>”</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hAnsi="Palatino Linotype" w:cs="Arial"/>
        </w:rPr>
        <w:t>Argumento que se fortalece con lo estipulado en el criterio número 6-09, del Instituto Nacional de Transparencia, Acceso a la Información y Protección de Datos Personales, antes (INAI)</w:t>
      </w:r>
      <w:r w:rsidRPr="00D366B7">
        <w:rPr>
          <w:rFonts w:ascii="Palatino Linotype" w:hAnsi="Palatino Linotype" w:cs="Arial"/>
          <w:b/>
          <w:bCs/>
        </w:rPr>
        <w:t xml:space="preserve">, </w:t>
      </w:r>
      <w:r w:rsidRPr="00D366B7">
        <w:rPr>
          <w:rFonts w:ascii="Palatino Linotype" w:hAnsi="Palatino Linotype" w:cs="Arial"/>
        </w:rPr>
        <w:t xml:space="preserve">el cual refiere: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autoSpaceDE w:val="0"/>
        <w:autoSpaceDN w:val="0"/>
        <w:adjustRightInd w:val="0"/>
        <w:ind w:left="567" w:right="567"/>
        <w:contextualSpacing/>
        <w:jc w:val="center"/>
        <w:rPr>
          <w:rFonts w:ascii="Palatino Linotype" w:hAnsi="Palatino Linotype" w:cs="Arial"/>
          <w:i/>
        </w:rPr>
      </w:pPr>
      <w:r w:rsidRPr="00D366B7">
        <w:rPr>
          <w:rFonts w:ascii="Palatino Linotype" w:hAnsi="Palatino Linotype" w:cs="Arial"/>
          <w:b/>
          <w:bCs/>
          <w:i/>
        </w:rPr>
        <w:t>“Criterio 6-09</w:t>
      </w:r>
    </w:p>
    <w:p w:rsidR="00AC4AB6" w:rsidRPr="00D366B7" w:rsidRDefault="00AC4AB6" w:rsidP="00AC4AB6">
      <w:pPr>
        <w:autoSpaceDE w:val="0"/>
        <w:autoSpaceDN w:val="0"/>
        <w:adjustRightInd w:val="0"/>
        <w:ind w:left="567" w:right="567"/>
        <w:contextualSpacing/>
        <w:jc w:val="both"/>
        <w:rPr>
          <w:rFonts w:ascii="Palatino Linotype" w:hAnsi="Palatino Linotype" w:cs="Arial"/>
          <w:i/>
        </w:rPr>
      </w:pPr>
      <w:r w:rsidRPr="00D366B7">
        <w:rPr>
          <w:rFonts w:ascii="Palatino Linotype" w:hAnsi="Palatino Linotype" w:cs="Arial"/>
          <w:b/>
          <w:bCs/>
          <w:i/>
        </w:rPr>
        <w:t xml:space="preserve">Nombres de servidores públicos dedicados a actividades en materia de seguridad, por excepción pueden considerarse información reservada. </w:t>
      </w:r>
      <w:r w:rsidRPr="00D366B7">
        <w:rPr>
          <w:rFonts w:ascii="Palatino Linotype" w:hAnsi="Palatino Linotype" w:cs="Arial"/>
          <w:bCs/>
          <w:i/>
        </w:rPr>
        <w:t xml:space="preserve">De conformidad con el artículo 7, fracciones I y III de la Ley Federal de Transparencia y Acceso a la Información Pública Gubernamental </w:t>
      </w:r>
      <w:r w:rsidRPr="00D366B7">
        <w:rPr>
          <w:rFonts w:ascii="Palatino Linotype" w:hAnsi="Palatino Linotype" w:cs="Arial"/>
          <w:b/>
          <w:bCs/>
          <w:i/>
        </w:rPr>
        <w:t xml:space="preserve">el nombre de los servidores públicos es información de naturaleza pública. No obstante lo anterior, el mismo precepto establece la posibilidad de que existan excepciones a las </w:t>
      </w:r>
      <w:r w:rsidRPr="00D366B7">
        <w:rPr>
          <w:rFonts w:ascii="Palatino Linotype" w:hAnsi="Palatino Linotype" w:cs="Arial"/>
          <w:b/>
          <w:bCs/>
          <w:i/>
        </w:rPr>
        <w:lastRenderedPageBreak/>
        <w:t>obligaciones ahí establecidas cuando la información actualice algunos de los supuestos de reserva o confidencialidad previstos en los artículos 13, 14 y 18 de la citada ley</w:t>
      </w:r>
      <w:r w:rsidRPr="00D366B7">
        <w:rPr>
          <w:rFonts w:ascii="Palatino Linotype" w:hAnsi="Palatino Linotype" w:cs="Arial"/>
          <w:bCs/>
          <w:i/>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D366B7">
        <w:rPr>
          <w:rFonts w:ascii="Palatino Linotype" w:hAnsi="Palatino Linotype" w:cs="Arial"/>
          <w:b/>
          <w:bCs/>
          <w:i/>
        </w:rPr>
        <w:t>el artículo 13, fracción I de la ley de referencia se establece que podrá clasificarse aquella información cuya difusión pueda comprometer la seguridad nacional y pública</w:t>
      </w:r>
      <w:r w:rsidRPr="00D366B7">
        <w:rPr>
          <w:rFonts w:ascii="Palatino Linotype" w:hAnsi="Palatino Linotype" w:cs="Arial"/>
          <w:bCs/>
          <w:i/>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D366B7">
        <w:rPr>
          <w:rFonts w:ascii="Palatino Linotype" w:hAnsi="Palatino Linotype" w:cs="Arial"/>
          <w:b/>
          <w:bCs/>
          <w:i/>
        </w:rPr>
        <w:t>por lo que la reserva de la relación de los nombres y las funciones que desempeñan los servidores públicos que prestan sus servicios en áreas de seguridad nacional o pública</w:t>
      </w:r>
      <w:r w:rsidRPr="00D366B7">
        <w:rPr>
          <w:rFonts w:ascii="Palatino Linotype" w:hAnsi="Palatino Linotype" w:cs="Arial"/>
          <w:bCs/>
          <w:i/>
        </w:rPr>
        <w:t>, puede llegar a constituirse en un componente fundamental en el esfuerzo que realiza el Estado Mexicano para garantizar la seguridad del país en sus diferentes vertientes</w:t>
      </w:r>
      <w:r w:rsidRPr="00D366B7">
        <w:rPr>
          <w:rFonts w:ascii="Palatino Linotype" w:hAnsi="Palatino Linotype" w:cs="Arial"/>
          <w:i/>
        </w:rPr>
        <w:t xml:space="preserve">” </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hAnsi="Palatino Linotype"/>
        </w:rPr>
        <w:t xml:space="preserve">Precisado lo anterior, se advierte que pretendió clasificar información solicitada, no obstante, la Ley de Transparencia y Acceso a la Información Pública del Estado de México y Municipios señala que para la clasificación formal de la información solicitada, el </w:t>
      </w:r>
      <w:r w:rsidRPr="00D366B7">
        <w:rPr>
          <w:rFonts w:ascii="Palatino Linotype" w:hAnsi="Palatino Linotype"/>
          <w:b/>
        </w:rPr>
        <w:t>SUJETO OBLIGADO</w:t>
      </w:r>
      <w:r w:rsidRPr="00D366B7">
        <w:rPr>
          <w:rFonts w:ascii="Palatino Linotype" w:hAnsi="Palatino Linotype"/>
        </w:rPr>
        <w:t xml:space="preserve"> deberá remitir el debido Acuerdo de clasificación fundado y motivado donde determine la clasificación de la información como reservada, de conformidad con lo dispuesto en los numerales 49, 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rsidR="00AC4AB6" w:rsidRPr="00D366B7" w:rsidRDefault="00AC4AB6" w:rsidP="00AC4AB6">
      <w:pPr>
        <w:ind w:right="1"/>
        <w:jc w:val="both"/>
        <w:rPr>
          <w:rFonts w:ascii="Palatino Linotype" w:eastAsia="Palatino Linotype" w:hAnsi="Palatino Linotype" w:cs="Palatino Linotype"/>
          <w:b/>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lastRenderedPageBreak/>
        <w:t>“Artículo 49</w:t>
      </w:r>
      <w:r w:rsidRPr="00D366B7">
        <w:rPr>
          <w:rFonts w:ascii="Palatino Linotype" w:hAnsi="Palatino Linotype"/>
          <w:i/>
        </w:rPr>
        <w:t xml:space="preserve">. Los Comités de Transparencia tendrán las siguientes atribuciones: </w:t>
      </w: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VIII. Aprobar, modificar o revocar la clasificación de la información;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t>Artículo 132</w:t>
      </w:r>
      <w:r w:rsidRPr="00D366B7">
        <w:rPr>
          <w:rFonts w:ascii="Palatino Linotype" w:hAnsi="Palatino Linotype"/>
          <w:i/>
        </w:rPr>
        <w:t xml:space="preserve">. La clasificación de la información se llevará a cabo en el momento en que: </w:t>
      </w: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I. Se reciba una solicitud de acceso a la información; </w:t>
      </w: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II. Se determine mediante resolución de autoridad competente; o </w:t>
      </w: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III. Se generen versiones públicas para dar cumplimiento a las obligaciones de transparencia previstas en esta Ley.”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t>Cuarto.</w:t>
      </w:r>
      <w:r w:rsidRPr="00D366B7">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t>Quinto.</w:t>
      </w:r>
      <w:r w:rsidRPr="00D366B7">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t>Sexto.</w:t>
      </w:r>
      <w:r w:rsidRPr="00D366B7">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La clasificación de información se realizará conforme a un análisis caso por caso, mediante la aplicación de la prueba de daño y de interés público.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lastRenderedPageBreak/>
        <w:t>Séptimo.</w:t>
      </w:r>
      <w:r w:rsidRPr="00D366B7">
        <w:rPr>
          <w:rFonts w:ascii="Palatino Linotype" w:hAnsi="Palatino Linotype"/>
          <w:i/>
        </w:rPr>
        <w:t xml:space="preserve"> La clasificación de la información se llevará a cabo en el momento en que: I. Se reciba una solicitud de acceso a la información;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II. Se determine mediante resolución de autoridad competente, o </w:t>
      </w: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III. Se generen versiones públicas para dar cumplimiento a las obligaciones de transparencia previstas en la Ley General, la Ley Federal y las correspondientes de las entidades federativas.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Los titulares de las áreas deberán revisar la clasificación al momento de la recepción de una solicitud de acceso a la información, para verificar si encuadra en una causal de reserva o de confidencialidad.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t>Octavo.</w:t>
      </w:r>
      <w:r w:rsidRPr="00D366B7">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Para motivar la clasificación se deberán señalar las razones o circunstancias especiales que lo llevaron a concluir que el caso particular se ajusta al supuesto previsto por la norma legal invocada como fundamento.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En caso de referirse a información reservada, la motivación de la clasificación también deberá comprender las circunstancias que justifican el establecimiento de determinado plazo de reserva.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Los documentos contenidos en los archivos históricos y los identificados como históricos confidenciales no serán susceptibles de clasificación como reservados. 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lastRenderedPageBreak/>
        <w:t>Décimo</w:t>
      </w:r>
      <w:r w:rsidRPr="00D366B7">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i/>
        </w:rPr>
        <w:t xml:space="preserve">En ausencia de los titulares de las áreas, la información será clasificada o desclasificada por la persona que lo supla, en términos de la normativa que rija la actuación del sujeto obligado. </w:t>
      </w:r>
    </w:p>
    <w:p w:rsidR="00AC4AB6" w:rsidRPr="00D366B7" w:rsidRDefault="00AC4AB6" w:rsidP="00AC4AB6">
      <w:pPr>
        <w:ind w:left="567" w:right="567"/>
        <w:contextualSpacing/>
        <w:jc w:val="both"/>
        <w:rPr>
          <w:rFonts w:ascii="Palatino Linotype" w:hAnsi="Palatino Linotype"/>
          <w:i/>
        </w:rPr>
      </w:pPr>
    </w:p>
    <w:p w:rsidR="00AC4AB6" w:rsidRPr="00D366B7" w:rsidRDefault="00AC4AB6" w:rsidP="00AC4AB6">
      <w:pPr>
        <w:ind w:left="567" w:right="567"/>
        <w:contextualSpacing/>
        <w:jc w:val="both"/>
        <w:rPr>
          <w:rFonts w:ascii="Palatino Linotype" w:hAnsi="Palatino Linotype"/>
          <w:i/>
        </w:rPr>
      </w:pPr>
      <w:r w:rsidRPr="00D366B7">
        <w:rPr>
          <w:rFonts w:ascii="Palatino Linotype" w:hAnsi="Palatino Linotype"/>
          <w:b/>
          <w:i/>
        </w:rPr>
        <w:t>Décimo primero</w:t>
      </w:r>
      <w:r w:rsidRPr="00D366B7">
        <w:rPr>
          <w:rFonts w:ascii="Palatino Linotype" w:hAnsi="Palatino Linotype"/>
          <w:i/>
        </w:rPr>
        <w:t>.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AC4AB6" w:rsidRPr="00D366B7" w:rsidRDefault="00AC4AB6" w:rsidP="007743C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C4AB6" w:rsidRPr="00D366B7" w:rsidRDefault="00AC4AB6" w:rsidP="00AC4AB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hAnsi="Palatino Linotype"/>
        </w:rPr>
        <w:t>En tal contexto se deberá proceder a la clasificación de los nombres de los elementos de policía que realicen actividades operativas en campo.</w:t>
      </w:r>
    </w:p>
    <w:p w:rsidR="00AC4AB6" w:rsidRPr="00D366B7" w:rsidRDefault="00AC4AB6" w:rsidP="00AC4AB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271E5A" w:rsidRPr="00D366B7" w:rsidRDefault="00511423"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rsidR="00187A1A" w:rsidRPr="00D366B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D366B7">
        <w:rPr>
          <w:rFonts w:ascii="Palatino Linotype" w:eastAsia="Palatino Linotype" w:hAnsi="Palatino Linotype" w:cs="Palatino Linotype"/>
          <w:color w:val="000000"/>
        </w:rPr>
        <w:t xml:space="preserve">Por lo anteriormente expuesto y fundado, este </w:t>
      </w:r>
      <w:r w:rsidRPr="00D366B7">
        <w:rPr>
          <w:rFonts w:ascii="Palatino Linotype" w:eastAsia="Palatino Linotype" w:hAnsi="Palatino Linotype" w:cs="Palatino Linotype"/>
          <w:b/>
          <w:color w:val="000000"/>
        </w:rPr>
        <w:t>ÓRGANO GARANTE</w:t>
      </w:r>
      <w:r w:rsidRPr="00D366B7">
        <w:rPr>
          <w:rFonts w:ascii="Palatino Linotype" w:eastAsia="Palatino Linotype" w:hAnsi="Palatino Linotype" w:cs="Palatino Linotype"/>
          <w:color w:val="000000"/>
        </w:rPr>
        <w:t xml:space="preserve"> emite los siguientes:</w:t>
      </w:r>
    </w:p>
    <w:p w:rsidR="00DB3BC1" w:rsidRPr="00D366B7" w:rsidRDefault="00DB3BC1" w:rsidP="00DB3BC1">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187A1A" w:rsidRPr="00D366B7" w:rsidRDefault="004F3EC5" w:rsidP="00C227F6">
      <w:pPr>
        <w:keepNext/>
        <w:keepLines/>
        <w:spacing w:before="240" w:after="240" w:line="360" w:lineRule="auto"/>
        <w:ind w:right="1"/>
        <w:jc w:val="center"/>
        <w:rPr>
          <w:rFonts w:ascii="Palatino Linotype" w:eastAsia="Palatino Linotype" w:hAnsi="Palatino Linotype" w:cs="Palatino Linotype"/>
          <w:b/>
          <w:color w:val="000000"/>
        </w:rPr>
      </w:pPr>
      <w:bookmarkStart w:id="12" w:name="_heading=h.lnxbz9" w:colFirst="0" w:colLast="0"/>
      <w:bookmarkEnd w:id="12"/>
      <w:r w:rsidRPr="00D366B7">
        <w:rPr>
          <w:rFonts w:ascii="Palatino Linotype" w:eastAsia="Palatino Linotype" w:hAnsi="Palatino Linotype" w:cs="Palatino Linotype"/>
          <w:b/>
          <w:color w:val="000000"/>
        </w:rPr>
        <w:lastRenderedPageBreak/>
        <w:t>R E S O L U T I V O S</w:t>
      </w:r>
    </w:p>
    <w:p w:rsidR="00187A1A" w:rsidRPr="00D366B7" w:rsidRDefault="004F3EC5" w:rsidP="00C227F6">
      <w:pPr>
        <w:spacing w:before="240" w:after="240" w:line="360" w:lineRule="auto"/>
        <w:ind w:right="1"/>
        <w:jc w:val="both"/>
        <w:rPr>
          <w:rFonts w:ascii="Palatino Linotype" w:eastAsia="Palatino Linotype" w:hAnsi="Palatino Linotype" w:cs="Palatino Linotype"/>
        </w:rPr>
      </w:pPr>
      <w:r w:rsidRPr="00D366B7">
        <w:rPr>
          <w:rFonts w:ascii="Palatino Linotype" w:eastAsia="Palatino Linotype" w:hAnsi="Palatino Linotype" w:cs="Palatino Linotype"/>
          <w:b/>
        </w:rPr>
        <w:t xml:space="preserve">PRIMERO. </w:t>
      </w:r>
      <w:r w:rsidRPr="00D366B7">
        <w:rPr>
          <w:rFonts w:ascii="Palatino Linotype" w:eastAsia="Palatino Linotype" w:hAnsi="Palatino Linotype" w:cs="Palatino Linotype"/>
        </w:rPr>
        <w:t>Resultan fundadas las</w:t>
      </w:r>
      <w:r w:rsidRPr="00D366B7">
        <w:rPr>
          <w:rFonts w:ascii="Palatino Linotype" w:eastAsia="Palatino Linotype" w:hAnsi="Palatino Linotype" w:cs="Palatino Linotype"/>
          <w:b/>
        </w:rPr>
        <w:t xml:space="preserve"> </w:t>
      </w:r>
      <w:r w:rsidRPr="00D366B7">
        <w:rPr>
          <w:rFonts w:ascii="Palatino Linotype" w:eastAsia="Palatino Linotype" w:hAnsi="Palatino Linotype" w:cs="Palatino Linotype"/>
        </w:rPr>
        <w:t xml:space="preserve">razones o motivos de inconformidad hechos valer en el recurso de revisión </w:t>
      </w:r>
      <w:r w:rsidR="00AC4AB6" w:rsidRPr="00D366B7">
        <w:rPr>
          <w:rFonts w:ascii="Palatino Linotype" w:eastAsia="Palatino Linotype" w:hAnsi="Palatino Linotype" w:cs="Palatino Linotype"/>
          <w:b/>
        </w:rPr>
        <w:t>01913/INFOEM/IP/RR/2025</w:t>
      </w:r>
      <w:r w:rsidRPr="00D366B7">
        <w:rPr>
          <w:rFonts w:ascii="Palatino Linotype" w:eastAsia="Palatino Linotype" w:hAnsi="Palatino Linotype" w:cs="Palatino Linotype"/>
          <w:b/>
        </w:rPr>
        <w:t xml:space="preserve">, </w:t>
      </w:r>
      <w:r w:rsidRPr="00D366B7">
        <w:rPr>
          <w:rFonts w:ascii="Palatino Linotype" w:eastAsia="Palatino Linotype" w:hAnsi="Palatino Linotype" w:cs="Palatino Linotype"/>
        </w:rPr>
        <w:t xml:space="preserve">en términos del </w:t>
      </w:r>
      <w:r w:rsidRPr="00D366B7">
        <w:rPr>
          <w:rFonts w:ascii="Palatino Linotype" w:eastAsia="Palatino Linotype" w:hAnsi="Palatino Linotype" w:cs="Palatino Linotype"/>
          <w:b/>
        </w:rPr>
        <w:t>Considerando</w:t>
      </w:r>
      <w:r w:rsidRPr="00D366B7">
        <w:rPr>
          <w:rFonts w:ascii="Palatino Linotype" w:eastAsia="Palatino Linotype" w:hAnsi="Palatino Linotype" w:cs="Palatino Linotype"/>
        </w:rPr>
        <w:t xml:space="preserve"> </w:t>
      </w:r>
      <w:r w:rsidR="00ED2498" w:rsidRPr="00D366B7">
        <w:rPr>
          <w:rFonts w:ascii="Palatino Linotype" w:eastAsia="Palatino Linotype" w:hAnsi="Palatino Linotype" w:cs="Palatino Linotype"/>
          <w:b/>
        </w:rPr>
        <w:t xml:space="preserve">CUARTO </w:t>
      </w:r>
      <w:r w:rsidR="00271E5A" w:rsidRPr="00D366B7">
        <w:rPr>
          <w:rFonts w:ascii="Palatino Linotype" w:eastAsia="Palatino Linotype" w:hAnsi="Palatino Linotype" w:cs="Palatino Linotype"/>
          <w:b/>
        </w:rPr>
        <w:t xml:space="preserve">y QUINTO </w:t>
      </w:r>
      <w:r w:rsidRPr="00D366B7">
        <w:rPr>
          <w:rFonts w:ascii="Palatino Linotype" w:eastAsia="Palatino Linotype" w:hAnsi="Palatino Linotype" w:cs="Palatino Linotype"/>
        </w:rPr>
        <w:t>de la presente resolución.</w:t>
      </w:r>
    </w:p>
    <w:p w:rsidR="00187A1A" w:rsidRPr="00D366B7" w:rsidRDefault="004F3EC5" w:rsidP="00C227F6">
      <w:pPr>
        <w:spacing w:before="240" w:after="240" w:line="360" w:lineRule="auto"/>
        <w:ind w:right="1"/>
        <w:jc w:val="both"/>
        <w:rPr>
          <w:rFonts w:ascii="Palatino Linotype" w:eastAsia="Palatino Linotype" w:hAnsi="Palatino Linotype" w:cs="Palatino Linotype"/>
        </w:rPr>
      </w:pPr>
      <w:bookmarkStart w:id="13" w:name="_heading=h.35nkun2" w:colFirst="0" w:colLast="0"/>
      <w:bookmarkEnd w:id="13"/>
      <w:r w:rsidRPr="00D366B7">
        <w:rPr>
          <w:rFonts w:ascii="Palatino Linotype" w:eastAsia="Palatino Linotype" w:hAnsi="Palatino Linotype" w:cs="Palatino Linotype"/>
          <w:b/>
        </w:rPr>
        <w:t>SEGUNDO.</w:t>
      </w:r>
      <w:r w:rsidRPr="00D366B7">
        <w:rPr>
          <w:rFonts w:ascii="Palatino Linotype" w:eastAsia="Palatino Linotype" w:hAnsi="Palatino Linotype" w:cs="Palatino Linotype"/>
          <w:color w:val="2F5496"/>
        </w:rPr>
        <w:t xml:space="preserve"> </w:t>
      </w:r>
      <w:r w:rsidRPr="00D366B7">
        <w:rPr>
          <w:rFonts w:ascii="Palatino Linotype" w:eastAsia="Palatino Linotype" w:hAnsi="Palatino Linotype" w:cs="Palatino Linotype"/>
        </w:rPr>
        <w:t>Se</w:t>
      </w:r>
      <w:r w:rsidRPr="00D366B7">
        <w:rPr>
          <w:rFonts w:ascii="Palatino Linotype" w:eastAsia="Palatino Linotype" w:hAnsi="Palatino Linotype" w:cs="Palatino Linotype"/>
          <w:b/>
        </w:rPr>
        <w:t xml:space="preserve"> REVOCA </w:t>
      </w:r>
      <w:r w:rsidR="00BE06C9" w:rsidRPr="00D366B7">
        <w:rPr>
          <w:rFonts w:ascii="Palatino Linotype" w:eastAsia="Palatino Linotype" w:hAnsi="Palatino Linotype" w:cs="Palatino Linotype"/>
        </w:rPr>
        <w:t xml:space="preserve">la respuesta emitida </w:t>
      </w:r>
      <w:r w:rsidR="00AC4AB6" w:rsidRPr="00D366B7">
        <w:rPr>
          <w:rFonts w:ascii="Palatino Linotype" w:eastAsia="Palatino Linotype" w:hAnsi="Palatino Linotype" w:cs="Palatino Linotype"/>
        </w:rPr>
        <w:t xml:space="preserve">por el </w:t>
      </w:r>
      <w:r w:rsidR="00AC4AB6" w:rsidRPr="00D366B7">
        <w:rPr>
          <w:rFonts w:ascii="Palatino Linotype" w:eastAsia="Palatino Linotype" w:hAnsi="Palatino Linotype" w:cs="Palatino Linotype"/>
          <w:b/>
        </w:rPr>
        <w:t>Ayuntamiento de Timilpan</w:t>
      </w:r>
      <w:r w:rsidRPr="00D366B7">
        <w:rPr>
          <w:rFonts w:ascii="Palatino Linotype" w:eastAsia="Palatino Linotype" w:hAnsi="Palatino Linotype" w:cs="Palatino Linotype"/>
          <w:b/>
        </w:rPr>
        <w:t xml:space="preserve"> </w:t>
      </w:r>
      <w:r w:rsidRPr="00D366B7">
        <w:rPr>
          <w:rFonts w:ascii="Palatino Linotype" w:eastAsia="Palatino Linotype" w:hAnsi="Palatino Linotype" w:cs="Palatino Linotype"/>
        </w:rPr>
        <w:t>y se</w:t>
      </w:r>
      <w:r w:rsidRPr="00D366B7">
        <w:rPr>
          <w:rFonts w:ascii="Palatino Linotype" w:eastAsia="Palatino Linotype" w:hAnsi="Palatino Linotype" w:cs="Palatino Linotype"/>
          <w:b/>
        </w:rPr>
        <w:t xml:space="preserve"> ORDENA </w:t>
      </w:r>
      <w:r w:rsidRPr="00D366B7">
        <w:rPr>
          <w:rFonts w:ascii="Palatino Linotype" w:eastAsia="Palatino Linotype" w:hAnsi="Palatino Linotype" w:cs="Palatino Linotype"/>
        </w:rPr>
        <w:t xml:space="preserve">entregar vía Sistema de Accesos a la Información Mexiquense </w:t>
      </w:r>
      <w:r w:rsidRPr="00D366B7">
        <w:rPr>
          <w:rFonts w:ascii="Palatino Linotype" w:eastAsia="Palatino Linotype" w:hAnsi="Palatino Linotype" w:cs="Palatino Linotype"/>
          <w:b/>
        </w:rPr>
        <w:t>(SAIMEX)</w:t>
      </w:r>
      <w:r w:rsidRPr="00D366B7">
        <w:rPr>
          <w:rFonts w:ascii="Palatino Linotype" w:eastAsia="Palatino Linotype" w:hAnsi="Palatino Linotype" w:cs="Palatino Linotype"/>
        </w:rPr>
        <w:t xml:space="preserve">, </w:t>
      </w:r>
      <w:r w:rsidR="00271E5A" w:rsidRPr="00D366B7">
        <w:rPr>
          <w:rFonts w:ascii="Palatino Linotype" w:eastAsia="Palatino Linotype" w:hAnsi="Palatino Linotype" w:cs="Palatino Linotype"/>
        </w:rPr>
        <w:t xml:space="preserve">en versión pública, </w:t>
      </w:r>
      <w:r w:rsidR="00DB3BC1" w:rsidRPr="00D366B7">
        <w:rPr>
          <w:rFonts w:ascii="Palatino Linotype" w:eastAsia="Palatino Linotype" w:hAnsi="Palatino Linotype" w:cs="Palatino Linotype"/>
        </w:rPr>
        <w:t>lo siguiente:</w:t>
      </w:r>
    </w:p>
    <w:p w:rsidR="00DB3BC1" w:rsidRPr="00D366B7" w:rsidRDefault="00DB3BC1" w:rsidP="00AC4AB6">
      <w:pPr>
        <w:spacing w:before="240" w:after="240"/>
        <w:ind w:right="538"/>
        <w:jc w:val="both"/>
        <w:rPr>
          <w:rFonts w:ascii="Palatino Linotype" w:eastAsia="Palatino Linotype" w:hAnsi="Palatino Linotype" w:cs="Palatino Linotype"/>
        </w:rPr>
      </w:pPr>
    </w:p>
    <w:p w:rsidR="00AC4AB6" w:rsidRPr="00D366B7" w:rsidRDefault="00BE06C9" w:rsidP="00AC4AB6">
      <w:pPr>
        <w:pStyle w:val="Prrafodelista"/>
        <w:numPr>
          <w:ilvl w:val="0"/>
          <w:numId w:val="14"/>
        </w:numPr>
        <w:pBdr>
          <w:top w:val="nil"/>
          <w:left w:val="nil"/>
          <w:bottom w:val="nil"/>
          <w:right w:val="nil"/>
          <w:between w:val="nil"/>
        </w:pBdr>
        <w:spacing w:before="240" w:line="360" w:lineRule="auto"/>
        <w:ind w:left="567" w:right="538" w:hanging="141"/>
        <w:jc w:val="both"/>
        <w:rPr>
          <w:rFonts w:ascii="Palatino Linotype" w:eastAsia="Palatino Linotype" w:hAnsi="Palatino Linotype" w:cs="Palatino Linotype"/>
          <w:b/>
          <w:color w:val="000000"/>
          <w:sz w:val="24"/>
        </w:rPr>
      </w:pPr>
      <w:r w:rsidRPr="00D366B7">
        <w:rPr>
          <w:rFonts w:ascii="Palatino Linotype" w:eastAsia="Palatino Linotype" w:hAnsi="Palatino Linotype" w:cs="Palatino Linotype"/>
          <w:b/>
          <w:color w:val="000000"/>
          <w:sz w:val="24"/>
        </w:rPr>
        <w:t>El o</w:t>
      </w:r>
      <w:r w:rsidR="00AC4AB6" w:rsidRPr="00D366B7">
        <w:rPr>
          <w:rFonts w:ascii="Palatino Linotype" w:eastAsia="Palatino Linotype" w:hAnsi="Palatino Linotype" w:cs="Palatino Linotype"/>
          <w:b/>
          <w:color w:val="000000"/>
          <w:sz w:val="24"/>
        </w:rPr>
        <w:t xml:space="preserve"> los documentos donde conste el nombre completo y sueldo mensual neto de todos los servidores públicos, del 01 de enero de 2022 al 29 de enero de 2025.</w:t>
      </w:r>
    </w:p>
    <w:p w:rsidR="00AC4AB6" w:rsidRPr="00D366B7" w:rsidRDefault="00AC4AB6" w:rsidP="00AC4AB6">
      <w:pPr>
        <w:tabs>
          <w:tab w:val="left" w:pos="7513"/>
          <w:tab w:val="left" w:pos="8080"/>
        </w:tabs>
        <w:spacing w:before="240" w:line="360" w:lineRule="auto"/>
        <w:ind w:right="680"/>
        <w:jc w:val="both"/>
        <w:rPr>
          <w:rFonts w:ascii="Palatino Linotype" w:eastAsia="Palatino Linotype" w:hAnsi="Palatino Linotype" w:cs="Palatino Linotype"/>
          <w:b/>
        </w:rPr>
      </w:pPr>
    </w:p>
    <w:p w:rsidR="00BE06C9" w:rsidRPr="00D366B7" w:rsidRDefault="00ED3A23" w:rsidP="00BE06C9">
      <w:pPr>
        <w:tabs>
          <w:tab w:val="left" w:pos="8080"/>
        </w:tabs>
        <w:spacing w:before="240" w:line="360" w:lineRule="auto"/>
        <w:ind w:right="1"/>
        <w:jc w:val="both"/>
        <w:rPr>
          <w:rFonts w:ascii="Palatino Linotype" w:eastAsia="Palatino Linotype" w:hAnsi="Palatino Linotype" w:cs="Palatino Linotype"/>
          <w:b/>
        </w:rPr>
      </w:pPr>
      <w:r w:rsidRPr="00D366B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00BE06C9" w:rsidRPr="00D366B7">
        <w:rPr>
          <w:rFonts w:ascii="Palatino Linotype" w:eastAsia="Palatino Linotype" w:hAnsi="Palatino Linotype" w:cs="Palatino Linotype"/>
          <w:b/>
        </w:rPr>
        <w:t xml:space="preserve"> RECURRENTE.</w:t>
      </w:r>
    </w:p>
    <w:p w:rsidR="00AC4AB6" w:rsidRPr="00D366B7" w:rsidRDefault="00AC4AB6" w:rsidP="00AC4AB6">
      <w:pPr>
        <w:tabs>
          <w:tab w:val="left" w:pos="8080"/>
        </w:tabs>
        <w:spacing w:before="240"/>
        <w:ind w:right="1"/>
        <w:jc w:val="both"/>
        <w:rPr>
          <w:rFonts w:ascii="Palatino Linotype" w:eastAsia="Palatino Linotype" w:hAnsi="Palatino Linotype" w:cs="Palatino Linotype"/>
          <w:b/>
        </w:rPr>
      </w:pPr>
    </w:p>
    <w:p w:rsidR="00187A1A" w:rsidRPr="00D366B7" w:rsidRDefault="004F3EC5" w:rsidP="00C227F6">
      <w:pPr>
        <w:tabs>
          <w:tab w:val="left" w:pos="8080"/>
        </w:tabs>
        <w:spacing w:line="360" w:lineRule="auto"/>
        <w:ind w:right="1"/>
        <w:jc w:val="both"/>
        <w:rPr>
          <w:rFonts w:ascii="Palatino Linotype" w:eastAsia="Palatino Linotype" w:hAnsi="Palatino Linotype" w:cs="Palatino Linotype"/>
          <w:color w:val="222222"/>
        </w:rPr>
      </w:pPr>
      <w:r w:rsidRPr="00D366B7">
        <w:rPr>
          <w:rFonts w:ascii="Palatino Linotype" w:eastAsia="Palatino Linotype" w:hAnsi="Palatino Linotype" w:cs="Palatino Linotype"/>
          <w:b/>
        </w:rPr>
        <w:t xml:space="preserve">TERCERO. </w:t>
      </w:r>
      <w:r w:rsidRPr="00D366B7">
        <w:rPr>
          <w:rFonts w:ascii="Palatino Linotype" w:eastAsia="Palatino Linotype" w:hAnsi="Palatino Linotype" w:cs="Palatino Linotype"/>
          <w:b/>
          <w:color w:val="000000"/>
        </w:rPr>
        <w:t>Notifíquese vía SAIMEX l</w:t>
      </w:r>
      <w:r w:rsidRPr="00D366B7">
        <w:rPr>
          <w:rFonts w:ascii="Palatino Linotype" w:eastAsia="Palatino Linotype" w:hAnsi="Palatino Linotype" w:cs="Palatino Linotype"/>
        </w:rPr>
        <w:t xml:space="preserve">a presente resolución al Titular de la Unidad de Transparencia del </w:t>
      </w:r>
      <w:r w:rsidRPr="00D366B7">
        <w:rPr>
          <w:rFonts w:ascii="Palatino Linotype" w:eastAsia="Palatino Linotype" w:hAnsi="Palatino Linotype" w:cs="Palatino Linotype"/>
          <w:b/>
        </w:rPr>
        <w:t>SUJETO OBLIGADO</w:t>
      </w:r>
      <w:r w:rsidRPr="00D366B7">
        <w:rPr>
          <w:rFonts w:ascii="Palatino Linotype" w:eastAsia="Palatino Linotype" w:hAnsi="Palatino Linotype" w:cs="Palatino Linotype"/>
        </w:rPr>
        <w:t xml:space="preserve">, para que conforme al artículo 186 último </w:t>
      </w:r>
      <w:r w:rsidRPr="00D366B7">
        <w:rPr>
          <w:rFonts w:ascii="Palatino Linotype" w:eastAsia="Palatino Linotype" w:hAnsi="Palatino Linotype" w:cs="Palatino Linotype"/>
        </w:rPr>
        <w:lastRenderedPageBreak/>
        <w:t xml:space="preserve">párrafo, 189 segundo párrafo y 194 de la Ley de Transparencia y Acceso a la Información Pública del Estado de México y Municipios; </w:t>
      </w:r>
      <w:r w:rsidRPr="00D366B7">
        <w:rPr>
          <w:rFonts w:ascii="Palatino Linotype" w:eastAsia="Palatino Linotype" w:hAnsi="Palatino Linotype" w:cs="Palatino Linotype"/>
          <w:b/>
        </w:rPr>
        <w:t>dé cumplimiento a lo ordenado dentro del plazo de diez días hábiles</w:t>
      </w:r>
      <w:r w:rsidRPr="00D366B7">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87A1A" w:rsidRPr="00D366B7" w:rsidRDefault="00187A1A" w:rsidP="00C227F6">
      <w:pPr>
        <w:tabs>
          <w:tab w:val="left" w:pos="8080"/>
        </w:tabs>
        <w:spacing w:line="360" w:lineRule="auto"/>
        <w:ind w:right="1"/>
        <w:jc w:val="both"/>
        <w:rPr>
          <w:rFonts w:ascii="Palatino Linotype" w:eastAsia="Palatino Linotype" w:hAnsi="Palatino Linotype" w:cs="Palatino Linotype"/>
          <w:color w:val="222222"/>
        </w:rPr>
      </w:pPr>
    </w:p>
    <w:p w:rsidR="00187A1A" w:rsidRPr="00D366B7" w:rsidRDefault="004F3EC5" w:rsidP="00C227F6">
      <w:pPr>
        <w:shd w:val="clear" w:color="auto" w:fill="FFFFFF"/>
        <w:spacing w:after="240" w:line="360" w:lineRule="auto"/>
        <w:ind w:right="1"/>
        <w:jc w:val="both"/>
        <w:rPr>
          <w:rFonts w:ascii="Palatino Linotype" w:eastAsia="Palatino Linotype" w:hAnsi="Palatino Linotype" w:cs="Palatino Linotype"/>
          <w:b/>
        </w:rPr>
      </w:pPr>
      <w:r w:rsidRPr="00D366B7">
        <w:rPr>
          <w:rFonts w:ascii="Palatino Linotype" w:eastAsia="Palatino Linotype" w:hAnsi="Palatino Linotype" w:cs="Palatino Linotype"/>
          <w:b/>
        </w:rPr>
        <w:t>CUARTO. Notifíquese al RECURRENTE</w:t>
      </w:r>
      <w:r w:rsidRPr="00D366B7">
        <w:rPr>
          <w:rFonts w:ascii="Palatino Linotype" w:eastAsia="Palatino Linotype" w:hAnsi="Palatino Linotype" w:cs="Palatino Linotype"/>
        </w:rPr>
        <w:t xml:space="preserve"> la presente resolución vía </w:t>
      </w:r>
      <w:r w:rsidRPr="00D366B7">
        <w:rPr>
          <w:rFonts w:ascii="Palatino Linotype" w:eastAsia="Palatino Linotype" w:hAnsi="Palatino Linotype" w:cs="Palatino Linotype"/>
          <w:b/>
        </w:rPr>
        <w:t>SAIMEX.</w:t>
      </w:r>
    </w:p>
    <w:p w:rsidR="00187A1A" w:rsidRPr="00D366B7" w:rsidRDefault="004F3EC5" w:rsidP="00C227F6">
      <w:pPr>
        <w:spacing w:before="240" w:after="240" w:line="360" w:lineRule="auto"/>
        <w:ind w:right="1"/>
        <w:jc w:val="both"/>
        <w:rPr>
          <w:rFonts w:ascii="Palatino Linotype" w:eastAsia="Palatino Linotype" w:hAnsi="Palatino Linotype" w:cs="Palatino Linotype"/>
        </w:rPr>
      </w:pPr>
      <w:r w:rsidRPr="00D366B7">
        <w:rPr>
          <w:rFonts w:ascii="Palatino Linotype" w:eastAsia="Palatino Linotype" w:hAnsi="Palatino Linotype" w:cs="Palatino Linotype"/>
          <w:b/>
        </w:rPr>
        <w:t>QUINTO.</w:t>
      </w:r>
      <w:r w:rsidRPr="00D366B7">
        <w:rPr>
          <w:rFonts w:ascii="Palatino Linotype" w:eastAsia="Palatino Linotype" w:hAnsi="Palatino Linotype" w:cs="Palatino Linotype"/>
        </w:rPr>
        <w:t xml:space="preserve"> Se hace del conocimiento del </w:t>
      </w:r>
      <w:r w:rsidRPr="00D366B7">
        <w:rPr>
          <w:rFonts w:ascii="Palatino Linotype" w:eastAsia="Palatino Linotype" w:hAnsi="Palatino Linotype" w:cs="Palatino Linotype"/>
          <w:b/>
        </w:rPr>
        <w:t>RECURRENTE</w:t>
      </w:r>
      <w:r w:rsidRPr="00D366B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87A1A" w:rsidRPr="00D366B7" w:rsidRDefault="004F3EC5" w:rsidP="00C227F6">
      <w:pPr>
        <w:spacing w:before="240" w:after="240" w:line="360" w:lineRule="auto"/>
        <w:ind w:right="1"/>
        <w:jc w:val="both"/>
        <w:rPr>
          <w:rFonts w:ascii="Palatino Linotype" w:eastAsia="Palatino Linotype" w:hAnsi="Palatino Linotype" w:cs="Palatino Linotype"/>
        </w:rPr>
      </w:pPr>
      <w:r w:rsidRPr="00D366B7">
        <w:rPr>
          <w:rFonts w:ascii="Palatino Linotype" w:eastAsia="Palatino Linotype" w:hAnsi="Palatino Linotype" w:cs="Palatino Linotype"/>
          <w:b/>
          <w:color w:val="000000"/>
        </w:rPr>
        <w:t xml:space="preserve">SEXTO. </w:t>
      </w:r>
      <w:r w:rsidRPr="00D366B7">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F62720" w:rsidRPr="00D366B7" w:rsidRDefault="00F62720" w:rsidP="00C227F6">
      <w:pPr>
        <w:spacing w:before="240" w:after="240" w:line="360" w:lineRule="auto"/>
        <w:ind w:right="1"/>
        <w:jc w:val="both"/>
        <w:rPr>
          <w:rFonts w:ascii="Palatino Linotype" w:eastAsia="Palatino Linotype" w:hAnsi="Palatino Linotype" w:cs="Palatino Linotype"/>
        </w:rPr>
      </w:pPr>
    </w:p>
    <w:p w:rsidR="00F62720" w:rsidRPr="00D366B7" w:rsidRDefault="00F62720" w:rsidP="00C227F6">
      <w:pPr>
        <w:spacing w:before="240" w:after="240" w:line="360" w:lineRule="auto"/>
        <w:ind w:right="1"/>
        <w:jc w:val="both"/>
        <w:rPr>
          <w:rFonts w:ascii="Palatino Linotype" w:eastAsia="Palatino Linotype" w:hAnsi="Palatino Linotype" w:cs="Palatino Linotype"/>
        </w:rPr>
      </w:pPr>
    </w:p>
    <w:p w:rsidR="00187A1A" w:rsidRPr="002F6C92" w:rsidRDefault="00F62720" w:rsidP="00F62720">
      <w:pPr>
        <w:spacing w:before="240" w:after="240" w:line="360" w:lineRule="auto"/>
        <w:ind w:right="-29"/>
        <w:jc w:val="both"/>
        <w:rPr>
          <w:rFonts w:ascii="Palatino Linotype" w:eastAsia="Palatino Linotype" w:hAnsi="Palatino Linotype" w:cs="Palatino Linotype"/>
        </w:rPr>
      </w:pPr>
      <w:r w:rsidRPr="00D366B7">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AE7314" w:rsidRPr="00D366B7">
        <w:rPr>
          <w:rFonts w:ascii="Palatino Linotype" w:eastAsia="Palatino Linotype" w:hAnsi="Palatino Linotype" w:cs="Palatino Linotype"/>
        </w:rPr>
        <w:t xml:space="preserve">EMITIENDO VOTO PARTICULAR </w:t>
      </w:r>
      <w:r w:rsidRPr="00D366B7">
        <w:rPr>
          <w:rFonts w:ascii="Palatino Linotype" w:eastAsia="Palatino Linotype" w:hAnsi="Palatino Linotype" w:cs="Palatino Linotype"/>
        </w:rPr>
        <w:t>Y GUADALUPE RAMÍREZ PEÑA</w:t>
      </w:r>
      <w:r w:rsidR="00AE7314" w:rsidRPr="00D366B7">
        <w:rPr>
          <w:rFonts w:ascii="Palatino Linotype" w:eastAsia="Palatino Linotype" w:hAnsi="Palatino Linotype" w:cs="Palatino Linotype"/>
        </w:rPr>
        <w:t xml:space="preserve"> EMITIENDO VOTO PARTICULAR</w:t>
      </w:r>
      <w:r w:rsidRPr="00D366B7">
        <w:rPr>
          <w:rFonts w:ascii="Palatino Linotype" w:eastAsia="Palatino Linotype" w:hAnsi="Palatino Linotype" w:cs="Palatino Linotype"/>
        </w:rPr>
        <w:t>; EN LA DÉCIMA SESIÓN ORDINARIA, CELEBRADA EL VEINTE (20) DE MARZO DE DOS MIL VEINTICINCO, ANTE EL SECRETARIO TÉCNICO DEL PLENO ALEXIS TAPIA RAMÍREZ</w:t>
      </w:r>
      <w:r w:rsidR="00AE7314" w:rsidRPr="00D366B7">
        <w:rPr>
          <w:rFonts w:ascii="Palatino Linotype" w:eastAsia="Palatino Linotype" w:hAnsi="Palatino Linotype" w:cs="Palatino Linotype"/>
        </w:rPr>
        <w:t>.</w:t>
      </w:r>
    </w:p>
    <w:p w:rsidR="00DB3BC1" w:rsidRPr="002F6C92" w:rsidRDefault="00DB3BC1"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jc w:val="both"/>
        <w:rPr>
          <w:rFonts w:ascii="Palatino Linotype" w:eastAsia="Palatino Linotype" w:hAnsi="Palatino Linotype" w:cs="Palatino Linotype"/>
        </w:rPr>
      </w:pPr>
    </w:p>
    <w:p w:rsidR="00187A1A" w:rsidRPr="002F6C92" w:rsidRDefault="00187A1A" w:rsidP="00C227F6">
      <w:pPr>
        <w:spacing w:before="240" w:after="240" w:line="360" w:lineRule="auto"/>
        <w:ind w:right="1"/>
        <w:rPr>
          <w:rFonts w:ascii="Palatino Linotype" w:eastAsia="Palatino Linotype" w:hAnsi="Palatino Linotype" w:cs="Palatino Linotype"/>
        </w:rPr>
      </w:pPr>
    </w:p>
    <w:p w:rsidR="00511423" w:rsidRPr="002F6C92" w:rsidRDefault="00511423" w:rsidP="00C227F6">
      <w:pPr>
        <w:spacing w:before="240" w:after="240" w:line="360" w:lineRule="auto"/>
        <w:ind w:right="1"/>
        <w:rPr>
          <w:rFonts w:ascii="Palatino Linotype" w:eastAsia="Palatino Linotype" w:hAnsi="Palatino Linotype" w:cs="Palatino Linotype"/>
        </w:rPr>
      </w:pPr>
    </w:p>
    <w:p w:rsidR="00511423" w:rsidRPr="002F6C92" w:rsidRDefault="00511423" w:rsidP="00C227F6">
      <w:pPr>
        <w:spacing w:before="240" w:after="240" w:line="360" w:lineRule="auto"/>
        <w:ind w:right="1"/>
        <w:rPr>
          <w:rFonts w:ascii="Palatino Linotype" w:eastAsia="Palatino Linotype" w:hAnsi="Palatino Linotype" w:cs="Palatino Linotype"/>
        </w:rPr>
      </w:pPr>
    </w:p>
    <w:p w:rsidR="00511423" w:rsidRPr="002F6C92" w:rsidRDefault="00511423" w:rsidP="00C227F6">
      <w:pPr>
        <w:spacing w:before="240" w:after="240" w:line="360" w:lineRule="auto"/>
        <w:ind w:right="1"/>
        <w:rPr>
          <w:rFonts w:ascii="Palatino Linotype" w:eastAsia="Palatino Linotype" w:hAnsi="Palatino Linotype" w:cs="Palatino Linotype"/>
        </w:rPr>
      </w:pPr>
    </w:p>
    <w:p w:rsidR="00511423" w:rsidRPr="002F6C92" w:rsidRDefault="00511423" w:rsidP="00C227F6">
      <w:pPr>
        <w:spacing w:before="240" w:after="240" w:line="360" w:lineRule="auto"/>
        <w:ind w:right="1"/>
        <w:rPr>
          <w:rFonts w:ascii="Palatino Linotype" w:eastAsia="Palatino Linotype" w:hAnsi="Palatino Linotype" w:cs="Palatino Linotype"/>
        </w:rPr>
      </w:pPr>
    </w:p>
    <w:p w:rsidR="00187A1A" w:rsidRPr="002F6C92" w:rsidRDefault="00187A1A" w:rsidP="00C227F6">
      <w:pPr>
        <w:spacing w:before="240" w:after="240" w:line="360" w:lineRule="auto"/>
        <w:ind w:right="1"/>
        <w:rPr>
          <w:rFonts w:ascii="Palatino Linotype" w:eastAsia="Palatino Linotype" w:hAnsi="Palatino Linotype" w:cs="Palatino Linotype"/>
        </w:rPr>
      </w:pPr>
    </w:p>
    <w:sectPr w:rsidR="00187A1A" w:rsidRPr="002F6C92" w:rsidSect="0049746C">
      <w:headerReference w:type="even" r:id="rId10"/>
      <w:headerReference w:type="default" r:id="rId11"/>
      <w:footerReference w:type="default" r:id="rId12"/>
      <w:headerReference w:type="first" r:id="rId13"/>
      <w:footerReference w:type="first" r:id="rId14"/>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DE" w:rsidRDefault="00DE7BDE">
      <w:r>
        <w:separator/>
      </w:r>
    </w:p>
  </w:endnote>
  <w:endnote w:type="continuationSeparator" w:id="0">
    <w:p w:rsidR="00DE7BDE" w:rsidRDefault="00DE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B6" w:rsidRDefault="00AC4AB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D10A0">
      <w:rPr>
        <w:b/>
        <w:noProof/>
        <w:color w:val="000000"/>
      </w:rPr>
      <w:t>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D10A0">
      <w:rPr>
        <w:b/>
        <w:noProof/>
        <w:color w:val="000000"/>
      </w:rPr>
      <w:t>36</w:t>
    </w:r>
    <w:r>
      <w:rPr>
        <w:b/>
        <w:color w:val="000000"/>
      </w:rPr>
      <w:fldChar w:fldCharType="end"/>
    </w:r>
  </w:p>
  <w:p w:rsidR="00AC4AB6" w:rsidRDefault="00AC4AB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B6" w:rsidRDefault="00AC4AB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D10A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D10A0">
      <w:rPr>
        <w:b/>
        <w:noProof/>
        <w:color w:val="000000"/>
      </w:rPr>
      <w:t>36</w:t>
    </w:r>
    <w:r>
      <w:rPr>
        <w:b/>
        <w:color w:val="000000"/>
      </w:rPr>
      <w:fldChar w:fldCharType="end"/>
    </w:r>
  </w:p>
  <w:p w:rsidR="00AC4AB6" w:rsidRDefault="00AC4AB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DE" w:rsidRDefault="00DE7BDE">
      <w:r>
        <w:separator/>
      </w:r>
    </w:p>
  </w:footnote>
  <w:footnote w:type="continuationSeparator" w:id="0">
    <w:p w:rsidR="00DE7BDE" w:rsidRDefault="00DE7BDE">
      <w:r>
        <w:continuationSeparator/>
      </w:r>
    </w:p>
  </w:footnote>
  <w:footnote w:id="1">
    <w:p w:rsidR="00AC4AB6" w:rsidRDefault="00AC4AB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AC4AB6" w:rsidRDefault="00AC4AB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AC4AB6" w:rsidRDefault="00AC4AB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AC4AB6" w:rsidRDefault="00AC4AB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B6" w:rsidRDefault="00DE7BD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B6" w:rsidRDefault="00AC4AB6">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AC4AB6">
      <w:trPr>
        <w:trHeight w:val="1435"/>
      </w:trPr>
      <w:tc>
        <w:tcPr>
          <w:tcW w:w="2268" w:type="dxa"/>
          <w:shd w:val="clear" w:color="auto" w:fill="auto"/>
        </w:tcPr>
        <w:p w:rsidR="00AC4AB6" w:rsidRDefault="00AC4AB6">
          <w:pPr>
            <w:tabs>
              <w:tab w:val="right" w:pos="4273"/>
            </w:tabs>
            <w:rPr>
              <w:rFonts w:ascii="Garamond" w:eastAsia="Garamond" w:hAnsi="Garamond" w:cs="Garamond"/>
              <w:sz w:val="16"/>
              <w:szCs w:val="16"/>
            </w:rPr>
          </w:pPr>
        </w:p>
      </w:tc>
      <w:tc>
        <w:tcPr>
          <w:tcW w:w="6946" w:type="dxa"/>
          <w:shd w:val="clear" w:color="auto" w:fill="auto"/>
        </w:tcPr>
        <w:p w:rsidR="00AC4AB6" w:rsidRDefault="00AC4AB6"/>
        <w:tbl>
          <w:tblPr>
            <w:tblStyle w:val="a6"/>
            <w:tblW w:w="6662" w:type="dxa"/>
            <w:tblInd w:w="40" w:type="dxa"/>
            <w:tblLayout w:type="fixed"/>
            <w:tblLook w:val="0400" w:firstRow="0" w:lastRow="0" w:firstColumn="0" w:lastColumn="0" w:noHBand="0" w:noVBand="1"/>
          </w:tblPr>
          <w:tblGrid>
            <w:gridCol w:w="2551"/>
            <w:gridCol w:w="4111"/>
          </w:tblGrid>
          <w:tr w:rsidR="00AC4AB6">
            <w:trPr>
              <w:trHeight w:val="150"/>
            </w:trPr>
            <w:tc>
              <w:tcPr>
                <w:tcW w:w="2551" w:type="dxa"/>
                <w:shd w:val="clear" w:color="auto" w:fill="auto"/>
              </w:tcPr>
              <w:p w:rsidR="00AC4AB6" w:rsidRDefault="00AC4AB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AC4AB6" w:rsidRDefault="00AC4AB6" w:rsidP="00C227F6">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01913/INFOEM/IP/RR/2025</w:t>
                </w:r>
              </w:p>
            </w:tc>
          </w:tr>
          <w:tr w:rsidR="00AC4AB6">
            <w:trPr>
              <w:trHeight w:val="295"/>
            </w:trPr>
            <w:tc>
              <w:tcPr>
                <w:tcW w:w="2551" w:type="dxa"/>
                <w:shd w:val="clear" w:color="auto" w:fill="auto"/>
              </w:tcPr>
              <w:p w:rsidR="00AC4AB6" w:rsidRDefault="00AC4AB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AC4AB6" w:rsidRDefault="00AC4AB6" w:rsidP="00C227F6">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Timilpan</w:t>
                </w:r>
              </w:p>
            </w:tc>
          </w:tr>
          <w:tr w:rsidR="00AC4AB6">
            <w:trPr>
              <w:trHeight w:val="295"/>
            </w:trPr>
            <w:tc>
              <w:tcPr>
                <w:tcW w:w="2551" w:type="dxa"/>
                <w:shd w:val="clear" w:color="auto" w:fill="auto"/>
              </w:tcPr>
              <w:p w:rsidR="00AC4AB6" w:rsidRDefault="00AC4AB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AC4AB6" w:rsidRDefault="00AC4AB6">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AC4AB6" w:rsidRDefault="00AC4AB6">
                <w:pPr>
                  <w:tabs>
                    <w:tab w:val="right" w:pos="8838"/>
                  </w:tabs>
                  <w:ind w:left="-108" w:right="171"/>
                  <w:jc w:val="both"/>
                  <w:rPr>
                    <w:rFonts w:ascii="Palatino Linotype" w:eastAsia="Palatino Linotype" w:hAnsi="Palatino Linotype" w:cs="Palatino Linotype"/>
                    <w:b/>
                    <w:sz w:val="22"/>
                    <w:szCs w:val="22"/>
                  </w:rPr>
                </w:pPr>
              </w:p>
            </w:tc>
          </w:tr>
        </w:tbl>
        <w:p w:rsidR="00AC4AB6" w:rsidRDefault="00AC4AB6">
          <w:pPr>
            <w:tabs>
              <w:tab w:val="right" w:pos="8838"/>
            </w:tabs>
            <w:ind w:left="-28"/>
            <w:jc w:val="both"/>
            <w:rPr>
              <w:rFonts w:ascii="Arial" w:eastAsia="Arial" w:hAnsi="Arial" w:cs="Arial"/>
              <w:b/>
              <w:sz w:val="22"/>
              <w:szCs w:val="22"/>
            </w:rPr>
          </w:pPr>
        </w:p>
      </w:tc>
    </w:tr>
  </w:tbl>
  <w:p w:rsidR="00AC4AB6" w:rsidRDefault="00AC4AB6">
    <w:pPr>
      <w:pBdr>
        <w:top w:val="nil"/>
        <w:left w:val="nil"/>
        <w:bottom w:val="nil"/>
        <w:right w:val="nil"/>
        <w:between w:val="nil"/>
      </w:pBdr>
      <w:tabs>
        <w:tab w:val="center" w:pos="4419"/>
        <w:tab w:val="right" w:pos="8838"/>
      </w:tabs>
      <w:rPr>
        <w:color w:val="000000"/>
        <w:sz w:val="14"/>
        <w:szCs w:val="14"/>
      </w:rPr>
    </w:pPr>
    <w:r>
      <w:rPr>
        <w:sz w:val="14"/>
        <w:szCs w:val="14"/>
      </w:rPr>
      <w:t>|</w:t>
    </w:r>
    <w:r w:rsidR="00DE7BDE">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B6" w:rsidRDefault="00AC4AB6">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AC4AB6">
      <w:trPr>
        <w:trHeight w:val="1435"/>
      </w:trPr>
      <w:tc>
        <w:tcPr>
          <w:tcW w:w="2268" w:type="dxa"/>
          <w:shd w:val="clear" w:color="auto" w:fill="auto"/>
        </w:tcPr>
        <w:p w:rsidR="00AC4AB6" w:rsidRDefault="00AC4AB6">
          <w:pPr>
            <w:tabs>
              <w:tab w:val="right" w:pos="4273"/>
            </w:tabs>
            <w:rPr>
              <w:rFonts w:ascii="Garamond" w:eastAsia="Garamond" w:hAnsi="Garamond" w:cs="Garamond"/>
              <w:sz w:val="22"/>
              <w:szCs w:val="22"/>
            </w:rPr>
          </w:pPr>
        </w:p>
      </w:tc>
      <w:tc>
        <w:tcPr>
          <w:tcW w:w="6804" w:type="dxa"/>
          <w:shd w:val="clear" w:color="auto" w:fill="auto"/>
        </w:tcPr>
        <w:p w:rsidR="00AC4AB6" w:rsidRDefault="00AC4AB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662" w:type="dxa"/>
            <w:tblInd w:w="40" w:type="dxa"/>
            <w:tblLayout w:type="fixed"/>
            <w:tblLook w:val="0400" w:firstRow="0" w:lastRow="0" w:firstColumn="0" w:lastColumn="0" w:noHBand="0" w:noVBand="1"/>
          </w:tblPr>
          <w:tblGrid>
            <w:gridCol w:w="2444"/>
            <w:gridCol w:w="4218"/>
          </w:tblGrid>
          <w:tr w:rsidR="00AC4AB6">
            <w:trPr>
              <w:trHeight w:val="144"/>
            </w:trPr>
            <w:tc>
              <w:tcPr>
                <w:tcW w:w="2444" w:type="dxa"/>
                <w:shd w:val="clear" w:color="auto" w:fill="auto"/>
              </w:tcPr>
              <w:p w:rsidR="00AC4AB6" w:rsidRDefault="00AC4AB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AC4AB6" w:rsidRDefault="00AC4AB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01913/INFOEM/IP/RR/2025</w:t>
                </w:r>
              </w:p>
            </w:tc>
          </w:tr>
          <w:tr w:rsidR="00AC4AB6">
            <w:trPr>
              <w:trHeight w:val="144"/>
            </w:trPr>
            <w:tc>
              <w:tcPr>
                <w:tcW w:w="2444" w:type="dxa"/>
                <w:shd w:val="clear" w:color="auto" w:fill="auto"/>
              </w:tcPr>
              <w:p w:rsidR="00AC4AB6" w:rsidRDefault="00AC4AB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AC4AB6" w:rsidRDefault="009D10A0">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AC4AB6">
            <w:trPr>
              <w:trHeight w:val="283"/>
            </w:trPr>
            <w:tc>
              <w:tcPr>
                <w:tcW w:w="2444" w:type="dxa"/>
                <w:shd w:val="clear" w:color="auto" w:fill="auto"/>
              </w:tcPr>
              <w:p w:rsidR="00AC4AB6" w:rsidRDefault="00AC4AB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AC4AB6" w:rsidRDefault="00AC4AB6" w:rsidP="00C227F6">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Timilpan </w:t>
                </w:r>
              </w:p>
            </w:tc>
          </w:tr>
          <w:tr w:rsidR="00AC4AB6">
            <w:trPr>
              <w:trHeight w:val="283"/>
            </w:trPr>
            <w:tc>
              <w:tcPr>
                <w:tcW w:w="2444" w:type="dxa"/>
                <w:shd w:val="clear" w:color="auto" w:fill="auto"/>
              </w:tcPr>
              <w:p w:rsidR="00AC4AB6" w:rsidRDefault="00AC4AB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AC4AB6" w:rsidRDefault="00AC4AB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AC4AB6" w:rsidRDefault="00AC4AB6">
                <w:pPr>
                  <w:tabs>
                    <w:tab w:val="right" w:pos="8838"/>
                  </w:tabs>
                  <w:ind w:left="-74" w:right="-105"/>
                  <w:jc w:val="both"/>
                  <w:rPr>
                    <w:rFonts w:ascii="Palatino Linotype" w:eastAsia="Palatino Linotype" w:hAnsi="Palatino Linotype" w:cs="Palatino Linotype"/>
                    <w:b/>
                    <w:sz w:val="22"/>
                    <w:szCs w:val="22"/>
                  </w:rPr>
                </w:pPr>
              </w:p>
            </w:tc>
          </w:tr>
        </w:tbl>
        <w:p w:rsidR="00AC4AB6" w:rsidRDefault="00AC4AB6">
          <w:pPr>
            <w:tabs>
              <w:tab w:val="right" w:pos="8838"/>
            </w:tabs>
            <w:ind w:left="-28"/>
            <w:jc w:val="both"/>
            <w:rPr>
              <w:rFonts w:ascii="Arial" w:eastAsia="Arial" w:hAnsi="Arial" w:cs="Arial"/>
              <w:b/>
              <w:sz w:val="22"/>
              <w:szCs w:val="22"/>
            </w:rPr>
          </w:pPr>
        </w:p>
      </w:tc>
    </w:tr>
  </w:tbl>
  <w:p w:rsidR="00AC4AB6" w:rsidRDefault="00DE7BDE">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020"/>
    <w:multiLevelType w:val="multilevel"/>
    <w:tmpl w:val="2828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35B5D"/>
    <w:multiLevelType w:val="hybridMultilevel"/>
    <w:tmpl w:val="829860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72E08"/>
    <w:multiLevelType w:val="multilevel"/>
    <w:tmpl w:val="3950F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BA06E9"/>
    <w:multiLevelType w:val="hybridMultilevel"/>
    <w:tmpl w:val="6C020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573B79"/>
    <w:multiLevelType w:val="multilevel"/>
    <w:tmpl w:val="B8A8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1B1EA2"/>
    <w:multiLevelType w:val="multilevel"/>
    <w:tmpl w:val="C0703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1C7C38"/>
    <w:multiLevelType w:val="multilevel"/>
    <w:tmpl w:val="8DD477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E8302F"/>
    <w:multiLevelType w:val="multilevel"/>
    <w:tmpl w:val="79CCE82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6D2190"/>
    <w:multiLevelType w:val="multilevel"/>
    <w:tmpl w:val="6D5820A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7"/>
  </w:num>
  <w:num w:numId="5">
    <w:abstractNumId w:val="2"/>
  </w:num>
  <w:num w:numId="6">
    <w:abstractNumId w:val="6"/>
  </w:num>
  <w:num w:numId="7">
    <w:abstractNumId w:val="13"/>
  </w:num>
  <w:num w:numId="8">
    <w:abstractNumId w:val="5"/>
  </w:num>
  <w:num w:numId="9">
    <w:abstractNumId w:val="10"/>
  </w:num>
  <w:num w:numId="10">
    <w:abstractNumId w:val="11"/>
  </w:num>
  <w:num w:numId="11">
    <w:abstractNumId w:val="1"/>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1A"/>
    <w:rsid w:val="00187A1A"/>
    <w:rsid w:val="00271E5A"/>
    <w:rsid w:val="002E174A"/>
    <w:rsid w:val="002F6C92"/>
    <w:rsid w:val="003714CA"/>
    <w:rsid w:val="003735C3"/>
    <w:rsid w:val="003B063B"/>
    <w:rsid w:val="00410440"/>
    <w:rsid w:val="0049746C"/>
    <w:rsid w:val="004B01A9"/>
    <w:rsid w:val="004C2EDB"/>
    <w:rsid w:val="004F3EC5"/>
    <w:rsid w:val="00511423"/>
    <w:rsid w:val="00552B44"/>
    <w:rsid w:val="007431EC"/>
    <w:rsid w:val="00746824"/>
    <w:rsid w:val="0077406A"/>
    <w:rsid w:val="007743C9"/>
    <w:rsid w:val="0088328C"/>
    <w:rsid w:val="00913B3C"/>
    <w:rsid w:val="00976A78"/>
    <w:rsid w:val="009D10A0"/>
    <w:rsid w:val="00AC4AB6"/>
    <w:rsid w:val="00AE7314"/>
    <w:rsid w:val="00B564C0"/>
    <w:rsid w:val="00BE06C9"/>
    <w:rsid w:val="00C070F7"/>
    <w:rsid w:val="00C227F6"/>
    <w:rsid w:val="00CC3384"/>
    <w:rsid w:val="00CC3930"/>
    <w:rsid w:val="00D366B7"/>
    <w:rsid w:val="00D77705"/>
    <w:rsid w:val="00DB3BC1"/>
    <w:rsid w:val="00DC2EE2"/>
    <w:rsid w:val="00DE7BDE"/>
    <w:rsid w:val="00EB5CB3"/>
    <w:rsid w:val="00ED2498"/>
    <w:rsid w:val="00ED3A23"/>
    <w:rsid w:val="00EF29ED"/>
    <w:rsid w:val="00F62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8A2610-263E-4594-AC1D-1DD7E610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rYGSgLAxPJ91u5AIj4l8Abscw==">CgMxLjAyCGguZ2pkZ3hzMgloLjMwajB6bGwyCWguMWZvYjl0ZTIJaC4zem55c2g3MgloLjJldDkycDAyCGgudHlqY3d0MgloLjNkeTZ2a20yCWguMXQzaDVzZjIJaC40ZDM0b2c4MgloLjJzOGV5bzEyCWguMTdkcDh2dTIIaC5sbnhiejkyCWguMzVua3VuMjgAciExajBwM0ZCTW1zenRod1d4UzlHVVU4NGVEMHFpbjd1V08=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8387</Words>
  <Characters>46130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7</cp:revision>
  <cp:lastPrinted>2025-03-24T15:46:00Z</cp:lastPrinted>
  <dcterms:created xsi:type="dcterms:W3CDTF">2025-03-13T19:26:00Z</dcterms:created>
  <dcterms:modified xsi:type="dcterms:W3CDTF">2025-04-01T18:43:00Z</dcterms:modified>
</cp:coreProperties>
</file>