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F5858" w14:textId="77777777" w:rsidR="004C465F" w:rsidRDefault="004C465F" w:rsidP="00E873E0">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2EA06CC8" w:rsidR="00C4052B" w:rsidRPr="0032782E" w:rsidRDefault="00C4052B" w:rsidP="00E873E0">
          <w:pPr>
            <w:pStyle w:val="TtuloTDC"/>
            <w:spacing w:before="0" w:line="360" w:lineRule="auto"/>
            <w:jc w:val="center"/>
            <w:rPr>
              <w:rFonts w:ascii="Palatino Linotype" w:hAnsi="Palatino Linotype"/>
              <w:color w:val="auto"/>
              <w:sz w:val="22"/>
              <w:szCs w:val="22"/>
            </w:rPr>
          </w:pPr>
          <w:r w:rsidRPr="0032782E">
            <w:rPr>
              <w:rFonts w:ascii="Palatino Linotype" w:hAnsi="Palatino Linotype"/>
              <w:color w:val="auto"/>
              <w:sz w:val="22"/>
              <w:szCs w:val="22"/>
              <w:lang w:val="es-ES"/>
            </w:rPr>
            <w:t xml:space="preserve">RESOLUCIÓN DEL RECURSO DE REVISIÓN </w:t>
          </w:r>
          <w:r w:rsidR="00803F31" w:rsidRPr="0032782E">
            <w:rPr>
              <w:rFonts w:ascii="Palatino Linotype" w:hAnsi="Palatino Linotype"/>
              <w:color w:val="auto"/>
              <w:sz w:val="22"/>
              <w:szCs w:val="22"/>
            </w:rPr>
            <w:t>01891/INFOEM/IP/RR/2025</w:t>
          </w:r>
        </w:p>
        <w:p w14:paraId="73933EFA" w14:textId="77777777" w:rsidR="00C4052B" w:rsidRPr="0032782E" w:rsidRDefault="00C4052B" w:rsidP="00E873E0">
          <w:pPr>
            <w:spacing w:after="0" w:line="360" w:lineRule="auto"/>
          </w:pPr>
        </w:p>
        <w:p w14:paraId="1A6DC003" w14:textId="77777777" w:rsidR="0067597C" w:rsidRPr="0032782E" w:rsidRDefault="00C4052B">
          <w:pPr>
            <w:pStyle w:val="TDC1"/>
            <w:tabs>
              <w:tab w:val="right" w:leader="dot" w:pos="8921"/>
            </w:tabs>
            <w:rPr>
              <w:rFonts w:asciiTheme="minorHAnsi" w:eastAsiaTheme="minorEastAsia" w:hAnsiTheme="minorHAnsi" w:cstheme="minorBidi"/>
              <w:noProof/>
              <w:color w:val="auto"/>
            </w:rPr>
          </w:pPr>
          <w:r w:rsidRPr="0032782E">
            <w:fldChar w:fldCharType="begin"/>
          </w:r>
          <w:r w:rsidRPr="0032782E">
            <w:instrText xml:space="preserve"> TOC \o "1-3" \h \z \u </w:instrText>
          </w:r>
          <w:r w:rsidRPr="0032782E">
            <w:fldChar w:fldCharType="separate"/>
          </w:r>
          <w:hyperlink w:anchor="_Toc193891134" w:history="1">
            <w:r w:rsidR="0067597C" w:rsidRPr="0032782E">
              <w:rPr>
                <w:rStyle w:val="Hipervnculo"/>
                <w:noProof/>
              </w:rPr>
              <w:t>A N T E C E D E N T E S</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_Toc193891134 \h </w:instrText>
            </w:r>
            <w:r w:rsidR="0067597C" w:rsidRPr="0032782E">
              <w:rPr>
                <w:noProof/>
                <w:webHidden/>
              </w:rPr>
            </w:r>
            <w:r w:rsidR="0067597C" w:rsidRPr="0032782E">
              <w:rPr>
                <w:noProof/>
                <w:webHidden/>
              </w:rPr>
              <w:fldChar w:fldCharType="separate"/>
            </w:r>
            <w:r w:rsidR="003D1322">
              <w:rPr>
                <w:noProof/>
                <w:webHidden/>
              </w:rPr>
              <w:t>2</w:t>
            </w:r>
            <w:r w:rsidR="0067597C" w:rsidRPr="0032782E">
              <w:rPr>
                <w:noProof/>
                <w:webHidden/>
              </w:rPr>
              <w:fldChar w:fldCharType="end"/>
            </w:r>
          </w:hyperlink>
        </w:p>
        <w:p w14:paraId="7F6C02A9"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35" w:history="1">
            <w:r w:rsidR="0067597C" w:rsidRPr="0032782E">
              <w:rPr>
                <w:rStyle w:val="Hipervnculo"/>
                <w:noProof/>
                <w:lang w:eastAsia="es-ES"/>
              </w:rPr>
              <w:t>I. Presentación de la solicitud de información</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_Toc193891135 \h </w:instrText>
            </w:r>
            <w:r w:rsidR="0067597C" w:rsidRPr="0032782E">
              <w:rPr>
                <w:noProof/>
                <w:webHidden/>
              </w:rPr>
            </w:r>
            <w:r w:rsidR="0067597C" w:rsidRPr="0032782E">
              <w:rPr>
                <w:noProof/>
                <w:webHidden/>
              </w:rPr>
              <w:fldChar w:fldCharType="separate"/>
            </w:r>
            <w:r w:rsidR="003D1322">
              <w:rPr>
                <w:noProof/>
                <w:webHidden/>
              </w:rPr>
              <w:t>2</w:t>
            </w:r>
            <w:r w:rsidR="0067597C" w:rsidRPr="0032782E">
              <w:rPr>
                <w:noProof/>
                <w:webHidden/>
              </w:rPr>
              <w:fldChar w:fldCharType="end"/>
            </w:r>
          </w:hyperlink>
        </w:p>
        <w:p w14:paraId="6DAF09D9"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36" w:history="1">
            <w:r w:rsidR="0067597C" w:rsidRPr="0032782E">
              <w:rPr>
                <w:rStyle w:val="Hipervnculo"/>
                <w:rFonts w:cs="Tahoma"/>
                <w:noProof/>
              </w:rPr>
              <w:t>II.</w:t>
            </w:r>
            <w:r w:rsidR="0067597C" w:rsidRPr="0032782E">
              <w:rPr>
                <w:rStyle w:val="Hipervnculo"/>
                <w:noProof/>
              </w:rPr>
              <w:t xml:space="preserve">  Prórroga para atender la solicitud de información</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_Toc193891136 \h </w:instrText>
            </w:r>
            <w:r w:rsidR="0067597C" w:rsidRPr="0032782E">
              <w:rPr>
                <w:noProof/>
                <w:webHidden/>
              </w:rPr>
            </w:r>
            <w:r w:rsidR="0067597C" w:rsidRPr="0032782E">
              <w:rPr>
                <w:noProof/>
                <w:webHidden/>
              </w:rPr>
              <w:fldChar w:fldCharType="separate"/>
            </w:r>
            <w:r w:rsidR="003D1322">
              <w:rPr>
                <w:noProof/>
                <w:webHidden/>
              </w:rPr>
              <w:t>3</w:t>
            </w:r>
            <w:r w:rsidR="0067597C" w:rsidRPr="0032782E">
              <w:rPr>
                <w:noProof/>
                <w:webHidden/>
              </w:rPr>
              <w:fldChar w:fldCharType="end"/>
            </w:r>
          </w:hyperlink>
        </w:p>
        <w:p w14:paraId="6F19BECB"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37" w:history="1">
            <w:r w:rsidR="0067597C" w:rsidRPr="0032782E">
              <w:rPr>
                <w:rStyle w:val="Hipervnculo"/>
                <w:noProof/>
              </w:rPr>
              <w:t>III. Respuesta del Sujeto Obligado</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_Toc193891137 \h </w:instrText>
            </w:r>
            <w:r w:rsidR="0067597C" w:rsidRPr="0032782E">
              <w:rPr>
                <w:noProof/>
                <w:webHidden/>
              </w:rPr>
            </w:r>
            <w:r w:rsidR="0067597C" w:rsidRPr="0032782E">
              <w:rPr>
                <w:noProof/>
                <w:webHidden/>
              </w:rPr>
              <w:fldChar w:fldCharType="separate"/>
            </w:r>
            <w:r w:rsidR="003D1322">
              <w:rPr>
                <w:noProof/>
                <w:webHidden/>
              </w:rPr>
              <w:t>3</w:t>
            </w:r>
            <w:r w:rsidR="0067597C" w:rsidRPr="0032782E">
              <w:rPr>
                <w:noProof/>
                <w:webHidden/>
              </w:rPr>
              <w:fldChar w:fldCharType="end"/>
            </w:r>
          </w:hyperlink>
        </w:p>
        <w:p w14:paraId="49B9606A"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38" w:history="1">
            <w:r w:rsidR="0067597C" w:rsidRPr="0032782E">
              <w:rPr>
                <w:rStyle w:val="Hipervnculo"/>
                <w:noProof/>
              </w:rPr>
              <w:t>IV. Interposición del Recurso de Revisión</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_Toc193891138 \h </w:instrText>
            </w:r>
            <w:r w:rsidR="0067597C" w:rsidRPr="0032782E">
              <w:rPr>
                <w:noProof/>
                <w:webHidden/>
              </w:rPr>
            </w:r>
            <w:r w:rsidR="0067597C" w:rsidRPr="0032782E">
              <w:rPr>
                <w:noProof/>
                <w:webHidden/>
              </w:rPr>
              <w:fldChar w:fldCharType="separate"/>
            </w:r>
            <w:r w:rsidR="003D1322">
              <w:rPr>
                <w:noProof/>
                <w:webHidden/>
              </w:rPr>
              <w:t>3</w:t>
            </w:r>
            <w:r w:rsidR="0067597C" w:rsidRPr="0032782E">
              <w:rPr>
                <w:noProof/>
                <w:webHidden/>
              </w:rPr>
              <w:fldChar w:fldCharType="end"/>
            </w:r>
          </w:hyperlink>
        </w:p>
        <w:p w14:paraId="67B4A749"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39" w:history="1">
            <w:r w:rsidR="0067597C" w:rsidRPr="0032782E">
              <w:rPr>
                <w:rStyle w:val="Hipervnculo"/>
                <w:noProof/>
              </w:rPr>
              <w:t>V. Trámite del Recurso de Revisión ante este Instituto</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_Toc193891139 \h </w:instrText>
            </w:r>
            <w:r w:rsidR="0067597C" w:rsidRPr="0032782E">
              <w:rPr>
                <w:noProof/>
                <w:webHidden/>
              </w:rPr>
            </w:r>
            <w:r w:rsidR="0067597C" w:rsidRPr="0032782E">
              <w:rPr>
                <w:noProof/>
                <w:webHidden/>
              </w:rPr>
              <w:fldChar w:fldCharType="separate"/>
            </w:r>
            <w:r w:rsidR="003D1322">
              <w:rPr>
                <w:noProof/>
                <w:webHidden/>
              </w:rPr>
              <w:t>4</w:t>
            </w:r>
            <w:r w:rsidR="0067597C" w:rsidRPr="0032782E">
              <w:rPr>
                <w:noProof/>
                <w:webHidden/>
              </w:rPr>
              <w:fldChar w:fldCharType="end"/>
            </w:r>
          </w:hyperlink>
        </w:p>
        <w:p w14:paraId="18828120" w14:textId="77777777" w:rsidR="0067597C" w:rsidRPr="0032782E" w:rsidRDefault="005E59B5">
          <w:pPr>
            <w:pStyle w:val="TDC1"/>
            <w:tabs>
              <w:tab w:val="right" w:leader="dot" w:pos="8921"/>
            </w:tabs>
            <w:rPr>
              <w:rFonts w:asciiTheme="minorHAnsi" w:eastAsiaTheme="minorEastAsia" w:hAnsiTheme="minorHAnsi" w:cstheme="minorBidi"/>
              <w:noProof/>
              <w:color w:val="auto"/>
            </w:rPr>
          </w:pPr>
          <w:hyperlink w:anchor="_Toc193891140" w:history="1">
            <w:r w:rsidR="0067597C" w:rsidRPr="0032782E">
              <w:rPr>
                <w:rStyle w:val="Hipervnculo"/>
                <w:noProof/>
              </w:rPr>
              <w:t>C O N S I D E R A N D O S</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_Toc193891140 \h </w:instrText>
            </w:r>
            <w:r w:rsidR="0067597C" w:rsidRPr="0032782E">
              <w:rPr>
                <w:noProof/>
                <w:webHidden/>
              </w:rPr>
            </w:r>
            <w:r w:rsidR="0067597C" w:rsidRPr="0032782E">
              <w:rPr>
                <w:noProof/>
                <w:webHidden/>
              </w:rPr>
              <w:fldChar w:fldCharType="separate"/>
            </w:r>
            <w:r w:rsidR="003D1322">
              <w:rPr>
                <w:noProof/>
                <w:webHidden/>
              </w:rPr>
              <w:t>5</w:t>
            </w:r>
            <w:r w:rsidR="0067597C" w:rsidRPr="0032782E">
              <w:rPr>
                <w:noProof/>
                <w:webHidden/>
              </w:rPr>
              <w:fldChar w:fldCharType="end"/>
            </w:r>
          </w:hyperlink>
        </w:p>
        <w:p w14:paraId="61A067CA"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41" w:history="1">
            <w:r w:rsidR="0067597C" w:rsidRPr="0032782E">
              <w:rPr>
                <w:rStyle w:val="Hipervnculo"/>
                <w:noProof/>
              </w:rPr>
              <w:t>PRIMERO. Competencia</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_Toc193891141 \h </w:instrText>
            </w:r>
            <w:r w:rsidR="0067597C" w:rsidRPr="0032782E">
              <w:rPr>
                <w:noProof/>
                <w:webHidden/>
              </w:rPr>
            </w:r>
            <w:r w:rsidR="0067597C" w:rsidRPr="0032782E">
              <w:rPr>
                <w:noProof/>
                <w:webHidden/>
              </w:rPr>
              <w:fldChar w:fldCharType="separate"/>
            </w:r>
            <w:r w:rsidR="003D1322">
              <w:rPr>
                <w:noProof/>
                <w:webHidden/>
              </w:rPr>
              <w:t>5</w:t>
            </w:r>
            <w:r w:rsidR="0067597C" w:rsidRPr="0032782E">
              <w:rPr>
                <w:noProof/>
                <w:webHidden/>
              </w:rPr>
              <w:fldChar w:fldCharType="end"/>
            </w:r>
          </w:hyperlink>
        </w:p>
        <w:p w14:paraId="61BA8EF1"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42" w:history="1">
            <w:r w:rsidR="0067597C" w:rsidRPr="0032782E">
              <w:rPr>
                <w:rStyle w:val="Hipervnculo"/>
                <w:noProof/>
              </w:rPr>
              <w:t>SEGUNDO. Causales de improcedencia</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_Toc193891142 \h </w:instrText>
            </w:r>
            <w:r w:rsidR="0067597C" w:rsidRPr="0032782E">
              <w:rPr>
                <w:noProof/>
                <w:webHidden/>
              </w:rPr>
            </w:r>
            <w:r w:rsidR="0067597C" w:rsidRPr="0032782E">
              <w:rPr>
                <w:noProof/>
                <w:webHidden/>
              </w:rPr>
              <w:fldChar w:fldCharType="separate"/>
            </w:r>
            <w:r w:rsidR="003D1322">
              <w:rPr>
                <w:noProof/>
                <w:webHidden/>
              </w:rPr>
              <w:t>6</w:t>
            </w:r>
            <w:r w:rsidR="0067597C" w:rsidRPr="0032782E">
              <w:rPr>
                <w:noProof/>
                <w:webHidden/>
              </w:rPr>
              <w:fldChar w:fldCharType="end"/>
            </w:r>
          </w:hyperlink>
        </w:p>
        <w:p w14:paraId="4D0A963B"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43" w:history="1">
            <w:r w:rsidR="0067597C" w:rsidRPr="0032782E">
              <w:rPr>
                <w:rStyle w:val="Hipervnculo"/>
                <w:bCs/>
                <w:noProof/>
              </w:rPr>
              <w:t>TERCERO. Causales de sobreseimiento</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_Toc193891143 \h </w:instrText>
            </w:r>
            <w:r w:rsidR="0067597C" w:rsidRPr="0032782E">
              <w:rPr>
                <w:noProof/>
                <w:webHidden/>
              </w:rPr>
            </w:r>
            <w:r w:rsidR="0067597C" w:rsidRPr="0032782E">
              <w:rPr>
                <w:noProof/>
                <w:webHidden/>
              </w:rPr>
              <w:fldChar w:fldCharType="separate"/>
            </w:r>
            <w:r w:rsidR="003D1322">
              <w:rPr>
                <w:noProof/>
                <w:webHidden/>
              </w:rPr>
              <w:t>7</w:t>
            </w:r>
            <w:r w:rsidR="0067597C" w:rsidRPr="0032782E">
              <w:rPr>
                <w:noProof/>
                <w:webHidden/>
              </w:rPr>
              <w:fldChar w:fldCharType="end"/>
            </w:r>
          </w:hyperlink>
        </w:p>
        <w:p w14:paraId="2A3237BE" w14:textId="77777777" w:rsidR="0067597C" w:rsidRPr="0032782E" w:rsidRDefault="005E59B5">
          <w:pPr>
            <w:pStyle w:val="TDC2"/>
            <w:tabs>
              <w:tab w:val="right" w:leader="dot" w:pos="8921"/>
            </w:tabs>
            <w:rPr>
              <w:rFonts w:asciiTheme="minorHAnsi" w:eastAsiaTheme="minorEastAsia" w:hAnsiTheme="minorHAnsi" w:cstheme="minorBidi"/>
              <w:noProof/>
              <w:color w:val="auto"/>
            </w:rPr>
          </w:pPr>
          <w:hyperlink w:anchor="_Toc193891144" w:history="1">
            <w:r w:rsidR="0067597C" w:rsidRPr="0032782E">
              <w:rPr>
                <w:rStyle w:val="Hipervnculo"/>
                <w:bCs/>
                <w:noProof/>
              </w:rPr>
              <w:t>CUARTO. Decisión</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_Toc193891144 \h </w:instrText>
            </w:r>
            <w:r w:rsidR="0067597C" w:rsidRPr="0032782E">
              <w:rPr>
                <w:noProof/>
                <w:webHidden/>
              </w:rPr>
            </w:r>
            <w:r w:rsidR="0067597C" w:rsidRPr="0032782E">
              <w:rPr>
                <w:noProof/>
                <w:webHidden/>
              </w:rPr>
              <w:fldChar w:fldCharType="separate"/>
            </w:r>
            <w:r w:rsidR="003D1322">
              <w:rPr>
                <w:noProof/>
                <w:webHidden/>
              </w:rPr>
              <w:t>12</w:t>
            </w:r>
            <w:r w:rsidR="0067597C" w:rsidRPr="0032782E">
              <w:rPr>
                <w:noProof/>
                <w:webHidden/>
              </w:rPr>
              <w:fldChar w:fldCharType="end"/>
            </w:r>
          </w:hyperlink>
        </w:p>
        <w:p w14:paraId="6391337C" w14:textId="77777777" w:rsidR="0067597C" w:rsidRPr="0032782E" w:rsidRDefault="005E59B5">
          <w:pPr>
            <w:pStyle w:val="TDC1"/>
            <w:tabs>
              <w:tab w:val="right" w:leader="dot" w:pos="8921"/>
            </w:tabs>
            <w:rPr>
              <w:rFonts w:asciiTheme="minorHAnsi" w:eastAsiaTheme="minorEastAsia" w:hAnsiTheme="minorHAnsi" w:cstheme="minorBidi"/>
              <w:noProof/>
              <w:color w:val="auto"/>
            </w:rPr>
          </w:pPr>
          <w:hyperlink w:anchor="_Toc193891145" w:history="1">
            <w:r w:rsidR="0067597C" w:rsidRPr="0032782E">
              <w:rPr>
                <w:rStyle w:val="Hipervnculo"/>
                <w:bCs/>
                <w:noProof/>
              </w:rPr>
              <w:t>R E S U E L V E</w:t>
            </w:r>
            <w:r w:rsidR="0067597C" w:rsidRPr="0032782E">
              <w:rPr>
                <w:noProof/>
                <w:webHidden/>
              </w:rPr>
              <w:tab/>
            </w:r>
            <w:r w:rsidR="0067597C" w:rsidRPr="0032782E">
              <w:rPr>
                <w:noProof/>
                <w:webHidden/>
              </w:rPr>
              <w:fldChar w:fldCharType="begin"/>
            </w:r>
            <w:r w:rsidR="0067597C" w:rsidRPr="0032782E">
              <w:rPr>
                <w:noProof/>
                <w:webHidden/>
              </w:rPr>
              <w:instrText xml:space="preserve"> PAGEREF _Toc193891145 \h </w:instrText>
            </w:r>
            <w:r w:rsidR="0067597C" w:rsidRPr="0032782E">
              <w:rPr>
                <w:noProof/>
                <w:webHidden/>
              </w:rPr>
            </w:r>
            <w:r w:rsidR="0067597C" w:rsidRPr="0032782E">
              <w:rPr>
                <w:noProof/>
                <w:webHidden/>
              </w:rPr>
              <w:fldChar w:fldCharType="separate"/>
            </w:r>
            <w:r w:rsidR="003D1322">
              <w:rPr>
                <w:noProof/>
                <w:webHidden/>
              </w:rPr>
              <w:t>13</w:t>
            </w:r>
            <w:r w:rsidR="0067597C" w:rsidRPr="0032782E">
              <w:rPr>
                <w:noProof/>
                <w:webHidden/>
              </w:rPr>
              <w:fldChar w:fldCharType="end"/>
            </w:r>
          </w:hyperlink>
        </w:p>
        <w:p w14:paraId="5B9D6C11" w14:textId="036E7B0D" w:rsidR="00C4052B" w:rsidRPr="0032782E" w:rsidRDefault="00C4052B" w:rsidP="00E873E0">
          <w:pPr>
            <w:spacing w:after="0" w:line="360" w:lineRule="auto"/>
          </w:pPr>
          <w:r w:rsidRPr="0032782E">
            <w:rPr>
              <w:b/>
              <w:bCs/>
              <w:lang w:val="es-ES"/>
            </w:rPr>
            <w:fldChar w:fldCharType="end"/>
          </w:r>
        </w:p>
      </w:sdtContent>
    </w:sdt>
    <w:p w14:paraId="57481942" w14:textId="77777777" w:rsidR="00C4052B" w:rsidRPr="0032782E" w:rsidRDefault="00C4052B" w:rsidP="00E873E0">
      <w:pPr>
        <w:tabs>
          <w:tab w:val="left" w:pos="8931"/>
        </w:tabs>
        <w:spacing w:after="0" w:line="360" w:lineRule="auto"/>
      </w:pPr>
    </w:p>
    <w:p w14:paraId="411B5995" w14:textId="77777777" w:rsidR="00C4052B" w:rsidRPr="0032782E" w:rsidRDefault="00C4052B" w:rsidP="00E873E0">
      <w:pPr>
        <w:tabs>
          <w:tab w:val="left" w:pos="8931"/>
        </w:tabs>
        <w:spacing w:after="0" w:line="360" w:lineRule="auto"/>
      </w:pPr>
    </w:p>
    <w:p w14:paraId="6784625D" w14:textId="77777777" w:rsidR="00C4052B" w:rsidRPr="0032782E" w:rsidRDefault="00C4052B" w:rsidP="00E873E0">
      <w:pPr>
        <w:tabs>
          <w:tab w:val="left" w:pos="8931"/>
        </w:tabs>
        <w:spacing w:after="0" w:line="360" w:lineRule="auto"/>
      </w:pPr>
    </w:p>
    <w:p w14:paraId="140888DD" w14:textId="77777777" w:rsidR="00C4052B" w:rsidRPr="0032782E" w:rsidRDefault="00C4052B" w:rsidP="00E873E0">
      <w:pPr>
        <w:tabs>
          <w:tab w:val="left" w:pos="8931"/>
        </w:tabs>
        <w:spacing w:after="0" w:line="360" w:lineRule="auto"/>
      </w:pPr>
    </w:p>
    <w:p w14:paraId="46268890" w14:textId="77777777" w:rsidR="00C4052B" w:rsidRPr="0032782E" w:rsidRDefault="00C4052B" w:rsidP="00E873E0">
      <w:pPr>
        <w:tabs>
          <w:tab w:val="left" w:pos="8931"/>
        </w:tabs>
        <w:spacing w:after="0" w:line="360" w:lineRule="auto"/>
      </w:pPr>
    </w:p>
    <w:p w14:paraId="147CC638" w14:textId="77777777" w:rsidR="00C4052B" w:rsidRPr="0032782E" w:rsidRDefault="00C4052B" w:rsidP="00E873E0">
      <w:pPr>
        <w:tabs>
          <w:tab w:val="left" w:pos="8931"/>
        </w:tabs>
        <w:spacing w:after="0" w:line="360" w:lineRule="auto"/>
      </w:pPr>
    </w:p>
    <w:p w14:paraId="01BB5716" w14:textId="77777777" w:rsidR="00C4052B" w:rsidRPr="0032782E" w:rsidRDefault="00C4052B" w:rsidP="00E873E0">
      <w:pPr>
        <w:tabs>
          <w:tab w:val="left" w:pos="8931"/>
        </w:tabs>
        <w:spacing w:after="0" w:line="360" w:lineRule="auto"/>
      </w:pPr>
    </w:p>
    <w:p w14:paraId="62C1CEC9" w14:textId="77777777" w:rsidR="00C4052B" w:rsidRPr="0032782E" w:rsidRDefault="00C4052B" w:rsidP="00E873E0">
      <w:pPr>
        <w:tabs>
          <w:tab w:val="left" w:pos="8931"/>
        </w:tabs>
        <w:spacing w:after="0" w:line="360" w:lineRule="auto"/>
      </w:pPr>
    </w:p>
    <w:p w14:paraId="7F38981D" w14:textId="77777777" w:rsidR="00A55E82" w:rsidRPr="0032782E" w:rsidRDefault="00A55E82" w:rsidP="00E873E0">
      <w:pPr>
        <w:tabs>
          <w:tab w:val="left" w:pos="8931"/>
        </w:tabs>
        <w:spacing w:after="0" w:line="360" w:lineRule="auto"/>
      </w:pPr>
    </w:p>
    <w:p w14:paraId="5F9998F6" w14:textId="77777777" w:rsidR="00467659" w:rsidRPr="0032782E" w:rsidRDefault="00467659" w:rsidP="00E873E0">
      <w:pPr>
        <w:tabs>
          <w:tab w:val="left" w:pos="8931"/>
        </w:tabs>
        <w:spacing w:after="0" w:line="360" w:lineRule="auto"/>
      </w:pPr>
    </w:p>
    <w:p w14:paraId="3FB7EB5E" w14:textId="68FE7A1F" w:rsidR="005C690F" w:rsidRPr="0032782E" w:rsidRDefault="007D6307" w:rsidP="00E873E0">
      <w:pPr>
        <w:tabs>
          <w:tab w:val="left" w:pos="8931"/>
        </w:tabs>
        <w:spacing w:after="0" w:line="360" w:lineRule="auto"/>
      </w:pPr>
      <w:r w:rsidRPr="0032782E">
        <w:lastRenderedPageBreak/>
        <w:t xml:space="preserve">Resolución del Pleno del Instituto de Transparencia, Acceso a la Información Pública y Protección de Datos Personales del Estado de México y Municipios, con domicilio en Metepec, Estado de México, de </w:t>
      </w:r>
      <w:r w:rsidR="00EF0C39" w:rsidRPr="0032782E">
        <w:t xml:space="preserve">fecha </w:t>
      </w:r>
      <w:r w:rsidR="00803F31" w:rsidRPr="0032782E">
        <w:t xml:space="preserve">dos de abril </w:t>
      </w:r>
      <w:r w:rsidR="00945CB8" w:rsidRPr="0032782E">
        <w:t>de dos mil veintic</w:t>
      </w:r>
      <w:r w:rsidR="00C11A18" w:rsidRPr="0032782E">
        <w:t>inco</w:t>
      </w:r>
      <w:r w:rsidRPr="0032782E">
        <w:t xml:space="preserve">. </w:t>
      </w:r>
    </w:p>
    <w:p w14:paraId="0DCD3B82" w14:textId="77777777" w:rsidR="005C690F" w:rsidRPr="0032782E" w:rsidRDefault="005C690F" w:rsidP="00E873E0">
      <w:pPr>
        <w:spacing w:after="0" w:line="360" w:lineRule="auto"/>
        <w:rPr>
          <w:b/>
        </w:rPr>
      </w:pPr>
    </w:p>
    <w:p w14:paraId="1570B336" w14:textId="72EB7A13" w:rsidR="005C690F" w:rsidRPr="0032782E" w:rsidRDefault="007D6307" w:rsidP="00E873E0">
      <w:pPr>
        <w:spacing w:after="0" w:line="360" w:lineRule="auto"/>
        <w:rPr>
          <w:color w:val="0D0D0D"/>
        </w:rPr>
      </w:pPr>
      <w:r w:rsidRPr="0032782E">
        <w:rPr>
          <w:b/>
        </w:rPr>
        <w:t xml:space="preserve">VISTO </w:t>
      </w:r>
      <w:r w:rsidRPr="0032782E">
        <w:t xml:space="preserve">el expediente electrónico conformado con motivo del Recurso de Revisión </w:t>
      </w:r>
      <w:r w:rsidR="00803F31" w:rsidRPr="00E137A9">
        <w:rPr>
          <w:b/>
        </w:rPr>
        <w:t>01891/INFOEM/IP/RR/2025</w:t>
      </w:r>
      <w:r w:rsidRPr="0032782E">
        <w:t>, interpuesto por</w:t>
      </w:r>
      <w:r w:rsidR="00803F31" w:rsidRPr="0032782E">
        <w:t xml:space="preserve"> </w:t>
      </w:r>
      <w:r w:rsidR="003B73EF" w:rsidRPr="003B73EF">
        <w:rPr>
          <w:highlight w:val="black"/>
        </w:rPr>
        <w:t>XXXXXXXXXX</w:t>
      </w:r>
      <w:r w:rsidR="00803F31" w:rsidRPr="0032782E">
        <w:t>, en lo sucesivo,</w:t>
      </w:r>
      <w:r w:rsidR="00467659" w:rsidRPr="0032782E">
        <w:t xml:space="preserve"> </w:t>
      </w:r>
      <w:r w:rsidR="00D906B2" w:rsidRPr="0032782E">
        <w:t>la persona</w:t>
      </w:r>
      <w:r w:rsidRPr="0032782E">
        <w:t xml:space="preserve"> </w:t>
      </w:r>
      <w:r w:rsidRPr="0032782E">
        <w:rPr>
          <w:color w:val="0D0D0D"/>
        </w:rPr>
        <w:t>Recurrente o Particular, en contra de la respuesta del Sujeto Obligado</w:t>
      </w:r>
      <w:r w:rsidR="00705FBB" w:rsidRPr="0032782E">
        <w:rPr>
          <w:color w:val="0D0D0D"/>
        </w:rPr>
        <w:t xml:space="preserve">, </w:t>
      </w:r>
      <w:r w:rsidR="00803F31" w:rsidRPr="00E137A9">
        <w:rPr>
          <w:b/>
          <w:color w:val="0D0D0D"/>
        </w:rPr>
        <w:t>Ayuntamiento de Huehuetoca</w:t>
      </w:r>
      <w:r w:rsidR="00EF0C39" w:rsidRPr="0032782E">
        <w:t>,</w:t>
      </w:r>
      <w:r w:rsidRPr="0032782E">
        <w:rPr>
          <w:color w:val="0D0D0D"/>
        </w:rPr>
        <w:t xml:space="preserve"> a la solicitud de acceso a la información pública</w:t>
      </w:r>
      <w:r w:rsidR="00800641" w:rsidRPr="0032782E">
        <w:rPr>
          <w:color w:val="0D0D0D"/>
        </w:rPr>
        <w:t xml:space="preserve"> </w:t>
      </w:r>
      <w:r w:rsidR="00803F31" w:rsidRPr="0032782E">
        <w:t>00018/HUEHUETO/IP/2025</w:t>
      </w:r>
      <w:r w:rsidRPr="0032782E">
        <w:rPr>
          <w:color w:val="000000"/>
        </w:rPr>
        <w:t xml:space="preserve">, </w:t>
      </w:r>
      <w:r w:rsidRPr="0032782E">
        <w:rPr>
          <w:color w:val="0D0D0D"/>
        </w:rPr>
        <w:t>se emite la presente Resolución, con base en los Antecedentes y Considerandos que se exponen a continuación:</w:t>
      </w:r>
      <w:r w:rsidR="003B73EF">
        <w:rPr>
          <w:color w:val="0D0D0D"/>
        </w:rPr>
        <w:t xml:space="preserve"> </w:t>
      </w:r>
      <w:bookmarkStart w:id="0" w:name="_GoBack"/>
      <w:bookmarkEnd w:id="0"/>
    </w:p>
    <w:p w14:paraId="1F97CEF3" w14:textId="77777777" w:rsidR="005C690F" w:rsidRPr="0032782E" w:rsidRDefault="005C690F" w:rsidP="00E873E0">
      <w:pPr>
        <w:spacing w:after="0" w:line="360" w:lineRule="auto"/>
        <w:rPr>
          <w:b/>
        </w:rPr>
      </w:pPr>
    </w:p>
    <w:p w14:paraId="1DEAF9D3" w14:textId="24D35555" w:rsidR="005C690F" w:rsidRPr="0032782E" w:rsidRDefault="00CD6238" w:rsidP="00E873E0">
      <w:pPr>
        <w:pStyle w:val="Ttulo1"/>
        <w:spacing w:before="0" w:after="0" w:line="360" w:lineRule="auto"/>
        <w:jc w:val="center"/>
        <w:rPr>
          <w:sz w:val="22"/>
          <w:szCs w:val="22"/>
        </w:rPr>
      </w:pPr>
      <w:bookmarkStart w:id="1" w:name="_Toc193891134"/>
      <w:r w:rsidRPr="0032782E">
        <w:rPr>
          <w:sz w:val="22"/>
          <w:szCs w:val="22"/>
        </w:rPr>
        <w:t>A N T E C E D E N T E S</w:t>
      </w:r>
      <w:bookmarkEnd w:id="1"/>
    </w:p>
    <w:p w14:paraId="5A7EDA4F" w14:textId="77777777" w:rsidR="005C690F" w:rsidRPr="0032782E" w:rsidRDefault="005C690F" w:rsidP="00E873E0">
      <w:pPr>
        <w:spacing w:after="0" w:line="360" w:lineRule="auto"/>
        <w:jc w:val="center"/>
        <w:rPr>
          <w:b/>
        </w:rPr>
      </w:pPr>
    </w:p>
    <w:p w14:paraId="4930DAB9" w14:textId="77777777" w:rsidR="00E22EA8" w:rsidRPr="0032782E" w:rsidRDefault="00E22EA8" w:rsidP="00E873E0">
      <w:pPr>
        <w:pStyle w:val="Ttulo2"/>
        <w:spacing w:before="0" w:after="0" w:line="360" w:lineRule="auto"/>
        <w:rPr>
          <w:sz w:val="22"/>
          <w:szCs w:val="22"/>
          <w:lang w:eastAsia="es-ES"/>
        </w:rPr>
      </w:pPr>
      <w:bookmarkStart w:id="2" w:name="_Toc193891135"/>
      <w:r w:rsidRPr="0032782E">
        <w:rPr>
          <w:sz w:val="22"/>
          <w:szCs w:val="22"/>
          <w:lang w:eastAsia="es-ES"/>
        </w:rPr>
        <w:t>I. Presentación de la solicitud de información</w:t>
      </w:r>
      <w:bookmarkEnd w:id="2"/>
    </w:p>
    <w:p w14:paraId="7243DA53" w14:textId="77777777" w:rsidR="00E22EA8" w:rsidRPr="0032782E" w:rsidRDefault="00E22EA8" w:rsidP="00E873E0">
      <w:pPr>
        <w:tabs>
          <w:tab w:val="left" w:pos="567"/>
        </w:tabs>
        <w:spacing w:after="0" w:line="360" w:lineRule="auto"/>
        <w:rPr>
          <w:rFonts w:eastAsia="Times New Roman" w:cs="Tahoma"/>
          <w:lang w:eastAsia="es-ES"/>
        </w:rPr>
      </w:pPr>
    </w:p>
    <w:p w14:paraId="301B8A4E" w14:textId="57DF067B" w:rsidR="00E22EA8" w:rsidRPr="0032782E" w:rsidRDefault="00D906B2" w:rsidP="00E873E0">
      <w:pPr>
        <w:spacing w:after="0" w:line="360" w:lineRule="auto"/>
        <w:rPr>
          <w:rFonts w:eastAsia="Times New Roman" w:cs="Tahoma"/>
          <w:lang w:eastAsia="es-ES"/>
        </w:rPr>
      </w:pPr>
      <w:r w:rsidRPr="0032782E">
        <w:rPr>
          <w:rFonts w:eastAsia="Times New Roman" w:cs="Tahoma"/>
          <w:lang w:eastAsia="es-ES"/>
        </w:rPr>
        <w:t>El</w:t>
      </w:r>
      <w:r w:rsidR="00D52EC1" w:rsidRPr="0032782E">
        <w:rPr>
          <w:rFonts w:eastAsia="Times New Roman" w:cs="Tahoma"/>
          <w:lang w:eastAsia="es-ES"/>
        </w:rPr>
        <w:t xml:space="preserve"> </w:t>
      </w:r>
      <w:r w:rsidR="00637B1E" w:rsidRPr="0032782E">
        <w:rPr>
          <w:rFonts w:eastAsia="Times New Roman" w:cs="Tahoma"/>
          <w:lang w:eastAsia="es-ES"/>
        </w:rPr>
        <w:t>trece</w:t>
      </w:r>
      <w:r w:rsidR="008E0DC4" w:rsidRPr="0032782E">
        <w:rPr>
          <w:rFonts w:eastAsia="Times New Roman" w:cs="Tahoma"/>
          <w:lang w:eastAsia="es-ES"/>
        </w:rPr>
        <w:t xml:space="preserve"> de enero de dos mil veinticinco</w:t>
      </w:r>
      <w:r w:rsidR="00637B1E" w:rsidRPr="0032782E">
        <w:rPr>
          <w:rFonts w:eastAsia="Times New Roman" w:cs="Tahoma"/>
          <w:lang w:eastAsia="es-ES"/>
        </w:rPr>
        <w:t xml:space="preserve"> (ya que si bien</w:t>
      </w:r>
      <w:r w:rsidR="00E22EA8" w:rsidRPr="0032782E">
        <w:rPr>
          <w:rFonts w:eastAsia="Times New Roman" w:cs="Tahoma"/>
          <w:lang w:eastAsia="es-ES"/>
        </w:rPr>
        <w:t>,</w:t>
      </w:r>
      <w:r w:rsidR="00637B1E" w:rsidRPr="0032782E">
        <w:rPr>
          <w:rFonts w:eastAsia="Times New Roman" w:cs="Tahoma"/>
          <w:lang w:eastAsia="es-ES"/>
        </w:rPr>
        <w:t xml:space="preserve"> se registró el do</w:t>
      </w:r>
      <w:r w:rsidR="002B17F0" w:rsidRPr="0032782E">
        <w:rPr>
          <w:rFonts w:eastAsia="Times New Roman" w:cs="Tahoma"/>
          <w:lang w:eastAsia="es-ES"/>
        </w:rPr>
        <w:t>ce</w:t>
      </w:r>
      <w:r w:rsidR="00637B1E" w:rsidRPr="0032782E">
        <w:rPr>
          <w:rFonts w:eastAsia="Times New Roman" w:cs="Tahoma"/>
          <w:lang w:eastAsia="es-ES"/>
        </w:rPr>
        <w:t xml:space="preserve"> de</w:t>
      </w:r>
      <w:r w:rsidR="00163D9F" w:rsidRPr="0032782E">
        <w:rPr>
          <w:rFonts w:eastAsia="Times New Roman" w:cs="Tahoma"/>
          <w:lang w:eastAsia="es-ES"/>
        </w:rPr>
        <w:t>l</w:t>
      </w:r>
      <w:r w:rsidR="00637B1E" w:rsidRPr="0032782E">
        <w:rPr>
          <w:rFonts w:eastAsia="Times New Roman" w:cs="Tahoma"/>
          <w:lang w:eastAsia="es-ES"/>
        </w:rPr>
        <w:t xml:space="preserve"> m</w:t>
      </w:r>
      <w:r w:rsidR="004C56AA" w:rsidRPr="0032782E">
        <w:rPr>
          <w:rFonts w:eastAsia="Times New Roman" w:cs="Tahoma"/>
          <w:lang w:eastAsia="es-ES"/>
        </w:rPr>
        <w:t>ismo mes y año, también lo es, que fue día inhábil),</w:t>
      </w:r>
      <w:r w:rsidR="00E22EA8" w:rsidRPr="0032782E">
        <w:rPr>
          <w:rFonts w:eastAsia="Times New Roman" w:cs="Tahoma"/>
          <w:lang w:eastAsia="es-ES"/>
        </w:rPr>
        <w:t xml:space="preserve"> el Particular presentó una solicitud de acceso a la información pública, a través del Sistema de Acceso a la Información Mexiquense (SAIMEX), ante</w:t>
      </w:r>
      <w:r w:rsidR="000B3C56" w:rsidRPr="0032782E">
        <w:rPr>
          <w:rFonts w:eastAsia="Times New Roman" w:cs="Tahoma"/>
          <w:lang w:eastAsia="es-ES"/>
        </w:rPr>
        <w:t xml:space="preserve"> </w:t>
      </w:r>
      <w:r w:rsidR="00DC175C" w:rsidRPr="0032782E">
        <w:rPr>
          <w:rFonts w:eastAsia="Times New Roman" w:cs="Tahoma"/>
          <w:lang w:eastAsia="es-ES"/>
        </w:rPr>
        <w:t>el</w:t>
      </w:r>
      <w:r w:rsidR="00DC175C" w:rsidRPr="0032782E">
        <w:t xml:space="preserve"> </w:t>
      </w:r>
      <w:r w:rsidR="00803F31" w:rsidRPr="0032782E">
        <w:t>Ayuntamiento de Huehuetoca</w:t>
      </w:r>
      <w:r w:rsidR="008E0DC4" w:rsidRPr="0032782E">
        <w:rPr>
          <w:rFonts w:eastAsia="Calibri" w:cs="Times New Roman"/>
          <w:color w:val="000000"/>
        </w:rPr>
        <w:t>,</w:t>
      </w:r>
      <w:r w:rsidR="00DC175C" w:rsidRPr="0032782E">
        <w:rPr>
          <w:rFonts w:eastAsia="Calibri" w:cs="Tahoma"/>
        </w:rPr>
        <w:t xml:space="preserve"> </w:t>
      </w:r>
      <w:r w:rsidR="00E22EA8" w:rsidRPr="0032782E">
        <w:rPr>
          <w:rFonts w:eastAsia="Calibri" w:cs="Tahoma"/>
        </w:rPr>
        <w:t xml:space="preserve">en los siguientes términos: </w:t>
      </w:r>
    </w:p>
    <w:p w14:paraId="2B959865" w14:textId="77777777" w:rsidR="00E22EA8" w:rsidRPr="0032782E" w:rsidRDefault="00E22EA8" w:rsidP="00E873E0">
      <w:pPr>
        <w:spacing w:after="0" w:line="360" w:lineRule="auto"/>
        <w:rPr>
          <w:rFonts w:eastAsia="Calibri" w:cs="Tahoma"/>
        </w:rPr>
      </w:pPr>
    </w:p>
    <w:p w14:paraId="25042E2A" w14:textId="4138A3B3" w:rsidR="00E22EA8" w:rsidRPr="0032782E" w:rsidRDefault="00125F26" w:rsidP="00E873E0">
      <w:pPr>
        <w:tabs>
          <w:tab w:val="left" w:pos="4667"/>
        </w:tabs>
        <w:spacing w:after="0" w:line="360" w:lineRule="auto"/>
        <w:ind w:left="567" w:right="567"/>
        <w:rPr>
          <w:rFonts w:eastAsia="Times New Roman" w:cs="Tahoma"/>
          <w:b/>
          <w:i/>
          <w:iCs/>
          <w:sz w:val="20"/>
          <w:szCs w:val="20"/>
          <w:lang w:eastAsia="es-ES"/>
        </w:rPr>
      </w:pPr>
      <w:r w:rsidRPr="0032782E">
        <w:rPr>
          <w:rFonts w:eastAsia="Times New Roman" w:cs="Tahoma"/>
          <w:b/>
          <w:i/>
          <w:iCs/>
          <w:sz w:val="20"/>
          <w:szCs w:val="20"/>
          <w:lang w:eastAsia="es-ES"/>
        </w:rPr>
        <w:t>“</w:t>
      </w:r>
      <w:r w:rsidR="00E22EA8" w:rsidRPr="0032782E">
        <w:rPr>
          <w:rFonts w:eastAsia="Times New Roman" w:cs="Tahoma"/>
          <w:b/>
          <w:i/>
          <w:iCs/>
          <w:sz w:val="20"/>
          <w:szCs w:val="20"/>
          <w:lang w:eastAsia="es-ES"/>
        </w:rPr>
        <w:t>DESCRIPCIÓN CLARA Y PRECI</w:t>
      </w:r>
      <w:r w:rsidR="007037DF" w:rsidRPr="0032782E">
        <w:rPr>
          <w:rFonts w:eastAsia="Times New Roman" w:cs="Tahoma"/>
          <w:b/>
          <w:i/>
          <w:iCs/>
          <w:sz w:val="20"/>
          <w:szCs w:val="20"/>
          <w:lang w:eastAsia="es-ES"/>
        </w:rPr>
        <w:t>SA DE LA INFORMACIÓN SOLICITADA</w:t>
      </w:r>
    </w:p>
    <w:p w14:paraId="2C6BC213" w14:textId="40A83C97" w:rsidR="00E22EA8" w:rsidRPr="0032782E" w:rsidRDefault="002B17F0" w:rsidP="00E873E0">
      <w:pPr>
        <w:tabs>
          <w:tab w:val="left" w:pos="4667"/>
        </w:tabs>
        <w:spacing w:after="0" w:line="360" w:lineRule="auto"/>
        <w:ind w:left="567" w:right="567"/>
        <w:rPr>
          <w:rFonts w:eastAsia="Times New Roman" w:cs="Tahoma"/>
          <w:bCs/>
          <w:i/>
          <w:iCs/>
          <w:sz w:val="20"/>
          <w:szCs w:val="20"/>
          <w:lang w:eastAsia="es-ES"/>
        </w:rPr>
      </w:pPr>
      <w:r w:rsidRPr="0032782E">
        <w:rPr>
          <w:i/>
          <w:iCs/>
          <w:sz w:val="20"/>
          <w:szCs w:val="20"/>
        </w:rPr>
        <w:t xml:space="preserve">NOMINA DE LA NUEVA ADMINISTRACION PUBLICA NOMBRE PUESTO Y SALARIO DE DIRECTORES </w:t>
      </w:r>
      <w:proofErr w:type="gramStart"/>
      <w:r w:rsidRPr="0032782E">
        <w:rPr>
          <w:i/>
          <w:iCs/>
          <w:sz w:val="20"/>
          <w:szCs w:val="20"/>
        </w:rPr>
        <w:t>COORDINADORES,REGIDORES</w:t>
      </w:r>
      <w:proofErr w:type="gramEnd"/>
      <w:r w:rsidRPr="0032782E">
        <w:rPr>
          <w:i/>
          <w:iCs/>
          <w:sz w:val="20"/>
          <w:szCs w:val="20"/>
        </w:rPr>
        <w:t xml:space="preserve"> Y PRESIDENTE MUNICIPAL</w:t>
      </w:r>
      <w:r w:rsidR="00E22EA8" w:rsidRPr="0032782E">
        <w:rPr>
          <w:i/>
          <w:iCs/>
          <w:sz w:val="20"/>
          <w:szCs w:val="20"/>
        </w:rPr>
        <w:t>”</w:t>
      </w:r>
      <w:r w:rsidR="004C56AA" w:rsidRPr="0032782E">
        <w:rPr>
          <w:i/>
          <w:iCs/>
          <w:sz w:val="20"/>
          <w:szCs w:val="20"/>
        </w:rPr>
        <w:t xml:space="preserve"> (Sic.)</w:t>
      </w:r>
    </w:p>
    <w:p w14:paraId="3D010AF3" w14:textId="77777777" w:rsidR="00E22EA8" w:rsidRPr="0032782E" w:rsidRDefault="00E22EA8" w:rsidP="00E873E0">
      <w:pPr>
        <w:tabs>
          <w:tab w:val="left" w:pos="4667"/>
        </w:tabs>
        <w:spacing w:after="0" w:line="360" w:lineRule="auto"/>
        <w:ind w:left="567" w:right="567"/>
        <w:rPr>
          <w:rFonts w:eastAsia="Times New Roman" w:cs="Tahoma"/>
          <w:b/>
          <w:bCs/>
          <w:i/>
          <w:iCs/>
          <w:sz w:val="20"/>
          <w:lang w:eastAsia="es-ES"/>
        </w:rPr>
      </w:pPr>
    </w:p>
    <w:p w14:paraId="6C0DE105" w14:textId="3FEE2196" w:rsidR="00E22EA8" w:rsidRPr="0032782E" w:rsidRDefault="00125F26" w:rsidP="00E873E0">
      <w:pPr>
        <w:tabs>
          <w:tab w:val="left" w:pos="4667"/>
        </w:tabs>
        <w:spacing w:after="0" w:line="360" w:lineRule="auto"/>
        <w:ind w:left="567" w:right="567"/>
        <w:rPr>
          <w:rFonts w:eastAsia="Times New Roman" w:cs="Tahoma"/>
          <w:b/>
          <w:bCs/>
          <w:i/>
          <w:iCs/>
          <w:sz w:val="20"/>
          <w:lang w:eastAsia="es-ES"/>
        </w:rPr>
      </w:pPr>
      <w:r w:rsidRPr="0032782E">
        <w:rPr>
          <w:rFonts w:eastAsia="Times New Roman" w:cs="Tahoma"/>
          <w:b/>
          <w:bCs/>
          <w:i/>
          <w:iCs/>
          <w:sz w:val="20"/>
          <w:lang w:eastAsia="es-ES"/>
        </w:rPr>
        <w:t>“</w:t>
      </w:r>
      <w:r w:rsidR="00E22EA8" w:rsidRPr="0032782E">
        <w:rPr>
          <w:rFonts w:eastAsia="Times New Roman" w:cs="Tahoma"/>
          <w:b/>
          <w:bCs/>
          <w:i/>
          <w:iCs/>
          <w:sz w:val="20"/>
          <w:lang w:eastAsia="es-ES"/>
        </w:rPr>
        <w:t>MODALIDAD DE ENTREGA</w:t>
      </w:r>
    </w:p>
    <w:p w14:paraId="0ECE13DD" w14:textId="4A758259" w:rsidR="002F5AA8" w:rsidRPr="0032782E" w:rsidRDefault="00BB6693" w:rsidP="00E873E0">
      <w:pPr>
        <w:spacing w:after="0" w:line="360" w:lineRule="auto"/>
        <w:ind w:left="567" w:right="567"/>
        <w:rPr>
          <w:rFonts w:eastAsia="Times New Roman" w:cs="Arial"/>
          <w:bCs/>
          <w:i/>
          <w:iCs/>
          <w:sz w:val="20"/>
          <w:lang w:eastAsia="es-ES"/>
        </w:rPr>
      </w:pPr>
      <w:r w:rsidRPr="0032782E">
        <w:rPr>
          <w:rFonts w:eastAsia="Times New Roman" w:cs="Arial"/>
          <w:bCs/>
          <w:i/>
          <w:iCs/>
          <w:sz w:val="20"/>
          <w:lang w:eastAsia="es-ES"/>
        </w:rPr>
        <w:t>A través del SAIMEX</w:t>
      </w:r>
      <w:r w:rsidR="00E22EA8" w:rsidRPr="0032782E">
        <w:rPr>
          <w:rFonts w:eastAsia="Times New Roman" w:cs="Arial"/>
          <w:bCs/>
          <w:i/>
          <w:iCs/>
          <w:sz w:val="20"/>
          <w:lang w:eastAsia="es-ES"/>
        </w:rPr>
        <w:t>”</w:t>
      </w:r>
    </w:p>
    <w:p w14:paraId="281CAF4B" w14:textId="77777777" w:rsidR="006D7FDA" w:rsidRPr="0032782E" w:rsidRDefault="006D7FDA" w:rsidP="00E873E0">
      <w:pPr>
        <w:spacing w:after="0" w:line="360" w:lineRule="auto"/>
        <w:ind w:left="567" w:right="567"/>
        <w:rPr>
          <w:rFonts w:eastAsia="Times New Roman" w:cs="Arial"/>
          <w:bCs/>
          <w:i/>
          <w:iCs/>
          <w:sz w:val="20"/>
          <w:lang w:eastAsia="es-ES"/>
        </w:rPr>
      </w:pPr>
    </w:p>
    <w:p w14:paraId="3863E5C1" w14:textId="13E1BAEC" w:rsidR="007B4DAD" w:rsidRPr="0032782E" w:rsidRDefault="000B3C56" w:rsidP="00E873E0">
      <w:pPr>
        <w:pStyle w:val="Ttulo2"/>
        <w:spacing w:after="0" w:line="360" w:lineRule="auto"/>
        <w:rPr>
          <w:sz w:val="22"/>
          <w:szCs w:val="22"/>
        </w:rPr>
      </w:pPr>
      <w:bookmarkStart w:id="3" w:name="_Toc193891136"/>
      <w:r w:rsidRPr="0032782E">
        <w:rPr>
          <w:rFonts w:cs="Tahoma"/>
          <w:sz w:val="22"/>
          <w:szCs w:val="22"/>
        </w:rPr>
        <w:lastRenderedPageBreak/>
        <w:t>I</w:t>
      </w:r>
      <w:r w:rsidR="00E22EA8" w:rsidRPr="0032782E">
        <w:rPr>
          <w:rFonts w:cs="Tahoma"/>
          <w:sz w:val="22"/>
          <w:szCs w:val="22"/>
        </w:rPr>
        <w:t>I.</w:t>
      </w:r>
      <w:r w:rsidR="00E22EA8" w:rsidRPr="0032782E">
        <w:rPr>
          <w:sz w:val="22"/>
          <w:szCs w:val="22"/>
        </w:rPr>
        <w:t xml:space="preserve"> </w:t>
      </w:r>
      <w:r w:rsidR="007B4DAD" w:rsidRPr="0032782E">
        <w:rPr>
          <w:sz w:val="22"/>
          <w:szCs w:val="22"/>
        </w:rPr>
        <w:t xml:space="preserve"> Prórroga para atender la solicitud de información</w:t>
      </w:r>
      <w:bookmarkEnd w:id="3"/>
    </w:p>
    <w:p w14:paraId="2C2E7737" w14:textId="77777777" w:rsidR="007B4DAD" w:rsidRPr="0032782E" w:rsidRDefault="007B4DAD" w:rsidP="00E873E0">
      <w:pPr>
        <w:spacing w:after="0"/>
      </w:pPr>
    </w:p>
    <w:p w14:paraId="205F3B77" w14:textId="4CEFAC29" w:rsidR="007B4DAD" w:rsidRPr="0032782E" w:rsidRDefault="007B4DAD" w:rsidP="0067597C">
      <w:pPr>
        <w:spacing w:line="360" w:lineRule="auto"/>
      </w:pPr>
      <w:bookmarkStart w:id="4" w:name="_Toc193803592"/>
      <w:r w:rsidRPr="0032782E">
        <w:t>El siete de</w:t>
      </w:r>
      <w:r w:rsidR="00940262" w:rsidRPr="0032782E">
        <w:t xml:space="preserve"> febrero</w:t>
      </w:r>
      <w:r w:rsidRPr="0032782E">
        <w:t xml:space="preserve"> dos mil veintic</w:t>
      </w:r>
      <w:r w:rsidR="00940262" w:rsidRPr="0032782E">
        <w:t>inco</w:t>
      </w:r>
      <w:r w:rsidRPr="0032782E">
        <w:t xml:space="preserve">, el Sujeto Obligado, a través del Sistema de Acceso a la Información Mexiquense (SAIMEX), notificó </w:t>
      </w:r>
      <w:r w:rsidR="006409F3" w:rsidRPr="0032782E">
        <w:t xml:space="preserve">una </w:t>
      </w:r>
      <w:r w:rsidRPr="0032782E">
        <w:t>prórroga, mediante la</w:t>
      </w:r>
      <w:r w:rsidR="006409F3" w:rsidRPr="0032782E">
        <w:t xml:space="preserve"> </w:t>
      </w:r>
      <w:r w:rsidRPr="0032782E">
        <w:t>cual</w:t>
      </w:r>
      <w:r w:rsidR="006409F3" w:rsidRPr="0032782E">
        <w:t xml:space="preserve"> </w:t>
      </w:r>
      <w:r w:rsidRPr="0032782E">
        <w:t>aprueba</w:t>
      </w:r>
      <w:r w:rsidR="006409F3" w:rsidRPr="0032782E">
        <w:t xml:space="preserve"> </w:t>
      </w:r>
      <w:r w:rsidRPr="0032782E">
        <w:t>la ampliación de término para atender la solicitud de información</w:t>
      </w:r>
      <w:r w:rsidR="009448BC" w:rsidRPr="0032782E">
        <w:t>.</w:t>
      </w:r>
      <w:bookmarkEnd w:id="4"/>
    </w:p>
    <w:p w14:paraId="2741F8EB" w14:textId="77777777" w:rsidR="007B4DAD" w:rsidRPr="0032782E" w:rsidRDefault="007B4DAD" w:rsidP="00E873E0">
      <w:pPr>
        <w:spacing w:after="0"/>
      </w:pPr>
    </w:p>
    <w:p w14:paraId="0A604AAC" w14:textId="60120191" w:rsidR="00E22EA8" w:rsidRPr="0032782E" w:rsidRDefault="007B4DAD" w:rsidP="00E873E0">
      <w:pPr>
        <w:pStyle w:val="Ttulo2"/>
        <w:spacing w:before="0" w:after="0" w:line="360" w:lineRule="auto"/>
        <w:rPr>
          <w:sz w:val="22"/>
          <w:szCs w:val="22"/>
        </w:rPr>
      </w:pPr>
      <w:bookmarkStart w:id="5" w:name="_Toc193891137"/>
      <w:r w:rsidRPr="0032782E">
        <w:rPr>
          <w:sz w:val="22"/>
          <w:szCs w:val="22"/>
        </w:rPr>
        <w:t xml:space="preserve">III. </w:t>
      </w:r>
      <w:r w:rsidR="00E22EA8" w:rsidRPr="0032782E">
        <w:rPr>
          <w:sz w:val="22"/>
          <w:szCs w:val="22"/>
        </w:rPr>
        <w:t>Respuesta del Sujeto Obligado</w:t>
      </w:r>
      <w:bookmarkEnd w:id="5"/>
    </w:p>
    <w:p w14:paraId="10CE94A9" w14:textId="77777777" w:rsidR="00C06004" w:rsidRPr="0032782E" w:rsidRDefault="00C06004" w:rsidP="00E873E0">
      <w:pPr>
        <w:autoSpaceDE w:val="0"/>
        <w:autoSpaceDN w:val="0"/>
        <w:adjustRightInd w:val="0"/>
        <w:spacing w:after="0" w:line="360" w:lineRule="auto"/>
        <w:rPr>
          <w:b/>
          <w:bCs/>
        </w:rPr>
      </w:pPr>
    </w:p>
    <w:p w14:paraId="603D969D" w14:textId="6D1676E0" w:rsidR="00CD4DE8" w:rsidRPr="0032782E" w:rsidRDefault="00011477" w:rsidP="00E873E0">
      <w:pPr>
        <w:spacing w:after="0" w:line="360" w:lineRule="auto"/>
      </w:pPr>
      <w:r w:rsidRPr="0032782E">
        <w:t xml:space="preserve">El </w:t>
      </w:r>
      <w:r w:rsidR="002B17F0" w:rsidRPr="0032782E">
        <w:t>trece</w:t>
      </w:r>
      <w:r w:rsidR="00CD4DE8" w:rsidRPr="0032782E">
        <w:t xml:space="preserve"> de febrero de dos mil veinticinco</w:t>
      </w:r>
      <w:r w:rsidR="00E22EA8" w:rsidRPr="0032782E">
        <w:t xml:space="preserve">, el Sujeto Obligado notificó, a través del Sistema de Acceso a la Información Mexiquense (SAIMEX), la respuesta a la solicitud de acceso a la información pública, </w:t>
      </w:r>
      <w:r w:rsidR="004D1D8F" w:rsidRPr="0032782E">
        <w:t>a través de</w:t>
      </w:r>
      <w:r w:rsidR="00930FCC" w:rsidRPr="0032782E">
        <w:t>l o</w:t>
      </w:r>
      <w:r w:rsidR="004D1D8F" w:rsidRPr="0032782E">
        <w:t>ficio</w:t>
      </w:r>
      <w:r w:rsidR="004C56AA" w:rsidRPr="0032782E">
        <w:t xml:space="preserve"> sin</w:t>
      </w:r>
      <w:r w:rsidR="004D1D8F" w:rsidRPr="0032782E">
        <w:t xml:space="preserve"> </w:t>
      </w:r>
      <w:r w:rsidR="00A7487F" w:rsidRPr="0032782E">
        <w:t>número, de</w:t>
      </w:r>
      <w:r w:rsidR="002B17F0" w:rsidRPr="0032782E">
        <w:t>l siete</w:t>
      </w:r>
      <w:r w:rsidR="004C56AA" w:rsidRPr="0032782E">
        <w:t xml:space="preserve"> de febrero</w:t>
      </w:r>
      <w:r w:rsidR="00A7487F" w:rsidRPr="0032782E">
        <w:t xml:space="preserve"> </w:t>
      </w:r>
      <w:r w:rsidR="00CD4DE8" w:rsidRPr="0032782E">
        <w:t>de dos m</w:t>
      </w:r>
      <w:r w:rsidR="00A7487F" w:rsidRPr="0032782E">
        <w:t xml:space="preserve">il veinticinco, suscrito por </w:t>
      </w:r>
      <w:r w:rsidR="004C56AA" w:rsidRPr="0032782E">
        <w:t xml:space="preserve">el Titular de la Unidad de Transparencia </w:t>
      </w:r>
      <w:r w:rsidR="00CD4DE8" w:rsidRPr="0032782E">
        <w:t>y dirigido a</w:t>
      </w:r>
      <w:r w:rsidR="004C56AA" w:rsidRPr="0032782E">
        <w:t>l solicitante</w:t>
      </w:r>
      <w:r w:rsidR="009048A7" w:rsidRPr="0032782E">
        <w:t>, por medio del cual mencionó lo siguiente:</w:t>
      </w:r>
    </w:p>
    <w:p w14:paraId="47EF1676" w14:textId="77777777" w:rsidR="009048A7" w:rsidRPr="0032782E" w:rsidRDefault="009048A7" w:rsidP="00E873E0">
      <w:pPr>
        <w:spacing w:after="0" w:line="360" w:lineRule="auto"/>
        <w:ind w:left="567" w:right="567"/>
      </w:pPr>
    </w:p>
    <w:p w14:paraId="50A8A769" w14:textId="5645C8B5" w:rsidR="00930FCC" w:rsidRPr="0032782E" w:rsidRDefault="00A7487F" w:rsidP="00E873E0">
      <w:pPr>
        <w:spacing w:after="0" w:line="360" w:lineRule="auto"/>
        <w:ind w:left="567" w:right="567"/>
        <w:rPr>
          <w:i/>
          <w:iCs/>
          <w:sz w:val="20"/>
          <w:szCs w:val="20"/>
        </w:rPr>
      </w:pPr>
      <w:r w:rsidRPr="0032782E">
        <w:rPr>
          <w:i/>
          <w:iCs/>
          <w:sz w:val="20"/>
          <w:szCs w:val="20"/>
        </w:rPr>
        <w:t>“</w:t>
      </w:r>
      <w:r w:rsidR="004C56AA" w:rsidRPr="0032782E">
        <w:rPr>
          <w:i/>
          <w:iCs/>
          <w:sz w:val="20"/>
          <w:szCs w:val="20"/>
        </w:rPr>
        <w:t>…</w:t>
      </w:r>
      <w:r w:rsidR="00D66EE5" w:rsidRPr="0032782E">
        <w:rPr>
          <w:i/>
          <w:iCs/>
          <w:sz w:val="20"/>
          <w:szCs w:val="20"/>
        </w:rPr>
        <w:t xml:space="preserve">con fundamento en la LEY DE PROTECCIÓN DE DATOS PERSONALES EN POSESIÓN DE SUJETOS OBLIGADOS DEL ESTADO DE MÉXICO Y MUNICIPIOS. Se emite lo siguiente y por consiguiente la información solicitada queda reservada, de acuerdo a los siguientes Artículos: </w:t>
      </w:r>
    </w:p>
    <w:p w14:paraId="615612C9" w14:textId="77777777" w:rsidR="00D66EE5" w:rsidRPr="0032782E" w:rsidRDefault="00D66EE5" w:rsidP="00E873E0">
      <w:pPr>
        <w:spacing w:after="0" w:line="360" w:lineRule="auto"/>
        <w:ind w:left="567" w:right="567"/>
        <w:rPr>
          <w:i/>
          <w:iCs/>
          <w:sz w:val="20"/>
          <w:szCs w:val="20"/>
        </w:rPr>
      </w:pPr>
    </w:p>
    <w:p w14:paraId="24B92617" w14:textId="3E1B9298" w:rsidR="00930FCC" w:rsidRPr="0032782E" w:rsidRDefault="00930FCC" w:rsidP="00E873E0">
      <w:pPr>
        <w:spacing w:after="0" w:line="360" w:lineRule="auto"/>
        <w:ind w:left="567" w:right="567"/>
        <w:rPr>
          <w:i/>
          <w:iCs/>
          <w:sz w:val="20"/>
          <w:szCs w:val="20"/>
        </w:rPr>
      </w:pPr>
      <w:r w:rsidRPr="0032782E">
        <w:rPr>
          <w:i/>
          <w:iCs/>
          <w:sz w:val="20"/>
          <w:szCs w:val="20"/>
        </w:rPr>
        <w:t xml:space="preserve"> Se emite la siguiente repuesta protegiendo los datos de confidencialidad y protección de datos personales de los Servidores Públicos, ya que en dichos recibos de </w:t>
      </w:r>
      <w:proofErr w:type="spellStart"/>
      <w:r w:rsidRPr="0032782E">
        <w:rPr>
          <w:i/>
          <w:iCs/>
          <w:sz w:val="20"/>
          <w:szCs w:val="20"/>
        </w:rPr>
        <w:t>nomina</w:t>
      </w:r>
      <w:proofErr w:type="spellEnd"/>
      <w:r w:rsidRPr="0032782E">
        <w:rPr>
          <w:i/>
          <w:iCs/>
          <w:sz w:val="20"/>
          <w:szCs w:val="20"/>
        </w:rPr>
        <w:t xml:space="preserve"> existen datos personales que deben ser confidenciales.</w:t>
      </w:r>
    </w:p>
    <w:p w14:paraId="299FEFCD" w14:textId="712B49BF" w:rsidR="00467659" w:rsidRPr="0032782E" w:rsidRDefault="00467659" w:rsidP="00E873E0">
      <w:pPr>
        <w:spacing w:after="0" w:line="360" w:lineRule="auto"/>
        <w:ind w:left="567" w:right="567"/>
        <w:rPr>
          <w:i/>
          <w:iCs/>
          <w:sz w:val="20"/>
          <w:szCs w:val="20"/>
        </w:rPr>
      </w:pPr>
      <w:r w:rsidRPr="0032782E">
        <w:rPr>
          <w:i/>
          <w:iCs/>
          <w:sz w:val="20"/>
          <w:szCs w:val="20"/>
        </w:rPr>
        <w:t>…”</w:t>
      </w:r>
    </w:p>
    <w:p w14:paraId="28E5359C" w14:textId="77777777" w:rsidR="00D25C63" w:rsidRPr="0032782E" w:rsidRDefault="00D25C63" w:rsidP="00E873E0">
      <w:pPr>
        <w:spacing w:after="0" w:line="360" w:lineRule="auto"/>
      </w:pPr>
    </w:p>
    <w:p w14:paraId="7E7FBB31" w14:textId="0C17A154" w:rsidR="00E22EA8" w:rsidRPr="0032782E" w:rsidRDefault="00E22EA8" w:rsidP="00E873E0">
      <w:pPr>
        <w:pStyle w:val="Ttulo2"/>
        <w:spacing w:before="0" w:after="0" w:line="360" w:lineRule="auto"/>
        <w:rPr>
          <w:sz w:val="22"/>
          <w:szCs w:val="22"/>
        </w:rPr>
      </w:pPr>
      <w:bookmarkStart w:id="6" w:name="_Toc193891138"/>
      <w:r w:rsidRPr="0032782E">
        <w:rPr>
          <w:sz w:val="22"/>
          <w:szCs w:val="22"/>
        </w:rPr>
        <w:t>I</w:t>
      </w:r>
      <w:r w:rsidR="007B4DAD" w:rsidRPr="0032782E">
        <w:rPr>
          <w:sz w:val="22"/>
          <w:szCs w:val="22"/>
        </w:rPr>
        <w:t>V</w:t>
      </w:r>
      <w:r w:rsidRPr="0032782E">
        <w:rPr>
          <w:sz w:val="22"/>
          <w:szCs w:val="22"/>
        </w:rPr>
        <w:t>. Interposición del Recurso de Revisión</w:t>
      </w:r>
      <w:bookmarkEnd w:id="6"/>
    </w:p>
    <w:p w14:paraId="053D45CF" w14:textId="77777777" w:rsidR="00E22EA8" w:rsidRPr="0032782E" w:rsidRDefault="00E22EA8" w:rsidP="00E873E0">
      <w:pPr>
        <w:spacing w:after="0" w:line="360" w:lineRule="auto"/>
        <w:rPr>
          <w:b/>
        </w:rPr>
      </w:pPr>
    </w:p>
    <w:p w14:paraId="1AABC52F" w14:textId="22AD6E51" w:rsidR="00E22EA8" w:rsidRPr="0032782E" w:rsidRDefault="00083169" w:rsidP="00E873E0">
      <w:pPr>
        <w:spacing w:after="0" w:line="360" w:lineRule="auto"/>
        <w:rPr>
          <w:bCs/>
        </w:rPr>
      </w:pPr>
      <w:r w:rsidRPr="0032782E">
        <w:rPr>
          <w:bCs/>
        </w:rPr>
        <w:lastRenderedPageBreak/>
        <w:t>El</w:t>
      </w:r>
      <w:r w:rsidR="008E5E71" w:rsidRPr="0032782E">
        <w:rPr>
          <w:bCs/>
        </w:rPr>
        <w:t xml:space="preserve"> </w:t>
      </w:r>
      <w:r w:rsidR="00930FCC" w:rsidRPr="0032782E">
        <w:t>veinticuatro</w:t>
      </w:r>
      <w:r w:rsidR="00E12804" w:rsidRPr="0032782E">
        <w:t xml:space="preserve"> </w:t>
      </w:r>
      <w:r w:rsidR="008E5E71" w:rsidRPr="0032782E">
        <w:t>de febrero de dos mil veinticinco</w:t>
      </w:r>
      <w:r w:rsidR="00930FCC" w:rsidRPr="0032782E">
        <w:t xml:space="preserve">, </w:t>
      </w:r>
      <w:r w:rsidR="00E22EA8" w:rsidRPr="0032782E">
        <w:rPr>
          <w:bCs/>
        </w:rPr>
        <w:t xml:space="preserve">se recibió en este Instituto, a través del </w:t>
      </w:r>
      <w:r w:rsidR="00E22EA8" w:rsidRPr="0032782E">
        <w:rPr>
          <w:bCs/>
          <w:lang w:val="es-ES"/>
        </w:rPr>
        <w:t>Sistema de Acceso a la Información Mexiquense (SAIMEX)</w:t>
      </w:r>
      <w:r w:rsidR="00E22EA8" w:rsidRPr="0032782E">
        <w:rPr>
          <w:bCs/>
        </w:rPr>
        <w:t xml:space="preserve">, </w:t>
      </w:r>
      <w:r w:rsidR="009019A8" w:rsidRPr="0032782E">
        <w:rPr>
          <w:bCs/>
        </w:rPr>
        <w:t xml:space="preserve">el </w:t>
      </w:r>
      <w:r w:rsidR="00E22EA8" w:rsidRPr="0032782E">
        <w:rPr>
          <w:bCs/>
        </w:rPr>
        <w:t>Recurso de Revisión interpuesto por la p</w:t>
      </w:r>
      <w:r w:rsidRPr="0032782E">
        <w:rPr>
          <w:bCs/>
        </w:rPr>
        <w:t>ersona</w:t>
      </w:r>
      <w:r w:rsidR="00E22EA8" w:rsidRPr="0032782E">
        <w:rPr>
          <w:bCs/>
        </w:rPr>
        <w:t xml:space="preserve"> Recurrente, en contra de la respuesta por el Sujeto Obligado, a la solicitud de información</w:t>
      </w:r>
      <w:r w:rsidR="00F43789" w:rsidRPr="0032782E">
        <w:rPr>
          <w:rFonts w:eastAsia="Calibri" w:cs="Times New Roman"/>
        </w:rPr>
        <w:t xml:space="preserve">, </w:t>
      </w:r>
      <w:r w:rsidR="00E22EA8" w:rsidRPr="0032782E">
        <w:rPr>
          <w:bCs/>
        </w:rPr>
        <w:t>en los siguientes términos:</w:t>
      </w:r>
    </w:p>
    <w:p w14:paraId="499DDBDB" w14:textId="77777777" w:rsidR="008E5E71" w:rsidRPr="0032782E" w:rsidRDefault="008E5E71" w:rsidP="00E873E0">
      <w:pPr>
        <w:spacing w:after="0" w:line="360" w:lineRule="auto"/>
        <w:ind w:left="567" w:right="567"/>
        <w:rPr>
          <w:b/>
          <w:bCs/>
          <w:i/>
          <w:sz w:val="20"/>
          <w:szCs w:val="20"/>
        </w:rPr>
      </w:pPr>
    </w:p>
    <w:p w14:paraId="1B2CCD45" w14:textId="1F34B3A9" w:rsidR="00E22EA8" w:rsidRPr="0032782E" w:rsidRDefault="00E12804" w:rsidP="00E873E0">
      <w:pPr>
        <w:spacing w:after="0" w:line="360" w:lineRule="auto"/>
        <w:ind w:left="567" w:right="567"/>
        <w:rPr>
          <w:bCs/>
          <w:i/>
          <w:sz w:val="20"/>
          <w:szCs w:val="20"/>
        </w:rPr>
      </w:pPr>
      <w:r w:rsidRPr="0032782E">
        <w:rPr>
          <w:b/>
          <w:bCs/>
          <w:i/>
          <w:sz w:val="20"/>
          <w:szCs w:val="20"/>
        </w:rPr>
        <w:t>‘’</w:t>
      </w:r>
      <w:r w:rsidR="00E22EA8" w:rsidRPr="0032782E">
        <w:rPr>
          <w:b/>
          <w:bCs/>
          <w:i/>
          <w:sz w:val="20"/>
          <w:szCs w:val="20"/>
        </w:rPr>
        <w:t>ACTO IMPUGNADO</w:t>
      </w:r>
    </w:p>
    <w:p w14:paraId="20CB87D1" w14:textId="67EB96A7" w:rsidR="00E22EA8" w:rsidRPr="0032782E" w:rsidRDefault="00930FCC" w:rsidP="00E873E0">
      <w:pPr>
        <w:spacing w:after="0" w:line="360" w:lineRule="auto"/>
        <w:ind w:left="567" w:right="567"/>
        <w:rPr>
          <w:i/>
          <w:sz w:val="20"/>
          <w:szCs w:val="20"/>
        </w:rPr>
      </w:pPr>
      <w:r w:rsidRPr="0032782E">
        <w:rPr>
          <w:i/>
          <w:iCs/>
          <w:sz w:val="20"/>
          <w:szCs w:val="20"/>
        </w:rPr>
        <w:t xml:space="preserve">no proporcionan </w:t>
      </w:r>
      <w:proofErr w:type="spellStart"/>
      <w:r w:rsidRPr="0032782E">
        <w:rPr>
          <w:i/>
          <w:iCs/>
          <w:sz w:val="20"/>
          <w:szCs w:val="20"/>
        </w:rPr>
        <w:t>informacion</w:t>
      </w:r>
      <w:proofErr w:type="spellEnd"/>
      <w:r w:rsidR="00E22EA8" w:rsidRPr="0032782E">
        <w:rPr>
          <w:i/>
          <w:iCs/>
          <w:sz w:val="20"/>
          <w:szCs w:val="20"/>
        </w:rPr>
        <w:t>”</w:t>
      </w:r>
      <w:r w:rsidR="00E22EA8" w:rsidRPr="0032782E">
        <w:rPr>
          <w:i/>
          <w:sz w:val="20"/>
          <w:szCs w:val="20"/>
        </w:rPr>
        <w:t xml:space="preserve"> </w:t>
      </w:r>
      <w:r w:rsidRPr="0032782E">
        <w:rPr>
          <w:i/>
          <w:sz w:val="20"/>
          <w:szCs w:val="20"/>
        </w:rPr>
        <w:t>(Sic.)</w:t>
      </w:r>
    </w:p>
    <w:p w14:paraId="3B2615CC" w14:textId="77777777" w:rsidR="00E22EA8" w:rsidRPr="0032782E" w:rsidRDefault="00E22EA8" w:rsidP="00E873E0">
      <w:pPr>
        <w:spacing w:after="0" w:line="360" w:lineRule="auto"/>
        <w:ind w:left="567" w:right="567"/>
        <w:rPr>
          <w:i/>
          <w:sz w:val="20"/>
          <w:szCs w:val="20"/>
        </w:rPr>
      </w:pPr>
    </w:p>
    <w:p w14:paraId="3F1F07C7" w14:textId="49F2AE96" w:rsidR="00E22EA8" w:rsidRPr="0032782E" w:rsidRDefault="00E12804" w:rsidP="00E873E0">
      <w:pPr>
        <w:spacing w:after="0" w:line="360" w:lineRule="auto"/>
        <w:ind w:left="567" w:right="567"/>
        <w:rPr>
          <w:b/>
          <w:i/>
          <w:sz w:val="20"/>
          <w:szCs w:val="20"/>
        </w:rPr>
      </w:pPr>
      <w:r w:rsidRPr="0032782E">
        <w:rPr>
          <w:b/>
          <w:i/>
          <w:sz w:val="20"/>
          <w:szCs w:val="20"/>
        </w:rPr>
        <w:t>‘’</w:t>
      </w:r>
      <w:r w:rsidR="00E22EA8" w:rsidRPr="0032782E">
        <w:rPr>
          <w:b/>
          <w:i/>
          <w:sz w:val="20"/>
          <w:szCs w:val="20"/>
        </w:rPr>
        <w:t>RAZONES O MOTIVOS DE LA INCONFORMIDAD</w:t>
      </w:r>
    </w:p>
    <w:p w14:paraId="31B716B5" w14:textId="7F5812A4" w:rsidR="00E12804" w:rsidRPr="0032782E" w:rsidRDefault="00930FCC" w:rsidP="00E873E0">
      <w:pPr>
        <w:spacing w:after="0" w:line="360" w:lineRule="auto"/>
        <w:ind w:left="567" w:right="567"/>
        <w:rPr>
          <w:i/>
          <w:sz w:val="20"/>
          <w:szCs w:val="20"/>
        </w:rPr>
      </w:pPr>
      <w:r w:rsidRPr="0032782E">
        <w:rPr>
          <w:i/>
          <w:iCs/>
          <w:sz w:val="20"/>
          <w:szCs w:val="20"/>
        </w:rPr>
        <w:t xml:space="preserve">no dan </w:t>
      </w:r>
      <w:proofErr w:type="spellStart"/>
      <w:r w:rsidRPr="0032782E">
        <w:rPr>
          <w:i/>
          <w:iCs/>
          <w:sz w:val="20"/>
          <w:szCs w:val="20"/>
        </w:rPr>
        <w:t>informacion</w:t>
      </w:r>
      <w:proofErr w:type="spellEnd"/>
      <w:r w:rsidR="00E12804" w:rsidRPr="0032782E">
        <w:rPr>
          <w:i/>
          <w:iCs/>
          <w:sz w:val="20"/>
          <w:szCs w:val="20"/>
        </w:rPr>
        <w:t>”</w:t>
      </w:r>
      <w:r w:rsidRPr="0032782E">
        <w:rPr>
          <w:i/>
          <w:iCs/>
          <w:sz w:val="20"/>
          <w:szCs w:val="20"/>
        </w:rPr>
        <w:t xml:space="preserve"> (Sic.)</w:t>
      </w:r>
    </w:p>
    <w:p w14:paraId="01179437" w14:textId="6B58335B" w:rsidR="00E22EA8" w:rsidRPr="0032782E" w:rsidRDefault="00E22EA8" w:rsidP="00E873E0">
      <w:pPr>
        <w:spacing w:after="0" w:line="360" w:lineRule="auto"/>
        <w:ind w:left="567" w:right="567" w:firstLine="33"/>
        <w:rPr>
          <w:i/>
          <w:sz w:val="20"/>
          <w:szCs w:val="20"/>
        </w:rPr>
      </w:pPr>
    </w:p>
    <w:p w14:paraId="009DB65C" w14:textId="0194BB75" w:rsidR="00E22EA8" w:rsidRPr="0032782E" w:rsidRDefault="00E22EA8" w:rsidP="00E873E0">
      <w:pPr>
        <w:pStyle w:val="Ttulo2"/>
        <w:spacing w:before="0" w:after="0" w:line="360" w:lineRule="auto"/>
        <w:rPr>
          <w:sz w:val="22"/>
          <w:szCs w:val="22"/>
        </w:rPr>
      </w:pPr>
      <w:bookmarkStart w:id="7" w:name="_Toc193891139"/>
      <w:r w:rsidRPr="0032782E">
        <w:rPr>
          <w:sz w:val="22"/>
          <w:szCs w:val="22"/>
        </w:rPr>
        <w:t>V. Trámite del Recurso de Revisión ante este Instituto</w:t>
      </w:r>
      <w:bookmarkEnd w:id="7"/>
    </w:p>
    <w:p w14:paraId="5C9B63F8" w14:textId="77777777" w:rsidR="009B2DAB" w:rsidRPr="0032782E" w:rsidRDefault="009B2DAB" w:rsidP="00E873E0">
      <w:pPr>
        <w:spacing w:after="0" w:line="360" w:lineRule="auto"/>
        <w:rPr>
          <w:b/>
          <w:bCs/>
        </w:rPr>
      </w:pPr>
    </w:p>
    <w:p w14:paraId="173768ED" w14:textId="34A6500C" w:rsidR="00E22EA8" w:rsidRPr="0032782E" w:rsidRDefault="00E22EA8" w:rsidP="00E873E0">
      <w:pPr>
        <w:spacing w:after="0" w:line="360" w:lineRule="auto"/>
        <w:rPr>
          <w:bCs/>
        </w:rPr>
      </w:pPr>
      <w:r w:rsidRPr="0032782E">
        <w:rPr>
          <w:b/>
          <w:bCs/>
        </w:rPr>
        <w:t>a) Turno del Medio de Impugnación.</w:t>
      </w:r>
      <w:r w:rsidR="000A706F" w:rsidRPr="0032782E">
        <w:rPr>
          <w:bCs/>
        </w:rPr>
        <w:t xml:space="preserve"> El</w:t>
      </w:r>
      <w:r w:rsidR="00E64E18" w:rsidRPr="0032782E">
        <w:rPr>
          <w:bCs/>
        </w:rPr>
        <w:t xml:space="preserve"> </w:t>
      </w:r>
      <w:r w:rsidR="00930FCC" w:rsidRPr="0032782E">
        <w:t>veinticuatro</w:t>
      </w:r>
      <w:r w:rsidR="00E64E18" w:rsidRPr="0032782E">
        <w:t xml:space="preserve"> de febrero de dos mil veinticinco</w:t>
      </w:r>
      <w:r w:rsidRPr="0032782E">
        <w:rPr>
          <w:bCs/>
        </w:rPr>
        <w:t xml:space="preserve">, el </w:t>
      </w:r>
      <w:r w:rsidRPr="0032782E">
        <w:rPr>
          <w:lang w:val="es-ES"/>
        </w:rPr>
        <w:t>Sistema de Acceso a la Información Mexiquense (SAIMEX),</w:t>
      </w:r>
      <w:r w:rsidRPr="0032782E">
        <w:rPr>
          <w:bCs/>
        </w:rPr>
        <w:t xml:space="preserve"> asignó el número de expediente </w:t>
      </w:r>
      <w:r w:rsidR="00803F31" w:rsidRPr="0032782E">
        <w:rPr>
          <w:b/>
          <w:bCs/>
        </w:rPr>
        <w:t>01891/INFOEM/IP/RR/2025</w:t>
      </w:r>
      <w:r w:rsidRPr="0032782E">
        <w:rPr>
          <w:bCs/>
        </w:rPr>
        <w:t xml:space="preserve">, al medio de impugnación que nos ocupa, con base en el sistema aprobado por el Pleno de este </w:t>
      </w:r>
      <w:r w:rsidR="00B65BCA" w:rsidRPr="0032782E">
        <w:rPr>
          <w:bCs/>
        </w:rPr>
        <w:t>Organismo</w:t>
      </w:r>
      <w:r w:rsidRPr="0032782E">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32782E" w:rsidRDefault="005914EE" w:rsidP="00E873E0">
      <w:pPr>
        <w:spacing w:after="0" w:line="360" w:lineRule="auto"/>
        <w:rPr>
          <w:b/>
          <w:bCs/>
        </w:rPr>
      </w:pPr>
    </w:p>
    <w:p w14:paraId="61891480" w14:textId="53662AAE" w:rsidR="00E22EA8" w:rsidRPr="0032782E" w:rsidRDefault="00E22EA8" w:rsidP="00E873E0">
      <w:pPr>
        <w:spacing w:after="0" w:line="360" w:lineRule="auto"/>
      </w:pPr>
      <w:r w:rsidRPr="0032782E">
        <w:rPr>
          <w:b/>
          <w:bCs/>
        </w:rPr>
        <w:t>b) Admisión del Recurso de Revisión</w:t>
      </w:r>
      <w:r w:rsidRPr="0032782E">
        <w:rPr>
          <w:b/>
          <w:bCs/>
          <w:lang w:val="es-ES_tradnl"/>
        </w:rPr>
        <w:t xml:space="preserve">. </w:t>
      </w:r>
      <w:r w:rsidRPr="0032782E">
        <w:rPr>
          <w:bCs/>
          <w:lang w:val="es-ES_tradnl"/>
        </w:rPr>
        <w:t>El</w:t>
      </w:r>
      <w:r w:rsidR="00E64E18" w:rsidRPr="0032782E">
        <w:rPr>
          <w:bCs/>
          <w:lang w:val="es-ES_tradnl"/>
        </w:rPr>
        <w:t xml:space="preserve"> </w:t>
      </w:r>
      <w:r w:rsidR="00511E76" w:rsidRPr="0032782E">
        <w:t>veint</w:t>
      </w:r>
      <w:r w:rsidR="002422B8" w:rsidRPr="0032782E">
        <w:t>isiete</w:t>
      </w:r>
      <w:r w:rsidR="00E64E18" w:rsidRPr="0032782E">
        <w:t xml:space="preserve"> de febrero de dos mil veinticinco</w:t>
      </w:r>
      <w:r w:rsidRPr="0032782E">
        <w:rPr>
          <w:bCs/>
          <w:lang w:val="es-ES_tradnl"/>
        </w:rPr>
        <w:t xml:space="preserve">, se acordó la admisión del Recurso de Revisión interpuesto por </w:t>
      </w:r>
      <w:r w:rsidR="00261B92" w:rsidRPr="0032782E">
        <w:rPr>
          <w:bCs/>
          <w:lang w:val="es-ES_tradnl"/>
        </w:rPr>
        <w:t>la persona</w:t>
      </w:r>
      <w:r w:rsidRPr="0032782E">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32782E">
        <w:rPr>
          <w:bCs/>
          <w:lang w:val="es-ES_tradnl"/>
        </w:rPr>
        <w:t>el</w:t>
      </w:r>
      <w:r w:rsidR="000A706F" w:rsidRPr="0032782E">
        <w:rPr>
          <w:bCs/>
          <w:lang w:val="es-ES_tradnl"/>
        </w:rPr>
        <w:t xml:space="preserve"> mismo día</w:t>
      </w:r>
      <w:r w:rsidRPr="0032782E">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2B9894A9" w14:textId="00A3C77A" w:rsidR="00F42088" w:rsidRPr="0032782E" w:rsidRDefault="00E10780" w:rsidP="00E873E0">
      <w:pPr>
        <w:spacing w:after="0" w:line="360" w:lineRule="auto"/>
      </w:pPr>
      <w:r w:rsidRPr="0032782E">
        <w:rPr>
          <w:b/>
        </w:rPr>
        <w:lastRenderedPageBreak/>
        <w:t>c</w:t>
      </w:r>
      <w:r w:rsidR="00F933B4" w:rsidRPr="0032782E">
        <w:rPr>
          <w:b/>
        </w:rPr>
        <w:t>) Informe Justificado</w:t>
      </w:r>
      <w:r w:rsidR="002422B8" w:rsidRPr="0032782E">
        <w:rPr>
          <w:b/>
        </w:rPr>
        <w:t xml:space="preserve"> o manifestaciones</w:t>
      </w:r>
      <w:r w:rsidR="00F933B4" w:rsidRPr="0032782E">
        <w:rPr>
          <w:b/>
        </w:rPr>
        <w:t xml:space="preserve">. </w:t>
      </w:r>
      <w:r w:rsidR="002422B8" w:rsidRPr="0032782E">
        <w:t>Las partes fueron omisas en emitir manifestaciones o alegatos.</w:t>
      </w:r>
    </w:p>
    <w:p w14:paraId="58013731" w14:textId="77777777" w:rsidR="0058767A" w:rsidRPr="0032782E" w:rsidRDefault="0058767A" w:rsidP="00E873E0">
      <w:pPr>
        <w:spacing w:after="0" w:line="360" w:lineRule="auto"/>
      </w:pPr>
    </w:p>
    <w:p w14:paraId="73AC64D0" w14:textId="72928D62" w:rsidR="00E22EA8" w:rsidRPr="0032782E" w:rsidRDefault="002422B8" w:rsidP="00E873E0">
      <w:pPr>
        <w:spacing w:after="0" w:line="360" w:lineRule="auto"/>
        <w:rPr>
          <w:lang w:val="es-ES"/>
        </w:rPr>
      </w:pPr>
      <w:r w:rsidRPr="0032782E">
        <w:rPr>
          <w:rFonts w:eastAsia="Times New Roman" w:cs="Tahoma"/>
          <w:b/>
          <w:szCs w:val="24"/>
          <w:lang w:eastAsia="es-ES"/>
        </w:rPr>
        <w:t>d</w:t>
      </w:r>
      <w:r w:rsidR="00E22EA8" w:rsidRPr="0032782E">
        <w:rPr>
          <w:rFonts w:eastAsia="Times New Roman" w:cs="Tahoma"/>
          <w:b/>
          <w:szCs w:val="24"/>
          <w:lang w:eastAsia="es-ES"/>
        </w:rPr>
        <w:t>) Cierre de instrucción.</w:t>
      </w:r>
      <w:r w:rsidR="00E22EA8" w:rsidRPr="0032782E">
        <w:rPr>
          <w:rFonts w:eastAsia="Times New Roman" w:cs="Tahoma"/>
          <w:szCs w:val="24"/>
          <w:lang w:eastAsia="es-ES"/>
        </w:rPr>
        <w:t xml:space="preserve"> El</w:t>
      </w:r>
      <w:r w:rsidR="00417F3A" w:rsidRPr="0032782E">
        <w:rPr>
          <w:rFonts w:eastAsia="Times New Roman" w:cs="Tahoma"/>
          <w:szCs w:val="24"/>
          <w:lang w:eastAsia="es-ES"/>
        </w:rPr>
        <w:t xml:space="preserve"> </w:t>
      </w:r>
      <w:r w:rsidR="001150A1" w:rsidRPr="0032782E">
        <w:rPr>
          <w:rFonts w:eastAsia="Times New Roman" w:cs="Tahoma"/>
          <w:szCs w:val="24"/>
          <w:lang w:eastAsia="es-ES"/>
        </w:rPr>
        <w:t>vein</w:t>
      </w:r>
      <w:r w:rsidRPr="0032782E">
        <w:rPr>
          <w:rFonts w:eastAsia="Times New Roman" w:cs="Tahoma"/>
          <w:szCs w:val="24"/>
          <w:lang w:eastAsia="es-ES"/>
        </w:rPr>
        <w:t>ticinco</w:t>
      </w:r>
      <w:r w:rsidR="00417F3A" w:rsidRPr="0032782E">
        <w:rPr>
          <w:rFonts w:eastAsia="Times New Roman" w:cs="Tahoma"/>
          <w:szCs w:val="24"/>
          <w:lang w:eastAsia="es-ES"/>
        </w:rPr>
        <w:t xml:space="preserve"> de marzo</w:t>
      </w:r>
      <w:r w:rsidR="005C3BAC" w:rsidRPr="0032782E">
        <w:rPr>
          <w:rFonts w:eastAsia="Times New Roman" w:cs="Tahoma"/>
          <w:szCs w:val="24"/>
          <w:lang w:eastAsia="es-ES"/>
        </w:rPr>
        <w:t xml:space="preserve"> de dos mil veinticinco</w:t>
      </w:r>
      <w:r w:rsidR="00E22EA8" w:rsidRPr="0032782E">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32782E">
        <w:rPr>
          <w:lang w:val="es-ES"/>
        </w:rPr>
        <w:t>acto que fue notificado a las partes, mediante el Sistema de Acceso a la Información Mexiquense (SAIMEX), el mismo día.</w:t>
      </w:r>
    </w:p>
    <w:p w14:paraId="5CA409A3" w14:textId="77777777" w:rsidR="004C21E6" w:rsidRPr="0032782E" w:rsidRDefault="004C21E6" w:rsidP="00E873E0">
      <w:pPr>
        <w:spacing w:after="0" w:line="360" w:lineRule="auto"/>
        <w:rPr>
          <w:b/>
          <w:bCs/>
          <w:lang w:val="es-ES"/>
        </w:rPr>
      </w:pPr>
    </w:p>
    <w:p w14:paraId="1C132216" w14:textId="7A4FF25F" w:rsidR="005C690F" w:rsidRPr="0032782E" w:rsidRDefault="007D6307" w:rsidP="00E873E0">
      <w:pPr>
        <w:spacing w:after="0" w:line="360" w:lineRule="auto"/>
        <w:rPr>
          <w:color w:val="000000"/>
        </w:rPr>
      </w:pPr>
      <w:r w:rsidRPr="0032782E">
        <w:rPr>
          <w:color w:val="000000"/>
        </w:rPr>
        <w:t xml:space="preserve">En razón de que fue debidamente </w:t>
      </w:r>
      <w:r w:rsidR="00CC1F8C" w:rsidRPr="0032782E">
        <w:rPr>
          <w:color w:val="000000"/>
        </w:rPr>
        <w:t>sustanciado</w:t>
      </w:r>
      <w:r w:rsidRPr="0032782E">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32782E" w:rsidRDefault="00674DAF" w:rsidP="00E873E0">
      <w:pPr>
        <w:spacing w:after="0" w:line="360" w:lineRule="auto"/>
        <w:rPr>
          <w:color w:val="000000"/>
        </w:rPr>
      </w:pPr>
    </w:p>
    <w:p w14:paraId="250F6589" w14:textId="3F880C72" w:rsidR="005C690F" w:rsidRPr="0032782E" w:rsidRDefault="00CD6238" w:rsidP="00E873E0">
      <w:pPr>
        <w:pStyle w:val="Ttulo1"/>
        <w:spacing w:before="0" w:after="0" w:line="360" w:lineRule="auto"/>
        <w:jc w:val="center"/>
        <w:rPr>
          <w:sz w:val="22"/>
          <w:szCs w:val="22"/>
        </w:rPr>
      </w:pPr>
      <w:bookmarkStart w:id="8" w:name="_Toc193891140"/>
      <w:r w:rsidRPr="0032782E">
        <w:rPr>
          <w:sz w:val="22"/>
          <w:szCs w:val="22"/>
        </w:rPr>
        <w:t>C O N S I D E R A N D O S</w:t>
      </w:r>
      <w:bookmarkEnd w:id="8"/>
    </w:p>
    <w:p w14:paraId="5AB6ED71" w14:textId="77777777" w:rsidR="005C690F" w:rsidRPr="0032782E" w:rsidRDefault="005C690F" w:rsidP="00E873E0">
      <w:pPr>
        <w:spacing w:after="0" w:line="360" w:lineRule="auto"/>
        <w:jc w:val="center"/>
        <w:rPr>
          <w:b/>
          <w:color w:val="000000"/>
        </w:rPr>
      </w:pPr>
    </w:p>
    <w:p w14:paraId="36BFFC7E" w14:textId="2F0F17EA" w:rsidR="005C690F" w:rsidRPr="0032782E" w:rsidRDefault="007D6307" w:rsidP="00E873E0">
      <w:pPr>
        <w:pStyle w:val="Ttulo2"/>
        <w:spacing w:before="0" w:after="0" w:line="360" w:lineRule="auto"/>
        <w:rPr>
          <w:sz w:val="22"/>
          <w:szCs w:val="22"/>
        </w:rPr>
      </w:pPr>
      <w:bookmarkStart w:id="9" w:name="_Toc193891141"/>
      <w:r w:rsidRPr="0032782E">
        <w:rPr>
          <w:sz w:val="22"/>
          <w:szCs w:val="22"/>
        </w:rPr>
        <w:t xml:space="preserve">PRIMERO. </w:t>
      </w:r>
      <w:r w:rsidR="00CD6238" w:rsidRPr="0032782E">
        <w:rPr>
          <w:sz w:val="22"/>
          <w:szCs w:val="22"/>
        </w:rPr>
        <w:t>Competencia</w:t>
      </w:r>
      <w:bookmarkEnd w:id="9"/>
    </w:p>
    <w:p w14:paraId="552342DA" w14:textId="77777777" w:rsidR="007A1ACB" w:rsidRPr="0032782E" w:rsidRDefault="007A1ACB" w:rsidP="00E873E0">
      <w:pPr>
        <w:spacing w:after="0" w:line="360" w:lineRule="auto"/>
        <w:rPr>
          <w:b/>
          <w:color w:val="000000"/>
        </w:rPr>
      </w:pPr>
    </w:p>
    <w:p w14:paraId="6C2F5EA0" w14:textId="31992B52" w:rsidR="00E757C4" w:rsidRPr="0032782E" w:rsidRDefault="00E757C4" w:rsidP="00E873E0">
      <w:pPr>
        <w:spacing w:after="0" w:line="360" w:lineRule="auto"/>
        <w:contextualSpacing/>
        <w:rPr>
          <w:rFonts w:eastAsia="Times New Roman" w:cs="Tahoma"/>
          <w:bCs/>
          <w:lang w:eastAsia="es-ES"/>
        </w:rPr>
      </w:pPr>
      <w:bookmarkStart w:id="10" w:name="_heading=h.30j0zll" w:colFirst="0" w:colLast="0"/>
      <w:bookmarkStart w:id="11" w:name="_Hlk63334754"/>
      <w:bookmarkEnd w:id="10"/>
      <w:r w:rsidRPr="0032782E">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2A55FFAF" w14:textId="5CE63124" w:rsidR="00E757C4" w:rsidRPr="0032782E" w:rsidRDefault="00E757C4" w:rsidP="00E873E0">
      <w:pPr>
        <w:spacing w:after="0" w:line="360" w:lineRule="auto"/>
        <w:contextualSpacing/>
        <w:rPr>
          <w:rFonts w:eastAsia="Times New Roman" w:cs="Tahoma"/>
          <w:bCs/>
          <w:lang w:eastAsia="es-ES"/>
        </w:rPr>
      </w:pPr>
      <w:r w:rsidRPr="0032782E">
        <w:rPr>
          <w:rFonts w:eastAsia="Times New Roman" w:cs="Tahoma"/>
          <w:bCs/>
          <w:lang w:eastAsia="es-ES"/>
        </w:rPr>
        <w:t>1°, 2°, fracciones II y IV; 13, 29</w:t>
      </w:r>
      <w:r w:rsidR="008146D7" w:rsidRPr="0032782E">
        <w:rPr>
          <w:rFonts w:eastAsia="Times New Roman" w:cs="Tahoma"/>
          <w:bCs/>
          <w:lang w:eastAsia="es-ES"/>
        </w:rPr>
        <w:t xml:space="preserve">, </w:t>
      </w:r>
      <w:r w:rsidRPr="0032782E">
        <w:rPr>
          <w:rFonts w:eastAsia="Times New Roman" w:cs="Tahoma"/>
          <w:bCs/>
          <w:lang w:eastAsia="es-ES"/>
        </w:rPr>
        <w:t xml:space="preserve">36, fracciones I y II; 176, 178, 179, 181 párrafo tercero, 185, 188 y 189 de la Ley Transparencia y Acceso a la Información Pública del Estado de México y Municipios: 7°, 9°, fracciones I y XXIII y 11 del Reglamento Interior del Instituto de </w:t>
      </w:r>
      <w:r w:rsidRPr="0032782E">
        <w:rPr>
          <w:rFonts w:eastAsia="Times New Roman" w:cs="Tahoma"/>
          <w:bCs/>
          <w:lang w:eastAsia="es-ES"/>
        </w:rPr>
        <w:lastRenderedPageBreak/>
        <w:t>Transparencia, Acceso a la Información Pública y Protección de Datos Personales del Estado de México y Municipios.</w:t>
      </w:r>
    </w:p>
    <w:bookmarkEnd w:id="11"/>
    <w:p w14:paraId="4225FD09" w14:textId="77777777" w:rsidR="005C690F" w:rsidRPr="0032782E" w:rsidRDefault="005C690F" w:rsidP="00E873E0">
      <w:pPr>
        <w:spacing w:after="0" w:line="360" w:lineRule="auto"/>
        <w:rPr>
          <w:b/>
          <w:color w:val="000000"/>
        </w:rPr>
      </w:pPr>
    </w:p>
    <w:p w14:paraId="46691DD5" w14:textId="653EB0DE" w:rsidR="005C690F" w:rsidRPr="0032782E" w:rsidRDefault="007D6307" w:rsidP="00E873E0">
      <w:pPr>
        <w:pStyle w:val="Ttulo2"/>
        <w:spacing w:before="0" w:after="0" w:line="360" w:lineRule="auto"/>
        <w:rPr>
          <w:sz w:val="22"/>
          <w:szCs w:val="22"/>
        </w:rPr>
      </w:pPr>
      <w:bookmarkStart w:id="12" w:name="_Toc193891142"/>
      <w:r w:rsidRPr="0032782E">
        <w:rPr>
          <w:sz w:val="22"/>
          <w:szCs w:val="22"/>
        </w:rPr>
        <w:t>SEGUNDO. Causales de</w:t>
      </w:r>
      <w:r w:rsidR="00CD6238" w:rsidRPr="0032782E">
        <w:rPr>
          <w:sz w:val="22"/>
          <w:szCs w:val="22"/>
        </w:rPr>
        <w:t xml:space="preserve"> improcedencia</w:t>
      </w:r>
      <w:bookmarkEnd w:id="12"/>
      <w:r w:rsidR="00CD6238" w:rsidRPr="0032782E">
        <w:rPr>
          <w:sz w:val="22"/>
          <w:szCs w:val="22"/>
        </w:rPr>
        <w:t xml:space="preserve"> </w:t>
      </w:r>
    </w:p>
    <w:p w14:paraId="49AA4CDE" w14:textId="77777777" w:rsidR="005C690F" w:rsidRPr="0032782E" w:rsidRDefault="005C690F" w:rsidP="00E873E0">
      <w:pPr>
        <w:spacing w:after="0" w:line="360" w:lineRule="auto"/>
        <w:rPr>
          <w:color w:val="000000"/>
        </w:rPr>
      </w:pPr>
    </w:p>
    <w:p w14:paraId="2553CE58" w14:textId="77777777" w:rsidR="005C690F" w:rsidRPr="0032782E" w:rsidRDefault="007D6307" w:rsidP="00E873E0">
      <w:pPr>
        <w:spacing w:after="0" w:line="360" w:lineRule="auto"/>
        <w:rPr>
          <w:color w:val="000000"/>
        </w:rPr>
      </w:pPr>
      <w:r w:rsidRPr="0032782E">
        <w:rPr>
          <w:color w:val="000000"/>
        </w:rPr>
        <w:t xml:space="preserve">De las constancias que forma parte del Recurso de Revisión que se analiza, se advierte que previo al estudio del fondo de la </w:t>
      </w:r>
      <w:r w:rsidRPr="0032782E">
        <w:rPr>
          <w:i/>
          <w:color w:val="000000"/>
        </w:rPr>
        <w:t>litis</w:t>
      </w:r>
      <w:r w:rsidRPr="0032782E">
        <w:rPr>
          <w:color w:val="000000"/>
        </w:rPr>
        <w:t>, es necesario estudiar las causales de improcedencia y sobreseimiento que se adviertan, para determinar lo que en Derecho proceda.</w:t>
      </w:r>
    </w:p>
    <w:p w14:paraId="35A30074" w14:textId="77777777" w:rsidR="009B2DAB" w:rsidRPr="0032782E" w:rsidRDefault="009B2DAB" w:rsidP="00E873E0">
      <w:pPr>
        <w:spacing w:after="0" w:line="360" w:lineRule="auto"/>
        <w:rPr>
          <w:color w:val="000000"/>
        </w:rPr>
      </w:pPr>
    </w:p>
    <w:p w14:paraId="3066DF0C" w14:textId="77777777" w:rsidR="005C690F" w:rsidRPr="0032782E" w:rsidRDefault="007D6307" w:rsidP="00E873E0">
      <w:pPr>
        <w:spacing w:after="0" w:line="360" w:lineRule="auto"/>
        <w:rPr>
          <w:b/>
        </w:rPr>
      </w:pPr>
      <w:r w:rsidRPr="0032782E">
        <w:rPr>
          <w:b/>
        </w:rPr>
        <w:t>Causales de improcedencia</w:t>
      </w:r>
    </w:p>
    <w:p w14:paraId="75878DC6" w14:textId="77777777" w:rsidR="005C690F" w:rsidRPr="0032782E" w:rsidRDefault="005C690F" w:rsidP="00E873E0">
      <w:pPr>
        <w:spacing w:after="0" w:line="360" w:lineRule="auto"/>
      </w:pPr>
    </w:p>
    <w:p w14:paraId="6C56CA88" w14:textId="77777777" w:rsidR="005C690F" w:rsidRPr="0032782E" w:rsidRDefault="007D6307" w:rsidP="00E873E0">
      <w:pPr>
        <w:spacing w:after="0" w:line="360" w:lineRule="auto"/>
        <w:rPr>
          <w:color w:val="000000"/>
        </w:rPr>
      </w:pPr>
      <w:r w:rsidRPr="0032782E">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32782E" w:rsidRDefault="005C690F" w:rsidP="00E873E0">
      <w:pPr>
        <w:spacing w:after="0" w:line="360" w:lineRule="auto"/>
        <w:rPr>
          <w:color w:val="000000"/>
        </w:rPr>
      </w:pPr>
    </w:p>
    <w:p w14:paraId="22563DDB" w14:textId="2FA6CAFD" w:rsidR="008D3B3F" w:rsidRPr="0032782E" w:rsidRDefault="007D6307" w:rsidP="00E873E0">
      <w:pPr>
        <w:spacing w:after="0" w:line="360" w:lineRule="auto"/>
        <w:rPr>
          <w:color w:val="000000"/>
        </w:rPr>
      </w:pPr>
      <w:r w:rsidRPr="0032782E">
        <w:rPr>
          <w:color w:val="000000"/>
        </w:rPr>
        <w:t>En el presente caso, </w:t>
      </w:r>
      <w:r w:rsidRPr="0032782E">
        <w:rPr>
          <w:b/>
          <w:color w:val="000000"/>
        </w:rPr>
        <w:t>no se actualiza ninguna de las causales de improcedencia</w:t>
      </w:r>
      <w:r w:rsidRPr="0032782E">
        <w:rPr>
          <w:color w:val="000000"/>
        </w:rPr>
        <w:t> establecidas en el ordenamiento jurídico previamente señalado, toda vez que: este Instituto no tiene conocimiento de que se encuentre en trámite algún medio de defensa presentado por la</w:t>
      </w:r>
      <w:r w:rsidR="00261B92" w:rsidRPr="0032782E">
        <w:rPr>
          <w:color w:val="000000"/>
        </w:rPr>
        <w:t xml:space="preserve"> persona</w:t>
      </w:r>
      <w:r w:rsidRPr="0032782E">
        <w:rPr>
          <w:color w:val="000000"/>
        </w:rPr>
        <w:t xml:space="preserve"> Recurrente ante otra instancia; no existió prevención alguna; la veracidad de la respuesta no formó parte del agravio; ni se realizó una consulta o ampliación a los alcances del requerimiento informativo.</w:t>
      </w:r>
    </w:p>
    <w:p w14:paraId="3009BE49" w14:textId="1167736A" w:rsidR="0030390C" w:rsidRPr="0032782E" w:rsidRDefault="007D6307" w:rsidP="00E873E0">
      <w:pPr>
        <w:spacing w:after="0" w:line="360" w:lineRule="auto"/>
      </w:pPr>
      <w:r w:rsidRPr="0032782E">
        <w:lastRenderedPageBreak/>
        <w:t>Por lo cual, se actualiza la causal de procedencia del Recurso de Revisión señal</w:t>
      </w:r>
      <w:r w:rsidR="00261DF6" w:rsidRPr="0032782E">
        <w:t>ada en el artículo 179, fracci</w:t>
      </w:r>
      <w:r w:rsidR="00230B8F" w:rsidRPr="0032782E">
        <w:t xml:space="preserve">ón </w:t>
      </w:r>
      <w:r w:rsidR="001255BD" w:rsidRPr="0032782E">
        <w:t>II</w:t>
      </w:r>
      <w:r w:rsidRPr="0032782E">
        <w:t>, de la Ley en cita, pues la p</w:t>
      </w:r>
      <w:r w:rsidR="00261B92" w:rsidRPr="0032782E">
        <w:t>ersona</w:t>
      </w:r>
      <w:r w:rsidRPr="0032782E">
        <w:t xml:space="preserve"> Recurrente se inconformó </w:t>
      </w:r>
      <w:r w:rsidR="00674DAF" w:rsidRPr="0032782E">
        <w:t xml:space="preserve">de la </w:t>
      </w:r>
      <w:r w:rsidR="001255BD" w:rsidRPr="0032782E">
        <w:t>clasificación</w:t>
      </w:r>
      <w:r w:rsidR="00674DAF" w:rsidRPr="0032782E">
        <w:t xml:space="preserve"> de </w:t>
      </w:r>
      <w:r w:rsidR="001255BD" w:rsidRPr="0032782E">
        <w:t xml:space="preserve">la </w:t>
      </w:r>
      <w:r w:rsidR="00674DAF" w:rsidRPr="0032782E">
        <w:t>información.</w:t>
      </w:r>
    </w:p>
    <w:p w14:paraId="254B2F3C" w14:textId="77777777" w:rsidR="0030390C" w:rsidRPr="0032782E" w:rsidRDefault="0030390C" w:rsidP="00E873E0">
      <w:pPr>
        <w:pStyle w:val="Ttulo2"/>
        <w:spacing w:after="0"/>
        <w:rPr>
          <w:b w:val="0"/>
          <w:bCs/>
          <w:color w:val="auto"/>
          <w:sz w:val="22"/>
          <w:szCs w:val="22"/>
        </w:rPr>
      </w:pPr>
      <w:bookmarkStart w:id="13" w:name="_Toc192682705"/>
      <w:bookmarkStart w:id="14" w:name="_Toc193891143"/>
      <w:r w:rsidRPr="0032782E">
        <w:rPr>
          <w:bCs/>
          <w:color w:val="auto"/>
          <w:sz w:val="22"/>
          <w:szCs w:val="22"/>
        </w:rPr>
        <w:t>TERCERO. Causales de sobreseimiento</w:t>
      </w:r>
      <w:bookmarkEnd w:id="13"/>
      <w:bookmarkEnd w:id="14"/>
    </w:p>
    <w:p w14:paraId="505FD49C" w14:textId="77777777" w:rsidR="0030390C" w:rsidRPr="0032782E" w:rsidRDefault="0030390C" w:rsidP="00E873E0">
      <w:pPr>
        <w:spacing w:after="0" w:line="360" w:lineRule="auto"/>
        <w:rPr>
          <w:color w:val="0D0D0D"/>
        </w:rPr>
      </w:pPr>
    </w:p>
    <w:p w14:paraId="076C326A" w14:textId="77777777" w:rsidR="0030390C" w:rsidRPr="0032782E" w:rsidRDefault="0030390C" w:rsidP="00E873E0">
      <w:pPr>
        <w:spacing w:after="0" w:line="360" w:lineRule="auto"/>
        <w:rPr>
          <w:color w:val="0D0D0D"/>
        </w:rPr>
      </w:pPr>
      <w:r w:rsidRPr="0032782E">
        <w:rPr>
          <w:color w:val="0D0D0D"/>
        </w:rPr>
        <w:t>Por ser de previo y especial pronunciamiento, este Instituto analiza si se actualiza alguna causal de sobreseimiento.</w:t>
      </w:r>
    </w:p>
    <w:p w14:paraId="5CD6BE1C" w14:textId="77777777" w:rsidR="0030390C" w:rsidRPr="0032782E" w:rsidRDefault="0030390C" w:rsidP="00E873E0">
      <w:pPr>
        <w:spacing w:after="0" w:line="360" w:lineRule="auto"/>
        <w:rPr>
          <w:color w:val="0D0D0D"/>
        </w:rPr>
      </w:pPr>
    </w:p>
    <w:p w14:paraId="35481B74" w14:textId="77777777" w:rsidR="0030390C" w:rsidRPr="0032782E" w:rsidRDefault="0030390C" w:rsidP="00E873E0">
      <w:pPr>
        <w:spacing w:after="0" w:line="360" w:lineRule="auto"/>
      </w:pPr>
      <w:r w:rsidRPr="0032782E">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32782E">
        <w:rPr>
          <w:b/>
          <w:bCs/>
        </w:rPr>
        <w:t>que no se actualizan los supuestos de sobreseimiento previstos en las fracciones I, II, III y IV</w:t>
      </w:r>
      <w:r w:rsidRPr="0032782E">
        <w:t xml:space="preserve">, del artículo en comento, lo anterior, en virtud de que no hay constancias en el expediente en que se actúa, de que la persona Recurrente se haya desistido del recurso, haya fallecido, el Sujeto Obligado haya modificado o revoca el Recurso de Revisión, o bien, se haya actualizado alguna causal de improcedencia. </w:t>
      </w:r>
    </w:p>
    <w:p w14:paraId="2A51FE78" w14:textId="77777777" w:rsidR="0030390C" w:rsidRPr="0032782E" w:rsidRDefault="0030390C" w:rsidP="00E873E0">
      <w:pPr>
        <w:spacing w:after="0" w:line="360" w:lineRule="auto"/>
      </w:pPr>
    </w:p>
    <w:p w14:paraId="41ADC3FE" w14:textId="79590C4F" w:rsidR="0030390C" w:rsidRPr="0032782E" w:rsidRDefault="0030390C" w:rsidP="00E873E0">
      <w:pPr>
        <w:tabs>
          <w:tab w:val="left" w:pos="4962"/>
        </w:tabs>
        <w:spacing w:after="0" w:line="360" w:lineRule="auto"/>
        <w:contextualSpacing/>
        <w:rPr>
          <w:color w:val="000000"/>
        </w:rPr>
      </w:pPr>
      <w:r w:rsidRPr="0032782E">
        <w:t>No obstante</w:t>
      </w:r>
      <w:r w:rsidRPr="0032782E">
        <w:rPr>
          <w:lang w:val="es-ES"/>
        </w:rPr>
        <w:t xml:space="preserve">, por lo que hace a la fracción V, del artículo 192, de la Ley de la materia, es de señalar que el Sujeto Obligado por algún motivo dejó sin materia el Recurso de Revisión; por lo que, se estima procedente entrar al estudio de dicha causal de sobreseimiento, para lo cual, </w:t>
      </w:r>
      <w:r w:rsidRPr="0032782E">
        <w:rPr>
          <w:color w:val="000000"/>
        </w:rPr>
        <w:t xml:space="preserve">se desprende que el Particular requirió </w:t>
      </w:r>
      <w:r w:rsidR="00C547B9" w:rsidRPr="0032782E">
        <w:rPr>
          <w:color w:val="000000"/>
        </w:rPr>
        <w:t>la Nómina de la nueva administración con nombre, puesto y salario de Directores, Coordinadores, Regidores y Presidente Municipal.</w:t>
      </w:r>
    </w:p>
    <w:p w14:paraId="7A4035A9" w14:textId="77777777" w:rsidR="00C547B9" w:rsidRPr="0032782E" w:rsidRDefault="00C547B9" w:rsidP="00E873E0">
      <w:pPr>
        <w:spacing w:after="0" w:line="360" w:lineRule="auto"/>
        <w:rPr>
          <w:rFonts w:cs="Tahoma"/>
        </w:rPr>
      </w:pPr>
    </w:p>
    <w:p w14:paraId="0C5786F7" w14:textId="1F29429D" w:rsidR="00C547B9" w:rsidRPr="0032782E" w:rsidRDefault="00C547B9" w:rsidP="00E873E0">
      <w:pPr>
        <w:spacing w:after="0" w:line="360" w:lineRule="auto"/>
        <w:ind w:right="-28"/>
        <w:rPr>
          <w:rFonts w:cs="Tahoma"/>
          <w:bCs/>
          <w:lang w:val="es-ES"/>
        </w:rPr>
      </w:pPr>
      <w:r w:rsidRPr="0032782E">
        <w:rPr>
          <w:color w:val="000000"/>
        </w:rPr>
        <w:t>En respuesta, el Sujeto Obligado, a través del Titular de la Unidad de Transparencia mencionó que no podía entregar los recibos de nómina pues cont</w:t>
      </w:r>
      <w:r w:rsidR="00B052FB" w:rsidRPr="0032782E">
        <w:rPr>
          <w:color w:val="000000"/>
        </w:rPr>
        <w:t>enían</w:t>
      </w:r>
      <w:r w:rsidRPr="0032782E">
        <w:rPr>
          <w:color w:val="000000"/>
        </w:rPr>
        <w:t xml:space="preserve"> datos personales clasificados como confidenciales</w:t>
      </w:r>
      <w:r w:rsidRPr="0032782E">
        <w:rPr>
          <w:rFonts w:cs="Tahoma"/>
        </w:rPr>
        <w:t>;</w:t>
      </w:r>
      <w:r w:rsidRPr="0032782E">
        <w:t xml:space="preserve"> </w:t>
      </w:r>
      <w:r w:rsidRPr="0032782E">
        <w:rPr>
          <w:rFonts w:cs="Tahoma"/>
          <w:lang w:val="es-ES"/>
        </w:rPr>
        <w:t xml:space="preserve">ante dicha circunstancia, el Particular se inconformó de la </w:t>
      </w:r>
      <w:r w:rsidRPr="0032782E">
        <w:rPr>
          <w:rFonts w:cs="Tahoma"/>
          <w:lang w:val="es-ES"/>
        </w:rPr>
        <w:lastRenderedPageBreak/>
        <w:t xml:space="preserve">clasificación de la información, lo cual </w:t>
      </w:r>
      <w:r w:rsidRPr="0032782E">
        <w:rPr>
          <w:rFonts w:eastAsia="Calibri" w:cs="Tahoma"/>
        </w:rPr>
        <w:t>actualiza la causal de procedencia prevista en la fracción II, del artículo 179 de la Ley de Transparencia y Acceso a la Información Pública del Estado de México y Municipios</w:t>
      </w:r>
      <w:r w:rsidRPr="0032782E">
        <w:rPr>
          <w:rFonts w:cs="Tahoma"/>
          <w:bCs/>
          <w:lang w:val="es-ES"/>
        </w:rPr>
        <w:t xml:space="preserve">. Así las cosas, una vez admitido y notificado el Recurso de Revisión </w:t>
      </w:r>
      <w:r w:rsidRPr="0032782E">
        <w:rPr>
          <w:rFonts w:eastAsia="Calibri" w:cs="Tahoma"/>
        </w:rPr>
        <w:t xml:space="preserve">a las partes, estas fueron omisas en emitir manifestaciones o alegatos. </w:t>
      </w:r>
    </w:p>
    <w:p w14:paraId="0C2923FE" w14:textId="77777777" w:rsidR="0030390C" w:rsidRPr="0032782E" w:rsidRDefault="0030390C" w:rsidP="00E873E0">
      <w:pPr>
        <w:autoSpaceDE w:val="0"/>
        <w:autoSpaceDN w:val="0"/>
        <w:adjustRightInd w:val="0"/>
        <w:spacing w:after="0" w:line="360" w:lineRule="auto"/>
      </w:pPr>
    </w:p>
    <w:p w14:paraId="21568DA2" w14:textId="7927E315" w:rsidR="0030390C" w:rsidRPr="0032782E" w:rsidRDefault="0030390C" w:rsidP="00E873E0">
      <w:pPr>
        <w:autoSpaceDE w:val="0"/>
        <w:autoSpaceDN w:val="0"/>
        <w:adjustRightInd w:val="0"/>
        <w:spacing w:after="0" w:line="360" w:lineRule="auto"/>
      </w:pPr>
      <w:r w:rsidRPr="0032782E">
        <w:t>Lo anterior, se desprende de las documentales que obran en el expediente de referencia, materia de la presente resolución, consistente en: la solicitud de acceso a la información</w:t>
      </w:r>
      <w:r w:rsidR="00C547B9" w:rsidRPr="0032782E">
        <w:t xml:space="preserve"> y</w:t>
      </w:r>
      <w:r w:rsidRPr="0032782E">
        <w:t xml:space="preserve">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108448D6" w14:textId="77777777" w:rsidR="0030390C" w:rsidRPr="0032782E" w:rsidRDefault="0030390C" w:rsidP="00E873E0">
      <w:pPr>
        <w:spacing w:after="0" w:line="360" w:lineRule="auto"/>
        <w:rPr>
          <w:rFonts w:eastAsia="Times New Roman" w:cs="Tahoma"/>
          <w:b/>
          <w:bCs/>
          <w:iCs/>
          <w:color w:val="auto"/>
          <w:lang w:val="es-ES" w:eastAsia="es-ES"/>
        </w:rPr>
      </w:pPr>
    </w:p>
    <w:p w14:paraId="2DE3E39C" w14:textId="0CED509D" w:rsidR="00C547B9" w:rsidRPr="0032782E" w:rsidRDefault="00C547B9" w:rsidP="00E873E0">
      <w:pPr>
        <w:spacing w:after="0" w:line="360" w:lineRule="auto"/>
        <w:rPr>
          <w:color w:val="000000"/>
        </w:rPr>
      </w:pPr>
      <w:r w:rsidRPr="0032782E">
        <w:rPr>
          <w:rFonts w:cs="Tahoma"/>
          <w:bCs/>
          <w:iCs/>
        </w:rPr>
        <w:t>Expuestas las posturas de las partes, se procede analizar la causal de sobreseimiento, para lo cual es necesario contextualizar la solicitud de información, relacionada con la nómina</w:t>
      </w:r>
      <w:r w:rsidRPr="0032782E">
        <w:t xml:space="preserve">; sobre el tema, el </w:t>
      </w:r>
      <w:r w:rsidRPr="0032782E">
        <w:rPr>
          <w:color w:val="000000"/>
        </w:rPr>
        <w:t>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w:t>
      </w:r>
    </w:p>
    <w:p w14:paraId="3E1D605F" w14:textId="77777777" w:rsidR="00CD47E1" w:rsidRPr="0032782E" w:rsidRDefault="00CD47E1" w:rsidP="00E873E0">
      <w:pPr>
        <w:spacing w:after="0" w:line="360" w:lineRule="auto"/>
        <w:rPr>
          <w:color w:val="000000"/>
        </w:rPr>
      </w:pPr>
    </w:p>
    <w:p w14:paraId="0806F47B" w14:textId="77777777" w:rsidR="00CD47E1" w:rsidRPr="0032782E" w:rsidRDefault="00CD47E1" w:rsidP="00E873E0">
      <w:pPr>
        <w:spacing w:after="0" w:line="360" w:lineRule="auto"/>
        <w:rPr>
          <w:color w:val="000000"/>
        </w:rPr>
      </w:pPr>
      <w:r w:rsidRPr="0032782E">
        <w:rPr>
          <w:color w:val="000000"/>
        </w:rPr>
        <w:t>En orden de ideas, el artículo 3°, fracción LXVIII,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0DDDCF9B" w14:textId="77777777" w:rsidR="00CD47E1" w:rsidRPr="0032782E" w:rsidRDefault="00CD47E1" w:rsidP="00E873E0">
      <w:pPr>
        <w:spacing w:after="0" w:line="360" w:lineRule="auto"/>
      </w:pPr>
    </w:p>
    <w:p w14:paraId="11721446" w14:textId="77777777" w:rsidR="00CD47E1" w:rsidRPr="0032782E" w:rsidRDefault="00CD47E1" w:rsidP="00E873E0">
      <w:pPr>
        <w:spacing w:after="0" w:line="360" w:lineRule="auto"/>
        <w:rPr>
          <w:color w:val="000000"/>
        </w:rPr>
      </w:pPr>
      <w:r w:rsidRPr="0032782E">
        <w:rPr>
          <w:color w:val="000000"/>
        </w:rPr>
        <w:t xml:space="preserve">De la misma manera, el Manual para la Planeación, Programación y presupuesto de egresos Municipal para el ejercicio fiscal dos mil veinticinco, refiere que las remuneraciones consisten </w:t>
      </w:r>
      <w:r w:rsidRPr="0032782E">
        <w:rPr>
          <w:color w:val="000000"/>
        </w:rPr>
        <w:lastRenderedPageBreak/>
        <w:t>en la percepción de un trabajador o retribución monetaria que se da en pago por su servicio o actividad desarrollada.</w:t>
      </w:r>
    </w:p>
    <w:p w14:paraId="26C6DE79" w14:textId="77777777" w:rsidR="0067597C" w:rsidRPr="0032782E" w:rsidRDefault="0067597C" w:rsidP="00E873E0">
      <w:pPr>
        <w:spacing w:after="0" w:line="360" w:lineRule="auto"/>
        <w:rPr>
          <w:color w:val="000000"/>
        </w:rPr>
      </w:pPr>
    </w:p>
    <w:p w14:paraId="6080864A" w14:textId="5471167B" w:rsidR="00CD47E1" w:rsidRPr="0032782E" w:rsidRDefault="00CD47E1" w:rsidP="00E873E0">
      <w:pPr>
        <w:spacing w:after="0" w:line="360" w:lineRule="auto"/>
        <w:rPr>
          <w:color w:val="000000"/>
        </w:rPr>
      </w:pPr>
      <w:r w:rsidRPr="0032782E">
        <w:rPr>
          <w:color w:val="000000"/>
        </w:rPr>
        <w:t>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3DAC9BF3" w14:textId="77777777" w:rsidR="00CD47E1" w:rsidRPr="0032782E" w:rsidRDefault="00CD47E1" w:rsidP="00E873E0">
      <w:pPr>
        <w:spacing w:after="0" w:line="360" w:lineRule="auto"/>
        <w:rPr>
          <w:color w:val="000000"/>
        </w:rPr>
      </w:pPr>
    </w:p>
    <w:p w14:paraId="21E795AB" w14:textId="77777777" w:rsidR="00CD47E1" w:rsidRPr="0032782E" w:rsidRDefault="00CD47E1" w:rsidP="00E873E0">
      <w:pPr>
        <w:spacing w:after="0" w:line="360" w:lineRule="auto"/>
        <w:rPr>
          <w:b/>
          <w:color w:val="000000"/>
        </w:rPr>
      </w:pPr>
      <w:r w:rsidRPr="0032782E">
        <w:rPr>
          <w:color w:val="000000"/>
        </w:rPr>
        <w:t>Además, respecto al documento requerido, el Glosario localizado en la página de Transparencia Presupuestaria de la Secretaría de Hacienda y Crédito Público (</w:t>
      </w:r>
      <w:hyperlink r:id="rId9" w:history="1">
        <w:r w:rsidRPr="0032782E">
          <w:rPr>
            <w:color w:val="0000FF"/>
            <w:u w:val="single"/>
          </w:rPr>
          <w:t>http://www.transparenciapresupuestaria.gob.mx/es/PTP/Glosario</w:t>
        </w:r>
      </w:hyperlink>
      <w:r w:rsidRPr="0032782E">
        <w:rPr>
          <w:color w:val="000000"/>
        </w:rPr>
        <w:t xml:space="preserve">), establece que la </w:t>
      </w:r>
      <w:r w:rsidRPr="0032782E">
        <w:rPr>
          <w:b/>
          <w:color w:val="000000"/>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4C65732C" w14:textId="77777777" w:rsidR="00CD47E1" w:rsidRPr="0032782E" w:rsidRDefault="00CD47E1" w:rsidP="00E873E0">
      <w:pPr>
        <w:spacing w:after="0" w:line="360" w:lineRule="auto"/>
        <w:rPr>
          <w:b/>
          <w:color w:val="000000"/>
        </w:rPr>
      </w:pPr>
    </w:p>
    <w:p w14:paraId="6B0045B5" w14:textId="77777777" w:rsidR="00CD47E1" w:rsidRPr="0032782E" w:rsidRDefault="00CD47E1" w:rsidP="00E873E0">
      <w:pPr>
        <w:spacing w:after="0" w:line="360" w:lineRule="auto"/>
        <w:rPr>
          <w:color w:val="000000"/>
        </w:rPr>
      </w:pPr>
      <w:r w:rsidRPr="0032782E">
        <w:rPr>
          <w:color w:val="000000"/>
        </w:rPr>
        <w:t>De la misma manera, el Glosario de términos más usuales en la Administración Pública Federal, emitido por la Secretaría de Hacienda y Crédito Público (</w:t>
      </w:r>
      <w:hyperlink r:id="rId10" w:history="1">
        <w:r w:rsidRPr="0032782E">
          <w:rPr>
            <w:color w:val="0000FF"/>
            <w:u w:val="single"/>
          </w:rPr>
          <w:t>http://www.apartados.hacienda.gob.mx/contabilidad/documentos/informe_cuenta/1998/cuenta_pública/Glosario/n.htm</w:t>
        </w:r>
      </w:hyperlink>
      <w:r w:rsidRPr="0032782E">
        <w:rPr>
          <w:color w:val="000000"/>
        </w:rPr>
        <w:t xml:space="preserve">), establece que </w:t>
      </w:r>
      <w:r w:rsidRPr="0032782E">
        <w:rPr>
          <w:color w:val="000000"/>
          <w:u w:val="single"/>
        </w:rPr>
        <w:t>la nómina es un listado general</w:t>
      </w:r>
      <w:r w:rsidRPr="0032782E">
        <w:rPr>
          <w:color w:val="000000"/>
        </w:rPr>
        <w:t xml:space="preserve"> de los trabajadores de una institución, en el cual se asientan las percepciones brutas, deducciones y alcance neto de las mismas. Conforme a lo anterior, se puede advertir que la nómina se puede referir a lo siguiente:</w:t>
      </w:r>
    </w:p>
    <w:p w14:paraId="047F3216" w14:textId="77777777" w:rsidR="00CD47E1" w:rsidRPr="0032782E" w:rsidRDefault="00CD47E1" w:rsidP="00E873E0">
      <w:pPr>
        <w:spacing w:after="0" w:line="360" w:lineRule="auto"/>
        <w:rPr>
          <w:color w:val="000000"/>
        </w:rPr>
      </w:pPr>
    </w:p>
    <w:p w14:paraId="1EB116E3" w14:textId="77777777" w:rsidR="00CD47E1" w:rsidRPr="0032782E" w:rsidRDefault="00CD47E1" w:rsidP="00E873E0">
      <w:pPr>
        <w:numPr>
          <w:ilvl w:val="0"/>
          <w:numId w:val="22"/>
        </w:numPr>
        <w:spacing w:after="0" w:line="360" w:lineRule="auto"/>
        <w:contextualSpacing/>
        <w:rPr>
          <w:kern w:val="2"/>
          <w:szCs w:val="24"/>
          <w14:ligatures w14:val="standardContextual"/>
        </w:rPr>
      </w:pPr>
      <w:r w:rsidRPr="0032782E">
        <w:rPr>
          <w:kern w:val="2"/>
          <w:szCs w:val="24"/>
          <w14:ligatures w14:val="standardContextual"/>
        </w:rPr>
        <w:lastRenderedPageBreak/>
        <w:t xml:space="preserve">Relación de trabajadores con las percepciones monetarias de cada uno. </w:t>
      </w:r>
    </w:p>
    <w:p w14:paraId="0AC7D258" w14:textId="77777777" w:rsidR="00CD47E1" w:rsidRPr="0032782E" w:rsidRDefault="00CD47E1" w:rsidP="00E873E0">
      <w:pPr>
        <w:numPr>
          <w:ilvl w:val="0"/>
          <w:numId w:val="22"/>
        </w:numPr>
        <w:spacing w:after="0" w:line="360" w:lineRule="auto"/>
        <w:contextualSpacing/>
        <w:rPr>
          <w:kern w:val="2"/>
          <w:szCs w:val="24"/>
          <w14:ligatures w14:val="standardContextual"/>
        </w:rPr>
      </w:pPr>
      <w:r w:rsidRPr="0032782E">
        <w:rPr>
          <w:kern w:val="2"/>
          <w:szCs w:val="24"/>
          <w14:ligatures w14:val="standardContextual"/>
        </w:rPr>
        <w:t xml:space="preserve">Recibo individual que contiene las prestaciones y deducciones de un trabajador. </w:t>
      </w:r>
    </w:p>
    <w:p w14:paraId="2EDD1F36" w14:textId="77777777" w:rsidR="00CD47E1" w:rsidRPr="0032782E" w:rsidRDefault="00CD47E1" w:rsidP="00E873E0">
      <w:pPr>
        <w:numPr>
          <w:ilvl w:val="0"/>
          <w:numId w:val="22"/>
        </w:numPr>
        <w:spacing w:after="0" w:line="360" w:lineRule="auto"/>
        <w:contextualSpacing/>
        <w:rPr>
          <w:b/>
          <w:kern w:val="2"/>
          <w:szCs w:val="24"/>
          <w14:ligatures w14:val="standardContextual"/>
        </w:rPr>
      </w:pPr>
      <w:r w:rsidRPr="0032782E">
        <w:rPr>
          <w:b/>
          <w:kern w:val="2"/>
          <w:szCs w:val="24"/>
          <w14:ligatures w14:val="standardContextual"/>
        </w:rPr>
        <w:t>Listado general de los servidores públicos de una institución o dependencia, en el cual se asientan las percepciones brutas, deducciones y alcance neto de las mismas.</w:t>
      </w:r>
    </w:p>
    <w:p w14:paraId="740318A8" w14:textId="77777777" w:rsidR="00CD47E1" w:rsidRPr="0032782E" w:rsidRDefault="00CD47E1" w:rsidP="00E873E0">
      <w:pPr>
        <w:spacing w:after="0" w:line="360" w:lineRule="auto"/>
        <w:rPr>
          <w:color w:val="FF0000"/>
        </w:rPr>
      </w:pPr>
    </w:p>
    <w:p w14:paraId="60AD6BA7" w14:textId="0791AD66" w:rsidR="00B052FB" w:rsidRPr="0032782E" w:rsidRDefault="00B052FB" w:rsidP="00E873E0">
      <w:pPr>
        <w:spacing w:after="0" w:line="360" w:lineRule="auto"/>
      </w:pPr>
      <w:r w:rsidRPr="0032782E">
        <w:t>Además, el Manual de Procedimientos de la Tesorería Municipal de Huehuetoca, establece que la nómina, es el documento que contiene la plantilla de trabajadores que forman parte de una institución pública, en la cual se registran todos los datos referentes a los salarios, bonificaciones y deducciones de cada uno de estos, por un periodo solicitado.</w:t>
      </w:r>
    </w:p>
    <w:p w14:paraId="5FFF4538" w14:textId="77777777" w:rsidR="00B052FB" w:rsidRPr="0032782E" w:rsidRDefault="00B052FB" w:rsidP="00E873E0">
      <w:pPr>
        <w:spacing w:after="0" w:line="360" w:lineRule="auto"/>
        <w:rPr>
          <w:color w:val="FF0000"/>
        </w:rPr>
      </w:pPr>
    </w:p>
    <w:p w14:paraId="35D5CE28" w14:textId="06977790" w:rsidR="00CD47E1" w:rsidRPr="0032782E" w:rsidRDefault="00CD47E1" w:rsidP="00E873E0">
      <w:pPr>
        <w:spacing w:after="0" w:line="360" w:lineRule="auto"/>
        <w:rPr>
          <w:color w:val="000000"/>
          <w14:ligatures w14:val="standardContextual"/>
        </w:rPr>
      </w:pPr>
      <w:r w:rsidRPr="0032782E">
        <w:rPr>
          <w:color w:val="000000"/>
          <w14:ligatures w14:val="standardContextual"/>
        </w:rPr>
        <w:t xml:space="preserve">De tal circunstancia, se logra vislumbrar que la pretensión de la persona Recurrente, es obtener </w:t>
      </w:r>
      <w:r w:rsidR="00B052FB" w:rsidRPr="0032782E">
        <w:rPr>
          <w:color w:val="000000"/>
          <w14:ligatures w14:val="standardContextual"/>
        </w:rPr>
        <w:t>la nómina de los</w:t>
      </w:r>
      <w:r w:rsidRPr="0032782E">
        <w:rPr>
          <w:color w:val="000000"/>
          <w14:ligatures w14:val="standardContextual"/>
        </w:rPr>
        <w:t xml:space="preserve"> </w:t>
      </w:r>
      <w:r w:rsidR="00B052FB" w:rsidRPr="0032782E">
        <w:rPr>
          <w:color w:val="000000"/>
          <w14:ligatures w14:val="standardContextual"/>
        </w:rPr>
        <w:t>Directores, Coordinadores, Regidores y Presidente Municipal</w:t>
      </w:r>
      <w:r w:rsidR="00262DCD" w:rsidRPr="0032782E">
        <w:rPr>
          <w:color w:val="000000"/>
          <w14:ligatures w14:val="standardContextual"/>
        </w:rPr>
        <w:t>, de la administración 2025-2027.</w:t>
      </w:r>
    </w:p>
    <w:p w14:paraId="1F1C2EFF" w14:textId="77777777" w:rsidR="00935E4C" w:rsidRPr="0032782E" w:rsidRDefault="00935E4C" w:rsidP="00E873E0">
      <w:pPr>
        <w:spacing w:after="0" w:line="360" w:lineRule="auto"/>
        <w:rPr>
          <w:color w:val="000000"/>
          <w14:ligatures w14:val="standardContextual"/>
        </w:rPr>
      </w:pPr>
    </w:p>
    <w:p w14:paraId="2B453B59" w14:textId="77777777" w:rsidR="00935E4C" w:rsidRPr="0032782E" w:rsidRDefault="00935E4C" w:rsidP="00E873E0">
      <w:pPr>
        <w:spacing w:after="0" w:line="360" w:lineRule="auto"/>
        <w:ind w:right="-28"/>
        <w:contextualSpacing/>
        <w:rPr>
          <w:rFonts w:cs="Tahoma"/>
          <w:iCs/>
        </w:rPr>
      </w:pPr>
      <w:r w:rsidRPr="0032782E">
        <w:rPr>
          <w:rFonts w:cs="Tahoma"/>
          <w:iCs/>
        </w:rPr>
        <w:t>En ese contexto, del análisis e interpretación del artículo 57, fracción V, de la Ley del Trabajo de los Servidores Públicos del Estado y Municipios, se logra vislumbrar que a los trabajadores gubernamentales se les deben pagar sus sueldos de manera quincenal, al señalar que dicho pago no puede realizar en un plazo mayor de quince días.</w:t>
      </w:r>
    </w:p>
    <w:p w14:paraId="1A028819" w14:textId="77777777" w:rsidR="00935E4C" w:rsidRPr="0032782E" w:rsidRDefault="00935E4C" w:rsidP="00E873E0">
      <w:pPr>
        <w:spacing w:after="0" w:line="360" w:lineRule="auto"/>
        <w:rPr>
          <w:color w:val="000000"/>
        </w:rPr>
      </w:pPr>
    </w:p>
    <w:p w14:paraId="543B64B6" w14:textId="78F7E5A7" w:rsidR="00262DCD" w:rsidRPr="0032782E" w:rsidRDefault="00935E4C" w:rsidP="00E873E0">
      <w:pPr>
        <w:spacing w:after="0" w:line="360" w:lineRule="auto"/>
        <w:rPr>
          <w:color w:val="000000"/>
        </w:rPr>
      </w:pPr>
      <w:r w:rsidRPr="0032782E">
        <w:rPr>
          <w:color w:val="000000"/>
        </w:rPr>
        <w:t>En otras palabras, a los servidores públicos Estatales o Municipales del Estado de México, se le</w:t>
      </w:r>
      <w:r w:rsidR="004A31A6" w:rsidRPr="0032782E">
        <w:rPr>
          <w:color w:val="000000"/>
        </w:rPr>
        <w:t>s</w:t>
      </w:r>
      <w:r w:rsidRPr="0032782E">
        <w:rPr>
          <w:color w:val="000000"/>
        </w:rPr>
        <w:t xml:space="preserve"> deben pagar quincenalmente sus sueldos y salarios;</w:t>
      </w:r>
      <w:r w:rsidR="00262DCD" w:rsidRPr="0032782E">
        <w:rPr>
          <w:color w:val="000000"/>
        </w:rPr>
        <w:t xml:space="preserve"> lo cual se robustece pues del procedimiento “Elaboración y Pago de Nómina” del Manual de Procedimientos de la Tesorería Municipal, se logra vislumbrar que el Ayuntamiento realiza el procedimiento, con base al reporte quincenal de incidencia</w:t>
      </w:r>
      <w:r w:rsidR="000B0D2B" w:rsidRPr="0032782E">
        <w:rPr>
          <w:color w:val="000000"/>
        </w:rPr>
        <w:t>, es decir, que cada quince días se realiza el pago de nómina.</w:t>
      </w:r>
    </w:p>
    <w:p w14:paraId="06ABBA78" w14:textId="77777777" w:rsidR="00262DCD" w:rsidRPr="0032782E" w:rsidRDefault="00262DCD" w:rsidP="00E873E0">
      <w:pPr>
        <w:spacing w:after="0" w:line="360" w:lineRule="auto"/>
        <w:rPr>
          <w:color w:val="000000"/>
        </w:rPr>
      </w:pPr>
    </w:p>
    <w:p w14:paraId="6E2BD47C" w14:textId="63605D39" w:rsidR="00935E4C" w:rsidRPr="0032782E" w:rsidRDefault="000B0D2B" w:rsidP="00E873E0">
      <w:pPr>
        <w:spacing w:after="0" w:line="360" w:lineRule="auto"/>
        <w:rPr>
          <w:color w:val="000000"/>
        </w:rPr>
      </w:pPr>
      <w:r w:rsidRPr="0032782E">
        <w:rPr>
          <w:color w:val="000000"/>
        </w:rPr>
        <w:lastRenderedPageBreak/>
        <w:t>Ahora bien</w:t>
      </w:r>
      <w:r w:rsidR="00935E4C" w:rsidRPr="0032782E">
        <w:rPr>
          <w:color w:val="000000"/>
        </w:rPr>
        <w:t xml:space="preserve">, es necesario señalar que la persona Particular, por una parte, requirió la información de la actual Administración y, por otra parte, la solicitud se presentó el </w:t>
      </w:r>
      <w:r w:rsidR="00935E4C" w:rsidRPr="0032782E">
        <w:rPr>
          <w:b/>
          <w:color w:val="000000"/>
        </w:rPr>
        <w:t>trece de enero de dos mil veinticinco</w:t>
      </w:r>
      <w:r w:rsidR="00935E4C" w:rsidRPr="0032782E">
        <w:rPr>
          <w:color w:val="000000"/>
        </w:rPr>
        <w:t>.</w:t>
      </w:r>
    </w:p>
    <w:p w14:paraId="22839C19" w14:textId="77777777" w:rsidR="00935E4C" w:rsidRPr="0032782E" w:rsidRDefault="00935E4C" w:rsidP="00E873E0">
      <w:pPr>
        <w:spacing w:after="0" w:line="360" w:lineRule="auto"/>
        <w:rPr>
          <w:color w:val="000000"/>
        </w:rPr>
      </w:pPr>
    </w:p>
    <w:p w14:paraId="2E083915" w14:textId="0EF41DD0" w:rsidR="00935E4C" w:rsidRPr="0032782E" w:rsidRDefault="00935E4C" w:rsidP="00E873E0">
      <w:pPr>
        <w:spacing w:after="0" w:line="360" w:lineRule="auto"/>
      </w:pPr>
      <w:r w:rsidRPr="0032782E">
        <w:rPr>
          <w:color w:val="000000"/>
        </w:rPr>
        <w:t xml:space="preserve">Así, de lo anterior se advierte que a la fecha de la solicitud, no se había realizado el pago de </w:t>
      </w:r>
      <w:r w:rsidR="000B0D2B" w:rsidRPr="0032782E">
        <w:rPr>
          <w:color w:val="000000"/>
        </w:rPr>
        <w:t>remuneraciones</w:t>
      </w:r>
      <w:r w:rsidRPr="0032782E">
        <w:rPr>
          <w:color w:val="000000"/>
        </w:rPr>
        <w:t xml:space="preserve"> de la primera quincena de enero de dos mil veinticinco y por lo tanto, no exist</w:t>
      </w:r>
      <w:r w:rsidR="000B0D2B" w:rsidRPr="0032782E">
        <w:rPr>
          <w:color w:val="000000"/>
        </w:rPr>
        <w:t>ía</w:t>
      </w:r>
      <w:r w:rsidRPr="0032782E">
        <w:rPr>
          <w:color w:val="000000"/>
        </w:rPr>
        <w:t xml:space="preserve"> </w:t>
      </w:r>
      <w:r w:rsidR="000B0D2B" w:rsidRPr="0032782E">
        <w:rPr>
          <w:color w:val="000000"/>
        </w:rPr>
        <w:t>a dicha fecha la nómina</w:t>
      </w:r>
      <w:r w:rsidRPr="0032782E">
        <w:rPr>
          <w:color w:val="000000"/>
        </w:rPr>
        <w:t xml:space="preserve">; </w:t>
      </w:r>
      <w:r w:rsidRPr="0032782E">
        <w:t>sobre el tema,</w:t>
      </w:r>
      <w:r w:rsidR="0067597C" w:rsidRPr="0032782E">
        <w:t xml:space="preserve"> cabe traer a colación</w:t>
      </w:r>
      <w:r w:rsidRPr="0032782E">
        <w:t xml:space="preserve"> el Criterio </w:t>
      </w:r>
      <w:r w:rsidR="0067597C" w:rsidRPr="0032782E">
        <w:t xml:space="preserve">Orientador </w:t>
      </w:r>
      <w:r w:rsidRPr="0032782E">
        <w:t xml:space="preserve">SO/014/2017, emitido por el </w:t>
      </w:r>
      <w:r w:rsidR="0067597C" w:rsidRPr="0032782E">
        <w:t xml:space="preserve">entonces </w:t>
      </w:r>
      <w:r w:rsidRPr="0032782E">
        <w:t>Instituto Nacional de Transparencia, Acceso a la Información Pública y Protección de Datos Personales en el Estado de México y Municipios,</w:t>
      </w:r>
      <w:r w:rsidR="0067597C" w:rsidRPr="0032782E">
        <w:t xml:space="preserve"> vigente a la fecha de la solicitud,</w:t>
      </w:r>
      <w:r w:rsidRPr="0032782E">
        <w:t xml:space="preserve"> el cual precisa que la inexistencia de la información, es una cuestión de hecho que se le atribuye a la misma, cuando ésta no se encuentra en los archivos del sujeto obligado. </w:t>
      </w:r>
    </w:p>
    <w:p w14:paraId="0C82B7D8" w14:textId="77777777" w:rsidR="00935E4C" w:rsidRPr="0032782E" w:rsidRDefault="00935E4C" w:rsidP="00E873E0">
      <w:pPr>
        <w:spacing w:after="0" w:line="360" w:lineRule="auto"/>
        <w:ind w:right="-30"/>
      </w:pPr>
    </w:p>
    <w:p w14:paraId="0DD38B73" w14:textId="77777777" w:rsidR="00935E4C" w:rsidRPr="0032782E" w:rsidRDefault="00935E4C" w:rsidP="00E873E0">
      <w:pPr>
        <w:spacing w:after="0" w:line="360" w:lineRule="auto"/>
        <w:ind w:right="-30"/>
      </w:pPr>
      <w:r w:rsidRPr="0032782E">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0799742D" w14:textId="77777777" w:rsidR="00935E4C" w:rsidRPr="0032782E" w:rsidRDefault="00935E4C" w:rsidP="00E873E0">
      <w:pPr>
        <w:spacing w:after="0" w:line="360" w:lineRule="auto"/>
        <w:ind w:right="-30"/>
      </w:pPr>
    </w:p>
    <w:p w14:paraId="250A9B12" w14:textId="77777777" w:rsidR="00935E4C" w:rsidRPr="0032782E" w:rsidRDefault="00935E4C" w:rsidP="00E873E0">
      <w:pPr>
        <w:spacing w:after="0" w:line="360" w:lineRule="auto"/>
        <w:contextualSpacing/>
      </w:pPr>
      <w:r w:rsidRPr="0032782E">
        <w:t xml:space="preserve">Así, es posible concluir que la </w:t>
      </w:r>
      <w:r w:rsidRPr="0032782E">
        <w:rPr>
          <w:b/>
          <w:bCs/>
        </w:rPr>
        <w:t>inexistencia</w:t>
      </w:r>
      <w:r w:rsidRPr="0032782E">
        <w:t xml:space="preserve"> presupone la competencia del sujeto obligado para conocer de la información, pero por alguna circunstancia, la documentación solicitada no obra en sus archivos; lo cual acontece en el presente caso, pues como ya se refirió en párrafos anteriores, a la fecha de la solicitud no se había generado la nómina del personal, al no haberse realizado el pago de la primera quincena de enero de dos mil veinticinco.</w:t>
      </w:r>
    </w:p>
    <w:p w14:paraId="22EBC846" w14:textId="77777777" w:rsidR="00935E4C" w:rsidRPr="0032782E" w:rsidRDefault="00935E4C" w:rsidP="00E873E0">
      <w:pPr>
        <w:spacing w:after="0" w:line="360" w:lineRule="auto"/>
        <w:contextualSpacing/>
      </w:pPr>
    </w:p>
    <w:p w14:paraId="4A6EEAE3" w14:textId="77777777" w:rsidR="00935E4C" w:rsidRPr="0032782E" w:rsidRDefault="00935E4C" w:rsidP="00E873E0">
      <w:pPr>
        <w:spacing w:after="0" w:line="360" w:lineRule="auto"/>
        <w:contextualSpacing/>
      </w:pPr>
      <w:r w:rsidRPr="0032782E">
        <w:t xml:space="preserve">En otras palabras, en el presente caso, la inexistencia, es por una cuestión de hecho, consistente en la temporalidad de la presentación de la solicitud, pues la presente </w:t>
      </w:r>
      <w:r w:rsidRPr="0032782E">
        <w:lastRenderedPageBreak/>
        <w:t>administración inicio funciones el primero de enero de dos mil veinticinco, por lo que, la primera quincena concluyo el quince de dicho mes y años, dos días posteriores a la presentación del requerimiento de información.</w:t>
      </w:r>
    </w:p>
    <w:p w14:paraId="1C35EEEB" w14:textId="77777777" w:rsidR="00935E4C" w:rsidRPr="0032782E" w:rsidRDefault="00935E4C" w:rsidP="00E873E0">
      <w:pPr>
        <w:spacing w:after="0" w:line="360" w:lineRule="auto"/>
        <w:contextualSpacing/>
      </w:pPr>
    </w:p>
    <w:p w14:paraId="5C1B68CA" w14:textId="5089E813" w:rsidR="00935E4C" w:rsidRPr="0032782E" w:rsidRDefault="00935E4C" w:rsidP="00E873E0">
      <w:pPr>
        <w:spacing w:after="0" w:line="360" w:lineRule="auto"/>
        <w:contextualSpacing/>
        <w:rPr>
          <w:rFonts w:cs="Tahoma"/>
        </w:rPr>
      </w:pPr>
      <w:r w:rsidRPr="0032782E">
        <w:t>Lo cual toma relevancia, pues conforme al artículo 12 y 160 de la Ley de Transparencia y Acceso a la Información Pública, los Sujetos Obligados únicamente se encuentran constreñidos a proporcionar la información que obraba en sus archivos a la fecha de la solicitud; situación que no acontece en el presente caso, pues como ya</w:t>
      </w:r>
      <w:r w:rsidR="004A31A6" w:rsidRPr="0032782E">
        <w:t xml:space="preserve"> se mencionó no se había generado</w:t>
      </w:r>
      <w:r w:rsidRPr="0032782E">
        <w:t xml:space="preserve"> el pago de nómina quincenal.</w:t>
      </w:r>
    </w:p>
    <w:p w14:paraId="228FE8CC" w14:textId="77777777" w:rsidR="00935E4C" w:rsidRPr="0032782E" w:rsidRDefault="00935E4C" w:rsidP="00E873E0">
      <w:pPr>
        <w:spacing w:after="0" w:line="360" w:lineRule="auto"/>
        <w:contextualSpacing/>
        <w:rPr>
          <w:rFonts w:cs="Tahoma"/>
          <w:lang w:val="es-ES"/>
        </w:rPr>
      </w:pPr>
    </w:p>
    <w:p w14:paraId="17EAE8D7" w14:textId="0F0407DB" w:rsidR="0030390C" w:rsidRPr="0032782E" w:rsidRDefault="000B0D2B" w:rsidP="00E873E0">
      <w:pPr>
        <w:spacing w:after="0" w:line="360" w:lineRule="auto"/>
        <w:rPr>
          <w:rFonts w:eastAsia="Calibri" w:cs="Tahoma"/>
          <w:b/>
          <w:bCs/>
          <w:lang w:eastAsia="en-US"/>
        </w:rPr>
      </w:pPr>
      <w:r w:rsidRPr="0032782E">
        <w:rPr>
          <w:rFonts w:eastAsia="Calibri" w:cs="Tahoma"/>
          <w:bCs/>
          <w:lang w:eastAsia="en-US"/>
        </w:rPr>
        <w:t>De tal suerte,</w:t>
      </w:r>
      <w:r w:rsidR="00935E4C" w:rsidRPr="0032782E">
        <w:rPr>
          <w:rFonts w:eastAsia="Calibri" w:cs="Tahoma"/>
          <w:bCs/>
          <w:lang w:eastAsia="en-US"/>
        </w:rPr>
        <w:t xml:space="preserve"> si bien el Sujeto Obligado</w:t>
      </w:r>
      <w:r w:rsidR="00E873E0" w:rsidRPr="0032782E">
        <w:rPr>
          <w:rFonts w:eastAsia="Calibri" w:cs="Tahoma"/>
          <w:bCs/>
          <w:lang w:eastAsia="en-US"/>
        </w:rPr>
        <w:t>, en respuesta,</w:t>
      </w:r>
      <w:r w:rsidR="00935E4C" w:rsidRPr="0032782E">
        <w:rPr>
          <w:rFonts w:eastAsia="Calibri" w:cs="Tahoma"/>
          <w:bCs/>
          <w:lang w:eastAsia="en-US"/>
        </w:rPr>
        <w:t xml:space="preserve"> no </w:t>
      </w:r>
      <w:r w:rsidR="004A31A6" w:rsidRPr="0032782E">
        <w:rPr>
          <w:rFonts w:eastAsia="Calibri" w:cs="Tahoma"/>
          <w:bCs/>
          <w:lang w:eastAsia="en-US"/>
        </w:rPr>
        <w:t xml:space="preserve">entregó la información solicitada por contener datos </w:t>
      </w:r>
      <w:r w:rsidR="00E873E0" w:rsidRPr="0032782E">
        <w:rPr>
          <w:rFonts w:eastAsia="Calibri" w:cs="Tahoma"/>
          <w:bCs/>
          <w:lang w:eastAsia="en-US"/>
        </w:rPr>
        <w:t>confidenciales y en su Informe Justificado fue omiso en pronunciarse</w:t>
      </w:r>
      <w:r w:rsidR="00935E4C" w:rsidRPr="0032782E">
        <w:rPr>
          <w:rFonts w:eastAsia="Calibri" w:cs="Tahoma"/>
          <w:bCs/>
          <w:lang w:eastAsia="en-US"/>
        </w:rPr>
        <w:t xml:space="preserve">, </w:t>
      </w:r>
      <w:r w:rsidRPr="0032782E">
        <w:rPr>
          <w:rFonts w:eastAsia="Calibri" w:cs="Tahoma"/>
          <w:bCs/>
          <w:lang w:eastAsia="en-US"/>
        </w:rPr>
        <w:t xml:space="preserve">esta situación </w:t>
      </w:r>
      <w:r w:rsidR="00935E4C" w:rsidRPr="0032782E">
        <w:rPr>
          <w:rFonts w:eastAsia="Calibri" w:cs="Tahoma"/>
          <w:bCs/>
          <w:lang w:eastAsia="en-US"/>
        </w:rPr>
        <w:t xml:space="preserve">no abonaría y resultará inútil ordenar al Sujeto Obligado a realizar una búsqueda de información, que como ya se mencionó a la fecha de la solicitud, resultaba inexistente; esto es, en nada abonaría a la transparencia ordenar un pronunciamiento de inexistencia por parte del Sujeto Obligado, pues el Particular no recibirá lo peticionado al no obrar en sus archivos, lo cual da como resultado que </w:t>
      </w:r>
      <w:r w:rsidR="00935E4C" w:rsidRPr="0032782E">
        <w:rPr>
          <w:rFonts w:eastAsia="Calibri" w:cs="Tahoma"/>
          <w:b/>
          <w:bCs/>
          <w:lang w:eastAsia="en-US"/>
        </w:rPr>
        <w:t>la impugnación que se dirime ha quedado sin materia.</w:t>
      </w:r>
    </w:p>
    <w:p w14:paraId="207823F3" w14:textId="77777777" w:rsidR="00E873E0" w:rsidRPr="0032782E" w:rsidRDefault="00E873E0" w:rsidP="00E873E0">
      <w:pPr>
        <w:spacing w:after="0" w:line="360" w:lineRule="auto"/>
        <w:rPr>
          <w:rFonts w:eastAsia="Calibri" w:cs="Tahoma"/>
          <w:b/>
          <w:bCs/>
          <w:lang w:eastAsia="en-US"/>
        </w:rPr>
      </w:pPr>
    </w:p>
    <w:p w14:paraId="676EC82A" w14:textId="77777777" w:rsidR="00E873E0" w:rsidRPr="0032782E" w:rsidRDefault="00E873E0" w:rsidP="00E873E0">
      <w:pPr>
        <w:pStyle w:val="Ttulo2"/>
        <w:spacing w:before="0" w:after="0" w:line="360" w:lineRule="auto"/>
        <w:rPr>
          <w:b w:val="0"/>
          <w:bCs/>
          <w:color w:val="auto"/>
          <w:sz w:val="22"/>
          <w:szCs w:val="22"/>
        </w:rPr>
      </w:pPr>
      <w:bookmarkStart w:id="15" w:name="_Toc192682706"/>
      <w:bookmarkStart w:id="16" w:name="_Toc193891144"/>
      <w:r w:rsidRPr="0032782E">
        <w:rPr>
          <w:bCs/>
          <w:color w:val="auto"/>
          <w:sz w:val="22"/>
          <w:szCs w:val="22"/>
        </w:rPr>
        <w:t>CUARTO. Decisión</w:t>
      </w:r>
      <w:bookmarkEnd w:id="15"/>
      <w:bookmarkEnd w:id="16"/>
    </w:p>
    <w:p w14:paraId="2001CF59" w14:textId="77777777" w:rsidR="00E873E0" w:rsidRPr="0032782E" w:rsidRDefault="00E873E0" w:rsidP="00E873E0">
      <w:pPr>
        <w:spacing w:after="0" w:line="360" w:lineRule="auto"/>
        <w:rPr>
          <w:b/>
        </w:rPr>
      </w:pPr>
    </w:p>
    <w:p w14:paraId="007C45E1" w14:textId="77777777" w:rsidR="00E873E0" w:rsidRPr="0032782E" w:rsidRDefault="00E873E0" w:rsidP="00E873E0">
      <w:pPr>
        <w:spacing w:after="0" w:line="360" w:lineRule="auto"/>
        <w:contextualSpacing/>
        <w:rPr>
          <w:rFonts w:cs="Tahoma"/>
          <w:bCs/>
          <w:iCs/>
        </w:rPr>
      </w:pPr>
      <w:r w:rsidRPr="0032782E">
        <w:rPr>
          <w:rFonts w:cs="Tahoma"/>
          <w:bCs/>
          <w:iCs/>
        </w:rPr>
        <w:t xml:space="preserve">Con fundamento en lo dispuesto en el artículo 186, fracción I, de la Ley de Transparencia y Acceso a la Información Pública del Estado de México y Municipios, se considera procedente </w:t>
      </w:r>
      <w:r w:rsidRPr="0032782E">
        <w:rPr>
          <w:rFonts w:cs="Tahoma"/>
          <w:b/>
          <w:bCs/>
          <w:iCs/>
        </w:rPr>
        <w:t xml:space="preserve">SOBRESEER </w:t>
      </w:r>
      <w:r w:rsidRPr="0032782E">
        <w:rPr>
          <w:rFonts w:cs="Tahoma"/>
          <w:bCs/>
          <w:iCs/>
        </w:rPr>
        <w:t>el Recurso de Revisión, en virtud de que se actualiza la hipótesis normativa prevista en la fracción V, del artículo 192, del citado ordenamiento legal.</w:t>
      </w:r>
    </w:p>
    <w:p w14:paraId="3BB7C6C3" w14:textId="77777777" w:rsidR="00E873E0" w:rsidRPr="0032782E" w:rsidRDefault="00E873E0" w:rsidP="00E873E0">
      <w:pPr>
        <w:spacing w:after="0" w:line="360" w:lineRule="auto"/>
        <w:rPr>
          <w:rFonts w:cs="Tahoma"/>
          <w:bCs/>
          <w:iCs/>
        </w:rPr>
      </w:pPr>
    </w:p>
    <w:p w14:paraId="1450FA64" w14:textId="77777777" w:rsidR="00E873E0" w:rsidRPr="0032782E" w:rsidRDefault="00E873E0" w:rsidP="00E873E0">
      <w:pPr>
        <w:spacing w:after="0" w:line="360" w:lineRule="auto"/>
        <w:rPr>
          <w:b/>
        </w:rPr>
      </w:pPr>
      <w:r w:rsidRPr="0032782E">
        <w:rPr>
          <w:b/>
        </w:rPr>
        <w:lastRenderedPageBreak/>
        <w:t>Términos de la Resolución para conocimiento del Particular</w:t>
      </w:r>
    </w:p>
    <w:p w14:paraId="01A27B37" w14:textId="77777777" w:rsidR="00E873E0" w:rsidRPr="0032782E" w:rsidRDefault="00E873E0" w:rsidP="00E873E0">
      <w:pPr>
        <w:spacing w:after="0" w:line="360" w:lineRule="auto"/>
        <w:rPr>
          <w:b/>
        </w:rPr>
      </w:pPr>
    </w:p>
    <w:p w14:paraId="0EBF273E" w14:textId="6FB8AC3B" w:rsidR="00E873E0" w:rsidRPr="0032782E" w:rsidRDefault="00E873E0" w:rsidP="004442FE">
      <w:pPr>
        <w:spacing w:after="0" w:line="360" w:lineRule="auto"/>
        <w:ind w:right="-28"/>
        <w:contextualSpacing/>
        <w:rPr>
          <w:rFonts w:eastAsia="Calibri" w:cs="Tahoma"/>
          <w:bCs/>
          <w:lang w:eastAsia="en-US"/>
        </w:rPr>
      </w:pPr>
      <w:bookmarkStart w:id="17" w:name="_heading=h.1fob9te"/>
      <w:bookmarkEnd w:id="17"/>
      <w:r w:rsidRPr="0032782E">
        <w:t>Se le hace del conocimiento al Particular, que, en el presente caso, no se le conc</w:t>
      </w:r>
      <w:r w:rsidR="004442FE" w:rsidRPr="0032782E">
        <w:t>ede la razón, pues si bien en</w:t>
      </w:r>
      <w:r w:rsidRPr="0032782E">
        <w:t xml:space="preserve"> respuesta el Sujeto Obligado </w:t>
      </w:r>
      <w:r w:rsidR="004442FE" w:rsidRPr="0032782E">
        <w:t xml:space="preserve">no </w:t>
      </w:r>
      <w:r w:rsidRPr="0032782E">
        <w:t>proporcionó la informació</w:t>
      </w:r>
      <w:r w:rsidR="004442FE" w:rsidRPr="0032782E">
        <w:t xml:space="preserve">n solicitada en versión pública, </w:t>
      </w:r>
      <w:r w:rsidR="004442FE" w:rsidRPr="0032782E">
        <w:rPr>
          <w:rFonts w:eastAsia="Calibri" w:cs="Tahoma"/>
          <w:bCs/>
          <w:lang w:eastAsia="en-US"/>
        </w:rPr>
        <w:t xml:space="preserve">no abonaría y resultará inútil ordenar al Sujeto Obligado a realizar una búsqueda de información, que como ya se mencionó a la fecha de la solicitud era inexistente. </w:t>
      </w:r>
    </w:p>
    <w:p w14:paraId="1AB4355E" w14:textId="77777777" w:rsidR="004442FE" w:rsidRPr="0032782E" w:rsidRDefault="004442FE" w:rsidP="004442FE">
      <w:pPr>
        <w:spacing w:after="0" w:line="360" w:lineRule="auto"/>
        <w:ind w:right="-28"/>
        <w:contextualSpacing/>
      </w:pPr>
    </w:p>
    <w:p w14:paraId="56512E3E" w14:textId="77777777" w:rsidR="00E873E0" w:rsidRPr="0032782E" w:rsidRDefault="00E873E0" w:rsidP="00E873E0">
      <w:pPr>
        <w:spacing w:after="0" w:line="360" w:lineRule="auto"/>
        <w:ind w:right="-28"/>
        <w:rPr>
          <w:rFonts w:eastAsia="Calibri" w:cs="Tahoma"/>
        </w:rPr>
      </w:pPr>
      <w:r w:rsidRPr="0032782E">
        <w:rPr>
          <w:rFonts w:eastAsia="Calibri" w:cs="Tahoma"/>
          <w:bCs/>
          <w:iCs/>
          <w:color w:val="auto"/>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0367EDA0" w14:textId="77777777" w:rsidR="00E873E0" w:rsidRPr="0032782E" w:rsidRDefault="00E873E0" w:rsidP="00E873E0">
      <w:pPr>
        <w:spacing w:after="0" w:line="360" w:lineRule="auto"/>
      </w:pPr>
    </w:p>
    <w:p w14:paraId="4513B238" w14:textId="77777777" w:rsidR="00E873E0" w:rsidRPr="0032782E" w:rsidRDefault="00E873E0" w:rsidP="00E873E0">
      <w:pPr>
        <w:spacing w:after="0" w:line="360" w:lineRule="auto"/>
      </w:pPr>
      <w:r w:rsidRPr="0032782E">
        <w:t>Por lo expuesto y fundado, este Pleno:</w:t>
      </w:r>
    </w:p>
    <w:p w14:paraId="1FA8F6CC" w14:textId="77777777" w:rsidR="00E873E0" w:rsidRPr="0032782E" w:rsidRDefault="00E873E0" w:rsidP="00E873E0">
      <w:pPr>
        <w:spacing w:after="0" w:line="360" w:lineRule="auto"/>
      </w:pPr>
    </w:p>
    <w:p w14:paraId="3010AB87" w14:textId="77777777" w:rsidR="00E873E0" w:rsidRPr="0032782E" w:rsidRDefault="00E873E0" w:rsidP="00E873E0">
      <w:pPr>
        <w:pStyle w:val="Ttulo1"/>
        <w:spacing w:before="0" w:after="0" w:line="360" w:lineRule="auto"/>
        <w:jc w:val="center"/>
        <w:rPr>
          <w:b w:val="0"/>
          <w:bCs/>
          <w:color w:val="auto"/>
          <w:sz w:val="22"/>
          <w:szCs w:val="22"/>
        </w:rPr>
      </w:pPr>
      <w:bookmarkStart w:id="18" w:name="_Toc192682708"/>
      <w:bookmarkStart w:id="19" w:name="_Toc193891145"/>
      <w:r w:rsidRPr="0032782E">
        <w:rPr>
          <w:bCs/>
          <w:color w:val="auto"/>
          <w:sz w:val="22"/>
          <w:szCs w:val="22"/>
        </w:rPr>
        <w:t>R E S U E L V E</w:t>
      </w:r>
      <w:bookmarkEnd w:id="18"/>
      <w:bookmarkEnd w:id="19"/>
    </w:p>
    <w:p w14:paraId="0A913576" w14:textId="77777777" w:rsidR="00E873E0" w:rsidRPr="0032782E" w:rsidRDefault="00E873E0" w:rsidP="00E873E0">
      <w:pPr>
        <w:spacing w:after="0" w:line="360" w:lineRule="auto"/>
      </w:pPr>
    </w:p>
    <w:p w14:paraId="7FBC940E" w14:textId="5A94E4EB" w:rsidR="00E873E0" w:rsidRPr="0032782E" w:rsidRDefault="00E873E0" w:rsidP="00E873E0">
      <w:pPr>
        <w:spacing w:after="0" w:line="360" w:lineRule="auto"/>
        <w:contextualSpacing/>
        <w:rPr>
          <w:rFonts w:cs="Tahoma"/>
          <w:b/>
          <w:bCs/>
        </w:rPr>
      </w:pPr>
      <w:r w:rsidRPr="0032782E">
        <w:rPr>
          <w:rFonts w:cs="Tahoma"/>
          <w:b/>
          <w:bCs/>
        </w:rPr>
        <w:t xml:space="preserve">PRIMERO. </w:t>
      </w:r>
      <w:r w:rsidRPr="0032782E">
        <w:rPr>
          <w:rFonts w:cs="Tahoma"/>
        </w:rPr>
        <w:t xml:space="preserve">Se </w:t>
      </w:r>
      <w:r w:rsidRPr="0032782E">
        <w:rPr>
          <w:rFonts w:cs="Tahoma"/>
          <w:b/>
          <w:bCs/>
        </w:rPr>
        <w:t xml:space="preserve">SOBRESEE </w:t>
      </w:r>
      <w:r w:rsidR="004442FE" w:rsidRPr="0032782E">
        <w:rPr>
          <w:rFonts w:cs="Tahoma"/>
        </w:rPr>
        <w:t xml:space="preserve">el Recurso de Revisión </w:t>
      </w:r>
      <w:r w:rsidR="004442FE" w:rsidRPr="00E137A9">
        <w:rPr>
          <w:rFonts w:cs="Tahoma"/>
          <w:b/>
        </w:rPr>
        <w:t>01891</w:t>
      </w:r>
      <w:r w:rsidRPr="00E137A9">
        <w:rPr>
          <w:rFonts w:cs="Tahoma"/>
          <w:b/>
        </w:rPr>
        <w:t>/INFOEM/IP/RR/2025</w:t>
      </w:r>
      <w:r w:rsidRPr="0032782E">
        <w:rPr>
          <w:rFonts w:cs="Tahoma"/>
        </w:rPr>
        <w:t xml:space="preserve">, en términos del artículo 192, fracción V, por quedar sin materia, de conformidad con los Considerandos TERCERO y CUARTO de la presente Resolución.    </w:t>
      </w:r>
    </w:p>
    <w:p w14:paraId="0088D307" w14:textId="77777777" w:rsidR="00E873E0" w:rsidRPr="0032782E" w:rsidRDefault="00E873E0" w:rsidP="00E873E0">
      <w:pPr>
        <w:spacing w:after="0" w:line="360" w:lineRule="auto"/>
        <w:ind w:right="113"/>
        <w:contextualSpacing/>
        <w:rPr>
          <w:rFonts w:cs="Arial"/>
          <w:b/>
        </w:rPr>
      </w:pPr>
    </w:p>
    <w:p w14:paraId="1C14636D" w14:textId="77777777" w:rsidR="00E873E0" w:rsidRPr="0032782E" w:rsidRDefault="00E873E0" w:rsidP="00E873E0">
      <w:pPr>
        <w:spacing w:after="0" w:line="360" w:lineRule="auto"/>
        <w:contextualSpacing/>
        <w:rPr>
          <w:rFonts w:cs="Tahoma"/>
        </w:rPr>
      </w:pPr>
      <w:r w:rsidRPr="0032782E">
        <w:rPr>
          <w:rFonts w:cs="Tahoma"/>
          <w:b/>
          <w:bCs/>
        </w:rPr>
        <w:t>SEGUNDO.</w:t>
      </w:r>
      <w:r w:rsidRPr="0032782E">
        <w:rPr>
          <w:rFonts w:cs="Tahoma"/>
        </w:rPr>
        <w:t xml:space="preserve"> </w:t>
      </w:r>
      <w:r w:rsidRPr="0032782E">
        <w:rPr>
          <w:rFonts w:cs="Tahoma"/>
          <w:b/>
          <w:bCs/>
        </w:rPr>
        <w:t>NOTIFÍQUESE POR SAIMEX</w:t>
      </w:r>
      <w:r w:rsidRPr="0032782E">
        <w:rPr>
          <w:rFonts w:cs="Tahoma"/>
        </w:rPr>
        <w:t xml:space="preserve"> la presente resolución al Titular de la Unidad de Transparencia del Sujeto Obligado.</w:t>
      </w:r>
    </w:p>
    <w:p w14:paraId="553702B2" w14:textId="77777777" w:rsidR="00E873E0" w:rsidRPr="0032782E" w:rsidRDefault="00E873E0" w:rsidP="00E873E0">
      <w:pPr>
        <w:spacing w:after="0" w:line="360" w:lineRule="auto"/>
        <w:contextualSpacing/>
        <w:rPr>
          <w:rFonts w:cs="Tahoma"/>
        </w:rPr>
      </w:pPr>
    </w:p>
    <w:p w14:paraId="3A6F518D" w14:textId="77777777" w:rsidR="00E873E0" w:rsidRPr="0032782E" w:rsidRDefault="00E873E0" w:rsidP="00E873E0">
      <w:pPr>
        <w:spacing w:after="0" w:line="360" w:lineRule="auto"/>
        <w:contextualSpacing/>
        <w:rPr>
          <w:rFonts w:cs="Tahoma"/>
        </w:rPr>
      </w:pPr>
      <w:r w:rsidRPr="0032782E">
        <w:rPr>
          <w:rFonts w:cs="Tahoma"/>
          <w:b/>
        </w:rPr>
        <w:t>TERCERO. NOTIFÍQUESE POR SAIMEX</w:t>
      </w:r>
      <w:r w:rsidRPr="0032782E">
        <w:rPr>
          <w:rFonts w:cs="Tahoma"/>
        </w:rPr>
        <w:t xml:space="preserve"> a la persona Recurrente la presente Resolución, asimismo, se hace de su conocimiento que de conformidad con lo establecido en el artículo </w:t>
      </w:r>
      <w:r w:rsidRPr="0032782E">
        <w:rPr>
          <w:rFonts w:cs="Tahoma"/>
        </w:rPr>
        <w:lastRenderedPageBreak/>
        <w:t>196 de la Ley de Transparencia y Acceso a la Información Pública del Estado de México y Municipios podrá promover el Juicio de Amparo en los términos de las leyes aplicables.</w:t>
      </w:r>
    </w:p>
    <w:p w14:paraId="1D1EE73C" w14:textId="77777777" w:rsidR="004442FE" w:rsidRPr="0032782E" w:rsidRDefault="004442FE" w:rsidP="00E873E0">
      <w:pPr>
        <w:spacing w:after="0" w:line="360" w:lineRule="auto"/>
        <w:contextualSpacing/>
        <w:rPr>
          <w:rFonts w:cs="Tahoma"/>
          <w:b/>
          <w:bCs/>
        </w:rPr>
      </w:pPr>
    </w:p>
    <w:p w14:paraId="7FC456C3" w14:textId="4E1D48A1" w:rsidR="00023BBD" w:rsidRDefault="00023BBD" w:rsidP="00E873E0">
      <w:pPr>
        <w:spacing w:after="0" w:line="360" w:lineRule="auto"/>
        <w:contextualSpacing/>
        <w:rPr>
          <w:rFonts w:cs="Tahoma"/>
          <w:b/>
          <w:bCs/>
        </w:rPr>
      </w:pPr>
      <w:r w:rsidRPr="0032782E">
        <w:rPr>
          <w:rFonts w:eastAsia="Calibri" w:cs="Tahoma"/>
          <w:bCs/>
        </w:rPr>
        <w:t>ASÍ LO RESUELVE, POR </w:t>
      </w:r>
      <w:r w:rsidRPr="0032782E">
        <w:rPr>
          <w:rFonts w:eastAsia="Calibri" w:cs="Tahoma"/>
          <w:b/>
          <w:bCs/>
        </w:rPr>
        <w:t>UNANIMIDAD</w:t>
      </w:r>
      <w:r w:rsidRPr="0032782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44832" w:rsidRPr="0032782E">
        <w:rPr>
          <w:rFonts w:eastAsia="Calibri" w:cs="Tahoma"/>
          <w:bCs/>
        </w:rPr>
        <w:t>DÉCIMA</w:t>
      </w:r>
      <w:r w:rsidR="00E361ED" w:rsidRPr="0032782E">
        <w:rPr>
          <w:rFonts w:eastAsia="Calibri" w:cs="Tahoma"/>
          <w:bCs/>
        </w:rPr>
        <w:t xml:space="preserve"> </w:t>
      </w:r>
      <w:r w:rsidR="007B4DAD" w:rsidRPr="0032782E">
        <w:rPr>
          <w:rFonts w:eastAsia="Calibri" w:cs="Tahoma"/>
          <w:bCs/>
        </w:rPr>
        <w:t>SEGUNDA</w:t>
      </w:r>
      <w:r w:rsidR="00B03A57" w:rsidRPr="0032782E">
        <w:rPr>
          <w:rFonts w:eastAsia="Calibri" w:cs="Tahoma"/>
          <w:bCs/>
        </w:rPr>
        <w:t xml:space="preserve"> </w:t>
      </w:r>
      <w:r w:rsidRPr="0032782E">
        <w:rPr>
          <w:rFonts w:eastAsia="Calibri" w:cs="Tahoma"/>
          <w:bCs/>
        </w:rPr>
        <w:t xml:space="preserve">SESIÓN ORDINARIA, CELEBRADA EL </w:t>
      </w:r>
      <w:r w:rsidR="007B4DAD" w:rsidRPr="0032782E">
        <w:rPr>
          <w:rFonts w:eastAsia="Calibri" w:cs="Tahoma"/>
          <w:bCs/>
        </w:rPr>
        <w:t xml:space="preserve">DOS DE ABRIL </w:t>
      </w:r>
      <w:r w:rsidRPr="0032782E">
        <w:rPr>
          <w:rFonts w:eastAsia="Calibri" w:cs="Tahoma"/>
          <w:bCs/>
        </w:rPr>
        <w:t>DE DOS MIL VEINTIC</w:t>
      </w:r>
      <w:r w:rsidR="00E361ED" w:rsidRPr="0032782E">
        <w:rPr>
          <w:rFonts w:eastAsia="Calibri" w:cs="Tahoma"/>
          <w:bCs/>
        </w:rPr>
        <w:t>INCO</w:t>
      </w:r>
      <w:r w:rsidRPr="0032782E">
        <w:rPr>
          <w:rFonts w:eastAsia="Calibri" w:cs="Tahoma"/>
          <w:bCs/>
        </w:rPr>
        <w:t>, ANTE EL SECRETARIO TÉCNICO DEL PLENO, ALEXIS TAPIA RAMÍREZ.</w:t>
      </w:r>
    </w:p>
    <w:p w14:paraId="74E8DB3F" w14:textId="77777777" w:rsidR="00C556AB" w:rsidRDefault="00C556AB" w:rsidP="00E873E0">
      <w:pPr>
        <w:spacing w:after="0" w:line="360" w:lineRule="auto"/>
      </w:pPr>
    </w:p>
    <w:p w14:paraId="1A555613" w14:textId="77777777" w:rsidR="00023BBD" w:rsidRPr="00E64957" w:rsidRDefault="00023BBD" w:rsidP="00E873E0">
      <w:pPr>
        <w:spacing w:after="0" w:line="360" w:lineRule="auto"/>
      </w:pPr>
    </w:p>
    <w:p w14:paraId="2DB71CAF" w14:textId="49BEE08C" w:rsidR="001D4F21" w:rsidRDefault="001D4F21" w:rsidP="00E873E0">
      <w:pPr>
        <w:spacing w:after="0" w:line="360" w:lineRule="auto"/>
        <w:rPr>
          <w:color w:val="000000"/>
        </w:rPr>
      </w:pPr>
    </w:p>
    <w:p w14:paraId="38B4EF2E" w14:textId="77777777" w:rsidR="001D4F21" w:rsidRDefault="001D4F21" w:rsidP="00E873E0">
      <w:pPr>
        <w:spacing w:after="0" w:line="360" w:lineRule="auto"/>
        <w:rPr>
          <w:color w:val="000000"/>
        </w:rPr>
      </w:pPr>
    </w:p>
    <w:p w14:paraId="4201A0A0" w14:textId="77777777" w:rsidR="00E864E9" w:rsidRDefault="00E864E9" w:rsidP="00E873E0">
      <w:pPr>
        <w:tabs>
          <w:tab w:val="right" w:pos="8931"/>
        </w:tabs>
        <w:spacing w:after="0" w:line="360" w:lineRule="auto"/>
      </w:pPr>
    </w:p>
    <w:p w14:paraId="543728D1" w14:textId="77777777" w:rsidR="00E864E9" w:rsidRDefault="00E864E9" w:rsidP="00E873E0">
      <w:pPr>
        <w:tabs>
          <w:tab w:val="right" w:pos="8931"/>
        </w:tabs>
        <w:spacing w:after="0" w:line="360" w:lineRule="auto"/>
      </w:pPr>
    </w:p>
    <w:p w14:paraId="0E4439D0" w14:textId="5248D3C9" w:rsidR="007B58B9" w:rsidRDefault="007B58B9" w:rsidP="00E873E0">
      <w:pPr>
        <w:spacing w:after="0" w:line="360" w:lineRule="auto"/>
      </w:pPr>
    </w:p>
    <w:p w14:paraId="26916C77" w14:textId="77777777" w:rsidR="00A37EDE" w:rsidRDefault="00A37EDE" w:rsidP="00E873E0">
      <w:pPr>
        <w:spacing w:after="0" w:line="360" w:lineRule="auto"/>
      </w:pPr>
    </w:p>
    <w:p w14:paraId="7444417C" w14:textId="77777777" w:rsidR="00E137A9" w:rsidRDefault="00E137A9" w:rsidP="00E873E0">
      <w:pPr>
        <w:spacing w:after="0" w:line="360" w:lineRule="auto"/>
      </w:pPr>
    </w:p>
    <w:p w14:paraId="79912642" w14:textId="77777777" w:rsidR="00E137A9" w:rsidRDefault="00E137A9" w:rsidP="00E873E0">
      <w:pPr>
        <w:spacing w:after="0" w:line="360" w:lineRule="auto"/>
      </w:pPr>
    </w:p>
    <w:p w14:paraId="5075A7B0" w14:textId="77777777" w:rsidR="00E137A9" w:rsidRDefault="00E137A9" w:rsidP="00E873E0">
      <w:pPr>
        <w:spacing w:after="0" w:line="360" w:lineRule="auto"/>
      </w:pPr>
    </w:p>
    <w:p w14:paraId="4CAEF290" w14:textId="77777777" w:rsidR="00E137A9" w:rsidRDefault="00E137A9" w:rsidP="00E873E0">
      <w:pPr>
        <w:spacing w:after="0" w:line="360" w:lineRule="auto"/>
      </w:pPr>
    </w:p>
    <w:p w14:paraId="6E9C602B" w14:textId="77777777" w:rsidR="00E137A9" w:rsidRDefault="00E137A9" w:rsidP="00E873E0">
      <w:pPr>
        <w:spacing w:after="0" w:line="360" w:lineRule="auto"/>
      </w:pPr>
    </w:p>
    <w:p w14:paraId="00223402" w14:textId="77777777" w:rsidR="00E137A9" w:rsidRDefault="00E137A9" w:rsidP="00E873E0">
      <w:pPr>
        <w:spacing w:after="0" w:line="360" w:lineRule="auto"/>
      </w:pPr>
    </w:p>
    <w:p w14:paraId="3B31D0DF" w14:textId="77777777" w:rsidR="00E137A9" w:rsidRDefault="00E137A9" w:rsidP="00E873E0">
      <w:pPr>
        <w:spacing w:after="0" w:line="360" w:lineRule="auto"/>
      </w:pPr>
    </w:p>
    <w:p w14:paraId="0126D1EF" w14:textId="77777777" w:rsidR="00E137A9" w:rsidRDefault="00E137A9" w:rsidP="00E873E0">
      <w:pPr>
        <w:spacing w:after="0" w:line="360" w:lineRule="auto"/>
      </w:pPr>
    </w:p>
    <w:p w14:paraId="4950744C" w14:textId="77777777" w:rsidR="00E137A9" w:rsidRPr="007B58B9" w:rsidRDefault="00E137A9" w:rsidP="00E873E0">
      <w:pPr>
        <w:spacing w:after="0" w:line="360" w:lineRule="auto"/>
      </w:pPr>
    </w:p>
    <w:sectPr w:rsidR="00E137A9" w:rsidRPr="007B58B9" w:rsidSect="000B49C4">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288A7" w14:textId="77777777" w:rsidR="005E59B5" w:rsidRDefault="005E59B5">
      <w:pPr>
        <w:spacing w:after="0" w:line="240" w:lineRule="auto"/>
      </w:pPr>
      <w:r>
        <w:separator/>
      </w:r>
    </w:p>
  </w:endnote>
  <w:endnote w:type="continuationSeparator" w:id="0">
    <w:p w14:paraId="3BD66B96" w14:textId="77777777" w:rsidR="005E59B5" w:rsidRDefault="005E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53DA" w14:textId="77777777" w:rsidR="00CD47E1" w:rsidRDefault="00CD47E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1322">
      <w:rPr>
        <w:b/>
        <w:noProof/>
        <w:color w:val="000000"/>
        <w:sz w:val="24"/>
        <w:szCs w:val="24"/>
      </w:rPr>
      <w:t>15</w:t>
    </w:r>
    <w:r>
      <w:rPr>
        <w:b/>
        <w:color w:val="000000"/>
        <w:sz w:val="24"/>
        <w:szCs w:val="24"/>
      </w:rPr>
      <w:fldChar w:fldCharType="end"/>
    </w:r>
  </w:p>
  <w:p w14:paraId="7EB9860B" w14:textId="77777777" w:rsidR="00CD47E1" w:rsidRDefault="00CD47E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8E74" w14:textId="39395077" w:rsidR="00CD47E1" w:rsidRDefault="00CD47E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1322">
      <w:rPr>
        <w:b/>
        <w:noProof/>
        <w:color w:val="000000"/>
        <w:sz w:val="24"/>
        <w:szCs w:val="24"/>
      </w:rPr>
      <w:t>14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1322">
      <w:rPr>
        <w:b/>
        <w:noProof/>
        <w:color w:val="000000"/>
        <w:sz w:val="24"/>
        <w:szCs w:val="24"/>
      </w:rPr>
      <w:t>15</w:t>
    </w:r>
    <w:r>
      <w:rPr>
        <w:b/>
        <w:color w:val="000000"/>
        <w:sz w:val="24"/>
        <w:szCs w:val="24"/>
      </w:rPr>
      <w:fldChar w:fldCharType="end"/>
    </w:r>
  </w:p>
  <w:p w14:paraId="0D7FA8D9" w14:textId="77777777" w:rsidR="00CD47E1" w:rsidRDefault="00CD47E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CEF7" w14:textId="77777777" w:rsidR="00CD47E1" w:rsidRDefault="00CD47E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132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1322">
      <w:rPr>
        <w:b/>
        <w:noProof/>
        <w:color w:val="000000"/>
        <w:sz w:val="24"/>
        <w:szCs w:val="24"/>
      </w:rPr>
      <w:t>15</w:t>
    </w:r>
    <w:r>
      <w:rPr>
        <w:b/>
        <w:color w:val="000000"/>
        <w:sz w:val="24"/>
        <w:szCs w:val="24"/>
      </w:rPr>
      <w:fldChar w:fldCharType="end"/>
    </w:r>
  </w:p>
  <w:p w14:paraId="6796AF5F" w14:textId="77777777" w:rsidR="00CD47E1" w:rsidRDefault="00CD47E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ED36A" w14:textId="77777777" w:rsidR="005E59B5" w:rsidRDefault="005E59B5">
      <w:pPr>
        <w:spacing w:after="0" w:line="240" w:lineRule="auto"/>
      </w:pPr>
      <w:r>
        <w:separator/>
      </w:r>
    </w:p>
  </w:footnote>
  <w:footnote w:type="continuationSeparator" w:id="0">
    <w:p w14:paraId="6F466681" w14:textId="77777777" w:rsidR="005E59B5" w:rsidRDefault="005E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9F14" w14:textId="77777777" w:rsidR="00CD47E1" w:rsidRDefault="00CD47E1">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D47E1" w14:paraId="10C29E94" w14:textId="77777777">
      <w:trPr>
        <w:trHeight w:val="132"/>
      </w:trPr>
      <w:tc>
        <w:tcPr>
          <w:tcW w:w="2691" w:type="dxa"/>
        </w:tcPr>
        <w:p w14:paraId="7D85A4B8" w14:textId="77777777" w:rsidR="00CD47E1" w:rsidRDefault="00CD47E1">
          <w:pPr>
            <w:tabs>
              <w:tab w:val="right" w:pos="8838"/>
            </w:tabs>
            <w:ind w:right="-105"/>
            <w:rPr>
              <w:b/>
            </w:rPr>
          </w:pPr>
          <w:r>
            <w:rPr>
              <w:b/>
            </w:rPr>
            <w:t>Recurso de Revisión:</w:t>
          </w:r>
        </w:p>
      </w:tc>
      <w:tc>
        <w:tcPr>
          <w:tcW w:w="3405" w:type="dxa"/>
        </w:tcPr>
        <w:p w14:paraId="0B0D1A9D" w14:textId="77777777" w:rsidR="00CD47E1" w:rsidRDefault="00CD47E1">
          <w:pPr>
            <w:tabs>
              <w:tab w:val="right" w:pos="8838"/>
            </w:tabs>
            <w:ind w:left="-28" w:right="-32"/>
          </w:pPr>
          <w:r>
            <w:t>03846/INFOEM/IP/RR/2020</w:t>
          </w:r>
        </w:p>
      </w:tc>
    </w:tr>
    <w:tr w:rsidR="00CD47E1" w14:paraId="2F47AC72" w14:textId="77777777">
      <w:trPr>
        <w:trHeight w:val="261"/>
      </w:trPr>
      <w:tc>
        <w:tcPr>
          <w:tcW w:w="2691" w:type="dxa"/>
        </w:tcPr>
        <w:p w14:paraId="154A4752" w14:textId="77777777" w:rsidR="00CD47E1" w:rsidRDefault="00CD47E1">
          <w:pPr>
            <w:tabs>
              <w:tab w:val="right" w:pos="8838"/>
            </w:tabs>
            <w:ind w:right="-105"/>
            <w:rPr>
              <w:b/>
            </w:rPr>
          </w:pPr>
          <w:r>
            <w:rPr>
              <w:b/>
            </w:rPr>
            <w:t>Sujeto Obligado:</w:t>
          </w:r>
        </w:p>
      </w:tc>
      <w:tc>
        <w:tcPr>
          <w:tcW w:w="3405" w:type="dxa"/>
        </w:tcPr>
        <w:p w14:paraId="5D9EC711" w14:textId="77777777" w:rsidR="00CD47E1" w:rsidRDefault="00CD47E1">
          <w:pPr>
            <w:tabs>
              <w:tab w:val="right" w:pos="8838"/>
            </w:tabs>
            <w:ind w:right="-32"/>
          </w:pPr>
          <w:r>
            <w:t>Ayuntamiento de Temascalcingo</w:t>
          </w:r>
        </w:p>
      </w:tc>
    </w:tr>
    <w:tr w:rsidR="00CD47E1" w14:paraId="11FBB450" w14:textId="77777777">
      <w:trPr>
        <w:trHeight w:val="261"/>
      </w:trPr>
      <w:tc>
        <w:tcPr>
          <w:tcW w:w="2691" w:type="dxa"/>
        </w:tcPr>
        <w:p w14:paraId="6BAF6003" w14:textId="77777777" w:rsidR="00CD47E1" w:rsidRDefault="00CD47E1">
          <w:pPr>
            <w:tabs>
              <w:tab w:val="right" w:pos="8838"/>
            </w:tabs>
            <w:ind w:right="-105"/>
            <w:rPr>
              <w:b/>
            </w:rPr>
          </w:pPr>
          <w:r>
            <w:rPr>
              <w:b/>
            </w:rPr>
            <w:t>Comisionado Ponente:</w:t>
          </w:r>
        </w:p>
      </w:tc>
      <w:tc>
        <w:tcPr>
          <w:tcW w:w="3405" w:type="dxa"/>
        </w:tcPr>
        <w:p w14:paraId="420341AF" w14:textId="77777777" w:rsidR="00CD47E1" w:rsidRDefault="00CD47E1">
          <w:pPr>
            <w:tabs>
              <w:tab w:val="right" w:pos="8838"/>
            </w:tabs>
            <w:ind w:right="-32"/>
            <w:rPr>
              <w:b/>
            </w:rPr>
          </w:pPr>
          <w:r>
            <w:t>Luis Gustavo Parra Noriega</w:t>
          </w:r>
        </w:p>
      </w:tc>
    </w:tr>
  </w:tbl>
  <w:p w14:paraId="00411D75" w14:textId="77777777" w:rsidR="00CD47E1" w:rsidRDefault="005E59B5">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C837" w14:textId="67B323BB" w:rsidR="00CD47E1" w:rsidRDefault="005E59B5">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CD47E1" w14:paraId="40D5D5A3" w14:textId="77777777" w:rsidTr="00940262">
      <w:trPr>
        <w:trHeight w:val="138"/>
      </w:trPr>
      <w:tc>
        <w:tcPr>
          <w:tcW w:w="2693" w:type="dxa"/>
          <w:vAlign w:val="center"/>
        </w:tcPr>
        <w:p w14:paraId="43377EBE" w14:textId="77777777" w:rsidR="00CD47E1" w:rsidRDefault="00CD47E1" w:rsidP="008C266D">
          <w:pPr>
            <w:tabs>
              <w:tab w:val="right" w:pos="8838"/>
            </w:tabs>
            <w:ind w:left="-108" w:right="-105"/>
            <w:jc w:val="left"/>
            <w:rPr>
              <w:b/>
            </w:rPr>
          </w:pPr>
        </w:p>
        <w:p w14:paraId="1DB5C8D0" w14:textId="7E98B3D2" w:rsidR="00CD47E1" w:rsidRDefault="00CD47E1" w:rsidP="008C266D">
          <w:pPr>
            <w:tabs>
              <w:tab w:val="right" w:pos="8838"/>
            </w:tabs>
            <w:ind w:left="-108" w:right="-105"/>
            <w:jc w:val="left"/>
            <w:rPr>
              <w:b/>
            </w:rPr>
          </w:pPr>
          <w:r>
            <w:rPr>
              <w:b/>
            </w:rPr>
            <w:t>Recurso de Revisión:</w:t>
          </w:r>
        </w:p>
      </w:tc>
      <w:tc>
        <w:tcPr>
          <w:tcW w:w="3969" w:type="dxa"/>
        </w:tcPr>
        <w:p w14:paraId="5BCC69C4" w14:textId="77777777" w:rsidR="00CD47E1" w:rsidRPr="00EF0C39" w:rsidRDefault="00CD47E1" w:rsidP="008C266D">
          <w:pPr>
            <w:tabs>
              <w:tab w:val="right" w:pos="8838"/>
            </w:tabs>
            <w:ind w:right="57"/>
          </w:pPr>
        </w:p>
        <w:p w14:paraId="61E59D71" w14:textId="638FB552" w:rsidR="00CD47E1" w:rsidRPr="00EF0C39" w:rsidRDefault="00CD47E1" w:rsidP="008C266D">
          <w:pPr>
            <w:tabs>
              <w:tab w:val="right" w:pos="8838"/>
            </w:tabs>
            <w:ind w:right="57"/>
          </w:pPr>
          <w:r>
            <w:t>01891/INFOEM/IP/RR/2025</w:t>
          </w:r>
        </w:p>
      </w:tc>
    </w:tr>
    <w:tr w:rsidR="00CD47E1" w14:paraId="7A281F30" w14:textId="77777777" w:rsidTr="00940262">
      <w:trPr>
        <w:trHeight w:val="273"/>
      </w:trPr>
      <w:tc>
        <w:tcPr>
          <w:tcW w:w="2693" w:type="dxa"/>
        </w:tcPr>
        <w:p w14:paraId="6671A308" w14:textId="77777777" w:rsidR="00CD47E1" w:rsidRDefault="00CD47E1" w:rsidP="008C266D">
          <w:pPr>
            <w:tabs>
              <w:tab w:val="right" w:pos="8838"/>
            </w:tabs>
            <w:ind w:left="-108" w:right="-105"/>
            <w:rPr>
              <w:b/>
            </w:rPr>
          </w:pPr>
          <w:r>
            <w:rPr>
              <w:b/>
            </w:rPr>
            <w:t>Sujeto Obligado:</w:t>
          </w:r>
        </w:p>
      </w:tc>
      <w:tc>
        <w:tcPr>
          <w:tcW w:w="3969" w:type="dxa"/>
        </w:tcPr>
        <w:p w14:paraId="30885B6D" w14:textId="08C5A371" w:rsidR="00CD47E1" w:rsidRPr="00EF0C39" w:rsidRDefault="00CD47E1" w:rsidP="007B4717">
          <w:pPr>
            <w:tabs>
              <w:tab w:val="right" w:pos="8838"/>
            </w:tabs>
            <w:ind w:right="180"/>
          </w:pPr>
          <w:r>
            <w:t>Ayuntamiento de Huehuetoca</w:t>
          </w:r>
        </w:p>
      </w:tc>
    </w:tr>
    <w:tr w:rsidR="00CD47E1" w14:paraId="00C22F2F" w14:textId="77777777" w:rsidTr="00940262">
      <w:trPr>
        <w:trHeight w:val="273"/>
      </w:trPr>
      <w:tc>
        <w:tcPr>
          <w:tcW w:w="2693" w:type="dxa"/>
        </w:tcPr>
        <w:p w14:paraId="70417649" w14:textId="77777777" w:rsidR="00CD47E1" w:rsidRDefault="00CD47E1" w:rsidP="008C266D">
          <w:pPr>
            <w:tabs>
              <w:tab w:val="right" w:pos="8838"/>
            </w:tabs>
            <w:ind w:left="-108" w:right="-105"/>
            <w:rPr>
              <w:b/>
            </w:rPr>
          </w:pPr>
          <w:r>
            <w:rPr>
              <w:b/>
            </w:rPr>
            <w:t>Comisionado Ponente:</w:t>
          </w:r>
        </w:p>
      </w:tc>
      <w:tc>
        <w:tcPr>
          <w:tcW w:w="3969" w:type="dxa"/>
        </w:tcPr>
        <w:p w14:paraId="5E6EB38B" w14:textId="77777777" w:rsidR="00CD47E1" w:rsidRPr="00EF0C39" w:rsidRDefault="00CD47E1" w:rsidP="008C266D">
          <w:pPr>
            <w:tabs>
              <w:tab w:val="right" w:pos="8838"/>
            </w:tabs>
            <w:ind w:right="-170"/>
          </w:pPr>
          <w:r w:rsidRPr="00EF0C39">
            <w:t>Luis Gustavo Parra Noriega</w:t>
          </w:r>
        </w:p>
        <w:p w14:paraId="1A63C67B" w14:textId="77777777" w:rsidR="00CD47E1" w:rsidRPr="00EF0C39" w:rsidRDefault="00CD47E1" w:rsidP="008C266D">
          <w:pPr>
            <w:tabs>
              <w:tab w:val="right" w:pos="8838"/>
            </w:tabs>
            <w:ind w:right="-170"/>
            <w:rPr>
              <w:b/>
            </w:rPr>
          </w:pPr>
        </w:p>
      </w:tc>
    </w:tr>
  </w:tbl>
  <w:p w14:paraId="3498D107" w14:textId="7E17876C" w:rsidR="00CD47E1" w:rsidRDefault="00CD47E1"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A3F9" w14:textId="77777777" w:rsidR="00CD47E1" w:rsidRDefault="00CD47E1">
    <w:pPr>
      <w:widowControl w:val="0"/>
      <w:pBdr>
        <w:top w:val="nil"/>
        <w:left w:val="nil"/>
        <w:bottom w:val="nil"/>
        <w:right w:val="nil"/>
        <w:between w:val="nil"/>
      </w:pBdr>
      <w:spacing w:after="0" w:line="276" w:lineRule="auto"/>
      <w:jc w:val="left"/>
      <w:rPr>
        <w:color w:val="000000"/>
      </w:rPr>
    </w:pPr>
  </w:p>
  <w:tbl>
    <w:tblPr>
      <w:tblStyle w:val="1"/>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CD47E1" w14:paraId="6B3232BD" w14:textId="77777777" w:rsidTr="00940262">
      <w:trPr>
        <w:trHeight w:val="132"/>
      </w:trPr>
      <w:tc>
        <w:tcPr>
          <w:tcW w:w="2551" w:type="dxa"/>
        </w:tcPr>
        <w:p w14:paraId="38F16E2F" w14:textId="77777777" w:rsidR="00CD47E1" w:rsidRDefault="00CD47E1">
          <w:pPr>
            <w:tabs>
              <w:tab w:val="right" w:pos="8838"/>
            </w:tabs>
            <w:ind w:right="-105"/>
            <w:rPr>
              <w:b/>
            </w:rPr>
          </w:pPr>
          <w:r>
            <w:rPr>
              <w:b/>
            </w:rPr>
            <w:t>Recurso de Revisión:</w:t>
          </w:r>
        </w:p>
      </w:tc>
      <w:tc>
        <w:tcPr>
          <w:tcW w:w="4253" w:type="dxa"/>
        </w:tcPr>
        <w:p w14:paraId="211CDC0A" w14:textId="00A0A720" w:rsidR="00CD47E1" w:rsidRPr="00026C6B" w:rsidRDefault="00CD47E1" w:rsidP="00026C6B">
          <w:r>
            <w:t>01891/INFOEM/IP/RR/2025</w:t>
          </w:r>
        </w:p>
      </w:tc>
    </w:tr>
    <w:tr w:rsidR="00CD47E1" w14:paraId="6AA3CC58" w14:textId="77777777" w:rsidTr="00940262">
      <w:trPr>
        <w:trHeight w:val="132"/>
      </w:trPr>
      <w:tc>
        <w:tcPr>
          <w:tcW w:w="2551" w:type="dxa"/>
          <w:shd w:val="clear" w:color="auto" w:fill="auto"/>
        </w:tcPr>
        <w:p w14:paraId="7FD164F5" w14:textId="77777777" w:rsidR="00CD47E1" w:rsidRDefault="00CD47E1">
          <w:pPr>
            <w:tabs>
              <w:tab w:val="left" w:pos="1875"/>
            </w:tabs>
            <w:ind w:right="-105"/>
            <w:rPr>
              <w:b/>
            </w:rPr>
          </w:pPr>
          <w:r>
            <w:rPr>
              <w:b/>
            </w:rPr>
            <w:t>Recurrente:</w:t>
          </w:r>
          <w:r>
            <w:rPr>
              <w:b/>
            </w:rPr>
            <w:tab/>
          </w:r>
        </w:p>
      </w:tc>
      <w:tc>
        <w:tcPr>
          <w:tcW w:w="4253" w:type="dxa"/>
          <w:shd w:val="clear" w:color="auto" w:fill="auto"/>
        </w:tcPr>
        <w:p w14:paraId="1F1B0537" w14:textId="084FB5D0" w:rsidR="00CD47E1" w:rsidRPr="00EF0C39" w:rsidRDefault="003B73EF" w:rsidP="006D7FDA">
          <w:pPr>
            <w:tabs>
              <w:tab w:val="right" w:pos="8838"/>
            </w:tabs>
            <w:ind w:right="-250"/>
          </w:pPr>
          <w:r w:rsidRPr="003B73EF">
            <w:rPr>
              <w:highlight w:val="black"/>
            </w:rPr>
            <w:t>XXXXXXXXXX</w:t>
          </w:r>
        </w:p>
      </w:tc>
    </w:tr>
    <w:tr w:rsidR="00CD47E1" w14:paraId="5113CAA6" w14:textId="77777777" w:rsidTr="00940262">
      <w:trPr>
        <w:trHeight w:val="261"/>
      </w:trPr>
      <w:tc>
        <w:tcPr>
          <w:tcW w:w="2551" w:type="dxa"/>
        </w:tcPr>
        <w:p w14:paraId="28E3431B" w14:textId="30EC7C18" w:rsidR="00CD47E1" w:rsidRDefault="00CD47E1">
          <w:pPr>
            <w:tabs>
              <w:tab w:val="right" w:pos="8838"/>
            </w:tabs>
            <w:ind w:right="-105"/>
            <w:rPr>
              <w:b/>
            </w:rPr>
          </w:pPr>
          <w:r>
            <w:rPr>
              <w:b/>
            </w:rPr>
            <w:t>Sujeto Obligado:</w:t>
          </w:r>
        </w:p>
      </w:tc>
      <w:tc>
        <w:tcPr>
          <w:tcW w:w="4253" w:type="dxa"/>
        </w:tcPr>
        <w:p w14:paraId="3192354E" w14:textId="4363CE00" w:rsidR="00CD47E1" w:rsidRPr="00026C6B" w:rsidRDefault="00CD47E1" w:rsidP="00026C6B">
          <w:r>
            <w:t>Ayuntamiento de Huehuetoca</w:t>
          </w:r>
        </w:p>
      </w:tc>
    </w:tr>
    <w:tr w:rsidR="00CD47E1" w14:paraId="5D4C2A35" w14:textId="77777777" w:rsidTr="00940262">
      <w:trPr>
        <w:trHeight w:val="261"/>
      </w:trPr>
      <w:tc>
        <w:tcPr>
          <w:tcW w:w="2551" w:type="dxa"/>
        </w:tcPr>
        <w:p w14:paraId="7F522FEC" w14:textId="77777777" w:rsidR="00CD47E1" w:rsidRDefault="00CD47E1">
          <w:pPr>
            <w:tabs>
              <w:tab w:val="right" w:pos="8838"/>
            </w:tabs>
            <w:ind w:right="-105"/>
            <w:rPr>
              <w:b/>
            </w:rPr>
          </w:pPr>
          <w:r>
            <w:rPr>
              <w:b/>
            </w:rPr>
            <w:t>Comisionado Ponente:</w:t>
          </w:r>
        </w:p>
      </w:tc>
      <w:tc>
        <w:tcPr>
          <w:tcW w:w="4253" w:type="dxa"/>
        </w:tcPr>
        <w:p w14:paraId="0F0566F9" w14:textId="77777777" w:rsidR="00CD47E1" w:rsidRPr="00EF0C39" w:rsidRDefault="00CD47E1" w:rsidP="00C46A25">
          <w:pPr>
            <w:tabs>
              <w:tab w:val="right" w:pos="8838"/>
            </w:tabs>
            <w:ind w:right="-32"/>
            <w:rPr>
              <w:b/>
            </w:rPr>
          </w:pPr>
          <w:r w:rsidRPr="00EF0C39">
            <w:t>Luis Gustavo Parra Noriega</w:t>
          </w:r>
        </w:p>
      </w:tc>
    </w:tr>
  </w:tbl>
  <w:p w14:paraId="4DFC2598" w14:textId="77777777" w:rsidR="00CD47E1" w:rsidRDefault="005E59B5">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2B1400"/>
    <w:multiLevelType w:val="hybridMultilevel"/>
    <w:tmpl w:val="11CE74C8"/>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0D1D37"/>
    <w:multiLevelType w:val="hybridMultilevel"/>
    <w:tmpl w:val="A6208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EAB0E80"/>
    <w:multiLevelType w:val="hybridMultilevel"/>
    <w:tmpl w:val="CC243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04A3C28"/>
    <w:multiLevelType w:val="hybridMultilevel"/>
    <w:tmpl w:val="1BD647EA"/>
    <w:lvl w:ilvl="0" w:tplc="E7E012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B2ECF"/>
    <w:multiLevelType w:val="multilevel"/>
    <w:tmpl w:val="40D6ADEE"/>
    <w:lvl w:ilvl="0">
      <w:start w:val="1"/>
      <w:numFmt w:val="bullet"/>
      <w:lvlText w:val="●"/>
      <w:lvlJc w:val="left"/>
      <w:pPr>
        <w:ind w:left="780" w:hanging="360"/>
      </w:pPr>
      <w:rPr>
        <w:rFonts w:ascii="Palatino Linotype" w:eastAsia="Noto Sans Symbols" w:hAnsi="Palatino Linotype" w:cs="Noto Sans Symbols"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635F7F2A"/>
    <w:multiLevelType w:val="hybridMultilevel"/>
    <w:tmpl w:val="767005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94662F3"/>
    <w:multiLevelType w:val="hybridMultilevel"/>
    <w:tmpl w:val="C0620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F024B27"/>
    <w:multiLevelType w:val="hybridMultilevel"/>
    <w:tmpl w:val="A6E662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8"/>
  </w:num>
  <w:num w:numId="9">
    <w:abstractNumId w:val="15"/>
  </w:num>
  <w:num w:numId="10">
    <w:abstractNumId w:val="5"/>
  </w:num>
  <w:num w:numId="11">
    <w:abstractNumId w:val="10"/>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5F0"/>
    <w:rsid w:val="00075996"/>
    <w:rsid w:val="00075A71"/>
    <w:rsid w:val="00075CAF"/>
    <w:rsid w:val="00081D01"/>
    <w:rsid w:val="0008295C"/>
    <w:rsid w:val="00082B5B"/>
    <w:rsid w:val="00083169"/>
    <w:rsid w:val="000866B0"/>
    <w:rsid w:val="0008688E"/>
    <w:rsid w:val="00087074"/>
    <w:rsid w:val="00087EDB"/>
    <w:rsid w:val="0009167E"/>
    <w:rsid w:val="00092501"/>
    <w:rsid w:val="000946F3"/>
    <w:rsid w:val="00095FB6"/>
    <w:rsid w:val="00096C21"/>
    <w:rsid w:val="00096CFE"/>
    <w:rsid w:val="00097C52"/>
    <w:rsid w:val="000A2EA2"/>
    <w:rsid w:val="000A3910"/>
    <w:rsid w:val="000A5B44"/>
    <w:rsid w:val="000A706F"/>
    <w:rsid w:val="000B0D2B"/>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E7654"/>
    <w:rsid w:val="000F3B49"/>
    <w:rsid w:val="000F4583"/>
    <w:rsid w:val="000F4AC1"/>
    <w:rsid w:val="000F562C"/>
    <w:rsid w:val="000F6219"/>
    <w:rsid w:val="000F6E36"/>
    <w:rsid w:val="001026DC"/>
    <w:rsid w:val="001055EA"/>
    <w:rsid w:val="001061B1"/>
    <w:rsid w:val="001065C6"/>
    <w:rsid w:val="0011010D"/>
    <w:rsid w:val="00110B4E"/>
    <w:rsid w:val="001135C1"/>
    <w:rsid w:val="001150A1"/>
    <w:rsid w:val="00115992"/>
    <w:rsid w:val="00116C35"/>
    <w:rsid w:val="00122ED0"/>
    <w:rsid w:val="00122FBD"/>
    <w:rsid w:val="00123FD7"/>
    <w:rsid w:val="00124AF7"/>
    <w:rsid w:val="001255BD"/>
    <w:rsid w:val="00125905"/>
    <w:rsid w:val="00125F26"/>
    <w:rsid w:val="0012618B"/>
    <w:rsid w:val="00126AD3"/>
    <w:rsid w:val="001325F3"/>
    <w:rsid w:val="00132F29"/>
    <w:rsid w:val="00134465"/>
    <w:rsid w:val="001418BD"/>
    <w:rsid w:val="00141BAD"/>
    <w:rsid w:val="001425CB"/>
    <w:rsid w:val="001434E7"/>
    <w:rsid w:val="001479C0"/>
    <w:rsid w:val="00147F25"/>
    <w:rsid w:val="001502AB"/>
    <w:rsid w:val="001507E8"/>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B6F"/>
    <w:rsid w:val="001A6C0E"/>
    <w:rsid w:val="001B2090"/>
    <w:rsid w:val="001B34AA"/>
    <w:rsid w:val="001B7EFB"/>
    <w:rsid w:val="001C638A"/>
    <w:rsid w:val="001D1635"/>
    <w:rsid w:val="001D24CD"/>
    <w:rsid w:val="001D2A18"/>
    <w:rsid w:val="001D3FB9"/>
    <w:rsid w:val="001D4F21"/>
    <w:rsid w:val="001D5DBE"/>
    <w:rsid w:val="001D7D0E"/>
    <w:rsid w:val="001E2239"/>
    <w:rsid w:val="001E4284"/>
    <w:rsid w:val="001E4ECA"/>
    <w:rsid w:val="001E6077"/>
    <w:rsid w:val="001F285F"/>
    <w:rsid w:val="001F6FD5"/>
    <w:rsid w:val="002025F4"/>
    <w:rsid w:val="00203F8C"/>
    <w:rsid w:val="00204DE3"/>
    <w:rsid w:val="0020727C"/>
    <w:rsid w:val="00211CD8"/>
    <w:rsid w:val="00217245"/>
    <w:rsid w:val="002217AE"/>
    <w:rsid w:val="00223487"/>
    <w:rsid w:val="002238B8"/>
    <w:rsid w:val="00227456"/>
    <w:rsid w:val="00230985"/>
    <w:rsid w:val="00230B8F"/>
    <w:rsid w:val="002422B8"/>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2DCD"/>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B17F0"/>
    <w:rsid w:val="002B2FEA"/>
    <w:rsid w:val="002B5A2D"/>
    <w:rsid w:val="002B772B"/>
    <w:rsid w:val="002C0C3A"/>
    <w:rsid w:val="002C4A39"/>
    <w:rsid w:val="002C516D"/>
    <w:rsid w:val="002C7C43"/>
    <w:rsid w:val="002D2107"/>
    <w:rsid w:val="002D2619"/>
    <w:rsid w:val="002D2A77"/>
    <w:rsid w:val="002D64CE"/>
    <w:rsid w:val="002E2627"/>
    <w:rsid w:val="002E34B7"/>
    <w:rsid w:val="002E47B1"/>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90C"/>
    <w:rsid w:val="00303A1B"/>
    <w:rsid w:val="00303BA0"/>
    <w:rsid w:val="00310366"/>
    <w:rsid w:val="00310A3F"/>
    <w:rsid w:val="00311CAF"/>
    <w:rsid w:val="0031200F"/>
    <w:rsid w:val="00312EFE"/>
    <w:rsid w:val="003131F2"/>
    <w:rsid w:val="00313684"/>
    <w:rsid w:val="00314919"/>
    <w:rsid w:val="003155C2"/>
    <w:rsid w:val="00316458"/>
    <w:rsid w:val="00320891"/>
    <w:rsid w:val="00320D4E"/>
    <w:rsid w:val="0032276A"/>
    <w:rsid w:val="0032438A"/>
    <w:rsid w:val="00325B13"/>
    <w:rsid w:val="00325D1E"/>
    <w:rsid w:val="0032782E"/>
    <w:rsid w:val="00330566"/>
    <w:rsid w:val="00330942"/>
    <w:rsid w:val="00333468"/>
    <w:rsid w:val="0033681E"/>
    <w:rsid w:val="00336E20"/>
    <w:rsid w:val="00341669"/>
    <w:rsid w:val="00342465"/>
    <w:rsid w:val="00345E3B"/>
    <w:rsid w:val="00353296"/>
    <w:rsid w:val="0035368D"/>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B73EF"/>
    <w:rsid w:val="003C13CD"/>
    <w:rsid w:val="003C28F2"/>
    <w:rsid w:val="003C7338"/>
    <w:rsid w:val="003D0D51"/>
    <w:rsid w:val="003D1322"/>
    <w:rsid w:val="003D1DC8"/>
    <w:rsid w:val="003D25DC"/>
    <w:rsid w:val="003D35DB"/>
    <w:rsid w:val="003D6C3F"/>
    <w:rsid w:val="003E1C9F"/>
    <w:rsid w:val="003E20C8"/>
    <w:rsid w:val="003E33FE"/>
    <w:rsid w:val="003E540A"/>
    <w:rsid w:val="003F0A87"/>
    <w:rsid w:val="003F1D74"/>
    <w:rsid w:val="003F2BF4"/>
    <w:rsid w:val="003F2C8E"/>
    <w:rsid w:val="003F4C6D"/>
    <w:rsid w:val="003F5F91"/>
    <w:rsid w:val="003F6C55"/>
    <w:rsid w:val="0041096D"/>
    <w:rsid w:val="00417AAE"/>
    <w:rsid w:val="00417F3A"/>
    <w:rsid w:val="00420209"/>
    <w:rsid w:val="004214D5"/>
    <w:rsid w:val="00422311"/>
    <w:rsid w:val="004326F9"/>
    <w:rsid w:val="00434B43"/>
    <w:rsid w:val="004352C6"/>
    <w:rsid w:val="00436F80"/>
    <w:rsid w:val="0044017B"/>
    <w:rsid w:val="00442432"/>
    <w:rsid w:val="0044320C"/>
    <w:rsid w:val="004442FE"/>
    <w:rsid w:val="0044451C"/>
    <w:rsid w:val="00446CA3"/>
    <w:rsid w:val="004479B9"/>
    <w:rsid w:val="0045046D"/>
    <w:rsid w:val="00455EA5"/>
    <w:rsid w:val="00456B23"/>
    <w:rsid w:val="00461DF2"/>
    <w:rsid w:val="004649E0"/>
    <w:rsid w:val="00467659"/>
    <w:rsid w:val="00471E99"/>
    <w:rsid w:val="004721AA"/>
    <w:rsid w:val="00473151"/>
    <w:rsid w:val="00474793"/>
    <w:rsid w:val="00475E62"/>
    <w:rsid w:val="00481F23"/>
    <w:rsid w:val="00483320"/>
    <w:rsid w:val="00484E27"/>
    <w:rsid w:val="0049788F"/>
    <w:rsid w:val="004A10E6"/>
    <w:rsid w:val="004A31A6"/>
    <w:rsid w:val="004B0C6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3B2"/>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E59B5"/>
    <w:rsid w:val="005F199D"/>
    <w:rsid w:val="005F36FE"/>
    <w:rsid w:val="005F38B6"/>
    <w:rsid w:val="005F4B93"/>
    <w:rsid w:val="005F5498"/>
    <w:rsid w:val="005F773E"/>
    <w:rsid w:val="005F785A"/>
    <w:rsid w:val="00600A20"/>
    <w:rsid w:val="00602E5C"/>
    <w:rsid w:val="006033D0"/>
    <w:rsid w:val="006037C1"/>
    <w:rsid w:val="006059DA"/>
    <w:rsid w:val="00606B1A"/>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09F3"/>
    <w:rsid w:val="006418B3"/>
    <w:rsid w:val="006430B1"/>
    <w:rsid w:val="00644832"/>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22F4"/>
    <w:rsid w:val="006731C7"/>
    <w:rsid w:val="00673306"/>
    <w:rsid w:val="00674DAF"/>
    <w:rsid w:val="00674E18"/>
    <w:rsid w:val="0067597C"/>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37DF"/>
    <w:rsid w:val="007041F9"/>
    <w:rsid w:val="00704B14"/>
    <w:rsid w:val="00705FBB"/>
    <w:rsid w:val="0070680E"/>
    <w:rsid w:val="0071036C"/>
    <w:rsid w:val="00712ED6"/>
    <w:rsid w:val="00716DFD"/>
    <w:rsid w:val="00717D87"/>
    <w:rsid w:val="007248C4"/>
    <w:rsid w:val="007279D2"/>
    <w:rsid w:val="0073003B"/>
    <w:rsid w:val="00730D6D"/>
    <w:rsid w:val="00731FB9"/>
    <w:rsid w:val="007327F9"/>
    <w:rsid w:val="007331D2"/>
    <w:rsid w:val="00741DC7"/>
    <w:rsid w:val="007428C7"/>
    <w:rsid w:val="00743915"/>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B0293"/>
    <w:rsid w:val="007B38A7"/>
    <w:rsid w:val="007B4143"/>
    <w:rsid w:val="007B4717"/>
    <w:rsid w:val="007B4DAD"/>
    <w:rsid w:val="007B4E28"/>
    <w:rsid w:val="007B58B9"/>
    <w:rsid w:val="007B5B46"/>
    <w:rsid w:val="007B5CE4"/>
    <w:rsid w:val="007B65AB"/>
    <w:rsid w:val="007B6891"/>
    <w:rsid w:val="007B6F45"/>
    <w:rsid w:val="007C02D1"/>
    <w:rsid w:val="007C636E"/>
    <w:rsid w:val="007C76F2"/>
    <w:rsid w:val="007C7BAF"/>
    <w:rsid w:val="007D04B8"/>
    <w:rsid w:val="007D086D"/>
    <w:rsid w:val="007D354B"/>
    <w:rsid w:val="007D40C0"/>
    <w:rsid w:val="007D6307"/>
    <w:rsid w:val="007D7B39"/>
    <w:rsid w:val="007E0603"/>
    <w:rsid w:val="007E172B"/>
    <w:rsid w:val="007E1EF5"/>
    <w:rsid w:val="007E25E4"/>
    <w:rsid w:val="007E64DE"/>
    <w:rsid w:val="007E6532"/>
    <w:rsid w:val="007E65E1"/>
    <w:rsid w:val="007E79A0"/>
    <w:rsid w:val="007E7B3F"/>
    <w:rsid w:val="007F4407"/>
    <w:rsid w:val="007F6273"/>
    <w:rsid w:val="007F75BA"/>
    <w:rsid w:val="00800641"/>
    <w:rsid w:val="008027F2"/>
    <w:rsid w:val="00803119"/>
    <w:rsid w:val="00803884"/>
    <w:rsid w:val="00803F31"/>
    <w:rsid w:val="0081186D"/>
    <w:rsid w:val="00812FF1"/>
    <w:rsid w:val="008146D7"/>
    <w:rsid w:val="0081756A"/>
    <w:rsid w:val="008201FA"/>
    <w:rsid w:val="008234EA"/>
    <w:rsid w:val="00826071"/>
    <w:rsid w:val="00826E84"/>
    <w:rsid w:val="00830986"/>
    <w:rsid w:val="00836749"/>
    <w:rsid w:val="008416D9"/>
    <w:rsid w:val="008441D0"/>
    <w:rsid w:val="008473B9"/>
    <w:rsid w:val="00850BF6"/>
    <w:rsid w:val="00853828"/>
    <w:rsid w:val="00853A05"/>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0FCC"/>
    <w:rsid w:val="009319F4"/>
    <w:rsid w:val="00933E27"/>
    <w:rsid w:val="00934D26"/>
    <w:rsid w:val="00935E4C"/>
    <w:rsid w:val="00937325"/>
    <w:rsid w:val="00937C87"/>
    <w:rsid w:val="00940262"/>
    <w:rsid w:val="00940831"/>
    <w:rsid w:val="00940E97"/>
    <w:rsid w:val="00943435"/>
    <w:rsid w:val="009448BC"/>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2243"/>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818"/>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5402"/>
    <w:rsid w:val="00A16D8E"/>
    <w:rsid w:val="00A20875"/>
    <w:rsid w:val="00A244C7"/>
    <w:rsid w:val="00A30BD0"/>
    <w:rsid w:val="00A33F9B"/>
    <w:rsid w:val="00A361DB"/>
    <w:rsid w:val="00A363DD"/>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60433"/>
    <w:rsid w:val="00A60BDF"/>
    <w:rsid w:val="00A620E2"/>
    <w:rsid w:val="00A63444"/>
    <w:rsid w:val="00A63E30"/>
    <w:rsid w:val="00A6488A"/>
    <w:rsid w:val="00A660B5"/>
    <w:rsid w:val="00A73E9A"/>
    <w:rsid w:val="00A7487F"/>
    <w:rsid w:val="00A753B3"/>
    <w:rsid w:val="00A75C5D"/>
    <w:rsid w:val="00A805B7"/>
    <w:rsid w:val="00A8342D"/>
    <w:rsid w:val="00A84E9B"/>
    <w:rsid w:val="00A85D07"/>
    <w:rsid w:val="00A915DD"/>
    <w:rsid w:val="00A9286C"/>
    <w:rsid w:val="00A94490"/>
    <w:rsid w:val="00A95E07"/>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0E35"/>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235"/>
    <w:rsid w:val="00B03A57"/>
    <w:rsid w:val="00B04A35"/>
    <w:rsid w:val="00B04BE1"/>
    <w:rsid w:val="00B050D9"/>
    <w:rsid w:val="00B052FB"/>
    <w:rsid w:val="00B123FB"/>
    <w:rsid w:val="00B1247F"/>
    <w:rsid w:val="00B153FA"/>
    <w:rsid w:val="00B156C7"/>
    <w:rsid w:val="00B22A17"/>
    <w:rsid w:val="00B22B9F"/>
    <w:rsid w:val="00B22F78"/>
    <w:rsid w:val="00B27131"/>
    <w:rsid w:val="00B27951"/>
    <w:rsid w:val="00B31892"/>
    <w:rsid w:val="00B32689"/>
    <w:rsid w:val="00B331EC"/>
    <w:rsid w:val="00B35F83"/>
    <w:rsid w:val="00B36A30"/>
    <w:rsid w:val="00B42F31"/>
    <w:rsid w:val="00B43D92"/>
    <w:rsid w:val="00B51050"/>
    <w:rsid w:val="00B52CAD"/>
    <w:rsid w:val="00B53EAF"/>
    <w:rsid w:val="00B554D6"/>
    <w:rsid w:val="00B6454E"/>
    <w:rsid w:val="00B65BCA"/>
    <w:rsid w:val="00B6639B"/>
    <w:rsid w:val="00B66F84"/>
    <w:rsid w:val="00B675A3"/>
    <w:rsid w:val="00B67947"/>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092"/>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47B9"/>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076A"/>
    <w:rsid w:val="00CC1C87"/>
    <w:rsid w:val="00CC1F8C"/>
    <w:rsid w:val="00CC29B3"/>
    <w:rsid w:val="00CC2EA8"/>
    <w:rsid w:val="00CC5500"/>
    <w:rsid w:val="00CC63B9"/>
    <w:rsid w:val="00CC6E48"/>
    <w:rsid w:val="00CD47E1"/>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69F8"/>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66EE5"/>
    <w:rsid w:val="00D70766"/>
    <w:rsid w:val="00D7252C"/>
    <w:rsid w:val="00D7768F"/>
    <w:rsid w:val="00D82691"/>
    <w:rsid w:val="00D837B0"/>
    <w:rsid w:val="00D83FBA"/>
    <w:rsid w:val="00D906B2"/>
    <w:rsid w:val="00D91F3E"/>
    <w:rsid w:val="00D92325"/>
    <w:rsid w:val="00D95A1B"/>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10780"/>
    <w:rsid w:val="00E12804"/>
    <w:rsid w:val="00E134FA"/>
    <w:rsid w:val="00E137A9"/>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3985"/>
    <w:rsid w:val="00E7452D"/>
    <w:rsid w:val="00E74CB0"/>
    <w:rsid w:val="00E757C4"/>
    <w:rsid w:val="00E81B7C"/>
    <w:rsid w:val="00E85AC5"/>
    <w:rsid w:val="00E864E9"/>
    <w:rsid w:val="00E873E0"/>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36E1"/>
    <w:rsid w:val="00EF6C8B"/>
    <w:rsid w:val="00F028A5"/>
    <w:rsid w:val="00F02ACE"/>
    <w:rsid w:val="00F03463"/>
    <w:rsid w:val="00F03E2D"/>
    <w:rsid w:val="00F05082"/>
    <w:rsid w:val="00F06AF6"/>
    <w:rsid w:val="00F104DF"/>
    <w:rsid w:val="00F16F36"/>
    <w:rsid w:val="00F20567"/>
    <w:rsid w:val="00F21BA6"/>
    <w:rsid w:val="00F26C65"/>
    <w:rsid w:val="00F316B5"/>
    <w:rsid w:val="00F42088"/>
    <w:rsid w:val="00F43789"/>
    <w:rsid w:val="00F50072"/>
    <w:rsid w:val="00F507C6"/>
    <w:rsid w:val="00F51CCB"/>
    <w:rsid w:val="00F51D19"/>
    <w:rsid w:val="00F530A8"/>
    <w:rsid w:val="00F550A0"/>
    <w:rsid w:val="00F56168"/>
    <w:rsid w:val="00F6097F"/>
    <w:rsid w:val="00F62018"/>
    <w:rsid w:val="00F62E83"/>
    <w:rsid w:val="00F65096"/>
    <w:rsid w:val="00F65D8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24938639">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51123267">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partados.hacienda.gob.mx/contabilidad/documentos/informe_cuenta/1998/cuenta_p&#250;blica/Glosario/n.htm" TargetMode="External"/><Relationship Id="rId4" Type="http://schemas.openxmlformats.org/officeDocument/2006/relationships/styles" Target="styles.xml"/><Relationship Id="rId9" Type="http://schemas.openxmlformats.org/officeDocument/2006/relationships/hyperlink" Target="http://www.transparenciapresupuestaria.gob.mx/es/PTP/Glosari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A37C67-9869-40BA-945E-58F19649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3297</Words>
  <Characters>18137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HECTOR FABIAN ORDOÑEZ GARCIA</cp:lastModifiedBy>
  <cp:revision>4</cp:revision>
  <cp:lastPrinted>2025-04-04T16:08:00Z</cp:lastPrinted>
  <dcterms:created xsi:type="dcterms:W3CDTF">2025-04-04T16:08:00Z</dcterms:created>
  <dcterms:modified xsi:type="dcterms:W3CDTF">2025-04-28T20:39:00Z</dcterms:modified>
</cp:coreProperties>
</file>